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C49" w:rsidRPr="007972B0" w:rsidRDefault="00142FEC" w:rsidP="00A10C49">
      <w:pPr>
        <w:jc w:val="both"/>
      </w:pPr>
      <w:bookmarkStart w:id="0" w:name="_GoBack"/>
      <w:bookmarkEnd w:id="0"/>
      <w:r>
        <w:rPr>
          <w:noProof/>
        </w:rPr>
        <mc:AlternateContent>
          <mc:Choice Requires="wpg">
            <w:drawing>
              <wp:anchor distT="0" distB="0" distL="114300" distR="114300" simplePos="0" relativeHeight="251678720" behindDoc="0" locked="0" layoutInCell="1" allowOverlap="1" wp14:anchorId="69C942EC" wp14:editId="69195589">
                <wp:simplePos x="0" y="0"/>
                <wp:positionH relativeFrom="column">
                  <wp:posOffset>112395</wp:posOffset>
                </wp:positionH>
                <wp:positionV relativeFrom="paragraph">
                  <wp:posOffset>3891915</wp:posOffset>
                </wp:positionV>
                <wp:extent cx="5697855" cy="3152775"/>
                <wp:effectExtent l="0" t="0" r="0" b="0"/>
                <wp:wrapNone/>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855" cy="3152775"/>
                          <a:chOff x="2445" y="7830"/>
                          <a:chExt cx="8973" cy="4965"/>
                        </a:xfrm>
                      </wpg:grpSpPr>
                      <wps:wsp>
                        <wps:cNvPr id="8" name="Text Box 3"/>
                        <wps:cNvSpPr txBox="1">
                          <a:spLocks noChangeArrowheads="1"/>
                        </wps:cNvSpPr>
                        <wps:spPr bwMode="auto">
                          <a:xfrm>
                            <a:off x="2640" y="7830"/>
                            <a:ext cx="2510" cy="52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A79" w:rsidRPr="008A0C07" w:rsidRDefault="0056674C" w:rsidP="00A10C49">
                              <w:pPr>
                                <w:rPr>
                                  <w:rFonts w:ascii="Corbel" w:hAnsi="Corbel"/>
                                  <w:b/>
                                  <w:smallCaps/>
                                  <w:sz w:val="32"/>
                                  <w:szCs w:val="32"/>
                                </w:rPr>
                              </w:pPr>
                              <w:r>
                                <w:rPr>
                                  <w:rFonts w:ascii="Corbel" w:hAnsi="Corbel"/>
                                  <w:b/>
                                  <w:smallCaps/>
                                  <w:sz w:val="32"/>
                                  <w:szCs w:val="32"/>
                                </w:rPr>
                                <w:t xml:space="preserve">Final </w:t>
                              </w:r>
                              <w:r w:rsidR="00346A79">
                                <w:rPr>
                                  <w:rFonts w:ascii="Corbel" w:hAnsi="Corbel"/>
                                  <w:b/>
                                  <w:smallCaps/>
                                  <w:sz w:val="32"/>
                                  <w:szCs w:val="32"/>
                                </w:rPr>
                                <w:t xml:space="preserve">Report </w:t>
                              </w:r>
                            </w:p>
                          </w:txbxContent>
                        </wps:txbx>
                        <wps:bodyPr rot="0" vert="horz" wrap="square" lIns="91440" tIns="45720" rIns="91440" bIns="45720" anchor="t" anchorCtr="0" upright="1">
                          <a:noAutofit/>
                        </wps:bodyPr>
                      </wps:wsp>
                      <wps:wsp>
                        <wps:cNvPr id="10" name="Text Box 4"/>
                        <wps:cNvSpPr txBox="1">
                          <a:spLocks noChangeArrowheads="1"/>
                        </wps:cNvSpPr>
                        <wps:spPr bwMode="auto">
                          <a:xfrm>
                            <a:off x="5145" y="7830"/>
                            <a:ext cx="25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A79" w:rsidRPr="008A0C07" w:rsidRDefault="0056674C" w:rsidP="00F728A1">
                              <w:pPr>
                                <w:spacing w:after="0" w:line="240" w:lineRule="auto"/>
                                <w:jc w:val="both"/>
                                <w:rPr>
                                  <w:color w:val="FFFFFF" w:themeColor="background1"/>
                                  <w:sz w:val="32"/>
                                  <w:szCs w:val="32"/>
                                </w:rPr>
                              </w:pPr>
                              <w:r>
                                <w:rPr>
                                  <w:smallCaps/>
                                  <w:color w:val="FFFFFF" w:themeColor="background1"/>
                                  <w:sz w:val="32"/>
                                  <w:szCs w:val="32"/>
                                </w:rPr>
                                <w:t xml:space="preserve">October </w:t>
                              </w:r>
                              <w:r w:rsidR="00346A79">
                                <w:rPr>
                                  <w:smallCaps/>
                                  <w:color w:val="FFFFFF" w:themeColor="background1"/>
                                  <w:sz w:val="32"/>
                                  <w:szCs w:val="32"/>
                                </w:rPr>
                                <w:t>2017</w:t>
                              </w:r>
                            </w:p>
                          </w:txbxContent>
                        </wps:txbx>
                        <wps:bodyPr rot="0" vert="horz" wrap="square" lIns="91440" tIns="45720" rIns="91440" bIns="45720" anchor="t" anchorCtr="0" upright="1">
                          <a:noAutofit/>
                        </wps:bodyPr>
                      </wps:wsp>
                      <wps:wsp>
                        <wps:cNvPr id="11" name="Text Box 5"/>
                        <wps:cNvSpPr txBox="1">
                          <a:spLocks noChangeArrowheads="1"/>
                        </wps:cNvSpPr>
                        <wps:spPr bwMode="auto">
                          <a:xfrm>
                            <a:off x="2445" y="8940"/>
                            <a:ext cx="8973"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A79" w:rsidRPr="008A0C07" w:rsidRDefault="00346A79" w:rsidP="00F728A1">
                              <w:pPr>
                                <w:spacing w:after="0" w:line="240" w:lineRule="auto"/>
                                <w:rPr>
                                  <w:rFonts w:ascii="Corbel" w:hAnsi="Corbel"/>
                                  <w:color w:val="FFFFFF" w:themeColor="background1"/>
                                  <w:sz w:val="40"/>
                                  <w:szCs w:val="40"/>
                                </w:rPr>
                              </w:pPr>
                              <w:r>
                                <w:rPr>
                                  <w:rFonts w:ascii="Corbel" w:hAnsi="Corbel"/>
                                  <w:color w:val="FFFFFF" w:themeColor="background1"/>
                                  <w:sz w:val="40"/>
                                  <w:szCs w:val="40"/>
                                </w:rPr>
                                <w:t>Economic effects of the Commonwealth water recovery programs in the Murrumbidgee Irrigation Area</w:t>
                              </w:r>
                            </w:p>
                          </w:txbxContent>
                        </wps:txbx>
                        <wps:bodyPr rot="0" vert="horz" wrap="square" lIns="91440" tIns="45720" rIns="91440" bIns="45720" anchor="t" anchorCtr="0" upright="1">
                          <a:noAutofit/>
                        </wps:bodyPr>
                      </wps:wsp>
                      <wps:wsp>
                        <wps:cNvPr id="12" name="Text Box 6"/>
                        <wps:cNvSpPr txBox="1">
                          <a:spLocks noChangeArrowheads="1"/>
                        </wps:cNvSpPr>
                        <wps:spPr bwMode="auto">
                          <a:xfrm>
                            <a:off x="2445" y="11115"/>
                            <a:ext cx="8063"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A79" w:rsidRDefault="00346A79" w:rsidP="00F728A1">
                              <w:pPr>
                                <w:spacing w:after="0" w:line="240" w:lineRule="auto"/>
                                <w:rPr>
                                  <w:rFonts w:ascii="Corbel" w:hAnsi="Corbel"/>
                                  <w:color w:val="8EBDD8"/>
                                  <w:sz w:val="36"/>
                                  <w:szCs w:val="36"/>
                                </w:rPr>
                              </w:pPr>
                              <w:r>
                                <w:rPr>
                                  <w:rFonts w:ascii="Corbel" w:hAnsi="Corbel"/>
                                  <w:color w:val="8EBDD8"/>
                                  <w:sz w:val="36"/>
                                  <w:szCs w:val="36"/>
                                </w:rPr>
                                <w:t>Report</w:t>
                              </w:r>
                              <w:r w:rsidRPr="00E51C1E">
                                <w:rPr>
                                  <w:rFonts w:ascii="Corbel" w:hAnsi="Corbel"/>
                                  <w:color w:val="8EBDD8"/>
                                  <w:sz w:val="36"/>
                                  <w:szCs w:val="36"/>
                                </w:rPr>
                                <w:t xml:space="preserve"> prepared for </w:t>
                              </w:r>
                              <w:r>
                                <w:rPr>
                                  <w:rFonts w:ascii="Corbel" w:hAnsi="Corbel"/>
                                  <w:color w:val="8EBDD8"/>
                                  <w:sz w:val="36"/>
                                  <w:szCs w:val="36"/>
                                </w:rPr>
                                <w:t>the Department of Agriculture and Water Resources</w:t>
                              </w:r>
                            </w:p>
                            <w:p w:rsidR="00346A79" w:rsidRPr="00057140" w:rsidRDefault="00346A79" w:rsidP="00A10C49">
                              <w:pPr>
                                <w:rPr>
                                  <w:szCs w:val="3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942EC" id="Group 12" o:spid="_x0000_s1026" style="position:absolute;left:0;text-align:left;margin-left:8.85pt;margin-top:306.45pt;width:448.65pt;height:248.25pt;z-index:251678720" coordorigin="2445,7830" coordsize="8973,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">
                <v:shapetype id="_x0000_t202" coordsize="21600,21600" o:spt="202" path="m,l,21600r21600,l21600,xe">
                  <v:stroke joinstyle="miter"/>
                  <v:path gradientshapeok="t" o:connecttype="rect"/>
                </v:shapetype>
                <v:shape id="Text Box 3" o:spid="_x0000_s1027" type="#_x0000_t202" style="position:absolute;left:2640;top:7830;width:25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VSMAA&#10;AADaAAAADwAAAGRycy9kb3ducmV2LnhtbERPy4rCMBTdD8w/hCu4EU0dGJVqlEFwdCGKD3B7aa5t&#10;sbmpSbSdvzcLYZaH854tWlOJJzlfWlYwHCQgiDOrS84VnE+r/gSED8gaK8uk4I88LOafHzNMtW34&#10;QM9jyEUMYZ+igiKEOpXSZwUZ9ANbE0fuap3BEKHLpXbYxHBTya8kGUmDJceGAmtaFpTdjg+jYDTe&#10;bS/fzc336vt6n/eka7Jfp1S30/5MQQRqw7/47d5oBXFrvBJv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6VSMAAAADaAAAADwAAAAAAAAAAAAAAAACYAgAAZHJzL2Rvd25y&#10;ZXYueG1sUEsFBgAAAAAEAAQA9QAAAIUDAAAAAA==&#10;" fillcolor="#ffc000" stroked="f">
                  <v:textbox>
                    <w:txbxContent>
                      <w:p w:rsidR="00346A79" w:rsidRPr="008A0C07" w:rsidRDefault="0056674C" w:rsidP="00A10C49">
                        <w:pPr>
                          <w:rPr>
                            <w:rFonts w:ascii="Corbel" w:hAnsi="Corbel"/>
                            <w:b/>
                            <w:smallCaps/>
                            <w:sz w:val="32"/>
                            <w:szCs w:val="32"/>
                          </w:rPr>
                        </w:pPr>
                        <w:r>
                          <w:rPr>
                            <w:rFonts w:ascii="Corbel" w:hAnsi="Corbel"/>
                            <w:b/>
                            <w:smallCaps/>
                            <w:sz w:val="32"/>
                            <w:szCs w:val="32"/>
                          </w:rPr>
                          <w:t xml:space="preserve">Final </w:t>
                        </w:r>
                        <w:r w:rsidR="00346A79">
                          <w:rPr>
                            <w:rFonts w:ascii="Corbel" w:hAnsi="Corbel"/>
                            <w:b/>
                            <w:smallCaps/>
                            <w:sz w:val="32"/>
                            <w:szCs w:val="32"/>
                          </w:rPr>
                          <w:t xml:space="preserve">Report </w:t>
                        </w:r>
                      </w:p>
                    </w:txbxContent>
                  </v:textbox>
                </v:shape>
                <v:shape id="Text Box 4" o:spid="_x0000_s1028" type="#_x0000_t202" style="position:absolute;left:5145;top:7830;width:25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346A79" w:rsidRPr="008A0C07" w:rsidRDefault="0056674C" w:rsidP="00F728A1">
                        <w:pPr>
                          <w:spacing w:after="0" w:line="240" w:lineRule="auto"/>
                          <w:jc w:val="both"/>
                          <w:rPr>
                            <w:color w:val="FFFFFF" w:themeColor="background1"/>
                            <w:sz w:val="32"/>
                            <w:szCs w:val="32"/>
                          </w:rPr>
                        </w:pPr>
                        <w:r>
                          <w:rPr>
                            <w:smallCaps/>
                            <w:color w:val="FFFFFF" w:themeColor="background1"/>
                            <w:sz w:val="32"/>
                            <w:szCs w:val="32"/>
                          </w:rPr>
                          <w:t xml:space="preserve">October </w:t>
                        </w:r>
                        <w:r w:rsidR="00346A79">
                          <w:rPr>
                            <w:smallCaps/>
                            <w:color w:val="FFFFFF" w:themeColor="background1"/>
                            <w:sz w:val="32"/>
                            <w:szCs w:val="32"/>
                          </w:rPr>
                          <w:t>2017</w:t>
                        </w:r>
                      </w:p>
                    </w:txbxContent>
                  </v:textbox>
                </v:shape>
                <v:shape id="Text Box 5" o:spid="_x0000_s1029" type="#_x0000_t202" style="position:absolute;left:2445;top:8940;width:8973;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346A79" w:rsidRPr="008A0C07" w:rsidRDefault="00346A79" w:rsidP="00F728A1">
                        <w:pPr>
                          <w:spacing w:after="0" w:line="240" w:lineRule="auto"/>
                          <w:rPr>
                            <w:rFonts w:ascii="Corbel" w:hAnsi="Corbel"/>
                            <w:color w:val="FFFFFF" w:themeColor="background1"/>
                            <w:sz w:val="40"/>
                            <w:szCs w:val="40"/>
                          </w:rPr>
                        </w:pPr>
                        <w:r>
                          <w:rPr>
                            <w:rFonts w:ascii="Corbel" w:hAnsi="Corbel"/>
                            <w:color w:val="FFFFFF" w:themeColor="background1"/>
                            <w:sz w:val="40"/>
                            <w:szCs w:val="40"/>
                          </w:rPr>
                          <w:t>Economic effects of the Commonwealth water recovery programs in the Murrumbidgee Irrigation Area</w:t>
                        </w:r>
                      </w:p>
                    </w:txbxContent>
                  </v:textbox>
                </v:shape>
                <v:shape id="Text Box 6" o:spid="_x0000_s1030" type="#_x0000_t202" style="position:absolute;left:2445;top:11115;width:8063;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346A79" w:rsidRDefault="00346A79" w:rsidP="00F728A1">
                        <w:pPr>
                          <w:spacing w:after="0" w:line="240" w:lineRule="auto"/>
                          <w:rPr>
                            <w:rFonts w:ascii="Corbel" w:hAnsi="Corbel"/>
                            <w:color w:val="8EBDD8"/>
                            <w:sz w:val="36"/>
                            <w:szCs w:val="36"/>
                          </w:rPr>
                        </w:pPr>
                        <w:r>
                          <w:rPr>
                            <w:rFonts w:ascii="Corbel" w:hAnsi="Corbel"/>
                            <w:color w:val="8EBDD8"/>
                            <w:sz w:val="36"/>
                            <w:szCs w:val="36"/>
                          </w:rPr>
                          <w:t>Report</w:t>
                        </w:r>
                        <w:r w:rsidRPr="00E51C1E">
                          <w:rPr>
                            <w:rFonts w:ascii="Corbel" w:hAnsi="Corbel"/>
                            <w:color w:val="8EBDD8"/>
                            <w:sz w:val="36"/>
                            <w:szCs w:val="36"/>
                          </w:rPr>
                          <w:t xml:space="preserve"> prepared for </w:t>
                        </w:r>
                        <w:r>
                          <w:rPr>
                            <w:rFonts w:ascii="Corbel" w:hAnsi="Corbel"/>
                            <w:color w:val="8EBDD8"/>
                            <w:sz w:val="36"/>
                            <w:szCs w:val="36"/>
                          </w:rPr>
                          <w:t>the Department of Agriculture and Water Resources</w:t>
                        </w:r>
                      </w:p>
                      <w:p w:rsidR="00346A79" w:rsidRPr="00057140" w:rsidRDefault="00346A79" w:rsidP="00A10C49">
                        <w:pPr>
                          <w:rPr>
                            <w:szCs w:val="36"/>
                          </w:rPr>
                        </w:pPr>
                      </w:p>
                    </w:txbxContent>
                  </v:textbox>
                </v:shape>
              </v:group>
            </w:pict>
          </mc:Fallback>
        </mc:AlternateContent>
      </w:r>
      <w:r w:rsidR="002E36FD">
        <w:rPr>
          <w:noProof/>
        </w:rPr>
        <w:drawing>
          <wp:anchor distT="0" distB="0" distL="114300" distR="114300" simplePos="0" relativeHeight="251662336" behindDoc="1" locked="0" layoutInCell="1" allowOverlap="1" wp14:anchorId="0BF36800" wp14:editId="13E98BD0">
            <wp:simplePos x="0" y="0"/>
            <wp:positionH relativeFrom="page">
              <wp:posOffset>0</wp:posOffset>
            </wp:positionH>
            <wp:positionV relativeFrom="page">
              <wp:posOffset>2809875</wp:posOffset>
            </wp:positionV>
            <wp:extent cx="7613650" cy="6572250"/>
            <wp:effectExtent l="19050" t="0" r="6350" b="0"/>
            <wp:wrapNone/>
            <wp:docPr id="7" name="Picture 7" descr="WaterTank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Tank_Main.jpg"/>
                    <pic:cNvPicPr/>
                  </pic:nvPicPr>
                  <pic:blipFill>
                    <a:blip r:embed="rId11" cstate="print"/>
                    <a:stretch>
                      <a:fillRect/>
                    </a:stretch>
                  </pic:blipFill>
                  <pic:spPr>
                    <a:xfrm>
                      <a:off x="0" y="0"/>
                      <a:ext cx="7613650" cy="6572250"/>
                    </a:xfrm>
                    <a:prstGeom prst="rect">
                      <a:avLst/>
                    </a:prstGeom>
                  </pic:spPr>
                </pic:pic>
              </a:graphicData>
            </a:graphic>
          </wp:anchor>
        </w:drawing>
      </w:r>
      <w:r w:rsidR="00A10C49">
        <w:rPr>
          <w:noProof/>
        </w:rPr>
        <w:drawing>
          <wp:anchor distT="0" distB="0" distL="114300" distR="114300" simplePos="0" relativeHeight="251660288" behindDoc="1" locked="0" layoutInCell="1" allowOverlap="1" wp14:anchorId="01A56CCE" wp14:editId="424BBDD4">
            <wp:simplePos x="0" y="0"/>
            <wp:positionH relativeFrom="page">
              <wp:posOffset>0</wp:posOffset>
            </wp:positionH>
            <wp:positionV relativeFrom="page">
              <wp:posOffset>2857500</wp:posOffset>
            </wp:positionV>
            <wp:extent cx="7613650" cy="6568440"/>
            <wp:effectExtent l="19050" t="0" r="6350" b="0"/>
            <wp:wrapNone/>
            <wp:docPr id="18" name="Picture 18" descr="WaterTank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Tank_Main.jpg"/>
                    <pic:cNvPicPr/>
                  </pic:nvPicPr>
                  <pic:blipFill>
                    <a:blip r:embed="rId11" cstate="print"/>
                    <a:stretch>
                      <a:fillRect/>
                    </a:stretch>
                  </pic:blipFill>
                  <pic:spPr>
                    <a:xfrm>
                      <a:off x="0" y="0"/>
                      <a:ext cx="7613650" cy="6568440"/>
                    </a:xfrm>
                    <a:prstGeom prst="rect">
                      <a:avLst/>
                    </a:prstGeom>
                  </pic:spPr>
                </pic:pic>
              </a:graphicData>
            </a:graphic>
          </wp:anchor>
        </w:drawing>
      </w:r>
      <w:r w:rsidR="00A10C49">
        <w:rPr>
          <w:noProof/>
        </w:rPr>
        <w:drawing>
          <wp:anchor distT="0" distB="0" distL="114300" distR="114300" simplePos="0" relativeHeight="251661312" behindDoc="0" locked="0" layoutInCell="1" allowOverlap="1" wp14:anchorId="6EBE412F" wp14:editId="13D7A535">
            <wp:simplePos x="0" y="0"/>
            <wp:positionH relativeFrom="page">
              <wp:posOffset>-47625</wp:posOffset>
            </wp:positionH>
            <wp:positionV relativeFrom="page">
              <wp:posOffset>0</wp:posOffset>
            </wp:positionV>
            <wp:extent cx="7664450" cy="2857500"/>
            <wp:effectExtent l="19050" t="0" r="0" b="0"/>
            <wp:wrapNone/>
            <wp:docPr id="4" name="Picture 4" descr="WaterDrops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Drops_Top.jpg"/>
                    <pic:cNvPicPr/>
                  </pic:nvPicPr>
                  <pic:blipFill>
                    <a:blip r:embed="rId12" cstate="print"/>
                    <a:stretch>
                      <a:fillRect/>
                    </a:stretch>
                  </pic:blipFill>
                  <pic:spPr>
                    <a:xfrm>
                      <a:off x="0" y="0"/>
                      <a:ext cx="7664450" cy="2857500"/>
                    </a:xfrm>
                    <a:prstGeom prst="rect">
                      <a:avLst/>
                    </a:prstGeom>
                  </pic:spPr>
                </pic:pic>
              </a:graphicData>
            </a:graphic>
          </wp:anchor>
        </w:drawing>
      </w:r>
      <w:r w:rsidR="00A10C49" w:rsidRPr="007972B0">
        <w:br w:type="page"/>
      </w:r>
    </w:p>
    <w:p w:rsidR="00A10C49" w:rsidRDefault="00A10C49" w:rsidP="00A10C49">
      <w:pPr>
        <w:spacing w:after="0" w:line="240" w:lineRule="auto"/>
        <w:rPr>
          <w:rFonts w:ascii="Corbel" w:hAnsi="Corbel" w:cs="Arial"/>
          <w:b/>
          <w:sz w:val="16"/>
          <w:szCs w:val="16"/>
        </w:rPr>
        <w:sectPr w:rsidR="00A10C49" w:rsidSect="000D4F20">
          <w:footerReference w:type="default" r:id="rId13"/>
          <w:pgSz w:w="11906" w:h="16838" w:code="9"/>
          <w:pgMar w:top="1701" w:right="1134" w:bottom="1021" w:left="2268" w:header="680" w:footer="113" w:gutter="0"/>
          <w:cols w:space="708"/>
          <w:docGrid w:linePitch="360"/>
        </w:sectPr>
      </w:pPr>
    </w:p>
    <w:p w:rsidR="00F80890" w:rsidRPr="005E3447" w:rsidRDefault="00F80890" w:rsidP="007972B0">
      <w:pPr>
        <w:spacing w:after="0" w:line="240" w:lineRule="auto"/>
        <w:rPr>
          <w:rFonts w:ascii="Corbel" w:hAnsi="Corbel" w:cs="Arial"/>
          <w:b/>
          <w:sz w:val="16"/>
          <w:szCs w:val="16"/>
        </w:rPr>
      </w:pPr>
      <w:r w:rsidRPr="005E3447">
        <w:rPr>
          <w:rFonts w:ascii="Corbel" w:hAnsi="Corbel" w:cs="Arial"/>
          <w:b/>
          <w:sz w:val="16"/>
          <w:szCs w:val="16"/>
        </w:rPr>
        <w:lastRenderedPageBreak/>
        <w:t>Marsden Jacob Associates</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Financial &amp; Economic Consultants</w:t>
      </w: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ABN 66 663 324 657</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ACN 072 233 204</w:t>
      </w: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sz w:val="16"/>
          <w:szCs w:val="16"/>
          <w:lang w:val="fr-FR"/>
        </w:rPr>
      </w:pPr>
      <w:r w:rsidRPr="005E3447">
        <w:rPr>
          <w:rFonts w:ascii="Corbel" w:hAnsi="Corbel"/>
          <w:sz w:val="16"/>
          <w:szCs w:val="16"/>
          <w:lang w:val="fr-FR"/>
        </w:rPr>
        <w:t>Internet: http://www.marsdenjacob.com.au</w:t>
      </w:r>
    </w:p>
    <w:p w:rsidR="00F80890" w:rsidRPr="005E3447" w:rsidRDefault="00F80890" w:rsidP="007972B0">
      <w:pPr>
        <w:spacing w:after="0" w:line="240" w:lineRule="auto"/>
        <w:rPr>
          <w:rFonts w:ascii="Corbel" w:hAnsi="Corbel"/>
          <w:sz w:val="16"/>
          <w:szCs w:val="16"/>
          <w:lang w:val="pt-BR"/>
        </w:rPr>
      </w:pPr>
      <w:r w:rsidRPr="005E3447">
        <w:rPr>
          <w:rFonts w:ascii="Corbel" w:hAnsi="Corbel"/>
          <w:sz w:val="16"/>
          <w:szCs w:val="16"/>
          <w:lang w:val="pt-BR"/>
        </w:rPr>
        <w:t xml:space="preserve">E-mail: economists@marsdenjacob.com.au </w:t>
      </w:r>
    </w:p>
    <w:p w:rsidR="00F80890" w:rsidRPr="005E3447" w:rsidRDefault="00F80890" w:rsidP="007972B0">
      <w:pPr>
        <w:spacing w:after="0" w:line="240" w:lineRule="auto"/>
        <w:rPr>
          <w:rFonts w:ascii="Corbel" w:hAnsi="Corbel" w:cs="Arial"/>
          <w:sz w:val="16"/>
          <w:szCs w:val="16"/>
          <w:lang w:val="pt-BR"/>
        </w:rPr>
      </w:pP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Melbourne office:</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Postal address: Level 3, 683 Burke Road, Camberwell</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Victoria 3124 AUSTRALIA</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Telephone: </w:t>
      </w:r>
      <w:r w:rsidR="002C25EC">
        <w:rPr>
          <w:rFonts w:ascii="Corbel" w:hAnsi="Corbel" w:cs="Arial"/>
          <w:sz w:val="16"/>
          <w:szCs w:val="16"/>
        </w:rPr>
        <w:t xml:space="preserve">03 </w:t>
      </w:r>
      <w:r w:rsidRPr="005E3447">
        <w:rPr>
          <w:rFonts w:ascii="Corbel" w:hAnsi="Corbel" w:cs="Arial"/>
          <w:sz w:val="16"/>
          <w:szCs w:val="16"/>
        </w:rPr>
        <w:t>9882 1600</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Facsimile: </w:t>
      </w:r>
      <w:r w:rsidR="002C25EC">
        <w:rPr>
          <w:rFonts w:ascii="Corbel" w:hAnsi="Corbel" w:cs="Arial"/>
          <w:sz w:val="16"/>
          <w:szCs w:val="16"/>
        </w:rPr>
        <w:t>03</w:t>
      </w:r>
      <w:r w:rsidRPr="005E3447">
        <w:rPr>
          <w:rFonts w:ascii="Corbel" w:hAnsi="Corbel" w:cs="Arial"/>
          <w:sz w:val="16"/>
          <w:szCs w:val="16"/>
        </w:rPr>
        <w:t xml:space="preserve"> 9882 1300</w:t>
      </w: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Perth office:</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Level </w:t>
      </w:r>
      <w:r>
        <w:rPr>
          <w:rFonts w:ascii="Corbel" w:hAnsi="Corbel" w:cs="Arial"/>
          <w:sz w:val="16"/>
          <w:szCs w:val="16"/>
        </w:rPr>
        <w:t>1</w:t>
      </w:r>
      <w:r w:rsidRPr="005E3447">
        <w:rPr>
          <w:rFonts w:ascii="Corbel" w:hAnsi="Corbel" w:cs="Arial"/>
          <w:sz w:val="16"/>
          <w:szCs w:val="16"/>
        </w:rPr>
        <w:t xml:space="preserve">, </w:t>
      </w:r>
      <w:r>
        <w:rPr>
          <w:rFonts w:ascii="Corbel" w:hAnsi="Corbel" w:cs="Arial"/>
          <w:sz w:val="16"/>
          <w:szCs w:val="16"/>
        </w:rPr>
        <w:t>220 St Georges Terrace</w:t>
      </w:r>
      <w:r w:rsidRPr="005E3447">
        <w:rPr>
          <w:rFonts w:ascii="Corbel" w:hAnsi="Corbel" w:cs="Arial"/>
          <w:sz w:val="16"/>
          <w:szCs w:val="16"/>
        </w:rPr>
        <w:t xml:space="preserve">, Perth </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Western Australia, 6000 AUSTRALIA</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Telephone: </w:t>
      </w:r>
      <w:r w:rsidR="002C25EC">
        <w:rPr>
          <w:rFonts w:ascii="Corbel" w:hAnsi="Corbel" w:cs="Arial"/>
          <w:sz w:val="16"/>
          <w:szCs w:val="16"/>
        </w:rPr>
        <w:t>0</w:t>
      </w:r>
      <w:r w:rsidRPr="005E3447">
        <w:rPr>
          <w:rFonts w:ascii="Corbel" w:hAnsi="Corbel" w:cs="Arial"/>
          <w:sz w:val="16"/>
          <w:szCs w:val="16"/>
        </w:rPr>
        <w:t>8 9324 1785</w:t>
      </w:r>
    </w:p>
    <w:p w:rsidR="00F80890"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Facsimile: </w:t>
      </w:r>
      <w:r w:rsidR="002C25EC">
        <w:rPr>
          <w:rFonts w:ascii="Corbel" w:hAnsi="Corbel" w:cs="Arial"/>
          <w:sz w:val="16"/>
          <w:szCs w:val="16"/>
        </w:rPr>
        <w:t>0</w:t>
      </w:r>
      <w:r w:rsidRPr="005E3447">
        <w:rPr>
          <w:rFonts w:ascii="Corbel" w:hAnsi="Corbel" w:cs="Arial"/>
          <w:sz w:val="16"/>
          <w:szCs w:val="16"/>
        </w:rPr>
        <w:t>8 932</w:t>
      </w:r>
      <w:r>
        <w:rPr>
          <w:rFonts w:ascii="Corbel" w:hAnsi="Corbel" w:cs="Arial"/>
          <w:sz w:val="16"/>
          <w:szCs w:val="16"/>
        </w:rPr>
        <w:t>2</w:t>
      </w:r>
      <w:r w:rsidRPr="005E3447">
        <w:rPr>
          <w:rFonts w:ascii="Corbel" w:hAnsi="Corbel" w:cs="Arial"/>
          <w:sz w:val="16"/>
          <w:szCs w:val="16"/>
        </w:rPr>
        <w:t xml:space="preserve"> </w:t>
      </w:r>
      <w:r>
        <w:rPr>
          <w:rFonts w:ascii="Corbel" w:hAnsi="Corbel" w:cs="Arial"/>
          <w:sz w:val="16"/>
          <w:szCs w:val="16"/>
        </w:rPr>
        <w:t>7936</w:t>
      </w:r>
    </w:p>
    <w:p w:rsidR="00F80890" w:rsidRDefault="00F80890" w:rsidP="007972B0">
      <w:pPr>
        <w:spacing w:after="0" w:line="240" w:lineRule="auto"/>
        <w:rPr>
          <w:rFonts w:ascii="Corbel" w:hAnsi="Corbel" w:cs="Arial"/>
          <w:sz w:val="16"/>
          <w:szCs w:val="16"/>
        </w:rPr>
      </w:pPr>
    </w:p>
    <w:p w:rsidR="00F80890" w:rsidRDefault="00F80890" w:rsidP="007972B0">
      <w:pPr>
        <w:spacing w:after="0" w:line="240" w:lineRule="auto"/>
        <w:rPr>
          <w:rFonts w:ascii="Corbel" w:hAnsi="Corbel" w:cs="Arial"/>
          <w:sz w:val="16"/>
          <w:szCs w:val="16"/>
        </w:rPr>
      </w:pPr>
      <w:r>
        <w:rPr>
          <w:rFonts w:ascii="Corbel" w:hAnsi="Corbel" w:cs="Arial"/>
          <w:sz w:val="16"/>
          <w:szCs w:val="16"/>
        </w:rPr>
        <w:t>Sydney office:</w:t>
      </w:r>
    </w:p>
    <w:p w:rsidR="009759FA" w:rsidRDefault="009759FA" w:rsidP="007972B0">
      <w:pPr>
        <w:spacing w:after="0" w:line="240" w:lineRule="auto"/>
        <w:rPr>
          <w:rFonts w:ascii="Corbel" w:hAnsi="Corbel" w:cs="Arial"/>
          <w:sz w:val="16"/>
          <w:szCs w:val="16"/>
        </w:rPr>
      </w:pPr>
      <w:r>
        <w:rPr>
          <w:rFonts w:ascii="Corbel" w:hAnsi="Corbel" w:cs="Arial"/>
          <w:sz w:val="16"/>
          <w:szCs w:val="16"/>
        </w:rPr>
        <w:t>119 Willoughby Rd</w:t>
      </w:r>
    </w:p>
    <w:p w:rsidR="009759FA" w:rsidRDefault="009759FA" w:rsidP="007972B0">
      <w:pPr>
        <w:spacing w:after="0" w:line="240" w:lineRule="auto"/>
        <w:rPr>
          <w:rFonts w:ascii="Corbel" w:hAnsi="Corbel" w:cs="Arial"/>
          <w:sz w:val="16"/>
          <w:szCs w:val="16"/>
        </w:rPr>
      </w:pPr>
      <w:r>
        <w:rPr>
          <w:rFonts w:ascii="Corbel" w:hAnsi="Corbel" w:cs="Arial"/>
          <w:sz w:val="16"/>
          <w:szCs w:val="16"/>
        </w:rPr>
        <w:t>Crows Nest NSW 2068</w:t>
      </w:r>
    </w:p>
    <w:p w:rsidR="009759FA" w:rsidRPr="005E3447" w:rsidRDefault="009759FA" w:rsidP="009759FA">
      <w:pPr>
        <w:spacing w:after="0" w:line="240" w:lineRule="auto"/>
        <w:rPr>
          <w:rFonts w:ascii="Corbel" w:hAnsi="Corbel" w:cs="Arial"/>
          <w:sz w:val="16"/>
          <w:szCs w:val="16"/>
        </w:rPr>
      </w:pPr>
      <w:r w:rsidRPr="005E3447">
        <w:rPr>
          <w:rFonts w:ascii="Corbel" w:hAnsi="Corbel" w:cs="Arial"/>
          <w:sz w:val="16"/>
          <w:szCs w:val="16"/>
        </w:rPr>
        <w:t xml:space="preserve">Telephone: </w:t>
      </w:r>
      <w:r>
        <w:rPr>
          <w:rFonts w:ascii="Corbel" w:hAnsi="Corbel" w:cs="Arial"/>
          <w:sz w:val="16"/>
          <w:szCs w:val="16"/>
        </w:rPr>
        <w:t xml:space="preserve">03 </w:t>
      </w:r>
      <w:r w:rsidRPr="005E3447">
        <w:rPr>
          <w:rFonts w:ascii="Corbel" w:hAnsi="Corbel" w:cs="Arial"/>
          <w:sz w:val="16"/>
          <w:szCs w:val="16"/>
        </w:rPr>
        <w:t>9882 1600</w:t>
      </w:r>
    </w:p>
    <w:p w:rsidR="009759FA" w:rsidRPr="005E3447" w:rsidRDefault="009759FA" w:rsidP="009759FA">
      <w:pPr>
        <w:spacing w:after="0" w:line="240" w:lineRule="auto"/>
        <w:rPr>
          <w:rFonts w:ascii="Corbel" w:hAnsi="Corbel" w:cs="Arial"/>
          <w:sz w:val="16"/>
          <w:szCs w:val="16"/>
        </w:rPr>
      </w:pPr>
      <w:r w:rsidRPr="005E3447">
        <w:rPr>
          <w:rFonts w:ascii="Corbel" w:hAnsi="Corbel" w:cs="Arial"/>
          <w:sz w:val="16"/>
          <w:szCs w:val="16"/>
        </w:rPr>
        <w:t xml:space="preserve">Facsimile: </w:t>
      </w:r>
      <w:r>
        <w:rPr>
          <w:rFonts w:ascii="Corbel" w:hAnsi="Corbel" w:cs="Arial"/>
          <w:sz w:val="16"/>
          <w:szCs w:val="16"/>
        </w:rPr>
        <w:t>03</w:t>
      </w:r>
      <w:r w:rsidRPr="005E3447">
        <w:rPr>
          <w:rFonts w:ascii="Corbel" w:hAnsi="Corbel" w:cs="Arial"/>
          <w:sz w:val="16"/>
          <w:szCs w:val="16"/>
        </w:rPr>
        <w:t xml:space="preserve"> 9882 1300</w:t>
      </w: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Author</w:t>
      </w:r>
      <w:r w:rsidR="00EC47A2">
        <w:rPr>
          <w:rFonts w:ascii="Corbel" w:hAnsi="Corbel" w:cs="Arial"/>
          <w:sz w:val="16"/>
          <w:szCs w:val="16"/>
        </w:rPr>
        <w:t>s</w:t>
      </w:r>
      <w:r w:rsidRPr="005E3447">
        <w:rPr>
          <w:rFonts w:ascii="Corbel" w:hAnsi="Corbel" w:cs="Arial"/>
          <w:sz w:val="16"/>
          <w:szCs w:val="16"/>
        </w:rPr>
        <w:t xml:space="preserve">:  </w:t>
      </w:r>
      <w:r w:rsidRPr="005E3447">
        <w:rPr>
          <w:rFonts w:ascii="Corbel" w:hAnsi="Corbel" w:cs="Arial"/>
          <w:sz w:val="16"/>
          <w:szCs w:val="16"/>
        </w:rPr>
        <w:tab/>
      </w:r>
      <w:r w:rsidR="00EC47A2">
        <w:rPr>
          <w:rFonts w:ascii="Corbel" w:hAnsi="Corbel" w:cs="Arial"/>
          <w:sz w:val="16"/>
          <w:szCs w:val="16"/>
        </w:rPr>
        <w:t>Gavan Dwyer</w:t>
      </w:r>
    </w:p>
    <w:p w:rsidR="00C858F4" w:rsidRDefault="00F80890" w:rsidP="007972B0">
      <w:pPr>
        <w:spacing w:after="0" w:line="240" w:lineRule="auto"/>
        <w:rPr>
          <w:rFonts w:ascii="Corbel" w:hAnsi="Corbel" w:cs="Arial"/>
          <w:sz w:val="16"/>
          <w:szCs w:val="16"/>
        </w:rPr>
      </w:pPr>
      <w:r w:rsidRPr="005E3447">
        <w:rPr>
          <w:rFonts w:ascii="Corbel" w:hAnsi="Corbel" w:cs="Arial"/>
          <w:sz w:val="16"/>
          <w:szCs w:val="16"/>
        </w:rPr>
        <w:tab/>
      </w:r>
      <w:r w:rsidR="00EC47A2">
        <w:rPr>
          <w:rFonts w:ascii="Corbel" w:hAnsi="Corbel" w:cs="Arial"/>
          <w:sz w:val="16"/>
          <w:szCs w:val="16"/>
        </w:rPr>
        <w:t>gdwyer@marsdenjacob.com.au</w:t>
      </w:r>
    </w:p>
    <w:p w:rsidR="00EC47A2" w:rsidRPr="005E3447" w:rsidRDefault="00C858F4" w:rsidP="007972B0">
      <w:pPr>
        <w:spacing w:after="0" w:line="240" w:lineRule="auto"/>
        <w:rPr>
          <w:rFonts w:ascii="Corbel" w:hAnsi="Corbel" w:cs="Arial"/>
          <w:sz w:val="16"/>
          <w:szCs w:val="16"/>
        </w:rPr>
      </w:pPr>
      <w:r>
        <w:rPr>
          <w:rFonts w:ascii="Corbel" w:hAnsi="Corbel" w:cs="Arial"/>
          <w:sz w:val="16"/>
          <w:szCs w:val="16"/>
        </w:rPr>
        <w:tab/>
      </w:r>
      <w:r w:rsidR="00EC47A2">
        <w:rPr>
          <w:rFonts w:ascii="Corbel" w:hAnsi="Corbel" w:cs="Arial"/>
          <w:sz w:val="16"/>
          <w:szCs w:val="16"/>
        </w:rPr>
        <w:t xml:space="preserve">Matthew Clarke </w:t>
      </w:r>
    </w:p>
    <w:p w:rsidR="00F80890" w:rsidRDefault="00F80890" w:rsidP="007972B0">
      <w:pPr>
        <w:spacing w:after="0" w:line="240" w:lineRule="auto"/>
        <w:rPr>
          <w:rFonts w:ascii="Corbel" w:hAnsi="Corbel" w:cs="Arial"/>
          <w:sz w:val="16"/>
          <w:szCs w:val="16"/>
        </w:rPr>
      </w:pPr>
      <w:r w:rsidRPr="005E3447">
        <w:rPr>
          <w:rFonts w:ascii="Corbel" w:hAnsi="Corbel" w:cs="Arial"/>
          <w:sz w:val="16"/>
          <w:szCs w:val="16"/>
        </w:rPr>
        <w:tab/>
      </w:r>
      <w:r w:rsidR="00EC47A2">
        <w:rPr>
          <w:rFonts w:ascii="Corbel" w:hAnsi="Corbel" w:cs="Arial"/>
          <w:sz w:val="16"/>
          <w:szCs w:val="16"/>
        </w:rPr>
        <w:t>mclarke@marsdenjacob.com.au</w:t>
      </w:r>
    </w:p>
    <w:p w:rsidR="00EC47A2" w:rsidRDefault="00EC47A2" w:rsidP="00EC47A2">
      <w:pPr>
        <w:spacing w:after="0" w:line="240" w:lineRule="auto"/>
        <w:rPr>
          <w:rFonts w:ascii="Corbel" w:hAnsi="Corbel" w:cs="Arial"/>
          <w:sz w:val="16"/>
          <w:szCs w:val="16"/>
        </w:rPr>
      </w:pPr>
      <w:r>
        <w:rPr>
          <w:rFonts w:ascii="Corbel" w:hAnsi="Corbel" w:cs="Arial"/>
          <w:sz w:val="16"/>
          <w:szCs w:val="16"/>
        </w:rPr>
        <w:tab/>
        <w:t>Rod Carr</w:t>
      </w:r>
    </w:p>
    <w:p w:rsidR="00EC47A2" w:rsidRDefault="00EC47A2" w:rsidP="00EC47A2">
      <w:pPr>
        <w:spacing w:after="0" w:line="240" w:lineRule="auto"/>
        <w:rPr>
          <w:rFonts w:ascii="Corbel" w:hAnsi="Corbel" w:cs="Arial"/>
          <w:sz w:val="16"/>
          <w:szCs w:val="16"/>
        </w:rPr>
      </w:pPr>
      <w:r w:rsidRPr="005E3447">
        <w:rPr>
          <w:rFonts w:ascii="Corbel" w:hAnsi="Corbel" w:cs="Arial"/>
          <w:sz w:val="16"/>
          <w:szCs w:val="16"/>
        </w:rPr>
        <w:tab/>
      </w:r>
      <w:r>
        <w:rPr>
          <w:rFonts w:ascii="Corbel" w:hAnsi="Corbel" w:cs="Arial"/>
          <w:sz w:val="16"/>
          <w:szCs w:val="16"/>
        </w:rPr>
        <w:t>rcarr@marsdenjacob.com.au</w:t>
      </w:r>
    </w:p>
    <w:p w:rsidR="00EC47A2" w:rsidRPr="005E3447" w:rsidRDefault="00EC47A2" w:rsidP="00EC47A2">
      <w:pPr>
        <w:spacing w:after="0" w:line="240" w:lineRule="auto"/>
        <w:rPr>
          <w:rFonts w:ascii="Corbel" w:hAnsi="Corbel" w:cs="Arial"/>
          <w:sz w:val="16"/>
          <w:szCs w:val="16"/>
        </w:rPr>
      </w:pPr>
    </w:p>
    <w:p w:rsidR="00EC47A2" w:rsidRPr="005E3447" w:rsidRDefault="00EC47A2"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sz w:val="16"/>
          <w:szCs w:val="16"/>
        </w:rPr>
      </w:pPr>
    </w:p>
    <w:p w:rsidR="00F80890" w:rsidRPr="005E3447" w:rsidRDefault="00F80890" w:rsidP="007972B0">
      <w:pPr>
        <w:spacing w:after="0" w:line="240" w:lineRule="auto"/>
        <w:rPr>
          <w:rFonts w:ascii="Corbel" w:hAnsi="Corbel"/>
          <w:sz w:val="16"/>
          <w:szCs w:val="16"/>
        </w:rPr>
      </w:pPr>
    </w:p>
    <w:tbl>
      <w:tblPr>
        <w:tblW w:w="84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8472"/>
      </w:tblGrid>
      <w:tr w:rsidR="00F80890" w:rsidRPr="005E3447" w:rsidTr="00854171">
        <w:tc>
          <w:tcPr>
            <w:tcW w:w="8472" w:type="dxa"/>
          </w:tcPr>
          <w:p w:rsidR="00F80890" w:rsidRPr="005E3447" w:rsidRDefault="00F80890" w:rsidP="007972B0">
            <w:pPr>
              <w:spacing w:after="0" w:line="240" w:lineRule="auto"/>
              <w:rPr>
                <w:rFonts w:ascii="Corbel" w:hAnsi="Corbel"/>
                <w:sz w:val="16"/>
                <w:szCs w:val="16"/>
              </w:rPr>
            </w:pPr>
            <w:r w:rsidRPr="005E3447">
              <w:rPr>
                <w:rFonts w:ascii="Corbel" w:hAnsi="Corbel" w:cs="Arial"/>
                <w:sz w:val="16"/>
                <w:szCs w:val="16"/>
              </w:rPr>
              <w:t>This report has been prepared in accordance with the scope of services described in the contract or agreement between Marsden Jacob Associates Pty Ltd ACN 072 233 204 (MJA) and the Client. Any findings, conclusions or recommendations only apply to the aforementioned circumstances and no greater reliance should be assumed or drawn by the Client. Furthermore, the report has been prepared solely for use by the Client and Marsden Jacob Associates accepts no responsibility for its use by other parties.</w:t>
            </w:r>
          </w:p>
        </w:tc>
      </w:tr>
    </w:tbl>
    <w:p w:rsidR="00F80890" w:rsidRPr="009559F1" w:rsidRDefault="00F80890" w:rsidP="007972B0">
      <w:pPr>
        <w:spacing w:after="0" w:line="240" w:lineRule="auto"/>
        <w:rPr>
          <w:rFonts w:ascii="Constantia" w:hAnsi="Constantia"/>
          <w:sz w:val="20"/>
        </w:rPr>
      </w:pPr>
    </w:p>
    <w:p w:rsidR="00F80890" w:rsidRPr="005E3447" w:rsidRDefault="00F164FF" w:rsidP="00F164FF">
      <w:pPr>
        <w:spacing w:after="0" w:line="240" w:lineRule="auto"/>
        <w:rPr>
          <w:rFonts w:ascii="Corbel" w:hAnsi="Corbel" w:cs="Arial"/>
          <w:sz w:val="16"/>
          <w:szCs w:val="16"/>
        </w:rPr>
      </w:pPr>
      <w:r w:rsidRPr="00F164FF">
        <w:rPr>
          <w:rFonts w:ascii="Corbel" w:hAnsi="Corbel" w:cs="Arial"/>
          <w:sz w:val="16"/>
          <w:szCs w:val="16"/>
        </w:rPr>
        <w:t>C</w:t>
      </w:r>
      <w:r w:rsidR="00F80890" w:rsidRPr="005E3447">
        <w:rPr>
          <w:rFonts w:ascii="Corbel" w:hAnsi="Corbel" w:cs="Arial"/>
          <w:sz w:val="16"/>
          <w:szCs w:val="16"/>
        </w:rPr>
        <w:t>opyright © Marsden Jacob Associates Pty Ltd 201</w:t>
      </w:r>
      <w:r w:rsidR="00D8404E">
        <w:rPr>
          <w:rFonts w:ascii="Corbel" w:hAnsi="Corbel" w:cs="Arial"/>
          <w:sz w:val="16"/>
          <w:szCs w:val="16"/>
        </w:rPr>
        <w:t>7</w:t>
      </w:r>
    </w:p>
    <w:p w:rsidR="000A56D6" w:rsidRDefault="000A56D6" w:rsidP="00F80890">
      <w:pPr>
        <w:rPr>
          <w:rFonts w:ascii="Calibri" w:hAnsi="Calibri" w:cs="Arial"/>
          <w:b/>
          <w:sz w:val="18"/>
        </w:rPr>
      </w:pPr>
    </w:p>
    <w:p w:rsidR="000A56D6" w:rsidRPr="000A56D6" w:rsidRDefault="000A56D6" w:rsidP="000A56D6">
      <w:pPr>
        <w:rPr>
          <w:rFonts w:ascii="Calibri" w:hAnsi="Calibri" w:cs="Arial"/>
          <w:sz w:val="18"/>
        </w:rPr>
      </w:pPr>
    </w:p>
    <w:p w:rsidR="000A56D6" w:rsidRPr="000A56D6" w:rsidRDefault="000A56D6" w:rsidP="000A56D6">
      <w:pPr>
        <w:rPr>
          <w:rFonts w:ascii="Calibri" w:hAnsi="Calibri" w:cs="Arial"/>
          <w:sz w:val="18"/>
        </w:rPr>
      </w:pPr>
    </w:p>
    <w:p w:rsidR="000A56D6" w:rsidRPr="000A56D6" w:rsidRDefault="000A56D6" w:rsidP="000A56D6">
      <w:pPr>
        <w:rPr>
          <w:rFonts w:ascii="Calibri" w:hAnsi="Calibri" w:cs="Arial"/>
          <w:sz w:val="18"/>
        </w:rPr>
      </w:pPr>
    </w:p>
    <w:p w:rsidR="000A56D6" w:rsidRPr="000A56D6" w:rsidRDefault="000A56D6" w:rsidP="000A56D6">
      <w:pPr>
        <w:rPr>
          <w:rFonts w:ascii="Calibri" w:hAnsi="Calibri" w:cs="Arial"/>
          <w:sz w:val="18"/>
        </w:rPr>
      </w:pPr>
    </w:p>
    <w:p w:rsidR="000A56D6" w:rsidRPr="000A56D6" w:rsidRDefault="000A56D6" w:rsidP="000A56D6">
      <w:pPr>
        <w:rPr>
          <w:rFonts w:ascii="Calibri" w:hAnsi="Calibri" w:cs="Arial"/>
          <w:sz w:val="18"/>
        </w:rPr>
      </w:pPr>
    </w:p>
    <w:p w:rsidR="000A56D6" w:rsidRPr="000A56D6" w:rsidRDefault="000A56D6" w:rsidP="000A56D6">
      <w:pPr>
        <w:tabs>
          <w:tab w:val="left" w:pos="1170"/>
        </w:tabs>
        <w:rPr>
          <w:rFonts w:ascii="Calibri" w:hAnsi="Calibri" w:cs="Arial"/>
          <w:sz w:val="18"/>
        </w:rPr>
      </w:pPr>
      <w:r>
        <w:rPr>
          <w:rFonts w:ascii="Calibri" w:hAnsi="Calibri" w:cs="Arial"/>
          <w:sz w:val="18"/>
        </w:rPr>
        <w:tab/>
      </w:r>
    </w:p>
    <w:p w:rsidR="000A56D6" w:rsidRDefault="000A56D6" w:rsidP="000A56D6">
      <w:pPr>
        <w:rPr>
          <w:rFonts w:ascii="Calibri" w:hAnsi="Calibri" w:cs="Arial"/>
          <w:sz w:val="18"/>
        </w:rPr>
      </w:pPr>
    </w:p>
    <w:p w:rsidR="007972B0" w:rsidRPr="000A56D6" w:rsidRDefault="007972B0" w:rsidP="000A56D6">
      <w:pPr>
        <w:rPr>
          <w:rFonts w:ascii="Calibri" w:hAnsi="Calibri" w:cs="Arial"/>
          <w:sz w:val="18"/>
        </w:rPr>
        <w:sectPr w:rsidR="007972B0" w:rsidRPr="000A56D6" w:rsidSect="0002454B">
          <w:pgSz w:w="11906" w:h="16838" w:code="9"/>
          <w:pgMar w:top="1701" w:right="1134" w:bottom="1021" w:left="2268" w:header="680" w:footer="113" w:gutter="0"/>
          <w:cols w:space="708"/>
          <w:docGrid w:linePitch="360"/>
        </w:sectPr>
      </w:pPr>
    </w:p>
    <w:p w:rsidR="00426980" w:rsidRDefault="00426980" w:rsidP="000D4F20"/>
    <w:p w:rsidR="00F80890" w:rsidRPr="00CD4E76" w:rsidRDefault="00F80890" w:rsidP="00426980">
      <w:pPr>
        <w:spacing w:after="120" w:line="240" w:lineRule="auto"/>
        <w:rPr>
          <w:rFonts w:ascii="Arial" w:hAnsi="Arial" w:cs="Arial"/>
          <w:b/>
          <w:smallCaps/>
          <w:sz w:val="18"/>
        </w:rPr>
      </w:pPr>
      <w:r w:rsidRPr="00CD4E76">
        <w:rPr>
          <w:rFonts w:ascii="Corbel" w:hAnsi="Corbel" w:cs="Arial"/>
          <w:b/>
          <w:smallCaps/>
          <w:color w:val="0093D0"/>
          <w:sz w:val="28"/>
          <w:szCs w:val="28"/>
        </w:rPr>
        <w:t>Table of Contents</w:t>
      </w:r>
    </w:p>
    <w:p w:rsidR="00F80890" w:rsidRPr="000E460E" w:rsidRDefault="00F80890" w:rsidP="00F80890">
      <w:pPr>
        <w:ind w:right="283"/>
        <w:jc w:val="right"/>
        <w:rPr>
          <w:rFonts w:ascii="Corbel" w:hAnsi="Corbel" w:cs="Arial"/>
          <w:sz w:val="18"/>
        </w:rPr>
      </w:pPr>
      <w:r w:rsidRPr="000E460E">
        <w:rPr>
          <w:rFonts w:ascii="Corbel" w:hAnsi="Corbel" w:cs="Arial"/>
          <w:sz w:val="18"/>
        </w:rPr>
        <w:t xml:space="preserve">Page </w:t>
      </w:r>
    </w:p>
    <w:p w:rsidR="00211560" w:rsidRDefault="00930EED">
      <w:pPr>
        <w:pStyle w:val="TOC1"/>
        <w:rPr>
          <w:rFonts w:asciiTheme="minorHAnsi" w:eastAsiaTheme="minorEastAsia" w:hAnsiTheme="minorHAnsi" w:cstheme="minorBidi"/>
          <w:b w:val="0"/>
          <w:sz w:val="22"/>
          <w:szCs w:val="22"/>
        </w:rPr>
      </w:pPr>
      <w:r>
        <w:rPr>
          <w:b w:val="0"/>
          <w:sz w:val="18"/>
        </w:rPr>
        <w:fldChar w:fldCharType="begin"/>
      </w:r>
      <w:r w:rsidR="007972B0">
        <w:instrText xml:space="preserve"> TOC \h \z \t "MJA Heading 1,1,MJA Heading 2,2" </w:instrText>
      </w:r>
      <w:r>
        <w:rPr>
          <w:b w:val="0"/>
          <w:sz w:val="18"/>
        </w:rPr>
        <w:fldChar w:fldCharType="separate"/>
      </w:r>
      <w:hyperlink w:anchor="_Toc494892246" w:history="1">
        <w:r w:rsidR="00211560" w:rsidRPr="0014568E">
          <w:rPr>
            <w:rStyle w:val="Hyperlink"/>
          </w:rPr>
          <w:t>1.</w:t>
        </w:r>
        <w:r w:rsidR="00211560">
          <w:rPr>
            <w:rFonts w:asciiTheme="minorHAnsi" w:eastAsiaTheme="minorEastAsia" w:hAnsiTheme="minorHAnsi" w:cstheme="minorBidi"/>
            <w:b w:val="0"/>
            <w:sz w:val="22"/>
            <w:szCs w:val="22"/>
          </w:rPr>
          <w:tab/>
        </w:r>
        <w:r w:rsidR="00211560" w:rsidRPr="0014568E">
          <w:rPr>
            <w:rStyle w:val="Hyperlink"/>
          </w:rPr>
          <w:t>Introduction</w:t>
        </w:r>
        <w:r w:rsidR="00211560">
          <w:rPr>
            <w:webHidden/>
          </w:rPr>
          <w:tab/>
        </w:r>
        <w:r w:rsidR="00211560">
          <w:rPr>
            <w:webHidden/>
          </w:rPr>
          <w:fldChar w:fldCharType="begin"/>
        </w:r>
        <w:r w:rsidR="00211560">
          <w:rPr>
            <w:webHidden/>
          </w:rPr>
          <w:instrText xml:space="preserve"> PAGEREF _Toc494892246 \h </w:instrText>
        </w:r>
        <w:r w:rsidR="00211560">
          <w:rPr>
            <w:webHidden/>
          </w:rPr>
        </w:r>
        <w:r w:rsidR="00211560">
          <w:rPr>
            <w:webHidden/>
          </w:rPr>
          <w:fldChar w:fldCharType="separate"/>
        </w:r>
        <w:r w:rsidR="00211560">
          <w:rPr>
            <w:webHidden/>
          </w:rPr>
          <w:t>1</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47" w:history="1">
        <w:r w:rsidR="00211560" w:rsidRPr="0014568E">
          <w:rPr>
            <w:rStyle w:val="Hyperlink"/>
          </w:rPr>
          <w:t>1.1</w:t>
        </w:r>
        <w:r w:rsidR="00211560">
          <w:rPr>
            <w:rFonts w:asciiTheme="minorHAnsi" w:eastAsiaTheme="minorEastAsia" w:hAnsiTheme="minorHAnsi" w:cstheme="minorBidi"/>
            <w:sz w:val="22"/>
            <w:szCs w:val="22"/>
          </w:rPr>
          <w:tab/>
        </w:r>
        <w:r w:rsidR="00211560" w:rsidRPr="0014568E">
          <w:rPr>
            <w:rStyle w:val="Hyperlink"/>
          </w:rPr>
          <w:t>Background</w:t>
        </w:r>
        <w:r w:rsidR="00211560">
          <w:rPr>
            <w:webHidden/>
          </w:rPr>
          <w:tab/>
        </w:r>
        <w:r w:rsidR="00211560">
          <w:rPr>
            <w:webHidden/>
          </w:rPr>
          <w:fldChar w:fldCharType="begin"/>
        </w:r>
        <w:r w:rsidR="00211560">
          <w:rPr>
            <w:webHidden/>
          </w:rPr>
          <w:instrText xml:space="preserve"> PAGEREF _Toc494892247 \h </w:instrText>
        </w:r>
        <w:r w:rsidR="00211560">
          <w:rPr>
            <w:webHidden/>
          </w:rPr>
        </w:r>
        <w:r w:rsidR="00211560">
          <w:rPr>
            <w:webHidden/>
          </w:rPr>
          <w:fldChar w:fldCharType="separate"/>
        </w:r>
        <w:r w:rsidR="00211560">
          <w:rPr>
            <w:webHidden/>
          </w:rPr>
          <w:t>1</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48" w:history="1">
        <w:r w:rsidR="00211560" w:rsidRPr="0014568E">
          <w:rPr>
            <w:rStyle w:val="Hyperlink"/>
          </w:rPr>
          <w:t>1.2</w:t>
        </w:r>
        <w:r w:rsidR="00211560">
          <w:rPr>
            <w:rFonts w:asciiTheme="minorHAnsi" w:eastAsiaTheme="minorEastAsia" w:hAnsiTheme="minorHAnsi" w:cstheme="minorBidi"/>
            <w:sz w:val="22"/>
            <w:szCs w:val="22"/>
          </w:rPr>
          <w:tab/>
        </w:r>
        <w:r w:rsidR="00211560" w:rsidRPr="0014568E">
          <w:rPr>
            <w:rStyle w:val="Hyperlink"/>
          </w:rPr>
          <w:t>Objective</w:t>
        </w:r>
        <w:r w:rsidR="00211560">
          <w:rPr>
            <w:webHidden/>
          </w:rPr>
          <w:tab/>
        </w:r>
        <w:r w:rsidR="00211560">
          <w:rPr>
            <w:webHidden/>
          </w:rPr>
          <w:fldChar w:fldCharType="begin"/>
        </w:r>
        <w:r w:rsidR="00211560">
          <w:rPr>
            <w:webHidden/>
          </w:rPr>
          <w:instrText xml:space="preserve"> PAGEREF _Toc494892248 \h </w:instrText>
        </w:r>
        <w:r w:rsidR="00211560">
          <w:rPr>
            <w:webHidden/>
          </w:rPr>
        </w:r>
        <w:r w:rsidR="00211560">
          <w:rPr>
            <w:webHidden/>
          </w:rPr>
          <w:fldChar w:fldCharType="separate"/>
        </w:r>
        <w:r w:rsidR="00211560">
          <w:rPr>
            <w:webHidden/>
          </w:rPr>
          <w:t>1</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49" w:history="1">
        <w:r w:rsidR="00211560" w:rsidRPr="0014568E">
          <w:rPr>
            <w:rStyle w:val="Hyperlink"/>
          </w:rPr>
          <w:t>1.3</w:t>
        </w:r>
        <w:r w:rsidR="00211560">
          <w:rPr>
            <w:rFonts w:asciiTheme="minorHAnsi" w:eastAsiaTheme="minorEastAsia" w:hAnsiTheme="minorHAnsi" w:cstheme="minorBidi"/>
            <w:sz w:val="22"/>
            <w:szCs w:val="22"/>
          </w:rPr>
          <w:tab/>
        </w:r>
        <w:r w:rsidR="00211560" w:rsidRPr="0014568E">
          <w:rPr>
            <w:rStyle w:val="Hyperlink"/>
          </w:rPr>
          <w:t>Terms of reference</w:t>
        </w:r>
        <w:r w:rsidR="00211560">
          <w:rPr>
            <w:webHidden/>
          </w:rPr>
          <w:tab/>
        </w:r>
        <w:r w:rsidR="00211560">
          <w:rPr>
            <w:webHidden/>
          </w:rPr>
          <w:fldChar w:fldCharType="begin"/>
        </w:r>
        <w:r w:rsidR="00211560">
          <w:rPr>
            <w:webHidden/>
          </w:rPr>
          <w:instrText xml:space="preserve"> PAGEREF _Toc494892249 \h </w:instrText>
        </w:r>
        <w:r w:rsidR="00211560">
          <w:rPr>
            <w:webHidden/>
          </w:rPr>
        </w:r>
        <w:r w:rsidR="00211560">
          <w:rPr>
            <w:webHidden/>
          </w:rPr>
          <w:fldChar w:fldCharType="separate"/>
        </w:r>
        <w:r w:rsidR="00211560">
          <w:rPr>
            <w:webHidden/>
          </w:rPr>
          <w:t>1</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50" w:history="1">
        <w:r w:rsidR="00211560" w:rsidRPr="0014568E">
          <w:rPr>
            <w:rStyle w:val="Hyperlink"/>
          </w:rPr>
          <w:t>1.4</w:t>
        </w:r>
        <w:r w:rsidR="00211560">
          <w:rPr>
            <w:rFonts w:asciiTheme="minorHAnsi" w:eastAsiaTheme="minorEastAsia" w:hAnsiTheme="minorHAnsi" w:cstheme="minorBidi"/>
            <w:sz w:val="22"/>
            <w:szCs w:val="22"/>
          </w:rPr>
          <w:tab/>
        </w:r>
        <w:r w:rsidR="00211560" w:rsidRPr="0014568E">
          <w:rPr>
            <w:rStyle w:val="Hyperlink"/>
          </w:rPr>
          <w:t>Analytical modules</w:t>
        </w:r>
        <w:r w:rsidR="00211560">
          <w:rPr>
            <w:webHidden/>
          </w:rPr>
          <w:tab/>
        </w:r>
        <w:r w:rsidR="00211560">
          <w:rPr>
            <w:webHidden/>
          </w:rPr>
          <w:fldChar w:fldCharType="begin"/>
        </w:r>
        <w:r w:rsidR="00211560">
          <w:rPr>
            <w:webHidden/>
          </w:rPr>
          <w:instrText xml:space="preserve"> PAGEREF _Toc494892250 \h </w:instrText>
        </w:r>
        <w:r w:rsidR="00211560">
          <w:rPr>
            <w:webHidden/>
          </w:rPr>
        </w:r>
        <w:r w:rsidR="00211560">
          <w:rPr>
            <w:webHidden/>
          </w:rPr>
          <w:fldChar w:fldCharType="separate"/>
        </w:r>
        <w:r w:rsidR="00211560">
          <w:rPr>
            <w:webHidden/>
          </w:rPr>
          <w:t>1</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51" w:history="1">
        <w:r w:rsidR="00211560" w:rsidRPr="0014568E">
          <w:rPr>
            <w:rStyle w:val="Hyperlink"/>
          </w:rPr>
          <w:t>1.5</w:t>
        </w:r>
        <w:r w:rsidR="00211560">
          <w:rPr>
            <w:rFonts w:asciiTheme="minorHAnsi" w:eastAsiaTheme="minorEastAsia" w:hAnsiTheme="minorHAnsi" w:cstheme="minorBidi"/>
            <w:sz w:val="22"/>
            <w:szCs w:val="22"/>
          </w:rPr>
          <w:tab/>
        </w:r>
        <w:r w:rsidR="00211560" w:rsidRPr="0014568E">
          <w:rPr>
            <w:rStyle w:val="Hyperlink"/>
          </w:rPr>
          <w:t>Key tasks</w:t>
        </w:r>
        <w:r w:rsidR="00211560">
          <w:rPr>
            <w:webHidden/>
          </w:rPr>
          <w:tab/>
        </w:r>
        <w:r w:rsidR="00211560">
          <w:rPr>
            <w:webHidden/>
          </w:rPr>
          <w:fldChar w:fldCharType="begin"/>
        </w:r>
        <w:r w:rsidR="00211560">
          <w:rPr>
            <w:webHidden/>
          </w:rPr>
          <w:instrText xml:space="preserve"> PAGEREF _Toc494892251 \h </w:instrText>
        </w:r>
        <w:r w:rsidR="00211560">
          <w:rPr>
            <w:webHidden/>
          </w:rPr>
        </w:r>
        <w:r w:rsidR="00211560">
          <w:rPr>
            <w:webHidden/>
          </w:rPr>
          <w:fldChar w:fldCharType="separate"/>
        </w:r>
        <w:r w:rsidR="00211560">
          <w:rPr>
            <w:webHidden/>
          </w:rPr>
          <w:t>2</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52" w:history="1">
        <w:r w:rsidR="00211560" w:rsidRPr="0014568E">
          <w:rPr>
            <w:rStyle w:val="Hyperlink"/>
          </w:rPr>
          <w:t>1.6</w:t>
        </w:r>
        <w:r w:rsidR="00211560">
          <w:rPr>
            <w:rFonts w:asciiTheme="minorHAnsi" w:eastAsiaTheme="minorEastAsia" w:hAnsiTheme="minorHAnsi" w:cstheme="minorBidi"/>
            <w:sz w:val="22"/>
            <w:szCs w:val="22"/>
          </w:rPr>
          <w:tab/>
        </w:r>
        <w:r w:rsidR="00211560" w:rsidRPr="0014568E">
          <w:rPr>
            <w:rStyle w:val="Hyperlink"/>
          </w:rPr>
          <w:t>Consultation and data assumptions</w:t>
        </w:r>
        <w:r w:rsidR="00211560">
          <w:rPr>
            <w:webHidden/>
          </w:rPr>
          <w:tab/>
        </w:r>
        <w:r w:rsidR="00211560">
          <w:rPr>
            <w:webHidden/>
          </w:rPr>
          <w:fldChar w:fldCharType="begin"/>
        </w:r>
        <w:r w:rsidR="00211560">
          <w:rPr>
            <w:webHidden/>
          </w:rPr>
          <w:instrText xml:space="preserve"> PAGEREF _Toc494892252 \h </w:instrText>
        </w:r>
        <w:r w:rsidR="00211560">
          <w:rPr>
            <w:webHidden/>
          </w:rPr>
        </w:r>
        <w:r w:rsidR="00211560">
          <w:rPr>
            <w:webHidden/>
          </w:rPr>
          <w:fldChar w:fldCharType="separate"/>
        </w:r>
        <w:r w:rsidR="00211560">
          <w:rPr>
            <w:webHidden/>
          </w:rPr>
          <w:t>3</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53" w:history="1">
        <w:r w:rsidR="00211560" w:rsidRPr="0014568E">
          <w:rPr>
            <w:rStyle w:val="Hyperlink"/>
          </w:rPr>
          <w:t>1.7</w:t>
        </w:r>
        <w:r w:rsidR="00211560">
          <w:rPr>
            <w:rFonts w:asciiTheme="minorHAnsi" w:eastAsiaTheme="minorEastAsia" w:hAnsiTheme="minorHAnsi" w:cstheme="minorBidi"/>
            <w:sz w:val="22"/>
            <w:szCs w:val="22"/>
          </w:rPr>
          <w:tab/>
        </w:r>
        <w:r w:rsidR="00211560" w:rsidRPr="0014568E">
          <w:rPr>
            <w:rStyle w:val="Hyperlink"/>
          </w:rPr>
          <w:t>Structure of report</w:t>
        </w:r>
        <w:r w:rsidR="00211560">
          <w:rPr>
            <w:webHidden/>
          </w:rPr>
          <w:tab/>
        </w:r>
        <w:r w:rsidR="00211560">
          <w:rPr>
            <w:webHidden/>
          </w:rPr>
          <w:fldChar w:fldCharType="begin"/>
        </w:r>
        <w:r w:rsidR="00211560">
          <w:rPr>
            <w:webHidden/>
          </w:rPr>
          <w:instrText xml:space="preserve"> PAGEREF _Toc494892253 \h </w:instrText>
        </w:r>
        <w:r w:rsidR="00211560">
          <w:rPr>
            <w:webHidden/>
          </w:rPr>
        </w:r>
        <w:r w:rsidR="00211560">
          <w:rPr>
            <w:webHidden/>
          </w:rPr>
          <w:fldChar w:fldCharType="separate"/>
        </w:r>
        <w:r w:rsidR="00211560">
          <w:rPr>
            <w:webHidden/>
          </w:rPr>
          <w:t>3</w:t>
        </w:r>
        <w:r w:rsidR="00211560">
          <w:rPr>
            <w:webHidden/>
          </w:rPr>
          <w:fldChar w:fldCharType="end"/>
        </w:r>
      </w:hyperlink>
    </w:p>
    <w:p w:rsidR="00211560" w:rsidRDefault="00531B74">
      <w:pPr>
        <w:pStyle w:val="TOC1"/>
        <w:rPr>
          <w:rFonts w:asciiTheme="minorHAnsi" w:eastAsiaTheme="minorEastAsia" w:hAnsiTheme="minorHAnsi" w:cstheme="minorBidi"/>
          <w:b w:val="0"/>
          <w:sz w:val="22"/>
          <w:szCs w:val="22"/>
        </w:rPr>
      </w:pPr>
      <w:hyperlink w:anchor="_Toc494892254" w:history="1">
        <w:r w:rsidR="00211560" w:rsidRPr="0014568E">
          <w:rPr>
            <w:rStyle w:val="Hyperlink"/>
          </w:rPr>
          <w:t>2.</w:t>
        </w:r>
        <w:r w:rsidR="00211560">
          <w:rPr>
            <w:rFonts w:asciiTheme="minorHAnsi" w:eastAsiaTheme="minorEastAsia" w:hAnsiTheme="minorHAnsi" w:cstheme="minorBidi"/>
            <w:b w:val="0"/>
            <w:sz w:val="22"/>
            <w:szCs w:val="22"/>
          </w:rPr>
          <w:tab/>
        </w:r>
        <w:r w:rsidR="00211560" w:rsidRPr="0014568E">
          <w:rPr>
            <w:rStyle w:val="Hyperlink"/>
          </w:rPr>
          <w:t>Geographical area of focus</w:t>
        </w:r>
        <w:r w:rsidR="00211560">
          <w:rPr>
            <w:webHidden/>
          </w:rPr>
          <w:tab/>
        </w:r>
        <w:r w:rsidR="00211560">
          <w:rPr>
            <w:webHidden/>
          </w:rPr>
          <w:fldChar w:fldCharType="begin"/>
        </w:r>
        <w:r w:rsidR="00211560">
          <w:rPr>
            <w:webHidden/>
          </w:rPr>
          <w:instrText xml:space="preserve"> PAGEREF _Toc494892254 \h </w:instrText>
        </w:r>
        <w:r w:rsidR="00211560">
          <w:rPr>
            <w:webHidden/>
          </w:rPr>
        </w:r>
        <w:r w:rsidR="00211560">
          <w:rPr>
            <w:webHidden/>
          </w:rPr>
          <w:fldChar w:fldCharType="separate"/>
        </w:r>
        <w:r w:rsidR="00211560">
          <w:rPr>
            <w:webHidden/>
          </w:rPr>
          <w:t>4</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55" w:history="1">
        <w:r w:rsidR="00211560" w:rsidRPr="0014568E">
          <w:rPr>
            <w:rStyle w:val="Hyperlink"/>
          </w:rPr>
          <w:t>2.1</w:t>
        </w:r>
        <w:r w:rsidR="00211560">
          <w:rPr>
            <w:rFonts w:asciiTheme="minorHAnsi" w:eastAsiaTheme="minorEastAsia" w:hAnsiTheme="minorHAnsi" w:cstheme="minorBidi"/>
            <w:sz w:val="22"/>
            <w:szCs w:val="22"/>
          </w:rPr>
          <w:tab/>
        </w:r>
        <w:r w:rsidR="00211560" w:rsidRPr="0014568E">
          <w:rPr>
            <w:rStyle w:val="Hyperlink"/>
          </w:rPr>
          <w:t>Area included in the study</w:t>
        </w:r>
        <w:r w:rsidR="00211560">
          <w:rPr>
            <w:webHidden/>
          </w:rPr>
          <w:tab/>
        </w:r>
        <w:r w:rsidR="00211560">
          <w:rPr>
            <w:webHidden/>
          </w:rPr>
          <w:fldChar w:fldCharType="begin"/>
        </w:r>
        <w:r w:rsidR="00211560">
          <w:rPr>
            <w:webHidden/>
          </w:rPr>
          <w:instrText xml:space="preserve"> PAGEREF _Toc494892255 \h </w:instrText>
        </w:r>
        <w:r w:rsidR="00211560">
          <w:rPr>
            <w:webHidden/>
          </w:rPr>
        </w:r>
        <w:r w:rsidR="00211560">
          <w:rPr>
            <w:webHidden/>
          </w:rPr>
          <w:fldChar w:fldCharType="separate"/>
        </w:r>
        <w:r w:rsidR="00211560">
          <w:rPr>
            <w:webHidden/>
          </w:rPr>
          <w:t>4</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56" w:history="1">
        <w:r w:rsidR="00211560" w:rsidRPr="0014568E">
          <w:rPr>
            <w:rStyle w:val="Hyperlink"/>
          </w:rPr>
          <w:t>2.2</w:t>
        </w:r>
        <w:r w:rsidR="00211560">
          <w:rPr>
            <w:rFonts w:asciiTheme="minorHAnsi" w:eastAsiaTheme="minorEastAsia" w:hAnsiTheme="minorHAnsi" w:cstheme="minorBidi"/>
            <w:sz w:val="22"/>
            <w:szCs w:val="22"/>
          </w:rPr>
          <w:tab/>
        </w:r>
        <w:r w:rsidR="00211560" w:rsidRPr="0014568E">
          <w:rPr>
            <w:rStyle w:val="Hyperlink"/>
          </w:rPr>
          <w:t>Relative size of the economy</w:t>
        </w:r>
        <w:r w:rsidR="00211560">
          <w:rPr>
            <w:webHidden/>
          </w:rPr>
          <w:tab/>
        </w:r>
        <w:r w:rsidR="00211560">
          <w:rPr>
            <w:webHidden/>
          </w:rPr>
          <w:fldChar w:fldCharType="begin"/>
        </w:r>
        <w:r w:rsidR="00211560">
          <w:rPr>
            <w:webHidden/>
          </w:rPr>
          <w:instrText xml:space="preserve"> PAGEREF _Toc494892256 \h </w:instrText>
        </w:r>
        <w:r w:rsidR="00211560">
          <w:rPr>
            <w:webHidden/>
          </w:rPr>
        </w:r>
        <w:r w:rsidR="00211560">
          <w:rPr>
            <w:webHidden/>
          </w:rPr>
          <w:fldChar w:fldCharType="separate"/>
        </w:r>
        <w:r w:rsidR="00211560">
          <w:rPr>
            <w:webHidden/>
          </w:rPr>
          <w:t>5</w:t>
        </w:r>
        <w:r w:rsidR="00211560">
          <w:rPr>
            <w:webHidden/>
          </w:rPr>
          <w:fldChar w:fldCharType="end"/>
        </w:r>
      </w:hyperlink>
    </w:p>
    <w:p w:rsidR="00211560" w:rsidRDefault="00531B74">
      <w:pPr>
        <w:pStyle w:val="TOC1"/>
        <w:rPr>
          <w:rFonts w:asciiTheme="minorHAnsi" w:eastAsiaTheme="minorEastAsia" w:hAnsiTheme="minorHAnsi" w:cstheme="minorBidi"/>
          <w:b w:val="0"/>
          <w:sz w:val="22"/>
          <w:szCs w:val="22"/>
        </w:rPr>
      </w:pPr>
      <w:hyperlink w:anchor="_Toc494892257" w:history="1">
        <w:r w:rsidR="00211560" w:rsidRPr="0014568E">
          <w:rPr>
            <w:rStyle w:val="Hyperlink"/>
          </w:rPr>
          <w:t>3.</w:t>
        </w:r>
        <w:r w:rsidR="00211560">
          <w:rPr>
            <w:rFonts w:asciiTheme="minorHAnsi" w:eastAsiaTheme="minorEastAsia" w:hAnsiTheme="minorHAnsi" w:cstheme="minorBidi"/>
            <w:b w:val="0"/>
            <w:sz w:val="22"/>
            <w:szCs w:val="22"/>
          </w:rPr>
          <w:tab/>
        </w:r>
        <w:r w:rsidR="00211560" w:rsidRPr="0014568E">
          <w:rPr>
            <w:rStyle w:val="Hyperlink"/>
          </w:rPr>
          <w:t>Australian Government infrastructure programs</w:t>
        </w:r>
        <w:r w:rsidR="00211560">
          <w:rPr>
            <w:webHidden/>
          </w:rPr>
          <w:tab/>
        </w:r>
        <w:r w:rsidR="00211560">
          <w:rPr>
            <w:webHidden/>
          </w:rPr>
          <w:fldChar w:fldCharType="begin"/>
        </w:r>
        <w:r w:rsidR="00211560">
          <w:rPr>
            <w:webHidden/>
          </w:rPr>
          <w:instrText xml:space="preserve"> PAGEREF _Toc494892257 \h </w:instrText>
        </w:r>
        <w:r w:rsidR="00211560">
          <w:rPr>
            <w:webHidden/>
          </w:rPr>
        </w:r>
        <w:r w:rsidR="00211560">
          <w:rPr>
            <w:webHidden/>
          </w:rPr>
          <w:fldChar w:fldCharType="separate"/>
        </w:r>
        <w:r w:rsidR="00211560">
          <w:rPr>
            <w:webHidden/>
          </w:rPr>
          <w:t>6</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58" w:history="1">
        <w:r w:rsidR="00211560" w:rsidRPr="0014568E">
          <w:rPr>
            <w:rStyle w:val="Hyperlink"/>
          </w:rPr>
          <w:t>3.1</w:t>
        </w:r>
        <w:r w:rsidR="00211560">
          <w:rPr>
            <w:rFonts w:asciiTheme="minorHAnsi" w:eastAsiaTheme="minorEastAsia" w:hAnsiTheme="minorHAnsi" w:cstheme="minorBidi"/>
            <w:sz w:val="22"/>
            <w:szCs w:val="22"/>
          </w:rPr>
          <w:tab/>
        </w:r>
        <w:r w:rsidR="00211560" w:rsidRPr="0014568E">
          <w:rPr>
            <w:rStyle w:val="Hyperlink"/>
          </w:rPr>
          <w:t>PIIOP</w:t>
        </w:r>
        <w:r w:rsidR="00211560">
          <w:rPr>
            <w:webHidden/>
          </w:rPr>
          <w:tab/>
        </w:r>
        <w:r w:rsidR="00211560">
          <w:rPr>
            <w:webHidden/>
          </w:rPr>
          <w:fldChar w:fldCharType="begin"/>
        </w:r>
        <w:r w:rsidR="00211560">
          <w:rPr>
            <w:webHidden/>
          </w:rPr>
          <w:instrText xml:space="preserve"> PAGEREF _Toc494892258 \h </w:instrText>
        </w:r>
        <w:r w:rsidR="00211560">
          <w:rPr>
            <w:webHidden/>
          </w:rPr>
        </w:r>
        <w:r w:rsidR="00211560">
          <w:rPr>
            <w:webHidden/>
          </w:rPr>
          <w:fldChar w:fldCharType="separate"/>
        </w:r>
        <w:r w:rsidR="00211560">
          <w:rPr>
            <w:webHidden/>
          </w:rPr>
          <w:t>7</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59" w:history="1">
        <w:r w:rsidR="00211560" w:rsidRPr="0014568E">
          <w:rPr>
            <w:rStyle w:val="Hyperlink"/>
          </w:rPr>
          <w:t>3.2</w:t>
        </w:r>
        <w:r w:rsidR="00211560">
          <w:rPr>
            <w:rFonts w:asciiTheme="minorHAnsi" w:eastAsiaTheme="minorEastAsia" w:hAnsiTheme="minorHAnsi" w:cstheme="minorBidi"/>
            <w:sz w:val="22"/>
            <w:szCs w:val="22"/>
          </w:rPr>
          <w:tab/>
        </w:r>
        <w:r w:rsidR="00211560" w:rsidRPr="0014568E">
          <w:rPr>
            <w:rStyle w:val="Hyperlink"/>
          </w:rPr>
          <w:t>OFIEP</w:t>
        </w:r>
        <w:r w:rsidR="00211560">
          <w:rPr>
            <w:webHidden/>
          </w:rPr>
          <w:tab/>
        </w:r>
        <w:r w:rsidR="00211560">
          <w:rPr>
            <w:webHidden/>
          </w:rPr>
          <w:fldChar w:fldCharType="begin"/>
        </w:r>
        <w:r w:rsidR="00211560">
          <w:rPr>
            <w:webHidden/>
          </w:rPr>
          <w:instrText xml:space="preserve"> PAGEREF _Toc494892259 \h </w:instrText>
        </w:r>
        <w:r w:rsidR="00211560">
          <w:rPr>
            <w:webHidden/>
          </w:rPr>
        </w:r>
        <w:r w:rsidR="00211560">
          <w:rPr>
            <w:webHidden/>
          </w:rPr>
          <w:fldChar w:fldCharType="separate"/>
        </w:r>
        <w:r w:rsidR="00211560">
          <w:rPr>
            <w:webHidden/>
          </w:rPr>
          <w:t>8</w:t>
        </w:r>
        <w:r w:rsidR="00211560">
          <w:rPr>
            <w:webHidden/>
          </w:rPr>
          <w:fldChar w:fldCharType="end"/>
        </w:r>
      </w:hyperlink>
    </w:p>
    <w:p w:rsidR="00211560" w:rsidRDefault="00531B74">
      <w:pPr>
        <w:pStyle w:val="TOC1"/>
        <w:rPr>
          <w:rFonts w:asciiTheme="minorHAnsi" w:eastAsiaTheme="minorEastAsia" w:hAnsiTheme="minorHAnsi" w:cstheme="minorBidi"/>
          <w:b w:val="0"/>
          <w:sz w:val="22"/>
          <w:szCs w:val="22"/>
        </w:rPr>
      </w:pPr>
      <w:hyperlink w:anchor="_Toc494892260" w:history="1">
        <w:r w:rsidR="00211560" w:rsidRPr="0014568E">
          <w:rPr>
            <w:rStyle w:val="Hyperlink"/>
          </w:rPr>
          <w:t>4.</w:t>
        </w:r>
        <w:r w:rsidR="00211560">
          <w:rPr>
            <w:rFonts w:asciiTheme="minorHAnsi" w:eastAsiaTheme="minorEastAsia" w:hAnsiTheme="minorHAnsi" w:cstheme="minorBidi"/>
            <w:b w:val="0"/>
            <w:sz w:val="22"/>
            <w:szCs w:val="22"/>
          </w:rPr>
          <w:tab/>
        </w:r>
        <w:r w:rsidR="00211560" w:rsidRPr="0014568E">
          <w:rPr>
            <w:rStyle w:val="Hyperlink"/>
          </w:rPr>
          <w:t>Value added and goods and services</w:t>
        </w:r>
        <w:r w:rsidR="00211560">
          <w:rPr>
            <w:webHidden/>
          </w:rPr>
          <w:tab/>
        </w:r>
        <w:r w:rsidR="00211560">
          <w:rPr>
            <w:webHidden/>
          </w:rPr>
          <w:fldChar w:fldCharType="begin"/>
        </w:r>
        <w:r w:rsidR="00211560">
          <w:rPr>
            <w:webHidden/>
          </w:rPr>
          <w:instrText xml:space="preserve"> PAGEREF _Toc494892260 \h </w:instrText>
        </w:r>
        <w:r w:rsidR="00211560">
          <w:rPr>
            <w:webHidden/>
          </w:rPr>
        </w:r>
        <w:r w:rsidR="00211560">
          <w:rPr>
            <w:webHidden/>
          </w:rPr>
          <w:fldChar w:fldCharType="separate"/>
        </w:r>
        <w:r w:rsidR="00211560">
          <w:rPr>
            <w:webHidden/>
          </w:rPr>
          <w:t>10</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61" w:history="1">
        <w:r w:rsidR="00211560" w:rsidRPr="0014568E">
          <w:rPr>
            <w:rStyle w:val="Hyperlink"/>
          </w:rPr>
          <w:t>4.1</w:t>
        </w:r>
        <w:r w:rsidR="00211560">
          <w:rPr>
            <w:rFonts w:asciiTheme="minorHAnsi" w:eastAsiaTheme="minorEastAsia" w:hAnsiTheme="minorHAnsi" w:cstheme="minorBidi"/>
            <w:sz w:val="22"/>
            <w:szCs w:val="22"/>
          </w:rPr>
          <w:tab/>
        </w:r>
        <w:r w:rsidR="00211560" w:rsidRPr="0014568E">
          <w:rPr>
            <w:rStyle w:val="Hyperlink"/>
          </w:rPr>
          <w:t>General model of local value added</w:t>
        </w:r>
        <w:r w:rsidR="00211560">
          <w:rPr>
            <w:webHidden/>
          </w:rPr>
          <w:tab/>
        </w:r>
        <w:r w:rsidR="00211560">
          <w:rPr>
            <w:webHidden/>
          </w:rPr>
          <w:fldChar w:fldCharType="begin"/>
        </w:r>
        <w:r w:rsidR="00211560">
          <w:rPr>
            <w:webHidden/>
          </w:rPr>
          <w:instrText xml:space="preserve"> PAGEREF _Toc494892261 \h </w:instrText>
        </w:r>
        <w:r w:rsidR="00211560">
          <w:rPr>
            <w:webHidden/>
          </w:rPr>
        </w:r>
        <w:r w:rsidR="00211560">
          <w:rPr>
            <w:webHidden/>
          </w:rPr>
          <w:fldChar w:fldCharType="separate"/>
        </w:r>
        <w:r w:rsidR="00211560">
          <w:rPr>
            <w:webHidden/>
          </w:rPr>
          <w:t>10</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62" w:history="1">
        <w:r w:rsidR="00211560" w:rsidRPr="0014568E">
          <w:rPr>
            <w:rStyle w:val="Hyperlink"/>
          </w:rPr>
          <w:t>4.2</w:t>
        </w:r>
        <w:r w:rsidR="00211560">
          <w:rPr>
            <w:rFonts w:asciiTheme="minorHAnsi" w:eastAsiaTheme="minorEastAsia" w:hAnsiTheme="minorHAnsi" w:cstheme="minorBidi"/>
            <w:sz w:val="22"/>
            <w:szCs w:val="22"/>
          </w:rPr>
          <w:tab/>
        </w:r>
        <w:r w:rsidR="00211560" w:rsidRPr="0014568E">
          <w:rPr>
            <w:rStyle w:val="Hyperlink"/>
          </w:rPr>
          <w:t>Static approach</w:t>
        </w:r>
        <w:r w:rsidR="00211560">
          <w:rPr>
            <w:webHidden/>
          </w:rPr>
          <w:tab/>
        </w:r>
        <w:r w:rsidR="00211560">
          <w:rPr>
            <w:webHidden/>
          </w:rPr>
          <w:fldChar w:fldCharType="begin"/>
        </w:r>
        <w:r w:rsidR="00211560">
          <w:rPr>
            <w:webHidden/>
          </w:rPr>
          <w:instrText xml:space="preserve"> PAGEREF _Toc494892262 \h </w:instrText>
        </w:r>
        <w:r w:rsidR="00211560">
          <w:rPr>
            <w:webHidden/>
          </w:rPr>
        </w:r>
        <w:r w:rsidR="00211560">
          <w:rPr>
            <w:webHidden/>
          </w:rPr>
          <w:fldChar w:fldCharType="separate"/>
        </w:r>
        <w:r w:rsidR="00211560">
          <w:rPr>
            <w:webHidden/>
          </w:rPr>
          <w:t>10</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63" w:history="1">
        <w:r w:rsidR="00211560" w:rsidRPr="0014568E">
          <w:rPr>
            <w:rStyle w:val="Hyperlink"/>
          </w:rPr>
          <w:t>4.3</w:t>
        </w:r>
        <w:r w:rsidR="00211560">
          <w:rPr>
            <w:rFonts w:asciiTheme="minorHAnsi" w:eastAsiaTheme="minorEastAsia" w:hAnsiTheme="minorHAnsi" w:cstheme="minorBidi"/>
            <w:sz w:val="22"/>
            <w:szCs w:val="22"/>
          </w:rPr>
          <w:tab/>
        </w:r>
        <w:r w:rsidR="00211560" w:rsidRPr="0014568E">
          <w:rPr>
            <w:rStyle w:val="Hyperlink"/>
          </w:rPr>
          <w:t>Dynamic approach</w:t>
        </w:r>
        <w:r w:rsidR="00211560">
          <w:rPr>
            <w:webHidden/>
          </w:rPr>
          <w:tab/>
        </w:r>
        <w:r w:rsidR="00211560">
          <w:rPr>
            <w:webHidden/>
          </w:rPr>
          <w:fldChar w:fldCharType="begin"/>
        </w:r>
        <w:r w:rsidR="00211560">
          <w:rPr>
            <w:webHidden/>
          </w:rPr>
          <w:instrText xml:space="preserve"> PAGEREF _Toc494892263 \h </w:instrText>
        </w:r>
        <w:r w:rsidR="00211560">
          <w:rPr>
            <w:webHidden/>
          </w:rPr>
        </w:r>
        <w:r w:rsidR="00211560">
          <w:rPr>
            <w:webHidden/>
          </w:rPr>
          <w:fldChar w:fldCharType="separate"/>
        </w:r>
        <w:r w:rsidR="00211560">
          <w:rPr>
            <w:webHidden/>
          </w:rPr>
          <w:t>16</w:t>
        </w:r>
        <w:r w:rsidR="00211560">
          <w:rPr>
            <w:webHidden/>
          </w:rPr>
          <w:fldChar w:fldCharType="end"/>
        </w:r>
      </w:hyperlink>
    </w:p>
    <w:p w:rsidR="00211560" w:rsidRDefault="00531B74">
      <w:pPr>
        <w:pStyle w:val="TOC1"/>
        <w:rPr>
          <w:rFonts w:asciiTheme="minorHAnsi" w:eastAsiaTheme="minorEastAsia" w:hAnsiTheme="minorHAnsi" w:cstheme="minorBidi"/>
          <w:b w:val="0"/>
          <w:sz w:val="22"/>
          <w:szCs w:val="22"/>
        </w:rPr>
      </w:pPr>
      <w:hyperlink w:anchor="_Toc494892264" w:history="1">
        <w:r w:rsidR="00211560" w:rsidRPr="0014568E">
          <w:rPr>
            <w:rStyle w:val="Hyperlink"/>
          </w:rPr>
          <w:t>5.</w:t>
        </w:r>
        <w:r w:rsidR="00211560">
          <w:rPr>
            <w:rFonts w:asciiTheme="minorHAnsi" w:eastAsiaTheme="minorEastAsia" w:hAnsiTheme="minorHAnsi" w:cstheme="minorBidi"/>
            <w:b w:val="0"/>
            <w:sz w:val="22"/>
            <w:szCs w:val="22"/>
          </w:rPr>
          <w:tab/>
        </w:r>
        <w:r w:rsidR="00211560" w:rsidRPr="0014568E">
          <w:rPr>
            <w:rStyle w:val="Hyperlink"/>
          </w:rPr>
          <w:t>Static approach – local value added</w:t>
        </w:r>
        <w:r w:rsidR="00211560">
          <w:rPr>
            <w:webHidden/>
          </w:rPr>
          <w:tab/>
        </w:r>
        <w:r w:rsidR="00211560">
          <w:rPr>
            <w:webHidden/>
          </w:rPr>
          <w:fldChar w:fldCharType="begin"/>
        </w:r>
        <w:r w:rsidR="00211560">
          <w:rPr>
            <w:webHidden/>
          </w:rPr>
          <w:instrText xml:space="preserve"> PAGEREF _Toc494892264 \h </w:instrText>
        </w:r>
        <w:r w:rsidR="00211560">
          <w:rPr>
            <w:webHidden/>
          </w:rPr>
        </w:r>
        <w:r w:rsidR="00211560">
          <w:rPr>
            <w:webHidden/>
          </w:rPr>
          <w:fldChar w:fldCharType="separate"/>
        </w:r>
        <w:r w:rsidR="00211560">
          <w:rPr>
            <w:webHidden/>
          </w:rPr>
          <w:t>17</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65" w:history="1">
        <w:r w:rsidR="00211560" w:rsidRPr="0014568E">
          <w:rPr>
            <w:rStyle w:val="Hyperlink"/>
          </w:rPr>
          <w:t>5.1</w:t>
        </w:r>
        <w:r w:rsidR="00211560">
          <w:rPr>
            <w:rFonts w:asciiTheme="minorHAnsi" w:eastAsiaTheme="minorEastAsia" w:hAnsiTheme="minorHAnsi" w:cstheme="minorBidi"/>
            <w:sz w:val="22"/>
            <w:szCs w:val="22"/>
          </w:rPr>
          <w:tab/>
        </w:r>
        <w:r w:rsidR="00211560" w:rsidRPr="0014568E">
          <w:rPr>
            <w:rStyle w:val="Hyperlink"/>
          </w:rPr>
          <w:t>Key Findings</w:t>
        </w:r>
        <w:r w:rsidR="00211560">
          <w:rPr>
            <w:webHidden/>
          </w:rPr>
          <w:tab/>
        </w:r>
        <w:r w:rsidR="00211560">
          <w:rPr>
            <w:webHidden/>
          </w:rPr>
          <w:fldChar w:fldCharType="begin"/>
        </w:r>
        <w:r w:rsidR="00211560">
          <w:rPr>
            <w:webHidden/>
          </w:rPr>
          <w:instrText xml:space="preserve"> PAGEREF _Toc494892265 \h </w:instrText>
        </w:r>
        <w:r w:rsidR="00211560">
          <w:rPr>
            <w:webHidden/>
          </w:rPr>
        </w:r>
        <w:r w:rsidR="00211560">
          <w:rPr>
            <w:webHidden/>
          </w:rPr>
          <w:fldChar w:fldCharType="separate"/>
        </w:r>
        <w:r w:rsidR="00211560">
          <w:rPr>
            <w:webHidden/>
          </w:rPr>
          <w:t>17</w:t>
        </w:r>
        <w:r w:rsidR="00211560">
          <w:rPr>
            <w:webHidden/>
          </w:rPr>
          <w:fldChar w:fldCharType="end"/>
        </w:r>
      </w:hyperlink>
    </w:p>
    <w:p w:rsidR="00211560" w:rsidRDefault="00531B74">
      <w:pPr>
        <w:pStyle w:val="TOC1"/>
        <w:rPr>
          <w:rFonts w:asciiTheme="minorHAnsi" w:eastAsiaTheme="minorEastAsia" w:hAnsiTheme="minorHAnsi" w:cstheme="minorBidi"/>
          <w:b w:val="0"/>
          <w:sz w:val="22"/>
          <w:szCs w:val="22"/>
        </w:rPr>
      </w:pPr>
      <w:hyperlink w:anchor="_Toc494892266" w:history="1">
        <w:r w:rsidR="00211560" w:rsidRPr="0014568E">
          <w:rPr>
            <w:rStyle w:val="Hyperlink"/>
          </w:rPr>
          <w:t>6.</w:t>
        </w:r>
        <w:r w:rsidR="00211560">
          <w:rPr>
            <w:rFonts w:asciiTheme="minorHAnsi" w:eastAsiaTheme="minorEastAsia" w:hAnsiTheme="minorHAnsi" w:cstheme="minorBidi"/>
            <w:b w:val="0"/>
            <w:sz w:val="22"/>
            <w:szCs w:val="22"/>
          </w:rPr>
          <w:tab/>
        </w:r>
        <w:r w:rsidR="00211560" w:rsidRPr="0014568E">
          <w:rPr>
            <w:rStyle w:val="Hyperlink"/>
          </w:rPr>
          <w:t>Productivity benefits</w:t>
        </w:r>
        <w:r w:rsidR="00211560">
          <w:rPr>
            <w:webHidden/>
          </w:rPr>
          <w:tab/>
        </w:r>
        <w:r w:rsidR="00211560">
          <w:rPr>
            <w:webHidden/>
          </w:rPr>
          <w:fldChar w:fldCharType="begin"/>
        </w:r>
        <w:r w:rsidR="00211560">
          <w:rPr>
            <w:webHidden/>
          </w:rPr>
          <w:instrText xml:space="preserve"> PAGEREF _Toc494892266 \h </w:instrText>
        </w:r>
        <w:r w:rsidR="00211560">
          <w:rPr>
            <w:webHidden/>
          </w:rPr>
        </w:r>
        <w:r w:rsidR="00211560">
          <w:rPr>
            <w:webHidden/>
          </w:rPr>
          <w:fldChar w:fldCharType="separate"/>
        </w:r>
        <w:r w:rsidR="00211560">
          <w:rPr>
            <w:webHidden/>
          </w:rPr>
          <w:t>19</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67" w:history="1">
        <w:r w:rsidR="00211560" w:rsidRPr="0014568E">
          <w:rPr>
            <w:rStyle w:val="Hyperlink"/>
          </w:rPr>
          <w:t>6.1</w:t>
        </w:r>
        <w:r w:rsidR="00211560">
          <w:rPr>
            <w:rFonts w:asciiTheme="minorHAnsi" w:eastAsiaTheme="minorEastAsia" w:hAnsiTheme="minorHAnsi" w:cstheme="minorBidi"/>
            <w:sz w:val="22"/>
            <w:szCs w:val="22"/>
          </w:rPr>
          <w:tab/>
        </w:r>
        <w:r w:rsidR="00211560" w:rsidRPr="0014568E">
          <w:rPr>
            <w:rStyle w:val="Hyperlink"/>
          </w:rPr>
          <w:t>Key Findings</w:t>
        </w:r>
        <w:r w:rsidR="00211560">
          <w:rPr>
            <w:webHidden/>
          </w:rPr>
          <w:tab/>
        </w:r>
        <w:r w:rsidR="00211560">
          <w:rPr>
            <w:webHidden/>
          </w:rPr>
          <w:fldChar w:fldCharType="begin"/>
        </w:r>
        <w:r w:rsidR="00211560">
          <w:rPr>
            <w:webHidden/>
          </w:rPr>
          <w:instrText xml:space="preserve"> PAGEREF _Toc494892267 \h </w:instrText>
        </w:r>
        <w:r w:rsidR="00211560">
          <w:rPr>
            <w:webHidden/>
          </w:rPr>
        </w:r>
        <w:r w:rsidR="00211560">
          <w:rPr>
            <w:webHidden/>
          </w:rPr>
          <w:fldChar w:fldCharType="separate"/>
        </w:r>
        <w:r w:rsidR="00211560">
          <w:rPr>
            <w:webHidden/>
          </w:rPr>
          <w:t>19</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68" w:history="1">
        <w:r w:rsidR="00211560" w:rsidRPr="0014568E">
          <w:rPr>
            <w:rStyle w:val="Hyperlink"/>
          </w:rPr>
          <w:t>6.2</w:t>
        </w:r>
        <w:r w:rsidR="00211560">
          <w:rPr>
            <w:rFonts w:asciiTheme="minorHAnsi" w:eastAsiaTheme="minorEastAsia" w:hAnsiTheme="minorHAnsi" w:cstheme="minorBidi"/>
            <w:sz w:val="22"/>
            <w:szCs w:val="22"/>
          </w:rPr>
          <w:tab/>
        </w:r>
        <w:r w:rsidR="00211560" w:rsidRPr="0014568E">
          <w:rPr>
            <w:rStyle w:val="Hyperlink"/>
          </w:rPr>
          <w:t>Approach</w:t>
        </w:r>
        <w:r w:rsidR="00211560">
          <w:rPr>
            <w:webHidden/>
          </w:rPr>
          <w:tab/>
        </w:r>
        <w:r w:rsidR="00211560">
          <w:rPr>
            <w:webHidden/>
          </w:rPr>
          <w:fldChar w:fldCharType="begin"/>
        </w:r>
        <w:r w:rsidR="00211560">
          <w:rPr>
            <w:webHidden/>
          </w:rPr>
          <w:instrText xml:space="preserve"> PAGEREF _Toc494892268 \h </w:instrText>
        </w:r>
        <w:r w:rsidR="00211560">
          <w:rPr>
            <w:webHidden/>
          </w:rPr>
        </w:r>
        <w:r w:rsidR="00211560">
          <w:rPr>
            <w:webHidden/>
          </w:rPr>
          <w:fldChar w:fldCharType="separate"/>
        </w:r>
        <w:r w:rsidR="00211560">
          <w:rPr>
            <w:webHidden/>
          </w:rPr>
          <w:t>19</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69" w:history="1">
        <w:r w:rsidR="00211560" w:rsidRPr="0014568E">
          <w:rPr>
            <w:rStyle w:val="Hyperlink"/>
          </w:rPr>
          <w:t>6.3</w:t>
        </w:r>
        <w:r w:rsidR="00211560">
          <w:rPr>
            <w:rFonts w:asciiTheme="minorHAnsi" w:eastAsiaTheme="minorEastAsia" w:hAnsiTheme="minorHAnsi" w:cstheme="minorBidi"/>
            <w:sz w:val="22"/>
            <w:szCs w:val="22"/>
          </w:rPr>
          <w:tab/>
        </w:r>
        <w:r w:rsidR="00211560" w:rsidRPr="0014568E">
          <w:rPr>
            <w:rStyle w:val="Hyperlink"/>
          </w:rPr>
          <w:t>Source of productivity change</w:t>
        </w:r>
        <w:r w:rsidR="00211560">
          <w:rPr>
            <w:webHidden/>
          </w:rPr>
          <w:tab/>
        </w:r>
        <w:r w:rsidR="00211560">
          <w:rPr>
            <w:webHidden/>
          </w:rPr>
          <w:fldChar w:fldCharType="begin"/>
        </w:r>
        <w:r w:rsidR="00211560">
          <w:rPr>
            <w:webHidden/>
          </w:rPr>
          <w:instrText xml:space="preserve"> PAGEREF _Toc494892269 \h </w:instrText>
        </w:r>
        <w:r w:rsidR="00211560">
          <w:rPr>
            <w:webHidden/>
          </w:rPr>
        </w:r>
        <w:r w:rsidR="00211560">
          <w:rPr>
            <w:webHidden/>
          </w:rPr>
          <w:fldChar w:fldCharType="separate"/>
        </w:r>
        <w:r w:rsidR="00211560">
          <w:rPr>
            <w:webHidden/>
          </w:rPr>
          <w:t>19</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70" w:history="1">
        <w:r w:rsidR="00211560" w:rsidRPr="0014568E">
          <w:rPr>
            <w:rStyle w:val="Hyperlink"/>
          </w:rPr>
          <w:t>6.4</w:t>
        </w:r>
        <w:r w:rsidR="00211560">
          <w:rPr>
            <w:rFonts w:asciiTheme="minorHAnsi" w:eastAsiaTheme="minorEastAsia" w:hAnsiTheme="minorHAnsi" w:cstheme="minorBidi"/>
            <w:sz w:val="22"/>
            <w:szCs w:val="22"/>
          </w:rPr>
          <w:tab/>
        </w:r>
        <w:r w:rsidR="00211560" w:rsidRPr="0014568E">
          <w:rPr>
            <w:rStyle w:val="Hyperlink"/>
          </w:rPr>
          <w:t>Measuring economic effects of OFIEP and PIIOP</w:t>
        </w:r>
        <w:r w:rsidR="00211560">
          <w:rPr>
            <w:webHidden/>
          </w:rPr>
          <w:tab/>
        </w:r>
        <w:r w:rsidR="00211560">
          <w:rPr>
            <w:webHidden/>
          </w:rPr>
          <w:fldChar w:fldCharType="begin"/>
        </w:r>
        <w:r w:rsidR="00211560">
          <w:rPr>
            <w:webHidden/>
          </w:rPr>
          <w:instrText xml:space="preserve"> PAGEREF _Toc494892270 \h </w:instrText>
        </w:r>
        <w:r w:rsidR="00211560">
          <w:rPr>
            <w:webHidden/>
          </w:rPr>
        </w:r>
        <w:r w:rsidR="00211560">
          <w:rPr>
            <w:webHidden/>
          </w:rPr>
          <w:fldChar w:fldCharType="separate"/>
        </w:r>
        <w:r w:rsidR="00211560">
          <w:rPr>
            <w:webHidden/>
          </w:rPr>
          <w:t>24</w:t>
        </w:r>
        <w:r w:rsidR="00211560">
          <w:rPr>
            <w:webHidden/>
          </w:rPr>
          <w:fldChar w:fldCharType="end"/>
        </w:r>
      </w:hyperlink>
    </w:p>
    <w:p w:rsidR="00211560" w:rsidRDefault="00531B74">
      <w:pPr>
        <w:pStyle w:val="TOC1"/>
        <w:rPr>
          <w:rFonts w:asciiTheme="minorHAnsi" w:eastAsiaTheme="minorEastAsia" w:hAnsiTheme="minorHAnsi" w:cstheme="minorBidi"/>
          <w:b w:val="0"/>
          <w:sz w:val="22"/>
          <w:szCs w:val="22"/>
        </w:rPr>
      </w:pPr>
      <w:hyperlink w:anchor="_Toc494892271" w:history="1">
        <w:r w:rsidR="00211560" w:rsidRPr="0014568E">
          <w:rPr>
            <w:rStyle w:val="Hyperlink"/>
          </w:rPr>
          <w:t>7.</w:t>
        </w:r>
        <w:r w:rsidR="00211560">
          <w:rPr>
            <w:rFonts w:asciiTheme="minorHAnsi" w:eastAsiaTheme="minorEastAsia" w:hAnsiTheme="minorHAnsi" w:cstheme="minorBidi"/>
            <w:b w:val="0"/>
            <w:sz w:val="22"/>
            <w:szCs w:val="22"/>
          </w:rPr>
          <w:tab/>
        </w:r>
        <w:r w:rsidR="00211560" w:rsidRPr="0014568E">
          <w:rPr>
            <w:rStyle w:val="Hyperlink"/>
          </w:rPr>
          <w:t>Effects of water buy back</w:t>
        </w:r>
        <w:r w:rsidR="00211560">
          <w:rPr>
            <w:webHidden/>
          </w:rPr>
          <w:tab/>
        </w:r>
        <w:r w:rsidR="00211560">
          <w:rPr>
            <w:webHidden/>
          </w:rPr>
          <w:fldChar w:fldCharType="begin"/>
        </w:r>
        <w:r w:rsidR="00211560">
          <w:rPr>
            <w:webHidden/>
          </w:rPr>
          <w:instrText xml:space="preserve"> PAGEREF _Toc494892271 \h </w:instrText>
        </w:r>
        <w:r w:rsidR="00211560">
          <w:rPr>
            <w:webHidden/>
          </w:rPr>
        </w:r>
        <w:r w:rsidR="00211560">
          <w:rPr>
            <w:webHidden/>
          </w:rPr>
          <w:fldChar w:fldCharType="separate"/>
        </w:r>
        <w:r w:rsidR="00211560">
          <w:rPr>
            <w:webHidden/>
          </w:rPr>
          <w:t>28</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72" w:history="1">
        <w:r w:rsidR="00211560" w:rsidRPr="0014568E">
          <w:rPr>
            <w:rStyle w:val="Hyperlink"/>
          </w:rPr>
          <w:t>7.1</w:t>
        </w:r>
        <w:r w:rsidR="00211560">
          <w:rPr>
            <w:rFonts w:asciiTheme="minorHAnsi" w:eastAsiaTheme="minorEastAsia" w:hAnsiTheme="minorHAnsi" w:cstheme="minorBidi"/>
            <w:sz w:val="22"/>
            <w:szCs w:val="22"/>
          </w:rPr>
          <w:tab/>
        </w:r>
        <w:r w:rsidR="00211560" w:rsidRPr="0014568E">
          <w:rPr>
            <w:rStyle w:val="Hyperlink"/>
          </w:rPr>
          <w:t>Key Findings</w:t>
        </w:r>
        <w:r w:rsidR="00211560">
          <w:rPr>
            <w:webHidden/>
          </w:rPr>
          <w:tab/>
        </w:r>
        <w:r w:rsidR="00211560">
          <w:rPr>
            <w:webHidden/>
          </w:rPr>
          <w:fldChar w:fldCharType="begin"/>
        </w:r>
        <w:r w:rsidR="00211560">
          <w:rPr>
            <w:webHidden/>
          </w:rPr>
          <w:instrText xml:space="preserve"> PAGEREF _Toc494892272 \h </w:instrText>
        </w:r>
        <w:r w:rsidR="00211560">
          <w:rPr>
            <w:webHidden/>
          </w:rPr>
        </w:r>
        <w:r w:rsidR="00211560">
          <w:rPr>
            <w:webHidden/>
          </w:rPr>
          <w:fldChar w:fldCharType="separate"/>
        </w:r>
        <w:r w:rsidR="00211560">
          <w:rPr>
            <w:webHidden/>
          </w:rPr>
          <w:t>28</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73" w:history="1">
        <w:r w:rsidR="00211560" w:rsidRPr="0014568E">
          <w:rPr>
            <w:rStyle w:val="Hyperlink"/>
          </w:rPr>
          <w:t>7.2</w:t>
        </w:r>
        <w:r w:rsidR="00211560">
          <w:rPr>
            <w:rFonts w:asciiTheme="minorHAnsi" w:eastAsiaTheme="minorEastAsia" w:hAnsiTheme="minorHAnsi" w:cstheme="minorBidi"/>
            <w:sz w:val="22"/>
            <w:szCs w:val="22"/>
          </w:rPr>
          <w:tab/>
        </w:r>
        <w:r w:rsidR="00211560" w:rsidRPr="0014568E">
          <w:rPr>
            <w:rStyle w:val="Hyperlink"/>
          </w:rPr>
          <w:t>Background</w:t>
        </w:r>
        <w:r w:rsidR="00211560">
          <w:rPr>
            <w:webHidden/>
          </w:rPr>
          <w:tab/>
        </w:r>
        <w:r w:rsidR="00211560">
          <w:rPr>
            <w:webHidden/>
          </w:rPr>
          <w:fldChar w:fldCharType="begin"/>
        </w:r>
        <w:r w:rsidR="00211560">
          <w:rPr>
            <w:webHidden/>
          </w:rPr>
          <w:instrText xml:space="preserve"> PAGEREF _Toc494892273 \h </w:instrText>
        </w:r>
        <w:r w:rsidR="00211560">
          <w:rPr>
            <w:webHidden/>
          </w:rPr>
        </w:r>
        <w:r w:rsidR="00211560">
          <w:rPr>
            <w:webHidden/>
          </w:rPr>
          <w:fldChar w:fldCharType="separate"/>
        </w:r>
        <w:r w:rsidR="00211560">
          <w:rPr>
            <w:webHidden/>
          </w:rPr>
          <w:t>28</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74" w:history="1">
        <w:r w:rsidR="00211560" w:rsidRPr="0014568E">
          <w:rPr>
            <w:rStyle w:val="Hyperlink"/>
          </w:rPr>
          <w:t>7.3</w:t>
        </w:r>
        <w:r w:rsidR="00211560">
          <w:rPr>
            <w:rFonts w:asciiTheme="minorHAnsi" w:eastAsiaTheme="minorEastAsia" w:hAnsiTheme="minorHAnsi" w:cstheme="minorBidi"/>
            <w:sz w:val="22"/>
            <w:szCs w:val="22"/>
          </w:rPr>
          <w:tab/>
        </w:r>
        <w:r w:rsidR="00211560" w:rsidRPr="0014568E">
          <w:rPr>
            <w:rStyle w:val="Hyperlink"/>
          </w:rPr>
          <w:t>First round income effects</w:t>
        </w:r>
        <w:r w:rsidR="00211560">
          <w:rPr>
            <w:webHidden/>
          </w:rPr>
          <w:tab/>
        </w:r>
        <w:r w:rsidR="00211560">
          <w:rPr>
            <w:webHidden/>
          </w:rPr>
          <w:fldChar w:fldCharType="begin"/>
        </w:r>
        <w:r w:rsidR="00211560">
          <w:rPr>
            <w:webHidden/>
          </w:rPr>
          <w:instrText xml:space="preserve"> PAGEREF _Toc494892274 \h </w:instrText>
        </w:r>
        <w:r w:rsidR="00211560">
          <w:rPr>
            <w:webHidden/>
          </w:rPr>
        </w:r>
        <w:r w:rsidR="00211560">
          <w:rPr>
            <w:webHidden/>
          </w:rPr>
          <w:fldChar w:fldCharType="separate"/>
        </w:r>
        <w:r w:rsidR="00211560">
          <w:rPr>
            <w:webHidden/>
          </w:rPr>
          <w:t>29</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75" w:history="1">
        <w:r w:rsidR="00211560" w:rsidRPr="0014568E">
          <w:rPr>
            <w:rStyle w:val="Hyperlink"/>
          </w:rPr>
          <w:t>7.4</w:t>
        </w:r>
        <w:r w:rsidR="00211560">
          <w:rPr>
            <w:rFonts w:asciiTheme="minorHAnsi" w:eastAsiaTheme="minorEastAsia" w:hAnsiTheme="minorHAnsi" w:cstheme="minorBidi"/>
            <w:sz w:val="22"/>
            <w:szCs w:val="22"/>
          </w:rPr>
          <w:tab/>
        </w:r>
        <w:r w:rsidR="00211560" w:rsidRPr="0014568E">
          <w:rPr>
            <w:rStyle w:val="Hyperlink"/>
          </w:rPr>
          <w:t>Flow-on effects</w:t>
        </w:r>
        <w:r w:rsidR="00211560">
          <w:rPr>
            <w:webHidden/>
          </w:rPr>
          <w:tab/>
        </w:r>
        <w:r w:rsidR="00211560">
          <w:rPr>
            <w:webHidden/>
          </w:rPr>
          <w:fldChar w:fldCharType="begin"/>
        </w:r>
        <w:r w:rsidR="00211560">
          <w:rPr>
            <w:webHidden/>
          </w:rPr>
          <w:instrText xml:space="preserve"> PAGEREF _Toc494892275 \h </w:instrText>
        </w:r>
        <w:r w:rsidR="00211560">
          <w:rPr>
            <w:webHidden/>
          </w:rPr>
        </w:r>
        <w:r w:rsidR="00211560">
          <w:rPr>
            <w:webHidden/>
          </w:rPr>
          <w:fldChar w:fldCharType="separate"/>
        </w:r>
        <w:r w:rsidR="00211560">
          <w:rPr>
            <w:webHidden/>
          </w:rPr>
          <w:t>29</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76" w:history="1">
        <w:r w:rsidR="00211560" w:rsidRPr="0014568E">
          <w:rPr>
            <w:rStyle w:val="Hyperlink"/>
          </w:rPr>
          <w:t>7.5</w:t>
        </w:r>
        <w:r w:rsidR="00211560">
          <w:rPr>
            <w:rFonts w:asciiTheme="minorHAnsi" w:eastAsiaTheme="minorEastAsia" w:hAnsiTheme="minorHAnsi" w:cstheme="minorBidi"/>
            <w:sz w:val="22"/>
            <w:szCs w:val="22"/>
          </w:rPr>
          <w:tab/>
        </w:r>
        <w:r w:rsidR="00211560" w:rsidRPr="0014568E">
          <w:rPr>
            <w:rStyle w:val="Hyperlink"/>
          </w:rPr>
          <w:t>Understanding dynamic influences</w:t>
        </w:r>
        <w:r w:rsidR="00211560">
          <w:rPr>
            <w:webHidden/>
          </w:rPr>
          <w:tab/>
        </w:r>
        <w:r w:rsidR="00211560">
          <w:rPr>
            <w:webHidden/>
          </w:rPr>
          <w:fldChar w:fldCharType="begin"/>
        </w:r>
        <w:r w:rsidR="00211560">
          <w:rPr>
            <w:webHidden/>
          </w:rPr>
          <w:instrText xml:space="preserve"> PAGEREF _Toc494892276 \h </w:instrText>
        </w:r>
        <w:r w:rsidR="00211560">
          <w:rPr>
            <w:webHidden/>
          </w:rPr>
        </w:r>
        <w:r w:rsidR="00211560">
          <w:rPr>
            <w:webHidden/>
          </w:rPr>
          <w:fldChar w:fldCharType="separate"/>
        </w:r>
        <w:r w:rsidR="00211560">
          <w:rPr>
            <w:webHidden/>
          </w:rPr>
          <w:t>31</w:t>
        </w:r>
        <w:r w:rsidR="00211560">
          <w:rPr>
            <w:webHidden/>
          </w:rPr>
          <w:fldChar w:fldCharType="end"/>
        </w:r>
      </w:hyperlink>
    </w:p>
    <w:p w:rsidR="00211560" w:rsidRDefault="00531B74">
      <w:pPr>
        <w:pStyle w:val="TOC1"/>
        <w:rPr>
          <w:rFonts w:asciiTheme="minorHAnsi" w:eastAsiaTheme="minorEastAsia" w:hAnsiTheme="minorHAnsi" w:cstheme="minorBidi"/>
          <w:b w:val="0"/>
          <w:sz w:val="22"/>
          <w:szCs w:val="22"/>
        </w:rPr>
      </w:pPr>
      <w:hyperlink w:anchor="_Toc494892277" w:history="1">
        <w:r w:rsidR="00211560" w:rsidRPr="0014568E">
          <w:rPr>
            <w:rStyle w:val="Hyperlink"/>
          </w:rPr>
          <w:t>8.</w:t>
        </w:r>
        <w:r w:rsidR="00211560">
          <w:rPr>
            <w:rFonts w:asciiTheme="minorHAnsi" w:eastAsiaTheme="minorEastAsia" w:hAnsiTheme="minorHAnsi" w:cstheme="minorBidi"/>
            <w:b w:val="0"/>
            <w:sz w:val="22"/>
            <w:szCs w:val="22"/>
          </w:rPr>
          <w:tab/>
        </w:r>
        <w:r w:rsidR="00211560" w:rsidRPr="0014568E">
          <w:rPr>
            <w:rStyle w:val="Hyperlink"/>
          </w:rPr>
          <w:t>Timing of first round effect</w:t>
        </w:r>
        <w:r w:rsidR="00211560">
          <w:rPr>
            <w:webHidden/>
          </w:rPr>
          <w:tab/>
        </w:r>
        <w:r w:rsidR="00211560">
          <w:rPr>
            <w:webHidden/>
          </w:rPr>
          <w:fldChar w:fldCharType="begin"/>
        </w:r>
        <w:r w:rsidR="00211560">
          <w:rPr>
            <w:webHidden/>
          </w:rPr>
          <w:instrText xml:space="preserve"> PAGEREF _Toc494892277 \h </w:instrText>
        </w:r>
        <w:r w:rsidR="00211560">
          <w:rPr>
            <w:webHidden/>
          </w:rPr>
        </w:r>
        <w:r w:rsidR="00211560">
          <w:rPr>
            <w:webHidden/>
          </w:rPr>
          <w:fldChar w:fldCharType="separate"/>
        </w:r>
        <w:r w:rsidR="00211560">
          <w:rPr>
            <w:webHidden/>
          </w:rPr>
          <w:t>33</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78" w:history="1">
        <w:r w:rsidR="00211560" w:rsidRPr="0014568E">
          <w:rPr>
            <w:rStyle w:val="Hyperlink"/>
          </w:rPr>
          <w:t>8.1</w:t>
        </w:r>
        <w:r w:rsidR="00211560">
          <w:rPr>
            <w:rFonts w:asciiTheme="minorHAnsi" w:eastAsiaTheme="minorEastAsia" w:hAnsiTheme="minorHAnsi" w:cstheme="minorBidi"/>
            <w:sz w:val="22"/>
            <w:szCs w:val="22"/>
          </w:rPr>
          <w:tab/>
        </w:r>
        <w:r w:rsidR="00211560" w:rsidRPr="0014568E">
          <w:rPr>
            <w:rStyle w:val="Hyperlink"/>
          </w:rPr>
          <w:t>Timing of PIIOP and OFIEP</w:t>
        </w:r>
        <w:r w:rsidR="00211560">
          <w:rPr>
            <w:webHidden/>
          </w:rPr>
          <w:tab/>
        </w:r>
        <w:r w:rsidR="00211560">
          <w:rPr>
            <w:webHidden/>
          </w:rPr>
          <w:fldChar w:fldCharType="begin"/>
        </w:r>
        <w:r w:rsidR="00211560">
          <w:rPr>
            <w:webHidden/>
          </w:rPr>
          <w:instrText xml:space="preserve"> PAGEREF _Toc494892278 \h </w:instrText>
        </w:r>
        <w:r w:rsidR="00211560">
          <w:rPr>
            <w:webHidden/>
          </w:rPr>
        </w:r>
        <w:r w:rsidR="00211560">
          <w:rPr>
            <w:webHidden/>
          </w:rPr>
          <w:fldChar w:fldCharType="separate"/>
        </w:r>
        <w:r w:rsidR="00211560">
          <w:rPr>
            <w:webHidden/>
          </w:rPr>
          <w:t>33</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79" w:history="1">
        <w:r w:rsidR="00211560" w:rsidRPr="0014568E">
          <w:rPr>
            <w:rStyle w:val="Hyperlink"/>
          </w:rPr>
          <w:t>8.2</w:t>
        </w:r>
        <w:r w:rsidR="00211560">
          <w:rPr>
            <w:rFonts w:asciiTheme="minorHAnsi" w:eastAsiaTheme="minorEastAsia" w:hAnsiTheme="minorHAnsi" w:cstheme="minorBidi"/>
            <w:sz w:val="22"/>
            <w:szCs w:val="22"/>
          </w:rPr>
          <w:tab/>
        </w:r>
        <w:r w:rsidR="00211560" w:rsidRPr="0014568E">
          <w:rPr>
            <w:rStyle w:val="Hyperlink"/>
          </w:rPr>
          <w:t>Profile over time</w:t>
        </w:r>
        <w:r w:rsidR="00211560">
          <w:rPr>
            <w:webHidden/>
          </w:rPr>
          <w:tab/>
        </w:r>
        <w:r w:rsidR="00211560">
          <w:rPr>
            <w:webHidden/>
          </w:rPr>
          <w:fldChar w:fldCharType="begin"/>
        </w:r>
        <w:r w:rsidR="00211560">
          <w:rPr>
            <w:webHidden/>
          </w:rPr>
          <w:instrText xml:space="preserve"> PAGEREF _Toc494892279 \h </w:instrText>
        </w:r>
        <w:r w:rsidR="00211560">
          <w:rPr>
            <w:webHidden/>
          </w:rPr>
        </w:r>
        <w:r w:rsidR="00211560">
          <w:rPr>
            <w:webHidden/>
          </w:rPr>
          <w:fldChar w:fldCharType="separate"/>
        </w:r>
        <w:r w:rsidR="00211560">
          <w:rPr>
            <w:webHidden/>
          </w:rPr>
          <w:t>35</w:t>
        </w:r>
        <w:r w:rsidR="00211560">
          <w:rPr>
            <w:webHidden/>
          </w:rPr>
          <w:fldChar w:fldCharType="end"/>
        </w:r>
      </w:hyperlink>
    </w:p>
    <w:p w:rsidR="00211560" w:rsidRDefault="00531B74">
      <w:pPr>
        <w:pStyle w:val="TOC1"/>
        <w:rPr>
          <w:rFonts w:asciiTheme="minorHAnsi" w:eastAsiaTheme="minorEastAsia" w:hAnsiTheme="minorHAnsi" w:cstheme="minorBidi"/>
          <w:b w:val="0"/>
          <w:sz w:val="22"/>
          <w:szCs w:val="22"/>
        </w:rPr>
      </w:pPr>
      <w:hyperlink w:anchor="_Toc494892280" w:history="1">
        <w:r w:rsidR="00211560" w:rsidRPr="0014568E">
          <w:rPr>
            <w:rStyle w:val="Hyperlink"/>
          </w:rPr>
          <w:t>9.</w:t>
        </w:r>
        <w:r w:rsidR="00211560">
          <w:rPr>
            <w:rFonts w:asciiTheme="minorHAnsi" w:eastAsiaTheme="minorEastAsia" w:hAnsiTheme="minorHAnsi" w:cstheme="minorBidi"/>
            <w:b w:val="0"/>
            <w:sz w:val="22"/>
            <w:szCs w:val="22"/>
          </w:rPr>
          <w:tab/>
        </w:r>
        <w:r w:rsidR="00211560" w:rsidRPr="0014568E">
          <w:rPr>
            <w:rStyle w:val="Hyperlink"/>
          </w:rPr>
          <w:t>Estimating gains (dynamic approach)</w:t>
        </w:r>
        <w:r w:rsidR="00211560">
          <w:rPr>
            <w:webHidden/>
          </w:rPr>
          <w:tab/>
        </w:r>
        <w:r w:rsidR="00211560">
          <w:rPr>
            <w:webHidden/>
          </w:rPr>
          <w:fldChar w:fldCharType="begin"/>
        </w:r>
        <w:r w:rsidR="00211560">
          <w:rPr>
            <w:webHidden/>
          </w:rPr>
          <w:instrText xml:space="preserve"> PAGEREF _Toc494892280 \h </w:instrText>
        </w:r>
        <w:r w:rsidR="00211560">
          <w:rPr>
            <w:webHidden/>
          </w:rPr>
        </w:r>
        <w:r w:rsidR="00211560">
          <w:rPr>
            <w:webHidden/>
          </w:rPr>
          <w:fldChar w:fldCharType="separate"/>
        </w:r>
        <w:r w:rsidR="00211560">
          <w:rPr>
            <w:webHidden/>
          </w:rPr>
          <w:t>38</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81" w:history="1">
        <w:r w:rsidR="00211560" w:rsidRPr="0014568E">
          <w:rPr>
            <w:rStyle w:val="Hyperlink"/>
          </w:rPr>
          <w:t>9.1</w:t>
        </w:r>
        <w:r w:rsidR="00211560">
          <w:rPr>
            <w:rFonts w:asciiTheme="minorHAnsi" w:eastAsiaTheme="minorEastAsia" w:hAnsiTheme="minorHAnsi" w:cstheme="minorBidi"/>
            <w:sz w:val="22"/>
            <w:szCs w:val="22"/>
          </w:rPr>
          <w:tab/>
        </w:r>
        <w:r w:rsidR="00211560" w:rsidRPr="0014568E">
          <w:rPr>
            <w:rStyle w:val="Hyperlink"/>
          </w:rPr>
          <w:t>Key Findings</w:t>
        </w:r>
        <w:r w:rsidR="00211560">
          <w:rPr>
            <w:webHidden/>
          </w:rPr>
          <w:tab/>
        </w:r>
        <w:r w:rsidR="00211560">
          <w:rPr>
            <w:webHidden/>
          </w:rPr>
          <w:fldChar w:fldCharType="begin"/>
        </w:r>
        <w:r w:rsidR="00211560">
          <w:rPr>
            <w:webHidden/>
          </w:rPr>
          <w:instrText xml:space="preserve"> PAGEREF _Toc494892281 \h </w:instrText>
        </w:r>
        <w:r w:rsidR="00211560">
          <w:rPr>
            <w:webHidden/>
          </w:rPr>
        </w:r>
        <w:r w:rsidR="00211560">
          <w:rPr>
            <w:webHidden/>
          </w:rPr>
          <w:fldChar w:fldCharType="separate"/>
        </w:r>
        <w:r w:rsidR="00211560">
          <w:rPr>
            <w:webHidden/>
          </w:rPr>
          <w:t>38</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82" w:history="1">
        <w:r w:rsidR="00211560" w:rsidRPr="0014568E">
          <w:rPr>
            <w:rStyle w:val="Hyperlink"/>
          </w:rPr>
          <w:t>9.2</w:t>
        </w:r>
        <w:r w:rsidR="00211560">
          <w:rPr>
            <w:rFonts w:asciiTheme="minorHAnsi" w:eastAsiaTheme="minorEastAsia" w:hAnsiTheme="minorHAnsi" w:cstheme="minorBidi"/>
            <w:sz w:val="22"/>
            <w:szCs w:val="22"/>
          </w:rPr>
          <w:tab/>
        </w:r>
        <w:r w:rsidR="00211560" w:rsidRPr="0014568E">
          <w:rPr>
            <w:rStyle w:val="Hyperlink"/>
          </w:rPr>
          <w:t>Data and ‘shocks’ for the model</w:t>
        </w:r>
        <w:r w:rsidR="00211560">
          <w:rPr>
            <w:webHidden/>
          </w:rPr>
          <w:tab/>
        </w:r>
        <w:r w:rsidR="00211560">
          <w:rPr>
            <w:webHidden/>
          </w:rPr>
          <w:fldChar w:fldCharType="begin"/>
        </w:r>
        <w:r w:rsidR="00211560">
          <w:rPr>
            <w:webHidden/>
          </w:rPr>
          <w:instrText xml:space="preserve"> PAGEREF _Toc494892282 \h </w:instrText>
        </w:r>
        <w:r w:rsidR="00211560">
          <w:rPr>
            <w:webHidden/>
          </w:rPr>
        </w:r>
        <w:r w:rsidR="00211560">
          <w:rPr>
            <w:webHidden/>
          </w:rPr>
          <w:fldChar w:fldCharType="separate"/>
        </w:r>
        <w:r w:rsidR="00211560">
          <w:rPr>
            <w:webHidden/>
          </w:rPr>
          <w:t>38</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83" w:history="1">
        <w:r w:rsidR="00211560" w:rsidRPr="0014568E">
          <w:rPr>
            <w:rStyle w:val="Hyperlink"/>
          </w:rPr>
          <w:t>9.3</w:t>
        </w:r>
        <w:r w:rsidR="00211560">
          <w:rPr>
            <w:rFonts w:asciiTheme="minorHAnsi" w:eastAsiaTheme="minorEastAsia" w:hAnsiTheme="minorHAnsi" w:cstheme="minorBidi"/>
            <w:sz w:val="22"/>
            <w:szCs w:val="22"/>
          </w:rPr>
          <w:tab/>
        </w:r>
        <w:r w:rsidR="00211560" w:rsidRPr="0014568E">
          <w:rPr>
            <w:rStyle w:val="Hyperlink"/>
          </w:rPr>
          <w:t>Modelling issues</w:t>
        </w:r>
        <w:r w:rsidR="00211560">
          <w:rPr>
            <w:webHidden/>
          </w:rPr>
          <w:tab/>
        </w:r>
        <w:r w:rsidR="00211560">
          <w:rPr>
            <w:webHidden/>
          </w:rPr>
          <w:fldChar w:fldCharType="begin"/>
        </w:r>
        <w:r w:rsidR="00211560">
          <w:rPr>
            <w:webHidden/>
          </w:rPr>
          <w:instrText xml:space="preserve"> PAGEREF _Toc494892283 \h </w:instrText>
        </w:r>
        <w:r w:rsidR="00211560">
          <w:rPr>
            <w:webHidden/>
          </w:rPr>
        </w:r>
        <w:r w:rsidR="00211560">
          <w:rPr>
            <w:webHidden/>
          </w:rPr>
          <w:fldChar w:fldCharType="separate"/>
        </w:r>
        <w:r w:rsidR="00211560">
          <w:rPr>
            <w:webHidden/>
          </w:rPr>
          <w:t>40</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84" w:history="1">
        <w:r w:rsidR="00211560" w:rsidRPr="0014568E">
          <w:rPr>
            <w:rStyle w:val="Hyperlink"/>
          </w:rPr>
          <w:t>9.4</w:t>
        </w:r>
        <w:r w:rsidR="00211560">
          <w:rPr>
            <w:rFonts w:asciiTheme="minorHAnsi" w:eastAsiaTheme="minorEastAsia" w:hAnsiTheme="minorHAnsi" w:cstheme="minorBidi"/>
            <w:sz w:val="22"/>
            <w:szCs w:val="22"/>
          </w:rPr>
          <w:tab/>
        </w:r>
        <w:r w:rsidR="00211560" w:rsidRPr="0014568E">
          <w:rPr>
            <w:rStyle w:val="Hyperlink"/>
          </w:rPr>
          <w:t>Results</w:t>
        </w:r>
        <w:r w:rsidR="00211560">
          <w:rPr>
            <w:webHidden/>
          </w:rPr>
          <w:tab/>
        </w:r>
        <w:r w:rsidR="00211560">
          <w:rPr>
            <w:webHidden/>
          </w:rPr>
          <w:fldChar w:fldCharType="begin"/>
        </w:r>
        <w:r w:rsidR="00211560">
          <w:rPr>
            <w:webHidden/>
          </w:rPr>
          <w:instrText xml:space="preserve"> PAGEREF _Toc494892284 \h </w:instrText>
        </w:r>
        <w:r w:rsidR="00211560">
          <w:rPr>
            <w:webHidden/>
          </w:rPr>
        </w:r>
        <w:r w:rsidR="00211560">
          <w:rPr>
            <w:webHidden/>
          </w:rPr>
          <w:fldChar w:fldCharType="separate"/>
        </w:r>
        <w:r w:rsidR="00211560">
          <w:rPr>
            <w:webHidden/>
          </w:rPr>
          <w:t>41</w:t>
        </w:r>
        <w:r w:rsidR="00211560">
          <w:rPr>
            <w:webHidden/>
          </w:rPr>
          <w:fldChar w:fldCharType="end"/>
        </w:r>
      </w:hyperlink>
    </w:p>
    <w:p w:rsidR="00211560" w:rsidRDefault="00531B74">
      <w:pPr>
        <w:pStyle w:val="TOC1"/>
        <w:rPr>
          <w:rFonts w:asciiTheme="minorHAnsi" w:eastAsiaTheme="minorEastAsia" w:hAnsiTheme="minorHAnsi" w:cstheme="minorBidi"/>
          <w:b w:val="0"/>
          <w:sz w:val="22"/>
          <w:szCs w:val="22"/>
        </w:rPr>
      </w:pPr>
      <w:hyperlink w:anchor="_Toc494892285" w:history="1">
        <w:r w:rsidR="00211560" w:rsidRPr="0014568E">
          <w:rPr>
            <w:rStyle w:val="Hyperlink"/>
          </w:rPr>
          <w:t>10.</w:t>
        </w:r>
        <w:r w:rsidR="00211560">
          <w:rPr>
            <w:rFonts w:asciiTheme="minorHAnsi" w:eastAsiaTheme="minorEastAsia" w:hAnsiTheme="minorHAnsi" w:cstheme="minorBidi"/>
            <w:b w:val="0"/>
            <w:sz w:val="22"/>
            <w:szCs w:val="22"/>
          </w:rPr>
          <w:tab/>
        </w:r>
        <w:r w:rsidR="00211560" w:rsidRPr="0014568E">
          <w:rPr>
            <w:rStyle w:val="Hyperlink"/>
          </w:rPr>
          <w:t>References</w:t>
        </w:r>
        <w:r w:rsidR="00211560">
          <w:rPr>
            <w:webHidden/>
          </w:rPr>
          <w:tab/>
        </w:r>
        <w:r w:rsidR="00211560">
          <w:rPr>
            <w:webHidden/>
          </w:rPr>
          <w:fldChar w:fldCharType="begin"/>
        </w:r>
        <w:r w:rsidR="00211560">
          <w:rPr>
            <w:webHidden/>
          </w:rPr>
          <w:instrText xml:space="preserve"> PAGEREF _Toc494892285 \h </w:instrText>
        </w:r>
        <w:r w:rsidR="00211560">
          <w:rPr>
            <w:webHidden/>
          </w:rPr>
        </w:r>
        <w:r w:rsidR="00211560">
          <w:rPr>
            <w:webHidden/>
          </w:rPr>
          <w:fldChar w:fldCharType="separate"/>
        </w:r>
        <w:r w:rsidR="00211560">
          <w:rPr>
            <w:webHidden/>
          </w:rPr>
          <w:t>46</w:t>
        </w:r>
        <w:r w:rsidR="00211560">
          <w:rPr>
            <w:webHidden/>
          </w:rPr>
          <w:fldChar w:fldCharType="end"/>
        </w:r>
      </w:hyperlink>
    </w:p>
    <w:p w:rsidR="00211560" w:rsidRDefault="00531B74">
      <w:pPr>
        <w:pStyle w:val="TOC1"/>
        <w:rPr>
          <w:rFonts w:asciiTheme="minorHAnsi" w:eastAsiaTheme="minorEastAsia" w:hAnsiTheme="minorHAnsi" w:cstheme="minorBidi"/>
          <w:b w:val="0"/>
          <w:sz w:val="22"/>
          <w:szCs w:val="22"/>
        </w:rPr>
      </w:pPr>
      <w:hyperlink w:anchor="_Toc494892286" w:history="1">
        <w:r w:rsidR="00211560" w:rsidRPr="0014568E">
          <w:rPr>
            <w:rStyle w:val="Hyperlink"/>
          </w:rPr>
          <w:t>Appendix A: Total goods and services expenditures</w:t>
        </w:r>
        <w:r w:rsidR="00211560">
          <w:rPr>
            <w:webHidden/>
          </w:rPr>
          <w:tab/>
        </w:r>
        <w:r w:rsidR="00211560">
          <w:rPr>
            <w:webHidden/>
          </w:rPr>
          <w:fldChar w:fldCharType="begin"/>
        </w:r>
        <w:r w:rsidR="00211560">
          <w:rPr>
            <w:webHidden/>
          </w:rPr>
          <w:instrText xml:space="preserve"> PAGEREF _Toc494892286 \h </w:instrText>
        </w:r>
        <w:r w:rsidR="00211560">
          <w:rPr>
            <w:webHidden/>
          </w:rPr>
        </w:r>
        <w:r w:rsidR="00211560">
          <w:rPr>
            <w:webHidden/>
          </w:rPr>
          <w:fldChar w:fldCharType="separate"/>
        </w:r>
        <w:r w:rsidR="00211560">
          <w:rPr>
            <w:webHidden/>
          </w:rPr>
          <w:t>47</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87" w:history="1">
        <w:r w:rsidR="00211560" w:rsidRPr="0014568E">
          <w:rPr>
            <w:rStyle w:val="Hyperlink"/>
          </w:rPr>
          <w:t>Goods and services —  PIIOP off-farm</w:t>
        </w:r>
        <w:r w:rsidR="00211560">
          <w:rPr>
            <w:webHidden/>
          </w:rPr>
          <w:tab/>
        </w:r>
        <w:r w:rsidR="00211560">
          <w:rPr>
            <w:webHidden/>
          </w:rPr>
          <w:fldChar w:fldCharType="begin"/>
        </w:r>
        <w:r w:rsidR="00211560">
          <w:rPr>
            <w:webHidden/>
          </w:rPr>
          <w:instrText xml:space="preserve"> PAGEREF _Toc494892287 \h </w:instrText>
        </w:r>
        <w:r w:rsidR="00211560">
          <w:rPr>
            <w:webHidden/>
          </w:rPr>
        </w:r>
        <w:r w:rsidR="00211560">
          <w:rPr>
            <w:webHidden/>
          </w:rPr>
          <w:fldChar w:fldCharType="separate"/>
        </w:r>
        <w:r w:rsidR="00211560">
          <w:rPr>
            <w:webHidden/>
          </w:rPr>
          <w:t>47</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88" w:history="1">
        <w:r w:rsidR="00211560" w:rsidRPr="0014568E">
          <w:rPr>
            <w:rStyle w:val="Hyperlink"/>
          </w:rPr>
          <w:t>Goods and services — PIIOP on-farm</w:t>
        </w:r>
        <w:r w:rsidR="00211560">
          <w:rPr>
            <w:webHidden/>
          </w:rPr>
          <w:tab/>
        </w:r>
        <w:r w:rsidR="00211560">
          <w:rPr>
            <w:webHidden/>
          </w:rPr>
          <w:fldChar w:fldCharType="begin"/>
        </w:r>
        <w:r w:rsidR="00211560">
          <w:rPr>
            <w:webHidden/>
          </w:rPr>
          <w:instrText xml:space="preserve"> PAGEREF _Toc494892288 \h </w:instrText>
        </w:r>
        <w:r w:rsidR="00211560">
          <w:rPr>
            <w:webHidden/>
          </w:rPr>
        </w:r>
        <w:r w:rsidR="00211560">
          <w:rPr>
            <w:webHidden/>
          </w:rPr>
          <w:fldChar w:fldCharType="separate"/>
        </w:r>
        <w:r w:rsidR="00211560">
          <w:rPr>
            <w:webHidden/>
          </w:rPr>
          <w:t>48</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89" w:history="1">
        <w:r w:rsidR="00211560" w:rsidRPr="0014568E">
          <w:rPr>
            <w:rStyle w:val="Hyperlink"/>
          </w:rPr>
          <w:t>Goods and services — OFIEP on-farm</w:t>
        </w:r>
        <w:r w:rsidR="00211560">
          <w:rPr>
            <w:webHidden/>
          </w:rPr>
          <w:tab/>
        </w:r>
        <w:r w:rsidR="00211560">
          <w:rPr>
            <w:webHidden/>
          </w:rPr>
          <w:fldChar w:fldCharType="begin"/>
        </w:r>
        <w:r w:rsidR="00211560">
          <w:rPr>
            <w:webHidden/>
          </w:rPr>
          <w:instrText xml:space="preserve"> PAGEREF _Toc494892289 \h </w:instrText>
        </w:r>
        <w:r w:rsidR="00211560">
          <w:rPr>
            <w:webHidden/>
          </w:rPr>
        </w:r>
        <w:r w:rsidR="00211560">
          <w:rPr>
            <w:webHidden/>
          </w:rPr>
          <w:fldChar w:fldCharType="separate"/>
        </w:r>
        <w:r w:rsidR="00211560">
          <w:rPr>
            <w:webHidden/>
          </w:rPr>
          <w:t>48</w:t>
        </w:r>
        <w:r w:rsidR="00211560">
          <w:rPr>
            <w:webHidden/>
          </w:rPr>
          <w:fldChar w:fldCharType="end"/>
        </w:r>
      </w:hyperlink>
    </w:p>
    <w:p w:rsidR="00211560" w:rsidRDefault="00531B74">
      <w:pPr>
        <w:pStyle w:val="TOC1"/>
        <w:rPr>
          <w:rFonts w:asciiTheme="minorHAnsi" w:eastAsiaTheme="minorEastAsia" w:hAnsiTheme="minorHAnsi" w:cstheme="minorBidi"/>
          <w:b w:val="0"/>
          <w:sz w:val="22"/>
          <w:szCs w:val="22"/>
        </w:rPr>
      </w:pPr>
      <w:hyperlink w:anchor="_Toc494892290" w:history="1">
        <w:r w:rsidR="00211560" w:rsidRPr="0014568E">
          <w:rPr>
            <w:rStyle w:val="Hyperlink"/>
          </w:rPr>
          <w:t xml:space="preserve">Appendix B: </w:t>
        </w:r>
        <w:r w:rsidR="00211560" w:rsidRPr="0014568E">
          <w:rPr>
            <w:rStyle w:val="Hyperlink"/>
            <w:bCs/>
          </w:rPr>
          <w:t>Value of intermediate goods and services inputs</w:t>
        </w:r>
        <w:r w:rsidR="00211560">
          <w:rPr>
            <w:webHidden/>
          </w:rPr>
          <w:tab/>
        </w:r>
        <w:r w:rsidR="00211560">
          <w:rPr>
            <w:webHidden/>
          </w:rPr>
          <w:fldChar w:fldCharType="begin"/>
        </w:r>
        <w:r w:rsidR="00211560">
          <w:rPr>
            <w:webHidden/>
          </w:rPr>
          <w:instrText xml:space="preserve"> PAGEREF _Toc494892290 \h </w:instrText>
        </w:r>
        <w:r w:rsidR="00211560">
          <w:rPr>
            <w:webHidden/>
          </w:rPr>
        </w:r>
        <w:r w:rsidR="00211560">
          <w:rPr>
            <w:webHidden/>
          </w:rPr>
          <w:fldChar w:fldCharType="separate"/>
        </w:r>
        <w:r w:rsidR="00211560">
          <w:rPr>
            <w:webHidden/>
          </w:rPr>
          <w:t>50</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91" w:history="1">
        <w:r w:rsidR="00211560" w:rsidRPr="0014568E">
          <w:rPr>
            <w:rStyle w:val="Hyperlink"/>
          </w:rPr>
          <w:t>PIIOP off-farm final goods and services</w:t>
        </w:r>
        <w:r w:rsidR="00211560">
          <w:rPr>
            <w:webHidden/>
          </w:rPr>
          <w:tab/>
        </w:r>
        <w:r w:rsidR="00211560">
          <w:rPr>
            <w:webHidden/>
          </w:rPr>
          <w:fldChar w:fldCharType="begin"/>
        </w:r>
        <w:r w:rsidR="00211560">
          <w:rPr>
            <w:webHidden/>
          </w:rPr>
          <w:instrText xml:space="preserve"> PAGEREF _Toc494892291 \h </w:instrText>
        </w:r>
        <w:r w:rsidR="00211560">
          <w:rPr>
            <w:webHidden/>
          </w:rPr>
        </w:r>
        <w:r w:rsidR="00211560">
          <w:rPr>
            <w:webHidden/>
          </w:rPr>
          <w:fldChar w:fldCharType="separate"/>
        </w:r>
        <w:r w:rsidR="00211560">
          <w:rPr>
            <w:webHidden/>
          </w:rPr>
          <w:t>50</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92" w:history="1">
        <w:r w:rsidR="00211560" w:rsidRPr="0014568E">
          <w:rPr>
            <w:rStyle w:val="Hyperlink"/>
          </w:rPr>
          <w:t>PIIOP on-farm goods and services</w:t>
        </w:r>
        <w:r w:rsidR="00211560">
          <w:rPr>
            <w:webHidden/>
          </w:rPr>
          <w:tab/>
        </w:r>
        <w:r w:rsidR="00211560">
          <w:rPr>
            <w:webHidden/>
          </w:rPr>
          <w:fldChar w:fldCharType="begin"/>
        </w:r>
        <w:r w:rsidR="00211560">
          <w:rPr>
            <w:webHidden/>
          </w:rPr>
          <w:instrText xml:space="preserve"> PAGEREF _Toc494892292 \h </w:instrText>
        </w:r>
        <w:r w:rsidR="00211560">
          <w:rPr>
            <w:webHidden/>
          </w:rPr>
        </w:r>
        <w:r w:rsidR="00211560">
          <w:rPr>
            <w:webHidden/>
          </w:rPr>
          <w:fldChar w:fldCharType="separate"/>
        </w:r>
        <w:r w:rsidR="00211560">
          <w:rPr>
            <w:webHidden/>
          </w:rPr>
          <w:t>50</w:t>
        </w:r>
        <w:r w:rsidR="00211560">
          <w:rPr>
            <w:webHidden/>
          </w:rPr>
          <w:fldChar w:fldCharType="end"/>
        </w:r>
      </w:hyperlink>
    </w:p>
    <w:p w:rsidR="00211560" w:rsidRDefault="00531B74">
      <w:pPr>
        <w:pStyle w:val="TOC2"/>
        <w:rPr>
          <w:rFonts w:asciiTheme="minorHAnsi" w:eastAsiaTheme="minorEastAsia" w:hAnsiTheme="minorHAnsi" w:cstheme="minorBidi"/>
          <w:sz w:val="22"/>
          <w:szCs w:val="22"/>
        </w:rPr>
      </w:pPr>
      <w:hyperlink w:anchor="_Toc494892293" w:history="1">
        <w:r w:rsidR="00211560" w:rsidRPr="0014568E">
          <w:rPr>
            <w:rStyle w:val="Hyperlink"/>
          </w:rPr>
          <w:t>OFIEP goods and services</w:t>
        </w:r>
        <w:r w:rsidR="00211560">
          <w:rPr>
            <w:webHidden/>
          </w:rPr>
          <w:tab/>
        </w:r>
        <w:r w:rsidR="00211560">
          <w:rPr>
            <w:webHidden/>
          </w:rPr>
          <w:fldChar w:fldCharType="begin"/>
        </w:r>
        <w:r w:rsidR="00211560">
          <w:rPr>
            <w:webHidden/>
          </w:rPr>
          <w:instrText xml:space="preserve"> PAGEREF _Toc494892293 \h </w:instrText>
        </w:r>
        <w:r w:rsidR="00211560">
          <w:rPr>
            <w:webHidden/>
          </w:rPr>
        </w:r>
        <w:r w:rsidR="00211560">
          <w:rPr>
            <w:webHidden/>
          </w:rPr>
          <w:fldChar w:fldCharType="separate"/>
        </w:r>
        <w:r w:rsidR="00211560">
          <w:rPr>
            <w:webHidden/>
          </w:rPr>
          <w:t>51</w:t>
        </w:r>
        <w:r w:rsidR="00211560">
          <w:rPr>
            <w:webHidden/>
          </w:rPr>
          <w:fldChar w:fldCharType="end"/>
        </w:r>
      </w:hyperlink>
    </w:p>
    <w:p w:rsidR="00211560" w:rsidRDefault="00531B74">
      <w:pPr>
        <w:pStyle w:val="TOC1"/>
        <w:rPr>
          <w:rFonts w:asciiTheme="minorHAnsi" w:eastAsiaTheme="minorEastAsia" w:hAnsiTheme="minorHAnsi" w:cstheme="minorBidi"/>
          <w:b w:val="0"/>
          <w:sz w:val="22"/>
          <w:szCs w:val="22"/>
        </w:rPr>
      </w:pPr>
      <w:hyperlink w:anchor="_Toc494892294" w:history="1">
        <w:r w:rsidR="00211560" w:rsidRPr="0014568E">
          <w:rPr>
            <w:rStyle w:val="Hyperlink"/>
          </w:rPr>
          <w:t xml:space="preserve">Appendix C: </w:t>
        </w:r>
        <w:r w:rsidR="00211560" w:rsidRPr="0014568E">
          <w:rPr>
            <w:rStyle w:val="Hyperlink"/>
            <w:bCs/>
          </w:rPr>
          <w:t>Annual change in industry value added</w:t>
        </w:r>
        <w:r w:rsidR="00211560">
          <w:rPr>
            <w:webHidden/>
          </w:rPr>
          <w:tab/>
        </w:r>
        <w:r w:rsidR="00211560">
          <w:rPr>
            <w:webHidden/>
          </w:rPr>
          <w:fldChar w:fldCharType="begin"/>
        </w:r>
        <w:r w:rsidR="00211560">
          <w:rPr>
            <w:webHidden/>
          </w:rPr>
          <w:instrText xml:space="preserve"> PAGEREF _Toc494892294 \h </w:instrText>
        </w:r>
        <w:r w:rsidR="00211560">
          <w:rPr>
            <w:webHidden/>
          </w:rPr>
        </w:r>
        <w:r w:rsidR="00211560">
          <w:rPr>
            <w:webHidden/>
          </w:rPr>
          <w:fldChar w:fldCharType="separate"/>
        </w:r>
        <w:r w:rsidR="00211560">
          <w:rPr>
            <w:webHidden/>
          </w:rPr>
          <w:t>53</w:t>
        </w:r>
        <w:r w:rsidR="00211560">
          <w:rPr>
            <w:webHidden/>
          </w:rPr>
          <w:fldChar w:fldCharType="end"/>
        </w:r>
      </w:hyperlink>
    </w:p>
    <w:p w:rsidR="00F80890" w:rsidRDefault="00930EED" w:rsidP="009C3271">
      <w:pPr>
        <w:pStyle w:val="TOC1"/>
      </w:pPr>
      <w:r>
        <w:fldChar w:fldCharType="end"/>
      </w:r>
    </w:p>
    <w:p w:rsidR="00F80890" w:rsidRDefault="00F80890" w:rsidP="00F80890">
      <w:pPr>
        <w:rPr>
          <w:rFonts w:ascii="Corbel" w:hAnsi="Corbel" w:cs="Arial"/>
          <w:sz w:val="18"/>
          <w:szCs w:val="18"/>
        </w:rPr>
      </w:pPr>
      <w:r>
        <w:rPr>
          <w:rFonts w:ascii="Corbel" w:hAnsi="Corbel" w:cs="Arial"/>
          <w:b/>
          <w:smallCaps/>
          <w:color w:val="0093D0"/>
          <w:sz w:val="28"/>
          <w:szCs w:val="28"/>
        </w:rPr>
        <w:t>List of Tables</w:t>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t xml:space="preserve">    </w:t>
      </w:r>
      <w:r w:rsidRPr="00661263">
        <w:rPr>
          <w:rFonts w:ascii="Corbel" w:hAnsi="Corbel" w:cs="Arial"/>
          <w:sz w:val="18"/>
          <w:szCs w:val="18"/>
        </w:rPr>
        <w:t>Page</w:t>
      </w:r>
    </w:p>
    <w:p w:rsidR="00211560" w:rsidRDefault="00930EED">
      <w:pPr>
        <w:pStyle w:val="TableofFigures"/>
        <w:tabs>
          <w:tab w:val="right" w:leader="dot" w:pos="8494"/>
        </w:tabs>
        <w:rPr>
          <w:rFonts w:asciiTheme="minorHAnsi" w:eastAsiaTheme="minorEastAsia" w:hAnsiTheme="minorHAnsi" w:cstheme="minorBidi"/>
          <w:noProof/>
          <w:sz w:val="22"/>
          <w:szCs w:val="22"/>
        </w:rPr>
      </w:pPr>
      <w:r>
        <w:rPr>
          <w:rFonts w:cs="Arial"/>
          <w:b/>
        </w:rPr>
        <w:fldChar w:fldCharType="begin"/>
      </w:r>
      <w:r w:rsidR="00F80890">
        <w:rPr>
          <w:rFonts w:cs="Arial"/>
          <w:b/>
        </w:rPr>
        <w:instrText xml:space="preserve"> TOC \h \z \c "Table" </w:instrText>
      </w:r>
      <w:r>
        <w:rPr>
          <w:rFonts w:cs="Arial"/>
          <w:b/>
        </w:rPr>
        <w:fldChar w:fldCharType="separate"/>
      </w:r>
      <w:hyperlink w:anchor="_Toc494892430" w:history="1">
        <w:r w:rsidR="00211560" w:rsidRPr="00C0648F">
          <w:rPr>
            <w:rStyle w:val="Hyperlink"/>
            <w:noProof/>
          </w:rPr>
          <w:t>Table 1: Murrumbidgee region PIIOP expenditures GST Exclusive</w:t>
        </w:r>
        <w:r w:rsidR="00211560">
          <w:rPr>
            <w:noProof/>
            <w:webHidden/>
          </w:rPr>
          <w:tab/>
        </w:r>
        <w:r w:rsidR="00211560">
          <w:rPr>
            <w:noProof/>
            <w:webHidden/>
          </w:rPr>
          <w:fldChar w:fldCharType="begin"/>
        </w:r>
        <w:r w:rsidR="00211560">
          <w:rPr>
            <w:noProof/>
            <w:webHidden/>
          </w:rPr>
          <w:instrText xml:space="preserve"> PAGEREF _Toc494892430 \h </w:instrText>
        </w:r>
        <w:r w:rsidR="00211560">
          <w:rPr>
            <w:noProof/>
            <w:webHidden/>
          </w:rPr>
        </w:r>
        <w:r w:rsidR="00211560">
          <w:rPr>
            <w:noProof/>
            <w:webHidden/>
          </w:rPr>
          <w:fldChar w:fldCharType="separate"/>
        </w:r>
        <w:r w:rsidR="00211560">
          <w:rPr>
            <w:noProof/>
            <w:webHidden/>
          </w:rPr>
          <w:t>8</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31" w:history="1">
        <w:r w:rsidR="00211560" w:rsidRPr="00C0648F">
          <w:rPr>
            <w:rStyle w:val="Hyperlink"/>
            <w:noProof/>
          </w:rPr>
          <w:t>Table 2: OFIEP program grants within the Murrumbidgee Irrigation Area GST Exclusive</w:t>
        </w:r>
        <w:r w:rsidR="00211560">
          <w:rPr>
            <w:noProof/>
            <w:webHidden/>
          </w:rPr>
          <w:tab/>
        </w:r>
        <w:r w:rsidR="00211560">
          <w:rPr>
            <w:noProof/>
            <w:webHidden/>
          </w:rPr>
          <w:fldChar w:fldCharType="begin"/>
        </w:r>
        <w:r w:rsidR="00211560">
          <w:rPr>
            <w:noProof/>
            <w:webHidden/>
          </w:rPr>
          <w:instrText xml:space="preserve"> PAGEREF _Toc494892431 \h </w:instrText>
        </w:r>
        <w:r w:rsidR="00211560">
          <w:rPr>
            <w:noProof/>
            <w:webHidden/>
          </w:rPr>
        </w:r>
        <w:r w:rsidR="00211560">
          <w:rPr>
            <w:noProof/>
            <w:webHidden/>
          </w:rPr>
          <w:fldChar w:fldCharType="separate"/>
        </w:r>
        <w:r w:rsidR="00211560">
          <w:rPr>
            <w:noProof/>
            <w:webHidden/>
          </w:rPr>
          <w:t>9</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32" w:history="1">
        <w:r w:rsidR="00211560" w:rsidRPr="00C0648F">
          <w:rPr>
            <w:rStyle w:val="Hyperlink"/>
            <w:noProof/>
          </w:rPr>
          <w:t>Table 3: Key assumptions used to estimate local and imported shares of intermediate products</w:t>
        </w:r>
        <w:r w:rsidR="00211560">
          <w:rPr>
            <w:noProof/>
            <w:webHidden/>
          </w:rPr>
          <w:tab/>
        </w:r>
        <w:r w:rsidR="00211560">
          <w:rPr>
            <w:noProof/>
            <w:webHidden/>
          </w:rPr>
          <w:fldChar w:fldCharType="begin"/>
        </w:r>
        <w:r w:rsidR="00211560">
          <w:rPr>
            <w:noProof/>
            <w:webHidden/>
          </w:rPr>
          <w:instrText xml:space="preserve"> PAGEREF _Toc494892432 \h </w:instrText>
        </w:r>
        <w:r w:rsidR="00211560">
          <w:rPr>
            <w:noProof/>
            <w:webHidden/>
          </w:rPr>
        </w:r>
        <w:r w:rsidR="00211560">
          <w:rPr>
            <w:noProof/>
            <w:webHidden/>
          </w:rPr>
          <w:fldChar w:fldCharType="separate"/>
        </w:r>
        <w:r w:rsidR="00211560">
          <w:rPr>
            <w:noProof/>
            <w:webHidden/>
          </w:rPr>
          <w:t>15</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33" w:history="1">
        <w:r w:rsidR="00211560" w:rsidRPr="00C0648F">
          <w:rPr>
            <w:rStyle w:val="Hyperlink"/>
            <w:noProof/>
          </w:rPr>
          <w:t>Table 4: PIIOP and OFIEP final expenditure (GST Exclusive) $million</w:t>
        </w:r>
        <w:r w:rsidR="00211560">
          <w:rPr>
            <w:noProof/>
            <w:webHidden/>
          </w:rPr>
          <w:tab/>
        </w:r>
        <w:r w:rsidR="00211560">
          <w:rPr>
            <w:noProof/>
            <w:webHidden/>
          </w:rPr>
          <w:fldChar w:fldCharType="begin"/>
        </w:r>
        <w:r w:rsidR="00211560">
          <w:rPr>
            <w:noProof/>
            <w:webHidden/>
          </w:rPr>
          <w:instrText xml:space="preserve"> PAGEREF _Toc494892433 \h </w:instrText>
        </w:r>
        <w:r w:rsidR="00211560">
          <w:rPr>
            <w:noProof/>
            <w:webHidden/>
          </w:rPr>
        </w:r>
        <w:r w:rsidR="00211560">
          <w:rPr>
            <w:noProof/>
            <w:webHidden/>
          </w:rPr>
          <w:fldChar w:fldCharType="separate"/>
        </w:r>
        <w:r w:rsidR="00211560">
          <w:rPr>
            <w:noProof/>
            <w:webHidden/>
          </w:rPr>
          <w:t>18</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34" w:history="1">
        <w:r w:rsidR="00211560" w:rsidRPr="00C0648F">
          <w:rPr>
            <w:rStyle w:val="Hyperlink"/>
            <w:noProof/>
          </w:rPr>
          <w:t>Table 5: PIIOP and OFIEP final expenditure composition (%)</w:t>
        </w:r>
        <w:r w:rsidR="00211560">
          <w:rPr>
            <w:noProof/>
            <w:webHidden/>
          </w:rPr>
          <w:tab/>
        </w:r>
        <w:r w:rsidR="00211560">
          <w:rPr>
            <w:noProof/>
            <w:webHidden/>
          </w:rPr>
          <w:fldChar w:fldCharType="begin"/>
        </w:r>
        <w:r w:rsidR="00211560">
          <w:rPr>
            <w:noProof/>
            <w:webHidden/>
          </w:rPr>
          <w:instrText xml:space="preserve"> PAGEREF _Toc494892434 \h </w:instrText>
        </w:r>
        <w:r w:rsidR="00211560">
          <w:rPr>
            <w:noProof/>
            <w:webHidden/>
          </w:rPr>
        </w:r>
        <w:r w:rsidR="00211560">
          <w:rPr>
            <w:noProof/>
            <w:webHidden/>
          </w:rPr>
          <w:fldChar w:fldCharType="separate"/>
        </w:r>
        <w:r w:rsidR="00211560">
          <w:rPr>
            <w:noProof/>
            <w:webHidden/>
          </w:rPr>
          <w:t>18</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35" w:history="1">
        <w:r w:rsidR="00211560" w:rsidRPr="00C0648F">
          <w:rPr>
            <w:rStyle w:val="Hyperlink"/>
            <w:noProof/>
          </w:rPr>
          <w:t>Table 6: Identifying and classifying sources of productivity from program investments</w:t>
        </w:r>
        <w:r w:rsidR="00211560">
          <w:rPr>
            <w:noProof/>
            <w:webHidden/>
          </w:rPr>
          <w:tab/>
        </w:r>
        <w:r w:rsidR="00211560">
          <w:rPr>
            <w:noProof/>
            <w:webHidden/>
          </w:rPr>
          <w:fldChar w:fldCharType="begin"/>
        </w:r>
        <w:r w:rsidR="00211560">
          <w:rPr>
            <w:noProof/>
            <w:webHidden/>
          </w:rPr>
          <w:instrText xml:space="preserve"> PAGEREF _Toc494892435 \h </w:instrText>
        </w:r>
        <w:r w:rsidR="00211560">
          <w:rPr>
            <w:noProof/>
            <w:webHidden/>
          </w:rPr>
        </w:r>
        <w:r w:rsidR="00211560">
          <w:rPr>
            <w:noProof/>
            <w:webHidden/>
          </w:rPr>
          <w:fldChar w:fldCharType="separate"/>
        </w:r>
        <w:r w:rsidR="00211560">
          <w:rPr>
            <w:noProof/>
            <w:webHidden/>
          </w:rPr>
          <w:t>21</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36" w:history="1">
        <w:r w:rsidR="00211560" w:rsidRPr="00C0648F">
          <w:rPr>
            <w:rStyle w:val="Hyperlink"/>
            <w:noProof/>
          </w:rPr>
          <w:t>Table 7 Crops and areas converted to pressurised systems</w:t>
        </w:r>
        <w:r w:rsidR="00211560">
          <w:rPr>
            <w:noProof/>
            <w:webHidden/>
          </w:rPr>
          <w:tab/>
        </w:r>
        <w:r w:rsidR="00211560">
          <w:rPr>
            <w:noProof/>
            <w:webHidden/>
          </w:rPr>
          <w:fldChar w:fldCharType="begin"/>
        </w:r>
        <w:r w:rsidR="00211560">
          <w:rPr>
            <w:noProof/>
            <w:webHidden/>
          </w:rPr>
          <w:instrText xml:space="preserve"> PAGEREF _Toc494892436 \h </w:instrText>
        </w:r>
        <w:r w:rsidR="00211560">
          <w:rPr>
            <w:noProof/>
            <w:webHidden/>
          </w:rPr>
        </w:r>
        <w:r w:rsidR="00211560">
          <w:rPr>
            <w:noProof/>
            <w:webHidden/>
          </w:rPr>
          <w:fldChar w:fldCharType="separate"/>
        </w:r>
        <w:r w:rsidR="00211560">
          <w:rPr>
            <w:noProof/>
            <w:webHidden/>
          </w:rPr>
          <w:t>22</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37" w:history="1">
        <w:r w:rsidR="00211560" w:rsidRPr="00C0648F">
          <w:rPr>
            <w:rStyle w:val="Hyperlink"/>
            <w:noProof/>
          </w:rPr>
          <w:t>Table 8: On farm irrigation system changes under PIIOP and OFIEP</w:t>
        </w:r>
        <w:r w:rsidR="00211560">
          <w:rPr>
            <w:noProof/>
            <w:webHidden/>
          </w:rPr>
          <w:tab/>
        </w:r>
        <w:r w:rsidR="00211560">
          <w:rPr>
            <w:noProof/>
            <w:webHidden/>
          </w:rPr>
          <w:fldChar w:fldCharType="begin"/>
        </w:r>
        <w:r w:rsidR="00211560">
          <w:rPr>
            <w:noProof/>
            <w:webHidden/>
          </w:rPr>
          <w:instrText xml:space="preserve"> PAGEREF _Toc494892437 \h </w:instrText>
        </w:r>
        <w:r w:rsidR="00211560">
          <w:rPr>
            <w:noProof/>
            <w:webHidden/>
          </w:rPr>
        </w:r>
        <w:r w:rsidR="00211560">
          <w:rPr>
            <w:noProof/>
            <w:webHidden/>
          </w:rPr>
          <w:fldChar w:fldCharType="separate"/>
        </w:r>
        <w:r w:rsidR="00211560">
          <w:rPr>
            <w:noProof/>
            <w:webHidden/>
          </w:rPr>
          <w:t>23</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38" w:history="1">
        <w:r w:rsidR="00211560" w:rsidRPr="00C0648F">
          <w:rPr>
            <w:rStyle w:val="Hyperlink"/>
            <w:noProof/>
          </w:rPr>
          <w:t>Table 9: Annual increase in local economy value added from on farm productivity gains (2016 dollars)</w:t>
        </w:r>
        <w:r w:rsidR="00211560">
          <w:rPr>
            <w:noProof/>
            <w:webHidden/>
          </w:rPr>
          <w:tab/>
        </w:r>
        <w:r w:rsidR="00211560">
          <w:rPr>
            <w:noProof/>
            <w:webHidden/>
          </w:rPr>
          <w:fldChar w:fldCharType="begin"/>
        </w:r>
        <w:r w:rsidR="00211560">
          <w:rPr>
            <w:noProof/>
            <w:webHidden/>
          </w:rPr>
          <w:instrText xml:space="preserve"> PAGEREF _Toc494892438 \h </w:instrText>
        </w:r>
        <w:r w:rsidR="00211560">
          <w:rPr>
            <w:noProof/>
            <w:webHidden/>
          </w:rPr>
        </w:r>
        <w:r w:rsidR="00211560">
          <w:rPr>
            <w:noProof/>
            <w:webHidden/>
          </w:rPr>
          <w:fldChar w:fldCharType="separate"/>
        </w:r>
        <w:r w:rsidR="00211560">
          <w:rPr>
            <w:noProof/>
            <w:webHidden/>
          </w:rPr>
          <w:t>25</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39" w:history="1">
        <w:r w:rsidR="00211560" w:rsidRPr="00C0648F">
          <w:rPr>
            <w:rStyle w:val="Hyperlink"/>
            <w:noProof/>
          </w:rPr>
          <w:t>Table 10: Key PIIOP and OFIEP events timeline</w:t>
        </w:r>
        <w:r w:rsidR="00211560">
          <w:rPr>
            <w:noProof/>
            <w:webHidden/>
          </w:rPr>
          <w:tab/>
        </w:r>
        <w:r w:rsidR="00211560">
          <w:rPr>
            <w:noProof/>
            <w:webHidden/>
          </w:rPr>
          <w:fldChar w:fldCharType="begin"/>
        </w:r>
        <w:r w:rsidR="00211560">
          <w:rPr>
            <w:noProof/>
            <w:webHidden/>
          </w:rPr>
          <w:instrText xml:space="preserve"> PAGEREF _Toc494892439 \h </w:instrText>
        </w:r>
        <w:r w:rsidR="00211560">
          <w:rPr>
            <w:noProof/>
            <w:webHidden/>
          </w:rPr>
        </w:r>
        <w:r w:rsidR="00211560">
          <w:rPr>
            <w:noProof/>
            <w:webHidden/>
          </w:rPr>
          <w:fldChar w:fldCharType="separate"/>
        </w:r>
        <w:r w:rsidR="00211560">
          <w:rPr>
            <w:noProof/>
            <w:webHidden/>
          </w:rPr>
          <w:t>33</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40" w:history="1">
        <w:r w:rsidR="00211560" w:rsidRPr="00C0648F">
          <w:rPr>
            <w:rStyle w:val="Hyperlink"/>
            <w:noProof/>
          </w:rPr>
          <w:t>Table 11: Estimate of local and regional value added from construction phase by year (nominal dollars $m) – Static Approach</w:t>
        </w:r>
        <w:r w:rsidR="00211560">
          <w:rPr>
            <w:noProof/>
            <w:webHidden/>
          </w:rPr>
          <w:tab/>
        </w:r>
        <w:r w:rsidR="00211560">
          <w:rPr>
            <w:noProof/>
            <w:webHidden/>
          </w:rPr>
          <w:fldChar w:fldCharType="begin"/>
        </w:r>
        <w:r w:rsidR="00211560">
          <w:rPr>
            <w:noProof/>
            <w:webHidden/>
          </w:rPr>
          <w:instrText xml:space="preserve"> PAGEREF _Toc494892440 \h </w:instrText>
        </w:r>
        <w:r w:rsidR="00211560">
          <w:rPr>
            <w:noProof/>
            <w:webHidden/>
          </w:rPr>
        </w:r>
        <w:r w:rsidR="00211560">
          <w:rPr>
            <w:noProof/>
            <w:webHidden/>
          </w:rPr>
          <w:fldChar w:fldCharType="separate"/>
        </w:r>
        <w:r w:rsidR="00211560">
          <w:rPr>
            <w:noProof/>
            <w:webHidden/>
          </w:rPr>
          <w:t>34</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41" w:history="1">
        <w:r w:rsidR="00211560" w:rsidRPr="00C0648F">
          <w:rPr>
            <w:rStyle w:val="Hyperlink"/>
            <w:noProof/>
          </w:rPr>
          <w:t>Table 12: Estimate of local and regional value added from construction phase by year (2016 dollars $m) – Static Approach</w:t>
        </w:r>
        <w:r w:rsidR="00211560">
          <w:rPr>
            <w:noProof/>
            <w:webHidden/>
          </w:rPr>
          <w:tab/>
        </w:r>
        <w:r w:rsidR="00211560">
          <w:rPr>
            <w:noProof/>
            <w:webHidden/>
          </w:rPr>
          <w:fldChar w:fldCharType="begin"/>
        </w:r>
        <w:r w:rsidR="00211560">
          <w:rPr>
            <w:noProof/>
            <w:webHidden/>
          </w:rPr>
          <w:instrText xml:space="preserve"> PAGEREF _Toc494892441 \h </w:instrText>
        </w:r>
        <w:r w:rsidR="00211560">
          <w:rPr>
            <w:noProof/>
            <w:webHidden/>
          </w:rPr>
        </w:r>
        <w:r w:rsidR="00211560">
          <w:rPr>
            <w:noProof/>
            <w:webHidden/>
          </w:rPr>
          <w:fldChar w:fldCharType="separate"/>
        </w:r>
        <w:r w:rsidR="00211560">
          <w:rPr>
            <w:noProof/>
            <w:webHidden/>
          </w:rPr>
          <w:t>34</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42" w:history="1">
        <w:r w:rsidR="00211560" w:rsidRPr="00C0648F">
          <w:rPr>
            <w:rStyle w:val="Hyperlink"/>
            <w:noProof/>
          </w:rPr>
          <w:t>Table 13: Estimated annual local economy contribution (nominal dollars $million) – Static Approach</w:t>
        </w:r>
        <w:r w:rsidR="00211560">
          <w:rPr>
            <w:noProof/>
            <w:webHidden/>
          </w:rPr>
          <w:tab/>
        </w:r>
        <w:r w:rsidR="00211560">
          <w:rPr>
            <w:noProof/>
            <w:webHidden/>
          </w:rPr>
          <w:fldChar w:fldCharType="begin"/>
        </w:r>
        <w:r w:rsidR="00211560">
          <w:rPr>
            <w:noProof/>
            <w:webHidden/>
          </w:rPr>
          <w:instrText xml:space="preserve"> PAGEREF _Toc494892442 \h </w:instrText>
        </w:r>
        <w:r w:rsidR="00211560">
          <w:rPr>
            <w:noProof/>
            <w:webHidden/>
          </w:rPr>
        </w:r>
        <w:r w:rsidR="00211560">
          <w:rPr>
            <w:noProof/>
            <w:webHidden/>
          </w:rPr>
          <w:fldChar w:fldCharType="separate"/>
        </w:r>
        <w:r w:rsidR="00211560">
          <w:rPr>
            <w:noProof/>
            <w:webHidden/>
          </w:rPr>
          <w:t>35</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43" w:history="1">
        <w:r w:rsidR="00211560" w:rsidRPr="00C0648F">
          <w:rPr>
            <w:rStyle w:val="Hyperlink"/>
            <w:noProof/>
          </w:rPr>
          <w:t>Table 14: Estimated annual local economy contribution (2016 dollars $million)</w:t>
        </w:r>
        <w:r w:rsidR="00211560">
          <w:rPr>
            <w:noProof/>
            <w:webHidden/>
          </w:rPr>
          <w:tab/>
        </w:r>
        <w:r w:rsidR="00211560">
          <w:rPr>
            <w:noProof/>
            <w:webHidden/>
          </w:rPr>
          <w:fldChar w:fldCharType="begin"/>
        </w:r>
        <w:r w:rsidR="00211560">
          <w:rPr>
            <w:noProof/>
            <w:webHidden/>
          </w:rPr>
          <w:instrText xml:space="preserve"> PAGEREF _Toc494892443 \h </w:instrText>
        </w:r>
        <w:r w:rsidR="00211560">
          <w:rPr>
            <w:noProof/>
            <w:webHidden/>
          </w:rPr>
        </w:r>
        <w:r w:rsidR="00211560">
          <w:rPr>
            <w:noProof/>
            <w:webHidden/>
          </w:rPr>
          <w:fldChar w:fldCharType="separate"/>
        </w:r>
        <w:r w:rsidR="00211560">
          <w:rPr>
            <w:noProof/>
            <w:webHidden/>
          </w:rPr>
          <w:t>36</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44" w:history="1">
        <w:r w:rsidR="00211560" w:rsidRPr="00C0648F">
          <w:rPr>
            <w:rStyle w:val="Hyperlink"/>
            <w:noProof/>
          </w:rPr>
          <w:t>Table 15: Estimate of local investment in MIA (nominal dollars $million)</w:t>
        </w:r>
        <w:r w:rsidR="00211560">
          <w:rPr>
            <w:noProof/>
            <w:webHidden/>
          </w:rPr>
          <w:tab/>
        </w:r>
        <w:r w:rsidR="00211560">
          <w:rPr>
            <w:noProof/>
            <w:webHidden/>
          </w:rPr>
          <w:fldChar w:fldCharType="begin"/>
        </w:r>
        <w:r w:rsidR="00211560">
          <w:rPr>
            <w:noProof/>
            <w:webHidden/>
          </w:rPr>
          <w:instrText xml:space="preserve"> PAGEREF _Toc494892444 \h </w:instrText>
        </w:r>
        <w:r w:rsidR="00211560">
          <w:rPr>
            <w:noProof/>
            <w:webHidden/>
          </w:rPr>
        </w:r>
        <w:r w:rsidR="00211560">
          <w:rPr>
            <w:noProof/>
            <w:webHidden/>
          </w:rPr>
          <w:fldChar w:fldCharType="separate"/>
        </w:r>
        <w:r w:rsidR="00211560">
          <w:rPr>
            <w:noProof/>
            <w:webHidden/>
          </w:rPr>
          <w:t>39</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45" w:history="1">
        <w:r w:rsidR="00211560" w:rsidRPr="00C0648F">
          <w:rPr>
            <w:rStyle w:val="Hyperlink"/>
            <w:noProof/>
          </w:rPr>
          <w:t>Table 16: VU TERM Annual investment ‘shocks’ (dollars million)</w:t>
        </w:r>
        <w:r w:rsidR="00211560">
          <w:rPr>
            <w:noProof/>
            <w:webHidden/>
          </w:rPr>
          <w:tab/>
        </w:r>
        <w:r w:rsidR="00211560">
          <w:rPr>
            <w:noProof/>
            <w:webHidden/>
          </w:rPr>
          <w:fldChar w:fldCharType="begin"/>
        </w:r>
        <w:r w:rsidR="00211560">
          <w:rPr>
            <w:noProof/>
            <w:webHidden/>
          </w:rPr>
          <w:instrText xml:space="preserve"> PAGEREF _Toc494892445 \h </w:instrText>
        </w:r>
        <w:r w:rsidR="00211560">
          <w:rPr>
            <w:noProof/>
            <w:webHidden/>
          </w:rPr>
        </w:r>
        <w:r w:rsidR="00211560">
          <w:rPr>
            <w:noProof/>
            <w:webHidden/>
          </w:rPr>
          <w:fldChar w:fldCharType="separate"/>
        </w:r>
        <w:r w:rsidR="00211560">
          <w:rPr>
            <w:noProof/>
            <w:webHidden/>
          </w:rPr>
          <w:t>39</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46" w:history="1">
        <w:r w:rsidR="00211560" w:rsidRPr="00C0648F">
          <w:rPr>
            <w:rStyle w:val="Hyperlink"/>
            <w:noProof/>
          </w:rPr>
          <w:t>Table 17: VU TERM industry productivity shocks</w:t>
        </w:r>
        <w:r w:rsidR="00211560">
          <w:rPr>
            <w:noProof/>
            <w:webHidden/>
          </w:rPr>
          <w:tab/>
        </w:r>
        <w:r w:rsidR="00211560">
          <w:rPr>
            <w:noProof/>
            <w:webHidden/>
          </w:rPr>
          <w:fldChar w:fldCharType="begin"/>
        </w:r>
        <w:r w:rsidR="00211560">
          <w:rPr>
            <w:noProof/>
            <w:webHidden/>
          </w:rPr>
          <w:instrText xml:space="preserve"> PAGEREF _Toc494892446 \h </w:instrText>
        </w:r>
        <w:r w:rsidR="00211560">
          <w:rPr>
            <w:noProof/>
            <w:webHidden/>
          </w:rPr>
        </w:r>
        <w:r w:rsidR="00211560">
          <w:rPr>
            <w:noProof/>
            <w:webHidden/>
          </w:rPr>
          <w:fldChar w:fldCharType="separate"/>
        </w:r>
        <w:r w:rsidR="00211560">
          <w:rPr>
            <w:noProof/>
            <w:webHidden/>
          </w:rPr>
          <w:t>40</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47" w:history="1">
        <w:r w:rsidR="00211560" w:rsidRPr="00C0648F">
          <w:rPr>
            <w:rStyle w:val="Hyperlink"/>
            <w:noProof/>
          </w:rPr>
          <w:t>Table 18: Estimated total local economy Real GDP impact of PIIOP and OFIEP in the Griffith region</w:t>
        </w:r>
        <w:r w:rsidR="00211560">
          <w:rPr>
            <w:noProof/>
            <w:webHidden/>
          </w:rPr>
          <w:tab/>
        </w:r>
        <w:r w:rsidR="00211560">
          <w:rPr>
            <w:noProof/>
            <w:webHidden/>
          </w:rPr>
          <w:fldChar w:fldCharType="begin"/>
        </w:r>
        <w:r w:rsidR="00211560">
          <w:rPr>
            <w:noProof/>
            <w:webHidden/>
          </w:rPr>
          <w:instrText xml:space="preserve"> PAGEREF _Toc494892447 \h </w:instrText>
        </w:r>
        <w:r w:rsidR="00211560">
          <w:rPr>
            <w:noProof/>
            <w:webHidden/>
          </w:rPr>
        </w:r>
        <w:r w:rsidR="00211560">
          <w:rPr>
            <w:noProof/>
            <w:webHidden/>
          </w:rPr>
          <w:fldChar w:fldCharType="separate"/>
        </w:r>
        <w:r w:rsidR="00211560">
          <w:rPr>
            <w:noProof/>
            <w:webHidden/>
          </w:rPr>
          <w:t>43</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48" w:history="1">
        <w:r w:rsidR="00211560" w:rsidRPr="00C0648F">
          <w:rPr>
            <w:rStyle w:val="Hyperlink"/>
            <w:noProof/>
          </w:rPr>
          <w:t>Table 19: PIIOP off-farm expenditure Round 1 GST Exclusive $million</w:t>
        </w:r>
        <w:r w:rsidR="00211560">
          <w:rPr>
            <w:noProof/>
            <w:webHidden/>
          </w:rPr>
          <w:tab/>
        </w:r>
        <w:r w:rsidR="00211560">
          <w:rPr>
            <w:noProof/>
            <w:webHidden/>
          </w:rPr>
          <w:fldChar w:fldCharType="begin"/>
        </w:r>
        <w:r w:rsidR="00211560">
          <w:rPr>
            <w:noProof/>
            <w:webHidden/>
          </w:rPr>
          <w:instrText xml:space="preserve"> PAGEREF _Toc494892448 \h </w:instrText>
        </w:r>
        <w:r w:rsidR="00211560">
          <w:rPr>
            <w:noProof/>
            <w:webHidden/>
          </w:rPr>
        </w:r>
        <w:r w:rsidR="00211560">
          <w:rPr>
            <w:noProof/>
            <w:webHidden/>
          </w:rPr>
          <w:fldChar w:fldCharType="separate"/>
        </w:r>
        <w:r w:rsidR="00211560">
          <w:rPr>
            <w:noProof/>
            <w:webHidden/>
          </w:rPr>
          <w:t>47</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49" w:history="1">
        <w:r w:rsidR="00211560" w:rsidRPr="00C0648F">
          <w:rPr>
            <w:rStyle w:val="Hyperlink"/>
            <w:noProof/>
          </w:rPr>
          <w:t>Table 20: PIIOP off-farm expenditure Round 2 GST Exclusive $million</w:t>
        </w:r>
        <w:r w:rsidR="00211560">
          <w:rPr>
            <w:noProof/>
            <w:webHidden/>
          </w:rPr>
          <w:tab/>
        </w:r>
        <w:r w:rsidR="00211560">
          <w:rPr>
            <w:noProof/>
            <w:webHidden/>
          </w:rPr>
          <w:fldChar w:fldCharType="begin"/>
        </w:r>
        <w:r w:rsidR="00211560">
          <w:rPr>
            <w:noProof/>
            <w:webHidden/>
          </w:rPr>
          <w:instrText xml:space="preserve"> PAGEREF _Toc494892449 \h </w:instrText>
        </w:r>
        <w:r w:rsidR="00211560">
          <w:rPr>
            <w:noProof/>
            <w:webHidden/>
          </w:rPr>
        </w:r>
        <w:r w:rsidR="00211560">
          <w:rPr>
            <w:noProof/>
            <w:webHidden/>
          </w:rPr>
          <w:fldChar w:fldCharType="separate"/>
        </w:r>
        <w:r w:rsidR="00211560">
          <w:rPr>
            <w:noProof/>
            <w:webHidden/>
          </w:rPr>
          <w:t>47</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50" w:history="1">
        <w:r w:rsidR="00211560" w:rsidRPr="00C0648F">
          <w:rPr>
            <w:rStyle w:val="Hyperlink"/>
            <w:noProof/>
          </w:rPr>
          <w:t>Table 21: PIIOP off-farm expenditure Round 3 GST Exclusive $million</w:t>
        </w:r>
        <w:r w:rsidR="00211560">
          <w:rPr>
            <w:noProof/>
            <w:webHidden/>
          </w:rPr>
          <w:tab/>
        </w:r>
        <w:r w:rsidR="00211560">
          <w:rPr>
            <w:noProof/>
            <w:webHidden/>
          </w:rPr>
          <w:fldChar w:fldCharType="begin"/>
        </w:r>
        <w:r w:rsidR="00211560">
          <w:rPr>
            <w:noProof/>
            <w:webHidden/>
          </w:rPr>
          <w:instrText xml:space="preserve"> PAGEREF _Toc494892450 \h </w:instrText>
        </w:r>
        <w:r w:rsidR="00211560">
          <w:rPr>
            <w:noProof/>
            <w:webHidden/>
          </w:rPr>
        </w:r>
        <w:r w:rsidR="00211560">
          <w:rPr>
            <w:noProof/>
            <w:webHidden/>
          </w:rPr>
          <w:fldChar w:fldCharType="separate"/>
        </w:r>
        <w:r w:rsidR="00211560">
          <w:rPr>
            <w:noProof/>
            <w:webHidden/>
          </w:rPr>
          <w:t>48</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51" w:history="1">
        <w:r w:rsidR="00211560" w:rsidRPr="00C0648F">
          <w:rPr>
            <w:rStyle w:val="Hyperlink"/>
            <w:noProof/>
          </w:rPr>
          <w:t>Table 22: PIIOP on-farm expenditure GST Exclusive $million</w:t>
        </w:r>
        <w:r w:rsidR="00211560">
          <w:rPr>
            <w:noProof/>
            <w:webHidden/>
          </w:rPr>
          <w:tab/>
        </w:r>
        <w:r w:rsidR="00211560">
          <w:rPr>
            <w:noProof/>
            <w:webHidden/>
          </w:rPr>
          <w:fldChar w:fldCharType="begin"/>
        </w:r>
        <w:r w:rsidR="00211560">
          <w:rPr>
            <w:noProof/>
            <w:webHidden/>
          </w:rPr>
          <w:instrText xml:space="preserve"> PAGEREF _Toc494892451 \h </w:instrText>
        </w:r>
        <w:r w:rsidR="00211560">
          <w:rPr>
            <w:noProof/>
            <w:webHidden/>
          </w:rPr>
        </w:r>
        <w:r w:rsidR="00211560">
          <w:rPr>
            <w:noProof/>
            <w:webHidden/>
          </w:rPr>
          <w:fldChar w:fldCharType="separate"/>
        </w:r>
        <w:r w:rsidR="00211560">
          <w:rPr>
            <w:noProof/>
            <w:webHidden/>
          </w:rPr>
          <w:t>48</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52" w:history="1">
        <w:r w:rsidR="00211560" w:rsidRPr="00C0648F">
          <w:rPr>
            <w:rStyle w:val="Hyperlink"/>
            <w:noProof/>
          </w:rPr>
          <w:t>Table 23: OFIEP expenditure – Round 1 GST Exclusive $million</w:t>
        </w:r>
        <w:r w:rsidR="00211560">
          <w:rPr>
            <w:noProof/>
            <w:webHidden/>
          </w:rPr>
          <w:tab/>
        </w:r>
        <w:r w:rsidR="00211560">
          <w:rPr>
            <w:noProof/>
            <w:webHidden/>
          </w:rPr>
          <w:fldChar w:fldCharType="begin"/>
        </w:r>
        <w:r w:rsidR="00211560">
          <w:rPr>
            <w:noProof/>
            <w:webHidden/>
          </w:rPr>
          <w:instrText xml:space="preserve"> PAGEREF _Toc494892452 \h </w:instrText>
        </w:r>
        <w:r w:rsidR="00211560">
          <w:rPr>
            <w:noProof/>
            <w:webHidden/>
          </w:rPr>
        </w:r>
        <w:r w:rsidR="00211560">
          <w:rPr>
            <w:noProof/>
            <w:webHidden/>
          </w:rPr>
          <w:fldChar w:fldCharType="separate"/>
        </w:r>
        <w:r w:rsidR="00211560">
          <w:rPr>
            <w:noProof/>
            <w:webHidden/>
          </w:rPr>
          <w:t>48</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53" w:history="1">
        <w:r w:rsidR="00211560" w:rsidRPr="00C0648F">
          <w:rPr>
            <w:rStyle w:val="Hyperlink"/>
            <w:noProof/>
          </w:rPr>
          <w:t>Table 24: OFIEP expenditure – Round 3 GST Exclusive $million</w:t>
        </w:r>
        <w:r w:rsidR="00211560">
          <w:rPr>
            <w:noProof/>
            <w:webHidden/>
          </w:rPr>
          <w:tab/>
        </w:r>
        <w:r w:rsidR="00211560">
          <w:rPr>
            <w:noProof/>
            <w:webHidden/>
          </w:rPr>
          <w:fldChar w:fldCharType="begin"/>
        </w:r>
        <w:r w:rsidR="00211560">
          <w:rPr>
            <w:noProof/>
            <w:webHidden/>
          </w:rPr>
          <w:instrText xml:space="preserve"> PAGEREF _Toc494892453 \h </w:instrText>
        </w:r>
        <w:r w:rsidR="00211560">
          <w:rPr>
            <w:noProof/>
            <w:webHidden/>
          </w:rPr>
        </w:r>
        <w:r w:rsidR="00211560">
          <w:rPr>
            <w:noProof/>
            <w:webHidden/>
          </w:rPr>
          <w:fldChar w:fldCharType="separate"/>
        </w:r>
        <w:r w:rsidR="00211560">
          <w:rPr>
            <w:noProof/>
            <w:webHidden/>
          </w:rPr>
          <w:t>49</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54" w:history="1">
        <w:r w:rsidR="00211560" w:rsidRPr="00C0648F">
          <w:rPr>
            <w:rStyle w:val="Hyperlink"/>
            <w:noProof/>
          </w:rPr>
          <w:t>Table 25: OFIEP expenditure – Round 5 GST Exclusive $million</w:t>
        </w:r>
        <w:r w:rsidR="00211560">
          <w:rPr>
            <w:noProof/>
            <w:webHidden/>
          </w:rPr>
          <w:tab/>
        </w:r>
        <w:r w:rsidR="00211560">
          <w:rPr>
            <w:noProof/>
            <w:webHidden/>
          </w:rPr>
          <w:fldChar w:fldCharType="begin"/>
        </w:r>
        <w:r w:rsidR="00211560">
          <w:rPr>
            <w:noProof/>
            <w:webHidden/>
          </w:rPr>
          <w:instrText xml:space="preserve"> PAGEREF _Toc494892454 \h </w:instrText>
        </w:r>
        <w:r w:rsidR="00211560">
          <w:rPr>
            <w:noProof/>
            <w:webHidden/>
          </w:rPr>
        </w:r>
        <w:r w:rsidR="00211560">
          <w:rPr>
            <w:noProof/>
            <w:webHidden/>
          </w:rPr>
          <w:fldChar w:fldCharType="separate"/>
        </w:r>
        <w:r w:rsidR="00211560">
          <w:rPr>
            <w:noProof/>
            <w:webHidden/>
          </w:rPr>
          <w:t>49</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55" w:history="1">
        <w:r w:rsidR="00211560" w:rsidRPr="00C0648F">
          <w:rPr>
            <w:rStyle w:val="Hyperlink"/>
            <w:noProof/>
          </w:rPr>
          <w:t>Table 26: PIIOP off-farm All Rounds final expenditure (GST Exclusive) $ million</w:t>
        </w:r>
        <w:r w:rsidR="00211560">
          <w:rPr>
            <w:noProof/>
            <w:webHidden/>
          </w:rPr>
          <w:tab/>
        </w:r>
        <w:r w:rsidR="00211560">
          <w:rPr>
            <w:noProof/>
            <w:webHidden/>
          </w:rPr>
          <w:fldChar w:fldCharType="begin"/>
        </w:r>
        <w:r w:rsidR="00211560">
          <w:rPr>
            <w:noProof/>
            <w:webHidden/>
          </w:rPr>
          <w:instrText xml:space="preserve"> PAGEREF _Toc494892455 \h </w:instrText>
        </w:r>
        <w:r w:rsidR="00211560">
          <w:rPr>
            <w:noProof/>
            <w:webHidden/>
          </w:rPr>
        </w:r>
        <w:r w:rsidR="00211560">
          <w:rPr>
            <w:noProof/>
            <w:webHidden/>
          </w:rPr>
          <w:fldChar w:fldCharType="separate"/>
        </w:r>
        <w:r w:rsidR="00211560">
          <w:rPr>
            <w:noProof/>
            <w:webHidden/>
          </w:rPr>
          <w:t>50</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56" w:history="1">
        <w:r w:rsidR="00211560" w:rsidRPr="00C0648F">
          <w:rPr>
            <w:rStyle w:val="Hyperlink"/>
            <w:noProof/>
          </w:rPr>
          <w:t>Table 27: PIIOP on-farm goods and services (GST Exclusive) $million</w:t>
        </w:r>
        <w:r w:rsidR="00211560">
          <w:rPr>
            <w:noProof/>
            <w:webHidden/>
          </w:rPr>
          <w:tab/>
        </w:r>
        <w:r w:rsidR="00211560">
          <w:rPr>
            <w:noProof/>
            <w:webHidden/>
          </w:rPr>
          <w:fldChar w:fldCharType="begin"/>
        </w:r>
        <w:r w:rsidR="00211560">
          <w:rPr>
            <w:noProof/>
            <w:webHidden/>
          </w:rPr>
          <w:instrText xml:space="preserve"> PAGEREF _Toc494892456 \h </w:instrText>
        </w:r>
        <w:r w:rsidR="00211560">
          <w:rPr>
            <w:noProof/>
            <w:webHidden/>
          </w:rPr>
        </w:r>
        <w:r w:rsidR="00211560">
          <w:rPr>
            <w:noProof/>
            <w:webHidden/>
          </w:rPr>
          <w:fldChar w:fldCharType="separate"/>
        </w:r>
        <w:r w:rsidR="00211560">
          <w:rPr>
            <w:noProof/>
            <w:webHidden/>
          </w:rPr>
          <w:t>51</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57" w:history="1">
        <w:r w:rsidR="00211560" w:rsidRPr="00C0648F">
          <w:rPr>
            <w:rStyle w:val="Hyperlink"/>
            <w:noProof/>
          </w:rPr>
          <w:t>Table 28: OFIEP All Rounds goods and services (GST Exclusive) $million</w:t>
        </w:r>
        <w:r w:rsidR="00211560">
          <w:rPr>
            <w:noProof/>
            <w:webHidden/>
          </w:rPr>
          <w:tab/>
        </w:r>
        <w:r w:rsidR="00211560">
          <w:rPr>
            <w:noProof/>
            <w:webHidden/>
          </w:rPr>
          <w:fldChar w:fldCharType="begin"/>
        </w:r>
        <w:r w:rsidR="00211560">
          <w:rPr>
            <w:noProof/>
            <w:webHidden/>
          </w:rPr>
          <w:instrText xml:space="preserve"> PAGEREF _Toc494892457 \h </w:instrText>
        </w:r>
        <w:r w:rsidR="00211560">
          <w:rPr>
            <w:noProof/>
            <w:webHidden/>
          </w:rPr>
        </w:r>
        <w:r w:rsidR="00211560">
          <w:rPr>
            <w:noProof/>
            <w:webHidden/>
          </w:rPr>
          <w:fldChar w:fldCharType="separate"/>
        </w:r>
        <w:r w:rsidR="00211560">
          <w:rPr>
            <w:noProof/>
            <w:webHidden/>
          </w:rPr>
          <w:t>51</w:t>
        </w:r>
        <w:r w:rsidR="00211560">
          <w:rPr>
            <w:noProof/>
            <w:webHidden/>
          </w:rPr>
          <w:fldChar w:fldCharType="end"/>
        </w:r>
      </w:hyperlink>
    </w:p>
    <w:p w:rsidR="00F80890" w:rsidRDefault="00930EED" w:rsidP="00F80890">
      <w:pPr>
        <w:pStyle w:val="TableofFigures"/>
      </w:pPr>
      <w:r>
        <w:fldChar w:fldCharType="end"/>
      </w:r>
    </w:p>
    <w:p w:rsidR="00DA0FE1" w:rsidRDefault="00DA0FE1">
      <w:r>
        <w:br w:type="page"/>
      </w:r>
    </w:p>
    <w:p w:rsidR="00F80890" w:rsidRPr="00661263" w:rsidRDefault="00F80890" w:rsidP="00F80890">
      <w:pPr>
        <w:rPr>
          <w:rFonts w:ascii="Arial" w:hAnsi="Arial" w:cs="Arial"/>
          <w:sz w:val="18"/>
          <w:szCs w:val="18"/>
        </w:rPr>
      </w:pPr>
      <w:r>
        <w:rPr>
          <w:rFonts w:ascii="Corbel" w:hAnsi="Corbel" w:cs="Arial"/>
          <w:b/>
          <w:smallCaps/>
          <w:color w:val="0093D0"/>
          <w:sz w:val="28"/>
          <w:szCs w:val="28"/>
        </w:rPr>
        <w:t>List of Figures</w:t>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t xml:space="preserve">    </w:t>
      </w:r>
      <w:r w:rsidRPr="00661263">
        <w:rPr>
          <w:rFonts w:ascii="Corbel" w:hAnsi="Corbel" w:cs="Arial"/>
          <w:sz w:val="18"/>
          <w:szCs w:val="18"/>
        </w:rPr>
        <w:t>Page</w:t>
      </w:r>
    </w:p>
    <w:p w:rsidR="00211560" w:rsidRDefault="00930EED">
      <w:pPr>
        <w:pStyle w:val="TableofFigures"/>
        <w:tabs>
          <w:tab w:val="right" w:leader="dot" w:pos="8494"/>
        </w:tabs>
        <w:rPr>
          <w:rFonts w:asciiTheme="minorHAnsi" w:eastAsiaTheme="minorEastAsia" w:hAnsiTheme="minorHAnsi" w:cstheme="minorBidi"/>
          <w:noProof/>
          <w:sz w:val="22"/>
          <w:szCs w:val="22"/>
        </w:rPr>
      </w:pPr>
      <w:r>
        <w:rPr>
          <w:rFonts w:cs="Arial"/>
          <w:b/>
        </w:rPr>
        <w:fldChar w:fldCharType="begin"/>
      </w:r>
      <w:r w:rsidR="00F80890">
        <w:rPr>
          <w:rFonts w:cs="Arial"/>
          <w:b/>
        </w:rPr>
        <w:instrText xml:space="preserve"> TOC \h \z \c "Figure" </w:instrText>
      </w:r>
      <w:r>
        <w:rPr>
          <w:rFonts w:cs="Arial"/>
          <w:b/>
        </w:rPr>
        <w:fldChar w:fldCharType="separate"/>
      </w:r>
      <w:hyperlink w:anchor="_Toc494892415" w:history="1">
        <w:r w:rsidR="00211560" w:rsidRPr="00C0645D">
          <w:rPr>
            <w:rStyle w:val="Hyperlink"/>
            <w:noProof/>
          </w:rPr>
          <w:t>Figure 1: Modules</w:t>
        </w:r>
        <w:r w:rsidR="00211560">
          <w:rPr>
            <w:noProof/>
            <w:webHidden/>
          </w:rPr>
          <w:tab/>
        </w:r>
        <w:r w:rsidR="00211560">
          <w:rPr>
            <w:noProof/>
            <w:webHidden/>
          </w:rPr>
          <w:fldChar w:fldCharType="begin"/>
        </w:r>
        <w:r w:rsidR="00211560">
          <w:rPr>
            <w:noProof/>
            <w:webHidden/>
          </w:rPr>
          <w:instrText xml:space="preserve"> PAGEREF _Toc494892415 \h </w:instrText>
        </w:r>
        <w:r w:rsidR="00211560">
          <w:rPr>
            <w:noProof/>
            <w:webHidden/>
          </w:rPr>
        </w:r>
        <w:r w:rsidR="00211560">
          <w:rPr>
            <w:noProof/>
            <w:webHidden/>
          </w:rPr>
          <w:fldChar w:fldCharType="separate"/>
        </w:r>
        <w:r w:rsidR="00211560">
          <w:rPr>
            <w:noProof/>
            <w:webHidden/>
          </w:rPr>
          <w:t>2</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16" w:history="1">
        <w:r w:rsidR="00211560" w:rsidRPr="00C0645D">
          <w:rPr>
            <w:rStyle w:val="Hyperlink"/>
            <w:noProof/>
          </w:rPr>
          <w:t>Figure 2: Key project tasks</w:t>
        </w:r>
        <w:r w:rsidR="00211560">
          <w:rPr>
            <w:noProof/>
            <w:webHidden/>
          </w:rPr>
          <w:tab/>
        </w:r>
        <w:r w:rsidR="00211560">
          <w:rPr>
            <w:noProof/>
            <w:webHidden/>
          </w:rPr>
          <w:fldChar w:fldCharType="begin"/>
        </w:r>
        <w:r w:rsidR="00211560">
          <w:rPr>
            <w:noProof/>
            <w:webHidden/>
          </w:rPr>
          <w:instrText xml:space="preserve"> PAGEREF _Toc494892416 \h </w:instrText>
        </w:r>
        <w:r w:rsidR="00211560">
          <w:rPr>
            <w:noProof/>
            <w:webHidden/>
          </w:rPr>
        </w:r>
        <w:r w:rsidR="00211560">
          <w:rPr>
            <w:noProof/>
            <w:webHidden/>
          </w:rPr>
          <w:fldChar w:fldCharType="separate"/>
        </w:r>
        <w:r w:rsidR="00211560">
          <w:rPr>
            <w:noProof/>
            <w:webHidden/>
          </w:rPr>
          <w:t>2</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17" w:history="1">
        <w:r w:rsidR="00211560" w:rsidRPr="00C0645D">
          <w:rPr>
            <w:rStyle w:val="Hyperlink"/>
            <w:noProof/>
          </w:rPr>
          <w:t>Figure 3: Murrumbidgee Valley and Irrigation Area</w:t>
        </w:r>
        <w:r w:rsidR="00211560">
          <w:rPr>
            <w:noProof/>
            <w:webHidden/>
          </w:rPr>
          <w:tab/>
        </w:r>
        <w:r w:rsidR="00211560">
          <w:rPr>
            <w:noProof/>
            <w:webHidden/>
          </w:rPr>
          <w:fldChar w:fldCharType="begin"/>
        </w:r>
        <w:r w:rsidR="00211560">
          <w:rPr>
            <w:noProof/>
            <w:webHidden/>
          </w:rPr>
          <w:instrText xml:space="preserve"> PAGEREF _Toc494892417 \h </w:instrText>
        </w:r>
        <w:r w:rsidR="00211560">
          <w:rPr>
            <w:noProof/>
            <w:webHidden/>
          </w:rPr>
        </w:r>
        <w:r w:rsidR="00211560">
          <w:rPr>
            <w:noProof/>
            <w:webHidden/>
          </w:rPr>
          <w:fldChar w:fldCharType="separate"/>
        </w:r>
        <w:r w:rsidR="00211560">
          <w:rPr>
            <w:noProof/>
            <w:webHidden/>
          </w:rPr>
          <w:t>4</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18" w:history="1">
        <w:r w:rsidR="00211560" w:rsidRPr="00C0645D">
          <w:rPr>
            <w:rStyle w:val="Hyperlink"/>
            <w:noProof/>
          </w:rPr>
          <w:t>Figure 4: MIA Commonwealth program summary</w:t>
        </w:r>
        <w:r w:rsidR="00211560">
          <w:rPr>
            <w:noProof/>
            <w:webHidden/>
          </w:rPr>
          <w:tab/>
        </w:r>
        <w:r w:rsidR="00211560">
          <w:rPr>
            <w:noProof/>
            <w:webHidden/>
          </w:rPr>
          <w:fldChar w:fldCharType="begin"/>
        </w:r>
        <w:r w:rsidR="00211560">
          <w:rPr>
            <w:noProof/>
            <w:webHidden/>
          </w:rPr>
          <w:instrText xml:space="preserve"> PAGEREF _Toc494892418 \h </w:instrText>
        </w:r>
        <w:r w:rsidR="00211560">
          <w:rPr>
            <w:noProof/>
            <w:webHidden/>
          </w:rPr>
        </w:r>
        <w:r w:rsidR="00211560">
          <w:rPr>
            <w:noProof/>
            <w:webHidden/>
          </w:rPr>
          <w:fldChar w:fldCharType="separate"/>
        </w:r>
        <w:r w:rsidR="00211560">
          <w:rPr>
            <w:noProof/>
            <w:webHidden/>
          </w:rPr>
          <w:t>6</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19" w:history="1">
        <w:r w:rsidR="00211560" w:rsidRPr="00C0645D">
          <w:rPr>
            <w:rStyle w:val="Hyperlink"/>
            <w:noProof/>
          </w:rPr>
          <w:t>Figure 5: General model of local value added</w:t>
        </w:r>
        <w:r w:rsidR="00211560">
          <w:rPr>
            <w:noProof/>
            <w:webHidden/>
          </w:rPr>
          <w:tab/>
        </w:r>
        <w:r w:rsidR="00211560">
          <w:rPr>
            <w:noProof/>
            <w:webHidden/>
          </w:rPr>
          <w:fldChar w:fldCharType="begin"/>
        </w:r>
        <w:r w:rsidR="00211560">
          <w:rPr>
            <w:noProof/>
            <w:webHidden/>
          </w:rPr>
          <w:instrText xml:space="preserve"> PAGEREF _Toc494892419 \h </w:instrText>
        </w:r>
        <w:r w:rsidR="00211560">
          <w:rPr>
            <w:noProof/>
            <w:webHidden/>
          </w:rPr>
        </w:r>
        <w:r w:rsidR="00211560">
          <w:rPr>
            <w:noProof/>
            <w:webHidden/>
          </w:rPr>
          <w:fldChar w:fldCharType="separate"/>
        </w:r>
        <w:r w:rsidR="00211560">
          <w:rPr>
            <w:noProof/>
            <w:webHidden/>
          </w:rPr>
          <w:t>10</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20" w:history="1">
        <w:r w:rsidR="00211560" w:rsidRPr="00C0645D">
          <w:rPr>
            <w:rStyle w:val="Hyperlink"/>
            <w:noProof/>
          </w:rPr>
          <w:t>Figure 6: Construction phase module</w:t>
        </w:r>
        <w:r w:rsidR="00211560">
          <w:rPr>
            <w:noProof/>
            <w:webHidden/>
          </w:rPr>
          <w:tab/>
        </w:r>
        <w:r w:rsidR="00211560">
          <w:rPr>
            <w:noProof/>
            <w:webHidden/>
          </w:rPr>
          <w:fldChar w:fldCharType="begin"/>
        </w:r>
        <w:r w:rsidR="00211560">
          <w:rPr>
            <w:noProof/>
            <w:webHidden/>
          </w:rPr>
          <w:instrText xml:space="preserve"> PAGEREF _Toc494892420 \h </w:instrText>
        </w:r>
        <w:r w:rsidR="00211560">
          <w:rPr>
            <w:noProof/>
            <w:webHidden/>
          </w:rPr>
        </w:r>
        <w:r w:rsidR="00211560">
          <w:rPr>
            <w:noProof/>
            <w:webHidden/>
          </w:rPr>
          <w:fldChar w:fldCharType="separate"/>
        </w:r>
        <w:r w:rsidR="00211560">
          <w:rPr>
            <w:noProof/>
            <w:webHidden/>
          </w:rPr>
          <w:t>12</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21" w:history="1">
        <w:r w:rsidR="00211560" w:rsidRPr="00C0645D">
          <w:rPr>
            <w:rStyle w:val="Hyperlink"/>
            <w:noProof/>
          </w:rPr>
          <w:t>Figure 7: Change in Murrumbidgee employment (per cent) due to investments</w:t>
        </w:r>
        <w:r w:rsidR="00211560">
          <w:rPr>
            <w:noProof/>
            <w:webHidden/>
          </w:rPr>
          <w:tab/>
        </w:r>
        <w:r w:rsidR="00211560">
          <w:rPr>
            <w:noProof/>
            <w:webHidden/>
          </w:rPr>
          <w:fldChar w:fldCharType="begin"/>
        </w:r>
        <w:r w:rsidR="00211560">
          <w:rPr>
            <w:noProof/>
            <w:webHidden/>
          </w:rPr>
          <w:instrText xml:space="preserve"> PAGEREF _Toc494892421 \h </w:instrText>
        </w:r>
        <w:r w:rsidR="00211560">
          <w:rPr>
            <w:noProof/>
            <w:webHidden/>
          </w:rPr>
        </w:r>
        <w:r w:rsidR="00211560">
          <w:rPr>
            <w:noProof/>
            <w:webHidden/>
          </w:rPr>
          <w:fldChar w:fldCharType="separate"/>
        </w:r>
        <w:r w:rsidR="00211560">
          <w:rPr>
            <w:noProof/>
            <w:webHidden/>
          </w:rPr>
          <w:t>41</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22" w:history="1">
        <w:r w:rsidR="00211560" w:rsidRPr="00C0645D">
          <w:rPr>
            <w:rStyle w:val="Hyperlink"/>
            <w:noProof/>
          </w:rPr>
          <w:t>Figure 8: Estimated total local economy Real GDP impact of PIIOP and OFIEP in the Griffith region</w:t>
        </w:r>
        <w:r w:rsidR="00211560">
          <w:rPr>
            <w:noProof/>
            <w:webHidden/>
          </w:rPr>
          <w:tab/>
        </w:r>
        <w:r w:rsidR="00211560">
          <w:rPr>
            <w:noProof/>
            <w:webHidden/>
          </w:rPr>
          <w:fldChar w:fldCharType="begin"/>
        </w:r>
        <w:r w:rsidR="00211560">
          <w:rPr>
            <w:noProof/>
            <w:webHidden/>
          </w:rPr>
          <w:instrText xml:space="preserve"> PAGEREF _Toc494892422 \h </w:instrText>
        </w:r>
        <w:r w:rsidR="00211560">
          <w:rPr>
            <w:noProof/>
            <w:webHidden/>
          </w:rPr>
        </w:r>
        <w:r w:rsidR="00211560">
          <w:rPr>
            <w:noProof/>
            <w:webHidden/>
          </w:rPr>
          <w:fldChar w:fldCharType="separate"/>
        </w:r>
        <w:r w:rsidR="00211560">
          <w:rPr>
            <w:noProof/>
            <w:webHidden/>
          </w:rPr>
          <w:t>42</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23" w:history="1">
        <w:r w:rsidR="00211560" w:rsidRPr="00C0645D">
          <w:rPr>
            <w:rStyle w:val="Hyperlink"/>
            <w:noProof/>
          </w:rPr>
          <w:t>Figure 9: Estimated total local economy employment impact of PIIOP and OFIEP in the Griffith region</w:t>
        </w:r>
        <w:r w:rsidR="00211560">
          <w:rPr>
            <w:noProof/>
            <w:webHidden/>
          </w:rPr>
          <w:tab/>
        </w:r>
        <w:r w:rsidR="00211560">
          <w:rPr>
            <w:noProof/>
            <w:webHidden/>
          </w:rPr>
          <w:fldChar w:fldCharType="begin"/>
        </w:r>
        <w:r w:rsidR="00211560">
          <w:rPr>
            <w:noProof/>
            <w:webHidden/>
          </w:rPr>
          <w:instrText xml:space="preserve"> PAGEREF _Toc494892423 \h </w:instrText>
        </w:r>
        <w:r w:rsidR="00211560">
          <w:rPr>
            <w:noProof/>
            <w:webHidden/>
          </w:rPr>
        </w:r>
        <w:r w:rsidR="00211560">
          <w:rPr>
            <w:noProof/>
            <w:webHidden/>
          </w:rPr>
          <w:fldChar w:fldCharType="separate"/>
        </w:r>
        <w:r w:rsidR="00211560">
          <w:rPr>
            <w:noProof/>
            <w:webHidden/>
          </w:rPr>
          <w:t>42</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24" w:history="1">
        <w:r w:rsidR="00211560" w:rsidRPr="00C0645D">
          <w:rPr>
            <w:rStyle w:val="Hyperlink"/>
            <w:noProof/>
          </w:rPr>
          <w:t>Figure 10: Change in utility, construction services and trade value added ($million)*</w:t>
        </w:r>
        <w:r w:rsidR="00211560">
          <w:rPr>
            <w:noProof/>
            <w:webHidden/>
          </w:rPr>
          <w:tab/>
        </w:r>
        <w:r w:rsidR="00211560">
          <w:rPr>
            <w:noProof/>
            <w:webHidden/>
          </w:rPr>
          <w:fldChar w:fldCharType="begin"/>
        </w:r>
        <w:r w:rsidR="00211560">
          <w:rPr>
            <w:noProof/>
            <w:webHidden/>
          </w:rPr>
          <w:instrText xml:space="preserve"> PAGEREF _Toc494892424 \h </w:instrText>
        </w:r>
        <w:r w:rsidR="00211560">
          <w:rPr>
            <w:noProof/>
            <w:webHidden/>
          </w:rPr>
        </w:r>
        <w:r w:rsidR="00211560">
          <w:rPr>
            <w:noProof/>
            <w:webHidden/>
          </w:rPr>
          <w:fldChar w:fldCharType="separate"/>
        </w:r>
        <w:r w:rsidR="00211560">
          <w:rPr>
            <w:noProof/>
            <w:webHidden/>
          </w:rPr>
          <w:t>44</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25" w:history="1">
        <w:r w:rsidR="00211560" w:rsidRPr="00C0645D">
          <w:rPr>
            <w:rStyle w:val="Hyperlink"/>
            <w:noProof/>
          </w:rPr>
          <w:t>Figure 11: Change in agricultural industry value added ($ million)*</w:t>
        </w:r>
        <w:r w:rsidR="00211560">
          <w:rPr>
            <w:noProof/>
            <w:webHidden/>
          </w:rPr>
          <w:tab/>
        </w:r>
        <w:r w:rsidR="00211560">
          <w:rPr>
            <w:noProof/>
            <w:webHidden/>
          </w:rPr>
          <w:fldChar w:fldCharType="begin"/>
        </w:r>
        <w:r w:rsidR="00211560">
          <w:rPr>
            <w:noProof/>
            <w:webHidden/>
          </w:rPr>
          <w:instrText xml:space="preserve"> PAGEREF _Toc494892425 \h </w:instrText>
        </w:r>
        <w:r w:rsidR="00211560">
          <w:rPr>
            <w:noProof/>
            <w:webHidden/>
          </w:rPr>
        </w:r>
        <w:r w:rsidR="00211560">
          <w:rPr>
            <w:noProof/>
            <w:webHidden/>
          </w:rPr>
          <w:fldChar w:fldCharType="separate"/>
        </w:r>
        <w:r w:rsidR="00211560">
          <w:rPr>
            <w:noProof/>
            <w:webHidden/>
          </w:rPr>
          <w:t>45</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26" w:history="1">
        <w:r w:rsidR="00211560" w:rsidRPr="00C0645D">
          <w:rPr>
            <w:rStyle w:val="Hyperlink"/>
            <w:noProof/>
          </w:rPr>
          <w:t>Figure 12 Change in value added by agricultural industry in MIA (dollars million)</w:t>
        </w:r>
        <w:r w:rsidR="00211560">
          <w:rPr>
            <w:noProof/>
            <w:webHidden/>
          </w:rPr>
          <w:tab/>
        </w:r>
        <w:r w:rsidR="00211560">
          <w:rPr>
            <w:noProof/>
            <w:webHidden/>
          </w:rPr>
          <w:fldChar w:fldCharType="begin"/>
        </w:r>
        <w:r w:rsidR="00211560">
          <w:rPr>
            <w:noProof/>
            <w:webHidden/>
          </w:rPr>
          <w:instrText xml:space="preserve"> PAGEREF _Toc494892426 \h </w:instrText>
        </w:r>
        <w:r w:rsidR="00211560">
          <w:rPr>
            <w:noProof/>
            <w:webHidden/>
          </w:rPr>
        </w:r>
        <w:r w:rsidR="00211560">
          <w:rPr>
            <w:noProof/>
            <w:webHidden/>
          </w:rPr>
          <w:fldChar w:fldCharType="separate"/>
        </w:r>
        <w:r w:rsidR="00211560">
          <w:rPr>
            <w:noProof/>
            <w:webHidden/>
          </w:rPr>
          <w:t>53</w:t>
        </w:r>
        <w:r w:rsidR="00211560">
          <w:rPr>
            <w:noProof/>
            <w:webHidden/>
          </w:rPr>
          <w:fldChar w:fldCharType="end"/>
        </w:r>
      </w:hyperlink>
    </w:p>
    <w:p w:rsidR="00211560" w:rsidRDefault="00531B74">
      <w:pPr>
        <w:pStyle w:val="TableofFigures"/>
        <w:tabs>
          <w:tab w:val="right" w:leader="dot" w:pos="8494"/>
        </w:tabs>
        <w:rPr>
          <w:rFonts w:asciiTheme="minorHAnsi" w:eastAsiaTheme="minorEastAsia" w:hAnsiTheme="minorHAnsi" w:cstheme="minorBidi"/>
          <w:noProof/>
          <w:sz w:val="22"/>
          <w:szCs w:val="22"/>
        </w:rPr>
      </w:pPr>
      <w:hyperlink w:anchor="_Toc494892427" w:history="1">
        <w:r w:rsidR="00211560" w:rsidRPr="00C0645D">
          <w:rPr>
            <w:rStyle w:val="Hyperlink"/>
            <w:noProof/>
          </w:rPr>
          <w:t>Figure 13 Change in value added by services and utility industries in MIA (dollars million)</w:t>
        </w:r>
        <w:r w:rsidR="00211560">
          <w:rPr>
            <w:noProof/>
            <w:webHidden/>
          </w:rPr>
          <w:tab/>
        </w:r>
        <w:r w:rsidR="00211560">
          <w:rPr>
            <w:noProof/>
            <w:webHidden/>
          </w:rPr>
          <w:fldChar w:fldCharType="begin"/>
        </w:r>
        <w:r w:rsidR="00211560">
          <w:rPr>
            <w:noProof/>
            <w:webHidden/>
          </w:rPr>
          <w:instrText xml:space="preserve"> PAGEREF _Toc494892427 \h </w:instrText>
        </w:r>
        <w:r w:rsidR="00211560">
          <w:rPr>
            <w:noProof/>
            <w:webHidden/>
          </w:rPr>
        </w:r>
        <w:r w:rsidR="00211560">
          <w:rPr>
            <w:noProof/>
            <w:webHidden/>
          </w:rPr>
          <w:fldChar w:fldCharType="separate"/>
        </w:r>
        <w:r w:rsidR="00211560">
          <w:rPr>
            <w:noProof/>
            <w:webHidden/>
          </w:rPr>
          <w:t>53</w:t>
        </w:r>
        <w:r w:rsidR="00211560">
          <w:rPr>
            <w:noProof/>
            <w:webHidden/>
          </w:rPr>
          <w:fldChar w:fldCharType="end"/>
        </w:r>
      </w:hyperlink>
    </w:p>
    <w:p w:rsidR="0002454B" w:rsidRDefault="00930EED" w:rsidP="00F80890">
      <w:r>
        <w:fldChar w:fldCharType="end"/>
      </w:r>
    </w:p>
    <w:p w:rsidR="000F4733" w:rsidRDefault="000F4733" w:rsidP="000D4F20">
      <w:pPr>
        <w:pStyle w:val="Heading1"/>
        <w:sectPr w:rsidR="000F4733" w:rsidSect="0002454B">
          <w:headerReference w:type="even" r:id="rId14"/>
          <w:headerReference w:type="default" r:id="rId15"/>
          <w:footerReference w:type="default" r:id="rId16"/>
          <w:headerReference w:type="first" r:id="rId17"/>
          <w:pgSz w:w="11906" w:h="16838" w:code="9"/>
          <w:pgMar w:top="1701" w:right="1134" w:bottom="1021" w:left="2268" w:header="680" w:footer="113" w:gutter="0"/>
          <w:cols w:space="708"/>
          <w:docGrid w:linePitch="360"/>
        </w:sectPr>
      </w:pPr>
    </w:p>
    <w:p w:rsidR="000F4733" w:rsidRDefault="000F4733" w:rsidP="00EF6D85">
      <w:pPr>
        <w:pStyle w:val="MJAheading1"/>
        <w:numPr>
          <w:ilvl w:val="0"/>
          <w:numId w:val="0"/>
        </w:numPr>
        <w:outlineLvl w:val="0"/>
      </w:pPr>
      <w:r>
        <w:t xml:space="preserve">Executive </w:t>
      </w:r>
      <w:r w:rsidR="004063EC">
        <w:t>s</w:t>
      </w:r>
      <w:r>
        <w:t>ummary</w:t>
      </w:r>
    </w:p>
    <w:p w:rsidR="00061E10" w:rsidRDefault="00CA3712" w:rsidP="00D80ED3">
      <w:pPr>
        <w:pStyle w:val="MJAnormal"/>
      </w:pPr>
      <w:r>
        <w:t xml:space="preserve">This report estimates the local and regional economy effects of </w:t>
      </w:r>
      <w:r w:rsidR="00D8404E">
        <w:t>Australian Government</w:t>
      </w:r>
      <w:r>
        <w:t xml:space="preserve"> water </w:t>
      </w:r>
      <w:r w:rsidR="00EE6076">
        <w:t xml:space="preserve">recovery </w:t>
      </w:r>
      <w:r>
        <w:t xml:space="preserve">programs </w:t>
      </w:r>
      <w:r w:rsidR="00EE6076">
        <w:t xml:space="preserve">intended to Bridge the Gap under the Basin Plan </w:t>
      </w:r>
      <w:r>
        <w:t xml:space="preserve">in the Murrumbidgee Irrigation Area </w:t>
      </w:r>
      <w:r w:rsidR="00CA2677">
        <w:t>(</w:t>
      </w:r>
      <w:r w:rsidR="00061E10">
        <w:t>MIA</w:t>
      </w:r>
      <w:r w:rsidR="00CA2677">
        <w:t xml:space="preserve">) </w:t>
      </w:r>
      <w:r>
        <w:t xml:space="preserve">of New South </w:t>
      </w:r>
      <w:r w:rsidRPr="00CF3EA8">
        <w:t xml:space="preserve">Wales. </w:t>
      </w:r>
    </w:p>
    <w:p w:rsidR="00133785" w:rsidRDefault="00133785" w:rsidP="00133785">
      <w:pPr>
        <w:pStyle w:val="MJAnormal"/>
      </w:pPr>
      <w:r>
        <w:t xml:space="preserve">The investment of the Commonwealth in construction activities through PIIOP and OFIEP has a significant effect on local value added particularly the years during and immediately </w:t>
      </w:r>
      <w:r w:rsidR="00C311B5">
        <w:t>following</w:t>
      </w:r>
      <w:r>
        <w:t xml:space="preserve"> the investments. The effects of the infrastructure investment continue to ‘wash through’ the local economy for many years. The ongoing on-farm productivity gains from the investments supplement these gains and collectively bolster the local economy.</w:t>
      </w:r>
    </w:p>
    <w:p w:rsidR="00133785" w:rsidRDefault="00133785" w:rsidP="00133785">
      <w:pPr>
        <w:pStyle w:val="MJAnormal"/>
      </w:pPr>
      <w:r>
        <w:t>The water purchases program is generally expected to be neutral in terms of its immediate first round economic effects. However if revenues from purchases were to ‘leak’ from the region in the form of capital transfers the effect of this would be relatively minor compared to the estimated size of gains from the PIIOP and OFIEP programs.</w:t>
      </w:r>
    </w:p>
    <w:p w:rsidR="00421B4A" w:rsidRDefault="00421B4A" w:rsidP="00904A2B">
      <w:pPr>
        <w:pStyle w:val="MJAESheading"/>
      </w:pPr>
      <w:r>
        <w:t>Long term whole of regional economy gains</w:t>
      </w:r>
    </w:p>
    <w:p w:rsidR="00D80ED3" w:rsidRDefault="00061E10" w:rsidP="00D80ED3">
      <w:pPr>
        <w:pStyle w:val="MJAnormal"/>
      </w:pPr>
      <w:r>
        <w:t>The modelling and analysis undertaken for this project identifies that b</w:t>
      </w:r>
      <w:r w:rsidR="00D80ED3" w:rsidRPr="00CF3EA8">
        <w:t>etween 2010 and 20</w:t>
      </w:r>
      <w:r w:rsidR="00C938A6">
        <w:t>3</w:t>
      </w:r>
      <w:r w:rsidR="00211C8C">
        <w:t>4</w:t>
      </w:r>
      <w:r w:rsidR="00D80ED3" w:rsidRPr="00CF3EA8">
        <w:t xml:space="preserve"> based o</w:t>
      </w:r>
      <w:r w:rsidR="00CA2677" w:rsidRPr="00061E10">
        <w:t>n long term</w:t>
      </w:r>
      <w:r w:rsidR="00D80ED3" w:rsidRPr="00CF3EA8">
        <w:t xml:space="preserve"> average water availability these investments are likely to increase region</w:t>
      </w:r>
      <w:r w:rsidR="00CF3EA8" w:rsidRPr="00061E10">
        <w:t>al</w:t>
      </w:r>
      <w:r w:rsidR="00CA2677" w:rsidRPr="00061E10">
        <w:t xml:space="preserve"> gross domestic product </w:t>
      </w:r>
      <w:r w:rsidR="00CF3EA8">
        <w:t xml:space="preserve">(or local value added) </w:t>
      </w:r>
      <w:r w:rsidR="00CA2677" w:rsidRPr="00061E10">
        <w:t>in the order of</w:t>
      </w:r>
      <w:r w:rsidR="00D80ED3" w:rsidRPr="00CF3EA8">
        <w:t xml:space="preserve"> $</w:t>
      </w:r>
      <w:r w:rsidR="004F701B">
        <w:t>470</w:t>
      </w:r>
      <w:r w:rsidR="004F701B" w:rsidRPr="00CF3EA8">
        <w:t xml:space="preserve"> </w:t>
      </w:r>
      <w:r w:rsidR="00CA2677" w:rsidRPr="00061E10">
        <w:t xml:space="preserve">million in </w:t>
      </w:r>
      <w:r w:rsidR="00D80ED3" w:rsidRPr="00CF3EA8">
        <w:t>real terms.</w:t>
      </w:r>
      <w:r w:rsidR="00D80ED3">
        <w:t xml:space="preserve"> </w:t>
      </w:r>
    </w:p>
    <w:p w:rsidR="001E1D82" w:rsidRDefault="001E1D82" w:rsidP="001E1D82">
      <w:pPr>
        <w:pStyle w:val="MJAnormal"/>
      </w:pPr>
      <w:r>
        <w:t xml:space="preserve">These estimates include: </w:t>
      </w:r>
    </w:p>
    <w:p w:rsidR="001E1D82" w:rsidRDefault="001E1D82" w:rsidP="001E1D82">
      <w:pPr>
        <w:pStyle w:val="MJAbulletnormal"/>
      </w:pPr>
      <w:r>
        <w:t>both past and proposed expenditures on off and on-farm irrigation infrastructure funded through the</w:t>
      </w:r>
      <w:r w:rsidRPr="00DF2A09">
        <w:t xml:space="preserve"> </w:t>
      </w:r>
      <w:r>
        <w:t>Private Irrigation Infrastructure Operators Program (PIIOP) and On-Farm Irrigation Efficiency Program (OFIEP);</w:t>
      </w:r>
    </w:p>
    <w:p w:rsidR="001E1D82" w:rsidRDefault="001E1D82" w:rsidP="001E1D82">
      <w:pPr>
        <w:pStyle w:val="MJAbulletnormal"/>
      </w:pPr>
      <w:r>
        <w:t xml:space="preserve">the likely </w:t>
      </w:r>
      <w:r w:rsidRPr="00061E10">
        <w:rPr>
          <w:i/>
        </w:rPr>
        <w:t xml:space="preserve">long term average </w:t>
      </w:r>
      <w:r>
        <w:rPr>
          <w:i/>
        </w:rPr>
        <w:t xml:space="preserve">on farm </w:t>
      </w:r>
      <w:r w:rsidRPr="00061E10">
        <w:rPr>
          <w:i/>
        </w:rPr>
        <w:t>productivity</w:t>
      </w:r>
      <w:r>
        <w:t xml:space="preserve"> returns from on farm technologies invested in under PIIOP and OFIEP;</w:t>
      </w:r>
      <w:r w:rsidRPr="00211C8C">
        <w:t xml:space="preserve"> </w:t>
      </w:r>
      <w:r>
        <w:t>and</w:t>
      </w:r>
    </w:p>
    <w:p w:rsidR="004F701B" w:rsidRDefault="001E1D82" w:rsidP="004F701B">
      <w:pPr>
        <w:pStyle w:val="MJAbulletnormal"/>
      </w:pPr>
      <w:r>
        <w:t>the extra farm production due to increased water availability from water saving sharing arrangements between the Australian Government and Irrigators under the PIIOP and OFEIP programs</w:t>
      </w:r>
    </w:p>
    <w:p w:rsidR="004F701B" w:rsidRDefault="004F701B" w:rsidP="004F701B">
      <w:pPr>
        <w:pStyle w:val="MJAnormal"/>
      </w:pPr>
      <w:r>
        <w:t>The water purchases program is generally expected to be neutral in terms of its immediate first round economic effects. However</w:t>
      </w:r>
      <w:r w:rsidR="00670F0C">
        <w:t>,</w:t>
      </w:r>
      <w:r>
        <w:t xml:space="preserve"> if revenues from purchases were to ‘leak’ from the region in the form of capital transfers the </w:t>
      </w:r>
      <w:r w:rsidR="00347830">
        <w:t>effect</w:t>
      </w:r>
      <w:r>
        <w:t xml:space="preserve"> of this would be relatively minor compared to the estimated size of gains from the PIIOP and OFIEP programs.</w:t>
      </w:r>
    </w:p>
    <w:p w:rsidR="00D80ED3" w:rsidRDefault="00CA3712" w:rsidP="00D80ED3">
      <w:pPr>
        <w:pStyle w:val="MJAnormal"/>
      </w:pPr>
      <w:r w:rsidRPr="00D80ED3">
        <w:t xml:space="preserve">Total </w:t>
      </w:r>
      <w:r w:rsidR="00DF2A09" w:rsidRPr="00D80ED3">
        <w:t>long term average gains</w:t>
      </w:r>
      <w:r w:rsidRPr="00D80ED3">
        <w:t xml:space="preserve"> </w:t>
      </w:r>
      <w:r w:rsidR="00904A2B">
        <w:t xml:space="preserve">to </w:t>
      </w:r>
      <w:r w:rsidRPr="00D80ED3">
        <w:t xml:space="preserve">the local economy in the </w:t>
      </w:r>
      <w:r w:rsidR="00061E10">
        <w:t>MIA</w:t>
      </w:r>
      <w:r w:rsidRPr="00D80ED3">
        <w:t xml:space="preserve"> </w:t>
      </w:r>
      <w:r w:rsidR="00D80ED3" w:rsidRPr="00061E10">
        <w:t xml:space="preserve">are estimated as the change </w:t>
      </w:r>
      <w:r w:rsidR="00061E10">
        <w:t>in</w:t>
      </w:r>
      <w:r w:rsidR="00904A2B">
        <w:t xml:space="preserve"> </w:t>
      </w:r>
      <w:r w:rsidR="00D80ED3" w:rsidRPr="00061E10">
        <w:t>real gross domestic product and employment.</w:t>
      </w:r>
      <w:r w:rsidR="00D80ED3">
        <w:t xml:space="preserve"> </w:t>
      </w:r>
    </w:p>
    <w:p w:rsidR="00D80ED3" w:rsidRDefault="00D80ED3" w:rsidP="00061E10">
      <w:pPr>
        <w:pStyle w:val="MJAbulletnormal"/>
      </w:pPr>
      <w:r w:rsidRPr="00314792">
        <w:t>During the construction phase (2010-201</w:t>
      </w:r>
      <w:r w:rsidR="004F701B">
        <w:t>9</w:t>
      </w:r>
      <w:r w:rsidRPr="00314792">
        <w:t>)</w:t>
      </w:r>
      <w:r>
        <w:t>,</w:t>
      </w:r>
      <w:r w:rsidRPr="00314792">
        <w:t xml:space="preserve"> real </w:t>
      </w:r>
      <w:r>
        <w:t xml:space="preserve">GDP </w:t>
      </w:r>
      <w:r w:rsidRPr="00314792">
        <w:t>in the local econom</w:t>
      </w:r>
      <w:r>
        <w:t>y increases by an estimated $</w:t>
      </w:r>
      <w:r w:rsidR="004F701B">
        <w:t>178</w:t>
      </w:r>
      <w:r w:rsidRPr="00314792">
        <w:t xml:space="preserve"> million. The economy then experiences an ongoing net increase in real </w:t>
      </w:r>
      <w:r>
        <w:t>GDP of between $1</w:t>
      </w:r>
      <w:r w:rsidR="004F701B">
        <w:t>6</w:t>
      </w:r>
      <w:r>
        <w:t>-</w:t>
      </w:r>
      <w:r w:rsidR="001E30E7">
        <w:t>22</w:t>
      </w:r>
      <w:r w:rsidRPr="00314792">
        <w:t xml:space="preserve"> million annually</w:t>
      </w:r>
      <w:r>
        <w:t xml:space="preserve"> due to the ongoing influence of productivity gains.</w:t>
      </w:r>
    </w:p>
    <w:p w:rsidR="00DB0D79" w:rsidRDefault="00DB0D79" w:rsidP="00DB0D79">
      <w:pPr>
        <w:pStyle w:val="MJAbulletnormal"/>
      </w:pPr>
      <w:r w:rsidRPr="00EC5946">
        <w:t xml:space="preserve">Employment in the local economy rises from 168 </w:t>
      </w:r>
      <w:r w:rsidR="00C311B5">
        <w:t>full-time equivalent jobs</w:t>
      </w:r>
      <w:r w:rsidRPr="00EC5946">
        <w:t xml:space="preserve"> to a peak of 29</w:t>
      </w:r>
      <w:r>
        <w:t>8</w:t>
      </w:r>
      <w:r w:rsidRPr="00EC5946">
        <w:t xml:space="preserve"> jobs at the end of the construction phase to </w:t>
      </w:r>
      <w:r>
        <w:t>between 75 and 11</w:t>
      </w:r>
      <w:r w:rsidR="00C311B5">
        <w:t>2</w:t>
      </w:r>
      <w:r w:rsidRPr="00EC5946">
        <w:t xml:space="preserve"> extra jobs annually under the implementation phases compared to the base case</w:t>
      </w:r>
      <w:r>
        <w:t xml:space="preserve"> (</w:t>
      </w:r>
      <w:r>
        <w:fldChar w:fldCharType="begin"/>
      </w:r>
      <w:r>
        <w:instrText xml:space="preserve"> REF _Ref493511226 \h </w:instrText>
      </w:r>
      <w:r>
        <w:fldChar w:fldCharType="separate"/>
      </w:r>
      <w:r w:rsidRPr="00426036">
        <w:t xml:space="preserve">Figure </w:t>
      </w:r>
      <w:r>
        <w:rPr>
          <w:noProof/>
        </w:rPr>
        <w:t>9</w:t>
      </w:r>
      <w:r>
        <w:fldChar w:fldCharType="end"/>
      </w:r>
      <w:r>
        <w:t xml:space="preserve"> and </w:t>
      </w:r>
      <w:r>
        <w:fldChar w:fldCharType="begin"/>
      </w:r>
      <w:r>
        <w:instrText xml:space="preserve"> REF _Ref493511312 \h </w:instrText>
      </w:r>
      <w:r>
        <w:fldChar w:fldCharType="separate"/>
      </w:r>
      <w:r>
        <w:t xml:space="preserve">Table </w:t>
      </w:r>
      <w:r>
        <w:rPr>
          <w:noProof/>
        </w:rPr>
        <w:t>18</w:t>
      </w:r>
      <w:r>
        <w:fldChar w:fldCharType="end"/>
      </w:r>
      <w:r>
        <w:t>)</w:t>
      </w:r>
      <w:r w:rsidRPr="00EC5946">
        <w:t>. We note these are annual net changes relative to the base case and are not additive annually.</w:t>
      </w:r>
      <w:r>
        <w:t xml:space="preserve"> </w:t>
      </w:r>
    </w:p>
    <w:p w:rsidR="00CF3EA8" w:rsidRDefault="00CA2677" w:rsidP="00DF2A09">
      <w:pPr>
        <w:pStyle w:val="MJAnormal"/>
      </w:pPr>
      <w:r w:rsidRPr="00CF3EA8">
        <w:t xml:space="preserve">The estimates above are generated using </w:t>
      </w:r>
      <w:r w:rsidR="00E7623F" w:rsidRPr="00CF3EA8">
        <w:t xml:space="preserve">the </w:t>
      </w:r>
      <w:r w:rsidRPr="00CF3EA8">
        <w:t>dynamic general equilibrium model</w:t>
      </w:r>
      <w:r w:rsidR="00E7623F" w:rsidRPr="00CF3EA8">
        <w:t xml:space="preserve"> V</w:t>
      </w:r>
      <w:r w:rsidR="00022104">
        <w:t>ictoria University</w:t>
      </w:r>
      <w:r w:rsidR="00E7623F" w:rsidRPr="00CF3EA8">
        <w:t xml:space="preserve"> TERM</w:t>
      </w:r>
      <w:r w:rsidRPr="00CF3EA8">
        <w:t xml:space="preserve">. </w:t>
      </w:r>
      <w:r w:rsidR="00CF3EA8" w:rsidRPr="00061E10">
        <w:t xml:space="preserve">Marsden Jacob has also estimated local value added using a static approach </w:t>
      </w:r>
      <w:r w:rsidR="00CF3EA8" w:rsidRPr="00CF3EA8">
        <w:t xml:space="preserve">to provide greater transparency over the detailed </w:t>
      </w:r>
      <w:r w:rsidR="00347830">
        <w:t>effect</w:t>
      </w:r>
      <w:r w:rsidR="00CF3EA8" w:rsidRPr="00CF3EA8">
        <w:t xml:space="preserve"> of the expenditures and also to ensure that the </w:t>
      </w:r>
      <w:r w:rsidR="00EF6D85">
        <w:t xml:space="preserve">VU </w:t>
      </w:r>
      <w:r w:rsidR="00CF3EA8" w:rsidRPr="00CF3EA8">
        <w:t>TERM model accurately reflects the type of expenditures that are involved with PIIOP and OFIEP</w:t>
      </w:r>
    </w:p>
    <w:p w:rsidR="00421B4A" w:rsidRDefault="00421B4A" w:rsidP="00904A2B">
      <w:pPr>
        <w:pStyle w:val="MJAESheading"/>
      </w:pPr>
      <w:r>
        <w:t xml:space="preserve">Short run local economy effects </w:t>
      </w:r>
    </w:p>
    <w:p w:rsidR="00CF3EA8" w:rsidRDefault="00CF3EA8" w:rsidP="00061E10">
      <w:pPr>
        <w:pStyle w:val="MJAnormal"/>
      </w:pPr>
      <w:r>
        <w:t xml:space="preserve">Under the static approach, Marsden Jacob has undertaken ‘first round’ analysis of PIIOP and OFIEP </w:t>
      </w:r>
      <w:r w:rsidRPr="00CF3EA8">
        <w:t xml:space="preserve">expenditures via a </w:t>
      </w:r>
      <w:r w:rsidRPr="00061E10">
        <w:t>forensic disaggregation of Australian Government program expenditures by program recipients</w:t>
      </w:r>
      <w:r w:rsidRPr="00CF3EA8">
        <w:t>. This approach</w:t>
      </w:r>
      <w:r>
        <w:t xml:space="preserve"> involves disaggregating PIIOP and OFIEP expenditures to the </w:t>
      </w:r>
      <w:r w:rsidR="001E7F2B">
        <w:t xml:space="preserve">MIA </w:t>
      </w:r>
      <w:r>
        <w:t xml:space="preserve">and the identifying expenditures which contribute to value added in </w:t>
      </w:r>
      <w:r w:rsidR="00670F0C">
        <w:t xml:space="preserve">the </w:t>
      </w:r>
      <w:r>
        <w:t xml:space="preserve">region. </w:t>
      </w:r>
    </w:p>
    <w:p w:rsidR="00CA2677" w:rsidRPr="00C03BEC" w:rsidRDefault="00CF3EA8" w:rsidP="00DF2A09">
      <w:pPr>
        <w:pStyle w:val="MJAnormal"/>
      </w:pPr>
      <w:r>
        <w:t>Using the static approach, 4</w:t>
      </w:r>
      <w:r w:rsidR="00515815">
        <w:t>6</w:t>
      </w:r>
      <w:r>
        <w:t xml:space="preserve"> per cent (or $1</w:t>
      </w:r>
      <w:r w:rsidR="00515815">
        <w:t>78.7</w:t>
      </w:r>
      <w:r>
        <w:t xml:space="preserve"> million</w:t>
      </w:r>
      <w:r w:rsidR="00C13DB1">
        <w:t xml:space="preserve"> </w:t>
      </w:r>
      <w:r w:rsidR="00B90F89">
        <w:t>GST Exclusive</w:t>
      </w:r>
      <w:r>
        <w:t>) of the $</w:t>
      </w:r>
      <w:r w:rsidR="00B61D1E">
        <w:t>387.9</w:t>
      </w:r>
      <w:r>
        <w:t xml:space="preserve"> million </w:t>
      </w:r>
      <w:r w:rsidR="00C13DB1">
        <w:t>(</w:t>
      </w:r>
      <w:r w:rsidR="00B90F89">
        <w:t>GST Exclusive</w:t>
      </w:r>
      <w:r w:rsidR="00C13DB1">
        <w:t>)</w:t>
      </w:r>
      <w:r>
        <w:t xml:space="preserve"> spent on </w:t>
      </w:r>
      <w:r w:rsidR="00DF2A09">
        <w:t xml:space="preserve">PIIOP and OFIEP goods and </w:t>
      </w:r>
      <w:r w:rsidR="009468C0">
        <w:t>services is</w:t>
      </w:r>
      <w:r>
        <w:t xml:space="preserve"> estimated to relate </w:t>
      </w:r>
      <w:r w:rsidRPr="00B2322C">
        <w:t xml:space="preserve">to </w:t>
      </w:r>
      <w:r w:rsidR="00B2322C" w:rsidRPr="00061E10">
        <w:t xml:space="preserve">‘first round’ local value added (that </w:t>
      </w:r>
      <w:r w:rsidR="001D2F9A">
        <w:t xml:space="preserve">is, </w:t>
      </w:r>
      <w:r w:rsidR="00B2322C" w:rsidRPr="00061E10">
        <w:t>excludes dynamic flow on</w:t>
      </w:r>
      <w:r w:rsidR="001D2F9A">
        <w:t>-</w:t>
      </w:r>
      <w:r w:rsidR="00B2322C" w:rsidRPr="00061E10">
        <w:t xml:space="preserve">effects through the economy).  </w:t>
      </w:r>
      <w:r w:rsidR="00B2322C" w:rsidRPr="00B2322C">
        <w:t>Using</w:t>
      </w:r>
      <w:r w:rsidR="00B2322C">
        <w:t xml:space="preserve"> this approach</w:t>
      </w:r>
      <w:r w:rsidR="001D2F9A">
        <w:t>,</w:t>
      </w:r>
      <w:r w:rsidR="00B2322C">
        <w:t xml:space="preserve"> local value added is estimated as the total value of the construction expenditure less the value of goods and services </w:t>
      </w:r>
      <w:r w:rsidR="00254F04">
        <w:t>and</w:t>
      </w:r>
      <w:r w:rsidR="001D2F9A">
        <w:t xml:space="preserve"> intermediate inputs that are sourced from</w:t>
      </w:r>
      <w:r w:rsidR="00B2322C">
        <w:t xml:space="preserve"> outside the MIA.</w:t>
      </w:r>
      <w:r w:rsidR="00022104">
        <w:t xml:space="preserve"> </w:t>
      </w:r>
    </w:p>
    <w:p w:rsidR="00DF2A09" w:rsidRPr="00C03BEC" w:rsidRDefault="00B2322C" w:rsidP="00DF2A09">
      <w:pPr>
        <w:pStyle w:val="MJAnormal"/>
      </w:pPr>
      <w:r w:rsidRPr="00061E10">
        <w:t xml:space="preserve">In terms </w:t>
      </w:r>
      <w:r w:rsidR="00022104" w:rsidRPr="00061E10">
        <w:t>of specific</w:t>
      </w:r>
      <w:r w:rsidRPr="00061E10">
        <w:t xml:space="preserve"> program expenditures, the static approach reveals that:</w:t>
      </w:r>
      <w:r w:rsidRPr="00061E10" w:rsidDel="00B2322C">
        <w:t xml:space="preserve"> </w:t>
      </w:r>
      <w:r w:rsidRPr="00C03BEC">
        <w:t xml:space="preserve"> </w:t>
      </w:r>
    </w:p>
    <w:p w:rsidR="00DF2A09" w:rsidRPr="00C03BEC" w:rsidRDefault="00DF2A09" w:rsidP="00DF2A09">
      <w:pPr>
        <w:pStyle w:val="MJAbulletnormal"/>
      </w:pPr>
      <w:r w:rsidRPr="00C03BEC">
        <w:t xml:space="preserve">PIIOP off-farm </w:t>
      </w:r>
      <w:r w:rsidR="00B2322C" w:rsidRPr="00061E10">
        <w:t xml:space="preserve">construction expenditure on </w:t>
      </w:r>
      <w:r w:rsidRPr="00C03BEC">
        <w:t>goods and services is $2</w:t>
      </w:r>
      <w:r w:rsidR="00515815">
        <w:t>51.5</w:t>
      </w:r>
      <w:r w:rsidRPr="00C03BEC">
        <w:t xml:space="preserve"> million </w:t>
      </w:r>
      <w:r w:rsidR="00C13DB1">
        <w:t>(</w:t>
      </w:r>
      <w:r w:rsidR="00B90F89">
        <w:t>GST Exclusive</w:t>
      </w:r>
      <w:r w:rsidR="00C13DB1">
        <w:t xml:space="preserve">) </w:t>
      </w:r>
      <w:r w:rsidRPr="00C03BEC">
        <w:t xml:space="preserve">of which </w:t>
      </w:r>
      <w:r w:rsidR="00515815">
        <w:t>40</w:t>
      </w:r>
      <w:r w:rsidRPr="00C03BEC">
        <w:t xml:space="preserve"> per cent is </w:t>
      </w:r>
      <w:r w:rsidR="00B2322C" w:rsidRPr="00061E10">
        <w:t>estimated to relate to local value added within the MIA</w:t>
      </w:r>
      <w:r w:rsidRPr="00C03BEC">
        <w:t xml:space="preserve">.  </w:t>
      </w:r>
    </w:p>
    <w:p w:rsidR="00DF2A09" w:rsidRPr="00C03BEC" w:rsidRDefault="00DF2A09" w:rsidP="00061E10">
      <w:pPr>
        <w:pStyle w:val="MJAbulletnormal"/>
      </w:pPr>
      <w:r w:rsidRPr="00C03BEC">
        <w:t xml:space="preserve">PIIOP on-farm </w:t>
      </w:r>
      <w:r w:rsidR="00B2322C" w:rsidRPr="00061E10">
        <w:t xml:space="preserve">construction expenditure on </w:t>
      </w:r>
      <w:r w:rsidRPr="00C03BEC">
        <w:t>goods and services is $</w:t>
      </w:r>
      <w:r w:rsidR="00515815">
        <w:t>58.5</w:t>
      </w:r>
      <w:r w:rsidRPr="00C03BEC">
        <w:t xml:space="preserve"> million </w:t>
      </w:r>
      <w:r w:rsidR="00C13DB1">
        <w:t>(</w:t>
      </w:r>
      <w:r w:rsidR="00B90F89">
        <w:t>GST Exclusive</w:t>
      </w:r>
      <w:r w:rsidR="00C13DB1">
        <w:t xml:space="preserve">) </w:t>
      </w:r>
      <w:r w:rsidR="00B2322C" w:rsidRPr="00061E10">
        <w:t xml:space="preserve">of which </w:t>
      </w:r>
      <w:r w:rsidR="00515815">
        <w:t>62</w:t>
      </w:r>
      <w:r w:rsidR="00B2322C" w:rsidRPr="00061E10">
        <w:t xml:space="preserve"> per cent is estimated to relate to local value added within the MIA.</w:t>
      </w:r>
    </w:p>
    <w:p w:rsidR="00DF2A09" w:rsidRPr="00C03BEC" w:rsidRDefault="00DF2A09" w:rsidP="00061E10">
      <w:pPr>
        <w:pStyle w:val="MJAbulletnormal"/>
      </w:pPr>
      <w:r w:rsidRPr="00C03BEC">
        <w:t xml:space="preserve">OFIEP final </w:t>
      </w:r>
      <w:r w:rsidR="00C03BEC" w:rsidRPr="00061E10">
        <w:t xml:space="preserve">construction expenditure on </w:t>
      </w:r>
      <w:r w:rsidRPr="00C03BEC">
        <w:t>goods and services is $</w:t>
      </w:r>
      <w:r w:rsidR="00C13DB1">
        <w:t>77.9</w:t>
      </w:r>
      <w:r w:rsidRPr="00C03BEC">
        <w:t xml:space="preserve"> </w:t>
      </w:r>
      <w:r w:rsidR="00C03BEC" w:rsidRPr="00061E10">
        <w:t xml:space="preserve">million </w:t>
      </w:r>
      <w:r w:rsidR="00C13DB1">
        <w:t>(</w:t>
      </w:r>
      <w:r w:rsidR="00B90F89">
        <w:t>GST Exclusive</w:t>
      </w:r>
      <w:r w:rsidR="00C13DB1">
        <w:t xml:space="preserve">) </w:t>
      </w:r>
      <w:r w:rsidR="00C03BEC" w:rsidRPr="00061E10">
        <w:t>of which 5</w:t>
      </w:r>
      <w:r w:rsidR="00515815">
        <w:t>4</w:t>
      </w:r>
      <w:r w:rsidR="00C03BEC" w:rsidRPr="00061E10">
        <w:t xml:space="preserve"> per cent is estimated to relate to local value added within the MIA.</w:t>
      </w:r>
      <w:r w:rsidRPr="00C03BEC">
        <w:t xml:space="preserve">  </w:t>
      </w:r>
    </w:p>
    <w:p w:rsidR="00E7623F" w:rsidRPr="00C03BEC" w:rsidRDefault="00E7623F" w:rsidP="00061E10">
      <w:pPr>
        <w:pStyle w:val="MJAbulletnormal"/>
        <w:numPr>
          <w:ilvl w:val="0"/>
          <w:numId w:val="0"/>
        </w:numPr>
      </w:pPr>
      <w:r w:rsidRPr="00C03BEC">
        <w:t xml:space="preserve">The </w:t>
      </w:r>
      <w:r w:rsidR="00347830">
        <w:t>effect</w:t>
      </w:r>
      <w:r w:rsidRPr="00C03BEC">
        <w:t xml:space="preserve"> of these expenditures var</w:t>
      </w:r>
      <w:r w:rsidR="00B90F89">
        <w:t>ies</w:t>
      </w:r>
      <w:r w:rsidRPr="00C03BEC">
        <w:t xml:space="preserve"> across the programs. Under PIIOP</w:t>
      </w:r>
      <w:r w:rsidR="005A3DCA" w:rsidRPr="00C03BEC">
        <w:t>,</w:t>
      </w:r>
      <w:r w:rsidRPr="00C03BEC">
        <w:t xml:space="preserve"> significant expenditures exited the local economy through the purchase of imported goods and services such as significantly transformed material and project management. In contrast</w:t>
      </w:r>
      <w:r w:rsidR="005A3DCA" w:rsidRPr="00C03BEC">
        <w:t>,</w:t>
      </w:r>
      <w:r w:rsidRPr="00C03BEC">
        <w:t xml:space="preserve"> a great share of first round OFIEP expenditures occurred in the local economy given the large contribution of local contractors undertaking on farm works and the lower levels of imported materials that contributed to on-farm conversion. In part</w:t>
      </w:r>
      <w:r w:rsidR="00C03BEC" w:rsidRPr="00C03BEC">
        <w:t>,</w:t>
      </w:r>
      <w:r w:rsidRPr="00C03BEC">
        <w:t xml:space="preserve"> this was due to much of OFIEP expenditures being directed to laser land forming and earth works to reconfigure flood irrigation layouts.</w:t>
      </w:r>
    </w:p>
    <w:p w:rsidR="00E22414" w:rsidRDefault="00421B4A" w:rsidP="00061E10">
      <w:pPr>
        <w:pStyle w:val="MJAbulletnormal"/>
        <w:numPr>
          <w:ilvl w:val="0"/>
          <w:numId w:val="0"/>
        </w:numPr>
      </w:pPr>
      <w:r>
        <w:t>Short term</w:t>
      </w:r>
      <w:r w:rsidR="00E22414">
        <w:t xml:space="preserve"> average</w:t>
      </w:r>
      <w:r>
        <w:t xml:space="preserve"> annual</w:t>
      </w:r>
      <w:r w:rsidR="00E22414">
        <w:t xml:space="preserve"> net increases in on-farm productivity </w:t>
      </w:r>
      <w:r>
        <w:t xml:space="preserve">directly due to on-farm technology investments under PIIOP and OFIEP </w:t>
      </w:r>
      <w:r w:rsidR="00E22414">
        <w:t>are estimated be in the order of $3.</w:t>
      </w:r>
      <w:r w:rsidR="00C03BEC">
        <w:t>8</w:t>
      </w:r>
      <w:r w:rsidR="00E22414">
        <w:t xml:space="preserve"> million based on present day prices and yields.</w:t>
      </w:r>
      <w:r>
        <w:rPr>
          <w:rStyle w:val="FootnoteReference"/>
        </w:rPr>
        <w:footnoteReference w:id="2"/>
      </w:r>
      <w:r w:rsidR="00E22414">
        <w:t xml:space="preserve"> This includes gains to</w:t>
      </w:r>
      <w:r w:rsidR="005A3DCA">
        <w:t>:</w:t>
      </w:r>
      <w:r w:rsidR="00E22414">
        <w:t xml:space="preserve"> rice, cereals and cotton $2.8 million</w:t>
      </w:r>
      <w:r w:rsidR="005A3DCA">
        <w:t>;</w:t>
      </w:r>
      <w:r w:rsidR="00E22414">
        <w:t xml:space="preserve"> and citrus $</w:t>
      </w:r>
      <w:r w:rsidR="00A67BEB">
        <w:t>1.0</w:t>
      </w:r>
      <w:r w:rsidR="00E22414">
        <w:t xml:space="preserve"> million.</w:t>
      </w:r>
      <w:r w:rsidR="00D80ED3">
        <w:t xml:space="preserve"> </w:t>
      </w:r>
      <w:r w:rsidR="00E22414">
        <w:t xml:space="preserve">These estimates exclude increases in value added generated from extra production that results from water saving infrastructure that reduces evaporation and seepage losses. These water saving are </w:t>
      </w:r>
      <w:r w:rsidR="00E22414" w:rsidRPr="00022104">
        <w:t xml:space="preserve">estimated to be </w:t>
      </w:r>
      <w:r w:rsidR="005D7F14">
        <w:t>21.8</w:t>
      </w:r>
      <w:r w:rsidR="00E22414" w:rsidRPr="00022104">
        <w:t xml:space="preserve"> GL </w:t>
      </w:r>
      <w:r w:rsidR="00022104" w:rsidRPr="00022104">
        <w:t>LTAAY</w:t>
      </w:r>
      <w:r w:rsidR="00E22414" w:rsidRPr="00022104">
        <w:t xml:space="preserve"> </w:t>
      </w:r>
      <w:r w:rsidR="009468C0">
        <w:t xml:space="preserve">(long term average annual yield) </w:t>
      </w:r>
      <w:r w:rsidR="00E22414" w:rsidRPr="00022104">
        <w:t>per annum.</w:t>
      </w:r>
      <w:r w:rsidR="00E22414">
        <w:t xml:space="preserve"> </w:t>
      </w:r>
    </w:p>
    <w:p w:rsidR="009468C0" w:rsidRDefault="009468C0" w:rsidP="009468C0">
      <w:pPr>
        <w:pStyle w:val="MJAheading4"/>
      </w:pPr>
      <w:r>
        <w:t>Limitations</w:t>
      </w:r>
    </w:p>
    <w:p w:rsidR="00E7623F" w:rsidRDefault="00E7623F" w:rsidP="00E7623F">
      <w:pPr>
        <w:pStyle w:val="MJAnormal"/>
      </w:pPr>
      <w:r>
        <w:t xml:space="preserve">The estimates of gains to the local and regional economies </w:t>
      </w:r>
      <w:r w:rsidR="009468C0">
        <w:t>should</w:t>
      </w:r>
      <w:r>
        <w:t xml:space="preserve"> not </w:t>
      </w:r>
      <w:r w:rsidR="009468C0">
        <w:t xml:space="preserve">be </w:t>
      </w:r>
      <w:r>
        <w:t>equate</w:t>
      </w:r>
      <w:r w:rsidR="009468C0">
        <w:t>d</w:t>
      </w:r>
      <w:r>
        <w:t xml:space="preserve"> to whole of economy gain. </w:t>
      </w:r>
      <w:r w:rsidR="00C03BEC">
        <w:t>Additionally, t</w:t>
      </w:r>
      <w:r>
        <w:t xml:space="preserve">his study is not a benefit cost assessment and as such </w:t>
      </w:r>
      <w:r w:rsidR="00C311B5">
        <w:t xml:space="preserve">does not consider </w:t>
      </w:r>
      <w:r>
        <w:t>the opportunity costs of investment</w:t>
      </w:r>
      <w:r w:rsidR="00F26357">
        <w:t xml:space="preserve">. </w:t>
      </w:r>
      <w:r w:rsidR="00420F67">
        <w:t xml:space="preserve"> Instead the focus is on what is the incremental difference to the local economy</w:t>
      </w:r>
      <w:r w:rsidR="00F26357">
        <w:t xml:space="preserve"> due to the Commonwealth</w:t>
      </w:r>
      <w:r w:rsidR="00420F67">
        <w:t xml:space="preserve"> investments</w:t>
      </w:r>
      <w:r w:rsidR="00F26357">
        <w:t>. The analysis compares investment outcomes in the local economy to those if Commonwealth investments had not occurred</w:t>
      </w:r>
      <w:r w:rsidR="00420F67">
        <w:t xml:space="preserve">. </w:t>
      </w:r>
    </w:p>
    <w:p w:rsidR="00E22414" w:rsidRDefault="00E22414" w:rsidP="00CA3712">
      <w:pPr>
        <w:pStyle w:val="MJAnormal"/>
      </w:pPr>
    </w:p>
    <w:p w:rsidR="00CA3712" w:rsidRDefault="00CA3712" w:rsidP="00F80890"/>
    <w:p w:rsidR="00A262ED" w:rsidRPr="003F64C9" w:rsidRDefault="00A262ED" w:rsidP="003F64C9">
      <w:pPr>
        <w:pStyle w:val="MJAnormal"/>
        <w:sectPr w:rsidR="00A262ED" w:rsidRPr="003F64C9" w:rsidSect="00426980">
          <w:headerReference w:type="even" r:id="rId18"/>
          <w:headerReference w:type="default" r:id="rId19"/>
          <w:footerReference w:type="default" r:id="rId20"/>
          <w:headerReference w:type="first" r:id="rId21"/>
          <w:pgSz w:w="11906" w:h="16838" w:code="9"/>
          <w:pgMar w:top="1701" w:right="1134" w:bottom="1021" w:left="2268" w:header="680" w:footer="113" w:gutter="0"/>
          <w:pgNumType w:fmt="lowerRoman" w:start="1"/>
          <w:cols w:space="708"/>
          <w:docGrid w:linePitch="360"/>
        </w:sectPr>
      </w:pPr>
    </w:p>
    <w:p w:rsidR="00105F72" w:rsidRDefault="00F80890" w:rsidP="00904A2B">
      <w:pPr>
        <w:pStyle w:val="MJAHeading10"/>
      </w:pPr>
      <w:r>
        <w:tab/>
      </w:r>
      <w:bookmarkStart w:id="1" w:name="_Toc482099139"/>
      <w:bookmarkStart w:id="2" w:name="_Toc494892246"/>
      <w:r w:rsidR="00EC17A8">
        <w:t>Introduction</w:t>
      </w:r>
      <w:bookmarkEnd w:id="1"/>
      <w:bookmarkEnd w:id="2"/>
    </w:p>
    <w:p w:rsidR="00737CCC" w:rsidRDefault="00737CCC" w:rsidP="00737CCC">
      <w:pPr>
        <w:pStyle w:val="MJAnormal"/>
      </w:pPr>
      <w:r>
        <w:t xml:space="preserve">This project </w:t>
      </w:r>
      <w:r w:rsidR="00670F0C">
        <w:t>was</w:t>
      </w:r>
      <w:r w:rsidR="00413A57">
        <w:t xml:space="preserve"> commissioned </w:t>
      </w:r>
      <w:r>
        <w:t>by the</w:t>
      </w:r>
      <w:r w:rsidRPr="000C742E">
        <w:t xml:space="preserve"> </w:t>
      </w:r>
      <w:r>
        <w:t>Department of Agriculture and Water Resources (the Department)</w:t>
      </w:r>
      <w:r w:rsidRPr="000C742E">
        <w:t xml:space="preserve"> </w:t>
      </w:r>
      <w:r>
        <w:t xml:space="preserve">to </w:t>
      </w:r>
      <w:r w:rsidRPr="000C742E">
        <w:t xml:space="preserve">assess the </w:t>
      </w:r>
      <w:r>
        <w:t xml:space="preserve">economic </w:t>
      </w:r>
      <w:r w:rsidR="00347830">
        <w:t>effect</w:t>
      </w:r>
      <w:r w:rsidRPr="000C742E">
        <w:t xml:space="preserve">s of the </w:t>
      </w:r>
      <w:r>
        <w:t xml:space="preserve">Australian </w:t>
      </w:r>
      <w:r w:rsidRPr="000C742E">
        <w:t xml:space="preserve">Government’s water recovery programs </w:t>
      </w:r>
      <w:r w:rsidR="00B02D56">
        <w:t>in the Murrumbidgee I</w:t>
      </w:r>
      <w:r w:rsidRPr="000C742E">
        <w:t xml:space="preserve">rrigation </w:t>
      </w:r>
      <w:r w:rsidR="00B02D56">
        <w:t>A</w:t>
      </w:r>
      <w:r w:rsidRPr="000C742E">
        <w:t>rea</w:t>
      </w:r>
      <w:r w:rsidR="00B02D56">
        <w:t xml:space="preserve"> </w:t>
      </w:r>
      <w:r w:rsidR="001E7F2B">
        <w:t xml:space="preserve">(MIA) </w:t>
      </w:r>
      <w:r w:rsidRPr="000C742E">
        <w:t>in the Murray-Darling Basin</w:t>
      </w:r>
      <w:r>
        <w:t>.</w:t>
      </w:r>
    </w:p>
    <w:p w:rsidR="00274640" w:rsidRDefault="00EC17A8" w:rsidP="00EC17A8">
      <w:pPr>
        <w:pStyle w:val="MJAheading2"/>
      </w:pPr>
      <w:bookmarkStart w:id="3" w:name="_Toc482099140"/>
      <w:bookmarkStart w:id="4" w:name="_Toc494892247"/>
      <w:r>
        <w:t>Background</w:t>
      </w:r>
      <w:bookmarkEnd w:id="3"/>
      <w:bookmarkEnd w:id="4"/>
    </w:p>
    <w:p w:rsidR="00737CCC" w:rsidRPr="00737CCC" w:rsidRDefault="00737CCC" w:rsidP="00737CCC">
      <w:pPr>
        <w:pStyle w:val="MJAnormal"/>
      </w:pPr>
      <w:r w:rsidRPr="00737CCC">
        <w:t>There is concern in irrigation-dependent communities that Commonwealth water recovery programs associated with implementing the Murray-Darling Basin Plan are contributing to decline of their communities. Despite this concern, there are currently little empirical data regarding the positive and negative economic effects of the programs on Basin communities.</w:t>
      </w:r>
    </w:p>
    <w:p w:rsidR="00737CCC" w:rsidRDefault="00737CCC" w:rsidP="00EC17A8">
      <w:pPr>
        <w:pStyle w:val="MJAnormal"/>
      </w:pPr>
      <w:r>
        <w:t>The consultancy complement</w:t>
      </w:r>
      <w:r w:rsidR="009468C0">
        <w:t>s</w:t>
      </w:r>
      <w:r>
        <w:t xml:space="preserve"> and extend</w:t>
      </w:r>
      <w:r w:rsidR="009468C0">
        <w:t>s</w:t>
      </w:r>
      <w:r>
        <w:t xml:space="preserve"> the existing work being undertaken by the Department to </w:t>
      </w:r>
      <w:r w:rsidRPr="00136A66">
        <w:t xml:space="preserve">evaluate </w:t>
      </w:r>
      <w:r>
        <w:t>its</w:t>
      </w:r>
      <w:r w:rsidRPr="00136A66">
        <w:t xml:space="preserve"> water recovery programmes, communicate with key stakeholders and provide input to the Murray-Darling Basin Authority’s (MDBA) reporting of the social and economic</w:t>
      </w:r>
      <w:r w:rsidR="00E618E1">
        <w:t xml:space="preserve"> effects</w:t>
      </w:r>
      <w:r w:rsidRPr="00136A66">
        <w:t xml:space="preserve"> of the Basin Plan</w:t>
      </w:r>
    </w:p>
    <w:p w:rsidR="00EC17A8" w:rsidRDefault="00737CCC" w:rsidP="00EC17A8">
      <w:pPr>
        <w:pStyle w:val="MJAheading2"/>
      </w:pPr>
      <w:bookmarkStart w:id="5" w:name="_Toc482099141"/>
      <w:bookmarkStart w:id="6" w:name="_Toc494892248"/>
      <w:r>
        <w:t>Objective</w:t>
      </w:r>
      <w:bookmarkEnd w:id="5"/>
      <w:bookmarkEnd w:id="6"/>
    </w:p>
    <w:p w:rsidR="00737CCC" w:rsidRDefault="00737CCC" w:rsidP="00737CCC">
      <w:pPr>
        <w:pStyle w:val="MJAnormal"/>
      </w:pPr>
      <w:r>
        <w:t xml:space="preserve">The purpose of this consultancy is to assess the </w:t>
      </w:r>
      <w:r w:rsidR="00347830">
        <w:t>effect</w:t>
      </w:r>
      <w:r>
        <w:t xml:space="preserve">s of the Government’s water recovery programs on the regional economy of a major irrigation area in the Murray-Darling Basin. </w:t>
      </w:r>
    </w:p>
    <w:p w:rsidR="00571E5D" w:rsidRDefault="00737CCC" w:rsidP="00737CCC">
      <w:pPr>
        <w:pStyle w:val="MJAheading2"/>
      </w:pPr>
      <w:bookmarkStart w:id="7" w:name="_Toc482099142"/>
      <w:bookmarkStart w:id="8" w:name="_Toc494892249"/>
      <w:r>
        <w:t>Terms of reference</w:t>
      </w:r>
      <w:bookmarkEnd w:id="7"/>
      <w:bookmarkEnd w:id="8"/>
    </w:p>
    <w:p w:rsidR="00737CCC" w:rsidRDefault="00737CCC" w:rsidP="00737CCC">
      <w:pPr>
        <w:pStyle w:val="MJAnormal"/>
      </w:pPr>
      <w:r>
        <w:t>The Terms of Reference for this study require this report to:</w:t>
      </w:r>
    </w:p>
    <w:p w:rsidR="00E63826" w:rsidRDefault="00737CCC" w:rsidP="00737CCC">
      <w:pPr>
        <w:pStyle w:val="MJAbulletnormal"/>
      </w:pPr>
      <w:r>
        <w:t>m</w:t>
      </w:r>
      <w:r w:rsidR="00E63826" w:rsidRPr="00250645">
        <w:t>odel and report on the flow-on effects to the local economy from Australian Government funded infrastructure upgrades</w:t>
      </w:r>
      <w:r w:rsidR="00B02D56">
        <w:t xml:space="preserve"> (Private Irrigation Infrastructure Operators Program (PIIOP) and On-Farm Irrigation Efficiency Program (OFIEP)</w:t>
      </w:r>
      <w:r w:rsidR="00E63826" w:rsidRPr="00250645">
        <w:t xml:space="preserve"> and water purchases</w:t>
      </w:r>
      <w:r w:rsidR="00B02D56">
        <w:t xml:space="preserve"> (Restoring the Balance Program)</w:t>
      </w:r>
      <w:r w:rsidR="00E63826" w:rsidRPr="00250645">
        <w:t xml:space="preserve"> in the area servi</w:t>
      </w:r>
      <w:r>
        <w:t>ced by Murrumbidgee Irrigation;</w:t>
      </w:r>
    </w:p>
    <w:p w:rsidR="00E63826" w:rsidRDefault="00E63826" w:rsidP="00737CCC">
      <w:pPr>
        <w:pStyle w:val="MJAbulletnormal"/>
      </w:pPr>
      <w:r w:rsidRPr="00250645">
        <w:t>focus on flow-on effects to the local economy derived during the construction phase of irrigation upgrades and net changes in farm outputs, regional economic activity and employment le</w:t>
      </w:r>
      <w:r w:rsidR="00737CCC">
        <w:t>vels post-programme completion; and</w:t>
      </w:r>
    </w:p>
    <w:p w:rsidR="00E63826" w:rsidRPr="00250645" w:rsidRDefault="00E63826" w:rsidP="00737CCC">
      <w:pPr>
        <w:pStyle w:val="MJAbulletnormal"/>
      </w:pPr>
      <w:r w:rsidRPr="00250645">
        <w:t>identify and examine the flow-on effects, if any, on irrigators who have not participated in these programs</w:t>
      </w:r>
      <w:r w:rsidR="00622C2C">
        <w:t xml:space="preserve"> – note this issue was not directly assessed in this report but implicitly captured in regional general equilibrium modelling that was undertaken. </w:t>
      </w:r>
    </w:p>
    <w:p w:rsidR="009A19ED" w:rsidRDefault="00813D53" w:rsidP="00EC17A8">
      <w:pPr>
        <w:pStyle w:val="MJAheading2"/>
      </w:pPr>
      <w:bookmarkStart w:id="9" w:name="_Toc482099143"/>
      <w:bookmarkStart w:id="10" w:name="_Toc494892250"/>
      <w:r>
        <w:t xml:space="preserve">Analytical </w:t>
      </w:r>
      <w:r w:rsidR="009A19ED">
        <w:t>modules</w:t>
      </w:r>
      <w:bookmarkEnd w:id="9"/>
      <w:bookmarkEnd w:id="10"/>
      <w:r w:rsidR="009A19ED">
        <w:t xml:space="preserve"> </w:t>
      </w:r>
    </w:p>
    <w:p w:rsidR="00EC17A8" w:rsidRDefault="009A19ED" w:rsidP="009A19ED">
      <w:pPr>
        <w:pStyle w:val="MJAnormal"/>
      </w:pPr>
      <w:r>
        <w:t xml:space="preserve">This project </w:t>
      </w:r>
      <w:r w:rsidR="00813D53">
        <w:t xml:space="preserve">comprised a </w:t>
      </w:r>
      <w:r>
        <w:t xml:space="preserve">series of </w:t>
      </w:r>
      <w:r w:rsidR="00813D53">
        <w:t xml:space="preserve">analytical </w:t>
      </w:r>
      <w:r>
        <w:t>modules</w:t>
      </w:r>
      <w:r w:rsidR="00813D53">
        <w:t xml:space="preserve">, see </w:t>
      </w:r>
      <w:r w:rsidR="00F26357">
        <w:fldChar w:fldCharType="begin"/>
      </w:r>
      <w:r w:rsidR="00F26357">
        <w:instrText xml:space="preserve"> REF _Ref493492301 \h </w:instrText>
      </w:r>
      <w:r w:rsidR="00F26357">
        <w:fldChar w:fldCharType="separate"/>
      </w:r>
      <w:r w:rsidR="002F2E38">
        <w:t xml:space="preserve">Figure </w:t>
      </w:r>
      <w:r w:rsidR="002F2E38">
        <w:rPr>
          <w:noProof/>
        </w:rPr>
        <w:t>1</w:t>
      </w:r>
      <w:r w:rsidR="00F26357">
        <w:fldChar w:fldCharType="end"/>
      </w:r>
      <w:r w:rsidR="00F26357">
        <w:t>.</w:t>
      </w:r>
    </w:p>
    <w:p w:rsidR="007C1D5A" w:rsidRDefault="007C1D5A" w:rsidP="007C1D5A">
      <w:pPr>
        <w:pStyle w:val="Caption"/>
      </w:pPr>
      <w:bookmarkStart w:id="11" w:name="_Ref493492301"/>
      <w:bookmarkStart w:id="12" w:name="_Toc494892415"/>
      <w:r>
        <w:t xml:space="preserve">Figure </w:t>
      </w:r>
      <w:fldSimple w:instr=" SEQ Figure \* ARABIC ">
        <w:r w:rsidR="002F2E38">
          <w:rPr>
            <w:noProof/>
          </w:rPr>
          <w:t>1</w:t>
        </w:r>
      </w:fldSimple>
      <w:bookmarkEnd w:id="11"/>
      <w:r>
        <w:t>: Modules</w:t>
      </w:r>
      <w:bookmarkEnd w:id="12"/>
    </w:p>
    <w:p w:rsidR="009A19ED" w:rsidRDefault="007C1D5A" w:rsidP="009A19ED">
      <w:pPr>
        <w:pStyle w:val="MJAnormal"/>
      </w:pPr>
      <w:r w:rsidRPr="007C1D5A">
        <w:rPr>
          <w:noProof/>
        </w:rPr>
        <w:drawing>
          <wp:inline distT="0" distB="0" distL="0" distR="0" wp14:anchorId="52E9A2EB" wp14:editId="681BE1D8">
            <wp:extent cx="5400040" cy="329582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3295826"/>
                    </a:xfrm>
                    <a:prstGeom prst="rect">
                      <a:avLst/>
                    </a:prstGeom>
                    <a:noFill/>
                    <a:ln>
                      <a:noFill/>
                    </a:ln>
                  </pic:spPr>
                </pic:pic>
              </a:graphicData>
            </a:graphic>
          </wp:inline>
        </w:drawing>
      </w:r>
    </w:p>
    <w:p w:rsidR="00571E5D" w:rsidRPr="00571E5D" w:rsidRDefault="00571E5D" w:rsidP="00571E5D">
      <w:pPr>
        <w:pStyle w:val="MJAheading2"/>
      </w:pPr>
      <w:bookmarkStart w:id="13" w:name="_Toc482099144"/>
      <w:bookmarkStart w:id="14" w:name="_Toc494892251"/>
      <w:r>
        <w:t>Key tasks</w:t>
      </w:r>
      <w:bookmarkEnd w:id="13"/>
      <w:bookmarkEnd w:id="14"/>
    </w:p>
    <w:p w:rsidR="00EC17A8" w:rsidRDefault="00571E5D" w:rsidP="00EC17A8">
      <w:pPr>
        <w:pStyle w:val="MJAnormal"/>
      </w:pPr>
      <w:r>
        <w:t xml:space="preserve">Key tasks undertaken in this study are defined in </w:t>
      </w:r>
      <w:r w:rsidR="0031758B">
        <w:t>Figure 2.</w:t>
      </w:r>
    </w:p>
    <w:p w:rsidR="00571E5D" w:rsidRDefault="00571E5D" w:rsidP="00571E5D">
      <w:pPr>
        <w:pStyle w:val="Caption"/>
      </w:pPr>
      <w:bookmarkStart w:id="15" w:name="_Toc481964532"/>
      <w:bookmarkStart w:id="16" w:name="_Toc494892416"/>
      <w:r>
        <w:t xml:space="preserve">Figure </w:t>
      </w:r>
      <w:fldSimple w:instr=" SEQ Figure \* ARABIC ">
        <w:r w:rsidR="002F2E38">
          <w:rPr>
            <w:noProof/>
          </w:rPr>
          <w:t>2</w:t>
        </w:r>
      </w:fldSimple>
      <w:r w:rsidR="00DA0FE1">
        <w:rPr>
          <w:noProof/>
        </w:rPr>
        <w:t>:</w:t>
      </w:r>
      <w:r>
        <w:t xml:space="preserve"> Key project tasks</w:t>
      </w:r>
      <w:bookmarkEnd w:id="15"/>
      <w:bookmarkEnd w:id="16"/>
    </w:p>
    <w:p w:rsidR="00503469" w:rsidRDefault="00503469" w:rsidP="00F26357">
      <w:pPr>
        <w:jc w:val="center"/>
      </w:pPr>
      <w:r>
        <w:rPr>
          <w:noProof/>
        </w:rPr>
        <w:drawing>
          <wp:inline distT="0" distB="0" distL="0" distR="0" wp14:anchorId="10B3F875" wp14:editId="634F63F0">
            <wp:extent cx="4238045" cy="388565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4546" cy="3891619"/>
                    </a:xfrm>
                    <a:prstGeom prst="rect">
                      <a:avLst/>
                    </a:prstGeom>
                    <a:noFill/>
                  </pic:spPr>
                </pic:pic>
              </a:graphicData>
            </a:graphic>
          </wp:inline>
        </w:drawing>
      </w:r>
    </w:p>
    <w:p w:rsidR="00EC17A8" w:rsidRDefault="00571E5D" w:rsidP="00571E5D">
      <w:pPr>
        <w:pStyle w:val="MJAsource"/>
      </w:pPr>
      <w:r>
        <w:t>Source: Marsden Jacob Associates</w:t>
      </w:r>
    </w:p>
    <w:p w:rsidR="00486A39" w:rsidRDefault="00486A39" w:rsidP="00486A39">
      <w:pPr>
        <w:pStyle w:val="MJAheading2"/>
      </w:pPr>
      <w:bookmarkStart w:id="17" w:name="_Toc494892252"/>
      <w:bookmarkStart w:id="18" w:name="_Toc482099145"/>
      <w:r>
        <w:t>Consultation</w:t>
      </w:r>
      <w:r w:rsidR="00702CD2">
        <w:t xml:space="preserve"> and data assumptions</w:t>
      </w:r>
      <w:bookmarkEnd w:id="17"/>
    </w:p>
    <w:p w:rsidR="00486A39" w:rsidRPr="00346A79" w:rsidRDefault="007917B0" w:rsidP="00346A79">
      <w:pPr>
        <w:pStyle w:val="MJAnormal"/>
      </w:pPr>
      <w:r w:rsidRPr="00346A79">
        <w:t>To complete t</w:t>
      </w:r>
      <w:r w:rsidR="00486A39" w:rsidRPr="00346A79">
        <w:t xml:space="preserve">his project </w:t>
      </w:r>
      <w:r w:rsidRPr="00346A79">
        <w:t xml:space="preserve">Marsden Jacob Associates undertook </w:t>
      </w:r>
      <w:r w:rsidR="00486A39" w:rsidRPr="00346A79">
        <w:t xml:space="preserve">multiple visits to the Griffith region and consultation with key stakeholders and representative including Murrumbidgee Irrigation, </w:t>
      </w:r>
      <w:r w:rsidRPr="00346A79">
        <w:t>program delivery head contractors</w:t>
      </w:r>
      <w:r w:rsidR="00486A39" w:rsidRPr="00346A79">
        <w:t xml:space="preserve"> and field experts</w:t>
      </w:r>
      <w:r w:rsidR="00A25E1D" w:rsidRPr="00346A79">
        <w:t xml:space="preserve"> to guide the refinement of key project data and assumptions</w:t>
      </w:r>
      <w:r w:rsidR="00486A39" w:rsidRPr="00346A79">
        <w:t>.</w:t>
      </w:r>
    </w:p>
    <w:p w:rsidR="00486A39" w:rsidRDefault="00486A39" w:rsidP="00346A79">
      <w:pPr>
        <w:pStyle w:val="MJAnormal"/>
      </w:pPr>
      <w:r>
        <w:t xml:space="preserve">These consultations included structured workshops </w:t>
      </w:r>
      <w:r w:rsidR="007917B0">
        <w:t xml:space="preserve">with stakeholders </w:t>
      </w:r>
      <w:r w:rsidR="00346A79">
        <w:t xml:space="preserve">organised and </w:t>
      </w:r>
      <w:r w:rsidR="00702CD2">
        <w:t>led by the</w:t>
      </w:r>
      <w:r>
        <w:t xml:space="preserve"> Department of Agriculture and Water </w:t>
      </w:r>
      <w:r w:rsidR="007917B0">
        <w:t>Resources</w:t>
      </w:r>
      <w:r>
        <w:t xml:space="preserve">. </w:t>
      </w:r>
      <w:r w:rsidR="0096071D">
        <w:t>The w</w:t>
      </w:r>
      <w:r>
        <w:t xml:space="preserve">orkshops included data gathering of program design and delivery features </w:t>
      </w:r>
      <w:r w:rsidR="00702CD2">
        <w:t xml:space="preserve">and development by the Department of some </w:t>
      </w:r>
      <w:r>
        <w:t>indicative on-farm responses</w:t>
      </w:r>
      <w:r w:rsidR="00702CD2">
        <w:t xml:space="preserve"> using stylised farm water budgets and representative farm input and output responses</w:t>
      </w:r>
      <w:r>
        <w:t>.</w:t>
      </w:r>
    </w:p>
    <w:p w:rsidR="00486A39" w:rsidRDefault="00486A39" w:rsidP="00346A79">
      <w:pPr>
        <w:pStyle w:val="MJAnormal"/>
      </w:pPr>
      <w:r>
        <w:t xml:space="preserve">Marsden Jacob </w:t>
      </w:r>
      <w:r w:rsidR="00F51DAF">
        <w:t xml:space="preserve">Associates </w:t>
      </w:r>
      <w:r>
        <w:t>also independently consulted with a range of individual project managers and program deliverers, industry experts and on-farm advisors</w:t>
      </w:r>
      <w:r w:rsidR="0096071D">
        <w:t xml:space="preserve">, </w:t>
      </w:r>
      <w:r w:rsidR="00702CD2">
        <w:t>to further extend these data and insights</w:t>
      </w:r>
      <w:r w:rsidR="00802BCC">
        <w:t xml:space="preserve"> and </w:t>
      </w:r>
      <w:r w:rsidR="0096071D">
        <w:t xml:space="preserve">considered </w:t>
      </w:r>
      <w:r w:rsidR="00802BCC">
        <w:t>available literature</w:t>
      </w:r>
      <w:r w:rsidR="00702CD2">
        <w:t>.</w:t>
      </w:r>
      <w:r w:rsidR="00A25E1D">
        <w:t xml:space="preserve"> </w:t>
      </w:r>
    </w:p>
    <w:p w:rsidR="00A25E1D" w:rsidRDefault="00A25E1D" w:rsidP="00A25E1D">
      <w:pPr>
        <w:pStyle w:val="MJAnormal"/>
      </w:pPr>
      <w:r>
        <w:t xml:space="preserve">Murrumbidgee Irrigation provided detailed project budgets and assisted Marsden Jacob Associates with the categorisation of costs associated with off-farm investments. The Department of Agriculture and Water </w:t>
      </w:r>
      <w:r w:rsidR="0096071D">
        <w:t xml:space="preserve">Resources </w:t>
      </w:r>
      <w:r>
        <w:t>provided detailed on-farm investment data and post investment water saving audit data.</w:t>
      </w:r>
    </w:p>
    <w:p w:rsidR="007917B0" w:rsidRPr="00486A39" w:rsidRDefault="00702CD2" w:rsidP="00346A79">
      <w:pPr>
        <w:pStyle w:val="MJAnormal"/>
      </w:pPr>
      <w:r>
        <w:t xml:space="preserve">Marsden Jacob Associates presented a preliminary draft </w:t>
      </w:r>
      <w:r w:rsidR="00A25E1D">
        <w:t xml:space="preserve">of </w:t>
      </w:r>
      <w:r>
        <w:t>results to a stakeholder group in Griffith and incorporated feedback into this Final Report — this included providing further disaggregation and categorisation of project costs and refinement of longer term on-farm productivity assumptions.</w:t>
      </w:r>
    </w:p>
    <w:p w:rsidR="00EC17A8" w:rsidRDefault="00EC17A8" w:rsidP="00EC17A8">
      <w:pPr>
        <w:pStyle w:val="MJAheading2"/>
      </w:pPr>
      <w:bookmarkStart w:id="19" w:name="_Toc494892253"/>
      <w:r>
        <w:t>Structure of report</w:t>
      </w:r>
      <w:bookmarkEnd w:id="18"/>
      <w:bookmarkEnd w:id="19"/>
    </w:p>
    <w:p w:rsidR="00B2321C" w:rsidRDefault="00EC47A2" w:rsidP="003F64C9">
      <w:pPr>
        <w:pStyle w:val="MJAnormal"/>
      </w:pPr>
      <w:r>
        <w:t>The remainder of this report is organised into the following sections:</w:t>
      </w:r>
    </w:p>
    <w:p w:rsidR="00EC47A2" w:rsidRDefault="00EC47A2" w:rsidP="00061E10">
      <w:pPr>
        <w:pStyle w:val="MJAbulletnormal"/>
      </w:pPr>
      <w:r>
        <w:t xml:space="preserve">Section 2: </w:t>
      </w:r>
      <w:r w:rsidR="001E1D82">
        <w:t xml:space="preserve">Geographical area of </w:t>
      </w:r>
      <w:r w:rsidR="007D54CA">
        <w:t xml:space="preserve"> focus</w:t>
      </w:r>
    </w:p>
    <w:p w:rsidR="004913F1" w:rsidRDefault="004913F1" w:rsidP="00061E10">
      <w:pPr>
        <w:pStyle w:val="MJAbulletnormal"/>
      </w:pPr>
      <w:r>
        <w:t xml:space="preserve">Section 3: </w:t>
      </w:r>
      <w:r w:rsidR="007D54CA">
        <w:t>Australian Government infrastructure programs</w:t>
      </w:r>
    </w:p>
    <w:p w:rsidR="00EC47A2" w:rsidRDefault="00503469" w:rsidP="00061E10">
      <w:pPr>
        <w:pStyle w:val="MJAbulletnormal"/>
      </w:pPr>
      <w:r>
        <w:t>Section 4</w:t>
      </w:r>
      <w:r w:rsidR="00EC47A2">
        <w:t>: Value added</w:t>
      </w:r>
      <w:r w:rsidR="004913F1">
        <w:t xml:space="preserve"> and goods and services</w:t>
      </w:r>
    </w:p>
    <w:p w:rsidR="00503469" w:rsidRDefault="00503469" w:rsidP="00061E10">
      <w:pPr>
        <w:pStyle w:val="MJAbulletnormal"/>
      </w:pPr>
      <w:r>
        <w:t xml:space="preserve">Section 5: </w:t>
      </w:r>
      <w:r w:rsidR="001E1D82">
        <w:t>Static approach – local value added</w:t>
      </w:r>
    </w:p>
    <w:p w:rsidR="004913F1" w:rsidRDefault="004913F1" w:rsidP="00061E10">
      <w:pPr>
        <w:pStyle w:val="MJAbulletnormal"/>
      </w:pPr>
      <w:r>
        <w:t xml:space="preserve">Section </w:t>
      </w:r>
      <w:r w:rsidR="001E1D82">
        <w:t>6</w:t>
      </w:r>
      <w:r>
        <w:t xml:space="preserve">: </w:t>
      </w:r>
      <w:r w:rsidR="00503469">
        <w:t>Productivity benefit</w:t>
      </w:r>
      <w:r w:rsidR="001E1D82">
        <w:t>s</w:t>
      </w:r>
    </w:p>
    <w:p w:rsidR="001E1D82" w:rsidRDefault="001E1D82" w:rsidP="001E1D82">
      <w:pPr>
        <w:pStyle w:val="MJAbulletnormal"/>
      </w:pPr>
      <w:r>
        <w:t>Section 7: Effects of water buy-back</w:t>
      </w:r>
    </w:p>
    <w:p w:rsidR="004913F1" w:rsidRDefault="00503469" w:rsidP="00061E10">
      <w:pPr>
        <w:pStyle w:val="MJAbulletnormal"/>
      </w:pPr>
      <w:r>
        <w:t>Section 8</w:t>
      </w:r>
      <w:r w:rsidR="004913F1">
        <w:t>:</w:t>
      </w:r>
      <w:r w:rsidR="001E1D82">
        <w:t xml:space="preserve"> Timing of first round </w:t>
      </w:r>
      <w:r w:rsidR="00347830">
        <w:t>effect</w:t>
      </w:r>
      <w:r w:rsidR="001E1D82">
        <w:t>s</w:t>
      </w:r>
    </w:p>
    <w:p w:rsidR="00EC47A2" w:rsidRDefault="00503469" w:rsidP="00061E10">
      <w:pPr>
        <w:pStyle w:val="MJAbulletnormal"/>
      </w:pPr>
      <w:r>
        <w:t>Section 9</w:t>
      </w:r>
      <w:r w:rsidR="00EC47A2">
        <w:t xml:space="preserve">: </w:t>
      </w:r>
      <w:r>
        <w:t>Estimating gains</w:t>
      </w:r>
      <w:r w:rsidR="001E1D82">
        <w:t xml:space="preserve"> (dynamic approach) </w:t>
      </w:r>
    </w:p>
    <w:p w:rsidR="00EC47A2" w:rsidRDefault="004913F1" w:rsidP="00061E10">
      <w:pPr>
        <w:pStyle w:val="MJAbulletnormal"/>
      </w:pPr>
      <w:r>
        <w:t xml:space="preserve">Section </w:t>
      </w:r>
      <w:r w:rsidR="00503469">
        <w:t>10</w:t>
      </w:r>
      <w:r w:rsidR="00EC47A2">
        <w:t>:</w:t>
      </w:r>
      <w:r>
        <w:t xml:space="preserve"> </w:t>
      </w:r>
      <w:r w:rsidR="001E1D82">
        <w:t xml:space="preserve">References </w:t>
      </w:r>
    </w:p>
    <w:p w:rsidR="00061E10" w:rsidRDefault="00061E10">
      <w:pPr>
        <w:rPr>
          <w:rFonts w:ascii="Times New Roman" w:eastAsia="Times New Roman" w:hAnsi="Times New Roman" w:cs="Times New Roman"/>
        </w:rPr>
      </w:pPr>
      <w:r>
        <w:br w:type="page"/>
      </w:r>
    </w:p>
    <w:p w:rsidR="00EC17A8" w:rsidRPr="00061E10" w:rsidRDefault="004B7B36" w:rsidP="00061E10">
      <w:pPr>
        <w:pStyle w:val="MJAHeading10"/>
      </w:pPr>
      <w:bookmarkStart w:id="20" w:name="_Toc494892254"/>
      <w:r>
        <w:t>Geographical area of focus</w:t>
      </w:r>
      <w:bookmarkEnd w:id="20"/>
    </w:p>
    <w:p w:rsidR="00571E5D" w:rsidRDefault="00571E5D" w:rsidP="00571E5D">
      <w:pPr>
        <w:pStyle w:val="MJAnormal"/>
      </w:pPr>
      <w:r>
        <w:t xml:space="preserve">This study focusses on </w:t>
      </w:r>
      <w:r w:rsidR="00813D53">
        <w:t>expenditures that occurred with</w:t>
      </w:r>
      <w:r w:rsidR="005A3DCA">
        <w:t>in</w:t>
      </w:r>
      <w:r w:rsidR="00813D53">
        <w:t xml:space="preserve"> </w:t>
      </w:r>
      <w:r>
        <w:t xml:space="preserve">the </w:t>
      </w:r>
      <w:r w:rsidR="00730A41">
        <w:t>Murrumbidgee Irrigation Area (</w:t>
      </w:r>
      <w:r w:rsidR="001E7F2B">
        <w:t>MIA</w:t>
      </w:r>
      <w:r w:rsidR="00730A41">
        <w:t>)</w:t>
      </w:r>
      <w:r w:rsidR="001E7F2B">
        <w:t xml:space="preserve"> </w:t>
      </w:r>
      <w:r>
        <w:t xml:space="preserve">region of New South Wales. </w:t>
      </w:r>
    </w:p>
    <w:p w:rsidR="00571E5D" w:rsidRDefault="00571E5D" w:rsidP="00571E5D">
      <w:pPr>
        <w:pStyle w:val="MJAnormal"/>
      </w:pPr>
      <w:r>
        <w:t xml:space="preserve">The region includes farms supplied by </w:t>
      </w:r>
      <w:r w:rsidRPr="00625E83">
        <w:t>the irrigation supply network</w:t>
      </w:r>
      <w:r>
        <w:t xml:space="preserve"> of Murrumbidgee Irrigation. This includes farms supplied with water for irrigation and also those that receive stock and domestic services. </w:t>
      </w:r>
    </w:p>
    <w:p w:rsidR="00E804D3" w:rsidRDefault="00E804D3" w:rsidP="00904A2B">
      <w:pPr>
        <w:pStyle w:val="MJAheading2"/>
      </w:pPr>
      <w:bookmarkStart w:id="21" w:name="_Toc494892255"/>
      <w:r>
        <w:t>Area included in the study</w:t>
      </w:r>
      <w:bookmarkEnd w:id="21"/>
    </w:p>
    <w:p w:rsidR="00571E5D" w:rsidRDefault="00571E5D" w:rsidP="00571E5D">
      <w:pPr>
        <w:pStyle w:val="MJAnormal"/>
      </w:pPr>
      <w:r>
        <w:t>This study excludes</w:t>
      </w:r>
      <w:r w:rsidRPr="00AA05F1">
        <w:t xml:space="preserve"> </w:t>
      </w:r>
      <w:r>
        <w:t>irrigation areas outside of the Murrumbidgee Irrigation foot print including farms that have received PIIOP and OFIEP payment that are:</w:t>
      </w:r>
    </w:p>
    <w:p w:rsidR="00571E5D" w:rsidRDefault="00571E5D" w:rsidP="00571E5D">
      <w:pPr>
        <w:pStyle w:val="MJAbulletnormal"/>
      </w:pPr>
      <w:r>
        <w:t>river diverters;</w:t>
      </w:r>
    </w:p>
    <w:p w:rsidR="00571E5D" w:rsidRDefault="00571E5D" w:rsidP="00571E5D">
      <w:pPr>
        <w:pStyle w:val="MJAbulletnormal"/>
      </w:pPr>
      <w:r>
        <w:t xml:space="preserve">customers of Coleambally, Murray Irrigation; </w:t>
      </w:r>
      <w:r w:rsidR="0031758B">
        <w:t xml:space="preserve">and </w:t>
      </w:r>
    </w:p>
    <w:p w:rsidR="00571E5D" w:rsidRDefault="00571E5D" w:rsidP="00571E5D">
      <w:pPr>
        <w:pStyle w:val="MJAbulletnormal"/>
      </w:pPr>
      <w:r>
        <w:t>on river systems other than the Murrumbidgee.</w:t>
      </w:r>
    </w:p>
    <w:p w:rsidR="00813D53" w:rsidRDefault="00813D53" w:rsidP="00061E10">
      <w:pPr>
        <w:pStyle w:val="Caption"/>
        <w:spacing w:before="240"/>
      </w:pPr>
      <w:bookmarkStart w:id="22" w:name="_Toc481964533"/>
      <w:bookmarkStart w:id="23" w:name="_Toc494892417"/>
      <w:r>
        <w:t xml:space="preserve">Figure </w:t>
      </w:r>
      <w:fldSimple w:instr=" SEQ Figure \* ARABIC ">
        <w:r w:rsidR="002F2E38">
          <w:rPr>
            <w:noProof/>
          </w:rPr>
          <w:t>3</w:t>
        </w:r>
      </w:fldSimple>
      <w:r>
        <w:t>: Murrumbidgee Valley and Irrigation Area</w:t>
      </w:r>
      <w:bookmarkEnd w:id="22"/>
      <w:bookmarkEnd w:id="23"/>
    </w:p>
    <w:p w:rsidR="00813D53" w:rsidRDefault="00813D53" w:rsidP="00571E5D">
      <w:pPr>
        <w:pStyle w:val="MJAnormal"/>
      </w:pPr>
      <w:r>
        <w:rPr>
          <w:noProof/>
        </w:rPr>
        <w:drawing>
          <wp:inline distT="0" distB="0" distL="0" distR="0" wp14:anchorId="77B9DA4E" wp14:editId="2FF8E6A9">
            <wp:extent cx="4819650" cy="31086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21261" cy="3109668"/>
                    </a:xfrm>
                    <a:prstGeom prst="rect">
                      <a:avLst/>
                    </a:prstGeom>
                  </pic:spPr>
                </pic:pic>
              </a:graphicData>
            </a:graphic>
          </wp:inline>
        </w:drawing>
      </w:r>
    </w:p>
    <w:p w:rsidR="00813D53" w:rsidRDefault="00813D53" w:rsidP="00061E10">
      <w:pPr>
        <w:pStyle w:val="MJAsource"/>
      </w:pPr>
      <w:r>
        <w:t xml:space="preserve">Source: </w:t>
      </w:r>
      <w:hyperlink r:id="rId25" w:history="1">
        <w:r w:rsidRPr="00AC3D0B">
          <w:rPr>
            <w:rStyle w:val="Hyperlink"/>
          </w:rPr>
          <w:t>http://www.mirrigation.com.au/About-Us/Company-Overview</w:t>
        </w:r>
      </w:hyperlink>
      <w:r>
        <w:t xml:space="preserve"> </w:t>
      </w:r>
    </w:p>
    <w:p w:rsidR="00571E5D" w:rsidRDefault="00571E5D" w:rsidP="00571E5D">
      <w:pPr>
        <w:pStyle w:val="MJAnormal"/>
      </w:pPr>
      <w:r>
        <w:t xml:space="preserve">The area of the local economy in which the economic </w:t>
      </w:r>
      <w:r w:rsidR="00347830">
        <w:t>effect</w:t>
      </w:r>
      <w:r>
        <w:t xml:space="preserve"> of Commonwealth recovery is </w:t>
      </w:r>
      <w:r w:rsidRPr="00385502">
        <w:t>measured is defined by VU Term Database statistical division Lower Murrumbidgee</w:t>
      </w:r>
      <w:r w:rsidR="00813D53" w:rsidRPr="00B16C23">
        <w:t xml:space="preserve"> (</w:t>
      </w:r>
      <w:r w:rsidR="00B16C23" w:rsidRPr="00061E10">
        <w:t>zone 45</w:t>
      </w:r>
      <w:r w:rsidR="00813D53" w:rsidRPr="00B16C23">
        <w:t>)</w:t>
      </w:r>
      <w:r w:rsidR="006F257D">
        <w:t xml:space="preserve"> . The Lower Murrumbidgee Statistical Division is a </w:t>
      </w:r>
      <w:r w:rsidR="00261C6E">
        <w:t xml:space="preserve">reasonable </w:t>
      </w:r>
      <w:r w:rsidR="006F257D">
        <w:t>geographical approximation for the Murrumbidgee Irrigation Area MIA)</w:t>
      </w:r>
      <w:r w:rsidR="00261C6E">
        <w:t xml:space="preserve"> and incorporates irrigated and stock and domestic farms serviced by Murrumbidgee Irrigation</w:t>
      </w:r>
      <w:r>
        <w:t>. For the purposes of local economy value added analysis the Murrumbidgee region excludes all areas south of the Murrumbidgee River.</w:t>
      </w:r>
      <w:r w:rsidR="004B7B36">
        <w:rPr>
          <w:rStyle w:val="FootnoteReference"/>
        </w:rPr>
        <w:footnoteReference w:id="3"/>
      </w:r>
      <w:r w:rsidR="006F257D">
        <w:t xml:space="preserve"> The Lower Murrumbidgee statistical division incorporates all irrigated land within the Murrumbidgee Irrigation Area. It includes dryland farming areas bounded by the Murrumbidgee and Lachlan Rivers and the MIA. The zone excludes regional City of Wagga Wagga and nearby surrounding farm land. </w:t>
      </w:r>
    </w:p>
    <w:p w:rsidR="00E804D3" w:rsidRDefault="00E804D3" w:rsidP="00904A2B">
      <w:pPr>
        <w:pStyle w:val="MJAheading2"/>
      </w:pPr>
      <w:bookmarkStart w:id="24" w:name="_Toc494892256"/>
      <w:r>
        <w:t>Relative size of the economy</w:t>
      </w:r>
      <w:bookmarkEnd w:id="24"/>
    </w:p>
    <w:p w:rsidR="006A2A8F" w:rsidRDefault="006A2A8F" w:rsidP="00571E5D">
      <w:pPr>
        <w:pStyle w:val="MJAnormal"/>
      </w:pPr>
      <w:r>
        <w:t>Gross domestic product of the</w:t>
      </w:r>
      <w:r w:rsidR="00730A41">
        <w:t xml:space="preserve"> MIA</w:t>
      </w:r>
      <w:r>
        <w:t xml:space="preserve"> region is in the order of $2,646 million per annum. Agricultural industries (directly engaged in farming) account for approximately 21 per cent of the gross domestic</w:t>
      </w:r>
      <w:r w:rsidR="00754057">
        <w:t xml:space="preserve"> product</w:t>
      </w:r>
      <w:r>
        <w:t>. Based on the 2011 Census total employment in the region is estimated at approximately 19,500 people. Agriculture industries (directly engaged in farming) accounted for just over 3</w:t>
      </w:r>
      <w:r w:rsidR="00E804D3">
        <w:t>,</w:t>
      </w:r>
      <w:r>
        <w:t>000 jobs. Utilities</w:t>
      </w:r>
      <w:r w:rsidR="00E804D3">
        <w:t xml:space="preserve">, communications, construction, hospitality, </w:t>
      </w:r>
      <w:r>
        <w:t xml:space="preserve">trades </w:t>
      </w:r>
      <w:r w:rsidR="00E804D3">
        <w:t xml:space="preserve">and business services </w:t>
      </w:r>
      <w:r>
        <w:t>accounted</w:t>
      </w:r>
      <w:r w:rsidR="00E804D3">
        <w:t xml:space="preserve"> for just under 8,000</w:t>
      </w:r>
      <w:r>
        <w:t xml:space="preserve"> jobs.</w:t>
      </w:r>
    </w:p>
    <w:p w:rsidR="006A2A8F" w:rsidRDefault="006A2A8F" w:rsidP="00571E5D">
      <w:pPr>
        <w:pStyle w:val="MJAnormal"/>
      </w:pPr>
    </w:p>
    <w:p w:rsidR="006A2A8F" w:rsidRDefault="006A2A8F" w:rsidP="00571E5D">
      <w:pPr>
        <w:pStyle w:val="MJAnormal"/>
      </w:pPr>
    </w:p>
    <w:p w:rsidR="006A2A8F" w:rsidRDefault="006A2A8F" w:rsidP="00571E5D">
      <w:pPr>
        <w:pStyle w:val="MJAnormal"/>
      </w:pPr>
    </w:p>
    <w:p w:rsidR="006A2A8F" w:rsidRDefault="006A2A8F" w:rsidP="00571E5D">
      <w:pPr>
        <w:pStyle w:val="MJAnormal"/>
      </w:pPr>
    </w:p>
    <w:p w:rsidR="00237E73" w:rsidRDefault="00237E73">
      <w:r>
        <w:br w:type="page"/>
      </w:r>
    </w:p>
    <w:p w:rsidR="00D150F2" w:rsidRDefault="00573525" w:rsidP="00904A2B">
      <w:pPr>
        <w:pStyle w:val="MJAHeading10"/>
        <w:tabs>
          <w:tab w:val="clear" w:pos="425"/>
        </w:tabs>
      </w:pPr>
      <w:bookmarkStart w:id="25" w:name="_Toc494892257"/>
      <w:bookmarkStart w:id="26" w:name="_Toc482099148"/>
      <w:r>
        <w:t xml:space="preserve">Australian Government </w:t>
      </w:r>
      <w:r w:rsidR="00F03F32">
        <w:t xml:space="preserve">infrastructure </w:t>
      </w:r>
      <w:r w:rsidR="00D150F2">
        <w:t>program</w:t>
      </w:r>
      <w:r w:rsidR="00F03F32">
        <w:t>s</w:t>
      </w:r>
      <w:bookmarkEnd w:id="25"/>
      <w:r w:rsidR="00D150F2">
        <w:t xml:space="preserve"> </w:t>
      </w:r>
      <w:bookmarkEnd w:id="26"/>
    </w:p>
    <w:p w:rsidR="0034571D" w:rsidRDefault="009468C0" w:rsidP="003F64C9">
      <w:pPr>
        <w:pStyle w:val="MJAnormal"/>
      </w:pPr>
      <w:r>
        <w:t xml:space="preserve">The following sections focus on the </w:t>
      </w:r>
      <w:r w:rsidR="0034571D">
        <w:t xml:space="preserve">Commonwealth expenditures in the Murrumbidgee </w:t>
      </w:r>
      <w:r w:rsidR="00B02D56">
        <w:t xml:space="preserve">regional </w:t>
      </w:r>
      <w:r w:rsidR="0034571D">
        <w:t xml:space="preserve">economy </w:t>
      </w:r>
      <w:r w:rsidR="00B02D56">
        <w:t>that resulted from the</w:t>
      </w:r>
      <w:r w:rsidR="0034571D">
        <w:t xml:space="preserve">: </w:t>
      </w:r>
    </w:p>
    <w:p w:rsidR="0034571D" w:rsidRDefault="0034571D" w:rsidP="0034571D">
      <w:pPr>
        <w:pStyle w:val="MJAbulletnormal"/>
      </w:pPr>
      <w:r>
        <w:t xml:space="preserve">Private </w:t>
      </w:r>
      <w:r w:rsidR="0031758B">
        <w:t>I</w:t>
      </w:r>
      <w:r>
        <w:t xml:space="preserve">rrigation Infrastructure Operators program — PIIOP; and </w:t>
      </w:r>
    </w:p>
    <w:p w:rsidR="0034571D" w:rsidRDefault="0034571D" w:rsidP="0034571D">
      <w:pPr>
        <w:pStyle w:val="MJAbulletnormal"/>
      </w:pPr>
      <w:r>
        <w:t>On</w:t>
      </w:r>
      <w:r w:rsidR="004D4F09">
        <w:t>-</w:t>
      </w:r>
      <w:r>
        <w:t xml:space="preserve">Farm </w:t>
      </w:r>
      <w:r w:rsidR="0031758B">
        <w:t>I</w:t>
      </w:r>
      <w:r>
        <w:t>rrigation Efficiency program — OFIEP</w:t>
      </w:r>
      <w:r w:rsidR="00B92D05">
        <w:t>.</w:t>
      </w:r>
    </w:p>
    <w:p w:rsidR="00817797" w:rsidRDefault="00CC421D" w:rsidP="00CC421D">
      <w:pPr>
        <w:pStyle w:val="MJAnormal"/>
      </w:pPr>
      <w:r>
        <w:t xml:space="preserve">Total </w:t>
      </w:r>
      <w:r w:rsidRPr="00484065">
        <w:t xml:space="preserve">PIIOP and OFIEP </w:t>
      </w:r>
      <w:r w:rsidR="00F03F32">
        <w:t>funding for projects</w:t>
      </w:r>
      <w:r w:rsidRPr="00484065">
        <w:t xml:space="preserve"> in the </w:t>
      </w:r>
      <w:r w:rsidR="0025183D">
        <w:t xml:space="preserve">MIA </w:t>
      </w:r>
      <w:r w:rsidRPr="00484065">
        <w:t xml:space="preserve">are estimated at </w:t>
      </w:r>
      <w:r w:rsidR="007916DC">
        <w:t>$387.9 million (</w:t>
      </w:r>
      <w:r w:rsidR="00B90F89">
        <w:t>GST Exclusive</w:t>
      </w:r>
      <w:r w:rsidR="007916DC">
        <w:t>)</w:t>
      </w:r>
      <w:r w:rsidR="00484065">
        <w:t>.</w:t>
      </w:r>
      <w:r>
        <w:t xml:space="preserve"> </w:t>
      </w:r>
    </w:p>
    <w:p w:rsidR="009468C0" w:rsidRDefault="00817797" w:rsidP="00CC421D">
      <w:pPr>
        <w:pStyle w:val="MJAnormal"/>
      </w:pPr>
      <w:r>
        <w:t xml:space="preserve">Expenditures within the MIA and total water recovered by program are summarised in </w:t>
      </w:r>
      <w:r>
        <w:fldChar w:fldCharType="begin"/>
      </w:r>
      <w:r>
        <w:instrText xml:space="preserve"> REF _Ref490731029 \h </w:instrText>
      </w:r>
      <w:r>
        <w:fldChar w:fldCharType="separate"/>
      </w:r>
      <w:r w:rsidR="002F2E38">
        <w:t xml:space="preserve">Figure </w:t>
      </w:r>
      <w:r w:rsidR="002F2E38">
        <w:rPr>
          <w:noProof/>
        </w:rPr>
        <w:t>4</w:t>
      </w:r>
      <w:r>
        <w:fldChar w:fldCharType="end"/>
      </w:r>
      <w:r>
        <w:t xml:space="preserve">. The remainder of this chapter addresses on and off farm infrastructure </w:t>
      </w:r>
      <w:r w:rsidR="001237A2">
        <w:t>expenditures</w:t>
      </w:r>
      <w:r w:rsidR="00032A42">
        <w:t xml:space="preserve">. </w:t>
      </w:r>
      <w:r>
        <w:t xml:space="preserve"> </w:t>
      </w:r>
      <w:r w:rsidR="009468C0">
        <w:t>The effects of the water buyback program (Restoring the Balance) are discussed in Section</w:t>
      </w:r>
      <w:r w:rsidR="00032A42">
        <w:t xml:space="preserve"> </w:t>
      </w:r>
      <w:r w:rsidR="007D54CA">
        <w:t>7</w:t>
      </w:r>
      <w:r w:rsidR="009468C0">
        <w:t>.</w:t>
      </w:r>
    </w:p>
    <w:p w:rsidR="00622C2C" w:rsidRDefault="00622C2C" w:rsidP="002C5781">
      <w:pPr>
        <w:pStyle w:val="Caption"/>
      </w:pPr>
      <w:bookmarkStart w:id="27" w:name="_Ref490731029"/>
      <w:bookmarkStart w:id="28" w:name="_Toc494892418"/>
      <w:r>
        <w:t xml:space="preserve">Figure </w:t>
      </w:r>
      <w:fldSimple w:instr=" SEQ Figure \* ARABIC ">
        <w:r w:rsidR="002F2E38">
          <w:rPr>
            <w:noProof/>
          </w:rPr>
          <w:t>4</w:t>
        </w:r>
      </w:fldSimple>
      <w:bookmarkEnd w:id="27"/>
      <w:r w:rsidR="00817797">
        <w:t>: MIA Commonwealth program summary</w:t>
      </w:r>
      <w:bookmarkEnd w:id="28"/>
    </w:p>
    <w:tbl>
      <w:tblPr>
        <w:tblStyle w:val="MJATable1"/>
        <w:tblW w:w="0" w:type="auto"/>
        <w:tblLook w:val="04A0" w:firstRow="1" w:lastRow="0" w:firstColumn="1" w:lastColumn="0" w:noHBand="0" w:noVBand="1"/>
      </w:tblPr>
      <w:tblGrid>
        <w:gridCol w:w="2833"/>
        <w:gridCol w:w="2836"/>
        <w:gridCol w:w="2835"/>
      </w:tblGrid>
      <w:tr w:rsidR="00622C2C" w:rsidTr="002C57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Pr>
          <w:p w:rsidR="00622C2C" w:rsidRDefault="00622C2C" w:rsidP="00CC421D">
            <w:pPr>
              <w:pStyle w:val="MJAnormal"/>
            </w:pPr>
          </w:p>
        </w:tc>
        <w:tc>
          <w:tcPr>
            <w:tcW w:w="2907" w:type="dxa"/>
          </w:tcPr>
          <w:p w:rsidR="00622C2C" w:rsidRDefault="00622C2C" w:rsidP="00CC421D">
            <w:pPr>
              <w:pStyle w:val="MJAnormal"/>
              <w:cnfStyle w:val="100000000000" w:firstRow="1" w:lastRow="0" w:firstColumn="0" w:lastColumn="0" w:oddVBand="0" w:evenVBand="0" w:oddHBand="0" w:evenHBand="0" w:firstRowFirstColumn="0" w:firstRowLastColumn="0" w:lastRowFirstColumn="0" w:lastRowLastColumn="0"/>
            </w:pPr>
          </w:p>
        </w:tc>
        <w:tc>
          <w:tcPr>
            <w:tcW w:w="2907" w:type="dxa"/>
          </w:tcPr>
          <w:p w:rsidR="00622C2C" w:rsidRDefault="00622C2C" w:rsidP="00CC421D">
            <w:pPr>
              <w:pStyle w:val="MJAnormal"/>
              <w:cnfStyle w:val="100000000000" w:firstRow="1" w:lastRow="0" w:firstColumn="0" w:lastColumn="0" w:oddVBand="0" w:evenVBand="0" w:oddHBand="0" w:evenHBand="0" w:firstRowFirstColumn="0" w:firstRowLastColumn="0" w:lastRowFirstColumn="0" w:lastRowLastColumn="0"/>
            </w:pPr>
          </w:p>
        </w:tc>
      </w:tr>
      <w:tr w:rsidR="00622C2C" w:rsidTr="002C5781">
        <w:tc>
          <w:tcPr>
            <w:cnfStyle w:val="001000000000" w:firstRow="0" w:lastRow="0" w:firstColumn="1" w:lastColumn="0" w:oddVBand="0" w:evenVBand="0" w:oddHBand="0" w:evenHBand="0" w:firstRowFirstColumn="0" w:firstRowLastColumn="0" w:lastRowFirstColumn="0" w:lastRowLastColumn="0"/>
            <w:tcW w:w="2906" w:type="dxa"/>
          </w:tcPr>
          <w:p w:rsidR="00622C2C" w:rsidRDefault="00622C2C" w:rsidP="00CC421D">
            <w:pPr>
              <w:pStyle w:val="MJAnormal"/>
            </w:pPr>
            <w:r>
              <w:rPr>
                <w:b/>
                <w:bCs/>
                <w:color w:val="000000"/>
              </w:rPr>
              <w:t>PIIOP</w:t>
            </w:r>
          </w:p>
        </w:tc>
        <w:tc>
          <w:tcPr>
            <w:tcW w:w="2907" w:type="dxa"/>
          </w:tcPr>
          <w:p w:rsidR="00622C2C" w:rsidRDefault="00622C2C" w:rsidP="00CC421D">
            <w:pPr>
              <w:pStyle w:val="MJAnormal"/>
              <w:cnfStyle w:val="000000000000" w:firstRow="0" w:lastRow="0" w:firstColumn="0" w:lastColumn="0" w:oddVBand="0" w:evenVBand="0" w:oddHBand="0" w:evenHBand="0" w:firstRowFirstColumn="0" w:firstRowLastColumn="0" w:lastRowFirstColumn="0" w:lastRowLastColumn="0"/>
            </w:pPr>
            <w:r>
              <w:rPr>
                <w:color w:val="000000"/>
              </w:rPr>
              <w:t>Funding (GST exclusive)</w:t>
            </w:r>
          </w:p>
        </w:tc>
        <w:tc>
          <w:tcPr>
            <w:tcW w:w="2907" w:type="dxa"/>
          </w:tcPr>
          <w:p w:rsidR="00622C2C" w:rsidRDefault="00622C2C" w:rsidP="00CC421D">
            <w:pPr>
              <w:pStyle w:val="MJAnormal"/>
              <w:cnfStyle w:val="000000000000" w:firstRow="0" w:lastRow="0" w:firstColumn="0" w:lastColumn="0" w:oddVBand="0" w:evenVBand="0" w:oddHBand="0" w:evenHBand="0" w:firstRowFirstColumn="0" w:firstRowLastColumn="0" w:lastRowFirstColumn="0" w:lastRowLastColumn="0"/>
            </w:pPr>
            <w:r>
              <w:rPr>
                <w:color w:val="000000"/>
              </w:rPr>
              <w:t>Total water recovered (LTAAY)</w:t>
            </w:r>
          </w:p>
        </w:tc>
      </w:tr>
      <w:tr w:rsidR="00622C2C" w:rsidTr="002C5781">
        <w:tc>
          <w:tcPr>
            <w:cnfStyle w:val="001000000000" w:firstRow="0" w:lastRow="0" w:firstColumn="1" w:lastColumn="0" w:oddVBand="0" w:evenVBand="0" w:oddHBand="0" w:evenHBand="0" w:firstRowFirstColumn="0" w:firstRowLastColumn="0" w:lastRowFirstColumn="0" w:lastRowLastColumn="0"/>
            <w:tcW w:w="2906" w:type="dxa"/>
          </w:tcPr>
          <w:p w:rsidR="00622C2C" w:rsidRDefault="00622C2C" w:rsidP="00CC421D">
            <w:pPr>
              <w:pStyle w:val="MJAnormal"/>
            </w:pPr>
            <w:r>
              <w:rPr>
                <w:color w:val="000000"/>
              </w:rPr>
              <w:t>Round 1 (off farm)</w:t>
            </w:r>
          </w:p>
        </w:tc>
        <w:tc>
          <w:tcPr>
            <w:tcW w:w="2907" w:type="dxa"/>
          </w:tcPr>
          <w:p w:rsidR="00622C2C" w:rsidRDefault="00622C2C" w:rsidP="00CC421D">
            <w:pPr>
              <w:pStyle w:val="MJAnormal"/>
              <w:cnfStyle w:val="000000000000" w:firstRow="0" w:lastRow="0" w:firstColumn="0" w:lastColumn="0" w:oddVBand="0" w:evenVBand="0" w:oddHBand="0" w:evenHBand="0" w:firstRowFirstColumn="0" w:firstRowLastColumn="0" w:lastRowFirstColumn="0" w:lastRowLastColumn="0"/>
            </w:pPr>
            <w:r>
              <w:rPr>
                <w:color w:val="000000"/>
              </w:rPr>
              <w:t>$50m</w:t>
            </w:r>
          </w:p>
        </w:tc>
        <w:tc>
          <w:tcPr>
            <w:tcW w:w="2907" w:type="dxa"/>
          </w:tcPr>
          <w:p w:rsidR="00622C2C" w:rsidRDefault="00622C2C" w:rsidP="00CC421D">
            <w:pPr>
              <w:pStyle w:val="MJAnormal"/>
              <w:cnfStyle w:val="000000000000" w:firstRow="0" w:lastRow="0" w:firstColumn="0" w:lastColumn="0" w:oddVBand="0" w:evenVBand="0" w:oddHBand="0" w:evenHBand="0" w:firstRowFirstColumn="0" w:firstRowLastColumn="0" w:lastRowFirstColumn="0" w:lastRowLastColumn="0"/>
            </w:pPr>
            <w:r>
              <w:rPr>
                <w:color w:val="000000"/>
              </w:rPr>
              <w:t>5.7GL</w:t>
            </w:r>
          </w:p>
        </w:tc>
      </w:tr>
      <w:tr w:rsidR="00622C2C" w:rsidTr="002C5781">
        <w:tc>
          <w:tcPr>
            <w:cnfStyle w:val="001000000000" w:firstRow="0" w:lastRow="0" w:firstColumn="1" w:lastColumn="0" w:oddVBand="0" w:evenVBand="0" w:oddHBand="0" w:evenHBand="0" w:firstRowFirstColumn="0" w:firstRowLastColumn="0" w:lastRowFirstColumn="0" w:lastRowLastColumn="0"/>
            <w:tcW w:w="2906" w:type="dxa"/>
          </w:tcPr>
          <w:p w:rsidR="00622C2C" w:rsidRDefault="00622C2C" w:rsidP="00CC421D">
            <w:pPr>
              <w:pStyle w:val="MJAnormal"/>
            </w:pPr>
            <w:r>
              <w:rPr>
                <w:color w:val="000000"/>
              </w:rPr>
              <w:t>Round 2 (off and on-farm)</w:t>
            </w:r>
          </w:p>
        </w:tc>
        <w:tc>
          <w:tcPr>
            <w:tcW w:w="2907" w:type="dxa"/>
          </w:tcPr>
          <w:p w:rsidR="00622C2C" w:rsidRDefault="00622C2C" w:rsidP="00CC421D">
            <w:pPr>
              <w:pStyle w:val="MJAnormal"/>
              <w:cnfStyle w:val="000000000000" w:firstRow="0" w:lastRow="0" w:firstColumn="0" w:lastColumn="0" w:oddVBand="0" w:evenVBand="0" w:oddHBand="0" w:evenHBand="0" w:firstRowFirstColumn="0" w:firstRowLastColumn="0" w:lastRowFirstColumn="0" w:lastRowLastColumn="0"/>
            </w:pPr>
            <w:r>
              <w:rPr>
                <w:color w:val="000000"/>
              </w:rPr>
              <w:t>$175.1m</w:t>
            </w:r>
          </w:p>
        </w:tc>
        <w:tc>
          <w:tcPr>
            <w:tcW w:w="2907" w:type="dxa"/>
          </w:tcPr>
          <w:p w:rsidR="00622C2C" w:rsidRDefault="00817797" w:rsidP="00CC421D">
            <w:pPr>
              <w:pStyle w:val="MJAnormal"/>
              <w:cnfStyle w:val="000000000000" w:firstRow="0" w:lastRow="0" w:firstColumn="0" w:lastColumn="0" w:oddVBand="0" w:evenVBand="0" w:oddHBand="0" w:evenHBand="0" w:firstRowFirstColumn="0" w:firstRowLastColumn="0" w:lastRowFirstColumn="0" w:lastRowLastColumn="0"/>
            </w:pPr>
            <w:r>
              <w:rPr>
                <w:color w:val="000000"/>
              </w:rPr>
              <w:tab/>
            </w:r>
          </w:p>
        </w:tc>
      </w:tr>
      <w:tr w:rsidR="00622C2C" w:rsidTr="002C5781">
        <w:tc>
          <w:tcPr>
            <w:cnfStyle w:val="001000000000" w:firstRow="0" w:lastRow="0" w:firstColumn="1" w:lastColumn="0" w:oddVBand="0" w:evenVBand="0" w:oddHBand="0" w:evenHBand="0" w:firstRowFirstColumn="0" w:firstRowLastColumn="0" w:lastRowFirstColumn="0" w:lastRowLastColumn="0"/>
            <w:tcW w:w="2906" w:type="dxa"/>
          </w:tcPr>
          <w:p w:rsidR="00622C2C" w:rsidRDefault="00622C2C" w:rsidP="002C5781">
            <w:pPr>
              <w:pStyle w:val="MJAnormal"/>
              <w:jc w:val="right"/>
            </w:pPr>
            <w:r>
              <w:rPr>
                <w:color w:val="000000"/>
              </w:rPr>
              <w:t>on-farm</w:t>
            </w:r>
          </w:p>
        </w:tc>
        <w:tc>
          <w:tcPr>
            <w:tcW w:w="2907" w:type="dxa"/>
          </w:tcPr>
          <w:p w:rsidR="00622C2C" w:rsidRDefault="00622C2C" w:rsidP="002C5781">
            <w:pPr>
              <w:pStyle w:val="MJAnormal"/>
              <w:cnfStyle w:val="000000000000" w:firstRow="0" w:lastRow="0" w:firstColumn="0" w:lastColumn="0" w:oddVBand="0" w:evenVBand="0" w:oddHBand="0" w:evenHBand="0" w:firstRowFirstColumn="0" w:firstRowLastColumn="0" w:lastRowFirstColumn="0" w:lastRowLastColumn="0"/>
            </w:pPr>
            <w:r>
              <w:rPr>
                <w:i/>
                <w:iCs/>
                <w:color w:val="000000"/>
              </w:rPr>
              <w:t>$58.5m</w:t>
            </w:r>
          </w:p>
        </w:tc>
        <w:tc>
          <w:tcPr>
            <w:tcW w:w="2907" w:type="dxa"/>
          </w:tcPr>
          <w:p w:rsidR="00622C2C" w:rsidRDefault="00622C2C" w:rsidP="00CC421D">
            <w:pPr>
              <w:pStyle w:val="MJAnormal"/>
              <w:cnfStyle w:val="000000000000" w:firstRow="0" w:lastRow="0" w:firstColumn="0" w:lastColumn="0" w:oddVBand="0" w:evenVBand="0" w:oddHBand="0" w:evenHBand="0" w:firstRowFirstColumn="0" w:firstRowLastColumn="0" w:lastRowFirstColumn="0" w:lastRowLastColumn="0"/>
            </w:pPr>
            <w:r>
              <w:rPr>
                <w:i/>
                <w:iCs/>
                <w:color w:val="000000"/>
              </w:rPr>
              <w:t>11.1GL</w:t>
            </w:r>
          </w:p>
        </w:tc>
      </w:tr>
      <w:tr w:rsidR="00622C2C" w:rsidTr="002C5781">
        <w:tc>
          <w:tcPr>
            <w:cnfStyle w:val="001000000000" w:firstRow="0" w:lastRow="0" w:firstColumn="1" w:lastColumn="0" w:oddVBand="0" w:evenVBand="0" w:oddHBand="0" w:evenHBand="0" w:firstRowFirstColumn="0" w:firstRowLastColumn="0" w:lastRowFirstColumn="0" w:lastRowLastColumn="0"/>
            <w:tcW w:w="2906" w:type="dxa"/>
          </w:tcPr>
          <w:p w:rsidR="00622C2C" w:rsidRDefault="00622C2C" w:rsidP="002C5781">
            <w:pPr>
              <w:pStyle w:val="MJAnormal"/>
              <w:jc w:val="right"/>
            </w:pPr>
            <w:r>
              <w:rPr>
                <w:color w:val="000000"/>
              </w:rPr>
              <w:t>off-farm</w:t>
            </w:r>
          </w:p>
        </w:tc>
        <w:tc>
          <w:tcPr>
            <w:tcW w:w="2907" w:type="dxa"/>
          </w:tcPr>
          <w:p w:rsidR="00622C2C" w:rsidRDefault="00622C2C" w:rsidP="002C5781">
            <w:pPr>
              <w:pStyle w:val="MJAnormal"/>
              <w:cnfStyle w:val="000000000000" w:firstRow="0" w:lastRow="0" w:firstColumn="0" w:lastColumn="0" w:oddVBand="0" w:evenVBand="0" w:oddHBand="0" w:evenHBand="0" w:firstRowFirstColumn="0" w:firstRowLastColumn="0" w:lastRowFirstColumn="0" w:lastRowLastColumn="0"/>
            </w:pPr>
            <w:r>
              <w:rPr>
                <w:i/>
                <w:iCs/>
                <w:color w:val="000000"/>
              </w:rPr>
              <w:t>$116.6m</w:t>
            </w:r>
          </w:p>
        </w:tc>
        <w:tc>
          <w:tcPr>
            <w:tcW w:w="2907" w:type="dxa"/>
          </w:tcPr>
          <w:p w:rsidR="00622C2C" w:rsidRDefault="00622C2C" w:rsidP="00CC421D">
            <w:pPr>
              <w:pStyle w:val="MJAnormal"/>
              <w:cnfStyle w:val="000000000000" w:firstRow="0" w:lastRow="0" w:firstColumn="0" w:lastColumn="0" w:oddVBand="0" w:evenVBand="0" w:oddHBand="0" w:evenHBand="0" w:firstRowFirstColumn="0" w:firstRowLastColumn="0" w:lastRowFirstColumn="0" w:lastRowLastColumn="0"/>
            </w:pPr>
            <w:r>
              <w:rPr>
                <w:i/>
                <w:iCs/>
                <w:color w:val="000000"/>
              </w:rPr>
              <w:t>26.5GL</w:t>
            </w:r>
          </w:p>
        </w:tc>
      </w:tr>
      <w:tr w:rsidR="00622C2C" w:rsidTr="002C5781">
        <w:tc>
          <w:tcPr>
            <w:cnfStyle w:val="001000000000" w:firstRow="0" w:lastRow="0" w:firstColumn="1" w:lastColumn="0" w:oddVBand="0" w:evenVBand="0" w:oddHBand="0" w:evenHBand="0" w:firstRowFirstColumn="0" w:firstRowLastColumn="0" w:lastRowFirstColumn="0" w:lastRowLastColumn="0"/>
            <w:tcW w:w="2906" w:type="dxa"/>
          </w:tcPr>
          <w:p w:rsidR="00622C2C" w:rsidRDefault="00622C2C" w:rsidP="005D7F14">
            <w:pPr>
              <w:pStyle w:val="MJAnormal"/>
            </w:pPr>
            <w:r>
              <w:rPr>
                <w:color w:val="000000"/>
              </w:rPr>
              <w:t>Round 3 (off-farm)</w:t>
            </w:r>
            <w:r w:rsidR="007917B0">
              <w:rPr>
                <w:rStyle w:val="FootnoteReference"/>
                <w:color w:val="000000"/>
              </w:rPr>
              <w:footnoteReference w:id="4"/>
            </w:r>
          </w:p>
        </w:tc>
        <w:tc>
          <w:tcPr>
            <w:tcW w:w="2907" w:type="dxa"/>
          </w:tcPr>
          <w:p w:rsidR="00622C2C" w:rsidRDefault="00622C2C" w:rsidP="005D7F14">
            <w:pPr>
              <w:pStyle w:val="MJAnormal"/>
              <w:cnfStyle w:val="000000000000" w:firstRow="0" w:lastRow="0" w:firstColumn="0" w:lastColumn="0" w:oddVBand="0" w:evenVBand="0" w:oddHBand="0" w:evenHBand="0" w:firstRowFirstColumn="0" w:firstRowLastColumn="0" w:lastRowFirstColumn="0" w:lastRowLastColumn="0"/>
            </w:pPr>
            <w:r>
              <w:rPr>
                <w:color w:val="000000"/>
              </w:rPr>
              <w:t>$84.9m</w:t>
            </w:r>
          </w:p>
        </w:tc>
        <w:tc>
          <w:tcPr>
            <w:tcW w:w="2907" w:type="dxa"/>
          </w:tcPr>
          <w:p w:rsidR="00622C2C" w:rsidRDefault="00622C2C" w:rsidP="005D7F14">
            <w:pPr>
              <w:pStyle w:val="MJAnormal"/>
              <w:cnfStyle w:val="000000000000" w:firstRow="0" w:lastRow="0" w:firstColumn="0" w:lastColumn="0" w:oddVBand="0" w:evenVBand="0" w:oddHBand="0" w:evenHBand="0" w:firstRowFirstColumn="0" w:firstRowLastColumn="0" w:lastRowFirstColumn="0" w:lastRowLastColumn="0"/>
            </w:pPr>
            <w:r>
              <w:rPr>
                <w:color w:val="000000"/>
              </w:rPr>
              <w:t>9.5GL</w:t>
            </w:r>
          </w:p>
        </w:tc>
      </w:tr>
      <w:tr w:rsidR="00622C2C" w:rsidTr="005D7F14">
        <w:tc>
          <w:tcPr>
            <w:cnfStyle w:val="001000000000" w:firstRow="0" w:lastRow="0" w:firstColumn="1" w:lastColumn="0" w:oddVBand="0" w:evenVBand="0" w:oddHBand="0" w:evenHBand="0" w:firstRowFirstColumn="0" w:firstRowLastColumn="0" w:lastRowFirstColumn="0" w:lastRowLastColumn="0"/>
            <w:tcW w:w="2906" w:type="dxa"/>
          </w:tcPr>
          <w:p w:rsidR="00622C2C" w:rsidRDefault="00622C2C" w:rsidP="005D7F14">
            <w:pPr>
              <w:pStyle w:val="MJAnormal"/>
            </w:pPr>
            <w:r>
              <w:rPr>
                <w:b/>
                <w:bCs/>
                <w:color w:val="000000"/>
              </w:rPr>
              <w:t>OFIEP</w:t>
            </w:r>
          </w:p>
        </w:tc>
        <w:tc>
          <w:tcPr>
            <w:tcW w:w="2907" w:type="dxa"/>
          </w:tcPr>
          <w:p w:rsidR="00622C2C" w:rsidRDefault="00622C2C" w:rsidP="005D7F14">
            <w:pPr>
              <w:pStyle w:val="MJAnormal"/>
              <w:cnfStyle w:val="000000000000" w:firstRow="0" w:lastRow="0" w:firstColumn="0" w:lastColumn="0" w:oddVBand="0" w:evenVBand="0" w:oddHBand="0" w:evenHBand="0" w:firstRowFirstColumn="0" w:firstRowLastColumn="0" w:lastRowFirstColumn="0" w:lastRowLastColumn="0"/>
            </w:pPr>
          </w:p>
        </w:tc>
        <w:tc>
          <w:tcPr>
            <w:tcW w:w="2907" w:type="dxa"/>
          </w:tcPr>
          <w:p w:rsidR="00622C2C" w:rsidRDefault="00622C2C" w:rsidP="005D7F14">
            <w:pPr>
              <w:pStyle w:val="MJAnormal"/>
              <w:cnfStyle w:val="000000000000" w:firstRow="0" w:lastRow="0" w:firstColumn="0" w:lastColumn="0" w:oddVBand="0" w:evenVBand="0" w:oddHBand="0" w:evenHBand="0" w:firstRowFirstColumn="0" w:firstRowLastColumn="0" w:lastRowFirstColumn="0" w:lastRowLastColumn="0"/>
            </w:pPr>
          </w:p>
        </w:tc>
      </w:tr>
      <w:tr w:rsidR="00622C2C" w:rsidTr="005D7F14">
        <w:tc>
          <w:tcPr>
            <w:cnfStyle w:val="001000000000" w:firstRow="0" w:lastRow="0" w:firstColumn="1" w:lastColumn="0" w:oddVBand="0" w:evenVBand="0" w:oddHBand="0" w:evenHBand="0" w:firstRowFirstColumn="0" w:firstRowLastColumn="0" w:lastRowFirstColumn="0" w:lastRowLastColumn="0"/>
            <w:tcW w:w="2906" w:type="dxa"/>
          </w:tcPr>
          <w:p w:rsidR="00622C2C" w:rsidRDefault="00622C2C" w:rsidP="005D7F14">
            <w:pPr>
              <w:pStyle w:val="MJAnormal"/>
            </w:pPr>
            <w:r>
              <w:rPr>
                <w:color w:val="000000"/>
              </w:rPr>
              <w:t>Round 1 (on-farm)</w:t>
            </w:r>
          </w:p>
        </w:tc>
        <w:tc>
          <w:tcPr>
            <w:tcW w:w="2907" w:type="dxa"/>
          </w:tcPr>
          <w:p w:rsidR="00622C2C" w:rsidRDefault="00622C2C" w:rsidP="005D7F14">
            <w:pPr>
              <w:pStyle w:val="MJAnormal"/>
              <w:cnfStyle w:val="000000000000" w:firstRow="0" w:lastRow="0" w:firstColumn="0" w:lastColumn="0" w:oddVBand="0" w:evenVBand="0" w:oddHBand="0" w:evenHBand="0" w:firstRowFirstColumn="0" w:firstRowLastColumn="0" w:lastRowFirstColumn="0" w:lastRowLastColumn="0"/>
            </w:pPr>
            <w:r>
              <w:rPr>
                <w:color w:val="000000"/>
              </w:rPr>
              <w:t>$10.4m</w:t>
            </w:r>
          </w:p>
        </w:tc>
        <w:tc>
          <w:tcPr>
            <w:tcW w:w="2907" w:type="dxa"/>
          </w:tcPr>
          <w:p w:rsidR="00622C2C" w:rsidRDefault="00622C2C" w:rsidP="005D7F14">
            <w:pPr>
              <w:pStyle w:val="MJAnormal"/>
              <w:cnfStyle w:val="000000000000" w:firstRow="0" w:lastRow="0" w:firstColumn="0" w:lastColumn="0" w:oddVBand="0" w:evenVBand="0" w:oddHBand="0" w:evenHBand="0" w:firstRowFirstColumn="0" w:firstRowLastColumn="0" w:lastRowFirstColumn="0" w:lastRowLastColumn="0"/>
            </w:pPr>
            <w:r>
              <w:rPr>
                <w:color w:val="000000"/>
              </w:rPr>
              <w:t>3.4GL</w:t>
            </w:r>
          </w:p>
        </w:tc>
      </w:tr>
      <w:tr w:rsidR="00622C2C" w:rsidTr="005D7F14">
        <w:tc>
          <w:tcPr>
            <w:cnfStyle w:val="001000000000" w:firstRow="0" w:lastRow="0" w:firstColumn="1" w:lastColumn="0" w:oddVBand="0" w:evenVBand="0" w:oddHBand="0" w:evenHBand="0" w:firstRowFirstColumn="0" w:firstRowLastColumn="0" w:lastRowFirstColumn="0" w:lastRowLastColumn="0"/>
            <w:tcW w:w="2906" w:type="dxa"/>
          </w:tcPr>
          <w:p w:rsidR="00622C2C" w:rsidRDefault="00622C2C" w:rsidP="005D7F14">
            <w:pPr>
              <w:pStyle w:val="MJAnormal"/>
            </w:pPr>
            <w:r>
              <w:rPr>
                <w:color w:val="000000"/>
              </w:rPr>
              <w:t>Round 3 (on-farm)</w:t>
            </w:r>
          </w:p>
        </w:tc>
        <w:tc>
          <w:tcPr>
            <w:tcW w:w="2907" w:type="dxa"/>
          </w:tcPr>
          <w:p w:rsidR="00622C2C" w:rsidRDefault="00622C2C" w:rsidP="005D7F14">
            <w:pPr>
              <w:pStyle w:val="MJAnormal"/>
              <w:cnfStyle w:val="000000000000" w:firstRow="0" w:lastRow="0" w:firstColumn="0" w:lastColumn="0" w:oddVBand="0" w:evenVBand="0" w:oddHBand="0" w:evenHBand="0" w:firstRowFirstColumn="0" w:firstRowLastColumn="0" w:lastRowFirstColumn="0" w:lastRowLastColumn="0"/>
            </w:pPr>
            <w:r>
              <w:rPr>
                <w:color w:val="000000"/>
              </w:rPr>
              <w:t>$23.9m</w:t>
            </w:r>
          </w:p>
        </w:tc>
        <w:tc>
          <w:tcPr>
            <w:tcW w:w="2907" w:type="dxa"/>
          </w:tcPr>
          <w:p w:rsidR="00622C2C" w:rsidRDefault="00622C2C" w:rsidP="005D7F14">
            <w:pPr>
              <w:pStyle w:val="MJAnormal"/>
              <w:cnfStyle w:val="000000000000" w:firstRow="0" w:lastRow="0" w:firstColumn="0" w:lastColumn="0" w:oddVBand="0" w:evenVBand="0" w:oddHBand="0" w:evenHBand="0" w:firstRowFirstColumn="0" w:firstRowLastColumn="0" w:lastRowFirstColumn="0" w:lastRowLastColumn="0"/>
            </w:pPr>
            <w:r>
              <w:rPr>
                <w:color w:val="000000"/>
              </w:rPr>
              <w:t>7.7GL</w:t>
            </w:r>
          </w:p>
        </w:tc>
      </w:tr>
      <w:tr w:rsidR="00622C2C" w:rsidTr="005D7F14">
        <w:tc>
          <w:tcPr>
            <w:cnfStyle w:val="001000000000" w:firstRow="0" w:lastRow="0" w:firstColumn="1" w:lastColumn="0" w:oddVBand="0" w:evenVBand="0" w:oddHBand="0" w:evenHBand="0" w:firstRowFirstColumn="0" w:firstRowLastColumn="0" w:lastRowFirstColumn="0" w:lastRowLastColumn="0"/>
            <w:tcW w:w="2906" w:type="dxa"/>
          </w:tcPr>
          <w:p w:rsidR="00622C2C" w:rsidRDefault="00622C2C" w:rsidP="005D7F14">
            <w:pPr>
              <w:pStyle w:val="MJAnormal"/>
            </w:pPr>
            <w:r>
              <w:rPr>
                <w:color w:val="000000"/>
              </w:rPr>
              <w:t>Round 5 (on-farm)</w:t>
            </w:r>
          </w:p>
        </w:tc>
        <w:tc>
          <w:tcPr>
            <w:tcW w:w="2907" w:type="dxa"/>
          </w:tcPr>
          <w:p w:rsidR="00622C2C" w:rsidRDefault="00622C2C" w:rsidP="005D7F14">
            <w:pPr>
              <w:pStyle w:val="MJAnormal"/>
              <w:cnfStyle w:val="000000000000" w:firstRow="0" w:lastRow="0" w:firstColumn="0" w:lastColumn="0" w:oddVBand="0" w:evenVBand="0" w:oddHBand="0" w:evenHBand="0" w:firstRowFirstColumn="0" w:firstRowLastColumn="0" w:lastRowFirstColumn="0" w:lastRowLastColumn="0"/>
            </w:pPr>
            <w:r>
              <w:rPr>
                <w:color w:val="000000"/>
              </w:rPr>
              <w:t>$43.6m</w:t>
            </w:r>
          </w:p>
        </w:tc>
        <w:tc>
          <w:tcPr>
            <w:tcW w:w="2907" w:type="dxa"/>
          </w:tcPr>
          <w:p w:rsidR="00622C2C" w:rsidRDefault="00622C2C" w:rsidP="005D7F14">
            <w:pPr>
              <w:pStyle w:val="MJAnormal"/>
              <w:cnfStyle w:val="000000000000" w:firstRow="0" w:lastRow="0" w:firstColumn="0" w:lastColumn="0" w:oddVBand="0" w:evenVBand="0" w:oddHBand="0" w:evenHBand="0" w:firstRowFirstColumn="0" w:firstRowLastColumn="0" w:lastRowFirstColumn="0" w:lastRowLastColumn="0"/>
            </w:pPr>
            <w:r>
              <w:rPr>
                <w:color w:val="000000"/>
              </w:rPr>
              <w:t>12.4GL</w:t>
            </w:r>
          </w:p>
        </w:tc>
      </w:tr>
      <w:tr w:rsidR="00622C2C" w:rsidTr="002C5781">
        <w:tc>
          <w:tcPr>
            <w:cnfStyle w:val="001000000000" w:firstRow="0" w:lastRow="0" w:firstColumn="1" w:lastColumn="0" w:oddVBand="0" w:evenVBand="0" w:oddHBand="0" w:evenHBand="0" w:firstRowFirstColumn="0" w:firstRowLastColumn="0" w:lastRowFirstColumn="0" w:lastRowLastColumn="0"/>
            <w:tcW w:w="2906" w:type="dxa"/>
          </w:tcPr>
          <w:p w:rsidR="00622C2C" w:rsidRDefault="00622C2C" w:rsidP="005D7F14">
            <w:pPr>
              <w:pStyle w:val="MJAnormal"/>
            </w:pPr>
          </w:p>
        </w:tc>
        <w:tc>
          <w:tcPr>
            <w:tcW w:w="2907" w:type="dxa"/>
          </w:tcPr>
          <w:p w:rsidR="00622C2C" w:rsidRDefault="00622C2C" w:rsidP="005D7F14">
            <w:pPr>
              <w:pStyle w:val="MJAnormal"/>
              <w:cnfStyle w:val="000000000000" w:firstRow="0" w:lastRow="0" w:firstColumn="0" w:lastColumn="0" w:oddVBand="0" w:evenVBand="0" w:oddHBand="0" w:evenHBand="0" w:firstRowFirstColumn="0" w:firstRowLastColumn="0" w:lastRowFirstColumn="0" w:lastRowLastColumn="0"/>
            </w:pPr>
          </w:p>
        </w:tc>
        <w:tc>
          <w:tcPr>
            <w:tcW w:w="2907" w:type="dxa"/>
          </w:tcPr>
          <w:p w:rsidR="00622C2C" w:rsidRDefault="00622C2C" w:rsidP="005D7F14">
            <w:pPr>
              <w:pStyle w:val="MJAnormal"/>
              <w:cnfStyle w:val="000000000000" w:firstRow="0" w:lastRow="0" w:firstColumn="0" w:lastColumn="0" w:oddVBand="0" w:evenVBand="0" w:oddHBand="0" w:evenHBand="0" w:firstRowFirstColumn="0" w:firstRowLastColumn="0" w:lastRowFirstColumn="0" w:lastRowLastColumn="0"/>
            </w:pPr>
          </w:p>
        </w:tc>
      </w:tr>
      <w:tr w:rsidR="00622C2C" w:rsidTr="002C5781">
        <w:tc>
          <w:tcPr>
            <w:cnfStyle w:val="001000000000" w:firstRow="0" w:lastRow="0" w:firstColumn="1" w:lastColumn="0" w:oddVBand="0" w:evenVBand="0" w:oddHBand="0" w:evenHBand="0" w:firstRowFirstColumn="0" w:firstRowLastColumn="0" w:lastRowFirstColumn="0" w:lastRowLastColumn="0"/>
            <w:tcW w:w="2906" w:type="dxa"/>
            <w:tcBorders>
              <w:bottom w:val="single" w:sz="4" w:space="0" w:color="auto"/>
            </w:tcBorders>
          </w:tcPr>
          <w:p w:rsidR="00622C2C" w:rsidRDefault="00622C2C" w:rsidP="005D7F14">
            <w:pPr>
              <w:pStyle w:val="MJAnormal"/>
            </w:pPr>
            <w:r>
              <w:rPr>
                <w:b/>
                <w:bCs/>
                <w:color w:val="000000"/>
              </w:rPr>
              <w:t>Purchase</w:t>
            </w:r>
          </w:p>
        </w:tc>
        <w:tc>
          <w:tcPr>
            <w:tcW w:w="2907" w:type="dxa"/>
            <w:tcBorders>
              <w:bottom w:val="single" w:sz="4" w:space="0" w:color="auto"/>
            </w:tcBorders>
          </w:tcPr>
          <w:p w:rsidR="00622C2C" w:rsidRDefault="00622C2C" w:rsidP="005D7F14">
            <w:pPr>
              <w:pStyle w:val="MJAnormal"/>
              <w:cnfStyle w:val="000000000000" w:firstRow="0" w:lastRow="0" w:firstColumn="0" w:lastColumn="0" w:oddVBand="0" w:evenVBand="0" w:oddHBand="0" w:evenHBand="0" w:firstRowFirstColumn="0" w:firstRowLastColumn="0" w:lastRowFirstColumn="0" w:lastRowLastColumn="0"/>
            </w:pPr>
            <w:r>
              <w:rPr>
                <w:color w:val="000000"/>
              </w:rPr>
              <w:t>$76.6m</w:t>
            </w:r>
          </w:p>
        </w:tc>
        <w:tc>
          <w:tcPr>
            <w:tcW w:w="2907" w:type="dxa"/>
            <w:tcBorders>
              <w:bottom w:val="single" w:sz="4" w:space="0" w:color="auto"/>
            </w:tcBorders>
          </w:tcPr>
          <w:p w:rsidR="00622C2C" w:rsidRDefault="00622C2C" w:rsidP="005D7F14">
            <w:pPr>
              <w:pStyle w:val="MJAnormal"/>
              <w:cnfStyle w:val="000000000000" w:firstRow="0" w:lastRow="0" w:firstColumn="0" w:lastColumn="0" w:oddVBand="0" w:evenVBand="0" w:oddHBand="0" w:evenHBand="0" w:firstRowFirstColumn="0" w:firstRowLastColumn="0" w:lastRowFirstColumn="0" w:lastRowLastColumn="0"/>
            </w:pPr>
            <w:r>
              <w:rPr>
                <w:color w:val="000000"/>
              </w:rPr>
              <w:t>52.7GL</w:t>
            </w:r>
          </w:p>
        </w:tc>
      </w:tr>
    </w:tbl>
    <w:p w:rsidR="00622C2C" w:rsidRDefault="00622C2C" w:rsidP="00CC421D">
      <w:pPr>
        <w:pStyle w:val="MJAnormal"/>
      </w:pPr>
    </w:p>
    <w:p w:rsidR="0034571D" w:rsidRDefault="0034571D" w:rsidP="00D150F2">
      <w:pPr>
        <w:pStyle w:val="MJAheading2"/>
      </w:pPr>
      <w:bookmarkStart w:id="29" w:name="_Toc490831971"/>
      <w:bookmarkStart w:id="30" w:name="_Toc482099149"/>
      <w:bookmarkStart w:id="31" w:name="_Toc494892258"/>
      <w:bookmarkEnd w:id="29"/>
      <w:r>
        <w:t>PIIOP</w:t>
      </w:r>
      <w:bookmarkEnd w:id="30"/>
      <w:bookmarkEnd w:id="31"/>
    </w:p>
    <w:p w:rsidR="0034571D" w:rsidRDefault="00EC048D" w:rsidP="003F64C9">
      <w:pPr>
        <w:pStyle w:val="MJAnormal"/>
      </w:pPr>
      <w:r>
        <w:t>An estimated $</w:t>
      </w:r>
      <w:r w:rsidR="00CF1DCC">
        <w:t>310.0</w:t>
      </w:r>
      <w:r>
        <w:t xml:space="preserve"> million </w:t>
      </w:r>
      <w:r w:rsidR="00915E92">
        <w:t xml:space="preserve">(excluding GST) </w:t>
      </w:r>
      <w:r>
        <w:t xml:space="preserve">has been spent </w:t>
      </w:r>
      <w:r w:rsidR="00766A0D">
        <w:t xml:space="preserve">or committed </w:t>
      </w:r>
      <w:r>
        <w:t xml:space="preserve">by the Commonwealth on PIIOP in the </w:t>
      </w:r>
      <w:r w:rsidR="0025183D">
        <w:t>MIA</w:t>
      </w:r>
      <w:r>
        <w:t xml:space="preserve">. </w:t>
      </w:r>
      <w:r w:rsidR="00CC421D">
        <w:t>Murrumbidgee</w:t>
      </w:r>
      <w:r>
        <w:t xml:space="preserve"> Irrigation </w:t>
      </w:r>
      <w:r w:rsidR="007D54CA">
        <w:t>will receive</w:t>
      </w:r>
      <w:r>
        <w:t xml:space="preserve"> </w:t>
      </w:r>
      <w:r w:rsidR="0025183D">
        <w:t>three</w:t>
      </w:r>
      <w:r>
        <w:t xml:space="preserve"> rounds of PIIOP funding.</w:t>
      </w:r>
    </w:p>
    <w:p w:rsidR="00EC048D" w:rsidRDefault="00EC048D" w:rsidP="00D150F2">
      <w:pPr>
        <w:pStyle w:val="MJAheading3"/>
      </w:pPr>
      <w:r>
        <w:t>Round 1</w:t>
      </w:r>
    </w:p>
    <w:p w:rsidR="00F829FF" w:rsidRDefault="00EC048D" w:rsidP="00EC048D">
      <w:pPr>
        <w:pStyle w:val="MJAnormal"/>
      </w:pPr>
      <w:r w:rsidRPr="00EC048D">
        <w:t xml:space="preserve">Murrumbidgee Irrigation </w:t>
      </w:r>
      <w:r w:rsidR="007D54CA">
        <w:t xml:space="preserve">(MI) </w:t>
      </w:r>
      <w:r w:rsidRPr="00EC048D">
        <w:t xml:space="preserve">received </w:t>
      </w:r>
      <w:r w:rsidRPr="004449F0">
        <w:t>funding of $5</w:t>
      </w:r>
      <w:r w:rsidR="00754057">
        <w:t>0</w:t>
      </w:r>
      <w:r w:rsidRPr="004449F0">
        <w:t xml:space="preserve"> million and</w:t>
      </w:r>
      <w:r w:rsidRPr="00EC048D">
        <w:t xml:space="preserve"> will transfer water entitlements to the Commonwealth that will return 5,700 ML on average over the long-term every year to the Commonwealth to help bridge the gap in the Murrumbidgee catchment identified in the Murray Darling B</w:t>
      </w:r>
      <w:r>
        <w:t xml:space="preserve">asin Plan. </w:t>
      </w:r>
    </w:p>
    <w:p w:rsidR="00F829FF" w:rsidRDefault="00F829FF" w:rsidP="00EC048D">
      <w:pPr>
        <w:pStyle w:val="MJAnormal"/>
      </w:pPr>
      <w:r>
        <w:t>Construction commenced in May 2013 and was completed in November 2014.</w:t>
      </w:r>
    </w:p>
    <w:p w:rsidR="00EC048D" w:rsidRPr="00EC048D" w:rsidRDefault="00EC048D" w:rsidP="00EC048D">
      <w:pPr>
        <w:pStyle w:val="MJAnormal"/>
      </w:pPr>
      <w:r>
        <w:t>This project involved</w:t>
      </w:r>
      <w:r w:rsidRPr="00EC048D">
        <w:t>:</w:t>
      </w:r>
    </w:p>
    <w:p w:rsidR="00EC048D" w:rsidRPr="00EC048D" w:rsidRDefault="00EC048D" w:rsidP="00EC048D">
      <w:pPr>
        <w:pStyle w:val="MJAbulletnormal"/>
      </w:pPr>
      <w:r w:rsidRPr="00EC048D">
        <w:t>replacing a deteriorating concrete-lined channel supply system with an integrated water supply system of 13.8 km of new pipelines and 21.8 km of refurbished open channels (35.6 km in total);</w:t>
      </w:r>
    </w:p>
    <w:p w:rsidR="00EC048D" w:rsidRPr="00EC048D" w:rsidRDefault="00EC048D" w:rsidP="00EC048D">
      <w:pPr>
        <w:pStyle w:val="MJAbulletnormal"/>
      </w:pPr>
      <w:r w:rsidRPr="00EC048D">
        <w:t>reinstatement of 81 farm outlet structures and replacement of 91 metered outlet structures with electromagnetic flow meters;</w:t>
      </w:r>
    </w:p>
    <w:p w:rsidR="00EC048D" w:rsidRPr="00EC048D" w:rsidRDefault="00EC048D" w:rsidP="00EC048D">
      <w:pPr>
        <w:pStyle w:val="MJAbulletnormal"/>
      </w:pPr>
      <w:r w:rsidRPr="00EC048D">
        <w:t>installation of remote monitoring on 213 metered farm outlets; and</w:t>
      </w:r>
    </w:p>
    <w:p w:rsidR="00EC048D" w:rsidRPr="00EC048D" w:rsidRDefault="00EC048D" w:rsidP="00EC048D">
      <w:pPr>
        <w:pStyle w:val="MJAbulletnormal"/>
      </w:pPr>
      <w:r w:rsidRPr="00EC048D">
        <w:t>automation of remaining open channels.</w:t>
      </w:r>
    </w:p>
    <w:p w:rsidR="00EC048D" w:rsidRDefault="00EC048D" w:rsidP="00D150F2">
      <w:pPr>
        <w:pStyle w:val="MJAheading3"/>
      </w:pPr>
      <w:r>
        <w:t>Round 2</w:t>
      </w:r>
    </w:p>
    <w:p w:rsidR="00F829FF" w:rsidRDefault="00EC048D" w:rsidP="00EC048D">
      <w:pPr>
        <w:pStyle w:val="MJAnormal"/>
      </w:pPr>
      <w:r w:rsidRPr="003513B0">
        <w:t xml:space="preserve">MI </w:t>
      </w:r>
      <w:r w:rsidR="004B7B36">
        <w:t xml:space="preserve">is expected to </w:t>
      </w:r>
      <w:r w:rsidRPr="003513B0">
        <w:t xml:space="preserve">receive </w:t>
      </w:r>
      <w:r w:rsidRPr="004449F0">
        <w:t xml:space="preserve">funding of </w:t>
      </w:r>
      <w:r w:rsidR="00B64037" w:rsidRPr="004449F0">
        <w:t>$1</w:t>
      </w:r>
      <w:r w:rsidR="00752B29">
        <w:t>75.1</w:t>
      </w:r>
      <w:r w:rsidR="004449F0" w:rsidRPr="004449F0">
        <w:t xml:space="preserve"> </w:t>
      </w:r>
      <w:r w:rsidR="00B64037" w:rsidRPr="00C5057E">
        <w:t>m</w:t>
      </w:r>
      <w:r w:rsidR="004449F0" w:rsidRPr="004449F0">
        <w:t>illion</w:t>
      </w:r>
      <w:r w:rsidR="004449F0">
        <w:t xml:space="preserve"> </w:t>
      </w:r>
      <w:r w:rsidRPr="003513B0">
        <w:t>and will transfer water entitlements to the Commonwealth that will return</w:t>
      </w:r>
      <w:r w:rsidR="00B64037">
        <w:t xml:space="preserve"> 37,521 ML</w:t>
      </w:r>
      <w:r w:rsidR="008A415F">
        <w:t xml:space="preserve"> </w:t>
      </w:r>
      <w:r w:rsidRPr="003513B0">
        <w:t xml:space="preserve">on average over the long-term every year to the Commonwealth to help bridge the gap in the Murrumbidgee catchment identified in the Murray Darling Basin Plan. </w:t>
      </w:r>
    </w:p>
    <w:p w:rsidR="00F829FF" w:rsidRDefault="00F829FF" w:rsidP="00F829FF">
      <w:pPr>
        <w:pStyle w:val="MJAnormal"/>
      </w:pPr>
      <w:r>
        <w:t>Construction commenced in March 2015 and is expected to be completed by June 2019.</w:t>
      </w:r>
    </w:p>
    <w:p w:rsidR="00EC048D" w:rsidRPr="003513B0" w:rsidRDefault="00EC048D" w:rsidP="00EC048D">
      <w:pPr>
        <w:pStyle w:val="MJAnormal"/>
      </w:pPr>
      <w:r w:rsidRPr="003513B0">
        <w:t>This project involves:</w:t>
      </w:r>
    </w:p>
    <w:p w:rsidR="00EC048D" w:rsidRPr="003513B0" w:rsidRDefault="00EC048D" w:rsidP="00EC048D">
      <w:pPr>
        <w:pStyle w:val="MJAbulletnormal"/>
      </w:pPr>
      <w:r w:rsidRPr="003513B0">
        <w:t>installation of a 455 km stock and domestic water supply system;</w:t>
      </w:r>
    </w:p>
    <w:p w:rsidR="00EC048D" w:rsidRPr="003513B0" w:rsidRDefault="00EC048D" w:rsidP="00EC048D">
      <w:pPr>
        <w:pStyle w:val="MJAbulletnormal"/>
      </w:pPr>
      <w:r w:rsidRPr="003513B0">
        <w:t>conversion of approximately 243 km of channels to an automated channel control system, including automated control on 264 regulators made up of 322 gates, upgrade/replacement of 139 channel control system structures and new meters for 105 system structures;</w:t>
      </w:r>
    </w:p>
    <w:p w:rsidR="00EC048D" w:rsidRPr="003513B0" w:rsidRDefault="00EC048D" w:rsidP="00EC048D">
      <w:pPr>
        <w:pStyle w:val="MJAbulletnormal"/>
      </w:pPr>
      <w:r w:rsidRPr="003513B0">
        <w:t>decommissioning approximately 5 km of channel;</w:t>
      </w:r>
    </w:p>
    <w:p w:rsidR="00EC048D" w:rsidRPr="003513B0" w:rsidRDefault="00EC048D" w:rsidP="00EC048D">
      <w:pPr>
        <w:pStyle w:val="MJAbulletnormal"/>
      </w:pPr>
      <w:r w:rsidRPr="003513B0">
        <w:t>replacement of approximately 62 km of channels with a gravity pipeline system; and</w:t>
      </w:r>
    </w:p>
    <w:p w:rsidR="00EC048D" w:rsidRPr="003513B0" w:rsidRDefault="00EC048D" w:rsidP="00EC048D">
      <w:pPr>
        <w:pStyle w:val="MJAbulletnormal"/>
      </w:pPr>
      <w:r w:rsidRPr="003513B0">
        <w:t>upgrades to water delivery infrastructure on approximately 207 properties.</w:t>
      </w:r>
    </w:p>
    <w:p w:rsidR="00B02D56" w:rsidRDefault="00B02D56" w:rsidP="00D150F2">
      <w:pPr>
        <w:pStyle w:val="MJAheading3"/>
      </w:pPr>
      <w:r>
        <w:t>Round 3</w:t>
      </w:r>
    </w:p>
    <w:p w:rsidR="004C58FF" w:rsidRPr="00C03BEC" w:rsidRDefault="00FE5D05" w:rsidP="004C58FF">
      <w:pPr>
        <w:spacing w:before="120" w:after="120" w:line="280" w:lineRule="atLeast"/>
        <w:rPr>
          <w:rFonts w:ascii="Times New Roman" w:hAnsi="Times New Roman"/>
        </w:rPr>
      </w:pPr>
      <w:r w:rsidRPr="00061E10">
        <w:rPr>
          <w:rFonts w:ascii="Times New Roman" w:hAnsi="Times New Roman" w:cs="Times New Roman"/>
        </w:rPr>
        <w:t xml:space="preserve">Under Round 3 MI </w:t>
      </w:r>
      <w:r w:rsidR="004449F0">
        <w:rPr>
          <w:rFonts w:ascii="Times New Roman" w:hAnsi="Times New Roman" w:cs="Times New Roman"/>
        </w:rPr>
        <w:t xml:space="preserve">is expected to </w:t>
      </w:r>
      <w:r w:rsidRPr="004449F0">
        <w:rPr>
          <w:rFonts w:ascii="Times New Roman" w:hAnsi="Times New Roman"/>
        </w:rPr>
        <w:t>receive $</w:t>
      </w:r>
      <w:r w:rsidR="004C58FF">
        <w:rPr>
          <w:rFonts w:ascii="Times New Roman" w:hAnsi="Times New Roman"/>
        </w:rPr>
        <w:t>84.9</w:t>
      </w:r>
      <w:r w:rsidRPr="004449F0">
        <w:rPr>
          <w:rFonts w:ascii="Times New Roman" w:hAnsi="Times New Roman"/>
        </w:rPr>
        <w:t xml:space="preserve"> million to</w:t>
      </w:r>
      <w:r w:rsidRPr="004449F0">
        <w:rPr>
          <w:rFonts w:ascii="Times New Roman" w:hAnsi="Times New Roman" w:cs="Times New Roman"/>
        </w:rPr>
        <w:t xml:space="preserve"> undertake</w:t>
      </w:r>
      <w:r w:rsidRPr="00061E10">
        <w:rPr>
          <w:rFonts w:ascii="Times New Roman" w:hAnsi="Times New Roman" w:cs="Times New Roman"/>
        </w:rPr>
        <w:t xml:space="preserve"> a range of works to upgrade the delivery system. </w:t>
      </w:r>
      <w:r w:rsidR="004C58FF" w:rsidRPr="00061E10">
        <w:rPr>
          <w:rFonts w:ascii="Times New Roman" w:hAnsi="Times New Roman" w:cs="Times New Roman"/>
        </w:rPr>
        <w:t xml:space="preserve">These investments are expected to return 9.4 GL </w:t>
      </w:r>
      <w:r w:rsidR="004C58FF">
        <w:rPr>
          <w:rFonts w:ascii="Times New Roman" w:hAnsi="Times New Roman" w:cs="Times New Roman"/>
        </w:rPr>
        <w:t>LTAAY</w:t>
      </w:r>
      <w:r w:rsidR="004C58FF" w:rsidRPr="00061E10">
        <w:rPr>
          <w:rFonts w:ascii="Times New Roman" w:hAnsi="Times New Roman" w:cs="Times New Roman"/>
        </w:rPr>
        <w:t xml:space="preserve"> over the long term to help bridge the gap in the Murrumbidgee catchment</w:t>
      </w:r>
      <w:r w:rsidR="004C58FF" w:rsidRPr="00C03BEC">
        <w:rPr>
          <w:rFonts w:ascii="Times New Roman" w:hAnsi="Times New Roman" w:cs="Times New Roman"/>
        </w:rPr>
        <w:t>.</w:t>
      </w:r>
    </w:p>
    <w:p w:rsidR="004C58FF" w:rsidRDefault="004C58FF" w:rsidP="004C58FF">
      <w:pPr>
        <w:pStyle w:val="MJAnormal"/>
      </w:pPr>
      <w:r>
        <w:t>Construction commenced in May 2017 and is expected to be completed by June 2019.</w:t>
      </w:r>
    </w:p>
    <w:p w:rsidR="00FE5D05" w:rsidRPr="00061E10" w:rsidRDefault="00FE5D05" w:rsidP="00061E10">
      <w:pPr>
        <w:spacing w:before="120" w:after="120" w:line="280" w:lineRule="atLeast"/>
        <w:rPr>
          <w:rFonts w:ascii="Times New Roman" w:hAnsi="Times New Roman" w:cs="Times New Roman"/>
        </w:rPr>
      </w:pPr>
      <w:r w:rsidRPr="00061E10">
        <w:rPr>
          <w:rFonts w:ascii="Times New Roman" w:hAnsi="Times New Roman" w:cs="Times New Roman"/>
        </w:rPr>
        <w:t xml:space="preserve">This will include: </w:t>
      </w:r>
    </w:p>
    <w:p w:rsidR="00FE5D05" w:rsidRPr="00061E10" w:rsidRDefault="00FE5D05" w:rsidP="00FE5D05">
      <w:pPr>
        <w:pStyle w:val="MJAbulletnormal"/>
      </w:pPr>
      <w:r w:rsidRPr="00061E10">
        <w:t>channel lining and reforming earth and concrete channels;</w:t>
      </w:r>
    </w:p>
    <w:p w:rsidR="00FE5D05" w:rsidRPr="00061E10" w:rsidRDefault="00FE5D05" w:rsidP="00FE5D05">
      <w:pPr>
        <w:pStyle w:val="MJAbulletnormal"/>
      </w:pPr>
      <w:r w:rsidRPr="00061E10">
        <w:t>channel automation – including regulators and unmetered escapes;</w:t>
      </w:r>
    </w:p>
    <w:p w:rsidR="00FE5D05" w:rsidRPr="00061E10" w:rsidRDefault="00FE5D05" w:rsidP="00FE5D05">
      <w:pPr>
        <w:pStyle w:val="MJAbulletnormal"/>
      </w:pPr>
      <w:r w:rsidRPr="00061E10">
        <w:t>replacing inefficient channels with pipelines; and</w:t>
      </w:r>
    </w:p>
    <w:p w:rsidR="00FE5D05" w:rsidRPr="00061E10" w:rsidRDefault="00FE5D05" w:rsidP="004E5920">
      <w:pPr>
        <w:pStyle w:val="MJAbulletnormal"/>
      </w:pPr>
      <w:r w:rsidRPr="00061E10">
        <w:t>replacing Dethridge wheels with compliant meters.</w:t>
      </w:r>
    </w:p>
    <w:p w:rsidR="00EC048D" w:rsidRDefault="00EC048D" w:rsidP="00D150F2">
      <w:pPr>
        <w:pStyle w:val="MJAheading3"/>
      </w:pPr>
      <w:r>
        <w:t>Composition of</w:t>
      </w:r>
      <w:r w:rsidR="00D150F2">
        <w:t xml:space="preserve"> PIIOP</w:t>
      </w:r>
      <w:r>
        <w:t xml:space="preserve"> expenditures </w:t>
      </w:r>
    </w:p>
    <w:p w:rsidR="0034571D" w:rsidRDefault="00D150F2" w:rsidP="003F64C9">
      <w:pPr>
        <w:pStyle w:val="MJAnormal"/>
      </w:pPr>
      <w:r>
        <w:t xml:space="preserve">PIIOP </w:t>
      </w:r>
      <w:r w:rsidR="00EC048D">
        <w:t>Round 1</w:t>
      </w:r>
      <w:r w:rsidR="0041754E">
        <w:t>,</w:t>
      </w:r>
      <w:r w:rsidR="00EC048D">
        <w:t xml:space="preserve"> 2</w:t>
      </w:r>
      <w:r w:rsidR="000D67C1">
        <w:t xml:space="preserve"> </w:t>
      </w:r>
      <w:r w:rsidR="0041754E">
        <w:t xml:space="preserve">and 3 </w:t>
      </w:r>
      <w:r w:rsidR="0034571D">
        <w:t xml:space="preserve">expenditures </w:t>
      </w:r>
      <w:r w:rsidR="000D67C1">
        <w:t xml:space="preserve">are made up of </w:t>
      </w:r>
      <w:r w:rsidR="0034571D">
        <w:t xml:space="preserve">two components: </w:t>
      </w:r>
    </w:p>
    <w:p w:rsidR="0034571D" w:rsidRDefault="0034571D" w:rsidP="0034571D">
      <w:pPr>
        <w:pStyle w:val="MJAbulletnormal"/>
      </w:pPr>
      <w:r>
        <w:t>upgrading Murrumbidgee Irrigation off farm supply systems</w:t>
      </w:r>
      <w:r w:rsidR="00B92D05">
        <w:t xml:space="preserve"> ($</w:t>
      </w:r>
      <w:r w:rsidR="00CF1DCC">
        <w:t>2</w:t>
      </w:r>
      <w:r w:rsidR="004C58FF">
        <w:t>51.5</w:t>
      </w:r>
      <w:r w:rsidR="00CF1DCC">
        <w:t xml:space="preserve"> </w:t>
      </w:r>
      <w:r w:rsidR="00B92D05">
        <w:t>million</w:t>
      </w:r>
      <w:r w:rsidR="000D67C1">
        <w:t>;</w:t>
      </w:r>
      <w:r>
        <w:t xml:space="preserve"> and</w:t>
      </w:r>
    </w:p>
    <w:p w:rsidR="0034571D" w:rsidRDefault="0034571D" w:rsidP="0034571D">
      <w:pPr>
        <w:pStyle w:val="MJAbulletnormal"/>
      </w:pPr>
      <w:r>
        <w:t>upgrading on-farm irrigation systems</w:t>
      </w:r>
      <w:r w:rsidR="00B92D05">
        <w:t xml:space="preserve"> ($</w:t>
      </w:r>
      <w:r w:rsidR="004C58FF">
        <w:t>58.5</w:t>
      </w:r>
      <w:r w:rsidR="00B92D05">
        <w:t xml:space="preserve"> million)</w:t>
      </w:r>
      <w:r>
        <w:t>.</w:t>
      </w:r>
    </w:p>
    <w:p w:rsidR="0034571D" w:rsidRDefault="00CB7F61" w:rsidP="003F64C9">
      <w:pPr>
        <w:pStyle w:val="MJAnormal"/>
      </w:pPr>
      <w:r>
        <w:t>More detail on the composition of this expenditure is contained in Appendix A.</w:t>
      </w:r>
    </w:p>
    <w:p w:rsidR="000D67C1" w:rsidRDefault="000D67C1" w:rsidP="00857BA2">
      <w:pPr>
        <w:pStyle w:val="Caption"/>
        <w:spacing w:before="360"/>
      </w:pPr>
      <w:bookmarkStart w:id="32" w:name="_Ref454872533"/>
      <w:bookmarkStart w:id="33" w:name="_Toc481964495"/>
      <w:bookmarkStart w:id="34" w:name="_Toc494892430"/>
      <w:r>
        <w:t xml:space="preserve">Table </w:t>
      </w:r>
      <w:fldSimple w:instr=" SEQ Table \* ARABIC ">
        <w:r w:rsidR="002F2E38">
          <w:rPr>
            <w:noProof/>
          </w:rPr>
          <w:t>1</w:t>
        </w:r>
      </w:fldSimple>
      <w:bookmarkEnd w:id="32"/>
      <w:r w:rsidR="00857BA2">
        <w:rPr>
          <w:noProof/>
        </w:rPr>
        <w:t>:</w:t>
      </w:r>
      <w:r>
        <w:t xml:space="preserve"> Murrumbidgee region PIIOP expenditure</w:t>
      </w:r>
      <w:r w:rsidR="001C6DCE">
        <w:t>s</w:t>
      </w:r>
      <w:bookmarkEnd w:id="33"/>
      <w:r w:rsidR="00050C38">
        <w:t xml:space="preserve"> GST Exclusive</w:t>
      </w:r>
      <w:bookmarkEnd w:id="34"/>
    </w:p>
    <w:tbl>
      <w:tblPr>
        <w:tblStyle w:val="MJATable1"/>
        <w:tblW w:w="4820" w:type="dxa"/>
        <w:tblLayout w:type="fixed"/>
        <w:tblLook w:val="04A0" w:firstRow="1" w:lastRow="0" w:firstColumn="1" w:lastColumn="0" w:noHBand="0" w:noVBand="1"/>
      </w:tblPr>
      <w:tblGrid>
        <w:gridCol w:w="2835"/>
        <w:gridCol w:w="1985"/>
      </w:tblGrid>
      <w:tr w:rsidR="00050C38" w:rsidTr="00924F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top"/>
          </w:tcPr>
          <w:p w:rsidR="00050C38" w:rsidRDefault="00050C38" w:rsidP="009816CC">
            <w:r>
              <w:t>Project</w:t>
            </w:r>
          </w:p>
        </w:tc>
        <w:tc>
          <w:tcPr>
            <w:tcW w:w="1985" w:type="dxa"/>
            <w:vAlign w:val="top"/>
          </w:tcPr>
          <w:p w:rsidR="00050C38" w:rsidRDefault="00050C38" w:rsidP="00050C38">
            <w:pPr>
              <w:cnfStyle w:val="100000000000" w:firstRow="1" w:lastRow="0" w:firstColumn="0" w:lastColumn="0" w:oddVBand="0" w:evenVBand="0" w:oddHBand="0" w:evenHBand="0" w:firstRowFirstColumn="0" w:firstRowLastColumn="0" w:lastRowFirstColumn="0" w:lastRowLastColumn="0"/>
            </w:pPr>
            <w:r>
              <w:t>$ Million</w:t>
            </w:r>
          </w:p>
        </w:tc>
      </w:tr>
      <w:tr w:rsidR="00050C38" w:rsidTr="00924FBA">
        <w:tc>
          <w:tcPr>
            <w:cnfStyle w:val="001000000000" w:firstRow="0" w:lastRow="0" w:firstColumn="1" w:lastColumn="0" w:oddVBand="0" w:evenVBand="0" w:oddHBand="0" w:evenHBand="0" w:firstRowFirstColumn="0" w:firstRowLastColumn="0" w:lastRowFirstColumn="0" w:lastRowLastColumn="0"/>
            <w:tcW w:w="2835" w:type="dxa"/>
            <w:vAlign w:val="bottom"/>
          </w:tcPr>
          <w:p w:rsidR="00050C38" w:rsidRPr="00E40E73" w:rsidRDefault="00050C38" w:rsidP="0071212E">
            <w:pPr>
              <w:rPr>
                <w:szCs w:val="20"/>
              </w:rPr>
            </w:pPr>
            <w:r w:rsidRPr="00061E10">
              <w:rPr>
                <w:b/>
                <w:bCs/>
                <w:color w:val="000000"/>
                <w:szCs w:val="20"/>
              </w:rPr>
              <w:t>Off-farm</w:t>
            </w:r>
          </w:p>
        </w:tc>
        <w:tc>
          <w:tcPr>
            <w:tcW w:w="1985" w:type="dxa"/>
            <w:vAlign w:val="bottom"/>
          </w:tcPr>
          <w:p w:rsidR="00050C38" w:rsidRPr="00E40E73" w:rsidRDefault="00050C38" w:rsidP="0071212E">
            <w:pPr>
              <w:cnfStyle w:val="000000000000" w:firstRow="0" w:lastRow="0" w:firstColumn="0" w:lastColumn="0" w:oddVBand="0" w:evenVBand="0" w:oddHBand="0" w:evenHBand="0" w:firstRowFirstColumn="0" w:firstRowLastColumn="0" w:lastRowFirstColumn="0" w:lastRowLastColumn="0"/>
              <w:rPr>
                <w:szCs w:val="20"/>
              </w:rPr>
            </w:pPr>
            <w:r w:rsidRPr="00061E10">
              <w:rPr>
                <w:color w:val="000000"/>
                <w:szCs w:val="20"/>
              </w:rPr>
              <w:t> </w:t>
            </w:r>
          </w:p>
        </w:tc>
      </w:tr>
      <w:tr w:rsidR="00050C38" w:rsidTr="00924FBA">
        <w:tc>
          <w:tcPr>
            <w:cnfStyle w:val="001000000000" w:firstRow="0" w:lastRow="0" w:firstColumn="1" w:lastColumn="0" w:oddVBand="0" w:evenVBand="0" w:oddHBand="0" w:evenHBand="0" w:firstRowFirstColumn="0" w:firstRowLastColumn="0" w:lastRowFirstColumn="0" w:lastRowLastColumn="0"/>
            <w:tcW w:w="2835" w:type="dxa"/>
            <w:vAlign w:val="bottom"/>
          </w:tcPr>
          <w:p w:rsidR="00050C38" w:rsidRPr="00E40E73" w:rsidRDefault="00050C38" w:rsidP="00325A05">
            <w:pPr>
              <w:ind w:left="457"/>
              <w:rPr>
                <w:szCs w:val="20"/>
              </w:rPr>
            </w:pPr>
            <w:r w:rsidRPr="00061E10">
              <w:rPr>
                <w:color w:val="000000"/>
                <w:szCs w:val="20"/>
              </w:rPr>
              <w:t>Round 1</w:t>
            </w:r>
          </w:p>
        </w:tc>
        <w:tc>
          <w:tcPr>
            <w:tcW w:w="1985" w:type="dxa"/>
            <w:vAlign w:val="bottom"/>
          </w:tcPr>
          <w:p w:rsidR="00050C38" w:rsidRPr="00061E10" w:rsidRDefault="00050C38" w:rsidP="00924FBA">
            <w:pPr>
              <w:ind w:right="597"/>
              <w:jc w:val="right"/>
              <w:cnfStyle w:val="000000000000" w:firstRow="0" w:lastRow="0" w:firstColumn="0" w:lastColumn="0" w:oddVBand="0" w:evenVBand="0" w:oddHBand="0" w:evenHBand="0" w:firstRowFirstColumn="0" w:firstRowLastColumn="0" w:lastRowFirstColumn="0" w:lastRowLastColumn="0"/>
              <w:rPr>
                <w:color w:val="000000"/>
                <w:szCs w:val="20"/>
              </w:rPr>
            </w:pPr>
            <w:r w:rsidRPr="00904A2B">
              <w:rPr>
                <w:color w:val="000000"/>
                <w:szCs w:val="20"/>
              </w:rPr>
              <w:t>$</w:t>
            </w:r>
            <w:r>
              <w:rPr>
                <w:color w:val="000000"/>
                <w:szCs w:val="20"/>
              </w:rPr>
              <w:t>50.0</w:t>
            </w:r>
          </w:p>
        </w:tc>
      </w:tr>
      <w:tr w:rsidR="00050C38" w:rsidTr="00924FBA">
        <w:tc>
          <w:tcPr>
            <w:cnfStyle w:val="001000000000" w:firstRow="0" w:lastRow="0" w:firstColumn="1" w:lastColumn="0" w:oddVBand="0" w:evenVBand="0" w:oddHBand="0" w:evenHBand="0" w:firstRowFirstColumn="0" w:firstRowLastColumn="0" w:lastRowFirstColumn="0" w:lastRowLastColumn="0"/>
            <w:tcW w:w="2835" w:type="dxa"/>
            <w:vAlign w:val="bottom"/>
          </w:tcPr>
          <w:p w:rsidR="00050C38" w:rsidRPr="00E40E73" w:rsidRDefault="00050C38" w:rsidP="00325A05">
            <w:pPr>
              <w:ind w:left="457"/>
              <w:rPr>
                <w:szCs w:val="20"/>
              </w:rPr>
            </w:pPr>
            <w:r w:rsidRPr="00061E10">
              <w:rPr>
                <w:color w:val="000000"/>
                <w:szCs w:val="20"/>
              </w:rPr>
              <w:t>Round 2</w:t>
            </w:r>
          </w:p>
        </w:tc>
        <w:tc>
          <w:tcPr>
            <w:tcW w:w="1985" w:type="dxa"/>
            <w:vAlign w:val="bottom"/>
          </w:tcPr>
          <w:p w:rsidR="00050C38" w:rsidRPr="00061E10" w:rsidRDefault="00050C38" w:rsidP="00924FBA">
            <w:pPr>
              <w:ind w:right="597"/>
              <w:jc w:val="right"/>
              <w:cnfStyle w:val="000000000000" w:firstRow="0" w:lastRow="0" w:firstColumn="0" w:lastColumn="0" w:oddVBand="0" w:evenVBand="0" w:oddHBand="0" w:evenHBand="0" w:firstRowFirstColumn="0" w:firstRowLastColumn="0" w:lastRowFirstColumn="0" w:lastRowLastColumn="0"/>
              <w:rPr>
                <w:color w:val="000000"/>
                <w:szCs w:val="20"/>
              </w:rPr>
            </w:pPr>
            <w:r w:rsidRPr="00904A2B">
              <w:rPr>
                <w:color w:val="000000"/>
                <w:szCs w:val="20"/>
              </w:rPr>
              <w:t>$</w:t>
            </w:r>
            <w:r>
              <w:rPr>
                <w:color w:val="000000"/>
                <w:szCs w:val="20"/>
              </w:rPr>
              <w:t>116.6</w:t>
            </w:r>
          </w:p>
        </w:tc>
      </w:tr>
      <w:tr w:rsidR="00050C38" w:rsidTr="00924FBA">
        <w:tc>
          <w:tcPr>
            <w:cnfStyle w:val="001000000000" w:firstRow="0" w:lastRow="0" w:firstColumn="1" w:lastColumn="0" w:oddVBand="0" w:evenVBand="0" w:oddHBand="0" w:evenHBand="0" w:firstRowFirstColumn="0" w:firstRowLastColumn="0" w:lastRowFirstColumn="0" w:lastRowLastColumn="0"/>
            <w:tcW w:w="2835" w:type="dxa"/>
            <w:vAlign w:val="bottom"/>
          </w:tcPr>
          <w:p w:rsidR="00050C38" w:rsidRPr="00E40E73" w:rsidRDefault="00050C38" w:rsidP="00061E10">
            <w:pPr>
              <w:ind w:left="457"/>
              <w:rPr>
                <w:szCs w:val="20"/>
              </w:rPr>
            </w:pPr>
            <w:r w:rsidRPr="00061E10">
              <w:rPr>
                <w:color w:val="000000"/>
                <w:szCs w:val="20"/>
              </w:rPr>
              <w:t>Round 3</w:t>
            </w:r>
          </w:p>
        </w:tc>
        <w:tc>
          <w:tcPr>
            <w:tcW w:w="1985" w:type="dxa"/>
            <w:vAlign w:val="bottom"/>
          </w:tcPr>
          <w:p w:rsidR="00050C38" w:rsidRPr="00061E10" w:rsidRDefault="00050C38" w:rsidP="00924FBA">
            <w:pPr>
              <w:ind w:right="597"/>
              <w:jc w:val="right"/>
              <w:cnfStyle w:val="000000000000" w:firstRow="0" w:lastRow="0" w:firstColumn="0" w:lastColumn="0" w:oddVBand="0" w:evenVBand="0" w:oddHBand="0" w:evenHBand="0" w:firstRowFirstColumn="0" w:firstRowLastColumn="0" w:lastRowFirstColumn="0" w:lastRowLastColumn="0"/>
              <w:rPr>
                <w:color w:val="000000"/>
                <w:szCs w:val="20"/>
              </w:rPr>
            </w:pPr>
            <w:r w:rsidRPr="00904A2B">
              <w:rPr>
                <w:color w:val="000000"/>
                <w:szCs w:val="20"/>
              </w:rPr>
              <w:t>$84.9</w:t>
            </w:r>
          </w:p>
        </w:tc>
      </w:tr>
      <w:tr w:rsidR="00050C38" w:rsidTr="00924FBA">
        <w:tc>
          <w:tcPr>
            <w:cnfStyle w:val="001000000000" w:firstRow="0" w:lastRow="0" w:firstColumn="1" w:lastColumn="0" w:oddVBand="0" w:evenVBand="0" w:oddHBand="0" w:evenHBand="0" w:firstRowFirstColumn="0" w:firstRowLastColumn="0" w:lastRowFirstColumn="0" w:lastRowLastColumn="0"/>
            <w:tcW w:w="2835" w:type="dxa"/>
            <w:vAlign w:val="bottom"/>
          </w:tcPr>
          <w:p w:rsidR="00050C38" w:rsidRPr="00061E10" w:rsidRDefault="00050C38" w:rsidP="00061E10">
            <w:pPr>
              <w:ind w:left="457"/>
              <w:rPr>
                <w:b/>
                <w:szCs w:val="20"/>
              </w:rPr>
            </w:pPr>
            <w:r w:rsidRPr="00061E10">
              <w:rPr>
                <w:b/>
                <w:color w:val="000000"/>
                <w:szCs w:val="20"/>
              </w:rPr>
              <w:t>Total off-farm</w:t>
            </w:r>
          </w:p>
        </w:tc>
        <w:tc>
          <w:tcPr>
            <w:tcW w:w="1985" w:type="dxa"/>
            <w:vAlign w:val="bottom"/>
          </w:tcPr>
          <w:p w:rsidR="00050C38" w:rsidRPr="00904A2B" w:rsidRDefault="00050C38" w:rsidP="00924FBA">
            <w:pPr>
              <w:ind w:right="597"/>
              <w:jc w:val="right"/>
              <w:cnfStyle w:val="000000000000" w:firstRow="0" w:lastRow="0" w:firstColumn="0" w:lastColumn="0" w:oddVBand="0" w:evenVBand="0" w:oddHBand="0" w:evenHBand="0" w:firstRowFirstColumn="0" w:firstRowLastColumn="0" w:lastRowFirstColumn="0" w:lastRowLastColumn="0"/>
              <w:rPr>
                <w:color w:val="000000"/>
              </w:rPr>
            </w:pPr>
            <w:r w:rsidRPr="00904A2B">
              <w:rPr>
                <w:color w:val="000000"/>
                <w:szCs w:val="20"/>
              </w:rPr>
              <w:t>$2</w:t>
            </w:r>
            <w:r>
              <w:rPr>
                <w:color w:val="000000"/>
                <w:szCs w:val="20"/>
              </w:rPr>
              <w:t>51.5</w:t>
            </w:r>
          </w:p>
        </w:tc>
      </w:tr>
      <w:tr w:rsidR="00050C38" w:rsidTr="00924FBA">
        <w:tc>
          <w:tcPr>
            <w:cnfStyle w:val="001000000000" w:firstRow="0" w:lastRow="0" w:firstColumn="1" w:lastColumn="0" w:oddVBand="0" w:evenVBand="0" w:oddHBand="0" w:evenHBand="0" w:firstRowFirstColumn="0" w:firstRowLastColumn="0" w:lastRowFirstColumn="0" w:lastRowLastColumn="0"/>
            <w:tcW w:w="2835" w:type="dxa"/>
            <w:vAlign w:val="bottom"/>
          </w:tcPr>
          <w:p w:rsidR="00050C38" w:rsidRPr="00E40E73" w:rsidRDefault="00050C38" w:rsidP="0041754E">
            <w:pPr>
              <w:rPr>
                <w:szCs w:val="20"/>
              </w:rPr>
            </w:pPr>
            <w:r w:rsidRPr="00061E10">
              <w:rPr>
                <w:b/>
                <w:bCs/>
                <w:color w:val="000000"/>
                <w:szCs w:val="20"/>
              </w:rPr>
              <w:t>On-farm</w:t>
            </w:r>
          </w:p>
        </w:tc>
        <w:tc>
          <w:tcPr>
            <w:tcW w:w="1985" w:type="dxa"/>
            <w:vAlign w:val="bottom"/>
          </w:tcPr>
          <w:p w:rsidR="00050C38" w:rsidRPr="00061E10" w:rsidRDefault="00050C38" w:rsidP="00924FBA">
            <w:pPr>
              <w:ind w:right="597"/>
              <w:jc w:val="right"/>
              <w:cnfStyle w:val="000000000000" w:firstRow="0" w:lastRow="0" w:firstColumn="0" w:lastColumn="0" w:oddVBand="0" w:evenVBand="0" w:oddHBand="0" w:evenHBand="0" w:firstRowFirstColumn="0" w:firstRowLastColumn="0" w:lastRowFirstColumn="0" w:lastRowLastColumn="0"/>
              <w:rPr>
                <w:color w:val="000000"/>
                <w:szCs w:val="20"/>
              </w:rPr>
            </w:pPr>
          </w:p>
        </w:tc>
      </w:tr>
      <w:tr w:rsidR="00050C38" w:rsidTr="00924FBA">
        <w:tc>
          <w:tcPr>
            <w:cnfStyle w:val="001000000000" w:firstRow="0" w:lastRow="0" w:firstColumn="1" w:lastColumn="0" w:oddVBand="0" w:evenVBand="0" w:oddHBand="0" w:evenHBand="0" w:firstRowFirstColumn="0" w:firstRowLastColumn="0" w:lastRowFirstColumn="0" w:lastRowLastColumn="0"/>
            <w:tcW w:w="2835" w:type="dxa"/>
            <w:vAlign w:val="bottom"/>
          </w:tcPr>
          <w:p w:rsidR="00050C38" w:rsidRPr="00E40E73" w:rsidRDefault="00050C38" w:rsidP="00CB2F6B">
            <w:pPr>
              <w:ind w:firstLine="457"/>
              <w:rPr>
                <w:szCs w:val="20"/>
              </w:rPr>
            </w:pPr>
            <w:r w:rsidRPr="00061E10">
              <w:rPr>
                <w:color w:val="000000"/>
                <w:szCs w:val="20"/>
              </w:rPr>
              <w:t>Round 2</w:t>
            </w:r>
          </w:p>
        </w:tc>
        <w:tc>
          <w:tcPr>
            <w:tcW w:w="1985" w:type="dxa"/>
            <w:vAlign w:val="bottom"/>
          </w:tcPr>
          <w:p w:rsidR="00050C38" w:rsidRPr="00061E10" w:rsidRDefault="00050C38" w:rsidP="00924FBA">
            <w:pPr>
              <w:ind w:right="597"/>
              <w:jc w:val="right"/>
              <w:cnfStyle w:val="000000000000" w:firstRow="0" w:lastRow="0" w:firstColumn="0" w:lastColumn="0" w:oddVBand="0" w:evenVBand="0" w:oddHBand="0" w:evenHBand="0" w:firstRowFirstColumn="0" w:firstRowLastColumn="0" w:lastRowFirstColumn="0" w:lastRowLastColumn="0"/>
              <w:rPr>
                <w:color w:val="000000"/>
                <w:szCs w:val="20"/>
              </w:rPr>
            </w:pPr>
            <w:r w:rsidRPr="00904A2B">
              <w:rPr>
                <w:color w:val="000000"/>
                <w:szCs w:val="20"/>
              </w:rPr>
              <w:t>$</w:t>
            </w:r>
            <w:r>
              <w:rPr>
                <w:color w:val="000000"/>
                <w:szCs w:val="20"/>
              </w:rPr>
              <w:t>58.5</w:t>
            </w:r>
          </w:p>
        </w:tc>
      </w:tr>
      <w:tr w:rsidR="00050C38" w:rsidTr="00924FBA">
        <w:tc>
          <w:tcPr>
            <w:cnfStyle w:val="001000000000" w:firstRow="0" w:lastRow="0" w:firstColumn="1" w:lastColumn="0" w:oddVBand="0" w:evenVBand="0" w:oddHBand="0" w:evenHBand="0" w:firstRowFirstColumn="0" w:firstRowLastColumn="0" w:lastRowFirstColumn="0" w:lastRowLastColumn="0"/>
            <w:tcW w:w="2835" w:type="dxa"/>
            <w:vAlign w:val="bottom"/>
          </w:tcPr>
          <w:p w:rsidR="00050C38" w:rsidRPr="00E40E73" w:rsidRDefault="00050C38" w:rsidP="00061E10">
            <w:pPr>
              <w:ind w:firstLine="457"/>
              <w:rPr>
                <w:szCs w:val="20"/>
              </w:rPr>
            </w:pPr>
            <w:r w:rsidRPr="00061E10">
              <w:rPr>
                <w:b/>
                <w:bCs/>
                <w:color w:val="000000"/>
                <w:szCs w:val="20"/>
              </w:rPr>
              <w:t>Total on-farm</w:t>
            </w:r>
          </w:p>
        </w:tc>
        <w:tc>
          <w:tcPr>
            <w:tcW w:w="1985" w:type="dxa"/>
            <w:vAlign w:val="bottom"/>
          </w:tcPr>
          <w:p w:rsidR="00050C38" w:rsidRPr="00904A2B" w:rsidRDefault="00050C38" w:rsidP="00924FBA">
            <w:pPr>
              <w:ind w:right="597"/>
              <w:jc w:val="right"/>
              <w:cnfStyle w:val="000000000000" w:firstRow="0" w:lastRow="0" w:firstColumn="0" w:lastColumn="0" w:oddVBand="0" w:evenVBand="0" w:oddHBand="0" w:evenHBand="0" w:firstRowFirstColumn="0" w:firstRowLastColumn="0" w:lastRowFirstColumn="0" w:lastRowLastColumn="0"/>
              <w:rPr>
                <w:color w:val="000000"/>
              </w:rPr>
            </w:pPr>
            <w:r w:rsidRPr="00904A2B">
              <w:rPr>
                <w:color w:val="000000"/>
                <w:szCs w:val="20"/>
              </w:rPr>
              <w:t>$</w:t>
            </w:r>
            <w:r>
              <w:rPr>
                <w:color w:val="000000"/>
                <w:szCs w:val="20"/>
              </w:rPr>
              <w:t>58.5</w:t>
            </w:r>
          </w:p>
        </w:tc>
      </w:tr>
      <w:tr w:rsidR="00050C38" w:rsidRPr="00B92D05" w:rsidTr="00924FBA">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F2F2F2" w:themeFill="background1" w:themeFillShade="F2"/>
            <w:vAlign w:val="bottom"/>
          </w:tcPr>
          <w:p w:rsidR="00050C38" w:rsidRPr="00D53643" w:rsidRDefault="00050C38" w:rsidP="00061E10">
            <w:pPr>
              <w:ind w:right="713"/>
              <w:rPr>
                <w:b/>
                <w:szCs w:val="20"/>
              </w:rPr>
            </w:pPr>
            <w:r w:rsidRPr="00061E10">
              <w:rPr>
                <w:b/>
                <w:bCs/>
                <w:color w:val="000000"/>
                <w:szCs w:val="20"/>
              </w:rPr>
              <w:t>Total off and on-farm</w:t>
            </w:r>
          </w:p>
        </w:tc>
        <w:tc>
          <w:tcPr>
            <w:tcW w:w="1985" w:type="dxa"/>
            <w:tcBorders>
              <w:top w:val="single" w:sz="4" w:space="0" w:color="auto"/>
              <w:bottom w:val="single" w:sz="4" w:space="0" w:color="auto"/>
            </w:tcBorders>
            <w:shd w:val="clear" w:color="auto" w:fill="F2F2F2" w:themeFill="background1" w:themeFillShade="F2"/>
            <w:vAlign w:val="bottom"/>
          </w:tcPr>
          <w:p w:rsidR="00050C38" w:rsidRPr="00061E10" w:rsidRDefault="00050C38" w:rsidP="00924FBA">
            <w:pPr>
              <w:ind w:right="597"/>
              <w:jc w:val="right"/>
              <w:cnfStyle w:val="000000000000" w:firstRow="0" w:lastRow="0" w:firstColumn="0" w:lastColumn="0" w:oddVBand="0" w:evenVBand="0" w:oddHBand="0" w:evenHBand="0" w:firstRowFirstColumn="0" w:firstRowLastColumn="0" w:lastRowFirstColumn="0" w:lastRowLastColumn="0"/>
              <w:rPr>
                <w:b/>
                <w:color w:val="000000"/>
                <w:szCs w:val="20"/>
              </w:rPr>
            </w:pPr>
            <w:r w:rsidRPr="00904A2B">
              <w:rPr>
                <w:b/>
                <w:color w:val="000000"/>
                <w:szCs w:val="20"/>
              </w:rPr>
              <w:t>$310.0</w:t>
            </w:r>
          </w:p>
        </w:tc>
      </w:tr>
    </w:tbl>
    <w:p w:rsidR="00B92D05" w:rsidRDefault="00B92D05" w:rsidP="00061E10">
      <w:pPr>
        <w:pStyle w:val="MJAsource"/>
        <w:spacing w:after="240"/>
      </w:pPr>
      <w:r>
        <w:t xml:space="preserve">Source: </w:t>
      </w:r>
      <w:r w:rsidR="00667C5C" w:rsidRPr="00C2450D">
        <w:rPr>
          <w:rFonts w:asciiTheme="minorHAnsi" w:hAnsiTheme="minorHAnsi"/>
          <w:szCs w:val="18"/>
        </w:rPr>
        <w:t>Department of Agriculture and Water Resources</w:t>
      </w:r>
      <w:r w:rsidR="001C6DCE">
        <w:t xml:space="preserve">. </w:t>
      </w:r>
    </w:p>
    <w:p w:rsidR="006616EE" w:rsidRDefault="006616EE" w:rsidP="00B92D05">
      <w:pPr>
        <w:pStyle w:val="MJAnormal"/>
      </w:pPr>
      <w:r>
        <w:t>The majority of PIIOP off</w:t>
      </w:r>
      <w:r w:rsidR="00573525">
        <w:t>-</w:t>
      </w:r>
      <w:r>
        <w:t>farm expenditures have been directed to modernising the Murrumbidgee Irrigation supply system to national delivery standards. This has included</w:t>
      </w:r>
      <w:r w:rsidR="00573525">
        <w:t>,</w:t>
      </w:r>
      <w:r>
        <w:t xml:space="preserve"> among others</w:t>
      </w:r>
      <w:r w:rsidR="00573525">
        <w:t>,</w:t>
      </w:r>
      <w:r>
        <w:t xml:space="preserve"> installing automated total channel control technologies and metering, remediating sections of high loss channels and rationalising channels (removing and/or reconfiguring sections of channel). Whi</w:t>
      </w:r>
      <w:r w:rsidR="00BE6AA9">
        <w:t>le most of the expenditure has</w:t>
      </w:r>
      <w:r>
        <w:t xml:space="preserve"> been on the </w:t>
      </w:r>
      <w:r w:rsidR="00B76151">
        <w:t xml:space="preserve">irrigation </w:t>
      </w:r>
      <w:r>
        <w:t xml:space="preserve">supply system, </w:t>
      </w:r>
      <w:r w:rsidR="00BE6AA9">
        <w:t>it has</w:t>
      </w:r>
      <w:r>
        <w:t xml:space="preserve"> also been directed at improving stock </w:t>
      </w:r>
      <w:r w:rsidR="00BE6AA9">
        <w:t>and domestic systems</w:t>
      </w:r>
      <w:r>
        <w:t>.</w:t>
      </w:r>
    </w:p>
    <w:p w:rsidR="006616EE" w:rsidRDefault="006616EE" w:rsidP="00B92D05">
      <w:pPr>
        <w:pStyle w:val="MJAnormal"/>
      </w:pPr>
      <w:r>
        <w:t>On</w:t>
      </w:r>
      <w:r w:rsidR="00573525">
        <w:t>-</w:t>
      </w:r>
      <w:r>
        <w:t xml:space="preserve">farm PIIOP expenditures </w:t>
      </w:r>
      <w:r w:rsidR="00B76151">
        <w:t xml:space="preserve">in the MIA </w:t>
      </w:r>
      <w:r>
        <w:t xml:space="preserve">have focussed primarily on improving the irrigation </w:t>
      </w:r>
      <w:r w:rsidR="00B76151">
        <w:t>efficiency of participating farms — largely the conversion of flood and furrow irrigation to drip and sprinkler systems on wine grape and citrus farms. This has involved installing automated pressurisation and piping and valve systems to deliver</w:t>
      </w:r>
      <w:r w:rsidR="00663CF7">
        <w:t xml:space="preserve"> water individual</w:t>
      </w:r>
      <w:r w:rsidR="00C41720">
        <w:t>ly</w:t>
      </w:r>
      <w:r w:rsidR="00663CF7">
        <w:t xml:space="preserve"> to each plant.</w:t>
      </w:r>
    </w:p>
    <w:p w:rsidR="0034571D" w:rsidRPr="00D150F2" w:rsidRDefault="0034571D" w:rsidP="00D150F2">
      <w:pPr>
        <w:pStyle w:val="MJAheading2"/>
      </w:pPr>
      <w:bookmarkStart w:id="35" w:name="_Toc482099150"/>
      <w:bookmarkStart w:id="36" w:name="_Toc494892259"/>
      <w:r w:rsidRPr="00D150F2">
        <w:t>OFIEP</w:t>
      </w:r>
      <w:bookmarkEnd w:id="35"/>
      <w:bookmarkEnd w:id="36"/>
    </w:p>
    <w:p w:rsidR="00EC048D" w:rsidRPr="006616EE" w:rsidRDefault="00EC048D" w:rsidP="00254F04">
      <w:pPr>
        <w:pStyle w:val="MJAnormal"/>
      </w:pPr>
      <w:r w:rsidRPr="006616EE">
        <w:t xml:space="preserve">An </w:t>
      </w:r>
      <w:r w:rsidRPr="00410478">
        <w:t>estimated $</w:t>
      </w:r>
      <w:r w:rsidR="00325A05">
        <w:t>77.9</w:t>
      </w:r>
      <w:r w:rsidRPr="00410478">
        <w:t xml:space="preserve"> million</w:t>
      </w:r>
      <w:r w:rsidR="00410478">
        <w:t xml:space="preserve"> </w:t>
      </w:r>
      <w:r w:rsidRPr="006616EE">
        <w:t xml:space="preserve">has been paid to farms </w:t>
      </w:r>
      <w:r w:rsidR="00325A05">
        <w:t xml:space="preserve">or committed by the Commonwealth </w:t>
      </w:r>
      <w:r w:rsidRPr="006616EE">
        <w:t xml:space="preserve">in </w:t>
      </w:r>
      <w:r w:rsidR="006616EE" w:rsidRPr="006616EE">
        <w:t xml:space="preserve">the </w:t>
      </w:r>
      <w:r w:rsidR="0025183D">
        <w:t>MIA</w:t>
      </w:r>
      <w:r w:rsidRPr="006616EE">
        <w:t xml:space="preserve"> through OFIEP</w:t>
      </w:r>
      <w:r w:rsidR="00766A0D">
        <w:t xml:space="preserve"> Rounds 1</w:t>
      </w:r>
      <w:r w:rsidR="00325A05">
        <w:t>,</w:t>
      </w:r>
      <w:r w:rsidR="00766A0D">
        <w:t xml:space="preserve"> 3</w:t>
      </w:r>
      <w:r w:rsidR="00443877">
        <w:t xml:space="preserve"> </w:t>
      </w:r>
      <w:r w:rsidR="00325A05">
        <w:t>and 5</w:t>
      </w:r>
      <w:r w:rsidRPr="006616EE">
        <w:t xml:space="preserve">. </w:t>
      </w:r>
    </w:p>
    <w:p w:rsidR="00CC421D" w:rsidRDefault="006616EE" w:rsidP="00B92D05">
      <w:pPr>
        <w:pStyle w:val="MJAnormal"/>
      </w:pPr>
      <w:r>
        <w:t xml:space="preserve">There have been two rounds of OFIEP grants (Rounds 1 and 3) that have been </w:t>
      </w:r>
      <w:r w:rsidR="00325A05">
        <w:t xml:space="preserve">completed </w:t>
      </w:r>
      <w:r>
        <w:t>with</w:t>
      </w:r>
      <w:r w:rsidR="00655820">
        <w:t>in</w:t>
      </w:r>
      <w:r>
        <w:t xml:space="preserve"> the </w:t>
      </w:r>
      <w:r w:rsidR="0025183D">
        <w:t>MIA</w:t>
      </w:r>
      <w:r>
        <w:t xml:space="preserve">. Ricegrowers Australia has been the major </w:t>
      </w:r>
      <w:r w:rsidR="00B76151">
        <w:t>delivery</w:t>
      </w:r>
      <w:r>
        <w:t xml:space="preserve"> partner </w:t>
      </w:r>
      <w:r w:rsidR="00B76151">
        <w:t xml:space="preserve">accounting </w:t>
      </w:r>
      <w:r w:rsidR="00B76151" w:rsidRPr="00385502">
        <w:t xml:space="preserve">for </w:t>
      </w:r>
      <w:r w:rsidR="00484065" w:rsidRPr="00061E10">
        <w:t>100</w:t>
      </w:r>
      <w:r w:rsidRPr="00B16C23">
        <w:t xml:space="preserve"> per </w:t>
      </w:r>
      <w:r w:rsidR="00B76151" w:rsidRPr="00B16C23">
        <w:t>cent of expenditures.</w:t>
      </w:r>
      <w:r w:rsidR="00D72090" w:rsidRPr="00B16C23">
        <w:t xml:space="preserve"> Expenditures by other delive</w:t>
      </w:r>
      <w:r w:rsidR="00CC421D" w:rsidRPr="00B16C23">
        <w:t>r</w:t>
      </w:r>
      <w:r w:rsidR="00571E5D" w:rsidRPr="00B16C23">
        <w:t>y</w:t>
      </w:r>
      <w:r w:rsidR="00D72090" w:rsidRPr="00B16C23">
        <w:t xml:space="preserve"> partners have included r</w:t>
      </w:r>
      <w:r w:rsidR="00CC421D" w:rsidRPr="00B16C23">
        <w:t>iver diverters and irrigation farms in the Coleambally and Murray Irrigation Area</w:t>
      </w:r>
      <w:r w:rsidR="00B16C23" w:rsidRPr="00061E10">
        <w:t xml:space="preserve"> that </w:t>
      </w:r>
      <w:r w:rsidR="000D4CDE">
        <w:t xml:space="preserve">are </w:t>
      </w:r>
      <w:r w:rsidR="00B16C23" w:rsidRPr="00061E10">
        <w:t>excluded from this analysis</w:t>
      </w:r>
      <w:r w:rsidR="001E4C71" w:rsidRPr="00385502">
        <w:t>.</w:t>
      </w:r>
    </w:p>
    <w:p w:rsidR="00061E10" w:rsidRDefault="002F769C">
      <w:pPr>
        <w:pStyle w:val="MJAnormal"/>
      </w:pPr>
      <w:r w:rsidRPr="002F769C">
        <w:t xml:space="preserve">The Department of Agriculture </w:t>
      </w:r>
      <w:r w:rsidR="00325A05">
        <w:t xml:space="preserve">and Water Resources </w:t>
      </w:r>
      <w:r w:rsidRPr="002F769C">
        <w:t xml:space="preserve">estimate likely expenditures of </w:t>
      </w:r>
      <w:r w:rsidRPr="00061E10">
        <w:t>$</w:t>
      </w:r>
      <w:r w:rsidR="00443877">
        <w:t>43.6</w:t>
      </w:r>
      <w:r w:rsidRPr="00061E10">
        <w:t xml:space="preserve"> million</w:t>
      </w:r>
      <w:r w:rsidRPr="002F769C">
        <w:t xml:space="preserve"> will occur in the MIA</w:t>
      </w:r>
      <w:r w:rsidR="00325A05">
        <w:t xml:space="preserve"> under Round 5</w:t>
      </w:r>
      <w:r w:rsidRPr="002F769C">
        <w:t>. These investments will be similar in nature to previous OFIEP programs in the region and it is expected a large share of the investment will involve broad-acre landforming and farm reconfiguration.</w:t>
      </w:r>
      <w:bookmarkStart w:id="37" w:name="_Ref454956492"/>
      <w:r w:rsidR="00CB7F61">
        <w:t xml:space="preserve"> More detail on the composition of this expenditure is contained in Appendix A.</w:t>
      </w:r>
    </w:p>
    <w:p w:rsidR="001D2F9A" w:rsidRDefault="001D2F9A" w:rsidP="00061E10">
      <w:pPr>
        <w:pStyle w:val="MJAnormal"/>
      </w:pPr>
    </w:p>
    <w:p w:rsidR="0034571D" w:rsidRDefault="006616EE" w:rsidP="006616EE">
      <w:pPr>
        <w:pStyle w:val="Caption"/>
      </w:pPr>
      <w:bookmarkStart w:id="38" w:name="_Ref481929734"/>
      <w:bookmarkStart w:id="39" w:name="_Toc481964496"/>
      <w:bookmarkStart w:id="40" w:name="_Toc494892431"/>
      <w:r>
        <w:t xml:space="preserve">Table </w:t>
      </w:r>
      <w:fldSimple w:instr=" SEQ Table \* ARABIC ">
        <w:r w:rsidR="002F2E38">
          <w:rPr>
            <w:noProof/>
          </w:rPr>
          <w:t>2</w:t>
        </w:r>
      </w:fldSimple>
      <w:bookmarkEnd w:id="37"/>
      <w:bookmarkEnd w:id="38"/>
      <w:r w:rsidR="00FE5D05">
        <w:rPr>
          <w:noProof/>
        </w:rPr>
        <w:t>:</w:t>
      </w:r>
      <w:r>
        <w:t xml:space="preserve"> OFIEP program grants within the Murrumbidgee </w:t>
      </w:r>
      <w:r w:rsidR="00CC421D">
        <w:t>Irrigation A</w:t>
      </w:r>
      <w:r>
        <w:t>rea</w:t>
      </w:r>
      <w:bookmarkEnd w:id="39"/>
      <w:r w:rsidR="003F390F">
        <w:t xml:space="preserve"> GST Exclusive</w:t>
      </w:r>
      <w:bookmarkEnd w:id="40"/>
    </w:p>
    <w:tbl>
      <w:tblPr>
        <w:tblStyle w:val="MJATable1"/>
        <w:tblW w:w="0" w:type="auto"/>
        <w:tblLook w:val="04A0" w:firstRow="1" w:lastRow="0" w:firstColumn="1" w:lastColumn="0" w:noHBand="0" w:noVBand="1"/>
      </w:tblPr>
      <w:tblGrid>
        <w:gridCol w:w="759"/>
        <w:gridCol w:w="1578"/>
        <w:gridCol w:w="1847"/>
      </w:tblGrid>
      <w:tr w:rsidR="0054741D" w:rsidTr="00924F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rsidR="0054741D" w:rsidRDefault="0054741D" w:rsidP="0041754E">
            <w:r>
              <w:t xml:space="preserve">Round </w:t>
            </w:r>
          </w:p>
        </w:tc>
        <w:tc>
          <w:tcPr>
            <w:tcW w:w="1578" w:type="dxa"/>
            <w:vAlign w:val="top"/>
          </w:tcPr>
          <w:p w:rsidR="0054741D" w:rsidRDefault="0054741D" w:rsidP="0041754E">
            <w:pPr>
              <w:cnfStyle w:val="100000000000" w:firstRow="1" w:lastRow="0" w:firstColumn="0" w:lastColumn="0" w:oddVBand="0" w:evenVBand="0" w:oddHBand="0" w:evenHBand="0" w:firstRowFirstColumn="0" w:firstRowLastColumn="0" w:lastRowFirstColumn="0" w:lastRowLastColumn="0"/>
            </w:pPr>
          </w:p>
        </w:tc>
        <w:tc>
          <w:tcPr>
            <w:tcW w:w="1847" w:type="dxa"/>
            <w:vAlign w:val="top"/>
          </w:tcPr>
          <w:p w:rsidR="0054741D" w:rsidRDefault="0054741D" w:rsidP="003F390F">
            <w:pPr>
              <w:cnfStyle w:val="100000000000" w:firstRow="1" w:lastRow="0" w:firstColumn="0" w:lastColumn="0" w:oddVBand="0" w:evenVBand="0" w:oddHBand="0" w:evenHBand="0" w:firstRowFirstColumn="0" w:firstRowLastColumn="0" w:lastRowFirstColumn="0" w:lastRowLastColumn="0"/>
            </w:pPr>
            <w:r>
              <w:t>$ Million</w:t>
            </w:r>
          </w:p>
        </w:tc>
      </w:tr>
      <w:tr w:rsidR="0054741D" w:rsidTr="00924FBA">
        <w:tc>
          <w:tcPr>
            <w:cnfStyle w:val="001000000000" w:firstRow="0" w:lastRow="0" w:firstColumn="1" w:lastColumn="0" w:oddVBand="0" w:evenVBand="0" w:oddHBand="0" w:evenHBand="0" w:firstRowFirstColumn="0" w:firstRowLastColumn="0" w:lastRowFirstColumn="0" w:lastRowLastColumn="0"/>
            <w:tcW w:w="0" w:type="dxa"/>
            <w:vAlign w:val="bottom"/>
          </w:tcPr>
          <w:p w:rsidR="0054741D" w:rsidRPr="00D53643" w:rsidRDefault="0054741D" w:rsidP="00CB2F6B">
            <w:pPr>
              <w:rPr>
                <w:szCs w:val="20"/>
              </w:rPr>
            </w:pPr>
            <w:r w:rsidRPr="007F4BE2">
              <w:rPr>
                <w:rFonts w:ascii="Calibri" w:hAnsi="Calibri"/>
                <w:color w:val="000000"/>
                <w:szCs w:val="20"/>
              </w:rPr>
              <w:t>Round 1</w:t>
            </w:r>
          </w:p>
        </w:tc>
        <w:tc>
          <w:tcPr>
            <w:tcW w:w="1578" w:type="dxa"/>
            <w:vAlign w:val="bottom"/>
          </w:tcPr>
          <w:p w:rsidR="0054741D" w:rsidRPr="00484065" w:rsidRDefault="0054741D" w:rsidP="001E4C71">
            <w:pPr>
              <w:cnfStyle w:val="000000000000" w:firstRow="0" w:lastRow="0" w:firstColumn="0" w:lastColumn="0" w:oddVBand="0" w:evenVBand="0" w:oddHBand="0" w:evenHBand="0" w:firstRowFirstColumn="0" w:firstRowLastColumn="0" w:lastRowFirstColumn="0" w:lastRowLastColumn="0"/>
              <w:rPr>
                <w:szCs w:val="20"/>
              </w:rPr>
            </w:pPr>
          </w:p>
        </w:tc>
        <w:tc>
          <w:tcPr>
            <w:tcW w:w="1847" w:type="dxa"/>
            <w:vAlign w:val="bottom"/>
          </w:tcPr>
          <w:p w:rsidR="0054741D" w:rsidRPr="00D53643" w:rsidRDefault="0054741D" w:rsidP="00924FBA">
            <w:pPr>
              <w:ind w:right="472"/>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9657BD">
              <w:rPr>
                <w:rFonts w:ascii="Calibri" w:hAnsi="Calibri"/>
                <w:color w:val="000000"/>
                <w:szCs w:val="20"/>
              </w:rPr>
              <w:t>$</w:t>
            </w:r>
            <w:r>
              <w:rPr>
                <w:rFonts w:ascii="Calibri" w:hAnsi="Calibri"/>
                <w:color w:val="000000"/>
                <w:szCs w:val="20"/>
              </w:rPr>
              <w:t>10.4</w:t>
            </w:r>
          </w:p>
        </w:tc>
      </w:tr>
      <w:tr w:rsidR="0054741D" w:rsidTr="00924FBA">
        <w:tc>
          <w:tcPr>
            <w:cnfStyle w:val="001000000000" w:firstRow="0" w:lastRow="0" w:firstColumn="1" w:lastColumn="0" w:oddVBand="0" w:evenVBand="0" w:oddHBand="0" w:evenHBand="0" w:firstRowFirstColumn="0" w:firstRowLastColumn="0" w:lastRowFirstColumn="0" w:lastRowLastColumn="0"/>
            <w:tcW w:w="0" w:type="dxa"/>
            <w:vAlign w:val="bottom"/>
          </w:tcPr>
          <w:p w:rsidR="0054741D" w:rsidRPr="007F4BE2" w:rsidRDefault="0054741D" w:rsidP="00CB2F6B">
            <w:pPr>
              <w:rPr>
                <w:rFonts w:ascii="Calibri" w:hAnsi="Calibri"/>
                <w:color w:val="000000"/>
                <w:szCs w:val="20"/>
              </w:rPr>
            </w:pPr>
            <w:r>
              <w:rPr>
                <w:rFonts w:ascii="Calibri" w:hAnsi="Calibri"/>
                <w:color w:val="000000"/>
                <w:szCs w:val="20"/>
              </w:rPr>
              <w:t>Round 3</w:t>
            </w:r>
          </w:p>
        </w:tc>
        <w:tc>
          <w:tcPr>
            <w:tcW w:w="1578" w:type="dxa"/>
            <w:vAlign w:val="bottom"/>
          </w:tcPr>
          <w:p w:rsidR="0054741D" w:rsidRPr="00604DE1" w:rsidRDefault="0054741D" w:rsidP="001E4C71">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p>
        </w:tc>
        <w:tc>
          <w:tcPr>
            <w:tcW w:w="1847" w:type="dxa"/>
            <w:vAlign w:val="bottom"/>
          </w:tcPr>
          <w:p w:rsidR="0054741D" w:rsidRPr="009657BD" w:rsidRDefault="0054741D" w:rsidP="00924FBA">
            <w:pPr>
              <w:ind w:right="472"/>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Pr>
                <w:rFonts w:ascii="Calibri" w:hAnsi="Calibri"/>
                <w:color w:val="000000"/>
                <w:szCs w:val="20"/>
              </w:rPr>
              <w:t>$23.9</w:t>
            </w:r>
          </w:p>
        </w:tc>
      </w:tr>
      <w:tr w:rsidR="0054741D" w:rsidTr="00924FBA">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vAlign w:val="bottom"/>
          </w:tcPr>
          <w:p w:rsidR="0054741D" w:rsidRPr="00D53643" w:rsidRDefault="0054741D" w:rsidP="001E4C71">
            <w:pPr>
              <w:rPr>
                <w:szCs w:val="20"/>
              </w:rPr>
            </w:pPr>
            <w:r w:rsidRPr="00604DE1">
              <w:rPr>
                <w:rFonts w:ascii="Calibri" w:hAnsi="Calibri"/>
                <w:color w:val="000000"/>
                <w:szCs w:val="20"/>
              </w:rPr>
              <w:t>Round 5</w:t>
            </w:r>
          </w:p>
        </w:tc>
        <w:tc>
          <w:tcPr>
            <w:tcW w:w="1578" w:type="dxa"/>
            <w:tcBorders>
              <w:bottom w:val="single" w:sz="4" w:space="0" w:color="auto"/>
            </w:tcBorders>
            <w:vAlign w:val="bottom"/>
          </w:tcPr>
          <w:p w:rsidR="0054741D" w:rsidRPr="00484065" w:rsidRDefault="0054741D" w:rsidP="001E4C71">
            <w:pPr>
              <w:cnfStyle w:val="000000000000" w:firstRow="0" w:lastRow="0" w:firstColumn="0" w:lastColumn="0" w:oddVBand="0" w:evenVBand="0" w:oddHBand="0" w:evenHBand="0" w:firstRowFirstColumn="0" w:firstRowLastColumn="0" w:lastRowFirstColumn="0" w:lastRowLastColumn="0"/>
              <w:rPr>
                <w:szCs w:val="20"/>
              </w:rPr>
            </w:pPr>
          </w:p>
        </w:tc>
        <w:tc>
          <w:tcPr>
            <w:tcW w:w="1847" w:type="dxa"/>
            <w:tcBorders>
              <w:bottom w:val="single" w:sz="4" w:space="0" w:color="auto"/>
            </w:tcBorders>
            <w:vAlign w:val="bottom"/>
          </w:tcPr>
          <w:p w:rsidR="0054741D" w:rsidRPr="00D53643" w:rsidRDefault="0054741D" w:rsidP="00924FBA">
            <w:pPr>
              <w:ind w:right="472"/>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9657BD">
              <w:rPr>
                <w:rFonts w:ascii="Calibri" w:hAnsi="Calibri"/>
                <w:color w:val="000000"/>
                <w:szCs w:val="20"/>
              </w:rPr>
              <w:t>$43.6</w:t>
            </w:r>
          </w:p>
        </w:tc>
      </w:tr>
      <w:tr w:rsidR="0054741D" w:rsidRPr="00B92D05" w:rsidTr="00924FBA">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F2F2F2" w:themeFill="background1" w:themeFillShade="F2"/>
            <w:vAlign w:val="bottom"/>
          </w:tcPr>
          <w:p w:rsidR="0054741D" w:rsidRPr="00D53643" w:rsidRDefault="0054741D" w:rsidP="001E4C71">
            <w:pPr>
              <w:rPr>
                <w:b/>
                <w:szCs w:val="20"/>
              </w:rPr>
            </w:pPr>
            <w:r w:rsidRPr="00604DE1">
              <w:rPr>
                <w:rFonts w:ascii="Calibri" w:hAnsi="Calibri"/>
                <w:b/>
                <w:bCs/>
                <w:color w:val="000000"/>
                <w:szCs w:val="20"/>
              </w:rPr>
              <w:t>Total</w:t>
            </w:r>
          </w:p>
        </w:tc>
        <w:tc>
          <w:tcPr>
            <w:tcW w:w="1578" w:type="dxa"/>
            <w:tcBorders>
              <w:top w:val="single" w:sz="4" w:space="0" w:color="auto"/>
              <w:bottom w:val="single" w:sz="4" w:space="0" w:color="auto"/>
            </w:tcBorders>
            <w:shd w:val="clear" w:color="auto" w:fill="F2F2F2" w:themeFill="background1" w:themeFillShade="F2"/>
            <w:vAlign w:val="bottom"/>
          </w:tcPr>
          <w:p w:rsidR="0054741D" w:rsidRPr="00D53643" w:rsidRDefault="0054741D" w:rsidP="001E4C71">
            <w:pPr>
              <w:cnfStyle w:val="000000000000" w:firstRow="0" w:lastRow="0" w:firstColumn="0" w:lastColumn="0" w:oddVBand="0" w:evenVBand="0" w:oddHBand="0" w:evenHBand="0" w:firstRowFirstColumn="0" w:firstRowLastColumn="0" w:lastRowFirstColumn="0" w:lastRowLastColumn="0"/>
              <w:rPr>
                <w:b/>
                <w:szCs w:val="20"/>
              </w:rPr>
            </w:pPr>
            <w:r w:rsidRPr="00604DE1">
              <w:rPr>
                <w:rFonts w:ascii="Calibri" w:hAnsi="Calibri"/>
                <w:color w:val="000000"/>
                <w:szCs w:val="20"/>
              </w:rPr>
              <w:t> </w:t>
            </w:r>
          </w:p>
        </w:tc>
        <w:tc>
          <w:tcPr>
            <w:tcW w:w="1847" w:type="dxa"/>
            <w:tcBorders>
              <w:top w:val="single" w:sz="4" w:space="0" w:color="auto"/>
              <w:bottom w:val="single" w:sz="4" w:space="0" w:color="auto"/>
            </w:tcBorders>
            <w:shd w:val="clear" w:color="auto" w:fill="F2F2F2" w:themeFill="background1" w:themeFillShade="F2"/>
            <w:vAlign w:val="bottom"/>
          </w:tcPr>
          <w:p w:rsidR="0054741D" w:rsidRPr="00D53643" w:rsidRDefault="0054741D" w:rsidP="00924FBA">
            <w:pPr>
              <w:ind w:right="472"/>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657BD">
              <w:rPr>
                <w:rFonts w:ascii="Calibri" w:hAnsi="Calibri"/>
                <w:b/>
                <w:color w:val="000000"/>
                <w:szCs w:val="20"/>
              </w:rPr>
              <w:t>$77.9</w:t>
            </w:r>
          </w:p>
        </w:tc>
      </w:tr>
    </w:tbl>
    <w:p w:rsidR="00CC421D" w:rsidRDefault="006616EE" w:rsidP="003513B0">
      <w:pPr>
        <w:pStyle w:val="MJAsource"/>
      </w:pPr>
      <w:r>
        <w:t>Source: Department of Agriculture and Water</w:t>
      </w:r>
      <w:r w:rsidR="000F4414">
        <w:t xml:space="preserve"> Resources</w:t>
      </w:r>
    </w:p>
    <w:p w:rsidR="00D150F2" w:rsidRDefault="00D150F2" w:rsidP="003F64C9">
      <w:pPr>
        <w:pStyle w:val="MJAheading3"/>
      </w:pPr>
      <w:r>
        <w:t xml:space="preserve">Composition of OFIEP expenditures </w:t>
      </w:r>
    </w:p>
    <w:p w:rsidR="00BE6AA9" w:rsidRDefault="00B76151" w:rsidP="003F64C9">
      <w:pPr>
        <w:pStyle w:val="MJAnormal"/>
      </w:pPr>
      <w:r>
        <w:t>Unlike the PIIOP on-farm program that largely focussed on pressurisation system</w:t>
      </w:r>
      <w:r w:rsidR="00B02D56">
        <w:t>s</w:t>
      </w:r>
      <w:r>
        <w:t xml:space="preserve"> on intensive horticulture farms, OFIEP in the MIA has predominantly focussed on improving the efficiency of broad scale flood irrigation systems. </w:t>
      </w:r>
    </w:p>
    <w:p w:rsidR="00B76151" w:rsidRDefault="00B76151" w:rsidP="003F64C9">
      <w:pPr>
        <w:pStyle w:val="MJAnormal"/>
      </w:pPr>
      <w:r>
        <w:t xml:space="preserve">Two broad classes of farm system conversion have accounted for most </w:t>
      </w:r>
      <w:r w:rsidR="00CC421D">
        <w:t>expenditure</w:t>
      </w:r>
      <w:r w:rsidR="00BE6AA9">
        <w:t>:</w:t>
      </w:r>
    </w:p>
    <w:p w:rsidR="00B76151" w:rsidRDefault="00BE6AA9" w:rsidP="00B76151">
      <w:pPr>
        <w:pStyle w:val="MJAbulletnormal"/>
      </w:pPr>
      <w:r>
        <w:t>Re-landforming with laser technology and i</w:t>
      </w:r>
      <w:r w:rsidR="00FD2776">
        <w:t>nstalling</w:t>
      </w:r>
      <w:r>
        <w:t xml:space="preserve"> </w:t>
      </w:r>
      <w:r w:rsidR="00B76151">
        <w:t>bank</w:t>
      </w:r>
      <w:r w:rsidR="00FD2776">
        <w:t>-</w:t>
      </w:r>
      <w:r w:rsidR="00B76151">
        <w:t>less</w:t>
      </w:r>
      <w:r>
        <w:t xml:space="preserve"> channel systems</w:t>
      </w:r>
      <w:r w:rsidR="00FD2776">
        <w:t xml:space="preserve"> — this system enables larger irrigation bay areas enabling more flexible and efficient machinery use and can eliminate return flows</w:t>
      </w:r>
      <w:r>
        <w:t>; and</w:t>
      </w:r>
    </w:p>
    <w:p w:rsidR="00BE6AA9" w:rsidRDefault="00BE6AA9" w:rsidP="00B76151">
      <w:pPr>
        <w:pStyle w:val="MJAbulletnormal"/>
      </w:pPr>
      <w:r>
        <w:t>Re-landforming with laser technology and installing</w:t>
      </w:r>
      <w:r w:rsidR="00FD2776">
        <w:t xml:space="preserve"> pumps to</w:t>
      </w:r>
      <w:r>
        <w:t xml:space="preserve"> recy</w:t>
      </w:r>
      <w:r w:rsidR="00050C38">
        <w:t>cl</w:t>
      </w:r>
      <w:r w:rsidR="000F4414">
        <w:t>e</w:t>
      </w:r>
      <w:r w:rsidR="00FD2776">
        <w:t xml:space="preserve"> water tailings — this system</w:t>
      </w:r>
      <w:r w:rsidR="000F568F">
        <w:t xml:space="preserve"> enables potential return flow water to be retained on farm</w:t>
      </w:r>
      <w:r>
        <w:t>.</w:t>
      </w:r>
    </w:p>
    <w:p w:rsidR="00BE6AA9" w:rsidRDefault="00BE6AA9" w:rsidP="003F64C9">
      <w:pPr>
        <w:pStyle w:val="MJAnormal"/>
      </w:pPr>
      <w:r>
        <w:t xml:space="preserve">A third class of conversion has also occurred on a small number of property with farms converting part or all of their property from flood to broad scale pressurisation using centre pivot or lateral moves. By definition, these areas of the farm have been converted from rice growing to other cropping enterprises. In most cases the enterprise change has been to winter cereals and cotton. </w:t>
      </w:r>
    </w:p>
    <w:p w:rsidR="007D3AB0" w:rsidRDefault="007D3AB0">
      <w:pPr>
        <w:rPr>
          <w:rFonts w:ascii="Times New Roman" w:eastAsia="Times New Roman" w:hAnsi="Times New Roman" w:cs="Times New Roman"/>
        </w:rPr>
      </w:pPr>
      <w:r>
        <w:br w:type="page"/>
      </w:r>
    </w:p>
    <w:p w:rsidR="00D150F2" w:rsidRDefault="00EC47A2" w:rsidP="00061E10">
      <w:pPr>
        <w:pStyle w:val="MJAHeading10"/>
      </w:pPr>
      <w:bookmarkStart w:id="41" w:name="_Ref477426844"/>
      <w:bookmarkStart w:id="42" w:name="_Toc482099151"/>
      <w:bookmarkStart w:id="43" w:name="_Toc494892260"/>
      <w:r>
        <w:t>V</w:t>
      </w:r>
      <w:r w:rsidR="00D150F2">
        <w:t>alue added</w:t>
      </w:r>
      <w:r>
        <w:t xml:space="preserve"> and goods and services</w:t>
      </w:r>
      <w:bookmarkEnd w:id="41"/>
      <w:bookmarkEnd w:id="42"/>
      <w:bookmarkEnd w:id="43"/>
    </w:p>
    <w:p w:rsidR="00EC47A2" w:rsidRDefault="00FE5D05" w:rsidP="00A85757">
      <w:pPr>
        <w:pStyle w:val="MJAnormal"/>
      </w:pPr>
      <w:r>
        <w:t xml:space="preserve">Economic contribution to the region is the estimated gross value added that has occurred in the </w:t>
      </w:r>
      <w:r w:rsidR="0025183D">
        <w:t xml:space="preserve">MIA </w:t>
      </w:r>
      <w:r>
        <w:t xml:space="preserve">as a result of PIIOP and OFIEP.  </w:t>
      </w:r>
      <w:r w:rsidR="00EC47A2">
        <w:t>In this section</w:t>
      </w:r>
      <w:r w:rsidR="007C3409">
        <w:t xml:space="preserve">, the methodology used to estimate local value added is defined </w:t>
      </w:r>
      <w:r w:rsidR="00655820">
        <w:t xml:space="preserve">for both </w:t>
      </w:r>
      <w:r w:rsidR="00710732">
        <w:t xml:space="preserve">the Static </w:t>
      </w:r>
      <w:r>
        <w:t xml:space="preserve">and Dynamic </w:t>
      </w:r>
      <w:r w:rsidR="00710732">
        <w:t>Approach</w:t>
      </w:r>
      <w:r>
        <w:t>es</w:t>
      </w:r>
      <w:r w:rsidR="007C3409">
        <w:t xml:space="preserve">. </w:t>
      </w:r>
    </w:p>
    <w:p w:rsidR="00C03BEC" w:rsidRDefault="00C03BEC" w:rsidP="00C03BEC">
      <w:pPr>
        <w:pStyle w:val="MJAheading2"/>
      </w:pPr>
      <w:bookmarkStart w:id="44" w:name="_Toc482099152"/>
      <w:bookmarkStart w:id="45" w:name="_Toc494892261"/>
      <w:r>
        <w:t>General model of local value added</w:t>
      </w:r>
      <w:bookmarkEnd w:id="44"/>
      <w:bookmarkEnd w:id="45"/>
    </w:p>
    <w:p w:rsidR="00C03BEC" w:rsidRDefault="00C03BEC" w:rsidP="00C03BEC">
      <w:pPr>
        <w:pStyle w:val="MJAnormal"/>
      </w:pPr>
      <w:r>
        <w:t xml:space="preserve">In this study, Marsden Jacob has undertaken two approaches to estimate ‘local value added’ which could also be expressed as the contribution of PIIOP and OFIEP to the local </w:t>
      </w:r>
      <w:r w:rsidR="0025183D">
        <w:t xml:space="preserve">MIA </w:t>
      </w:r>
      <w:r>
        <w:t>economy (</w:t>
      </w:r>
      <w:r w:rsidR="00655820">
        <w:fldChar w:fldCharType="begin"/>
      </w:r>
      <w:r w:rsidR="00655820">
        <w:instrText xml:space="preserve"> REF _Ref477447824 \h </w:instrText>
      </w:r>
      <w:r w:rsidR="00655820">
        <w:fldChar w:fldCharType="separate"/>
      </w:r>
      <w:r w:rsidR="002F2E38">
        <w:t xml:space="preserve">Figure </w:t>
      </w:r>
      <w:r w:rsidR="002F2E38">
        <w:rPr>
          <w:noProof/>
        </w:rPr>
        <w:t>5</w:t>
      </w:r>
      <w:r w:rsidR="00655820">
        <w:fldChar w:fldCharType="end"/>
      </w:r>
      <w:r>
        <w:t>):</w:t>
      </w:r>
    </w:p>
    <w:p w:rsidR="00C03BEC" w:rsidRDefault="00C03BEC" w:rsidP="00C03BEC">
      <w:pPr>
        <w:pStyle w:val="MJAbulletnormal"/>
      </w:pPr>
      <w:r>
        <w:t xml:space="preserve">Static Approach. Marsden Jacob has undertaken ‘first round’ analysis of PIIOP and OFIEP expenditures. This approach involves disaggregating PIIOP and OFIEP expenditures to the </w:t>
      </w:r>
      <w:r w:rsidR="0025183D">
        <w:t xml:space="preserve">MIA </w:t>
      </w:r>
      <w:r>
        <w:t xml:space="preserve">and the identifying expenditures which contribute to value added in region. </w:t>
      </w:r>
    </w:p>
    <w:p w:rsidR="00C03BEC" w:rsidRDefault="00C03BEC" w:rsidP="00C03BEC">
      <w:pPr>
        <w:pStyle w:val="MJAbulletnormal"/>
      </w:pPr>
      <w:r>
        <w:t xml:space="preserve">Victoria University TERM Model approach. This </w:t>
      </w:r>
      <w:r w:rsidR="00254F04">
        <w:t xml:space="preserve">‘dynamic’ </w:t>
      </w:r>
      <w:r>
        <w:t>approach involves the use of a general equilibrium dynamic and multi-period model which solves for both price and quantity.</w:t>
      </w:r>
      <w:r w:rsidR="00254F04">
        <w:t xml:space="preserve"> In effect, this approach involves ‘multiple round’ analysis until an equilibrium is achieved.</w:t>
      </w:r>
    </w:p>
    <w:p w:rsidR="00C03BEC" w:rsidRDefault="00C03BEC" w:rsidP="00C03BEC">
      <w:pPr>
        <w:pStyle w:val="MJAnormal"/>
      </w:pPr>
      <w:r>
        <w:t xml:space="preserve">While the </w:t>
      </w:r>
      <w:r w:rsidR="00663CF7">
        <w:t xml:space="preserve">VU </w:t>
      </w:r>
      <w:r>
        <w:t xml:space="preserve">TERM model approach is preferred and forms the basis for the estimated local value added in this report, the static approach is useful to provide greater transparency over the detailed </w:t>
      </w:r>
      <w:r w:rsidR="00347830">
        <w:t>effect</w:t>
      </w:r>
      <w:r>
        <w:t xml:space="preserve"> of the expenditures. Additionally, the assumptions in the </w:t>
      </w:r>
      <w:r w:rsidR="00663CF7">
        <w:t xml:space="preserve">VU </w:t>
      </w:r>
      <w:r>
        <w:t xml:space="preserve">TERM model have been adjusted based on the results of the static approach to ensure that the </w:t>
      </w:r>
      <w:r w:rsidR="00663CF7">
        <w:t xml:space="preserve">VU </w:t>
      </w:r>
      <w:r>
        <w:t xml:space="preserve">TERM model accurately reflects the type of expenditures that are involved with PIIOP and OFIEP. </w:t>
      </w:r>
    </w:p>
    <w:p w:rsidR="00C03BEC" w:rsidRDefault="00C03BEC" w:rsidP="00853002">
      <w:pPr>
        <w:pStyle w:val="Caption"/>
        <w:spacing w:after="240"/>
      </w:pPr>
      <w:bookmarkStart w:id="46" w:name="_Ref477447824"/>
      <w:bookmarkStart w:id="47" w:name="_Toc481964535"/>
      <w:bookmarkStart w:id="48" w:name="_Toc494892419"/>
      <w:r>
        <w:t xml:space="preserve">Figure </w:t>
      </w:r>
      <w:fldSimple w:instr=" SEQ Figure \* ARABIC ">
        <w:r w:rsidR="002F2E38">
          <w:rPr>
            <w:noProof/>
          </w:rPr>
          <w:t>5</w:t>
        </w:r>
      </w:fldSimple>
      <w:bookmarkEnd w:id="46"/>
      <w:r w:rsidR="00655820">
        <w:rPr>
          <w:noProof/>
        </w:rPr>
        <w:t>:</w:t>
      </w:r>
      <w:r>
        <w:t xml:space="preserve"> General model of local value added</w:t>
      </w:r>
      <w:bookmarkEnd w:id="47"/>
      <w:bookmarkEnd w:id="48"/>
    </w:p>
    <w:p w:rsidR="00C03BEC" w:rsidRPr="00023D91" w:rsidRDefault="00254F04" w:rsidP="00C03BEC">
      <w:r w:rsidRPr="00254F04">
        <w:t xml:space="preserve"> </w:t>
      </w:r>
      <w:r w:rsidRPr="00254F04">
        <w:rPr>
          <w:noProof/>
        </w:rPr>
        <w:drawing>
          <wp:inline distT="0" distB="0" distL="0" distR="0" wp14:anchorId="78B58760" wp14:editId="67176CCD">
            <wp:extent cx="5305425" cy="1503045"/>
            <wp:effectExtent l="0" t="0" r="952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5425" cy="1503045"/>
                    </a:xfrm>
                    <a:prstGeom prst="rect">
                      <a:avLst/>
                    </a:prstGeom>
                    <a:noFill/>
                    <a:ln>
                      <a:noFill/>
                    </a:ln>
                  </pic:spPr>
                </pic:pic>
              </a:graphicData>
            </a:graphic>
          </wp:inline>
        </w:drawing>
      </w:r>
    </w:p>
    <w:p w:rsidR="00C03BEC" w:rsidRDefault="00C03BEC" w:rsidP="00C03BEC">
      <w:pPr>
        <w:pStyle w:val="MJAsource"/>
      </w:pPr>
      <w:r>
        <w:t>Source: Marsden Jacob Associates</w:t>
      </w:r>
    </w:p>
    <w:p w:rsidR="00C03BEC" w:rsidRDefault="00C03BEC" w:rsidP="00A85757">
      <w:pPr>
        <w:pStyle w:val="MJAnormal"/>
      </w:pPr>
    </w:p>
    <w:p w:rsidR="0097738E" w:rsidRDefault="00FE5D05" w:rsidP="00D150F2">
      <w:pPr>
        <w:pStyle w:val="MJAheading2"/>
      </w:pPr>
      <w:bookmarkStart w:id="49" w:name="_Ref477436080"/>
      <w:bookmarkStart w:id="50" w:name="_Toc482099153"/>
      <w:bookmarkStart w:id="51" w:name="_Toc494892262"/>
      <w:r>
        <w:t xml:space="preserve">Static </w:t>
      </w:r>
      <w:r w:rsidR="002F769C">
        <w:t>a</w:t>
      </w:r>
      <w:r>
        <w:t>pproach</w:t>
      </w:r>
      <w:bookmarkEnd w:id="49"/>
      <w:bookmarkEnd w:id="50"/>
      <w:bookmarkEnd w:id="51"/>
    </w:p>
    <w:p w:rsidR="00F068D0" w:rsidRDefault="00F068D0" w:rsidP="00061E10">
      <w:pPr>
        <w:pStyle w:val="MJAheading3"/>
      </w:pPr>
      <w:r>
        <w:t>Components of local value added</w:t>
      </w:r>
    </w:p>
    <w:p w:rsidR="0097738E" w:rsidRDefault="00FE5D05" w:rsidP="00A85757">
      <w:pPr>
        <w:pStyle w:val="MJAnormal"/>
      </w:pPr>
      <w:r>
        <w:t>Using the static approach, g</w:t>
      </w:r>
      <w:r w:rsidR="0097738E">
        <w:t>ross value added is calculated as:</w:t>
      </w:r>
    </w:p>
    <w:p w:rsidR="0097738E" w:rsidRDefault="00007582" w:rsidP="00803C55">
      <w:pPr>
        <w:pStyle w:val="MJAquote"/>
      </w:pPr>
      <w:r w:rsidRPr="00A85757">
        <w:t>GVA = Turnover (or sales) less the cost of bought in goods &amp; services (excl. employee costs)</w:t>
      </w:r>
    </w:p>
    <w:p w:rsidR="00F068D0" w:rsidRPr="00A85757" w:rsidRDefault="00F068D0" w:rsidP="00F068D0">
      <w:pPr>
        <w:pStyle w:val="MJAnormal"/>
      </w:pPr>
      <w:r>
        <w:t xml:space="preserve">Gross value added in </w:t>
      </w:r>
      <w:r w:rsidRPr="00A85757">
        <w:t xml:space="preserve">the supply chain </w:t>
      </w:r>
      <w:r>
        <w:t xml:space="preserve">is calculated in </w:t>
      </w:r>
      <w:r w:rsidRPr="00A85757">
        <w:t>four separate components:</w:t>
      </w:r>
    </w:p>
    <w:p w:rsidR="00F068D0" w:rsidRPr="00A85757" w:rsidRDefault="00F068D0" w:rsidP="00F068D0">
      <w:pPr>
        <w:pStyle w:val="MJAbulletnormal"/>
      </w:pPr>
      <w:r>
        <w:t>Construction phase</w:t>
      </w:r>
    </w:p>
    <w:p w:rsidR="00F068D0" w:rsidRPr="00A85757" w:rsidRDefault="00F068D0" w:rsidP="00F068D0">
      <w:pPr>
        <w:pStyle w:val="MJAnormal"/>
        <w:numPr>
          <w:ilvl w:val="1"/>
          <w:numId w:val="15"/>
        </w:numPr>
      </w:pPr>
      <w:r>
        <w:t>PIIOP off-</w:t>
      </w:r>
      <w:r w:rsidRPr="00A85757">
        <w:t>farm</w:t>
      </w:r>
      <w:r>
        <w:t xml:space="preserve"> expenditure</w:t>
      </w:r>
      <w:r w:rsidRPr="00A85757">
        <w:t xml:space="preserve"> less the cost of bought in goods &amp; services </w:t>
      </w:r>
    </w:p>
    <w:p w:rsidR="00F068D0" w:rsidRPr="00A85757" w:rsidRDefault="00F068D0" w:rsidP="00F068D0">
      <w:pPr>
        <w:pStyle w:val="MJAnormal"/>
        <w:numPr>
          <w:ilvl w:val="1"/>
          <w:numId w:val="15"/>
        </w:numPr>
      </w:pPr>
      <w:r>
        <w:t>PIIOP and OFIEP on-</w:t>
      </w:r>
      <w:r w:rsidRPr="00A85757">
        <w:t xml:space="preserve">farm </w:t>
      </w:r>
      <w:r>
        <w:t>expenditure</w:t>
      </w:r>
      <w:r w:rsidRPr="0097738E">
        <w:t xml:space="preserve"> </w:t>
      </w:r>
      <w:r w:rsidRPr="00A85757">
        <w:t xml:space="preserve">less the cost of bought in goods &amp; services </w:t>
      </w:r>
    </w:p>
    <w:p w:rsidR="00F068D0" w:rsidRPr="00A85757" w:rsidRDefault="00F068D0" w:rsidP="00F068D0">
      <w:pPr>
        <w:pStyle w:val="MJAbulletnormal"/>
      </w:pPr>
      <w:r w:rsidRPr="00A85757">
        <w:t>Implementation phase outputs</w:t>
      </w:r>
    </w:p>
    <w:p w:rsidR="00F068D0" w:rsidRPr="00A85757" w:rsidRDefault="00F068D0" w:rsidP="00F068D0">
      <w:pPr>
        <w:pStyle w:val="MJAnormal"/>
        <w:numPr>
          <w:ilvl w:val="1"/>
          <w:numId w:val="15"/>
        </w:numPr>
      </w:pPr>
      <w:r>
        <w:t>change in on-</w:t>
      </w:r>
      <w:r w:rsidRPr="00A85757">
        <w:t>farm value added from the change in farm productivity</w:t>
      </w:r>
      <w:r>
        <w:t xml:space="preserve"> </w:t>
      </w:r>
      <w:r w:rsidRPr="00A85757">
        <w:t xml:space="preserve">less the cost of bought in goods &amp; services </w:t>
      </w:r>
    </w:p>
    <w:p w:rsidR="00F068D0" w:rsidRPr="00A85757" w:rsidRDefault="00F068D0" w:rsidP="00F068D0">
      <w:pPr>
        <w:pStyle w:val="MJAnormal"/>
        <w:numPr>
          <w:ilvl w:val="1"/>
          <w:numId w:val="15"/>
        </w:numPr>
      </w:pPr>
      <w:r w:rsidRPr="00A85757">
        <w:t>change in farm supply change value added linked to the increase in on farm productivity</w:t>
      </w:r>
      <w:r>
        <w:t xml:space="preserve"> </w:t>
      </w:r>
      <w:r w:rsidRPr="00A85757">
        <w:t xml:space="preserve">less the cost of bought in goods &amp; services </w:t>
      </w:r>
    </w:p>
    <w:p w:rsidR="00F068D0" w:rsidRDefault="00F068D0" w:rsidP="00F068D0">
      <w:pPr>
        <w:pStyle w:val="MJAheading3"/>
      </w:pPr>
      <w:r>
        <w:t>Estimating local value added</w:t>
      </w:r>
    </w:p>
    <w:p w:rsidR="007C3409" w:rsidRDefault="00C03BEC" w:rsidP="00C03BEC">
      <w:pPr>
        <w:pStyle w:val="MJAnormal"/>
      </w:pPr>
      <w:r>
        <w:t>The MJA first round static approach is illustrated in</w:t>
      </w:r>
      <w:r w:rsidR="00655820">
        <w:t xml:space="preserve"> </w:t>
      </w:r>
      <w:r w:rsidR="00655820">
        <w:fldChar w:fldCharType="begin"/>
      </w:r>
      <w:r w:rsidR="00655820">
        <w:instrText xml:space="preserve"> REF _Ref477447825 \h </w:instrText>
      </w:r>
      <w:r w:rsidR="00655820">
        <w:fldChar w:fldCharType="separate"/>
      </w:r>
      <w:r w:rsidR="002F2E38">
        <w:t xml:space="preserve">Figure </w:t>
      </w:r>
      <w:r w:rsidR="002F2E38">
        <w:rPr>
          <w:noProof/>
        </w:rPr>
        <w:t>6</w:t>
      </w:r>
      <w:r w:rsidR="00655820">
        <w:fldChar w:fldCharType="end"/>
      </w:r>
      <w:r>
        <w:t>. This approach involves estimating the value of local final inputs and local intermediate inputs</w:t>
      </w:r>
      <w:r w:rsidR="007C3409">
        <w:t>:</w:t>
      </w:r>
      <w:r w:rsidR="00655820">
        <w:t xml:space="preserve"> </w:t>
      </w:r>
    </w:p>
    <w:p w:rsidR="007C3409" w:rsidRDefault="007C3409" w:rsidP="00061E10">
      <w:pPr>
        <w:pStyle w:val="MJAbulletnormal"/>
      </w:pPr>
      <w:r>
        <w:t>The value of local final inputs for the MIA relates to the value of goods and services that are purchased from businesses located within the MIA; and</w:t>
      </w:r>
    </w:p>
    <w:p w:rsidR="007C3409" w:rsidRDefault="007C3409" w:rsidP="00061E10">
      <w:pPr>
        <w:pStyle w:val="MJAbulletnormal"/>
      </w:pPr>
      <w:r>
        <w:t xml:space="preserve">The value of local </w:t>
      </w:r>
      <w:r w:rsidR="00C03BEC">
        <w:t>intermediate inputs</w:t>
      </w:r>
      <w:r>
        <w:t xml:space="preserve"> relates to the value of inputs used to produce goods</w:t>
      </w:r>
      <w:r w:rsidRPr="007C3409">
        <w:t xml:space="preserve"> </w:t>
      </w:r>
      <w:r>
        <w:t xml:space="preserve">and services purchased from </w:t>
      </w:r>
      <w:r w:rsidR="00F068D0">
        <w:t>businesses located within</w:t>
      </w:r>
      <w:r>
        <w:t xml:space="preserve"> the MIA.</w:t>
      </w:r>
    </w:p>
    <w:p w:rsidR="007C3409" w:rsidRDefault="007C3409" w:rsidP="007C3409">
      <w:pPr>
        <w:pStyle w:val="MJAnormal"/>
      </w:pPr>
      <w:r>
        <w:t xml:space="preserve">Using this approach, static local gross value added is </w:t>
      </w:r>
      <w:r w:rsidR="00F068D0">
        <w:t xml:space="preserve">equivalent to </w:t>
      </w:r>
      <w:r>
        <w:t>the value of local intermediate inputs. Another way of expressing this is that local value added is equal to total MIA construction expenditures less intermediate expenditures that are sourced from outside the MIA.</w:t>
      </w:r>
    </w:p>
    <w:p w:rsidR="00C03BEC" w:rsidRDefault="00C03BEC" w:rsidP="00C03BEC">
      <w:pPr>
        <w:pStyle w:val="MJAnormal"/>
      </w:pPr>
    </w:p>
    <w:p w:rsidR="00C03BEC" w:rsidRPr="003513B0" w:rsidRDefault="00C03BEC" w:rsidP="00C03BEC">
      <w:pPr>
        <w:pStyle w:val="Caption"/>
      </w:pPr>
      <w:bookmarkStart w:id="52" w:name="_Ref477447825"/>
      <w:bookmarkStart w:id="53" w:name="_Toc481964536"/>
      <w:bookmarkStart w:id="54" w:name="_Toc494892420"/>
      <w:r>
        <w:t xml:space="preserve">Figure </w:t>
      </w:r>
      <w:fldSimple w:instr=" SEQ Figure \* ARABIC ">
        <w:r w:rsidR="002F2E38">
          <w:rPr>
            <w:noProof/>
          </w:rPr>
          <w:t>6</w:t>
        </w:r>
      </w:fldSimple>
      <w:bookmarkEnd w:id="52"/>
      <w:r w:rsidR="00655820">
        <w:rPr>
          <w:noProof/>
        </w:rPr>
        <w:t>:</w:t>
      </w:r>
      <w:r>
        <w:t xml:space="preserve"> Construction phase module</w:t>
      </w:r>
      <w:bookmarkEnd w:id="53"/>
      <w:bookmarkEnd w:id="54"/>
    </w:p>
    <w:p w:rsidR="00C03BEC" w:rsidRDefault="00C03BEC" w:rsidP="00C03BEC">
      <w:pPr>
        <w:pStyle w:val="MJAnormal"/>
      </w:pPr>
      <w:r w:rsidRPr="003513B0">
        <w:rPr>
          <w:noProof/>
        </w:rPr>
        <w:drawing>
          <wp:inline distT="0" distB="0" distL="0" distR="0" wp14:anchorId="08B5E94A" wp14:editId="45C3762D">
            <wp:extent cx="5400040" cy="42301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4230136"/>
                    </a:xfrm>
                    <a:prstGeom prst="rect">
                      <a:avLst/>
                    </a:prstGeom>
                    <a:noFill/>
                    <a:ln>
                      <a:noFill/>
                    </a:ln>
                  </pic:spPr>
                </pic:pic>
              </a:graphicData>
            </a:graphic>
          </wp:inline>
        </w:drawing>
      </w:r>
    </w:p>
    <w:p w:rsidR="00C03BEC" w:rsidRDefault="00C03BEC" w:rsidP="00C03BEC">
      <w:pPr>
        <w:pStyle w:val="MJAsource"/>
      </w:pPr>
      <w:r>
        <w:t>Source: Marsden Jacob Associates</w:t>
      </w:r>
    </w:p>
    <w:p w:rsidR="00C03BEC" w:rsidRPr="00BE5696" w:rsidRDefault="00C03BEC" w:rsidP="00C03BEC">
      <w:pPr>
        <w:pStyle w:val="MJAnormal"/>
      </w:pPr>
      <w:r w:rsidRPr="00BE5696">
        <w:t>Using this framework, the value of local final and intermediate inputs has been separated into three geographic zones:</w:t>
      </w:r>
    </w:p>
    <w:p w:rsidR="00C03BEC" w:rsidRPr="00BE5696" w:rsidRDefault="00C03BEC" w:rsidP="00C03BEC">
      <w:pPr>
        <w:pStyle w:val="MJAbulletnormal"/>
      </w:pPr>
      <w:r w:rsidRPr="00BE5696">
        <w:t xml:space="preserve">Within the </w:t>
      </w:r>
      <w:r w:rsidR="0025183D">
        <w:t>MIA</w:t>
      </w:r>
      <w:r w:rsidRPr="00BE5696">
        <w:t>;</w:t>
      </w:r>
    </w:p>
    <w:p w:rsidR="00C03BEC" w:rsidRPr="00BE5696" w:rsidRDefault="00C03BEC" w:rsidP="00C03BEC">
      <w:pPr>
        <w:pStyle w:val="MJAbulletnormal"/>
      </w:pPr>
      <w:r w:rsidRPr="00BE5696">
        <w:t>Outside MIA but within Murray Darling Basin (MDB); and</w:t>
      </w:r>
    </w:p>
    <w:p w:rsidR="00C03BEC" w:rsidRPr="00BE5696" w:rsidRDefault="00C03BEC" w:rsidP="00C03BEC">
      <w:pPr>
        <w:pStyle w:val="MJAbulletnormal"/>
      </w:pPr>
      <w:r w:rsidRPr="00BE5696">
        <w:t>Outside of MDB.</w:t>
      </w:r>
    </w:p>
    <w:p w:rsidR="00C03BEC" w:rsidRPr="00BE5696" w:rsidRDefault="00F068D0" w:rsidP="00C03BEC">
      <w:pPr>
        <w:pStyle w:val="MJAbulletnormal"/>
        <w:numPr>
          <w:ilvl w:val="0"/>
          <w:numId w:val="0"/>
        </w:numPr>
        <w:ind w:left="360" w:hanging="360"/>
      </w:pPr>
      <w:r>
        <w:t>Using these three zones, the static model assumes:</w:t>
      </w:r>
    </w:p>
    <w:p w:rsidR="00C03BEC" w:rsidRPr="00BE5696" w:rsidRDefault="00C03BEC" w:rsidP="00C03BEC">
      <w:pPr>
        <w:pStyle w:val="MJAbulletnormal"/>
      </w:pPr>
      <w:r w:rsidRPr="00BE5696">
        <w:t>PIIOP and OFIEP involve final goods and services that are sourced: directly from with the MIA (e.g. local labour for land</w:t>
      </w:r>
      <w:r>
        <w:t>-</w:t>
      </w:r>
      <w:r w:rsidRPr="00BE5696">
        <w:t xml:space="preserve">forming); outside the MIA but within the MDB (e.g. some specialised materials such as gates); and outside the MDB (such as project management and some specialised materials); </w:t>
      </w:r>
    </w:p>
    <w:p w:rsidR="00C03BEC" w:rsidRPr="00BE5696" w:rsidRDefault="00C03BEC" w:rsidP="00C03BEC">
      <w:pPr>
        <w:pStyle w:val="MJAbulletnormal"/>
      </w:pPr>
      <w:r w:rsidRPr="00BE5696">
        <w:t xml:space="preserve">Final goods and services may have been delivered or produced using intermediate goods and services from other geographic zones. For example, the final goods and services made or delivered within the MIA may involve intermediate goods and services that are made or delivered </w:t>
      </w:r>
      <w:r>
        <w:t xml:space="preserve">from: within the MIA; </w:t>
      </w:r>
      <w:r w:rsidRPr="00BE5696">
        <w:t>outside the MIA but within the M</w:t>
      </w:r>
      <w:r>
        <w:t xml:space="preserve">DB; </w:t>
      </w:r>
      <w:r w:rsidRPr="00BE5696">
        <w:t xml:space="preserve">or even outside the MDB. </w:t>
      </w:r>
    </w:p>
    <w:p w:rsidR="00C03BEC" w:rsidRPr="00BE5696" w:rsidRDefault="00C03BEC" w:rsidP="00C03BEC">
      <w:pPr>
        <w:pStyle w:val="MJAnormal"/>
      </w:pPr>
      <w:r w:rsidRPr="00BE5696">
        <w:t xml:space="preserve">Therefore, </w:t>
      </w:r>
      <w:r>
        <w:t xml:space="preserve">local value added </w:t>
      </w:r>
      <w:r w:rsidRPr="00BE5696">
        <w:t xml:space="preserve">within the MIA is equal to the value of PIIOP and OFIEP final goods and services purchased or delivered from </w:t>
      </w:r>
      <w:r w:rsidR="00F068D0">
        <w:t xml:space="preserve">businesses located </w:t>
      </w:r>
      <w:r w:rsidRPr="00BE5696">
        <w:t>within the MIA less the value of intermediate goods and services in the two other geographic zones (outside the MIA but within the MDB; and outside the MDB) used to deliver or produce these final goods.</w:t>
      </w:r>
    </w:p>
    <w:p w:rsidR="00C03BEC" w:rsidRPr="00BE5696" w:rsidRDefault="00C03BEC" w:rsidP="00C03BEC">
      <w:pPr>
        <w:pStyle w:val="MJAnormal"/>
      </w:pPr>
      <w:r w:rsidRPr="00BE5696">
        <w:t xml:space="preserve">Similarly, </w:t>
      </w:r>
      <w:r>
        <w:t>local value added</w:t>
      </w:r>
      <w:r w:rsidRPr="00BE5696">
        <w:t xml:space="preserve"> outside the MIA but within the MDB is equal to the value of PIIOP and OFIEP final goods and services less the value of intermediate goods and services outside the MDB used to deliver or produce these final goods.</w:t>
      </w:r>
    </w:p>
    <w:p w:rsidR="00007582" w:rsidRDefault="00F068D0" w:rsidP="00D150F2">
      <w:pPr>
        <w:pStyle w:val="MJAheading3"/>
      </w:pPr>
      <w:r>
        <w:t xml:space="preserve">Intermediate inputs </w:t>
      </w:r>
      <w:r w:rsidR="00007582">
        <w:t xml:space="preserve">from </w:t>
      </w:r>
      <w:r>
        <w:t xml:space="preserve">outside the MIA </w:t>
      </w:r>
      <w:r w:rsidR="00007582">
        <w:t>region</w:t>
      </w:r>
    </w:p>
    <w:p w:rsidR="006C70C5" w:rsidRDefault="0097738E" w:rsidP="003F64C9">
      <w:pPr>
        <w:pStyle w:val="MJAnormal"/>
      </w:pPr>
      <w:r>
        <w:t>Expenditures by PIIOP and OFIEP</w:t>
      </w:r>
      <w:r w:rsidR="006C70C5">
        <w:t xml:space="preserve"> project</w:t>
      </w:r>
      <w:r>
        <w:t>s</w:t>
      </w:r>
      <w:r w:rsidR="006C70C5">
        <w:t xml:space="preserve"> are treated as turnover to local business</w:t>
      </w:r>
      <w:r w:rsidR="00910ACE">
        <w:t>es</w:t>
      </w:r>
      <w:r w:rsidR="006C70C5">
        <w:t xml:space="preserve"> who then source local and imported factors of productions including:</w:t>
      </w:r>
    </w:p>
    <w:p w:rsidR="006C70C5" w:rsidRDefault="00910ACE" w:rsidP="006C70C5">
      <w:pPr>
        <w:pStyle w:val="MJAbulletnormal"/>
      </w:pPr>
      <w:r>
        <w:t>c</w:t>
      </w:r>
      <w:r w:rsidR="006C70C5">
        <w:t>apital inputs</w:t>
      </w:r>
      <w:r>
        <w:t xml:space="preserve"> — manufactured goods</w:t>
      </w:r>
      <w:r w:rsidR="00FD2776">
        <w:t xml:space="preserve"> such as meters, gates, pipes </w:t>
      </w:r>
      <w:r w:rsidR="00803C55">
        <w:t>pumps</w:t>
      </w:r>
      <w:r w:rsidR="00FE5D05">
        <w:t>;</w:t>
      </w:r>
    </w:p>
    <w:p w:rsidR="006C70C5" w:rsidRDefault="00910ACE" w:rsidP="006C70C5">
      <w:pPr>
        <w:pStyle w:val="MJAbulletnormal"/>
      </w:pPr>
      <w:r>
        <w:t>labour</w:t>
      </w:r>
      <w:r w:rsidR="00FD2776">
        <w:t xml:space="preserve"> —</w:t>
      </w:r>
      <w:r w:rsidR="00655820">
        <w:t>excluding</w:t>
      </w:r>
      <w:r w:rsidR="00FD2776">
        <w:t xml:space="preserve"> farm owner operator</w:t>
      </w:r>
      <w:r w:rsidR="00FE5D05">
        <w:t>;</w:t>
      </w:r>
    </w:p>
    <w:p w:rsidR="00910ACE" w:rsidRDefault="00910ACE" w:rsidP="006C70C5">
      <w:pPr>
        <w:pStyle w:val="MJAbulletnormal"/>
      </w:pPr>
      <w:r>
        <w:t>fuel</w:t>
      </w:r>
      <w:r w:rsidR="00FD2776">
        <w:t xml:space="preserve"> — including diesel fuel rebate</w:t>
      </w:r>
      <w:r>
        <w:t>;</w:t>
      </w:r>
    </w:p>
    <w:p w:rsidR="006C70C5" w:rsidRDefault="00910ACE" w:rsidP="006C70C5">
      <w:pPr>
        <w:pStyle w:val="MJAbulletnormal"/>
      </w:pPr>
      <w:r>
        <w:t>machinery and equipment</w:t>
      </w:r>
      <w:r w:rsidR="00FD2776">
        <w:t xml:space="preserve"> depreciation —</w:t>
      </w:r>
      <w:r w:rsidR="00655820">
        <w:t xml:space="preserve"> </w:t>
      </w:r>
      <w:r w:rsidR="00FD2776">
        <w:t>results in machinery parts maintenance and eventually replacement</w:t>
      </w:r>
      <w:r w:rsidR="00627E39">
        <w:t>;</w:t>
      </w:r>
    </w:p>
    <w:p w:rsidR="00627E39" w:rsidRDefault="00627E39" w:rsidP="006C70C5">
      <w:pPr>
        <w:pStyle w:val="MJAbulletnormal"/>
      </w:pPr>
      <w:r>
        <w:t>other business costs; and</w:t>
      </w:r>
    </w:p>
    <w:p w:rsidR="0097738E" w:rsidRDefault="0097738E" w:rsidP="006C70C5">
      <w:pPr>
        <w:pStyle w:val="MJAbulletnormal"/>
      </w:pPr>
      <w:r>
        <w:t>business profit</w:t>
      </w:r>
      <w:r w:rsidR="00FD2776">
        <w:t>.</w:t>
      </w:r>
    </w:p>
    <w:p w:rsidR="00803C55" w:rsidRDefault="00627E39" w:rsidP="00803C55">
      <w:pPr>
        <w:pStyle w:val="MJAbulletnormal"/>
        <w:numPr>
          <w:ilvl w:val="0"/>
          <w:numId w:val="0"/>
        </w:numPr>
      </w:pPr>
      <w:r>
        <w:t>‘L</w:t>
      </w:r>
      <w:r w:rsidR="0097738E">
        <w:t>eakages’ from the local economy through the purchase of imported good</w:t>
      </w:r>
      <w:r w:rsidR="008A415F">
        <w:t>s</w:t>
      </w:r>
      <w:r w:rsidR="0097738E">
        <w:t xml:space="preserve"> and services to undertake construction activities are excluded from the estimate of local economic benefits</w:t>
      </w:r>
      <w:r w:rsidR="00B02D56">
        <w:t xml:space="preserve">. </w:t>
      </w:r>
      <w:r w:rsidR="00803C55" w:rsidRPr="00803C55">
        <w:t xml:space="preserve"> </w:t>
      </w:r>
      <w:r w:rsidR="00803C55">
        <w:t>Key sources of leakage include imported capital inputs, fuel and machinery and equipment depreciation.</w:t>
      </w:r>
    </w:p>
    <w:p w:rsidR="00007582" w:rsidRDefault="00FD2776" w:rsidP="00FD2776">
      <w:pPr>
        <w:pStyle w:val="MJAheading3"/>
      </w:pPr>
      <w:r>
        <w:t>Treatment of taxes concessions and rebate</w:t>
      </w:r>
    </w:p>
    <w:p w:rsidR="00FD2776" w:rsidRDefault="008248DE" w:rsidP="003F64C9">
      <w:pPr>
        <w:pStyle w:val="MJAnormal"/>
      </w:pPr>
      <w:r>
        <w:t>GST and income taxes are excluded from local expenditures in this study</w:t>
      </w:r>
      <w:r w:rsidR="00FD2776">
        <w:t>. Howev</w:t>
      </w:r>
      <w:r w:rsidR="00803C55">
        <w:t>er</w:t>
      </w:r>
      <w:r>
        <w:t xml:space="preserve">, </w:t>
      </w:r>
      <w:r w:rsidR="00803C55">
        <w:t>the d</w:t>
      </w:r>
      <w:r w:rsidR="00FD2776">
        <w:t xml:space="preserve">iesel fuel rebate </w:t>
      </w:r>
      <w:r>
        <w:t xml:space="preserve">is included </w:t>
      </w:r>
      <w:r w:rsidR="00FD2776">
        <w:t>as an expenditure in the region</w:t>
      </w:r>
      <w:r w:rsidR="00247EC3">
        <w:t xml:space="preserve">. </w:t>
      </w:r>
    </w:p>
    <w:p w:rsidR="0097738E" w:rsidRDefault="00282429" w:rsidP="00061E10">
      <w:pPr>
        <w:pStyle w:val="MJAheading3"/>
      </w:pPr>
      <w:r>
        <w:t>Defining goods and services</w:t>
      </w:r>
    </w:p>
    <w:p w:rsidR="00627E39" w:rsidRDefault="00627E39" w:rsidP="006616EE">
      <w:pPr>
        <w:pStyle w:val="MJAnormal"/>
      </w:pPr>
      <w:r>
        <w:t>Th</w:t>
      </w:r>
      <w:r w:rsidR="00710732">
        <w:t>ere are two type of expenditures</w:t>
      </w:r>
      <w:r>
        <w:t>:</w:t>
      </w:r>
    </w:p>
    <w:p w:rsidR="00EC47A2" w:rsidRPr="00627E39" w:rsidRDefault="00710732" w:rsidP="00627E39">
      <w:pPr>
        <w:pStyle w:val="MJAbulletnormal"/>
      </w:pPr>
      <w:r>
        <w:t>Final</w:t>
      </w:r>
      <w:r w:rsidR="00D92179" w:rsidRPr="00627E39">
        <w:t xml:space="preserve"> expenditures </w:t>
      </w:r>
      <w:r w:rsidR="00EC47A2" w:rsidRPr="00627E39">
        <w:t>—</w:t>
      </w:r>
      <w:r w:rsidR="00627E39" w:rsidRPr="00627E39">
        <w:t xml:space="preserve"> are</w:t>
      </w:r>
      <w:r w:rsidR="00D92179" w:rsidRPr="00627E39">
        <w:t xml:space="preserve"> goods and services directly purchased by the </w:t>
      </w:r>
      <w:r w:rsidR="00EC47A2" w:rsidRPr="00627E39">
        <w:t xml:space="preserve">contractor or project manager. </w:t>
      </w:r>
    </w:p>
    <w:p w:rsidR="00627E39" w:rsidRDefault="00710732" w:rsidP="006616EE">
      <w:pPr>
        <w:pStyle w:val="MJAbulletnormal"/>
      </w:pPr>
      <w:r>
        <w:t>Intermediate</w:t>
      </w:r>
      <w:r w:rsidR="00627E39">
        <w:t xml:space="preserve"> expenditures — are </w:t>
      </w:r>
      <w:r w:rsidR="00282429">
        <w:t>inputs</w:t>
      </w:r>
      <w:r w:rsidR="00627E39">
        <w:t xml:space="preserve"> sourced from other entities that form part of first round good or service purchase</w:t>
      </w:r>
      <w:r w:rsidR="00282429">
        <w:t>.</w:t>
      </w:r>
    </w:p>
    <w:p w:rsidR="0083017E" w:rsidRDefault="00710732" w:rsidP="00061E10">
      <w:pPr>
        <w:pStyle w:val="MJAbulletnormal"/>
        <w:numPr>
          <w:ilvl w:val="0"/>
          <w:numId w:val="0"/>
        </w:numPr>
      </w:pPr>
      <w:r>
        <w:t xml:space="preserve">For these expenditure types, total PIIOP and OFIEP expenditures by project are disaggregated into key expenditure classes which define the type of good or service on which program expenditures occurred. </w:t>
      </w:r>
      <w:r w:rsidR="0083017E">
        <w:t>The expenditure categories are different for PIIOP off-farm and PIIOP on-farm as data has been provided in different formats for these expenditure types by Murrumbidgee Irrigation.</w:t>
      </w:r>
    </w:p>
    <w:p w:rsidR="00627E39" w:rsidRDefault="00710732" w:rsidP="00627E39">
      <w:pPr>
        <w:pStyle w:val="MJAheading3"/>
      </w:pPr>
      <w:r>
        <w:t>Final</w:t>
      </w:r>
      <w:r w:rsidR="00627E39">
        <w:t xml:space="preserve"> expenditure</w:t>
      </w:r>
      <w:r w:rsidR="00707A6B">
        <w:t>s</w:t>
      </w:r>
      <w:r w:rsidR="00627E39">
        <w:t xml:space="preserve"> </w:t>
      </w:r>
    </w:p>
    <w:p w:rsidR="00627E39" w:rsidRDefault="00627E39" w:rsidP="00627E39">
      <w:pPr>
        <w:pStyle w:val="MJAheading4"/>
      </w:pPr>
      <w:r>
        <w:t>PIIOP off-farm goods and services classes</w:t>
      </w:r>
    </w:p>
    <w:p w:rsidR="00C65E70" w:rsidRPr="00061E10" w:rsidRDefault="008248DE" w:rsidP="008E3EB4">
      <w:pPr>
        <w:pStyle w:val="MJAnormal"/>
      </w:pPr>
      <w:r w:rsidRPr="00061E10">
        <w:t xml:space="preserve">Six </w:t>
      </w:r>
      <w:r w:rsidR="00C65E70" w:rsidRPr="00061E10">
        <w:t xml:space="preserve">expenditure </w:t>
      </w:r>
      <w:r w:rsidRPr="00061E10">
        <w:t xml:space="preserve">categories are used to define the type of </w:t>
      </w:r>
      <w:r w:rsidR="006C1394" w:rsidRPr="00061E10">
        <w:t xml:space="preserve">PIIOP off-farm goods and service </w:t>
      </w:r>
      <w:r w:rsidRPr="00061E10">
        <w:t>expenditure</w:t>
      </w:r>
      <w:r w:rsidR="00C65E70" w:rsidRPr="00061E10">
        <w:t>:</w:t>
      </w:r>
    </w:p>
    <w:p w:rsidR="00C65E70" w:rsidRPr="00061E10" w:rsidRDefault="009E6C29" w:rsidP="00061E10">
      <w:pPr>
        <w:pStyle w:val="MJAbulletnormal"/>
      </w:pPr>
      <w:r>
        <w:t>l</w:t>
      </w:r>
      <w:r w:rsidR="00C65E70" w:rsidRPr="00061E10">
        <w:t>abour</w:t>
      </w:r>
      <w:r>
        <w:t>;</w:t>
      </w:r>
    </w:p>
    <w:p w:rsidR="00C65E70" w:rsidRPr="00061E10" w:rsidRDefault="009E6C29" w:rsidP="00061E10">
      <w:pPr>
        <w:pStyle w:val="MJAbulletnormal"/>
        <w:rPr>
          <w:color w:val="000000"/>
          <w:szCs w:val="20"/>
        </w:rPr>
      </w:pPr>
      <w:r>
        <w:rPr>
          <w:color w:val="000000"/>
          <w:szCs w:val="20"/>
        </w:rPr>
        <w:t>p</w:t>
      </w:r>
      <w:r w:rsidR="00C65E70" w:rsidRPr="00061E10">
        <w:rPr>
          <w:color w:val="000000"/>
          <w:szCs w:val="20"/>
        </w:rPr>
        <w:t>roject management, design and stakeholder management</w:t>
      </w:r>
      <w:r>
        <w:rPr>
          <w:color w:val="000000"/>
          <w:szCs w:val="20"/>
        </w:rPr>
        <w:t>;</w:t>
      </w:r>
    </w:p>
    <w:p w:rsidR="00C65E70" w:rsidRPr="00061E10" w:rsidRDefault="009E6C29" w:rsidP="00061E10">
      <w:pPr>
        <w:pStyle w:val="MJAbulletnormal"/>
        <w:rPr>
          <w:color w:val="000000"/>
          <w:szCs w:val="20"/>
        </w:rPr>
      </w:pPr>
      <w:r>
        <w:rPr>
          <w:color w:val="000000"/>
          <w:szCs w:val="20"/>
        </w:rPr>
        <w:t>m</w:t>
      </w:r>
      <w:r w:rsidR="00C65E70" w:rsidRPr="00061E10">
        <w:rPr>
          <w:color w:val="000000"/>
          <w:szCs w:val="20"/>
        </w:rPr>
        <w:t>aterial</w:t>
      </w:r>
      <w:r>
        <w:rPr>
          <w:color w:val="000000"/>
          <w:szCs w:val="20"/>
        </w:rPr>
        <w:t>;</w:t>
      </w:r>
    </w:p>
    <w:p w:rsidR="00C65E70" w:rsidRPr="00061E10" w:rsidRDefault="009E6C29" w:rsidP="00061E10">
      <w:pPr>
        <w:pStyle w:val="MJAbulletnormal"/>
        <w:rPr>
          <w:color w:val="000000"/>
          <w:szCs w:val="20"/>
        </w:rPr>
      </w:pPr>
      <w:r>
        <w:rPr>
          <w:color w:val="000000"/>
          <w:szCs w:val="20"/>
        </w:rPr>
        <w:t>f</w:t>
      </w:r>
      <w:r w:rsidR="00C65E70" w:rsidRPr="00061E10">
        <w:rPr>
          <w:color w:val="000000"/>
          <w:szCs w:val="20"/>
        </w:rPr>
        <w:t>uel</w:t>
      </w:r>
      <w:r>
        <w:rPr>
          <w:color w:val="000000"/>
          <w:szCs w:val="20"/>
        </w:rPr>
        <w:t>;</w:t>
      </w:r>
    </w:p>
    <w:p w:rsidR="00C65E70" w:rsidRPr="00061E10" w:rsidRDefault="009E6C29" w:rsidP="00061E10">
      <w:pPr>
        <w:pStyle w:val="MJAbulletnormal"/>
        <w:rPr>
          <w:color w:val="000000"/>
          <w:szCs w:val="20"/>
        </w:rPr>
      </w:pPr>
      <w:r>
        <w:rPr>
          <w:color w:val="000000"/>
          <w:szCs w:val="20"/>
        </w:rPr>
        <w:t>p</w:t>
      </w:r>
      <w:r w:rsidR="00C65E70" w:rsidRPr="00061E10">
        <w:rPr>
          <w:color w:val="000000"/>
          <w:szCs w:val="20"/>
        </w:rPr>
        <w:t>lant</w:t>
      </w:r>
      <w:r>
        <w:rPr>
          <w:color w:val="000000"/>
          <w:szCs w:val="20"/>
        </w:rPr>
        <w:t>; and</w:t>
      </w:r>
    </w:p>
    <w:p w:rsidR="00C65E70" w:rsidRPr="00061E10" w:rsidRDefault="009E6C29" w:rsidP="00061E10">
      <w:pPr>
        <w:pStyle w:val="MJAbulletnormal"/>
      </w:pPr>
      <w:r>
        <w:rPr>
          <w:color w:val="000000"/>
          <w:szCs w:val="20"/>
        </w:rPr>
        <w:t>o</w:t>
      </w:r>
      <w:r w:rsidR="00C65E70" w:rsidRPr="00061E10">
        <w:rPr>
          <w:color w:val="000000"/>
          <w:szCs w:val="20"/>
        </w:rPr>
        <w:t>ther</w:t>
      </w:r>
      <w:r>
        <w:rPr>
          <w:color w:val="000000"/>
          <w:szCs w:val="20"/>
        </w:rPr>
        <w:t>.</w:t>
      </w:r>
    </w:p>
    <w:p w:rsidR="00605CBF" w:rsidRDefault="00605CBF" w:rsidP="00605CBF">
      <w:pPr>
        <w:pStyle w:val="MJAheading4"/>
      </w:pPr>
      <w:r w:rsidRPr="008E3EB4">
        <w:t>PIIOP on-farm goods and services classes</w:t>
      </w:r>
    </w:p>
    <w:p w:rsidR="005F5221" w:rsidRPr="00061E10" w:rsidRDefault="005F5221" w:rsidP="005F5221">
      <w:pPr>
        <w:pStyle w:val="MJAnormal"/>
      </w:pPr>
      <w:r w:rsidRPr="00061E10">
        <w:t>S</w:t>
      </w:r>
      <w:r w:rsidR="00F526B2" w:rsidRPr="00061E10">
        <w:t xml:space="preserve">even </w:t>
      </w:r>
      <w:r w:rsidRPr="00061E10">
        <w:t>expenditure categories are used to define the type of PIIOP o</w:t>
      </w:r>
      <w:r w:rsidR="00F526B2" w:rsidRPr="00061E10">
        <w:t>n-</w:t>
      </w:r>
      <w:r w:rsidRPr="00061E10">
        <w:t>farm goods and service expenditure:</w:t>
      </w:r>
    </w:p>
    <w:p w:rsidR="005F5221" w:rsidRPr="00061E10" w:rsidRDefault="009E6C29" w:rsidP="00061E10">
      <w:pPr>
        <w:pStyle w:val="MJAbulletnormal"/>
      </w:pPr>
      <w:r>
        <w:t>d</w:t>
      </w:r>
      <w:r w:rsidR="005F5221" w:rsidRPr="00061E10">
        <w:t>rips</w:t>
      </w:r>
      <w:r>
        <w:t>;</w:t>
      </w:r>
    </w:p>
    <w:p w:rsidR="005F5221" w:rsidRPr="00061E10" w:rsidRDefault="009E6C29" w:rsidP="00061E10">
      <w:pPr>
        <w:pStyle w:val="MJAbulletnormal"/>
      </w:pPr>
      <w:r>
        <w:t>p</w:t>
      </w:r>
      <w:r w:rsidR="005F5221" w:rsidRPr="00061E10">
        <w:t>ipes</w:t>
      </w:r>
      <w:r>
        <w:t>;</w:t>
      </w:r>
    </w:p>
    <w:p w:rsidR="005F5221" w:rsidRPr="00061E10" w:rsidRDefault="009E6C29" w:rsidP="00061E10">
      <w:pPr>
        <w:pStyle w:val="MJAbulletnormal"/>
      </w:pPr>
      <w:r>
        <w:t>e</w:t>
      </w:r>
      <w:r w:rsidR="005F5221" w:rsidRPr="00061E10">
        <w:t>xcavation</w:t>
      </w:r>
      <w:r>
        <w:t>;</w:t>
      </w:r>
    </w:p>
    <w:p w:rsidR="005F5221" w:rsidRPr="00061E10" w:rsidRDefault="009E6C29" w:rsidP="00061E10">
      <w:pPr>
        <w:pStyle w:val="MJAbulletnormal"/>
      </w:pPr>
      <w:r>
        <w:t>p</w:t>
      </w:r>
      <w:r w:rsidR="005F5221" w:rsidRPr="00061E10">
        <w:t>umps</w:t>
      </w:r>
      <w:r>
        <w:t>;</w:t>
      </w:r>
    </w:p>
    <w:p w:rsidR="005F5221" w:rsidRPr="00061E10" w:rsidRDefault="009E6C29" w:rsidP="00061E10">
      <w:pPr>
        <w:pStyle w:val="MJAbulletnormal"/>
      </w:pPr>
      <w:r>
        <w:t>b</w:t>
      </w:r>
      <w:r w:rsidR="005F5221" w:rsidRPr="00061E10">
        <w:t>ores</w:t>
      </w:r>
      <w:r>
        <w:t>;</w:t>
      </w:r>
    </w:p>
    <w:p w:rsidR="005F5221" w:rsidRPr="00061E10" w:rsidRDefault="009E6C29" w:rsidP="00061E10">
      <w:pPr>
        <w:pStyle w:val="MJAbulletnormal"/>
      </w:pPr>
      <w:r>
        <w:t>s</w:t>
      </w:r>
      <w:r w:rsidR="005F5221" w:rsidRPr="00061E10">
        <w:t>oil moisture monitoring</w:t>
      </w:r>
      <w:r>
        <w:t xml:space="preserve">; and </w:t>
      </w:r>
    </w:p>
    <w:p w:rsidR="005F5221" w:rsidRPr="00061E10" w:rsidRDefault="009E6C29" w:rsidP="00061E10">
      <w:pPr>
        <w:pStyle w:val="MJAbulletnormal"/>
      </w:pPr>
      <w:r>
        <w:t>t</w:t>
      </w:r>
      <w:r w:rsidR="005F5221" w:rsidRPr="00061E10">
        <w:t>roughs</w:t>
      </w:r>
      <w:r>
        <w:t>.</w:t>
      </w:r>
    </w:p>
    <w:p w:rsidR="00627E39" w:rsidRDefault="00627E39" w:rsidP="00627E39">
      <w:pPr>
        <w:pStyle w:val="MJAheading4"/>
      </w:pPr>
      <w:r>
        <w:t>OFIEP on-farm goods and services classes</w:t>
      </w:r>
    </w:p>
    <w:p w:rsidR="008602BD" w:rsidRDefault="00B93ECF" w:rsidP="008602BD">
      <w:pPr>
        <w:pStyle w:val="MJAnormal"/>
      </w:pPr>
      <w:r>
        <w:t>There are five type</w:t>
      </w:r>
      <w:r w:rsidR="00670F0C">
        <w:t>s</w:t>
      </w:r>
      <w:r>
        <w:t xml:space="preserve"> of on-farm changes which resulted from OFIEP expenditures</w:t>
      </w:r>
      <w:r w:rsidR="00655820">
        <w:t>, including the</w:t>
      </w:r>
      <w:r>
        <w:t>:</w:t>
      </w:r>
    </w:p>
    <w:p w:rsidR="008602BD" w:rsidRDefault="00B93ECF" w:rsidP="00875B56">
      <w:pPr>
        <w:pStyle w:val="MJAbulletnormal"/>
      </w:pPr>
      <w:r>
        <w:t>r</w:t>
      </w:r>
      <w:r w:rsidR="00875B56">
        <w:t>edevelopment of surface irrigation systems (l</w:t>
      </w:r>
      <w:r w:rsidR="008602BD">
        <w:t>andforming</w:t>
      </w:r>
      <w:r w:rsidR="00875B56">
        <w:t>)</w:t>
      </w:r>
      <w:r>
        <w:t xml:space="preserve"> to bank</w:t>
      </w:r>
      <w:r w:rsidR="004D4F09">
        <w:t>-</w:t>
      </w:r>
      <w:r>
        <w:t>less channel irrigation system</w:t>
      </w:r>
      <w:r w:rsidR="00AE7A91">
        <w:t>s</w:t>
      </w:r>
      <w:r>
        <w:t>;</w:t>
      </w:r>
      <w:r w:rsidR="008602BD">
        <w:t xml:space="preserve"> </w:t>
      </w:r>
    </w:p>
    <w:p w:rsidR="008602BD" w:rsidRDefault="00B93ECF" w:rsidP="00875B56">
      <w:pPr>
        <w:pStyle w:val="MJAbulletnormal"/>
      </w:pPr>
      <w:r>
        <w:t>r</w:t>
      </w:r>
      <w:r w:rsidR="00875B56">
        <w:t xml:space="preserve">edevelopment of farm </w:t>
      </w:r>
      <w:r w:rsidR="008602BD">
        <w:t>drain</w:t>
      </w:r>
      <w:r w:rsidR="00875B56">
        <w:t xml:space="preserve"> reuse</w:t>
      </w:r>
      <w:r w:rsidR="008602BD">
        <w:t xml:space="preserve"> </w:t>
      </w:r>
      <w:r w:rsidR="00875B56">
        <w:t xml:space="preserve">(including pumping systems) </w:t>
      </w:r>
      <w:r w:rsidR="008602BD">
        <w:t>and on-farm storage</w:t>
      </w:r>
      <w:r>
        <w:t>;</w:t>
      </w:r>
    </w:p>
    <w:p w:rsidR="008602BD" w:rsidRDefault="00B93ECF" w:rsidP="00875B56">
      <w:pPr>
        <w:pStyle w:val="MJAbulletnormal"/>
      </w:pPr>
      <w:r>
        <w:t>c</w:t>
      </w:r>
      <w:r w:rsidR="00875B56">
        <w:t xml:space="preserve">onversion from surface to overhead irrigation or </w:t>
      </w:r>
      <w:r w:rsidR="008602BD">
        <w:t>upgrade</w:t>
      </w:r>
      <w:r>
        <w:t xml:space="preserve"> of</w:t>
      </w:r>
      <w:r w:rsidR="008602BD">
        <w:t xml:space="preserve"> </w:t>
      </w:r>
      <w:r w:rsidR="00875B56">
        <w:t xml:space="preserve">existing </w:t>
      </w:r>
      <w:r w:rsidR="008602BD">
        <w:t>overhead irrigation systems</w:t>
      </w:r>
      <w:r>
        <w:t>;</w:t>
      </w:r>
    </w:p>
    <w:p w:rsidR="00B93ECF" w:rsidRDefault="00B93ECF" w:rsidP="00875B56">
      <w:pPr>
        <w:pStyle w:val="MJAbulletnormal"/>
      </w:pPr>
      <w:r>
        <w:t>conversion to drip-based irrigation systems or upgrade of existing drip-based irrigation systems; and</w:t>
      </w:r>
    </w:p>
    <w:p w:rsidR="00B93ECF" w:rsidRPr="008602BD" w:rsidRDefault="00B93ECF" w:rsidP="00875B56">
      <w:pPr>
        <w:pStyle w:val="MJAbulletnormal"/>
      </w:pPr>
      <w:r>
        <w:t>introduction of fertigation systems into farming practices.</w:t>
      </w:r>
    </w:p>
    <w:p w:rsidR="00627E39" w:rsidRDefault="00B93ECF" w:rsidP="00627E39">
      <w:pPr>
        <w:pStyle w:val="MJAnormal"/>
      </w:pPr>
      <w:r>
        <w:t>Using information and data from the Department of Agriculture and Water</w:t>
      </w:r>
      <w:r w:rsidR="00AE7A91">
        <w:t xml:space="preserve"> </w:t>
      </w:r>
      <w:r w:rsidR="00633718">
        <w:t xml:space="preserve">Resources </w:t>
      </w:r>
      <w:r w:rsidR="00AE7A91">
        <w:t>on the costs of on-farm investments as part of OFIEP</w:t>
      </w:r>
      <w:r w:rsidR="009C1A62">
        <w:t xml:space="preserve"> and taking into account the type of on-farm changes resulting from OFIEP</w:t>
      </w:r>
      <w:r>
        <w:t xml:space="preserve">, </w:t>
      </w:r>
      <w:r w:rsidR="00AE7A91">
        <w:t>the major goods and services classes for OFIEP are</w:t>
      </w:r>
      <w:r w:rsidR="009C1A62">
        <w:t xml:space="preserve"> defined as:</w:t>
      </w:r>
      <w:r w:rsidR="00AE7A91">
        <w:t xml:space="preserve"> </w:t>
      </w:r>
    </w:p>
    <w:p w:rsidR="009C1A62" w:rsidRDefault="009E6C29" w:rsidP="00061E10">
      <w:pPr>
        <w:pStyle w:val="MJAbulletnormal"/>
      </w:pPr>
      <w:r>
        <w:t>p</w:t>
      </w:r>
      <w:r w:rsidR="009C1A62">
        <w:t>lanning and design</w:t>
      </w:r>
      <w:r>
        <w:t>;</w:t>
      </w:r>
    </w:p>
    <w:p w:rsidR="009C1A62" w:rsidRDefault="009E6C29" w:rsidP="00061E10">
      <w:pPr>
        <w:pStyle w:val="MJAbulletnormal"/>
      </w:pPr>
      <w:r>
        <w:t>l</w:t>
      </w:r>
      <w:r w:rsidR="009C1A62">
        <w:t>andforming</w:t>
      </w:r>
      <w:r>
        <w:t xml:space="preserve"> (</w:t>
      </w:r>
      <w:r w:rsidR="004D4F09">
        <w:t>lasering</w:t>
      </w:r>
      <w:r>
        <w:t>);</w:t>
      </w:r>
    </w:p>
    <w:p w:rsidR="009C1A62" w:rsidRDefault="009E6C29" w:rsidP="00061E10">
      <w:pPr>
        <w:pStyle w:val="MJAbulletnormal"/>
      </w:pPr>
      <w:r>
        <w:t>p</w:t>
      </w:r>
      <w:r w:rsidR="009C1A62">
        <w:t>ipes and stops</w:t>
      </w:r>
      <w:r>
        <w:t>;</w:t>
      </w:r>
    </w:p>
    <w:p w:rsidR="009C1A62" w:rsidRDefault="009E6C29" w:rsidP="00061E10">
      <w:pPr>
        <w:pStyle w:val="MJAbulletnormal"/>
      </w:pPr>
      <w:r>
        <w:t>p</w:t>
      </w:r>
      <w:r w:rsidR="009C1A62">
        <w:t>umps</w:t>
      </w:r>
      <w:r>
        <w:t>;</w:t>
      </w:r>
    </w:p>
    <w:p w:rsidR="009C1A62" w:rsidRPr="00061E10" w:rsidRDefault="009E6C29" w:rsidP="00061E10">
      <w:pPr>
        <w:pStyle w:val="MJAbulletnormal"/>
      </w:pPr>
      <w:r w:rsidRPr="009E6C29">
        <w:t>e</w:t>
      </w:r>
      <w:r w:rsidR="009C1A62" w:rsidRPr="009E6C29">
        <w:t>arthworks for drains, channels and on-farm storage and pumps</w:t>
      </w:r>
      <w:r>
        <w:t>;</w:t>
      </w:r>
    </w:p>
    <w:p w:rsidR="009C1A62" w:rsidRPr="00061E10" w:rsidRDefault="009E6C29" w:rsidP="00061E10">
      <w:pPr>
        <w:pStyle w:val="MJAbulletnormal"/>
      </w:pPr>
      <w:r>
        <w:t>t</w:t>
      </w:r>
      <w:r w:rsidR="009C1A62" w:rsidRPr="00061E10">
        <w:t>ravelling irrigator</w:t>
      </w:r>
      <w:r>
        <w:t>;</w:t>
      </w:r>
    </w:p>
    <w:p w:rsidR="009C1A62" w:rsidRPr="00061E10" w:rsidRDefault="009E6C29" w:rsidP="00061E10">
      <w:pPr>
        <w:pStyle w:val="MJAbulletnormal"/>
      </w:pPr>
      <w:r>
        <w:t>t</w:t>
      </w:r>
      <w:r w:rsidR="009C1A62" w:rsidRPr="00061E10">
        <w:t>elemetry and control system</w:t>
      </w:r>
      <w:r>
        <w:t>;</w:t>
      </w:r>
    </w:p>
    <w:p w:rsidR="009C1A62" w:rsidRPr="00061E10" w:rsidRDefault="009E6C29" w:rsidP="00061E10">
      <w:pPr>
        <w:pStyle w:val="MJAbulletnormal"/>
      </w:pPr>
      <w:r>
        <w:t>d</w:t>
      </w:r>
      <w:r w:rsidR="009C1A62" w:rsidRPr="00061E10">
        <w:t>rip system</w:t>
      </w:r>
      <w:r>
        <w:t>;</w:t>
      </w:r>
    </w:p>
    <w:p w:rsidR="009C1A62" w:rsidRPr="00061E10" w:rsidRDefault="009E6C29" w:rsidP="00061E10">
      <w:pPr>
        <w:pStyle w:val="MJAbulletnormal"/>
      </w:pPr>
      <w:r>
        <w:t>f</w:t>
      </w:r>
      <w:r w:rsidR="009C1A62" w:rsidRPr="00061E10">
        <w:t>ertigation and soil moisture monitoring</w:t>
      </w:r>
      <w:r>
        <w:t>; and</w:t>
      </w:r>
    </w:p>
    <w:p w:rsidR="009C1A62" w:rsidRPr="00385502" w:rsidRDefault="009E6C29" w:rsidP="00061E10">
      <w:pPr>
        <w:pStyle w:val="MJAbulletnormal"/>
      </w:pPr>
      <w:r>
        <w:t>r</w:t>
      </w:r>
      <w:r w:rsidR="009C1A62" w:rsidRPr="00061E10">
        <w:t>icegrowers administration</w:t>
      </w:r>
      <w:r>
        <w:t>.</w:t>
      </w:r>
    </w:p>
    <w:p w:rsidR="00282429" w:rsidRDefault="00710732" w:rsidP="006616EE">
      <w:pPr>
        <w:pStyle w:val="MJAheading3"/>
      </w:pPr>
      <w:r>
        <w:t>Intermediate</w:t>
      </w:r>
      <w:r w:rsidR="00282429">
        <w:t xml:space="preserve"> expenditures </w:t>
      </w:r>
    </w:p>
    <w:p w:rsidR="00707A6B" w:rsidRDefault="00707A6B" w:rsidP="006616EE">
      <w:pPr>
        <w:pStyle w:val="MJAnormal"/>
      </w:pPr>
      <w:r>
        <w:t xml:space="preserve">This study identifies key </w:t>
      </w:r>
      <w:r w:rsidR="00710732">
        <w:t>intermediate</w:t>
      </w:r>
      <w:r>
        <w:t xml:space="preserve"> expenditures directly associate</w:t>
      </w:r>
      <w:r w:rsidR="003E1D35">
        <w:t>d</w:t>
      </w:r>
      <w:r>
        <w:t xml:space="preserve"> with goods and services used in PIIOP and OFIEP. Of interest is excluding intermediate inputs imported to the region that contribute to </w:t>
      </w:r>
      <w:r w:rsidR="00710732">
        <w:t>final</w:t>
      </w:r>
      <w:r>
        <w:t xml:space="preserve"> goods and services expenditures.</w:t>
      </w:r>
    </w:p>
    <w:p w:rsidR="00282429" w:rsidRDefault="00707A6B" w:rsidP="006616EE">
      <w:pPr>
        <w:pStyle w:val="MJAnormal"/>
      </w:pPr>
      <w:r>
        <w:t>Key intermediate inputs sourced</w:t>
      </w:r>
      <w:r w:rsidR="00282429">
        <w:t xml:space="preserve"> from other entities include</w:t>
      </w:r>
      <w:r w:rsidR="000E4FB4">
        <w:t>:</w:t>
      </w:r>
    </w:p>
    <w:p w:rsidR="00282429" w:rsidRDefault="000E4FB4" w:rsidP="00282429">
      <w:pPr>
        <w:pStyle w:val="MJAbulletnormal"/>
      </w:pPr>
      <w:r>
        <w:t>f</w:t>
      </w:r>
      <w:r w:rsidR="00282429">
        <w:t>uel</w:t>
      </w:r>
      <w:r w:rsidR="00707A6B">
        <w:t xml:space="preserve"> — </w:t>
      </w:r>
      <w:r>
        <w:t>e</w:t>
      </w:r>
      <w:r w:rsidR="009C1A62">
        <w:t>.</w:t>
      </w:r>
      <w:r>
        <w:t>g</w:t>
      </w:r>
      <w:r w:rsidR="009C1A62">
        <w:t>.</w:t>
      </w:r>
      <w:r>
        <w:t xml:space="preserve"> </w:t>
      </w:r>
      <w:r w:rsidR="00707A6B">
        <w:t>diesel</w:t>
      </w:r>
      <w:r>
        <w:t>, petrol, gas;</w:t>
      </w:r>
    </w:p>
    <w:p w:rsidR="00282429" w:rsidRDefault="000E4FB4" w:rsidP="00282429">
      <w:pPr>
        <w:pStyle w:val="MJAbulletnormal"/>
      </w:pPr>
      <w:r>
        <w:t>machinery and equipment — e</w:t>
      </w:r>
      <w:r w:rsidR="009C1A62">
        <w:t>.</w:t>
      </w:r>
      <w:r>
        <w:t>g</w:t>
      </w:r>
      <w:r w:rsidR="009C1A62">
        <w:t>.</w:t>
      </w:r>
      <w:r>
        <w:t xml:space="preserve"> tractors, laser levelling equipment, earth work machinery;</w:t>
      </w:r>
    </w:p>
    <w:p w:rsidR="00282429" w:rsidRDefault="00282429" w:rsidP="00282429">
      <w:pPr>
        <w:pStyle w:val="MJAbulletnormal"/>
      </w:pPr>
      <w:r>
        <w:t xml:space="preserve">manufactured and semi manufactured </w:t>
      </w:r>
      <w:r w:rsidR="00707A6B">
        <w:t>products</w:t>
      </w:r>
      <w:r w:rsidR="000E4FB4">
        <w:t xml:space="preserve"> — e</w:t>
      </w:r>
      <w:r w:rsidR="009C1A62">
        <w:t>.</w:t>
      </w:r>
      <w:r w:rsidR="000E4FB4">
        <w:t>g</w:t>
      </w:r>
      <w:r w:rsidR="009C1A62">
        <w:t>.</w:t>
      </w:r>
      <w:r w:rsidR="000E4FB4">
        <w:t xml:space="preserve"> </w:t>
      </w:r>
      <w:r w:rsidR="00707A6B">
        <w:t>pipes</w:t>
      </w:r>
      <w:r w:rsidR="000E4FB4">
        <w:t>, valves, pumps;</w:t>
      </w:r>
      <w:r w:rsidR="00707A6B">
        <w:t xml:space="preserve"> </w:t>
      </w:r>
    </w:p>
    <w:p w:rsidR="00707A6B" w:rsidRDefault="00707A6B" w:rsidP="00282429">
      <w:pPr>
        <w:pStyle w:val="MJAbulletnormal"/>
      </w:pPr>
      <w:r>
        <w:t>processed semi processed and raw materials —</w:t>
      </w:r>
      <w:r w:rsidR="000E4FB4">
        <w:t xml:space="preserve"> e</w:t>
      </w:r>
      <w:r w:rsidR="00C20C8E">
        <w:t>.</w:t>
      </w:r>
      <w:r w:rsidR="000E4FB4">
        <w:t>g</w:t>
      </w:r>
      <w:r w:rsidR="00C20C8E">
        <w:t>.</w:t>
      </w:r>
      <w:r w:rsidRPr="00707A6B">
        <w:t xml:space="preserve"> </w:t>
      </w:r>
      <w:r>
        <w:t>cement powder, lime, reinforcement, form work</w:t>
      </w:r>
      <w:r w:rsidR="000E4FB4">
        <w:t>, steel.</w:t>
      </w:r>
    </w:p>
    <w:p w:rsidR="000E4FB4" w:rsidRDefault="00BB5EBC" w:rsidP="006616EE">
      <w:pPr>
        <w:pStyle w:val="MJAnormal"/>
      </w:pPr>
      <w:r>
        <w:t xml:space="preserve">Some of the key assumptions used where appropriate to estimate the local and imported shares of intermediate products are </w:t>
      </w:r>
      <w:r w:rsidR="000E4FB4">
        <w:t xml:space="preserve">summarised in </w:t>
      </w:r>
      <w:r w:rsidR="000E4FB4">
        <w:fldChar w:fldCharType="begin"/>
      </w:r>
      <w:r w:rsidR="000E4FB4">
        <w:instrText xml:space="preserve"> REF _Ref455052177 \h </w:instrText>
      </w:r>
      <w:r w:rsidR="000E4FB4">
        <w:fldChar w:fldCharType="separate"/>
      </w:r>
      <w:r w:rsidR="002F2E38">
        <w:t xml:space="preserve">Table </w:t>
      </w:r>
      <w:r w:rsidR="002F2E38">
        <w:rPr>
          <w:noProof/>
        </w:rPr>
        <w:t>3</w:t>
      </w:r>
      <w:r w:rsidR="000E4FB4">
        <w:fldChar w:fldCharType="end"/>
      </w:r>
      <w:r w:rsidR="000E4FB4">
        <w:t>.</w:t>
      </w:r>
    </w:p>
    <w:p w:rsidR="009E6C29" w:rsidRDefault="009E6C29" w:rsidP="006616EE">
      <w:pPr>
        <w:pStyle w:val="MJAnormal"/>
      </w:pPr>
    </w:p>
    <w:p w:rsidR="000E4FB4" w:rsidRDefault="000E4FB4" w:rsidP="000E4FB4">
      <w:pPr>
        <w:pStyle w:val="Caption"/>
      </w:pPr>
      <w:bookmarkStart w:id="55" w:name="_Ref455052177"/>
      <w:bookmarkStart w:id="56" w:name="_Toc481964497"/>
      <w:bookmarkStart w:id="57" w:name="_Toc494892432"/>
      <w:r>
        <w:t xml:space="preserve">Table </w:t>
      </w:r>
      <w:fldSimple w:instr=" SEQ Table \* ARABIC ">
        <w:r w:rsidR="002F2E38">
          <w:rPr>
            <w:noProof/>
          </w:rPr>
          <w:t>3</w:t>
        </w:r>
      </w:fldSimple>
      <w:bookmarkEnd w:id="55"/>
      <w:r w:rsidR="00DA0FE1">
        <w:rPr>
          <w:noProof/>
        </w:rPr>
        <w:t>:</w:t>
      </w:r>
      <w:r>
        <w:t xml:space="preserve"> </w:t>
      </w:r>
      <w:r w:rsidR="00C20C8E">
        <w:t>Key assumptions used to estimate local and imported shares of intermediate products</w:t>
      </w:r>
      <w:bookmarkEnd w:id="56"/>
      <w:bookmarkEnd w:id="57"/>
    </w:p>
    <w:tbl>
      <w:tblPr>
        <w:tblStyle w:val="MJATable1"/>
        <w:tblW w:w="0" w:type="auto"/>
        <w:tblLayout w:type="fixed"/>
        <w:tblLook w:val="04A0" w:firstRow="1" w:lastRow="0" w:firstColumn="1" w:lastColumn="0" w:noHBand="0" w:noVBand="1"/>
      </w:tblPr>
      <w:tblGrid>
        <w:gridCol w:w="3119"/>
        <w:gridCol w:w="1559"/>
        <w:gridCol w:w="3826"/>
      </w:tblGrid>
      <w:tr w:rsidR="00BB5EBC" w:rsidTr="00C20C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tcPr>
          <w:p w:rsidR="00BB5EBC" w:rsidRPr="00B93ECF" w:rsidRDefault="00BB5EBC" w:rsidP="002E0115">
            <w:pPr>
              <w:rPr>
                <w:szCs w:val="20"/>
              </w:rPr>
            </w:pPr>
            <w:r>
              <w:rPr>
                <w:szCs w:val="20"/>
              </w:rPr>
              <w:t>Key variable</w:t>
            </w:r>
          </w:p>
        </w:tc>
        <w:tc>
          <w:tcPr>
            <w:tcW w:w="1559" w:type="dxa"/>
          </w:tcPr>
          <w:p w:rsidR="00BB5EBC" w:rsidRPr="00B93ECF" w:rsidRDefault="00BB5EBC" w:rsidP="002E0115">
            <w:pPr>
              <w:cnfStyle w:val="100000000000" w:firstRow="1" w:lastRow="0" w:firstColumn="0" w:lastColumn="0" w:oddVBand="0" w:evenVBand="0" w:oddHBand="0" w:evenHBand="0" w:firstRowFirstColumn="0" w:firstRowLastColumn="0" w:lastRowFirstColumn="0" w:lastRowLastColumn="0"/>
              <w:rPr>
                <w:szCs w:val="20"/>
              </w:rPr>
            </w:pPr>
            <w:r>
              <w:rPr>
                <w:szCs w:val="20"/>
              </w:rPr>
              <w:t>Assumption</w:t>
            </w:r>
          </w:p>
        </w:tc>
        <w:tc>
          <w:tcPr>
            <w:tcW w:w="3826" w:type="dxa"/>
          </w:tcPr>
          <w:p w:rsidR="00BB5EBC" w:rsidRDefault="00BB5EBC" w:rsidP="002E0115">
            <w:pPr>
              <w:cnfStyle w:val="100000000000" w:firstRow="1" w:lastRow="0" w:firstColumn="0" w:lastColumn="0" w:oddVBand="0" w:evenVBand="0" w:oddHBand="0" w:evenHBand="0" w:firstRowFirstColumn="0" w:firstRowLastColumn="0" w:lastRowFirstColumn="0" w:lastRowLastColumn="0"/>
              <w:rPr>
                <w:szCs w:val="20"/>
              </w:rPr>
            </w:pPr>
            <w:r>
              <w:rPr>
                <w:szCs w:val="20"/>
              </w:rPr>
              <w:t>Source of assumption</w:t>
            </w:r>
          </w:p>
        </w:tc>
      </w:tr>
      <w:tr w:rsidR="00BB5EBC" w:rsidTr="00C20C8E">
        <w:tc>
          <w:tcPr>
            <w:cnfStyle w:val="001000000000" w:firstRow="0" w:lastRow="0" w:firstColumn="1" w:lastColumn="0" w:oddVBand="0" w:evenVBand="0" w:oddHBand="0" w:evenHBand="0" w:firstRowFirstColumn="0" w:firstRowLastColumn="0" w:lastRowFirstColumn="0" w:lastRowLastColumn="0"/>
            <w:tcW w:w="3119" w:type="dxa"/>
            <w:vAlign w:val="top"/>
          </w:tcPr>
          <w:p w:rsidR="00BB5EBC" w:rsidRPr="00B93ECF" w:rsidRDefault="00BB5EBC" w:rsidP="00BB5EBC">
            <w:pPr>
              <w:rPr>
                <w:rFonts w:ascii="Calibri" w:hAnsi="Calibri"/>
                <w:color w:val="000000"/>
                <w:szCs w:val="20"/>
              </w:rPr>
            </w:pPr>
            <w:r>
              <w:rPr>
                <w:rFonts w:ascii="Calibri" w:hAnsi="Calibri"/>
                <w:color w:val="000000"/>
                <w:szCs w:val="20"/>
              </w:rPr>
              <w:t>Fuel cost as a % of land-forming and excavation costs</w:t>
            </w:r>
          </w:p>
        </w:tc>
        <w:tc>
          <w:tcPr>
            <w:tcW w:w="1559" w:type="dxa"/>
            <w:vAlign w:val="top"/>
          </w:tcPr>
          <w:p w:rsidR="00BB5EBC" w:rsidRPr="00B93ECF" w:rsidRDefault="00BB5EBC" w:rsidP="00C20C8E">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Pr>
                <w:rFonts w:ascii="Calibri" w:hAnsi="Calibri"/>
                <w:color w:val="000000"/>
                <w:szCs w:val="20"/>
              </w:rPr>
              <w:t>23 per cent.</w:t>
            </w:r>
          </w:p>
        </w:tc>
        <w:tc>
          <w:tcPr>
            <w:tcW w:w="3826" w:type="dxa"/>
            <w:vAlign w:val="top"/>
          </w:tcPr>
          <w:p w:rsidR="00BB5EBC" w:rsidRDefault="00BB5EBC" w:rsidP="00BB5EB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Pr>
                <w:rFonts w:ascii="Calibri" w:hAnsi="Calibri"/>
                <w:color w:val="000000"/>
                <w:szCs w:val="20"/>
              </w:rPr>
              <w:t>This is based on detailed analysis of actual OFIEP expenditures provided by the Department of Agriculture and Water</w:t>
            </w:r>
            <w:r w:rsidR="00633718">
              <w:rPr>
                <w:rFonts w:ascii="Calibri" w:hAnsi="Calibri"/>
                <w:color w:val="000000"/>
                <w:szCs w:val="20"/>
              </w:rPr>
              <w:t xml:space="preserve"> Resources</w:t>
            </w:r>
            <w:r>
              <w:rPr>
                <w:rFonts w:ascii="Calibri" w:hAnsi="Calibri"/>
                <w:color w:val="000000"/>
                <w:szCs w:val="20"/>
              </w:rPr>
              <w:t>.</w:t>
            </w:r>
          </w:p>
        </w:tc>
      </w:tr>
      <w:tr w:rsidR="00BB5EBC" w:rsidTr="00C20C8E">
        <w:tc>
          <w:tcPr>
            <w:cnfStyle w:val="001000000000" w:firstRow="0" w:lastRow="0" w:firstColumn="1" w:lastColumn="0" w:oddVBand="0" w:evenVBand="0" w:oddHBand="0" w:evenHBand="0" w:firstRowFirstColumn="0" w:firstRowLastColumn="0" w:lastRowFirstColumn="0" w:lastRowLastColumn="0"/>
            <w:tcW w:w="3119" w:type="dxa"/>
            <w:vAlign w:val="top"/>
          </w:tcPr>
          <w:p w:rsidR="00BB5EBC" w:rsidRPr="00B93ECF" w:rsidRDefault="00BB5EBC" w:rsidP="00BB5EBC">
            <w:pPr>
              <w:rPr>
                <w:rFonts w:ascii="Calibri" w:hAnsi="Calibri"/>
                <w:color w:val="000000"/>
                <w:szCs w:val="20"/>
              </w:rPr>
            </w:pPr>
            <w:r>
              <w:rPr>
                <w:rFonts w:ascii="Calibri" w:hAnsi="Calibri"/>
                <w:color w:val="000000"/>
                <w:szCs w:val="20"/>
              </w:rPr>
              <w:t>Machinery costs – local</w:t>
            </w:r>
            <w:r w:rsidR="002A12A9">
              <w:rPr>
                <w:rFonts w:ascii="Calibri" w:hAnsi="Calibri"/>
                <w:color w:val="000000"/>
                <w:szCs w:val="20"/>
              </w:rPr>
              <w:t xml:space="preserve"> and regional</w:t>
            </w:r>
            <w:r>
              <w:rPr>
                <w:rFonts w:ascii="Calibri" w:hAnsi="Calibri"/>
                <w:color w:val="000000"/>
                <w:szCs w:val="20"/>
              </w:rPr>
              <w:t xml:space="preserve"> %</w:t>
            </w:r>
          </w:p>
        </w:tc>
        <w:tc>
          <w:tcPr>
            <w:tcW w:w="1559" w:type="dxa"/>
            <w:vAlign w:val="top"/>
          </w:tcPr>
          <w:p w:rsidR="00BB5EBC" w:rsidRPr="00B93ECF" w:rsidRDefault="00BB5EBC" w:rsidP="00C20C8E">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Pr>
                <w:rFonts w:ascii="Calibri" w:hAnsi="Calibri"/>
                <w:color w:val="000000"/>
                <w:szCs w:val="20"/>
              </w:rPr>
              <w:t>50 per cent</w:t>
            </w:r>
          </w:p>
        </w:tc>
        <w:tc>
          <w:tcPr>
            <w:tcW w:w="3826" w:type="dxa"/>
            <w:vAlign w:val="top"/>
          </w:tcPr>
          <w:p w:rsidR="00BB5EBC" w:rsidRPr="00B93ECF" w:rsidRDefault="00BB5EBC" w:rsidP="00BB5EBC">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Pr>
                <w:rFonts w:ascii="Calibri" w:hAnsi="Calibri"/>
                <w:color w:val="000000"/>
                <w:szCs w:val="20"/>
              </w:rPr>
              <w:t xml:space="preserve">Assumes that half of the cost </w:t>
            </w:r>
            <w:r w:rsidR="00C20C8E">
              <w:rPr>
                <w:rFonts w:ascii="Calibri" w:hAnsi="Calibri"/>
                <w:color w:val="000000"/>
                <w:szCs w:val="20"/>
              </w:rPr>
              <w:t xml:space="preserve">of machinery </w:t>
            </w:r>
            <w:r>
              <w:rPr>
                <w:rFonts w:ascii="Calibri" w:hAnsi="Calibri"/>
                <w:color w:val="000000"/>
                <w:szCs w:val="20"/>
              </w:rPr>
              <w:t>is repairs and maintenance which is sourced locally and half of the cost relates to new capital equipment which is imported into MIA and MDB.</w:t>
            </w:r>
          </w:p>
        </w:tc>
      </w:tr>
      <w:tr w:rsidR="002A12A9" w:rsidTr="00C20C8E">
        <w:tc>
          <w:tcPr>
            <w:cnfStyle w:val="001000000000" w:firstRow="0" w:lastRow="0" w:firstColumn="1" w:lastColumn="0" w:oddVBand="0" w:evenVBand="0" w:oddHBand="0" w:evenHBand="0" w:firstRowFirstColumn="0" w:firstRowLastColumn="0" w:lastRowFirstColumn="0" w:lastRowLastColumn="0"/>
            <w:tcW w:w="3119" w:type="dxa"/>
            <w:vAlign w:val="top"/>
          </w:tcPr>
          <w:p w:rsidR="002A12A9" w:rsidRPr="00B93ECF" w:rsidRDefault="002A12A9" w:rsidP="002A12A9">
            <w:pPr>
              <w:rPr>
                <w:rFonts w:ascii="Calibri" w:hAnsi="Calibri"/>
                <w:color w:val="000000"/>
                <w:szCs w:val="20"/>
              </w:rPr>
            </w:pPr>
            <w:r>
              <w:rPr>
                <w:rFonts w:ascii="Calibri" w:hAnsi="Calibri"/>
                <w:color w:val="000000"/>
                <w:szCs w:val="20"/>
              </w:rPr>
              <w:t>Labour costs for installation – local and regional %</w:t>
            </w:r>
          </w:p>
        </w:tc>
        <w:tc>
          <w:tcPr>
            <w:tcW w:w="1559" w:type="dxa"/>
            <w:vAlign w:val="top"/>
          </w:tcPr>
          <w:p w:rsidR="002A12A9" w:rsidRPr="00B93ECF" w:rsidRDefault="002A12A9" w:rsidP="00C20C8E">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Pr>
                <w:rFonts w:ascii="Calibri" w:hAnsi="Calibri"/>
                <w:color w:val="000000"/>
                <w:szCs w:val="20"/>
              </w:rPr>
              <w:t>Mostly 100%</w:t>
            </w:r>
          </w:p>
        </w:tc>
        <w:tc>
          <w:tcPr>
            <w:tcW w:w="3826" w:type="dxa"/>
            <w:vAlign w:val="top"/>
          </w:tcPr>
          <w:p w:rsidR="002A12A9" w:rsidRPr="00B93ECF" w:rsidRDefault="002A12A9" w:rsidP="002A12A9">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Pr>
                <w:rFonts w:ascii="Calibri" w:hAnsi="Calibri"/>
                <w:color w:val="000000"/>
                <w:szCs w:val="20"/>
              </w:rPr>
              <w:t xml:space="preserve">In most cases installation costs are assumed to be 100 per cent within the MIA. </w:t>
            </w:r>
            <w:r w:rsidR="00C20C8E">
              <w:rPr>
                <w:rFonts w:ascii="Calibri" w:hAnsi="Calibri"/>
                <w:color w:val="000000"/>
                <w:szCs w:val="20"/>
              </w:rPr>
              <w:t xml:space="preserve">In some cases, </w:t>
            </w:r>
            <w:r>
              <w:rPr>
                <w:rFonts w:ascii="Calibri" w:hAnsi="Calibri"/>
                <w:color w:val="000000"/>
                <w:szCs w:val="20"/>
              </w:rPr>
              <w:t xml:space="preserve">some </w:t>
            </w:r>
            <w:r w:rsidR="00C20C8E">
              <w:rPr>
                <w:rFonts w:ascii="Calibri" w:hAnsi="Calibri"/>
                <w:color w:val="000000"/>
                <w:szCs w:val="20"/>
              </w:rPr>
              <w:t>are</w:t>
            </w:r>
            <w:r>
              <w:rPr>
                <w:rFonts w:ascii="Calibri" w:hAnsi="Calibri"/>
                <w:color w:val="000000"/>
                <w:szCs w:val="20"/>
              </w:rPr>
              <w:t xml:space="preserve"> located outside of the MIA but within the MDB.</w:t>
            </w:r>
          </w:p>
        </w:tc>
      </w:tr>
      <w:tr w:rsidR="002A12A9" w:rsidTr="00C20C8E">
        <w:tc>
          <w:tcPr>
            <w:cnfStyle w:val="001000000000" w:firstRow="0" w:lastRow="0" w:firstColumn="1" w:lastColumn="0" w:oddVBand="0" w:evenVBand="0" w:oddHBand="0" w:evenHBand="0" w:firstRowFirstColumn="0" w:firstRowLastColumn="0" w:lastRowFirstColumn="0" w:lastRowLastColumn="0"/>
            <w:tcW w:w="3119" w:type="dxa"/>
            <w:vAlign w:val="top"/>
          </w:tcPr>
          <w:p w:rsidR="002A12A9" w:rsidRPr="00B93ECF" w:rsidRDefault="002A12A9" w:rsidP="002A12A9">
            <w:pPr>
              <w:rPr>
                <w:rFonts w:ascii="Calibri" w:hAnsi="Calibri"/>
                <w:color w:val="000000"/>
                <w:szCs w:val="20"/>
              </w:rPr>
            </w:pPr>
            <w:r>
              <w:rPr>
                <w:rFonts w:ascii="Calibri" w:hAnsi="Calibri"/>
                <w:color w:val="000000"/>
                <w:szCs w:val="20"/>
              </w:rPr>
              <w:t>Retail gross margin on materials</w:t>
            </w:r>
            <w:r w:rsidR="00C20C8E">
              <w:rPr>
                <w:rFonts w:ascii="Calibri" w:hAnsi="Calibri"/>
                <w:color w:val="000000"/>
                <w:szCs w:val="20"/>
              </w:rPr>
              <w:t xml:space="preserve"> – local/regional</w:t>
            </w:r>
          </w:p>
        </w:tc>
        <w:tc>
          <w:tcPr>
            <w:tcW w:w="1559" w:type="dxa"/>
            <w:vAlign w:val="top"/>
          </w:tcPr>
          <w:p w:rsidR="002A12A9" w:rsidRPr="00B93ECF" w:rsidRDefault="002A12A9" w:rsidP="00C20C8E">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Pr>
                <w:rFonts w:ascii="Calibri" w:hAnsi="Calibri"/>
                <w:color w:val="000000"/>
                <w:szCs w:val="20"/>
              </w:rPr>
              <w:t>40 per cent</w:t>
            </w:r>
          </w:p>
        </w:tc>
        <w:tc>
          <w:tcPr>
            <w:tcW w:w="3826" w:type="dxa"/>
            <w:vAlign w:val="top"/>
          </w:tcPr>
          <w:p w:rsidR="002A12A9" w:rsidRPr="00B93ECF" w:rsidRDefault="002A12A9" w:rsidP="002A12A9">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Pr>
                <w:rFonts w:ascii="Calibri" w:hAnsi="Calibri"/>
                <w:color w:val="000000"/>
                <w:szCs w:val="20"/>
              </w:rPr>
              <w:t xml:space="preserve">This takes into account the distributors gross margin as estimated in RBA (2012), </w:t>
            </w:r>
            <w:r>
              <w:t>Costs and Margins in the Retail Supply Chain, Bulletin, June Quarter 2012</w:t>
            </w:r>
            <w:r w:rsidR="00C20C8E">
              <w:t>, page 16</w:t>
            </w:r>
            <w:r>
              <w:t>. A small deduction from the RBA figure (around 5%) is incorporated to allow for transport into the MIA/MDB region.</w:t>
            </w:r>
          </w:p>
        </w:tc>
      </w:tr>
      <w:tr w:rsidR="002A12A9" w:rsidRPr="00B92D05" w:rsidTr="00C20C8E">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auto"/>
            </w:tcBorders>
            <w:vAlign w:val="top"/>
          </w:tcPr>
          <w:p w:rsidR="002A12A9" w:rsidRPr="00B93ECF" w:rsidRDefault="002A12A9" w:rsidP="002A12A9">
            <w:pPr>
              <w:rPr>
                <w:rFonts w:ascii="Calibri" w:hAnsi="Calibri"/>
                <w:color w:val="000000"/>
                <w:szCs w:val="20"/>
              </w:rPr>
            </w:pPr>
            <w:r>
              <w:rPr>
                <w:rFonts w:ascii="Calibri" w:hAnsi="Calibri"/>
                <w:color w:val="000000"/>
                <w:szCs w:val="20"/>
              </w:rPr>
              <w:t>Fuel retail margin</w:t>
            </w:r>
            <w:r w:rsidR="00C20C8E">
              <w:rPr>
                <w:rFonts w:ascii="Calibri" w:hAnsi="Calibri"/>
                <w:color w:val="000000"/>
                <w:szCs w:val="20"/>
              </w:rPr>
              <w:t xml:space="preserve"> – local/regional</w:t>
            </w:r>
          </w:p>
        </w:tc>
        <w:tc>
          <w:tcPr>
            <w:tcW w:w="1559" w:type="dxa"/>
            <w:tcBorders>
              <w:bottom w:val="single" w:sz="4" w:space="0" w:color="auto"/>
            </w:tcBorders>
            <w:vAlign w:val="top"/>
          </w:tcPr>
          <w:p w:rsidR="002A12A9" w:rsidRPr="00B93ECF" w:rsidRDefault="002A12A9" w:rsidP="00C20C8E">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Pr>
                <w:rFonts w:ascii="Calibri" w:hAnsi="Calibri"/>
                <w:color w:val="000000"/>
                <w:szCs w:val="20"/>
              </w:rPr>
              <w:t>5 per cent</w:t>
            </w:r>
          </w:p>
        </w:tc>
        <w:tc>
          <w:tcPr>
            <w:tcW w:w="3826" w:type="dxa"/>
            <w:tcBorders>
              <w:bottom w:val="single" w:sz="4" w:space="0" w:color="auto"/>
            </w:tcBorders>
            <w:vAlign w:val="top"/>
          </w:tcPr>
          <w:p w:rsidR="00C20C8E" w:rsidRPr="00B93ECF" w:rsidRDefault="00C20C8E" w:rsidP="002A12A9">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Pr>
                <w:rFonts w:ascii="Calibri" w:hAnsi="Calibri"/>
                <w:color w:val="000000"/>
                <w:szCs w:val="20"/>
              </w:rPr>
              <w:t xml:space="preserve">This is based on </w:t>
            </w:r>
            <w:r w:rsidRPr="00C20C8E">
              <w:rPr>
                <w:rFonts w:ascii="Calibri" w:hAnsi="Calibri"/>
                <w:color w:val="000000"/>
                <w:szCs w:val="20"/>
              </w:rPr>
              <w:t xml:space="preserve">Australian Institute of Petroleum (2016), Facts about the Australian Retail Fuel Market &amp; Prices, </w:t>
            </w:r>
            <w:hyperlink r:id="rId28" w:history="1">
              <w:r w:rsidRPr="00C20C8E">
                <w:rPr>
                  <w:rFonts w:ascii="Calibri" w:hAnsi="Calibri"/>
                  <w:color w:val="000000"/>
                </w:rPr>
                <w:t>http://www.aip.com.au/pricing/facts/Facts_About_the_Australian_Retail_Fuels_Market_and_Prices.htm</w:t>
              </w:r>
            </w:hyperlink>
            <w:r w:rsidRPr="00C20C8E">
              <w:rPr>
                <w:rFonts w:ascii="Calibri" w:hAnsi="Calibri"/>
                <w:color w:val="000000"/>
                <w:szCs w:val="20"/>
              </w:rPr>
              <w:t>, accessed August 2016.</w:t>
            </w:r>
          </w:p>
        </w:tc>
      </w:tr>
    </w:tbl>
    <w:p w:rsidR="00627E39" w:rsidRDefault="00FE5D05" w:rsidP="00627E39">
      <w:pPr>
        <w:pStyle w:val="MJAheading2"/>
      </w:pPr>
      <w:bookmarkStart w:id="58" w:name="_Toc482099154"/>
      <w:bookmarkStart w:id="59" w:name="_Toc494892263"/>
      <w:r>
        <w:t>Dynamic approach</w:t>
      </w:r>
      <w:bookmarkEnd w:id="58"/>
      <w:bookmarkEnd w:id="59"/>
    </w:p>
    <w:p w:rsidR="00EF4929" w:rsidRDefault="00EF4929" w:rsidP="001A73E8">
      <w:pPr>
        <w:pStyle w:val="MJAnormal"/>
      </w:pPr>
      <w:r>
        <w:t>The dynamic approach estimates local value added by taking into account</w:t>
      </w:r>
      <w:r w:rsidR="00CE5249">
        <w:t xml:space="preserve"> the initial expenditures and the flow-on benefits for the local economy. </w:t>
      </w:r>
    </w:p>
    <w:p w:rsidR="00BE5696" w:rsidRDefault="00BE5696" w:rsidP="001A73E8">
      <w:pPr>
        <w:pStyle w:val="MJAnormal"/>
      </w:pPr>
      <w:r>
        <w:t>Flow-</w:t>
      </w:r>
      <w:r w:rsidR="00282429">
        <w:t>on benefits through the local economy can occur as businesses and households that receive payments for goods and services provided in the construction phases purchase other goods and services. This trickle down is often referred to as the multiplier e</w:t>
      </w:r>
      <w:r>
        <w:t>ffect. By definition this flow-</w:t>
      </w:r>
      <w:r w:rsidR="00282429">
        <w:t>on become</w:t>
      </w:r>
      <w:r>
        <w:t>s</w:t>
      </w:r>
      <w:r w:rsidR="00282429">
        <w:t xml:space="preserve"> smaller and small</w:t>
      </w:r>
      <w:r w:rsidR="00633718">
        <w:t>er</w:t>
      </w:r>
      <w:r w:rsidR="00282429">
        <w:t xml:space="preserve"> residuals of the original project </w:t>
      </w:r>
      <w:r w:rsidR="006A7F38">
        <w:t>value added.</w:t>
      </w:r>
      <w:r>
        <w:t xml:space="preserve"> </w:t>
      </w:r>
      <w:r w:rsidR="006A7F38">
        <w:t xml:space="preserve">Care is required </w:t>
      </w:r>
      <w:r w:rsidRPr="000F568F">
        <w:t>considering</w:t>
      </w:r>
      <w:r>
        <w:t xml:space="preserve"> </w:t>
      </w:r>
      <w:r w:rsidR="006A7F38">
        <w:t>multiplier effe</w:t>
      </w:r>
      <w:r>
        <w:t>cts on</w:t>
      </w:r>
      <w:r w:rsidR="001A73E8">
        <w:t xml:space="preserve"> the direct value added</w:t>
      </w:r>
      <w:r>
        <w:t xml:space="preserve"> </w:t>
      </w:r>
      <w:r w:rsidR="000F568F">
        <w:t xml:space="preserve">in the absence </w:t>
      </w:r>
      <w:r>
        <w:t>of</w:t>
      </w:r>
      <w:r w:rsidR="000F568F">
        <w:t xml:space="preserve"> accounting for</w:t>
      </w:r>
      <w:r>
        <w:t xml:space="preserve"> wider economy </w:t>
      </w:r>
      <w:r w:rsidR="00347830">
        <w:t>effect</w:t>
      </w:r>
      <w:r>
        <w:t>s</w:t>
      </w:r>
      <w:r w:rsidR="00EF4929" w:rsidRPr="00EF4929">
        <w:t>,</w:t>
      </w:r>
      <w:r>
        <w:t xml:space="preserve"> namely:</w:t>
      </w:r>
    </w:p>
    <w:p w:rsidR="00BE5696" w:rsidRDefault="00BE5696" w:rsidP="00BE5696">
      <w:pPr>
        <w:pStyle w:val="MJAbulletnormal"/>
      </w:pPr>
      <w:r>
        <w:t>opportunity costs to other part</w:t>
      </w:r>
      <w:r w:rsidR="001377D3">
        <w:t>s</w:t>
      </w:r>
      <w:r>
        <w:t xml:space="preserve"> of the economy need to be accounted for — simple multipliers can imply flow-on resource gains are costless when they are not;</w:t>
      </w:r>
      <w:r w:rsidR="009C1A62">
        <w:t xml:space="preserve"> and</w:t>
      </w:r>
    </w:p>
    <w:p w:rsidR="00BE5696" w:rsidRPr="001A73E8" w:rsidRDefault="00BE5696" w:rsidP="001A73E8">
      <w:pPr>
        <w:pStyle w:val="MJAbulletnormal"/>
      </w:pPr>
      <w:r>
        <w:t>flow-on effects through the economy can affect the relative prices of goods and services and these can lead to complex changes in the behaviours within the economy that can have both positive and negative effects on net economic outcomes</w:t>
      </w:r>
      <w:r w:rsidR="009C1A62">
        <w:t>.</w:t>
      </w:r>
      <w:r>
        <w:t xml:space="preserve"> </w:t>
      </w:r>
    </w:p>
    <w:p w:rsidR="003E1D35" w:rsidRDefault="006A7F38" w:rsidP="003E1D35">
      <w:pPr>
        <w:pStyle w:val="MJAnormal"/>
      </w:pPr>
      <w:r>
        <w:t>To address these limitations</w:t>
      </w:r>
      <w:r w:rsidR="009C1A62">
        <w:t>,</w:t>
      </w:r>
      <w:r>
        <w:t xml:space="preserve"> we apply the VU TERM model</w:t>
      </w:r>
      <w:r w:rsidR="00707A6B">
        <w:t xml:space="preserve"> to trace the flow-</w:t>
      </w:r>
      <w:r>
        <w:t xml:space="preserve">on local economy </w:t>
      </w:r>
      <w:r w:rsidRPr="00385502">
        <w:t>benefits o</w:t>
      </w:r>
      <w:bookmarkStart w:id="60" w:name="_Ref454888465"/>
      <w:r w:rsidR="003E1D35" w:rsidRPr="007B681A">
        <w:t>f the PIIOP and OFIEP programs. In this study</w:t>
      </w:r>
      <w:r w:rsidR="009C1A62" w:rsidRPr="007B681A">
        <w:t>,</w:t>
      </w:r>
      <w:r w:rsidR="003E1D35" w:rsidRPr="007B681A">
        <w:t xml:space="preserve"> local gross value added estimates for PIIOP and OFIEP are imputed </w:t>
      </w:r>
      <w:r w:rsidR="00B16C23" w:rsidRPr="00061E10">
        <w:t>via</w:t>
      </w:r>
      <w:r w:rsidR="003E1D35" w:rsidRPr="007B681A">
        <w:t xml:space="preserve"> ‘shock’ to the VU TERM model. The model then calculates the regional effects of the shock as second</w:t>
      </w:r>
      <w:r w:rsidR="00633718">
        <w:t>,</w:t>
      </w:r>
      <w:r w:rsidR="003E1D35" w:rsidRPr="007B681A">
        <w:t xml:space="preserve"> third round and so forth exchanges occur through the</w:t>
      </w:r>
      <w:r w:rsidR="003E1D35">
        <w:t xml:space="preserve"> economy. </w:t>
      </w:r>
      <w:r w:rsidR="00B01CCF">
        <w:t xml:space="preserve">We note </w:t>
      </w:r>
      <w:r w:rsidR="00B16C23">
        <w:t xml:space="preserve">VU TERM also </w:t>
      </w:r>
      <w:r w:rsidR="00B01CCF">
        <w:t xml:space="preserve">implicitly </w:t>
      </w:r>
      <w:r w:rsidR="00B16C23">
        <w:t xml:space="preserve">accounts for dynamic economy </w:t>
      </w:r>
      <w:r w:rsidR="00347830">
        <w:t>effect</w:t>
      </w:r>
      <w:r w:rsidR="00B16C23">
        <w:t xml:space="preserve">s within </w:t>
      </w:r>
      <w:r w:rsidR="00B01CCF">
        <w:t xml:space="preserve">the program </w:t>
      </w:r>
      <w:r w:rsidR="00B16C23">
        <w:t>f</w:t>
      </w:r>
      <w:r w:rsidR="00B01CCF">
        <w:t>irst round expenditures (such a</w:t>
      </w:r>
      <w:r w:rsidR="00B16C23">
        <w:t>s</w:t>
      </w:r>
      <w:r w:rsidR="00B01CCF">
        <w:t xml:space="preserve"> </w:t>
      </w:r>
      <w:r w:rsidR="00B16C23">
        <w:t>changes in input prices</w:t>
      </w:r>
      <w:r w:rsidR="00B01CCF">
        <w:t>)</w:t>
      </w:r>
      <w:r w:rsidR="00B16C23">
        <w:t xml:space="preserve"> estimates th</w:t>
      </w:r>
      <w:r w:rsidR="00B01CCF">
        <w:t xml:space="preserve">at cannot be accounted for in first round </w:t>
      </w:r>
      <w:r w:rsidR="007B681A">
        <w:t>static</w:t>
      </w:r>
      <w:r w:rsidR="00B01CCF">
        <w:t xml:space="preserve"> estimates calculated in this study.</w:t>
      </w:r>
    </w:p>
    <w:p w:rsidR="003E1D35" w:rsidRDefault="003E1D35" w:rsidP="003E1D35">
      <w:pPr>
        <w:pStyle w:val="MJAnormal"/>
      </w:pPr>
      <w:r>
        <w:t xml:space="preserve">VU-TERM is an economy-wide </w:t>
      </w:r>
      <w:r w:rsidR="009C1A62">
        <w:t>computable general equilibrium (</w:t>
      </w:r>
      <w:r>
        <w:t>CGE</w:t>
      </w:r>
      <w:r w:rsidR="009C1A62">
        <w:t>)</w:t>
      </w:r>
      <w:r>
        <w:t xml:space="preserve"> model that also includes small-region representation. Unlike an input-output model which solves either for quantities or for prices, but not both at once, VU TERM solves for both prices and quantities together. </w:t>
      </w:r>
    </w:p>
    <w:p w:rsidR="003E1D35" w:rsidRDefault="003E1D35" w:rsidP="003E1D35">
      <w:pPr>
        <w:pStyle w:val="MJAnormal"/>
      </w:pPr>
      <w:r>
        <w:t xml:space="preserve">CGE models can be either comparative static or dynamic. Comparative static models are easier to run than dynamic models. However, comparative static results are in some respects harder to explain. Results are reported as changes from a base case – at some point in the future. The only base case defined in a comparative static model is the initial database. </w:t>
      </w:r>
    </w:p>
    <w:p w:rsidR="003E1D35" w:rsidRDefault="003E1D35" w:rsidP="003E1D35">
      <w:pPr>
        <w:pStyle w:val="MJAnormal"/>
      </w:pPr>
      <w:r>
        <w:t xml:space="preserve">VU TERM is a dynamic model in which a forecast baseline is applied. This may include forecast increases in macroeconomic variables, technological change and taste changes. For example, agricultural productivity historically has grown by 1 to 2% per annum, so productivity growth of this magnitude is imposed on the forecast baseline. </w:t>
      </w:r>
    </w:p>
    <w:p w:rsidR="000E4FB4" w:rsidRDefault="003E1D35" w:rsidP="006616EE">
      <w:pPr>
        <w:pStyle w:val="MJAnormal"/>
      </w:pPr>
      <w:r>
        <w:t>In this study</w:t>
      </w:r>
      <w:r w:rsidR="009C1A62">
        <w:t>,</w:t>
      </w:r>
      <w:r>
        <w:t xml:space="preserve"> results in a dynamic model are reported as cumulative deviations from the forecast baseline. That is, the modelled </w:t>
      </w:r>
      <w:r w:rsidR="00347830">
        <w:t>effect</w:t>
      </w:r>
      <w:r>
        <w:t xml:space="preserve">s of a farm productivity study will be the marginal contribution of productivity shocks ascribed in addition to those of the forecast baseline. Dynamic models trace the effects of ascribed direct </w:t>
      </w:r>
      <w:r w:rsidR="00347830">
        <w:t>effect</w:t>
      </w:r>
      <w:r>
        <w:t xml:space="preserve">s across time periods. The theoretical basis of dynamics is in linkages between investment and capital across time, and the balance of trade and net foreign liabilities. Investment and balance of trade outcomes are flows that </w:t>
      </w:r>
      <w:r w:rsidR="00FB6021">
        <w:t xml:space="preserve">are included in a </w:t>
      </w:r>
      <w:r>
        <w:t>comparative static model. Capital and net foreign liabilities are stocks that require a dynamic model.</w:t>
      </w:r>
    </w:p>
    <w:p w:rsidR="00EC47A2" w:rsidRDefault="00EC47A2" w:rsidP="006616EE">
      <w:pPr>
        <w:pStyle w:val="MJAnormal"/>
      </w:pPr>
    </w:p>
    <w:p w:rsidR="00D150F2" w:rsidRDefault="00D150F2">
      <w:pPr>
        <w:rPr>
          <w:rFonts w:ascii="Times New Roman" w:eastAsia="Times New Roman" w:hAnsi="Times New Roman" w:cs="Times New Roman"/>
        </w:rPr>
      </w:pPr>
      <w:r>
        <w:br w:type="page"/>
      </w:r>
    </w:p>
    <w:p w:rsidR="00055771" w:rsidRDefault="002F769C" w:rsidP="00061E10">
      <w:pPr>
        <w:pStyle w:val="MJAHeading10"/>
      </w:pPr>
      <w:bookmarkStart w:id="61" w:name="_Toc483310600"/>
      <w:bookmarkStart w:id="62" w:name="_Toc483386957"/>
      <w:bookmarkStart w:id="63" w:name="_Toc483310601"/>
      <w:bookmarkStart w:id="64" w:name="_Toc483386958"/>
      <w:bookmarkStart w:id="65" w:name="_Toc483310602"/>
      <w:bookmarkStart w:id="66" w:name="_Toc483386959"/>
      <w:bookmarkStart w:id="67" w:name="_Toc483310603"/>
      <w:bookmarkStart w:id="68" w:name="_Toc483386960"/>
      <w:bookmarkStart w:id="69" w:name="_Toc483310604"/>
      <w:bookmarkStart w:id="70" w:name="_Toc483386961"/>
      <w:bookmarkStart w:id="71" w:name="_Toc483310704"/>
      <w:bookmarkStart w:id="72" w:name="_Toc483387061"/>
      <w:bookmarkStart w:id="73" w:name="_Toc483310705"/>
      <w:bookmarkStart w:id="74" w:name="_Toc483387062"/>
      <w:bookmarkStart w:id="75" w:name="_Toc483310730"/>
      <w:bookmarkStart w:id="76" w:name="_Toc483387087"/>
      <w:bookmarkStart w:id="77" w:name="_Toc483310731"/>
      <w:bookmarkStart w:id="78" w:name="_Toc483387088"/>
      <w:bookmarkStart w:id="79" w:name="_Toc483310756"/>
      <w:bookmarkStart w:id="80" w:name="_Toc483387113"/>
      <w:bookmarkStart w:id="81" w:name="_Toc483310757"/>
      <w:bookmarkStart w:id="82" w:name="_Toc483387114"/>
      <w:bookmarkStart w:id="83" w:name="_Toc483310758"/>
      <w:bookmarkStart w:id="84" w:name="_Toc483387115"/>
      <w:bookmarkStart w:id="85" w:name="_Toc483310786"/>
      <w:bookmarkStart w:id="86" w:name="_Toc483387143"/>
      <w:bookmarkStart w:id="87" w:name="_Toc483310787"/>
      <w:bookmarkStart w:id="88" w:name="_Toc483387144"/>
      <w:bookmarkStart w:id="89" w:name="_Toc483310788"/>
      <w:bookmarkStart w:id="90" w:name="_Toc483387145"/>
      <w:bookmarkStart w:id="91" w:name="_Toc483310825"/>
      <w:bookmarkStart w:id="92" w:name="_Toc483387182"/>
      <w:bookmarkStart w:id="93" w:name="_Toc483310862"/>
      <w:bookmarkStart w:id="94" w:name="_Toc483387219"/>
      <w:bookmarkStart w:id="95" w:name="_Toc482099156"/>
      <w:bookmarkStart w:id="96" w:name="_Toc494892264"/>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t>Static approach – local value added</w:t>
      </w:r>
      <w:bookmarkEnd w:id="95"/>
      <w:bookmarkEnd w:id="96"/>
    </w:p>
    <w:p w:rsidR="00C938A6" w:rsidRDefault="002F769C" w:rsidP="002F769C">
      <w:pPr>
        <w:pStyle w:val="MJAnormal"/>
        <w:rPr>
          <w:bCs/>
          <w:szCs w:val="20"/>
        </w:rPr>
      </w:pPr>
      <w:r>
        <w:t xml:space="preserve">In this section, local value added is estimated based on whether the final goods are sourced locally or imported into the local region. </w:t>
      </w:r>
      <w:r w:rsidR="00C938A6">
        <w:t xml:space="preserve">Consistent with section </w:t>
      </w:r>
      <w:r w:rsidR="00C938A6">
        <w:fldChar w:fldCharType="begin"/>
      </w:r>
      <w:r w:rsidR="00C938A6">
        <w:instrText xml:space="preserve"> REF _Ref477436080 \r \h </w:instrText>
      </w:r>
      <w:r w:rsidR="00C938A6">
        <w:fldChar w:fldCharType="separate"/>
      </w:r>
      <w:r w:rsidR="002F2E38">
        <w:t>4.2</w:t>
      </w:r>
      <w:r w:rsidR="00C938A6">
        <w:fldChar w:fldCharType="end"/>
      </w:r>
      <w:r w:rsidR="00C938A6">
        <w:t>, the value of local value added is estimated as the v</w:t>
      </w:r>
      <w:r w:rsidR="00C938A6">
        <w:rPr>
          <w:bCs/>
          <w:szCs w:val="20"/>
        </w:rPr>
        <w:t>alue of intermediate</w:t>
      </w:r>
      <w:r w:rsidR="00C938A6" w:rsidRPr="00D04164">
        <w:rPr>
          <w:bCs/>
          <w:szCs w:val="20"/>
        </w:rPr>
        <w:t xml:space="preserve"> </w:t>
      </w:r>
      <w:r w:rsidR="00C938A6">
        <w:rPr>
          <w:bCs/>
          <w:szCs w:val="20"/>
        </w:rPr>
        <w:t>goods and services inputs.</w:t>
      </w:r>
    </w:p>
    <w:p w:rsidR="002F769C" w:rsidRDefault="002F769C" w:rsidP="002F769C">
      <w:pPr>
        <w:pStyle w:val="MJAnormal"/>
      </w:pPr>
      <w:r>
        <w:t>To undertake this analysis, three regions have been defined from where goods and services are sourced:</w:t>
      </w:r>
    </w:p>
    <w:p w:rsidR="002F769C" w:rsidRDefault="002F769C" w:rsidP="002F769C">
      <w:pPr>
        <w:pStyle w:val="MJAbulletnormal"/>
      </w:pPr>
      <w:r>
        <w:t xml:space="preserve">within the MIA; </w:t>
      </w:r>
    </w:p>
    <w:p w:rsidR="002F769C" w:rsidRDefault="002F769C" w:rsidP="002F769C">
      <w:pPr>
        <w:pStyle w:val="MJAbulletnormal"/>
      </w:pPr>
      <w:r>
        <w:t>o</w:t>
      </w:r>
      <w:r w:rsidRPr="004B57BE">
        <w:t xml:space="preserve">utside MIA but within </w:t>
      </w:r>
      <w:r>
        <w:t>Murray Darling Basin (MDB); and</w:t>
      </w:r>
    </w:p>
    <w:p w:rsidR="002F769C" w:rsidRDefault="002F769C" w:rsidP="002F769C">
      <w:pPr>
        <w:pStyle w:val="MJAbulletnormal"/>
      </w:pPr>
      <w:r>
        <w:t xml:space="preserve">outside the MDB. </w:t>
      </w:r>
    </w:p>
    <w:p w:rsidR="00055771" w:rsidRDefault="002F769C" w:rsidP="00055771">
      <w:pPr>
        <w:pStyle w:val="MJAnormal"/>
      </w:pPr>
      <w:r w:rsidRPr="00BE5696">
        <w:t xml:space="preserve">The costs in this section have been presented as </w:t>
      </w:r>
      <w:r w:rsidR="00B90F89">
        <w:t>GST Exclusive</w:t>
      </w:r>
      <w:r w:rsidRPr="00BE5696">
        <w:t xml:space="preserve"> since revenue from GST is collected by the federal government and will not stay in any region for the purposes of this analysis.</w:t>
      </w:r>
      <w:r>
        <w:t xml:space="preserve"> </w:t>
      </w:r>
      <w:r w:rsidR="00055771" w:rsidRPr="00055771">
        <w:t xml:space="preserve"> </w:t>
      </w:r>
      <w:r w:rsidR="00055771">
        <w:t xml:space="preserve"> </w:t>
      </w:r>
    </w:p>
    <w:p w:rsidR="00FD3BB4" w:rsidRDefault="00FD3BB4" w:rsidP="00055771">
      <w:pPr>
        <w:pStyle w:val="MJAheading2"/>
      </w:pPr>
      <w:bookmarkStart w:id="97" w:name="_Toc482099157"/>
      <w:bookmarkStart w:id="98" w:name="_Toc494892265"/>
      <w:r>
        <w:t>Key Findings</w:t>
      </w:r>
      <w:bookmarkEnd w:id="97"/>
      <w:bookmarkEnd w:id="98"/>
    </w:p>
    <w:p w:rsidR="00FD3BB4" w:rsidRDefault="007B681A" w:rsidP="00061E10">
      <w:pPr>
        <w:pStyle w:val="MJAnormal"/>
      </w:pPr>
      <w:r>
        <w:t>The total value of PIIOP and OFIEP goods and services is $</w:t>
      </w:r>
      <w:r w:rsidR="004B248F">
        <w:t>387.9</w:t>
      </w:r>
      <w:r>
        <w:t xml:space="preserve"> million </w:t>
      </w:r>
      <w:r w:rsidR="004B248F">
        <w:t>(</w:t>
      </w:r>
      <w:r w:rsidR="00B90F89">
        <w:t>GST Exclusive</w:t>
      </w:r>
      <w:r w:rsidR="004B248F">
        <w:t xml:space="preserve">) </w:t>
      </w:r>
      <w:r>
        <w:t>of which 4</w:t>
      </w:r>
      <w:r w:rsidR="00F22B3E">
        <w:t>6</w:t>
      </w:r>
      <w:r>
        <w:t xml:space="preserve"> per cent </w:t>
      </w:r>
      <w:r w:rsidR="002B2E3D">
        <w:t>($1</w:t>
      </w:r>
      <w:r w:rsidR="00F22B3E">
        <w:t>78.7</w:t>
      </w:r>
      <w:r w:rsidR="002B2E3D">
        <w:t xml:space="preserve"> million) </w:t>
      </w:r>
      <w:r>
        <w:t>is spent on intermediate go</w:t>
      </w:r>
      <w:r w:rsidR="009E6C29">
        <w:t>ods and services within the MIA</w:t>
      </w:r>
      <w:r w:rsidR="002B2E3D">
        <w:t xml:space="preserve"> (</w:t>
      </w:r>
      <w:r w:rsidR="002B2E3D">
        <w:fldChar w:fldCharType="begin"/>
      </w:r>
      <w:r w:rsidR="002B2E3D">
        <w:instrText xml:space="preserve"> REF _Ref482101127 \h </w:instrText>
      </w:r>
      <w:r w:rsidR="002B2E3D">
        <w:fldChar w:fldCharType="separate"/>
      </w:r>
      <w:r w:rsidR="002F2E38">
        <w:t xml:space="preserve">Table </w:t>
      </w:r>
      <w:r w:rsidR="002F2E38">
        <w:rPr>
          <w:noProof/>
        </w:rPr>
        <w:t>4</w:t>
      </w:r>
      <w:r w:rsidR="002B2E3D">
        <w:fldChar w:fldCharType="end"/>
      </w:r>
      <w:r w:rsidR="002B2E3D">
        <w:t xml:space="preserve"> and </w:t>
      </w:r>
      <w:r w:rsidR="002B2E3D">
        <w:fldChar w:fldCharType="begin"/>
      </w:r>
      <w:r w:rsidR="002B2E3D">
        <w:instrText xml:space="preserve"> REF _Ref482101129 \h </w:instrText>
      </w:r>
      <w:r w:rsidR="002B2E3D">
        <w:fldChar w:fldCharType="separate"/>
      </w:r>
      <w:r w:rsidR="002F2E38">
        <w:t xml:space="preserve">Table </w:t>
      </w:r>
      <w:r w:rsidR="002F2E38">
        <w:rPr>
          <w:noProof/>
        </w:rPr>
        <w:t>5</w:t>
      </w:r>
      <w:r w:rsidR="002B2E3D">
        <w:fldChar w:fldCharType="end"/>
      </w:r>
      <w:r w:rsidR="002B2E3D">
        <w:t>)</w:t>
      </w:r>
      <w:r w:rsidR="009E6C29">
        <w:t>:</w:t>
      </w:r>
    </w:p>
    <w:p w:rsidR="007B681A" w:rsidRDefault="007B681A" w:rsidP="00061E10">
      <w:pPr>
        <w:pStyle w:val="MJAbulletnormal"/>
      </w:pPr>
      <w:r>
        <w:t>PIIOP off-farm goods and s</w:t>
      </w:r>
      <w:r w:rsidR="0031758B">
        <w:t>ervices is $</w:t>
      </w:r>
      <w:r w:rsidR="00281339">
        <w:t>251.5</w:t>
      </w:r>
      <w:r w:rsidR="0031758B">
        <w:t xml:space="preserve"> million of which </w:t>
      </w:r>
      <w:r w:rsidR="0086167E">
        <w:t>40</w:t>
      </w:r>
      <w:r>
        <w:t xml:space="preserve"> per cent is spent on intermediate good</w:t>
      </w:r>
      <w:r w:rsidR="009E6C29">
        <w:t>s and services within the MIA;</w:t>
      </w:r>
    </w:p>
    <w:p w:rsidR="007B681A" w:rsidRDefault="0031758B" w:rsidP="00061E10">
      <w:pPr>
        <w:pStyle w:val="MJAbulletnormal"/>
      </w:pPr>
      <w:r>
        <w:t>PIIOP on-farm goods and services is $</w:t>
      </w:r>
      <w:r w:rsidR="00281339">
        <w:t>58.5</w:t>
      </w:r>
      <w:r>
        <w:t xml:space="preserve"> million of which </w:t>
      </w:r>
      <w:r w:rsidR="000005DE">
        <w:t>6</w:t>
      </w:r>
      <w:r w:rsidR="0086167E">
        <w:t>2</w:t>
      </w:r>
      <w:r>
        <w:t xml:space="preserve"> per cent is spent on intermediate go</w:t>
      </w:r>
      <w:r w:rsidR="009E6C29">
        <w:t>ods and services within the MIA; and</w:t>
      </w:r>
    </w:p>
    <w:p w:rsidR="0031758B" w:rsidRDefault="0031758B" w:rsidP="00061E10">
      <w:pPr>
        <w:pStyle w:val="MJAbulletnormal"/>
      </w:pPr>
      <w:r>
        <w:t>OFIEP final goods and services is $</w:t>
      </w:r>
      <w:r w:rsidR="000005DE">
        <w:t>77.9</w:t>
      </w:r>
      <w:r>
        <w:t xml:space="preserve"> million of which </w:t>
      </w:r>
      <w:r w:rsidR="000005DE">
        <w:t>5</w:t>
      </w:r>
      <w:r w:rsidR="0086167E">
        <w:t>4</w:t>
      </w:r>
      <w:r>
        <w:t xml:space="preserve"> per is spent on intermediate goods and services within the MIA.  </w:t>
      </w:r>
    </w:p>
    <w:p w:rsidR="002045D6" w:rsidRDefault="002045D6" w:rsidP="002045D6">
      <w:pPr>
        <w:pStyle w:val="MJAnormal"/>
      </w:pPr>
      <w:r>
        <w:t>There is a further $</w:t>
      </w:r>
      <w:r w:rsidR="0086167E">
        <w:t>28.6</w:t>
      </w:r>
      <w:r>
        <w:t xml:space="preserve"> million (</w:t>
      </w:r>
      <w:r w:rsidR="0086167E">
        <w:t>7</w:t>
      </w:r>
      <w:r>
        <w:t xml:space="preserve"> per cent of the total) of intermediate goods and services that has been sourced from outside the MIA but within the MDB. </w:t>
      </w:r>
    </w:p>
    <w:p w:rsidR="00093174" w:rsidRDefault="00093174" w:rsidP="002045D6">
      <w:pPr>
        <w:pStyle w:val="MJAnormal"/>
      </w:pPr>
      <w:r>
        <w:t>More detail is contained in Appendix B.</w:t>
      </w:r>
    </w:p>
    <w:p w:rsidR="002B2E3D" w:rsidRDefault="002B2E3D" w:rsidP="002045D6">
      <w:pPr>
        <w:pStyle w:val="MJAnormal"/>
      </w:pPr>
    </w:p>
    <w:p w:rsidR="002B2E3D" w:rsidRDefault="002B2E3D" w:rsidP="002045D6">
      <w:pPr>
        <w:pStyle w:val="MJAnormal"/>
      </w:pPr>
    </w:p>
    <w:p w:rsidR="002B2E3D" w:rsidRDefault="002B2E3D" w:rsidP="002045D6">
      <w:pPr>
        <w:pStyle w:val="MJAnormal"/>
      </w:pPr>
    </w:p>
    <w:p w:rsidR="002B2E3D" w:rsidRDefault="002B2E3D" w:rsidP="002045D6">
      <w:pPr>
        <w:pStyle w:val="MJAnormal"/>
      </w:pPr>
    </w:p>
    <w:p w:rsidR="002B2E3D" w:rsidRDefault="002B2E3D" w:rsidP="002045D6">
      <w:pPr>
        <w:pStyle w:val="MJAnormal"/>
      </w:pPr>
    </w:p>
    <w:p w:rsidR="002B2E3D" w:rsidRDefault="002B2E3D" w:rsidP="002045D6">
      <w:pPr>
        <w:pStyle w:val="MJAnormal"/>
      </w:pPr>
    </w:p>
    <w:p w:rsidR="002B2E3D" w:rsidRDefault="002B2E3D" w:rsidP="002045D6">
      <w:pPr>
        <w:pStyle w:val="MJAnormal"/>
      </w:pPr>
    </w:p>
    <w:p w:rsidR="002B2E3D" w:rsidRDefault="002B2E3D" w:rsidP="002045D6">
      <w:pPr>
        <w:pStyle w:val="MJAnormal"/>
      </w:pPr>
    </w:p>
    <w:p w:rsidR="002B2E3D" w:rsidRDefault="002B2E3D" w:rsidP="002045D6">
      <w:pPr>
        <w:pStyle w:val="MJAnormal"/>
      </w:pPr>
    </w:p>
    <w:p w:rsidR="002045D6" w:rsidRDefault="002045D6" w:rsidP="002045D6">
      <w:pPr>
        <w:pStyle w:val="Caption"/>
        <w:spacing w:before="360"/>
      </w:pPr>
      <w:bookmarkStart w:id="99" w:name="_Ref482101127"/>
      <w:bookmarkStart w:id="100" w:name="_Toc481964504"/>
      <w:bookmarkStart w:id="101" w:name="_Ref482101123"/>
      <w:bookmarkStart w:id="102" w:name="_Toc494892433"/>
      <w:r>
        <w:t xml:space="preserve">Table </w:t>
      </w:r>
      <w:fldSimple w:instr=" SEQ Table \* ARABIC ">
        <w:r w:rsidR="002F2E38">
          <w:rPr>
            <w:noProof/>
          </w:rPr>
          <w:t>4</w:t>
        </w:r>
      </w:fldSimple>
      <w:bookmarkEnd w:id="99"/>
      <w:r>
        <w:rPr>
          <w:noProof/>
        </w:rPr>
        <w:t>:</w:t>
      </w:r>
      <w:r>
        <w:t xml:space="preserve"> PIIOP and OFIEP final expenditure (</w:t>
      </w:r>
      <w:r w:rsidR="00B90F89">
        <w:t>GST Exclusive</w:t>
      </w:r>
      <w:r>
        <w:t>)</w:t>
      </w:r>
      <w:r w:rsidR="0073468F">
        <w:t xml:space="preserve"> $million</w:t>
      </w:r>
      <w:bookmarkEnd w:id="100"/>
      <w:bookmarkEnd w:id="101"/>
      <w:bookmarkEnd w:id="102"/>
    </w:p>
    <w:tbl>
      <w:tblPr>
        <w:tblStyle w:val="MJATable1"/>
        <w:tblW w:w="8505" w:type="dxa"/>
        <w:tblLayout w:type="fixed"/>
        <w:tblLook w:val="04A0" w:firstRow="1" w:lastRow="0" w:firstColumn="1" w:lastColumn="0" w:noHBand="0" w:noVBand="1"/>
      </w:tblPr>
      <w:tblGrid>
        <w:gridCol w:w="2410"/>
        <w:gridCol w:w="1559"/>
        <w:gridCol w:w="1512"/>
        <w:gridCol w:w="1512"/>
        <w:gridCol w:w="1512"/>
      </w:tblGrid>
      <w:tr w:rsidR="002045D6" w:rsidTr="006D493A">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410" w:type="dxa"/>
            <w:vAlign w:val="top"/>
          </w:tcPr>
          <w:p w:rsidR="002045D6" w:rsidRPr="00D04164" w:rsidRDefault="002045D6" w:rsidP="002045D6">
            <w:pPr>
              <w:rPr>
                <w:bCs/>
                <w:szCs w:val="20"/>
              </w:rPr>
            </w:pPr>
            <w:r w:rsidRPr="00D04164">
              <w:rPr>
                <w:bCs/>
                <w:szCs w:val="20"/>
              </w:rPr>
              <w:t>Type of cost</w:t>
            </w:r>
          </w:p>
        </w:tc>
        <w:tc>
          <w:tcPr>
            <w:tcW w:w="1559" w:type="dxa"/>
            <w:vMerge w:val="restart"/>
            <w:vAlign w:val="top"/>
          </w:tcPr>
          <w:p w:rsidR="002045D6" w:rsidRPr="00D04164" w:rsidRDefault="002045D6" w:rsidP="002045D6">
            <w:pPr>
              <w:cnfStyle w:val="100000000000" w:firstRow="1" w:lastRow="0" w:firstColumn="0" w:lastColumn="0" w:oddVBand="0" w:evenVBand="0" w:oddHBand="0" w:evenHBand="0" w:firstRowFirstColumn="0" w:firstRowLastColumn="0" w:lastRowFirstColumn="0" w:lastRowLastColumn="0"/>
              <w:rPr>
                <w:b w:val="0"/>
                <w:bCs/>
                <w:szCs w:val="20"/>
              </w:rPr>
            </w:pPr>
            <w:r w:rsidRPr="00D04164">
              <w:rPr>
                <w:rFonts w:ascii="Calibri" w:hAnsi="Calibri"/>
                <w:bCs/>
                <w:szCs w:val="20"/>
              </w:rPr>
              <w:t>Total expenditures</w:t>
            </w:r>
          </w:p>
        </w:tc>
        <w:tc>
          <w:tcPr>
            <w:tcW w:w="4536" w:type="dxa"/>
            <w:gridSpan w:val="3"/>
            <w:vAlign w:val="top"/>
          </w:tcPr>
          <w:p w:rsidR="002045D6" w:rsidRPr="00D04164" w:rsidRDefault="002045D6" w:rsidP="002045D6">
            <w:pPr>
              <w:cnfStyle w:val="100000000000" w:firstRow="1" w:lastRow="0" w:firstColumn="0" w:lastColumn="0" w:oddVBand="0" w:evenVBand="0" w:oddHBand="0" w:evenHBand="0" w:firstRowFirstColumn="0" w:firstRowLastColumn="0" w:lastRowFirstColumn="0" w:lastRowLastColumn="0"/>
              <w:rPr>
                <w:bCs/>
                <w:szCs w:val="20"/>
              </w:rPr>
            </w:pPr>
            <w:r>
              <w:rPr>
                <w:bCs/>
                <w:szCs w:val="20"/>
              </w:rPr>
              <w:t>Value of intermediate</w:t>
            </w:r>
            <w:r w:rsidRPr="00D04164">
              <w:rPr>
                <w:bCs/>
                <w:szCs w:val="20"/>
              </w:rPr>
              <w:t xml:space="preserve"> </w:t>
            </w:r>
            <w:r>
              <w:rPr>
                <w:bCs/>
                <w:szCs w:val="20"/>
              </w:rPr>
              <w:t>goods and services inputs</w:t>
            </w:r>
          </w:p>
        </w:tc>
      </w:tr>
      <w:tr w:rsidR="002045D6" w:rsidTr="006D49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vAlign w:val="top"/>
          </w:tcPr>
          <w:p w:rsidR="002045D6" w:rsidRPr="00D04164" w:rsidRDefault="002045D6" w:rsidP="002045D6">
            <w:pPr>
              <w:jc w:val="center"/>
              <w:rPr>
                <w:bCs/>
                <w:szCs w:val="20"/>
              </w:rPr>
            </w:pPr>
          </w:p>
        </w:tc>
        <w:tc>
          <w:tcPr>
            <w:tcW w:w="1559" w:type="dxa"/>
            <w:vMerge/>
            <w:vAlign w:val="top"/>
          </w:tcPr>
          <w:p w:rsidR="002045D6" w:rsidRPr="00D04164" w:rsidRDefault="002045D6" w:rsidP="002045D6">
            <w:pPr>
              <w:cnfStyle w:val="100000000000" w:firstRow="1" w:lastRow="0" w:firstColumn="0" w:lastColumn="0" w:oddVBand="0" w:evenVBand="0" w:oddHBand="0" w:evenHBand="0" w:firstRowFirstColumn="0" w:firstRowLastColumn="0" w:lastRowFirstColumn="0" w:lastRowLastColumn="0"/>
              <w:rPr>
                <w:szCs w:val="20"/>
              </w:rPr>
            </w:pPr>
          </w:p>
        </w:tc>
        <w:tc>
          <w:tcPr>
            <w:tcW w:w="1512" w:type="dxa"/>
            <w:vAlign w:val="top"/>
          </w:tcPr>
          <w:p w:rsidR="002045D6" w:rsidRPr="00D04164" w:rsidRDefault="002045D6" w:rsidP="002045D6">
            <w:pPr>
              <w:cnfStyle w:val="100000000000" w:firstRow="1" w:lastRow="0" w:firstColumn="0" w:lastColumn="0" w:oddVBand="0" w:evenVBand="0" w:oddHBand="0" w:evenHBand="0" w:firstRowFirstColumn="0" w:firstRowLastColumn="0" w:lastRowFirstColumn="0" w:lastRowLastColumn="0"/>
              <w:rPr>
                <w:rFonts w:ascii="Calibri" w:hAnsi="Calibri"/>
                <w:b w:val="0"/>
                <w:bCs/>
                <w:szCs w:val="20"/>
              </w:rPr>
            </w:pPr>
            <w:r w:rsidRPr="00D04164">
              <w:rPr>
                <w:rFonts w:ascii="Calibri" w:hAnsi="Calibri"/>
                <w:b w:val="0"/>
                <w:bCs/>
                <w:szCs w:val="20"/>
              </w:rPr>
              <w:t>Within MIA</w:t>
            </w:r>
          </w:p>
        </w:tc>
        <w:tc>
          <w:tcPr>
            <w:tcW w:w="1512" w:type="dxa"/>
            <w:vAlign w:val="top"/>
          </w:tcPr>
          <w:p w:rsidR="002045D6" w:rsidRPr="00D04164" w:rsidRDefault="002045D6" w:rsidP="002045D6">
            <w:pPr>
              <w:cnfStyle w:val="100000000000" w:firstRow="1" w:lastRow="0" w:firstColumn="0" w:lastColumn="0" w:oddVBand="0" w:evenVBand="0" w:oddHBand="0" w:evenHBand="0" w:firstRowFirstColumn="0" w:firstRowLastColumn="0" w:lastRowFirstColumn="0" w:lastRowLastColumn="0"/>
              <w:rPr>
                <w:rFonts w:ascii="Calibri" w:hAnsi="Calibri"/>
                <w:b w:val="0"/>
                <w:bCs/>
                <w:szCs w:val="20"/>
              </w:rPr>
            </w:pPr>
            <w:r w:rsidRPr="00D04164">
              <w:rPr>
                <w:rFonts w:ascii="Calibri" w:hAnsi="Calibri"/>
                <w:b w:val="0"/>
                <w:bCs/>
                <w:szCs w:val="20"/>
              </w:rPr>
              <w:t>Outside MIA but within MDB</w:t>
            </w:r>
          </w:p>
        </w:tc>
        <w:tc>
          <w:tcPr>
            <w:tcW w:w="1512" w:type="dxa"/>
            <w:vAlign w:val="top"/>
          </w:tcPr>
          <w:p w:rsidR="002045D6" w:rsidRPr="00D04164" w:rsidRDefault="002045D6" w:rsidP="002045D6">
            <w:pPr>
              <w:cnfStyle w:val="100000000000" w:firstRow="1" w:lastRow="0" w:firstColumn="0" w:lastColumn="0" w:oddVBand="0" w:evenVBand="0" w:oddHBand="0" w:evenHBand="0" w:firstRowFirstColumn="0" w:firstRowLastColumn="0" w:lastRowFirstColumn="0" w:lastRowLastColumn="0"/>
              <w:rPr>
                <w:rFonts w:ascii="Calibri" w:hAnsi="Calibri"/>
                <w:b w:val="0"/>
                <w:bCs/>
                <w:szCs w:val="20"/>
              </w:rPr>
            </w:pPr>
            <w:r w:rsidRPr="00D04164">
              <w:rPr>
                <w:rFonts w:ascii="Calibri" w:hAnsi="Calibri"/>
                <w:b w:val="0"/>
                <w:bCs/>
                <w:szCs w:val="20"/>
              </w:rPr>
              <w:t>Outside MIA and MDB region</w:t>
            </w:r>
          </w:p>
        </w:tc>
      </w:tr>
      <w:tr w:rsidR="001921F2" w:rsidTr="006D493A">
        <w:tc>
          <w:tcPr>
            <w:cnfStyle w:val="001000000000" w:firstRow="0" w:lastRow="0" w:firstColumn="1" w:lastColumn="0" w:oddVBand="0" w:evenVBand="0" w:oddHBand="0" w:evenHBand="0" w:firstRowFirstColumn="0" w:firstRowLastColumn="0" w:lastRowFirstColumn="0" w:lastRowLastColumn="0"/>
            <w:tcW w:w="2410" w:type="dxa"/>
            <w:vAlign w:val="bottom"/>
          </w:tcPr>
          <w:p w:rsidR="001921F2" w:rsidRPr="00A67BEB" w:rsidRDefault="001921F2" w:rsidP="001921F2">
            <w:pPr>
              <w:rPr>
                <w:color w:val="000000"/>
                <w:szCs w:val="20"/>
              </w:rPr>
            </w:pPr>
            <w:r w:rsidRPr="00C60B71">
              <w:rPr>
                <w:rFonts w:ascii="Calibri" w:hAnsi="Calibri" w:cs="Calibri"/>
                <w:color w:val="000000"/>
                <w:szCs w:val="20"/>
              </w:rPr>
              <w:t>PIIOP Off-farm Round 1</w:t>
            </w:r>
          </w:p>
        </w:tc>
        <w:tc>
          <w:tcPr>
            <w:tcW w:w="1559"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$50.0</w:t>
            </w:r>
          </w:p>
        </w:tc>
        <w:tc>
          <w:tcPr>
            <w:tcW w:w="1512"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$19.5</w:t>
            </w:r>
          </w:p>
        </w:tc>
        <w:tc>
          <w:tcPr>
            <w:tcW w:w="1512"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$5.3</w:t>
            </w:r>
          </w:p>
        </w:tc>
        <w:tc>
          <w:tcPr>
            <w:tcW w:w="1512" w:type="dxa"/>
            <w:vAlign w:val="bottom"/>
          </w:tcPr>
          <w:p w:rsidR="001921F2" w:rsidRPr="00A67BE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$25.2</w:t>
            </w:r>
          </w:p>
        </w:tc>
      </w:tr>
      <w:tr w:rsidR="001921F2" w:rsidTr="006D493A">
        <w:tc>
          <w:tcPr>
            <w:cnfStyle w:val="001000000000" w:firstRow="0" w:lastRow="0" w:firstColumn="1" w:lastColumn="0" w:oddVBand="0" w:evenVBand="0" w:oddHBand="0" w:evenHBand="0" w:firstRowFirstColumn="0" w:firstRowLastColumn="0" w:lastRowFirstColumn="0" w:lastRowLastColumn="0"/>
            <w:tcW w:w="2410" w:type="dxa"/>
            <w:vAlign w:val="bottom"/>
          </w:tcPr>
          <w:p w:rsidR="001921F2" w:rsidRPr="00A67BEB" w:rsidRDefault="001921F2" w:rsidP="001921F2">
            <w:pPr>
              <w:rPr>
                <w:color w:val="000000"/>
                <w:szCs w:val="20"/>
              </w:rPr>
            </w:pPr>
            <w:r w:rsidRPr="00C60B71">
              <w:rPr>
                <w:rFonts w:ascii="Calibri" w:hAnsi="Calibri" w:cs="Calibri"/>
                <w:color w:val="000000"/>
                <w:szCs w:val="20"/>
              </w:rPr>
              <w:t>PIIOP Off-farm Round 2</w:t>
            </w:r>
          </w:p>
        </w:tc>
        <w:tc>
          <w:tcPr>
            <w:tcW w:w="1559"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$116.6</w:t>
            </w:r>
          </w:p>
        </w:tc>
        <w:tc>
          <w:tcPr>
            <w:tcW w:w="1512"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$45.5</w:t>
            </w:r>
          </w:p>
        </w:tc>
        <w:tc>
          <w:tcPr>
            <w:tcW w:w="1512"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$12.4</w:t>
            </w:r>
          </w:p>
        </w:tc>
        <w:tc>
          <w:tcPr>
            <w:tcW w:w="1512"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$58.7</w:t>
            </w:r>
          </w:p>
        </w:tc>
      </w:tr>
      <w:tr w:rsidR="001921F2" w:rsidTr="006D493A">
        <w:tc>
          <w:tcPr>
            <w:cnfStyle w:val="001000000000" w:firstRow="0" w:lastRow="0" w:firstColumn="1" w:lastColumn="0" w:oddVBand="0" w:evenVBand="0" w:oddHBand="0" w:evenHBand="0" w:firstRowFirstColumn="0" w:firstRowLastColumn="0" w:lastRowFirstColumn="0" w:lastRowLastColumn="0"/>
            <w:tcW w:w="2410" w:type="dxa"/>
            <w:vAlign w:val="bottom"/>
          </w:tcPr>
          <w:p w:rsidR="001921F2" w:rsidRPr="00A67BEB" w:rsidRDefault="001921F2" w:rsidP="001921F2">
            <w:pPr>
              <w:rPr>
                <w:color w:val="000000"/>
                <w:szCs w:val="20"/>
              </w:rPr>
            </w:pPr>
            <w:r w:rsidRPr="00C60B71">
              <w:rPr>
                <w:rFonts w:ascii="Calibri" w:hAnsi="Calibri" w:cs="Calibri"/>
                <w:color w:val="000000"/>
                <w:szCs w:val="20"/>
              </w:rPr>
              <w:t>PIIOP Off-farm Round 3</w:t>
            </w:r>
          </w:p>
        </w:tc>
        <w:tc>
          <w:tcPr>
            <w:tcW w:w="1559"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$84.9</w:t>
            </w:r>
          </w:p>
        </w:tc>
        <w:tc>
          <w:tcPr>
            <w:tcW w:w="1512"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$35.1</w:t>
            </w:r>
          </w:p>
        </w:tc>
        <w:tc>
          <w:tcPr>
            <w:tcW w:w="1512"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$7.0</w:t>
            </w:r>
          </w:p>
        </w:tc>
        <w:tc>
          <w:tcPr>
            <w:tcW w:w="1512"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$42.8</w:t>
            </w:r>
          </w:p>
        </w:tc>
      </w:tr>
      <w:tr w:rsidR="001921F2" w:rsidTr="006D493A">
        <w:tc>
          <w:tcPr>
            <w:cnfStyle w:val="001000000000" w:firstRow="0" w:lastRow="0" w:firstColumn="1" w:lastColumn="0" w:oddVBand="0" w:evenVBand="0" w:oddHBand="0" w:evenHBand="0" w:firstRowFirstColumn="0" w:firstRowLastColumn="0" w:lastRowFirstColumn="0" w:lastRowLastColumn="0"/>
            <w:tcW w:w="2410" w:type="dxa"/>
            <w:vAlign w:val="bottom"/>
          </w:tcPr>
          <w:p w:rsidR="001921F2" w:rsidRPr="00A67BEB" w:rsidRDefault="001921F2" w:rsidP="001921F2">
            <w:pPr>
              <w:rPr>
                <w:color w:val="000000"/>
                <w:szCs w:val="20"/>
              </w:rPr>
            </w:pPr>
            <w:r w:rsidRPr="00C60B71">
              <w:rPr>
                <w:rFonts w:ascii="Calibri" w:hAnsi="Calibri" w:cs="Calibri"/>
                <w:color w:val="000000"/>
                <w:szCs w:val="20"/>
              </w:rPr>
              <w:t>PIIOP On-farm Round 2</w:t>
            </w:r>
          </w:p>
        </w:tc>
        <w:tc>
          <w:tcPr>
            <w:tcW w:w="1559"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$58.5</w:t>
            </w:r>
          </w:p>
        </w:tc>
        <w:tc>
          <w:tcPr>
            <w:tcW w:w="1512"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$36.3</w:t>
            </w:r>
          </w:p>
        </w:tc>
        <w:tc>
          <w:tcPr>
            <w:tcW w:w="1512"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$1.7</w:t>
            </w:r>
          </w:p>
        </w:tc>
        <w:tc>
          <w:tcPr>
            <w:tcW w:w="1512"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$20.5</w:t>
            </w:r>
          </w:p>
        </w:tc>
      </w:tr>
      <w:tr w:rsidR="001921F2" w:rsidTr="006D493A">
        <w:tc>
          <w:tcPr>
            <w:cnfStyle w:val="001000000000" w:firstRow="0" w:lastRow="0" w:firstColumn="1" w:lastColumn="0" w:oddVBand="0" w:evenVBand="0" w:oddHBand="0" w:evenHBand="0" w:firstRowFirstColumn="0" w:firstRowLastColumn="0" w:lastRowFirstColumn="0" w:lastRowLastColumn="0"/>
            <w:tcW w:w="2410" w:type="dxa"/>
            <w:vAlign w:val="bottom"/>
          </w:tcPr>
          <w:p w:rsidR="001921F2" w:rsidRPr="005712E2" w:rsidRDefault="001921F2" w:rsidP="001921F2">
            <w:pPr>
              <w:rPr>
                <w:rFonts w:ascii="Calibri" w:hAnsi="Calibri" w:cs="Calibri"/>
                <w:color w:val="000000"/>
                <w:szCs w:val="20"/>
              </w:rPr>
            </w:pPr>
            <w:r w:rsidRPr="00C60B71">
              <w:rPr>
                <w:rFonts w:ascii="Calibri" w:hAnsi="Calibri" w:cs="Calibri"/>
                <w:color w:val="000000"/>
                <w:szCs w:val="20"/>
              </w:rPr>
              <w:t>OFIEP Round 1</w:t>
            </w:r>
          </w:p>
        </w:tc>
        <w:tc>
          <w:tcPr>
            <w:tcW w:w="1559" w:type="dxa"/>
            <w:vAlign w:val="bottom"/>
          </w:tcPr>
          <w:p w:rsidR="001921F2" w:rsidRPr="005712E2"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$10.4</w:t>
            </w:r>
          </w:p>
        </w:tc>
        <w:tc>
          <w:tcPr>
            <w:tcW w:w="1512" w:type="dxa"/>
            <w:vAlign w:val="bottom"/>
          </w:tcPr>
          <w:p w:rsidR="001921F2" w:rsidRPr="005712E2"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$5.7</w:t>
            </w:r>
          </w:p>
        </w:tc>
        <w:tc>
          <w:tcPr>
            <w:tcW w:w="1512" w:type="dxa"/>
            <w:vAlign w:val="bottom"/>
          </w:tcPr>
          <w:p w:rsidR="001921F2" w:rsidRPr="005712E2"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$0.3</w:t>
            </w:r>
          </w:p>
        </w:tc>
        <w:tc>
          <w:tcPr>
            <w:tcW w:w="1512" w:type="dxa"/>
            <w:vAlign w:val="bottom"/>
          </w:tcPr>
          <w:p w:rsidR="001921F2" w:rsidRPr="005712E2"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$4.5</w:t>
            </w:r>
          </w:p>
        </w:tc>
      </w:tr>
      <w:tr w:rsidR="001921F2" w:rsidTr="006D493A">
        <w:tc>
          <w:tcPr>
            <w:cnfStyle w:val="001000000000" w:firstRow="0" w:lastRow="0" w:firstColumn="1" w:lastColumn="0" w:oddVBand="0" w:evenVBand="0" w:oddHBand="0" w:evenHBand="0" w:firstRowFirstColumn="0" w:firstRowLastColumn="0" w:lastRowFirstColumn="0" w:lastRowLastColumn="0"/>
            <w:tcW w:w="2410" w:type="dxa"/>
            <w:vAlign w:val="bottom"/>
          </w:tcPr>
          <w:p w:rsidR="001921F2" w:rsidRPr="00A67BEB" w:rsidRDefault="001921F2" w:rsidP="001921F2">
            <w:pPr>
              <w:rPr>
                <w:color w:val="000000"/>
                <w:szCs w:val="20"/>
              </w:rPr>
            </w:pPr>
            <w:r w:rsidRPr="00C60B71">
              <w:rPr>
                <w:rFonts w:ascii="Calibri" w:hAnsi="Calibri" w:cs="Calibri"/>
                <w:color w:val="000000"/>
                <w:szCs w:val="20"/>
              </w:rPr>
              <w:t>OFIEP Round 3</w:t>
            </w:r>
          </w:p>
        </w:tc>
        <w:tc>
          <w:tcPr>
            <w:tcW w:w="1559"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$23.9</w:t>
            </w:r>
          </w:p>
        </w:tc>
        <w:tc>
          <w:tcPr>
            <w:tcW w:w="1512"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w:t>
            </w:r>
            <w:r w:rsidRPr="00427F4B">
              <w:rPr>
                <w:rFonts w:ascii="Calibri" w:hAnsi="Calibri" w:cs="Calibri"/>
                <w:color w:val="000000"/>
                <w:szCs w:val="20"/>
              </w:rPr>
              <w:t>13.0</w:t>
            </w:r>
          </w:p>
        </w:tc>
        <w:tc>
          <w:tcPr>
            <w:tcW w:w="1512"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$0.7</w:t>
            </w:r>
          </w:p>
        </w:tc>
        <w:tc>
          <w:tcPr>
            <w:tcW w:w="1512" w:type="dxa"/>
            <w:vAlign w:val="bottom"/>
          </w:tcPr>
          <w:p w:rsidR="001921F2" w:rsidRPr="00662ECB"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$10.3</w:t>
            </w:r>
          </w:p>
        </w:tc>
      </w:tr>
      <w:tr w:rsidR="001921F2" w:rsidTr="006D493A">
        <w:tc>
          <w:tcPr>
            <w:cnfStyle w:val="001000000000" w:firstRow="0" w:lastRow="0" w:firstColumn="1" w:lastColumn="0" w:oddVBand="0" w:evenVBand="0" w:oddHBand="0" w:evenHBand="0" w:firstRowFirstColumn="0" w:firstRowLastColumn="0" w:lastRowFirstColumn="0" w:lastRowLastColumn="0"/>
            <w:tcW w:w="2410" w:type="dxa"/>
            <w:vAlign w:val="bottom"/>
          </w:tcPr>
          <w:p w:rsidR="001921F2" w:rsidRPr="00A67BEB" w:rsidRDefault="001921F2" w:rsidP="001921F2">
            <w:pPr>
              <w:rPr>
                <w:rFonts w:ascii="Calibri" w:hAnsi="Calibri"/>
                <w:color w:val="000000"/>
                <w:szCs w:val="20"/>
              </w:rPr>
            </w:pPr>
            <w:r w:rsidRPr="00C60B71">
              <w:rPr>
                <w:rFonts w:ascii="Calibri" w:hAnsi="Calibri" w:cs="Calibri"/>
                <w:color w:val="000000"/>
                <w:szCs w:val="20"/>
              </w:rPr>
              <w:t>OFIEP Round 5</w:t>
            </w:r>
          </w:p>
        </w:tc>
        <w:tc>
          <w:tcPr>
            <w:tcW w:w="1559" w:type="dxa"/>
            <w:vAlign w:val="bottom"/>
          </w:tcPr>
          <w:p w:rsidR="001921F2" w:rsidRPr="005712E2"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$43.6</w:t>
            </w:r>
          </w:p>
        </w:tc>
        <w:tc>
          <w:tcPr>
            <w:tcW w:w="1512" w:type="dxa"/>
            <w:vAlign w:val="bottom"/>
          </w:tcPr>
          <w:p w:rsidR="001921F2" w:rsidRPr="005712E2"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$23.7</w:t>
            </w:r>
          </w:p>
        </w:tc>
        <w:tc>
          <w:tcPr>
            <w:tcW w:w="1512" w:type="dxa"/>
            <w:vAlign w:val="bottom"/>
          </w:tcPr>
          <w:p w:rsidR="001921F2" w:rsidRPr="005712E2"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$1.2</w:t>
            </w:r>
          </w:p>
        </w:tc>
        <w:tc>
          <w:tcPr>
            <w:tcW w:w="1512" w:type="dxa"/>
            <w:vAlign w:val="bottom"/>
          </w:tcPr>
          <w:p w:rsidR="001921F2" w:rsidRPr="005712E2"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$18.7</w:t>
            </w:r>
          </w:p>
        </w:tc>
      </w:tr>
      <w:tr w:rsidR="001921F2" w:rsidRPr="00B92D05" w:rsidTr="006D493A">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F2F2F2" w:themeFill="background1" w:themeFillShade="F2"/>
            <w:vAlign w:val="top"/>
          </w:tcPr>
          <w:p w:rsidR="001921F2" w:rsidRPr="003F4C07" w:rsidRDefault="001921F2" w:rsidP="006D493A">
            <w:pPr>
              <w:ind w:right="323"/>
              <w:rPr>
                <w:b/>
                <w:color w:val="000000"/>
                <w:szCs w:val="20"/>
              </w:rPr>
            </w:pPr>
            <w:r w:rsidRPr="003F4C07">
              <w:rPr>
                <w:b/>
                <w:color w:val="000000"/>
                <w:szCs w:val="20"/>
              </w:rPr>
              <w:t>Total</w:t>
            </w:r>
            <w:r>
              <w:rPr>
                <w:b/>
                <w:color w:val="000000"/>
                <w:szCs w:val="20"/>
              </w:rPr>
              <w:t xml:space="preserve"> (PIIOP &amp; OFIEP)</w:t>
            </w:r>
          </w:p>
        </w:tc>
        <w:tc>
          <w:tcPr>
            <w:tcW w:w="1559" w:type="dxa"/>
            <w:tcBorders>
              <w:top w:val="single" w:sz="4" w:space="0" w:color="auto"/>
              <w:bottom w:val="single" w:sz="4" w:space="0" w:color="auto"/>
            </w:tcBorders>
            <w:shd w:val="clear" w:color="auto" w:fill="F2F2F2" w:themeFill="background1" w:themeFillShade="F2"/>
            <w:vAlign w:val="bottom"/>
          </w:tcPr>
          <w:p w:rsidR="001921F2" w:rsidRPr="006D493A"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b/>
                <w:color w:val="000000"/>
                <w:szCs w:val="20"/>
              </w:rPr>
              <w:t>$387.9</w:t>
            </w:r>
          </w:p>
        </w:tc>
        <w:tc>
          <w:tcPr>
            <w:tcW w:w="1512" w:type="dxa"/>
            <w:tcBorders>
              <w:top w:val="single" w:sz="4" w:space="0" w:color="auto"/>
              <w:bottom w:val="single" w:sz="4" w:space="0" w:color="auto"/>
            </w:tcBorders>
            <w:shd w:val="clear" w:color="auto" w:fill="F2F2F2" w:themeFill="background1" w:themeFillShade="F2"/>
            <w:vAlign w:val="bottom"/>
          </w:tcPr>
          <w:p w:rsidR="001921F2" w:rsidRPr="005712E2"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b/>
                <w:color w:val="000000"/>
                <w:szCs w:val="20"/>
              </w:rPr>
              <w:t>$178.7</w:t>
            </w:r>
          </w:p>
        </w:tc>
        <w:tc>
          <w:tcPr>
            <w:tcW w:w="1512" w:type="dxa"/>
            <w:tcBorders>
              <w:top w:val="single" w:sz="4" w:space="0" w:color="auto"/>
              <w:bottom w:val="single" w:sz="4" w:space="0" w:color="auto"/>
            </w:tcBorders>
            <w:shd w:val="clear" w:color="auto" w:fill="F2F2F2" w:themeFill="background1" w:themeFillShade="F2"/>
            <w:vAlign w:val="bottom"/>
          </w:tcPr>
          <w:p w:rsidR="001921F2" w:rsidRPr="005712E2"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b/>
                <w:color w:val="000000"/>
                <w:szCs w:val="20"/>
              </w:rPr>
              <w:t>$2</w:t>
            </w:r>
            <w:r w:rsidRPr="00427F4B">
              <w:rPr>
                <w:rFonts w:ascii="Calibri" w:hAnsi="Calibri" w:cs="Calibri"/>
                <w:b/>
                <w:color w:val="000000"/>
                <w:szCs w:val="20"/>
              </w:rPr>
              <w:t>8.6</w:t>
            </w:r>
          </w:p>
        </w:tc>
        <w:tc>
          <w:tcPr>
            <w:tcW w:w="1512" w:type="dxa"/>
            <w:tcBorders>
              <w:top w:val="single" w:sz="4" w:space="0" w:color="auto"/>
              <w:bottom w:val="single" w:sz="4" w:space="0" w:color="auto"/>
            </w:tcBorders>
            <w:shd w:val="clear" w:color="auto" w:fill="F2F2F2" w:themeFill="background1" w:themeFillShade="F2"/>
            <w:vAlign w:val="bottom"/>
          </w:tcPr>
          <w:p w:rsidR="001921F2" w:rsidRPr="005712E2" w:rsidRDefault="001921F2" w:rsidP="006D493A">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b/>
                <w:color w:val="000000"/>
                <w:szCs w:val="20"/>
              </w:rPr>
              <w:t>$180.6</w:t>
            </w:r>
          </w:p>
        </w:tc>
      </w:tr>
      <w:tr w:rsidR="0073468F" w:rsidRPr="00B92D05" w:rsidTr="00982D8A">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F2F2F2" w:themeFill="background1" w:themeFillShade="F2"/>
            <w:vAlign w:val="top"/>
          </w:tcPr>
          <w:p w:rsidR="0073468F" w:rsidRPr="006D493A" w:rsidRDefault="0073468F" w:rsidP="0073468F">
            <w:pPr>
              <w:ind w:right="323"/>
              <w:rPr>
                <w:color w:val="000000"/>
                <w:szCs w:val="20"/>
              </w:rPr>
            </w:pPr>
            <w:r w:rsidRPr="006D493A">
              <w:rPr>
                <w:color w:val="000000"/>
                <w:szCs w:val="20"/>
              </w:rPr>
              <w:t>Total PIIOP off-farm</w:t>
            </w:r>
          </w:p>
        </w:tc>
        <w:tc>
          <w:tcPr>
            <w:tcW w:w="1559"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color w:val="000000"/>
                <w:szCs w:val="20"/>
              </w:rPr>
              <w:t>$251.5</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color w:val="000000"/>
                <w:szCs w:val="20"/>
              </w:rPr>
              <w:t>$100.0</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color w:val="000000"/>
                <w:szCs w:val="20"/>
              </w:rPr>
              <w:t>$24.8</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color w:val="000000"/>
                <w:szCs w:val="20"/>
              </w:rPr>
              <w:t>$126.7</w:t>
            </w:r>
          </w:p>
        </w:tc>
      </w:tr>
      <w:tr w:rsidR="0073468F" w:rsidRPr="00B92D05" w:rsidTr="00982D8A">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F2F2F2" w:themeFill="background1" w:themeFillShade="F2"/>
            <w:vAlign w:val="top"/>
          </w:tcPr>
          <w:p w:rsidR="0073468F" w:rsidRPr="006D493A" w:rsidRDefault="0073468F" w:rsidP="0073468F">
            <w:pPr>
              <w:ind w:right="323"/>
              <w:rPr>
                <w:color w:val="000000"/>
                <w:szCs w:val="20"/>
              </w:rPr>
            </w:pPr>
            <w:r w:rsidRPr="006D493A">
              <w:rPr>
                <w:color w:val="000000"/>
                <w:szCs w:val="20"/>
              </w:rPr>
              <w:t>Total PIIOP on-farm</w:t>
            </w:r>
          </w:p>
        </w:tc>
        <w:tc>
          <w:tcPr>
            <w:tcW w:w="1559"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color w:val="000000"/>
                <w:szCs w:val="20"/>
              </w:rPr>
              <w:t>$58.5</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color w:val="000000"/>
                <w:szCs w:val="20"/>
              </w:rPr>
              <w:t>$36.3</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color w:val="000000"/>
                <w:szCs w:val="20"/>
              </w:rPr>
              <w:t>$1.7</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color w:val="000000"/>
                <w:szCs w:val="20"/>
              </w:rPr>
              <w:t>$20.5</w:t>
            </w:r>
          </w:p>
        </w:tc>
      </w:tr>
      <w:tr w:rsidR="0073468F" w:rsidRPr="00B92D05" w:rsidTr="00982D8A">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F2F2F2" w:themeFill="background1" w:themeFillShade="F2"/>
            <w:vAlign w:val="top"/>
          </w:tcPr>
          <w:p w:rsidR="0073468F" w:rsidRPr="006D493A" w:rsidRDefault="0073468F" w:rsidP="0073468F">
            <w:pPr>
              <w:ind w:right="323"/>
              <w:rPr>
                <w:color w:val="000000"/>
                <w:szCs w:val="20"/>
              </w:rPr>
            </w:pPr>
            <w:r w:rsidRPr="006D493A">
              <w:rPr>
                <w:color w:val="000000"/>
                <w:szCs w:val="20"/>
              </w:rPr>
              <w:t>Total OFIEP</w:t>
            </w:r>
          </w:p>
        </w:tc>
        <w:tc>
          <w:tcPr>
            <w:tcW w:w="1559"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color w:val="000000"/>
                <w:szCs w:val="20"/>
              </w:rPr>
              <w:t>$77.9</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color w:val="000000"/>
                <w:szCs w:val="20"/>
              </w:rPr>
              <w:t>$42.4</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color w:val="000000"/>
                <w:szCs w:val="20"/>
              </w:rPr>
              <w:t>$2.1</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ind w:right="323"/>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color w:val="000000"/>
                <w:szCs w:val="20"/>
              </w:rPr>
              <w:t>$33.4</w:t>
            </w:r>
          </w:p>
        </w:tc>
      </w:tr>
    </w:tbl>
    <w:p w:rsidR="002045D6" w:rsidRDefault="002045D6" w:rsidP="002045D6">
      <w:pPr>
        <w:pStyle w:val="MJAnormal"/>
        <w:rPr>
          <w:rFonts w:asciiTheme="minorHAnsi" w:hAnsiTheme="minorHAnsi"/>
          <w:i/>
          <w:sz w:val="18"/>
          <w:szCs w:val="18"/>
        </w:rPr>
      </w:pPr>
      <w:r w:rsidRPr="00F675D9">
        <w:rPr>
          <w:rFonts w:asciiTheme="minorHAnsi" w:hAnsiTheme="minorHAnsi"/>
          <w:i/>
          <w:sz w:val="18"/>
          <w:szCs w:val="18"/>
        </w:rPr>
        <w:t>Source: MJA estimates</w:t>
      </w:r>
    </w:p>
    <w:p w:rsidR="002045D6" w:rsidRDefault="002045D6" w:rsidP="002045D6">
      <w:pPr>
        <w:pStyle w:val="Caption"/>
        <w:spacing w:before="360"/>
      </w:pPr>
      <w:bookmarkStart w:id="103" w:name="_Ref482101129"/>
      <w:bookmarkStart w:id="104" w:name="_Toc481964505"/>
      <w:bookmarkStart w:id="105" w:name="_Toc494892434"/>
      <w:r>
        <w:t xml:space="preserve">Table </w:t>
      </w:r>
      <w:fldSimple w:instr=" SEQ Table \* ARABIC ">
        <w:r w:rsidR="002F2E38">
          <w:rPr>
            <w:noProof/>
          </w:rPr>
          <w:t>5</w:t>
        </w:r>
      </w:fldSimple>
      <w:bookmarkEnd w:id="103"/>
      <w:r>
        <w:rPr>
          <w:noProof/>
        </w:rPr>
        <w:t>:</w:t>
      </w:r>
      <w:r>
        <w:t xml:space="preserve"> PIIOP and OFIEP final expenditure composition (%)</w:t>
      </w:r>
      <w:bookmarkEnd w:id="104"/>
      <w:bookmarkEnd w:id="105"/>
    </w:p>
    <w:tbl>
      <w:tblPr>
        <w:tblStyle w:val="MJATable1"/>
        <w:tblW w:w="8505" w:type="dxa"/>
        <w:tblLook w:val="04A0" w:firstRow="1" w:lastRow="0" w:firstColumn="1" w:lastColumn="0" w:noHBand="0" w:noVBand="1"/>
      </w:tblPr>
      <w:tblGrid>
        <w:gridCol w:w="2380"/>
        <w:gridCol w:w="1589"/>
        <w:gridCol w:w="1512"/>
        <w:gridCol w:w="1512"/>
        <w:gridCol w:w="1512"/>
      </w:tblGrid>
      <w:tr w:rsidR="002045D6" w:rsidTr="006D493A">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380" w:type="dxa"/>
            <w:vAlign w:val="top"/>
          </w:tcPr>
          <w:p w:rsidR="002045D6" w:rsidRPr="00D04164" w:rsidRDefault="002045D6" w:rsidP="002045D6">
            <w:pPr>
              <w:rPr>
                <w:bCs/>
                <w:szCs w:val="20"/>
              </w:rPr>
            </w:pPr>
            <w:r w:rsidRPr="00D04164">
              <w:rPr>
                <w:bCs/>
                <w:szCs w:val="20"/>
              </w:rPr>
              <w:t>Type of cost</w:t>
            </w:r>
          </w:p>
        </w:tc>
        <w:tc>
          <w:tcPr>
            <w:tcW w:w="1589" w:type="dxa"/>
            <w:vMerge w:val="restart"/>
            <w:vAlign w:val="top"/>
          </w:tcPr>
          <w:p w:rsidR="002045D6" w:rsidRPr="00D04164" w:rsidRDefault="002045D6" w:rsidP="002045D6">
            <w:pPr>
              <w:cnfStyle w:val="100000000000" w:firstRow="1" w:lastRow="0" w:firstColumn="0" w:lastColumn="0" w:oddVBand="0" w:evenVBand="0" w:oddHBand="0" w:evenHBand="0" w:firstRowFirstColumn="0" w:firstRowLastColumn="0" w:lastRowFirstColumn="0" w:lastRowLastColumn="0"/>
              <w:rPr>
                <w:b w:val="0"/>
                <w:bCs/>
                <w:szCs w:val="20"/>
              </w:rPr>
            </w:pPr>
            <w:r w:rsidRPr="00D04164">
              <w:rPr>
                <w:rFonts w:ascii="Calibri" w:hAnsi="Calibri"/>
                <w:bCs/>
                <w:szCs w:val="20"/>
              </w:rPr>
              <w:t>Total expenditures</w:t>
            </w:r>
          </w:p>
        </w:tc>
        <w:tc>
          <w:tcPr>
            <w:tcW w:w="4536" w:type="dxa"/>
            <w:gridSpan w:val="3"/>
            <w:vAlign w:val="top"/>
          </w:tcPr>
          <w:p w:rsidR="002045D6" w:rsidRPr="00D04164" w:rsidRDefault="002045D6" w:rsidP="002045D6">
            <w:pPr>
              <w:cnfStyle w:val="100000000000" w:firstRow="1" w:lastRow="0" w:firstColumn="0" w:lastColumn="0" w:oddVBand="0" w:evenVBand="0" w:oddHBand="0" w:evenHBand="0" w:firstRowFirstColumn="0" w:firstRowLastColumn="0" w:lastRowFirstColumn="0" w:lastRowLastColumn="0"/>
              <w:rPr>
                <w:bCs/>
                <w:szCs w:val="20"/>
              </w:rPr>
            </w:pPr>
            <w:r>
              <w:rPr>
                <w:bCs/>
                <w:szCs w:val="20"/>
              </w:rPr>
              <w:t>Value of intermediate</w:t>
            </w:r>
            <w:r w:rsidRPr="00D04164">
              <w:rPr>
                <w:bCs/>
                <w:szCs w:val="20"/>
              </w:rPr>
              <w:t xml:space="preserve"> </w:t>
            </w:r>
            <w:r>
              <w:rPr>
                <w:bCs/>
                <w:szCs w:val="20"/>
              </w:rPr>
              <w:t>goods and services inputs</w:t>
            </w:r>
          </w:p>
        </w:tc>
      </w:tr>
      <w:tr w:rsidR="002045D6" w:rsidTr="006D49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0" w:type="dxa"/>
            <w:vAlign w:val="top"/>
          </w:tcPr>
          <w:p w:rsidR="002045D6" w:rsidRPr="00D04164" w:rsidRDefault="002045D6" w:rsidP="002045D6">
            <w:pPr>
              <w:jc w:val="center"/>
              <w:rPr>
                <w:bCs/>
                <w:szCs w:val="20"/>
              </w:rPr>
            </w:pPr>
          </w:p>
        </w:tc>
        <w:tc>
          <w:tcPr>
            <w:tcW w:w="1589" w:type="dxa"/>
            <w:vMerge/>
            <w:vAlign w:val="top"/>
          </w:tcPr>
          <w:p w:rsidR="002045D6" w:rsidRPr="00D04164" w:rsidRDefault="002045D6" w:rsidP="002045D6">
            <w:pPr>
              <w:cnfStyle w:val="100000000000" w:firstRow="1" w:lastRow="0" w:firstColumn="0" w:lastColumn="0" w:oddVBand="0" w:evenVBand="0" w:oddHBand="0" w:evenHBand="0" w:firstRowFirstColumn="0" w:firstRowLastColumn="0" w:lastRowFirstColumn="0" w:lastRowLastColumn="0"/>
              <w:rPr>
                <w:szCs w:val="20"/>
              </w:rPr>
            </w:pPr>
          </w:p>
        </w:tc>
        <w:tc>
          <w:tcPr>
            <w:tcW w:w="1512" w:type="dxa"/>
            <w:vAlign w:val="top"/>
          </w:tcPr>
          <w:p w:rsidR="002045D6" w:rsidRPr="00D04164" w:rsidRDefault="002045D6" w:rsidP="002045D6">
            <w:pPr>
              <w:cnfStyle w:val="100000000000" w:firstRow="1" w:lastRow="0" w:firstColumn="0" w:lastColumn="0" w:oddVBand="0" w:evenVBand="0" w:oddHBand="0" w:evenHBand="0" w:firstRowFirstColumn="0" w:firstRowLastColumn="0" w:lastRowFirstColumn="0" w:lastRowLastColumn="0"/>
              <w:rPr>
                <w:rFonts w:ascii="Calibri" w:hAnsi="Calibri"/>
                <w:b w:val="0"/>
                <w:bCs/>
                <w:szCs w:val="20"/>
              </w:rPr>
            </w:pPr>
            <w:r w:rsidRPr="00D04164">
              <w:rPr>
                <w:rFonts w:ascii="Calibri" w:hAnsi="Calibri"/>
                <w:b w:val="0"/>
                <w:bCs/>
                <w:szCs w:val="20"/>
              </w:rPr>
              <w:t>Within MIA</w:t>
            </w:r>
          </w:p>
        </w:tc>
        <w:tc>
          <w:tcPr>
            <w:tcW w:w="1512" w:type="dxa"/>
            <w:vAlign w:val="top"/>
          </w:tcPr>
          <w:p w:rsidR="002045D6" w:rsidRPr="00D04164" w:rsidRDefault="002045D6" w:rsidP="002045D6">
            <w:pPr>
              <w:cnfStyle w:val="100000000000" w:firstRow="1" w:lastRow="0" w:firstColumn="0" w:lastColumn="0" w:oddVBand="0" w:evenVBand="0" w:oddHBand="0" w:evenHBand="0" w:firstRowFirstColumn="0" w:firstRowLastColumn="0" w:lastRowFirstColumn="0" w:lastRowLastColumn="0"/>
              <w:rPr>
                <w:rFonts w:ascii="Calibri" w:hAnsi="Calibri"/>
                <w:b w:val="0"/>
                <w:bCs/>
                <w:szCs w:val="20"/>
              </w:rPr>
            </w:pPr>
            <w:r w:rsidRPr="00D04164">
              <w:rPr>
                <w:rFonts w:ascii="Calibri" w:hAnsi="Calibri"/>
                <w:b w:val="0"/>
                <w:bCs/>
                <w:szCs w:val="20"/>
              </w:rPr>
              <w:t>Outside MIA but within MDB</w:t>
            </w:r>
          </w:p>
        </w:tc>
        <w:tc>
          <w:tcPr>
            <w:tcW w:w="1512" w:type="dxa"/>
            <w:vAlign w:val="top"/>
          </w:tcPr>
          <w:p w:rsidR="002045D6" w:rsidRPr="00D04164" w:rsidRDefault="002045D6" w:rsidP="002045D6">
            <w:pPr>
              <w:cnfStyle w:val="100000000000" w:firstRow="1" w:lastRow="0" w:firstColumn="0" w:lastColumn="0" w:oddVBand="0" w:evenVBand="0" w:oddHBand="0" w:evenHBand="0" w:firstRowFirstColumn="0" w:firstRowLastColumn="0" w:lastRowFirstColumn="0" w:lastRowLastColumn="0"/>
              <w:rPr>
                <w:rFonts w:ascii="Calibri" w:hAnsi="Calibri"/>
                <w:b w:val="0"/>
                <w:bCs/>
                <w:szCs w:val="20"/>
              </w:rPr>
            </w:pPr>
            <w:r w:rsidRPr="00D04164">
              <w:rPr>
                <w:rFonts w:ascii="Calibri" w:hAnsi="Calibri"/>
                <w:b w:val="0"/>
                <w:bCs/>
                <w:szCs w:val="20"/>
              </w:rPr>
              <w:t>Outside MIA and MDB region</w:t>
            </w:r>
          </w:p>
        </w:tc>
      </w:tr>
      <w:tr w:rsidR="003F4C07" w:rsidTr="006D493A">
        <w:tc>
          <w:tcPr>
            <w:cnfStyle w:val="001000000000" w:firstRow="0" w:lastRow="0" w:firstColumn="1" w:lastColumn="0" w:oddVBand="0" w:evenVBand="0" w:oddHBand="0" w:evenHBand="0" w:firstRowFirstColumn="0" w:firstRowLastColumn="0" w:lastRowFirstColumn="0" w:lastRowLastColumn="0"/>
            <w:tcW w:w="2380" w:type="dxa"/>
            <w:vAlign w:val="bottom"/>
          </w:tcPr>
          <w:p w:rsidR="003F4C07" w:rsidRPr="003F4C07" w:rsidRDefault="003F4C07" w:rsidP="003F4C07">
            <w:pPr>
              <w:rPr>
                <w:color w:val="000000"/>
                <w:szCs w:val="20"/>
              </w:rPr>
            </w:pPr>
            <w:r w:rsidRPr="00C60B71">
              <w:rPr>
                <w:rFonts w:ascii="Calibri" w:hAnsi="Calibri" w:cs="Calibri"/>
                <w:color w:val="000000"/>
                <w:szCs w:val="20"/>
              </w:rPr>
              <w:t>PIIOP Off-farm Round 1</w:t>
            </w:r>
          </w:p>
        </w:tc>
        <w:tc>
          <w:tcPr>
            <w:tcW w:w="1589"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100%</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39%</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10%</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50%</w:t>
            </w:r>
          </w:p>
        </w:tc>
      </w:tr>
      <w:tr w:rsidR="003F4C07" w:rsidTr="006D493A">
        <w:tc>
          <w:tcPr>
            <w:cnfStyle w:val="001000000000" w:firstRow="0" w:lastRow="0" w:firstColumn="1" w:lastColumn="0" w:oddVBand="0" w:evenVBand="0" w:oddHBand="0" w:evenHBand="0" w:firstRowFirstColumn="0" w:firstRowLastColumn="0" w:lastRowFirstColumn="0" w:lastRowLastColumn="0"/>
            <w:tcW w:w="2380" w:type="dxa"/>
            <w:vAlign w:val="bottom"/>
          </w:tcPr>
          <w:p w:rsidR="003F4C07" w:rsidRPr="003F4C07" w:rsidRDefault="003F4C07" w:rsidP="003F4C07">
            <w:pPr>
              <w:rPr>
                <w:color w:val="000000"/>
                <w:szCs w:val="20"/>
              </w:rPr>
            </w:pPr>
            <w:r w:rsidRPr="00C60B71">
              <w:rPr>
                <w:rFonts w:ascii="Calibri" w:hAnsi="Calibri" w:cs="Calibri"/>
                <w:color w:val="000000"/>
                <w:szCs w:val="20"/>
              </w:rPr>
              <w:t>PIIOP O</w:t>
            </w:r>
            <w:r w:rsidRPr="00427F4B">
              <w:rPr>
                <w:rFonts w:ascii="Calibri" w:hAnsi="Calibri" w:cs="Calibri"/>
                <w:color w:val="000000"/>
                <w:szCs w:val="20"/>
              </w:rPr>
              <w:t>ff-farm Round 2</w:t>
            </w:r>
          </w:p>
        </w:tc>
        <w:tc>
          <w:tcPr>
            <w:tcW w:w="1589"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100%</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39%</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10%</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50%</w:t>
            </w:r>
          </w:p>
        </w:tc>
      </w:tr>
      <w:tr w:rsidR="003F4C07" w:rsidTr="006D493A">
        <w:tc>
          <w:tcPr>
            <w:cnfStyle w:val="001000000000" w:firstRow="0" w:lastRow="0" w:firstColumn="1" w:lastColumn="0" w:oddVBand="0" w:evenVBand="0" w:oddHBand="0" w:evenHBand="0" w:firstRowFirstColumn="0" w:firstRowLastColumn="0" w:lastRowFirstColumn="0" w:lastRowLastColumn="0"/>
            <w:tcW w:w="2380" w:type="dxa"/>
            <w:vAlign w:val="bottom"/>
          </w:tcPr>
          <w:p w:rsidR="003F4C07" w:rsidRPr="003F4C07" w:rsidRDefault="003F4C07" w:rsidP="003F4C07">
            <w:pPr>
              <w:rPr>
                <w:color w:val="000000"/>
                <w:szCs w:val="20"/>
              </w:rPr>
            </w:pPr>
            <w:r w:rsidRPr="00C60B71">
              <w:rPr>
                <w:rFonts w:ascii="Calibri" w:hAnsi="Calibri" w:cs="Calibri"/>
                <w:color w:val="000000"/>
                <w:szCs w:val="20"/>
              </w:rPr>
              <w:t>PIIOP Off-farm Round 3</w:t>
            </w:r>
          </w:p>
        </w:tc>
        <w:tc>
          <w:tcPr>
            <w:tcW w:w="1589"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100%</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41%</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8%</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50%</w:t>
            </w:r>
          </w:p>
        </w:tc>
      </w:tr>
      <w:tr w:rsidR="003F4C07" w:rsidTr="006D493A">
        <w:tc>
          <w:tcPr>
            <w:cnfStyle w:val="001000000000" w:firstRow="0" w:lastRow="0" w:firstColumn="1" w:lastColumn="0" w:oddVBand="0" w:evenVBand="0" w:oddHBand="0" w:evenHBand="0" w:firstRowFirstColumn="0" w:firstRowLastColumn="0" w:lastRowFirstColumn="0" w:lastRowLastColumn="0"/>
            <w:tcW w:w="2380" w:type="dxa"/>
            <w:vAlign w:val="bottom"/>
          </w:tcPr>
          <w:p w:rsidR="003F4C07" w:rsidRPr="003F4C07" w:rsidRDefault="003F4C07" w:rsidP="003F4C07">
            <w:pPr>
              <w:rPr>
                <w:color w:val="000000"/>
                <w:szCs w:val="20"/>
              </w:rPr>
            </w:pPr>
            <w:r w:rsidRPr="00C60B71">
              <w:rPr>
                <w:rFonts w:ascii="Calibri" w:hAnsi="Calibri" w:cs="Calibri"/>
                <w:color w:val="000000"/>
                <w:szCs w:val="20"/>
              </w:rPr>
              <w:t>PIIOP On-farm Round 2</w:t>
            </w:r>
          </w:p>
        </w:tc>
        <w:tc>
          <w:tcPr>
            <w:tcW w:w="1589"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100%</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62%</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3%</w:t>
            </w:r>
          </w:p>
        </w:tc>
        <w:tc>
          <w:tcPr>
            <w:tcW w:w="1512" w:type="dxa"/>
            <w:vAlign w:val="top"/>
          </w:tcPr>
          <w:p w:rsidR="003F4C07" w:rsidRPr="003F4C07" w:rsidRDefault="003F4C07" w:rsidP="008D649A">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35%</w:t>
            </w:r>
          </w:p>
        </w:tc>
      </w:tr>
      <w:tr w:rsidR="003F4C07" w:rsidTr="006D493A">
        <w:tc>
          <w:tcPr>
            <w:cnfStyle w:val="001000000000" w:firstRow="0" w:lastRow="0" w:firstColumn="1" w:lastColumn="0" w:oddVBand="0" w:evenVBand="0" w:oddHBand="0" w:evenHBand="0" w:firstRowFirstColumn="0" w:firstRowLastColumn="0" w:lastRowFirstColumn="0" w:lastRowLastColumn="0"/>
            <w:tcW w:w="2380" w:type="dxa"/>
            <w:vAlign w:val="bottom"/>
          </w:tcPr>
          <w:p w:rsidR="003F4C07" w:rsidRPr="003F4C07" w:rsidRDefault="003F4C07" w:rsidP="003F4C07">
            <w:pPr>
              <w:rPr>
                <w:rFonts w:ascii="Calibri" w:hAnsi="Calibri"/>
                <w:color w:val="000000"/>
                <w:szCs w:val="20"/>
              </w:rPr>
            </w:pPr>
            <w:r w:rsidRPr="00C60B71">
              <w:rPr>
                <w:rFonts w:ascii="Calibri" w:hAnsi="Calibri" w:cs="Calibri"/>
                <w:color w:val="000000"/>
                <w:szCs w:val="20"/>
              </w:rPr>
              <w:t xml:space="preserve">OFIEP Round </w:t>
            </w:r>
            <w:r w:rsidRPr="00427F4B">
              <w:rPr>
                <w:rFonts w:ascii="Calibri" w:hAnsi="Calibri" w:cs="Calibri"/>
                <w:color w:val="000000"/>
                <w:szCs w:val="20"/>
              </w:rPr>
              <w:t>1</w:t>
            </w:r>
          </w:p>
        </w:tc>
        <w:tc>
          <w:tcPr>
            <w:tcW w:w="1589"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100%</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54%</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3%</w:t>
            </w:r>
          </w:p>
        </w:tc>
        <w:tc>
          <w:tcPr>
            <w:tcW w:w="1512" w:type="dxa"/>
            <w:vAlign w:val="top"/>
          </w:tcPr>
          <w:p w:rsidR="003F4C07" w:rsidRPr="003F4C07" w:rsidRDefault="003F4C07" w:rsidP="008D649A">
            <w:pPr>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43%</w:t>
            </w:r>
          </w:p>
        </w:tc>
      </w:tr>
      <w:tr w:rsidR="003F4C07" w:rsidTr="006D493A">
        <w:tc>
          <w:tcPr>
            <w:cnfStyle w:val="001000000000" w:firstRow="0" w:lastRow="0" w:firstColumn="1" w:lastColumn="0" w:oddVBand="0" w:evenVBand="0" w:oddHBand="0" w:evenHBand="0" w:firstRowFirstColumn="0" w:firstRowLastColumn="0" w:lastRowFirstColumn="0" w:lastRowLastColumn="0"/>
            <w:tcW w:w="2380" w:type="dxa"/>
            <w:vAlign w:val="bottom"/>
          </w:tcPr>
          <w:p w:rsidR="003F4C07" w:rsidRPr="003F4C07" w:rsidRDefault="003F4C07" w:rsidP="003F4C07">
            <w:pPr>
              <w:rPr>
                <w:color w:val="000000"/>
                <w:szCs w:val="20"/>
              </w:rPr>
            </w:pPr>
            <w:r w:rsidRPr="00C60B71">
              <w:rPr>
                <w:rFonts w:ascii="Calibri" w:hAnsi="Calibri" w:cs="Calibri"/>
                <w:color w:val="000000"/>
                <w:szCs w:val="20"/>
              </w:rPr>
              <w:t>OFIEP Round 3</w:t>
            </w:r>
          </w:p>
        </w:tc>
        <w:tc>
          <w:tcPr>
            <w:tcW w:w="1589"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100%</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54%</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3%</w:t>
            </w:r>
          </w:p>
        </w:tc>
        <w:tc>
          <w:tcPr>
            <w:tcW w:w="1512" w:type="dxa"/>
            <w:vAlign w:val="top"/>
          </w:tcPr>
          <w:p w:rsidR="003F4C07" w:rsidRPr="003F4C07" w:rsidRDefault="003F4C07" w:rsidP="008D649A">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43%</w:t>
            </w:r>
          </w:p>
        </w:tc>
      </w:tr>
      <w:tr w:rsidR="003F4C07" w:rsidTr="006D493A">
        <w:tc>
          <w:tcPr>
            <w:cnfStyle w:val="001000000000" w:firstRow="0" w:lastRow="0" w:firstColumn="1" w:lastColumn="0" w:oddVBand="0" w:evenVBand="0" w:oddHBand="0" w:evenHBand="0" w:firstRowFirstColumn="0" w:firstRowLastColumn="0" w:lastRowFirstColumn="0" w:lastRowLastColumn="0"/>
            <w:tcW w:w="2380" w:type="dxa"/>
            <w:vAlign w:val="bottom"/>
          </w:tcPr>
          <w:p w:rsidR="003F4C07" w:rsidRPr="003F4C07" w:rsidRDefault="003F4C07" w:rsidP="003F4C07">
            <w:pPr>
              <w:rPr>
                <w:color w:val="000000"/>
                <w:szCs w:val="20"/>
              </w:rPr>
            </w:pPr>
            <w:r w:rsidRPr="00C60B71">
              <w:rPr>
                <w:rFonts w:ascii="Calibri" w:hAnsi="Calibri" w:cs="Calibri"/>
                <w:color w:val="000000"/>
                <w:szCs w:val="20"/>
              </w:rPr>
              <w:t>OFIEP Round 5</w:t>
            </w:r>
          </w:p>
        </w:tc>
        <w:tc>
          <w:tcPr>
            <w:tcW w:w="1589"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szCs w:val="20"/>
              </w:rPr>
            </w:pPr>
            <w:r w:rsidRPr="00C60B71">
              <w:rPr>
                <w:rFonts w:ascii="Calibri" w:hAnsi="Calibri" w:cs="Calibri"/>
                <w:color w:val="000000"/>
                <w:szCs w:val="20"/>
              </w:rPr>
              <w:t>100%</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54%</w:t>
            </w:r>
          </w:p>
        </w:tc>
        <w:tc>
          <w:tcPr>
            <w:tcW w:w="1512" w:type="dxa"/>
            <w:vAlign w:val="top"/>
          </w:tcPr>
          <w:p w:rsidR="003F4C07" w:rsidRPr="003F4C07" w:rsidRDefault="003F4C07" w:rsidP="003F4C07">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3%</w:t>
            </w:r>
          </w:p>
        </w:tc>
        <w:tc>
          <w:tcPr>
            <w:tcW w:w="1512" w:type="dxa"/>
            <w:vAlign w:val="top"/>
          </w:tcPr>
          <w:p w:rsidR="003F4C07" w:rsidRPr="003F4C07" w:rsidRDefault="003F4C07" w:rsidP="008D649A">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43%</w:t>
            </w:r>
          </w:p>
        </w:tc>
      </w:tr>
      <w:tr w:rsidR="00BE63AF" w:rsidRPr="00B92D05" w:rsidTr="006D493A">
        <w:tc>
          <w:tcPr>
            <w:cnfStyle w:val="001000000000" w:firstRow="0" w:lastRow="0" w:firstColumn="1" w:lastColumn="0" w:oddVBand="0" w:evenVBand="0" w:oddHBand="0" w:evenHBand="0" w:firstRowFirstColumn="0" w:firstRowLastColumn="0" w:lastRowFirstColumn="0" w:lastRowLastColumn="0"/>
            <w:tcW w:w="2380" w:type="dxa"/>
            <w:tcBorders>
              <w:top w:val="single" w:sz="4" w:space="0" w:color="auto"/>
              <w:bottom w:val="single" w:sz="4" w:space="0" w:color="auto"/>
            </w:tcBorders>
            <w:shd w:val="clear" w:color="auto" w:fill="F2F2F2" w:themeFill="background1" w:themeFillShade="F2"/>
            <w:vAlign w:val="bottom"/>
          </w:tcPr>
          <w:p w:rsidR="00BE63AF" w:rsidRPr="003F4C07" w:rsidRDefault="00BE63AF" w:rsidP="00BE63AF">
            <w:pPr>
              <w:rPr>
                <w:b/>
                <w:color w:val="000000"/>
                <w:szCs w:val="20"/>
              </w:rPr>
            </w:pPr>
            <w:r w:rsidRPr="003F4C07">
              <w:rPr>
                <w:rFonts w:ascii="Calibri" w:hAnsi="Calibri"/>
                <w:b/>
                <w:bCs/>
                <w:color w:val="000000"/>
                <w:szCs w:val="20"/>
              </w:rPr>
              <w:t>Total</w:t>
            </w:r>
          </w:p>
        </w:tc>
        <w:tc>
          <w:tcPr>
            <w:tcW w:w="1589" w:type="dxa"/>
            <w:tcBorders>
              <w:top w:val="single" w:sz="4" w:space="0" w:color="auto"/>
              <w:bottom w:val="single" w:sz="4" w:space="0" w:color="auto"/>
            </w:tcBorders>
            <w:shd w:val="clear" w:color="auto" w:fill="F2F2F2" w:themeFill="background1" w:themeFillShade="F2"/>
            <w:vAlign w:val="top"/>
          </w:tcPr>
          <w:p w:rsidR="00BE63AF" w:rsidRPr="008D649A" w:rsidRDefault="00BE63AF" w:rsidP="00BE63AF">
            <w:pPr>
              <w:cnfStyle w:val="000000000000" w:firstRow="0" w:lastRow="0" w:firstColumn="0" w:lastColumn="0" w:oddVBand="0" w:evenVBand="0" w:oddHBand="0" w:evenHBand="0" w:firstRowFirstColumn="0" w:firstRowLastColumn="0" w:lastRowFirstColumn="0" w:lastRowLastColumn="0"/>
              <w:rPr>
                <w:b/>
                <w:szCs w:val="20"/>
              </w:rPr>
            </w:pPr>
            <w:r w:rsidRPr="008D649A">
              <w:rPr>
                <w:rFonts w:ascii="Calibri" w:hAnsi="Calibri"/>
                <w:b/>
                <w:bCs/>
                <w:color w:val="000000"/>
                <w:szCs w:val="20"/>
              </w:rPr>
              <w:t>100%</w:t>
            </w:r>
          </w:p>
        </w:tc>
        <w:tc>
          <w:tcPr>
            <w:tcW w:w="1512" w:type="dxa"/>
            <w:tcBorders>
              <w:top w:val="single" w:sz="4" w:space="0" w:color="auto"/>
              <w:bottom w:val="single" w:sz="4" w:space="0" w:color="auto"/>
            </w:tcBorders>
            <w:shd w:val="clear" w:color="auto" w:fill="F2F2F2" w:themeFill="background1" w:themeFillShade="F2"/>
            <w:vAlign w:val="bottom"/>
          </w:tcPr>
          <w:p w:rsidR="00BE63AF" w:rsidRPr="00A67BEB" w:rsidRDefault="00BE63AF" w:rsidP="00BE63AF">
            <w:pPr>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C60B71">
              <w:rPr>
                <w:rFonts w:ascii="Calibri" w:hAnsi="Calibri" w:cs="Calibri"/>
                <w:b/>
                <w:bCs/>
                <w:color w:val="000000"/>
                <w:szCs w:val="20"/>
              </w:rPr>
              <w:t>46%</w:t>
            </w:r>
          </w:p>
        </w:tc>
        <w:tc>
          <w:tcPr>
            <w:tcW w:w="1512" w:type="dxa"/>
            <w:tcBorders>
              <w:top w:val="single" w:sz="4" w:space="0" w:color="auto"/>
              <w:bottom w:val="single" w:sz="4" w:space="0" w:color="auto"/>
            </w:tcBorders>
            <w:shd w:val="clear" w:color="auto" w:fill="F2F2F2" w:themeFill="background1" w:themeFillShade="F2"/>
            <w:vAlign w:val="bottom"/>
          </w:tcPr>
          <w:p w:rsidR="00BE63AF" w:rsidRPr="00A67BEB" w:rsidRDefault="00BE63AF" w:rsidP="00BE63AF">
            <w:pPr>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C60B71">
              <w:rPr>
                <w:rFonts w:ascii="Calibri" w:hAnsi="Calibri" w:cs="Calibri"/>
                <w:b/>
                <w:bCs/>
                <w:color w:val="000000"/>
                <w:szCs w:val="20"/>
              </w:rPr>
              <w:t>7%</w:t>
            </w:r>
          </w:p>
        </w:tc>
        <w:tc>
          <w:tcPr>
            <w:tcW w:w="1512" w:type="dxa"/>
            <w:tcBorders>
              <w:top w:val="single" w:sz="4" w:space="0" w:color="auto"/>
              <w:bottom w:val="single" w:sz="4" w:space="0" w:color="auto"/>
            </w:tcBorders>
            <w:shd w:val="clear" w:color="auto" w:fill="F2F2F2" w:themeFill="background1" w:themeFillShade="F2"/>
            <w:vAlign w:val="bottom"/>
          </w:tcPr>
          <w:p w:rsidR="00BE63AF" w:rsidRPr="00A67BEB" w:rsidRDefault="00BE63AF" w:rsidP="00BE63AF">
            <w:pPr>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C60B71">
              <w:rPr>
                <w:rFonts w:ascii="Calibri" w:hAnsi="Calibri" w:cs="Calibri"/>
                <w:b/>
                <w:bCs/>
                <w:color w:val="000000"/>
                <w:szCs w:val="20"/>
              </w:rPr>
              <w:t>47%</w:t>
            </w:r>
          </w:p>
        </w:tc>
      </w:tr>
      <w:tr w:rsidR="0073468F" w:rsidRPr="00B92D05" w:rsidTr="006D493A">
        <w:tc>
          <w:tcPr>
            <w:cnfStyle w:val="001000000000" w:firstRow="0" w:lastRow="0" w:firstColumn="1" w:lastColumn="0" w:oddVBand="0" w:evenVBand="0" w:oddHBand="0" w:evenHBand="0" w:firstRowFirstColumn="0" w:firstRowLastColumn="0" w:lastRowFirstColumn="0" w:lastRowLastColumn="0"/>
            <w:tcW w:w="2380" w:type="dxa"/>
            <w:tcBorders>
              <w:top w:val="single" w:sz="4" w:space="0" w:color="auto"/>
              <w:bottom w:val="single" w:sz="4" w:space="0" w:color="auto"/>
            </w:tcBorders>
            <w:shd w:val="clear" w:color="auto" w:fill="F2F2F2" w:themeFill="background1" w:themeFillShade="F2"/>
            <w:vAlign w:val="top"/>
          </w:tcPr>
          <w:p w:rsidR="0073468F" w:rsidRPr="003F4C07" w:rsidRDefault="0073468F" w:rsidP="0073468F">
            <w:pPr>
              <w:rPr>
                <w:rFonts w:ascii="Calibri" w:hAnsi="Calibri"/>
                <w:b/>
                <w:bCs/>
                <w:color w:val="000000"/>
                <w:szCs w:val="20"/>
              </w:rPr>
            </w:pPr>
            <w:r w:rsidRPr="00FF554D">
              <w:rPr>
                <w:color w:val="000000"/>
                <w:szCs w:val="20"/>
              </w:rPr>
              <w:t>Total PIIOP off-farm</w:t>
            </w:r>
          </w:p>
        </w:tc>
        <w:tc>
          <w:tcPr>
            <w:tcW w:w="1589" w:type="dxa"/>
            <w:tcBorders>
              <w:top w:val="single" w:sz="4" w:space="0" w:color="auto"/>
              <w:bottom w:val="single" w:sz="4" w:space="0" w:color="auto"/>
            </w:tcBorders>
            <w:shd w:val="clear" w:color="auto" w:fill="F2F2F2" w:themeFill="background1" w:themeFillShade="F2"/>
            <w:vAlign w:val="top"/>
          </w:tcPr>
          <w:p w:rsidR="0073468F" w:rsidRPr="008D649A" w:rsidRDefault="0073468F" w:rsidP="0073468F">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3D2DA0">
              <w:rPr>
                <w:rFonts w:ascii="Calibri" w:hAnsi="Calibri" w:cs="Calibri"/>
                <w:color w:val="000000"/>
                <w:szCs w:val="20"/>
              </w:rPr>
              <w:t>100%</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0"/>
              </w:rPr>
            </w:pPr>
            <w:r w:rsidRPr="00C60B71">
              <w:rPr>
                <w:rFonts w:ascii="Calibri" w:hAnsi="Calibri" w:cs="Calibri"/>
                <w:color w:val="000000"/>
                <w:szCs w:val="20"/>
              </w:rPr>
              <w:t>40%</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0"/>
              </w:rPr>
            </w:pPr>
            <w:r w:rsidRPr="00C60B71">
              <w:rPr>
                <w:rFonts w:ascii="Calibri" w:hAnsi="Calibri" w:cs="Calibri"/>
                <w:color w:val="000000"/>
                <w:szCs w:val="20"/>
              </w:rPr>
              <w:t>10%</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0"/>
              </w:rPr>
            </w:pPr>
            <w:r w:rsidRPr="00C60B71">
              <w:rPr>
                <w:rFonts w:ascii="Calibri" w:hAnsi="Calibri" w:cs="Calibri"/>
                <w:color w:val="000000"/>
                <w:szCs w:val="20"/>
              </w:rPr>
              <w:t>50%</w:t>
            </w:r>
          </w:p>
        </w:tc>
      </w:tr>
      <w:tr w:rsidR="0073468F" w:rsidRPr="00B92D05" w:rsidTr="006D493A">
        <w:tc>
          <w:tcPr>
            <w:cnfStyle w:val="001000000000" w:firstRow="0" w:lastRow="0" w:firstColumn="1" w:lastColumn="0" w:oddVBand="0" w:evenVBand="0" w:oddHBand="0" w:evenHBand="0" w:firstRowFirstColumn="0" w:firstRowLastColumn="0" w:lastRowFirstColumn="0" w:lastRowLastColumn="0"/>
            <w:tcW w:w="2380" w:type="dxa"/>
            <w:tcBorders>
              <w:top w:val="single" w:sz="4" w:space="0" w:color="auto"/>
              <w:bottom w:val="single" w:sz="4" w:space="0" w:color="auto"/>
            </w:tcBorders>
            <w:shd w:val="clear" w:color="auto" w:fill="F2F2F2" w:themeFill="background1" w:themeFillShade="F2"/>
            <w:vAlign w:val="top"/>
          </w:tcPr>
          <w:p w:rsidR="0073468F" w:rsidRPr="003F4C07" w:rsidRDefault="0073468F" w:rsidP="0073468F">
            <w:pPr>
              <w:rPr>
                <w:rFonts w:ascii="Calibri" w:hAnsi="Calibri"/>
                <w:b/>
                <w:bCs/>
                <w:color w:val="000000"/>
                <w:szCs w:val="20"/>
              </w:rPr>
            </w:pPr>
            <w:r w:rsidRPr="00FF554D">
              <w:rPr>
                <w:color w:val="000000"/>
                <w:szCs w:val="20"/>
              </w:rPr>
              <w:t>Total PIIOP on-farm</w:t>
            </w:r>
          </w:p>
        </w:tc>
        <w:tc>
          <w:tcPr>
            <w:tcW w:w="1589" w:type="dxa"/>
            <w:tcBorders>
              <w:top w:val="single" w:sz="4" w:space="0" w:color="auto"/>
              <w:bottom w:val="single" w:sz="4" w:space="0" w:color="auto"/>
            </w:tcBorders>
            <w:shd w:val="clear" w:color="auto" w:fill="F2F2F2" w:themeFill="background1" w:themeFillShade="F2"/>
            <w:vAlign w:val="top"/>
          </w:tcPr>
          <w:p w:rsidR="0073468F" w:rsidRPr="008D649A" w:rsidRDefault="0073468F" w:rsidP="0073468F">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3D2DA0">
              <w:rPr>
                <w:rFonts w:ascii="Calibri" w:hAnsi="Calibri" w:cs="Calibri"/>
                <w:color w:val="000000"/>
                <w:szCs w:val="20"/>
              </w:rPr>
              <w:t>100%</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0"/>
              </w:rPr>
            </w:pPr>
            <w:r w:rsidRPr="00C60B71">
              <w:rPr>
                <w:rFonts w:ascii="Calibri" w:hAnsi="Calibri" w:cs="Calibri"/>
                <w:color w:val="000000"/>
                <w:szCs w:val="20"/>
              </w:rPr>
              <w:t>62%</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0"/>
              </w:rPr>
            </w:pPr>
            <w:r w:rsidRPr="00C60B71">
              <w:rPr>
                <w:rFonts w:ascii="Calibri" w:hAnsi="Calibri" w:cs="Calibri"/>
                <w:color w:val="000000"/>
                <w:szCs w:val="20"/>
              </w:rPr>
              <w:t>3%</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0"/>
              </w:rPr>
            </w:pPr>
            <w:r w:rsidRPr="00C60B71">
              <w:rPr>
                <w:rFonts w:ascii="Calibri" w:hAnsi="Calibri" w:cs="Calibri"/>
                <w:color w:val="000000"/>
                <w:szCs w:val="20"/>
              </w:rPr>
              <w:t>35%</w:t>
            </w:r>
          </w:p>
        </w:tc>
      </w:tr>
      <w:tr w:rsidR="0073468F" w:rsidRPr="00B92D05" w:rsidTr="006D493A">
        <w:tc>
          <w:tcPr>
            <w:cnfStyle w:val="001000000000" w:firstRow="0" w:lastRow="0" w:firstColumn="1" w:lastColumn="0" w:oddVBand="0" w:evenVBand="0" w:oddHBand="0" w:evenHBand="0" w:firstRowFirstColumn="0" w:firstRowLastColumn="0" w:lastRowFirstColumn="0" w:lastRowLastColumn="0"/>
            <w:tcW w:w="2380" w:type="dxa"/>
            <w:tcBorders>
              <w:top w:val="single" w:sz="4" w:space="0" w:color="auto"/>
              <w:bottom w:val="single" w:sz="4" w:space="0" w:color="auto"/>
            </w:tcBorders>
            <w:shd w:val="clear" w:color="auto" w:fill="F2F2F2" w:themeFill="background1" w:themeFillShade="F2"/>
            <w:vAlign w:val="top"/>
          </w:tcPr>
          <w:p w:rsidR="0073468F" w:rsidRPr="003F4C07" w:rsidRDefault="0073468F" w:rsidP="0073468F">
            <w:pPr>
              <w:rPr>
                <w:rFonts w:ascii="Calibri" w:hAnsi="Calibri"/>
                <w:b/>
                <w:bCs/>
                <w:color w:val="000000"/>
                <w:szCs w:val="20"/>
              </w:rPr>
            </w:pPr>
            <w:r w:rsidRPr="00FF554D">
              <w:rPr>
                <w:color w:val="000000"/>
                <w:szCs w:val="20"/>
              </w:rPr>
              <w:t>Total OFIEP</w:t>
            </w:r>
          </w:p>
        </w:tc>
        <w:tc>
          <w:tcPr>
            <w:tcW w:w="1589" w:type="dxa"/>
            <w:tcBorders>
              <w:top w:val="single" w:sz="4" w:space="0" w:color="auto"/>
              <w:bottom w:val="single" w:sz="4" w:space="0" w:color="auto"/>
            </w:tcBorders>
            <w:shd w:val="clear" w:color="auto" w:fill="F2F2F2" w:themeFill="background1" w:themeFillShade="F2"/>
            <w:vAlign w:val="top"/>
          </w:tcPr>
          <w:p w:rsidR="0073468F" w:rsidRPr="008D649A" w:rsidRDefault="0073468F" w:rsidP="0073468F">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3D2DA0">
              <w:rPr>
                <w:rFonts w:ascii="Calibri" w:hAnsi="Calibri" w:cs="Calibri"/>
                <w:color w:val="000000"/>
                <w:szCs w:val="20"/>
              </w:rPr>
              <w:t>100%</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0"/>
              </w:rPr>
            </w:pPr>
            <w:r w:rsidRPr="00C60B71">
              <w:rPr>
                <w:rFonts w:ascii="Calibri" w:hAnsi="Calibri" w:cs="Calibri"/>
                <w:color w:val="000000"/>
                <w:szCs w:val="20"/>
              </w:rPr>
              <w:t>54%</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0"/>
              </w:rPr>
            </w:pPr>
            <w:r w:rsidRPr="00C60B71">
              <w:rPr>
                <w:rFonts w:ascii="Calibri" w:hAnsi="Calibri" w:cs="Calibri"/>
                <w:color w:val="000000"/>
                <w:szCs w:val="20"/>
              </w:rPr>
              <w:t>3%</w:t>
            </w:r>
          </w:p>
        </w:tc>
        <w:tc>
          <w:tcPr>
            <w:tcW w:w="1512"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73468F">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0"/>
              </w:rPr>
            </w:pPr>
            <w:r w:rsidRPr="00C60B71">
              <w:rPr>
                <w:rFonts w:ascii="Calibri" w:hAnsi="Calibri" w:cs="Calibri"/>
                <w:color w:val="000000"/>
                <w:szCs w:val="20"/>
              </w:rPr>
              <w:t>43%</w:t>
            </w:r>
          </w:p>
        </w:tc>
      </w:tr>
    </w:tbl>
    <w:p w:rsidR="002045D6" w:rsidRDefault="002045D6" w:rsidP="002045D6">
      <w:pPr>
        <w:pStyle w:val="MJAnormal"/>
        <w:rPr>
          <w:rFonts w:asciiTheme="minorHAnsi" w:hAnsiTheme="minorHAnsi"/>
          <w:i/>
          <w:sz w:val="18"/>
          <w:szCs w:val="18"/>
        </w:rPr>
      </w:pPr>
      <w:r w:rsidRPr="00F675D9">
        <w:rPr>
          <w:rFonts w:asciiTheme="minorHAnsi" w:hAnsiTheme="minorHAnsi"/>
          <w:i/>
          <w:sz w:val="18"/>
          <w:szCs w:val="18"/>
        </w:rPr>
        <w:t>Source: MJA estimates</w:t>
      </w:r>
    </w:p>
    <w:p w:rsidR="00D22A0C" w:rsidRPr="00904A2B" w:rsidRDefault="00D22A0C">
      <w:pPr>
        <w:rPr>
          <w:rFonts w:ascii="Times New Roman" w:eastAsia="Times New Roman" w:hAnsi="Times New Roman" w:cs="Times New Roman"/>
        </w:rPr>
      </w:pPr>
      <w:r>
        <w:br w:type="page"/>
      </w:r>
    </w:p>
    <w:p w:rsidR="001A49F3" w:rsidRDefault="001A49F3" w:rsidP="00061E10">
      <w:pPr>
        <w:pStyle w:val="MJAHeading10"/>
      </w:pPr>
      <w:bookmarkStart w:id="106" w:name="_Toc482099164"/>
      <w:bookmarkStart w:id="107" w:name="_Toc494892266"/>
      <w:r>
        <w:t>Productivity benefits</w:t>
      </w:r>
      <w:bookmarkEnd w:id="106"/>
      <w:bookmarkEnd w:id="107"/>
    </w:p>
    <w:p w:rsidR="001A49F3" w:rsidRDefault="001A49F3" w:rsidP="001A49F3">
      <w:pPr>
        <w:pStyle w:val="MJAnormal"/>
      </w:pPr>
      <w:r>
        <w:t>In this section</w:t>
      </w:r>
      <w:r w:rsidR="005D2327">
        <w:t>,</w:t>
      </w:r>
      <w:r>
        <w:t xml:space="preserve"> the ongoing productivity gains from the </w:t>
      </w:r>
      <w:r w:rsidR="008126E7">
        <w:t>on</w:t>
      </w:r>
      <w:r w:rsidR="004D4F09">
        <w:t>-</w:t>
      </w:r>
      <w:r w:rsidR="008126E7">
        <w:t xml:space="preserve">farm </w:t>
      </w:r>
      <w:r>
        <w:t xml:space="preserve">implementation of PIIOP and OFIEP </w:t>
      </w:r>
      <w:r w:rsidR="008126E7">
        <w:t xml:space="preserve">investments </w:t>
      </w:r>
      <w:r>
        <w:t>are estimated.</w:t>
      </w:r>
    </w:p>
    <w:p w:rsidR="00FD3BB4" w:rsidRDefault="00FD3BB4" w:rsidP="001A49F3">
      <w:pPr>
        <w:pStyle w:val="MJAheading2"/>
      </w:pPr>
      <w:bookmarkStart w:id="108" w:name="_Toc482099165"/>
      <w:bookmarkStart w:id="109" w:name="_Toc494892267"/>
      <w:r>
        <w:t>Key Findings</w:t>
      </w:r>
      <w:bookmarkEnd w:id="108"/>
      <w:bookmarkEnd w:id="109"/>
    </w:p>
    <w:p w:rsidR="00DF2A09" w:rsidRDefault="00DF2A09" w:rsidP="00061E10">
      <w:pPr>
        <w:pStyle w:val="MJAnormal"/>
      </w:pPr>
      <w:r>
        <w:t>Annual long t</w:t>
      </w:r>
      <w:r w:rsidR="00E22414">
        <w:t>erm average net increases in on-</w:t>
      </w:r>
      <w:r>
        <w:t>farm productivity are estimated be in the order of $</w:t>
      </w:r>
      <w:r w:rsidR="009A03CD">
        <w:t>3.</w:t>
      </w:r>
      <w:r w:rsidR="00A67BEB">
        <w:t>8</w:t>
      </w:r>
      <w:r>
        <w:t xml:space="preserve"> million </w:t>
      </w:r>
      <w:r w:rsidR="00A67BEB">
        <w:t xml:space="preserve">per annum </w:t>
      </w:r>
      <w:r>
        <w:t>based on present day prices and yields. This includes gains to</w:t>
      </w:r>
      <w:r w:rsidR="006D0BD2">
        <w:t>:</w:t>
      </w:r>
      <w:r>
        <w:t xml:space="preserve"> </w:t>
      </w:r>
      <w:r w:rsidR="00E22414">
        <w:t xml:space="preserve"> </w:t>
      </w:r>
      <w:r w:rsidR="006D0BD2">
        <w:t xml:space="preserve">the </w:t>
      </w:r>
      <w:r w:rsidR="00E22414">
        <w:t xml:space="preserve">rice, cereals and cotton </w:t>
      </w:r>
      <w:r w:rsidR="006D0BD2">
        <w:t xml:space="preserve">industries of </w:t>
      </w:r>
      <w:r w:rsidR="00E22414">
        <w:t>$2.8 million</w:t>
      </w:r>
      <w:r w:rsidR="006D0BD2">
        <w:t>;</w:t>
      </w:r>
      <w:r w:rsidR="00E22414">
        <w:t xml:space="preserve"> and </w:t>
      </w:r>
      <w:r w:rsidR="006D0BD2">
        <w:t xml:space="preserve">the </w:t>
      </w:r>
      <w:r w:rsidR="00E22414">
        <w:t xml:space="preserve">citrus </w:t>
      </w:r>
      <w:r w:rsidR="006D0BD2">
        <w:t xml:space="preserve">industry of </w:t>
      </w:r>
      <w:r w:rsidR="00E22414">
        <w:t>$</w:t>
      </w:r>
      <w:r w:rsidR="006D0BD2">
        <w:t>1.0</w:t>
      </w:r>
      <w:r w:rsidR="00E22414">
        <w:t xml:space="preserve"> million.</w:t>
      </w:r>
    </w:p>
    <w:p w:rsidR="00FC46AF" w:rsidRDefault="00E22414" w:rsidP="00061E10">
      <w:pPr>
        <w:pStyle w:val="MJAnormal"/>
      </w:pPr>
      <w:r>
        <w:t>These estimates exclude</w:t>
      </w:r>
      <w:r w:rsidR="00DF2A09">
        <w:t xml:space="preserve"> increases in value added generated from extra production that results from water saving infrastructure that reduces evaporation and seepage losses. </w:t>
      </w:r>
      <w:r w:rsidR="00F6665E">
        <w:t>W</w:t>
      </w:r>
      <w:r w:rsidR="00DF2A09">
        <w:t>ater saving</w:t>
      </w:r>
      <w:r w:rsidR="00F6665E">
        <w:t>s</w:t>
      </w:r>
      <w:r w:rsidR="00DF2A09">
        <w:t xml:space="preserve"> are </w:t>
      </w:r>
      <w:r w:rsidR="00DF2A09" w:rsidRPr="00C938A6">
        <w:t>estimated to be</w:t>
      </w:r>
      <w:r w:rsidR="009A03CD">
        <w:t xml:space="preserve"> 21.8 GL</w:t>
      </w:r>
      <w:r w:rsidR="007D54CA">
        <w:t>. T</w:t>
      </w:r>
      <w:r w:rsidR="00F6665E">
        <w:t>hese volumes are assumed to generate further value added in the region and are incorporated in the economic modelling as a separate productivity shock</w:t>
      </w:r>
      <w:r w:rsidR="0028404B">
        <w:t>.</w:t>
      </w:r>
    </w:p>
    <w:p w:rsidR="001A49F3" w:rsidRDefault="001A49F3" w:rsidP="001A49F3">
      <w:pPr>
        <w:pStyle w:val="MJAheading2"/>
      </w:pPr>
      <w:bookmarkStart w:id="110" w:name="_Toc483310867"/>
      <w:bookmarkStart w:id="111" w:name="_Toc483387224"/>
      <w:bookmarkStart w:id="112" w:name="_Toc482099166"/>
      <w:bookmarkStart w:id="113" w:name="_Toc494892268"/>
      <w:bookmarkEnd w:id="110"/>
      <w:bookmarkEnd w:id="111"/>
      <w:r>
        <w:t>Approach</w:t>
      </w:r>
      <w:bookmarkEnd w:id="112"/>
      <w:bookmarkEnd w:id="113"/>
    </w:p>
    <w:p w:rsidR="001A49F3" w:rsidRDefault="00EE2BC6" w:rsidP="001A49F3">
      <w:pPr>
        <w:pStyle w:val="MJAnormal"/>
      </w:pPr>
      <w:r>
        <w:t>Increase</w:t>
      </w:r>
      <w:r w:rsidR="00670F0C">
        <w:t>s</w:t>
      </w:r>
      <w:r>
        <w:t xml:space="preserve"> in g</w:t>
      </w:r>
      <w:r w:rsidR="001A49F3">
        <w:t xml:space="preserve">ross value added in the implementation phase can </w:t>
      </w:r>
      <w:r>
        <w:t>occur</w:t>
      </w:r>
      <w:r w:rsidR="001A49F3">
        <w:t xml:space="preserve"> as a result</w:t>
      </w:r>
      <w:r w:rsidR="00122E32">
        <w:t xml:space="preserve"> of</w:t>
      </w:r>
      <w:r w:rsidR="001A49F3">
        <w:t xml:space="preserve"> utilising the off and on farm investments. This can occur through;</w:t>
      </w:r>
    </w:p>
    <w:p w:rsidR="001A49F3" w:rsidRDefault="00122E32" w:rsidP="001A49F3">
      <w:pPr>
        <w:pStyle w:val="MJAbulletnormal"/>
      </w:pPr>
      <w:r>
        <w:t>increased value of output; and/</w:t>
      </w:r>
      <w:r w:rsidR="001A49F3">
        <w:t xml:space="preserve">or </w:t>
      </w:r>
    </w:p>
    <w:p w:rsidR="001A49F3" w:rsidRDefault="001A49F3" w:rsidP="001A49F3">
      <w:pPr>
        <w:pStyle w:val="MJAbulletnormal"/>
      </w:pPr>
      <w:r>
        <w:t>lower costs of inputs.</w:t>
      </w:r>
    </w:p>
    <w:p w:rsidR="001A49F3" w:rsidRDefault="001A49F3" w:rsidP="001A49F3">
      <w:pPr>
        <w:pStyle w:val="MJAnormal"/>
      </w:pPr>
      <w:r w:rsidRPr="004462CD">
        <w:t xml:space="preserve">Productivity </w:t>
      </w:r>
      <w:r w:rsidR="00347830">
        <w:t>effect</w:t>
      </w:r>
      <w:r w:rsidRPr="004462CD">
        <w:t xml:space="preserve">s are estimated </w:t>
      </w:r>
      <w:r w:rsidR="009E6C29">
        <w:t>as long term average gains until 2033</w:t>
      </w:r>
      <w:r w:rsidRPr="004462CD">
        <w:t>. This time frame enables:</w:t>
      </w:r>
    </w:p>
    <w:p w:rsidR="001A49F3" w:rsidRDefault="001A49F3" w:rsidP="001A49F3">
      <w:pPr>
        <w:pStyle w:val="MJAbulletnormal"/>
      </w:pPr>
      <w:r>
        <w:t>off and on-farm systems changes to become fully operational;</w:t>
      </w:r>
      <w:r w:rsidR="00122E32">
        <w:t xml:space="preserve"> and</w:t>
      </w:r>
    </w:p>
    <w:p w:rsidR="001A49F3" w:rsidRDefault="001A49F3" w:rsidP="001A49F3">
      <w:pPr>
        <w:pStyle w:val="MJAbulletnormal"/>
      </w:pPr>
      <w:r>
        <w:t>addresses risks of short term variation in water use and farm system operations;</w:t>
      </w:r>
    </w:p>
    <w:p w:rsidR="001A49F3" w:rsidRDefault="001A49F3" w:rsidP="001A49F3">
      <w:pPr>
        <w:pStyle w:val="MJAnormal"/>
      </w:pPr>
      <w:r>
        <w:t xml:space="preserve">The time frame also limits the scope of whole of life pricing </w:t>
      </w:r>
      <w:r w:rsidR="00347830">
        <w:t>effect</w:t>
      </w:r>
      <w:r>
        <w:t>s, which are beyond the scope of this study. In this study</w:t>
      </w:r>
      <w:r w:rsidR="00EE2BC6">
        <w:t xml:space="preserve">, </w:t>
      </w:r>
      <w:r>
        <w:t>water delivery charges and cost of off farm irrigation system operation are treated as constant. Consequently</w:t>
      </w:r>
      <w:r w:rsidR="00EE2BC6">
        <w:t>,</w:t>
      </w:r>
      <w:r>
        <w:t xml:space="preserve"> the study excludes any whole of life asset cost </w:t>
      </w:r>
      <w:r w:rsidR="00347830">
        <w:t>effect</w:t>
      </w:r>
      <w:r>
        <w:t>s on productivity.</w:t>
      </w:r>
    </w:p>
    <w:p w:rsidR="001A49F3" w:rsidRDefault="001A49F3" w:rsidP="001A49F3">
      <w:pPr>
        <w:pStyle w:val="MJAheading2"/>
      </w:pPr>
      <w:bookmarkStart w:id="114" w:name="_Toc482099167"/>
      <w:bookmarkStart w:id="115" w:name="_Toc494892269"/>
      <w:r>
        <w:t>Source of productivity change</w:t>
      </w:r>
      <w:bookmarkEnd w:id="114"/>
      <w:bookmarkEnd w:id="115"/>
    </w:p>
    <w:p w:rsidR="001A49F3" w:rsidRDefault="001A49F3" w:rsidP="001A49F3">
      <w:pPr>
        <w:pStyle w:val="MJAnormal"/>
      </w:pPr>
      <w:r>
        <w:t>Both off and on farm construction changes can lead to productivity gains</w:t>
      </w:r>
      <w:r w:rsidR="00FD3BB4">
        <w:t>. M</w:t>
      </w:r>
      <w:r>
        <w:t>ajor gains include:</w:t>
      </w:r>
    </w:p>
    <w:p w:rsidR="001A49F3" w:rsidRDefault="00FD3BB4" w:rsidP="001A49F3">
      <w:pPr>
        <w:pStyle w:val="MJAbulletnormal"/>
      </w:pPr>
      <w:r>
        <w:t>a r</w:t>
      </w:r>
      <w:r w:rsidR="001A49F3">
        <w:t>eduction in labour or other inputs per unit of output;</w:t>
      </w:r>
    </w:p>
    <w:p w:rsidR="001A49F3" w:rsidRDefault="00FD3BB4" w:rsidP="001A49F3">
      <w:pPr>
        <w:pStyle w:val="MJAbulletnormal"/>
      </w:pPr>
      <w:r>
        <w:t>i</w:t>
      </w:r>
      <w:r w:rsidR="001A49F3">
        <w:t xml:space="preserve">mproved quantity and quality of crop yield per unit of input; </w:t>
      </w:r>
      <w:r>
        <w:t>and</w:t>
      </w:r>
    </w:p>
    <w:p w:rsidR="001A49F3" w:rsidRDefault="00FD3BB4" w:rsidP="001A49F3">
      <w:pPr>
        <w:pStyle w:val="MJAbulletnormal"/>
      </w:pPr>
      <w:r>
        <w:t>i</w:t>
      </w:r>
      <w:r w:rsidR="001A49F3">
        <w:t>mproved flexibility of farm system enabling greater frequency and reliability of crop yield.</w:t>
      </w:r>
    </w:p>
    <w:p w:rsidR="001A49F3" w:rsidRDefault="001A49F3" w:rsidP="001A49F3">
      <w:pPr>
        <w:pStyle w:val="MJAnormal"/>
      </w:pPr>
      <w:r>
        <w:t xml:space="preserve">Investments that result in increases in farm value added without altering intermediate inputs results in net economic gains for the local economy. Not all change in input costs result in an increase in value added to the local economy. Changes in factor inputs such as labour and capital by MIA and farm businesses as a result of the PIIOP and OFIEP have a </w:t>
      </w:r>
      <w:r w:rsidR="008A415F">
        <w:t>first-round</w:t>
      </w:r>
      <w:r>
        <w:t xml:space="preserve"> neutral effect on local economic activity. This is because either savings or costs in the business are offset by equivalent income losses or gains for the associated local service providers.</w:t>
      </w:r>
    </w:p>
    <w:p w:rsidR="001A49F3" w:rsidRDefault="001A49F3" w:rsidP="001A49F3">
      <w:pPr>
        <w:pStyle w:val="MJAnormal"/>
      </w:pPr>
      <w:r>
        <w:t>An example of a neutral effect on first round local and regional value added is an improvement in</w:t>
      </w:r>
      <w:r w:rsidR="00387D2F">
        <w:t xml:space="preserve"> on-farm labour productivity. In</w:t>
      </w:r>
      <w:r>
        <w:t xml:space="preserve"> most cases</w:t>
      </w:r>
      <w:r w:rsidR="00EE2BC6">
        <w:t>,</w:t>
      </w:r>
      <w:r>
        <w:t xml:space="preserve"> new on farm water saving technologies reduce the </w:t>
      </w:r>
      <w:r w:rsidR="00FD3BB4">
        <w:t xml:space="preserve">amount of </w:t>
      </w:r>
      <w:r>
        <w:t xml:space="preserve">labour required to undertake irrigation activities. This is because the technologies automate </w:t>
      </w:r>
      <w:r w:rsidR="00670F0C">
        <w:t xml:space="preserve">or semi-automate </w:t>
      </w:r>
      <w:r>
        <w:t xml:space="preserve">aspects of the irrigation process and enable a greater area of irrigated crop to be managed by a person.  Examples include drip irrigation which enable automated timers and settings to schedule commencement and end of irrigation rates and sequence of irrigation. </w:t>
      </w:r>
    </w:p>
    <w:p w:rsidR="001A49F3" w:rsidRDefault="001A49F3" w:rsidP="001A49F3">
      <w:pPr>
        <w:pStyle w:val="MJAnormal"/>
      </w:pPr>
      <w:r>
        <w:t>Similar</w:t>
      </w:r>
      <w:r w:rsidR="008126E7">
        <w:t>ly,</w:t>
      </w:r>
      <w:r>
        <w:t xml:space="preserve"> laser grading to bank-less channels enables larger areas to be irrigated from an off-take and for the irrigation to in-effect ‘self</w:t>
      </w:r>
      <w:r w:rsidR="008126E7">
        <w:t>-</w:t>
      </w:r>
      <w:r>
        <w:t xml:space="preserve">manage’ the sequence of areas irrigated and completion. </w:t>
      </w:r>
    </w:p>
    <w:p w:rsidR="001A49F3" w:rsidRDefault="001A49F3" w:rsidP="001A49F3">
      <w:pPr>
        <w:pStyle w:val="MJAnormal"/>
      </w:pPr>
      <w:r>
        <w:t xml:space="preserve">This technology has enabled rice growers to significantly increase the economies of scale of a rice enterprise. </w:t>
      </w:r>
      <w:r w:rsidR="003B367A">
        <w:t xml:space="preserve">Observations of </w:t>
      </w:r>
      <w:r w:rsidR="00564E3D">
        <w:t>field experts</w:t>
      </w:r>
      <w:r>
        <w:t xml:space="preserve"> indicate there </w:t>
      </w:r>
      <w:r w:rsidR="003B367A">
        <w:t>can be</w:t>
      </w:r>
      <w:r>
        <w:t xml:space="preserve"> an approximately 3 to </w:t>
      </w:r>
      <w:r w:rsidR="008A415F">
        <w:t>5-fold</w:t>
      </w:r>
      <w:r>
        <w:t xml:space="preserve"> increase in the area that can be effectively irrigated and managed by a rice</w:t>
      </w:r>
      <w:r w:rsidR="004462CD">
        <w:t>-</w:t>
      </w:r>
      <w:r>
        <w:t xml:space="preserve">grower. First principles, </w:t>
      </w:r>
      <w:r w:rsidR="006165E6">
        <w:t xml:space="preserve">in the very short run where labour does not move immediately into other activities, </w:t>
      </w:r>
      <w:r>
        <w:t>this structural adjustment has a neutral effect on value added</w:t>
      </w:r>
      <w:r w:rsidR="00B70305">
        <w:t>. We account for the longer term productivity effects of labour in the VU model where labour can move within and outside of the region</w:t>
      </w:r>
      <w:r>
        <w:t>:</w:t>
      </w:r>
    </w:p>
    <w:p w:rsidR="001A49F3" w:rsidRDefault="001A49F3" w:rsidP="001A49F3">
      <w:pPr>
        <w:pStyle w:val="MJAbulletnormal"/>
      </w:pPr>
      <w:r>
        <w:t>total area of rice production remains the same –— excluding any yield effects that may occur</w:t>
      </w:r>
      <w:r w:rsidR="009E6C29">
        <w:t>; and</w:t>
      </w:r>
    </w:p>
    <w:p w:rsidR="001A49F3" w:rsidRDefault="009E6C29" w:rsidP="001A49F3">
      <w:pPr>
        <w:pStyle w:val="MJAbulletnormal"/>
      </w:pPr>
      <w:r>
        <w:t xml:space="preserve">the </w:t>
      </w:r>
      <w:r w:rsidR="004462CD">
        <w:t>rice-</w:t>
      </w:r>
      <w:r w:rsidR="001A49F3">
        <w:t>grower earns extra income through savings in wages bill</w:t>
      </w:r>
      <w:r>
        <w:t>s</w:t>
      </w:r>
      <w:r w:rsidR="001A49F3">
        <w:t xml:space="preserve"> to employees.</w:t>
      </w:r>
    </w:p>
    <w:p w:rsidR="001A49F3" w:rsidRDefault="001A49F3" w:rsidP="001A49F3">
      <w:pPr>
        <w:pStyle w:val="MJAheading3"/>
      </w:pPr>
      <w:r>
        <w:t>PIIOP</w:t>
      </w:r>
      <w:r w:rsidRPr="00F648CA">
        <w:t xml:space="preserve"> </w:t>
      </w:r>
      <w:r>
        <w:t xml:space="preserve">off-farm construction </w:t>
      </w:r>
    </w:p>
    <w:p w:rsidR="001A49F3" w:rsidRDefault="001A49F3" w:rsidP="001A49F3">
      <w:pPr>
        <w:pStyle w:val="MJAnormal"/>
      </w:pPr>
      <w:r>
        <w:t xml:space="preserve">PIIOP off-farm construction can lead to productivity changes within </w:t>
      </w:r>
      <w:r w:rsidR="0025183D">
        <w:t>the MIA</w:t>
      </w:r>
      <w:r>
        <w:t xml:space="preserve"> and on farms receiving water (</w:t>
      </w:r>
      <w:r w:rsidR="00122E32">
        <w:fldChar w:fldCharType="begin"/>
      </w:r>
      <w:r w:rsidR="00122E32">
        <w:instrText xml:space="preserve"> REF _Ref477449044 \h </w:instrText>
      </w:r>
      <w:r w:rsidR="00122E32">
        <w:fldChar w:fldCharType="separate"/>
      </w:r>
      <w:r w:rsidR="002F2E38">
        <w:t xml:space="preserve">Table </w:t>
      </w:r>
      <w:r w:rsidR="002F2E38">
        <w:rPr>
          <w:noProof/>
        </w:rPr>
        <w:t>6</w:t>
      </w:r>
      <w:r w:rsidR="00122E32">
        <w:fldChar w:fldCharType="end"/>
      </w:r>
      <w:r>
        <w:t>):</w:t>
      </w:r>
    </w:p>
    <w:p w:rsidR="001A49F3" w:rsidRDefault="001A49F3" w:rsidP="001A49F3">
      <w:pPr>
        <w:pStyle w:val="MJAnormal"/>
      </w:pPr>
      <w:r>
        <w:t xml:space="preserve">Within </w:t>
      </w:r>
      <w:r w:rsidR="0025183D">
        <w:t xml:space="preserve">MIA </w:t>
      </w:r>
      <w:r>
        <w:t>off farm productivity outcomes can include:</w:t>
      </w:r>
    </w:p>
    <w:p w:rsidR="001A49F3" w:rsidRDefault="001A49F3" w:rsidP="001A49F3">
      <w:pPr>
        <w:pStyle w:val="MJAbulletnormal"/>
      </w:pPr>
      <w:r>
        <w:t>lower labour operational costs — due to system automation;</w:t>
      </w:r>
      <w:r w:rsidR="008A1443">
        <w:t xml:space="preserve"> and</w:t>
      </w:r>
    </w:p>
    <w:p w:rsidR="001A49F3" w:rsidRPr="00070412" w:rsidRDefault="001A49F3" w:rsidP="001A49F3">
      <w:pPr>
        <w:pStyle w:val="MJAbulletnormal"/>
      </w:pPr>
      <w:r w:rsidRPr="00070412">
        <w:t>delayed future asset replacement costs</w:t>
      </w:r>
      <w:r w:rsidR="009E6C29">
        <w:t>.</w:t>
      </w:r>
    </w:p>
    <w:p w:rsidR="001A49F3" w:rsidRDefault="001A49F3" w:rsidP="001A49F3">
      <w:pPr>
        <w:pStyle w:val="MJAnormal"/>
      </w:pPr>
      <w:r>
        <w:t xml:space="preserve">Modernisation of the delivery system can lead to </w:t>
      </w:r>
      <w:r w:rsidRPr="00070412">
        <w:rPr>
          <w:i/>
        </w:rPr>
        <w:t>positive</w:t>
      </w:r>
      <w:r>
        <w:t xml:space="preserve"> on-farm productivity gains through:</w:t>
      </w:r>
    </w:p>
    <w:p w:rsidR="001A49F3" w:rsidRDefault="001A49F3" w:rsidP="001A49F3">
      <w:pPr>
        <w:pStyle w:val="MJAbulletnormal"/>
      </w:pPr>
      <w:r>
        <w:t>increased reliability of water delivery — able to meet peak crop demands and avoid heat stress;</w:t>
      </w:r>
      <w:r w:rsidRPr="00DA58DB">
        <w:t xml:space="preserve"> </w:t>
      </w:r>
    </w:p>
    <w:p w:rsidR="001A49F3" w:rsidRDefault="001A49F3" w:rsidP="001A49F3">
      <w:pPr>
        <w:pStyle w:val="MJAbulletnormal"/>
      </w:pPr>
      <w:r>
        <w:t xml:space="preserve">increase in water </w:t>
      </w:r>
      <w:r w:rsidR="00141A1F">
        <w:t>available for crop production</w:t>
      </w:r>
      <w:r>
        <w:t xml:space="preserve"> by reducing system evaporation and seepage losses.</w:t>
      </w:r>
    </w:p>
    <w:p w:rsidR="00122E32" w:rsidRDefault="00122E32">
      <w:pPr>
        <w:rPr>
          <w:rFonts w:ascii="Times New Roman" w:eastAsia="Times New Roman" w:hAnsi="Times New Roman" w:cs="Times New Roman"/>
        </w:rPr>
      </w:pPr>
      <w:r>
        <w:br w:type="page"/>
      </w:r>
    </w:p>
    <w:p w:rsidR="00A8228E" w:rsidRDefault="00A8228E" w:rsidP="00A8228E">
      <w:pPr>
        <w:pStyle w:val="Caption"/>
      </w:pPr>
      <w:bookmarkStart w:id="116" w:name="_Ref477449044"/>
      <w:bookmarkStart w:id="117" w:name="_Toc481964517"/>
      <w:bookmarkStart w:id="118" w:name="_Toc494892435"/>
      <w:r>
        <w:t xml:space="preserve">Table </w:t>
      </w:r>
      <w:fldSimple w:instr=" SEQ Table \* ARABIC ">
        <w:r w:rsidR="002F2E38">
          <w:rPr>
            <w:noProof/>
          </w:rPr>
          <w:t>6</w:t>
        </w:r>
      </w:fldSimple>
      <w:bookmarkEnd w:id="116"/>
      <w:r>
        <w:t>: Identifying and classifying sources of productivity from program investments</w:t>
      </w:r>
      <w:bookmarkEnd w:id="117"/>
      <w:bookmarkEnd w:id="118"/>
    </w:p>
    <w:tbl>
      <w:tblPr>
        <w:tblStyle w:val="MJATable1"/>
        <w:tblW w:w="0" w:type="auto"/>
        <w:tblLook w:val="04A0" w:firstRow="1" w:lastRow="0" w:firstColumn="1" w:lastColumn="0" w:noHBand="0" w:noVBand="1"/>
      </w:tblPr>
      <w:tblGrid>
        <w:gridCol w:w="1685"/>
        <w:gridCol w:w="1715"/>
        <w:gridCol w:w="1710"/>
        <w:gridCol w:w="1689"/>
        <w:gridCol w:w="1705"/>
      </w:tblGrid>
      <w:tr w:rsidR="00A8228E" w:rsidTr="00C938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A8228E" w:rsidRDefault="00A8228E" w:rsidP="00C938A6">
            <w:r>
              <w:t>Program</w:t>
            </w:r>
          </w:p>
        </w:tc>
        <w:tc>
          <w:tcPr>
            <w:tcW w:w="1744" w:type="dxa"/>
          </w:tcPr>
          <w:p w:rsidR="00A8228E" w:rsidRDefault="00A8228E" w:rsidP="00C938A6">
            <w:pPr>
              <w:cnfStyle w:val="100000000000" w:firstRow="1" w:lastRow="0" w:firstColumn="0" w:lastColumn="0" w:oddVBand="0" w:evenVBand="0" w:oddHBand="0" w:evenHBand="0" w:firstRowFirstColumn="0" w:firstRowLastColumn="0" w:lastRowFirstColumn="0" w:lastRowLastColumn="0"/>
            </w:pPr>
            <w:r>
              <w:t>Investment</w:t>
            </w:r>
          </w:p>
        </w:tc>
        <w:tc>
          <w:tcPr>
            <w:tcW w:w="1744" w:type="dxa"/>
          </w:tcPr>
          <w:p w:rsidR="00A8228E" w:rsidRDefault="00A8228E" w:rsidP="00C938A6">
            <w:pPr>
              <w:cnfStyle w:val="100000000000" w:firstRow="1" w:lastRow="0" w:firstColumn="0" w:lastColumn="0" w:oddVBand="0" w:evenVBand="0" w:oddHBand="0" w:evenHBand="0" w:firstRowFirstColumn="0" w:firstRowLastColumn="0" w:lastRowFirstColumn="0" w:lastRowLastColumn="0"/>
            </w:pPr>
            <w:r>
              <w:t>Change in inputs</w:t>
            </w:r>
          </w:p>
        </w:tc>
        <w:tc>
          <w:tcPr>
            <w:tcW w:w="1744" w:type="dxa"/>
          </w:tcPr>
          <w:p w:rsidR="00A8228E" w:rsidRDefault="00A8228E" w:rsidP="00C938A6">
            <w:pPr>
              <w:cnfStyle w:val="100000000000" w:firstRow="1" w:lastRow="0" w:firstColumn="0" w:lastColumn="0" w:oddVBand="0" w:evenVBand="0" w:oddHBand="0" w:evenHBand="0" w:firstRowFirstColumn="0" w:firstRowLastColumn="0" w:lastRowFirstColumn="0" w:lastRowLastColumn="0"/>
            </w:pPr>
            <w:r>
              <w:t xml:space="preserve">First round local economy effect </w:t>
            </w:r>
          </w:p>
        </w:tc>
        <w:tc>
          <w:tcPr>
            <w:tcW w:w="1744" w:type="dxa"/>
          </w:tcPr>
          <w:p w:rsidR="00A8228E" w:rsidRDefault="00A8228E" w:rsidP="00C938A6">
            <w:pPr>
              <w:cnfStyle w:val="100000000000" w:firstRow="1" w:lastRow="0" w:firstColumn="0" w:lastColumn="0" w:oddVBand="0" w:evenVBand="0" w:oddHBand="0" w:evenHBand="0" w:firstRowFirstColumn="0" w:firstRowLastColumn="0" w:lastRowFirstColumn="0" w:lastRowLastColumn="0"/>
            </w:pPr>
            <w:r>
              <w:t>Explanation</w:t>
            </w:r>
          </w:p>
        </w:tc>
      </w:tr>
      <w:tr w:rsidR="00A8228E" w:rsidTr="00C938A6">
        <w:tc>
          <w:tcPr>
            <w:cnfStyle w:val="001000000000" w:firstRow="0" w:lastRow="0" w:firstColumn="1" w:lastColumn="0" w:oddVBand="0" w:evenVBand="0" w:oddHBand="0" w:evenHBand="0" w:firstRowFirstColumn="0" w:firstRowLastColumn="0" w:lastRowFirstColumn="0" w:lastRowLastColumn="0"/>
            <w:tcW w:w="1744" w:type="dxa"/>
          </w:tcPr>
          <w:p w:rsidR="00A8228E" w:rsidRDefault="00A8228E" w:rsidP="00C938A6">
            <w:r>
              <w:t>PIIOP off farm</w:t>
            </w:r>
          </w:p>
        </w:tc>
        <w:tc>
          <w:tcPr>
            <w:tcW w:w="1744" w:type="dxa"/>
          </w:tcPr>
          <w:p w:rsidR="00A8228E" w:rsidRDefault="00A8228E" w:rsidP="00C938A6">
            <w:pPr>
              <w:cnfStyle w:val="000000000000" w:firstRow="0" w:lastRow="0" w:firstColumn="0" w:lastColumn="0" w:oddVBand="0" w:evenVBand="0" w:oddHBand="0" w:evenHBand="0" w:firstRowFirstColumn="0" w:firstRowLastColumn="0" w:lastRowFirstColumn="0" w:lastRowLastColumn="0"/>
            </w:pPr>
            <w:r>
              <w:t>Automated ordering and water management</w:t>
            </w:r>
          </w:p>
        </w:tc>
        <w:tc>
          <w:tcPr>
            <w:tcW w:w="1744" w:type="dxa"/>
          </w:tcPr>
          <w:p w:rsidR="00A8228E" w:rsidRPr="00650D76" w:rsidRDefault="00A8228E" w:rsidP="00C938A6">
            <w:pPr>
              <w:cnfStyle w:val="000000000000" w:firstRow="0" w:lastRow="0" w:firstColumn="0" w:lastColumn="0" w:oddVBand="0" w:evenVBand="0" w:oddHBand="0" w:evenHBand="0" w:firstRowFirstColumn="0" w:firstRowLastColumn="0" w:lastRowFirstColumn="0" w:lastRowLastColumn="0"/>
            </w:pPr>
            <w:r>
              <w:t>Lower labour costs</w:t>
            </w:r>
          </w:p>
        </w:tc>
        <w:tc>
          <w:tcPr>
            <w:tcW w:w="1744" w:type="dxa"/>
          </w:tcPr>
          <w:p w:rsidR="00A8228E" w:rsidRDefault="00A8228E" w:rsidP="00C938A6">
            <w:pPr>
              <w:cnfStyle w:val="000000000000" w:firstRow="0" w:lastRow="0" w:firstColumn="0" w:lastColumn="0" w:oddVBand="0" w:evenVBand="0" w:oddHBand="0" w:evenHBand="0" w:firstRowFirstColumn="0" w:firstRowLastColumn="0" w:lastRowFirstColumn="0" w:lastRowLastColumn="0"/>
            </w:pPr>
            <w:r>
              <w:t>Neutral</w:t>
            </w:r>
          </w:p>
        </w:tc>
        <w:tc>
          <w:tcPr>
            <w:tcW w:w="1744" w:type="dxa"/>
          </w:tcPr>
          <w:p w:rsidR="00A8228E" w:rsidRDefault="00A8228E" w:rsidP="00C938A6">
            <w:pPr>
              <w:cnfStyle w:val="000000000000" w:firstRow="0" w:lastRow="0" w:firstColumn="0" w:lastColumn="0" w:oddVBand="0" w:evenVBand="0" w:oddHBand="0" w:evenHBand="0" w:firstRowFirstColumn="0" w:firstRowLastColumn="0" w:lastRowFirstColumn="0" w:lastRowLastColumn="0"/>
            </w:pPr>
            <w:r>
              <w:t xml:space="preserve">Labour savings result in lower operational charges </w:t>
            </w:r>
          </w:p>
        </w:tc>
      </w:tr>
      <w:tr w:rsidR="00A8228E" w:rsidTr="00C938A6">
        <w:tc>
          <w:tcPr>
            <w:cnfStyle w:val="001000000000" w:firstRow="0" w:lastRow="0" w:firstColumn="1" w:lastColumn="0" w:oddVBand="0" w:evenVBand="0" w:oddHBand="0" w:evenHBand="0" w:firstRowFirstColumn="0" w:firstRowLastColumn="0" w:lastRowFirstColumn="0" w:lastRowLastColumn="0"/>
            <w:tcW w:w="1744" w:type="dxa"/>
          </w:tcPr>
          <w:p w:rsidR="00A8228E" w:rsidRDefault="00A8228E" w:rsidP="00C938A6"/>
        </w:tc>
        <w:tc>
          <w:tcPr>
            <w:tcW w:w="1744" w:type="dxa"/>
          </w:tcPr>
          <w:p w:rsidR="00A8228E" w:rsidRDefault="00A8228E" w:rsidP="00C938A6">
            <w:pPr>
              <w:cnfStyle w:val="000000000000" w:firstRow="0" w:lastRow="0" w:firstColumn="0" w:lastColumn="0" w:oddVBand="0" w:evenVBand="0" w:oddHBand="0" w:evenHBand="0" w:firstRowFirstColumn="0" w:firstRowLastColumn="0" w:lastRowFirstColumn="0" w:lastRowLastColumn="0"/>
            </w:pPr>
            <w:r>
              <w:t>New delivery infrastructure</w:t>
            </w:r>
          </w:p>
        </w:tc>
        <w:tc>
          <w:tcPr>
            <w:tcW w:w="1744" w:type="dxa"/>
          </w:tcPr>
          <w:p w:rsidR="00A8228E" w:rsidRPr="00650D76" w:rsidRDefault="00A8228E" w:rsidP="00C938A6">
            <w:pPr>
              <w:cnfStyle w:val="000000000000" w:firstRow="0" w:lastRow="0" w:firstColumn="0" w:lastColumn="0" w:oddVBand="0" w:evenVBand="0" w:oddHBand="0" w:evenHBand="0" w:firstRowFirstColumn="0" w:firstRowLastColumn="0" w:lastRowFirstColumn="0" w:lastRowLastColumn="0"/>
            </w:pPr>
            <w:r>
              <w:t>Lower repairs and maintenance costs</w:t>
            </w:r>
          </w:p>
        </w:tc>
        <w:tc>
          <w:tcPr>
            <w:tcW w:w="1744" w:type="dxa"/>
          </w:tcPr>
          <w:p w:rsidR="00A8228E" w:rsidRDefault="00A8228E" w:rsidP="00C938A6">
            <w:pPr>
              <w:cnfStyle w:val="000000000000" w:firstRow="0" w:lastRow="0" w:firstColumn="0" w:lastColumn="0" w:oddVBand="0" w:evenVBand="0" w:oddHBand="0" w:evenHBand="0" w:firstRowFirstColumn="0" w:firstRowLastColumn="0" w:lastRowFirstColumn="0" w:lastRowLastColumn="0"/>
            </w:pPr>
            <w:r>
              <w:t>Neutral</w:t>
            </w:r>
          </w:p>
        </w:tc>
        <w:tc>
          <w:tcPr>
            <w:tcW w:w="1744" w:type="dxa"/>
          </w:tcPr>
          <w:p w:rsidR="00A8228E" w:rsidRDefault="00A8228E" w:rsidP="00C938A6">
            <w:pPr>
              <w:cnfStyle w:val="000000000000" w:firstRow="0" w:lastRow="0" w:firstColumn="0" w:lastColumn="0" w:oddVBand="0" w:evenVBand="0" w:oddHBand="0" w:evenHBand="0" w:firstRowFirstColumn="0" w:firstRowLastColumn="0" w:lastRowFirstColumn="0" w:lastRowLastColumn="0"/>
            </w:pPr>
            <w:r>
              <w:t xml:space="preserve">Savings result in lower operational charges </w:t>
            </w:r>
          </w:p>
        </w:tc>
      </w:tr>
      <w:tr w:rsidR="00A8228E" w:rsidRPr="004462CD" w:rsidTr="00C938A6">
        <w:tc>
          <w:tcPr>
            <w:cnfStyle w:val="001000000000" w:firstRow="0" w:lastRow="0" w:firstColumn="1" w:lastColumn="0" w:oddVBand="0" w:evenVBand="0" w:oddHBand="0" w:evenHBand="0" w:firstRowFirstColumn="0" w:firstRowLastColumn="0" w:lastRowFirstColumn="0" w:lastRowLastColumn="0"/>
            <w:tcW w:w="1744" w:type="dxa"/>
          </w:tcPr>
          <w:p w:rsidR="00A8228E" w:rsidRDefault="00A8228E" w:rsidP="00C938A6"/>
        </w:tc>
        <w:tc>
          <w:tcPr>
            <w:tcW w:w="1744" w:type="dxa"/>
          </w:tcPr>
          <w:p w:rsidR="00A8228E" w:rsidRDefault="00A8228E" w:rsidP="00C938A6">
            <w:pPr>
              <w:cnfStyle w:val="000000000000" w:firstRow="0" w:lastRow="0" w:firstColumn="0" w:lastColumn="0" w:oddVBand="0" w:evenVBand="0" w:oddHBand="0" w:evenHBand="0" w:firstRowFirstColumn="0" w:firstRowLastColumn="0" w:lastRowFirstColumn="0" w:lastRowLastColumn="0"/>
            </w:pPr>
          </w:p>
        </w:tc>
        <w:tc>
          <w:tcPr>
            <w:tcW w:w="1744" w:type="dxa"/>
          </w:tcPr>
          <w:p w:rsidR="00A8228E" w:rsidRPr="004462CD" w:rsidRDefault="00A8228E" w:rsidP="00C938A6">
            <w:pPr>
              <w:cnfStyle w:val="000000000000" w:firstRow="0" w:lastRow="0" w:firstColumn="0" w:lastColumn="0" w:oddVBand="0" w:evenVBand="0" w:oddHBand="0" w:evenHBand="0" w:firstRowFirstColumn="0" w:firstRowLastColumn="0" w:lastRowFirstColumn="0" w:lastRowLastColumn="0"/>
            </w:pPr>
            <w:r w:rsidRPr="004462CD">
              <w:t xml:space="preserve">Increase available water for productive use </w:t>
            </w:r>
          </w:p>
        </w:tc>
        <w:tc>
          <w:tcPr>
            <w:tcW w:w="1744" w:type="dxa"/>
          </w:tcPr>
          <w:p w:rsidR="00A8228E" w:rsidRPr="004462CD" w:rsidRDefault="00A8228E" w:rsidP="00C938A6">
            <w:pPr>
              <w:cnfStyle w:val="000000000000" w:firstRow="0" w:lastRow="0" w:firstColumn="0" w:lastColumn="0" w:oddVBand="0" w:evenVBand="0" w:oddHBand="0" w:evenHBand="0" w:firstRowFirstColumn="0" w:firstRowLastColumn="0" w:lastRowFirstColumn="0" w:lastRowLastColumn="0"/>
            </w:pPr>
            <w:r w:rsidRPr="004462CD">
              <w:t>Positive</w:t>
            </w:r>
          </w:p>
        </w:tc>
        <w:tc>
          <w:tcPr>
            <w:tcW w:w="1744" w:type="dxa"/>
          </w:tcPr>
          <w:p w:rsidR="00A8228E" w:rsidRPr="004462CD" w:rsidRDefault="00A8228E" w:rsidP="00C938A6">
            <w:pPr>
              <w:cnfStyle w:val="000000000000" w:firstRow="0" w:lastRow="0" w:firstColumn="0" w:lastColumn="0" w:oddVBand="0" w:evenVBand="0" w:oddHBand="0" w:evenHBand="0" w:firstRowFirstColumn="0" w:firstRowLastColumn="0" w:lastRowFirstColumn="0" w:lastRowLastColumn="0"/>
            </w:pPr>
            <w:r w:rsidRPr="004462CD">
              <w:t>Reduced evaporation and seepage in delivery system</w:t>
            </w:r>
          </w:p>
        </w:tc>
      </w:tr>
      <w:tr w:rsidR="00A8228E" w:rsidRPr="004462CD" w:rsidTr="00C938A6">
        <w:tc>
          <w:tcPr>
            <w:cnfStyle w:val="001000000000" w:firstRow="0" w:lastRow="0" w:firstColumn="1" w:lastColumn="0" w:oddVBand="0" w:evenVBand="0" w:oddHBand="0" w:evenHBand="0" w:firstRowFirstColumn="0" w:firstRowLastColumn="0" w:lastRowFirstColumn="0" w:lastRowLastColumn="0"/>
            <w:tcW w:w="1744" w:type="dxa"/>
          </w:tcPr>
          <w:p w:rsidR="00A8228E" w:rsidRPr="004462CD" w:rsidRDefault="00A8228E" w:rsidP="00C938A6"/>
        </w:tc>
        <w:tc>
          <w:tcPr>
            <w:tcW w:w="1744" w:type="dxa"/>
          </w:tcPr>
          <w:p w:rsidR="00A8228E" w:rsidRPr="004462CD" w:rsidRDefault="00A8228E" w:rsidP="00C938A6">
            <w:pPr>
              <w:cnfStyle w:val="000000000000" w:firstRow="0" w:lastRow="0" w:firstColumn="0" w:lastColumn="0" w:oddVBand="0" w:evenVBand="0" w:oddHBand="0" w:evenHBand="0" w:firstRowFirstColumn="0" w:firstRowLastColumn="0" w:lastRowFirstColumn="0" w:lastRowLastColumn="0"/>
            </w:pPr>
            <w:r w:rsidRPr="004462CD">
              <w:t>Improved timeliness and reliability of delivery</w:t>
            </w:r>
          </w:p>
        </w:tc>
        <w:tc>
          <w:tcPr>
            <w:tcW w:w="1744" w:type="dxa"/>
          </w:tcPr>
          <w:p w:rsidR="00A8228E" w:rsidRPr="004462CD" w:rsidRDefault="00A8228E" w:rsidP="00C938A6">
            <w:pPr>
              <w:cnfStyle w:val="000000000000" w:firstRow="0" w:lastRow="0" w:firstColumn="0" w:lastColumn="0" w:oddVBand="0" w:evenVBand="0" w:oddHBand="0" w:evenHBand="0" w:firstRowFirstColumn="0" w:firstRowLastColumn="0" w:lastRowFirstColumn="0" w:lastRowLastColumn="0"/>
            </w:pPr>
            <w:r w:rsidRPr="004462CD">
              <w:t xml:space="preserve">Lower on farm labour costs </w:t>
            </w:r>
          </w:p>
        </w:tc>
        <w:tc>
          <w:tcPr>
            <w:tcW w:w="1744" w:type="dxa"/>
          </w:tcPr>
          <w:p w:rsidR="00A8228E" w:rsidRPr="004462CD" w:rsidRDefault="00A8228E" w:rsidP="00C938A6">
            <w:pPr>
              <w:cnfStyle w:val="000000000000" w:firstRow="0" w:lastRow="0" w:firstColumn="0" w:lastColumn="0" w:oddVBand="0" w:evenVBand="0" w:oddHBand="0" w:evenHBand="0" w:firstRowFirstColumn="0" w:firstRowLastColumn="0" w:lastRowFirstColumn="0" w:lastRowLastColumn="0"/>
            </w:pPr>
            <w:r w:rsidRPr="004462CD">
              <w:t>Neutral</w:t>
            </w:r>
          </w:p>
        </w:tc>
        <w:tc>
          <w:tcPr>
            <w:tcW w:w="1744" w:type="dxa"/>
          </w:tcPr>
          <w:p w:rsidR="00A8228E" w:rsidRPr="004462CD" w:rsidRDefault="00A8228E" w:rsidP="00C938A6">
            <w:pPr>
              <w:cnfStyle w:val="000000000000" w:firstRow="0" w:lastRow="0" w:firstColumn="0" w:lastColumn="0" w:oddVBand="0" w:evenVBand="0" w:oddHBand="0" w:evenHBand="0" w:firstRowFirstColumn="0" w:firstRowLastColumn="0" w:lastRowFirstColumn="0" w:lastRowLastColumn="0"/>
            </w:pPr>
            <w:r w:rsidRPr="004462CD">
              <w:t>Labour savings result in higher farm income</w:t>
            </w:r>
          </w:p>
        </w:tc>
      </w:tr>
      <w:tr w:rsidR="00A8228E" w:rsidTr="00C938A6">
        <w:tc>
          <w:tcPr>
            <w:cnfStyle w:val="001000000000" w:firstRow="0" w:lastRow="0" w:firstColumn="1" w:lastColumn="0" w:oddVBand="0" w:evenVBand="0" w:oddHBand="0" w:evenHBand="0" w:firstRowFirstColumn="0" w:firstRowLastColumn="0" w:lastRowFirstColumn="0" w:lastRowLastColumn="0"/>
            <w:tcW w:w="1744" w:type="dxa"/>
            <w:tcBorders>
              <w:bottom w:val="single" w:sz="4" w:space="0" w:color="auto"/>
            </w:tcBorders>
          </w:tcPr>
          <w:p w:rsidR="00A8228E" w:rsidRPr="004462CD" w:rsidRDefault="00A8228E" w:rsidP="00C938A6"/>
        </w:tc>
        <w:tc>
          <w:tcPr>
            <w:tcW w:w="1744" w:type="dxa"/>
            <w:tcBorders>
              <w:bottom w:val="single" w:sz="4" w:space="0" w:color="auto"/>
            </w:tcBorders>
          </w:tcPr>
          <w:p w:rsidR="00A8228E" w:rsidRPr="004462CD" w:rsidRDefault="00A8228E" w:rsidP="00C938A6">
            <w:pPr>
              <w:cnfStyle w:val="000000000000" w:firstRow="0" w:lastRow="0" w:firstColumn="0" w:lastColumn="0" w:oddVBand="0" w:evenVBand="0" w:oddHBand="0" w:evenHBand="0" w:firstRowFirstColumn="0" w:firstRowLastColumn="0" w:lastRowFirstColumn="0" w:lastRowLastColumn="0"/>
            </w:pPr>
          </w:p>
        </w:tc>
        <w:tc>
          <w:tcPr>
            <w:tcW w:w="1744" w:type="dxa"/>
            <w:tcBorders>
              <w:bottom w:val="single" w:sz="4" w:space="0" w:color="auto"/>
            </w:tcBorders>
          </w:tcPr>
          <w:p w:rsidR="00A8228E" w:rsidRPr="004462CD" w:rsidRDefault="00A8228E" w:rsidP="00C938A6">
            <w:pPr>
              <w:cnfStyle w:val="000000000000" w:firstRow="0" w:lastRow="0" w:firstColumn="0" w:lastColumn="0" w:oddVBand="0" w:evenVBand="0" w:oddHBand="0" w:evenHBand="0" w:firstRowFirstColumn="0" w:firstRowLastColumn="0" w:lastRowFirstColumn="0" w:lastRowLastColumn="0"/>
            </w:pPr>
            <w:r w:rsidRPr="004462CD">
              <w:t>Higher crop yield and quality</w:t>
            </w:r>
          </w:p>
        </w:tc>
        <w:tc>
          <w:tcPr>
            <w:tcW w:w="1744" w:type="dxa"/>
            <w:tcBorders>
              <w:bottom w:val="single" w:sz="4" w:space="0" w:color="auto"/>
            </w:tcBorders>
          </w:tcPr>
          <w:p w:rsidR="00A8228E" w:rsidRPr="004462CD" w:rsidRDefault="00A8228E" w:rsidP="00C938A6">
            <w:pPr>
              <w:cnfStyle w:val="000000000000" w:firstRow="0" w:lastRow="0" w:firstColumn="0" w:lastColumn="0" w:oddVBand="0" w:evenVBand="0" w:oddHBand="0" w:evenHBand="0" w:firstRowFirstColumn="0" w:firstRowLastColumn="0" w:lastRowFirstColumn="0" w:lastRowLastColumn="0"/>
            </w:pPr>
            <w:r w:rsidRPr="004462CD">
              <w:t>Positive</w:t>
            </w:r>
          </w:p>
        </w:tc>
        <w:tc>
          <w:tcPr>
            <w:tcW w:w="1744" w:type="dxa"/>
            <w:tcBorders>
              <w:bottom w:val="single" w:sz="4" w:space="0" w:color="auto"/>
            </w:tcBorders>
          </w:tcPr>
          <w:p w:rsidR="00A8228E" w:rsidRDefault="00A8228E" w:rsidP="00C938A6">
            <w:pPr>
              <w:cnfStyle w:val="000000000000" w:firstRow="0" w:lastRow="0" w:firstColumn="0" w:lastColumn="0" w:oddVBand="0" w:evenVBand="0" w:oddHBand="0" w:evenHBand="0" w:firstRowFirstColumn="0" w:firstRowLastColumn="0" w:lastRowFirstColumn="0" w:lastRowLastColumn="0"/>
            </w:pPr>
            <w:r w:rsidRPr="004462CD">
              <w:t>Avoided heat stressed of crop</w:t>
            </w:r>
          </w:p>
        </w:tc>
      </w:tr>
    </w:tbl>
    <w:p w:rsidR="00A8228E" w:rsidRPr="00061E10" w:rsidRDefault="00A8228E" w:rsidP="00061E10">
      <w:pPr>
        <w:pStyle w:val="MJAnormal"/>
        <w:spacing w:after="240"/>
        <w:rPr>
          <w:rFonts w:asciiTheme="minorHAnsi" w:hAnsiTheme="minorHAnsi"/>
          <w:i/>
          <w:sz w:val="18"/>
          <w:szCs w:val="18"/>
        </w:rPr>
      </w:pPr>
      <w:r w:rsidRPr="00061E10">
        <w:rPr>
          <w:rFonts w:asciiTheme="minorHAnsi" w:hAnsiTheme="minorHAnsi"/>
          <w:i/>
          <w:sz w:val="18"/>
          <w:szCs w:val="18"/>
        </w:rPr>
        <w:t>Source: Marsden Jacob estimates</w:t>
      </w:r>
    </w:p>
    <w:p w:rsidR="001A49F3" w:rsidRDefault="001A49F3" w:rsidP="001A49F3">
      <w:pPr>
        <w:pStyle w:val="MJAnormal"/>
      </w:pPr>
      <w:r>
        <w:t>PIIOP investment in new delivery infrastructure</w:t>
      </w:r>
      <w:r w:rsidR="00564E3D">
        <w:t xml:space="preserve"> that</w:t>
      </w:r>
      <w:r>
        <w:t xml:space="preserve"> has reduced system evaporation and seepage</w:t>
      </w:r>
      <w:r w:rsidR="00564E3D">
        <w:t>,</w:t>
      </w:r>
      <w:r>
        <w:t xml:space="preserve"> </w:t>
      </w:r>
      <w:r w:rsidR="00102CFC">
        <w:t xml:space="preserve">and </w:t>
      </w:r>
      <w:r>
        <w:t xml:space="preserve">does not diminish the productive activity of other irrigators therefore creates additional water for productive use in the region. The Department estimates that the PIIOP investments result </w:t>
      </w:r>
      <w:r w:rsidRPr="00DA58DB">
        <w:t>in around 1% increase in proportion of total diversions delivered to farm gate</w:t>
      </w:r>
      <w:r>
        <w:t xml:space="preserve"> — after accounting for water savings returned to the Australian Government. This equates to approximately </w:t>
      </w:r>
      <w:r w:rsidRPr="00DA58DB">
        <w:t>7GL on average additional water deliv</w:t>
      </w:r>
      <w:r>
        <w:t xml:space="preserve">ered to the farm gate per annum. This estimate only includes PIIOP investments and excludes any prior modernisation works. </w:t>
      </w:r>
    </w:p>
    <w:p w:rsidR="001A49F3" w:rsidRDefault="001A49F3" w:rsidP="001A49F3">
      <w:pPr>
        <w:pStyle w:val="MJAnormal"/>
      </w:pPr>
      <w:r>
        <w:t xml:space="preserve">The Department of Agriculture </w:t>
      </w:r>
      <w:r w:rsidR="00670F0C">
        <w:t xml:space="preserve">and Water Resources </w:t>
      </w:r>
      <w:r>
        <w:t xml:space="preserve">estimates that PIIOP has also had a positive effect on the crop yield for citrus crops. New delivery infrastructure has reduced heat stress in the late stages of citrus crops and is estimated to contribute to 3 per cent extra crop yield (tonnes per hectare) across all citrus enterprises in the region. </w:t>
      </w:r>
    </w:p>
    <w:p w:rsidR="001A49F3" w:rsidRPr="00070412" w:rsidRDefault="001A49F3" w:rsidP="001A49F3">
      <w:pPr>
        <w:pStyle w:val="MJAbulletnormal"/>
        <w:numPr>
          <w:ilvl w:val="0"/>
          <w:numId w:val="0"/>
        </w:numPr>
      </w:pPr>
      <w:r w:rsidRPr="00070412">
        <w:t>We also note that infrastructure upgrades can:</w:t>
      </w:r>
    </w:p>
    <w:p w:rsidR="001A49F3" w:rsidRPr="00070412" w:rsidRDefault="001A49F3" w:rsidP="001A49F3">
      <w:pPr>
        <w:pStyle w:val="MJAbulletnormal"/>
      </w:pPr>
      <w:r w:rsidRPr="00070412">
        <w:t>reduce ordering times —</w:t>
      </w:r>
      <w:r w:rsidR="00122E32">
        <w:t xml:space="preserve"> </w:t>
      </w:r>
      <w:r w:rsidRPr="00070412">
        <w:t xml:space="preserve">reduces ordering times enabling the capacity to more accurately time watering to crop needs; </w:t>
      </w:r>
    </w:p>
    <w:p w:rsidR="001A49F3" w:rsidRPr="00070412" w:rsidRDefault="001A49F3" w:rsidP="001A49F3">
      <w:pPr>
        <w:pStyle w:val="MJAbulletnormal"/>
      </w:pPr>
      <w:r w:rsidRPr="00070412">
        <w:t>increase head and area of command — in some instances modernisation can increase volume of water that can be received and the area that water can be applied to</w:t>
      </w:r>
      <w:r w:rsidR="00A8228E">
        <w:t>; and</w:t>
      </w:r>
    </w:p>
    <w:p w:rsidR="001A49F3" w:rsidRDefault="001A49F3" w:rsidP="001A49F3">
      <w:pPr>
        <w:pStyle w:val="MJAbulletnormal"/>
      </w:pPr>
      <w:r w:rsidRPr="00070412">
        <w:t xml:space="preserve">avoid the incidence of on-farm expenditures on infrastructure such as turkey nests that address gaps </w:t>
      </w:r>
      <w:r w:rsidR="0028404B">
        <w:t xml:space="preserve">in </w:t>
      </w:r>
      <w:r w:rsidRPr="00070412">
        <w:t>public infrastructure service levels. These circumstances are case by case and usually rare. In this study</w:t>
      </w:r>
      <w:r w:rsidR="008C413F">
        <w:t>,</w:t>
      </w:r>
      <w:r w:rsidRPr="00070412">
        <w:t xml:space="preserve"> we exclude any avoid</w:t>
      </w:r>
      <w:r w:rsidR="00B70305">
        <w:t>ed</w:t>
      </w:r>
      <w:r w:rsidRPr="00070412">
        <w:t xml:space="preserve"> private infrastructure intervention to address public infrastructure service level gaps</w:t>
      </w:r>
      <w:r w:rsidR="00B70305">
        <w:rPr>
          <w:rStyle w:val="FootnoteReference"/>
        </w:rPr>
        <w:footnoteReference w:id="5"/>
      </w:r>
      <w:r w:rsidRPr="00070412">
        <w:t>.</w:t>
      </w:r>
      <w:r>
        <w:t xml:space="preserve"> </w:t>
      </w:r>
    </w:p>
    <w:p w:rsidR="001A49F3" w:rsidRDefault="001A49F3" w:rsidP="00122E32">
      <w:pPr>
        <w:pStyle w:val="MJAnormal"/>
      </w:pPr>
      <w:r>
        <w:t>We assume that these gains are realised through optimising the productivity gains of the new irrigation technologies. Therefore</w:t>
      </w:r>
      <w:r w:rsidR="008C413F">
        <w:t>,</w:t>
      </w:r>
      <w:r>
        <w:t xml:space="preserve"> we do not count these extra benefits where on-farm productivity gains have already been accounted for and by definition have already </w:t>
      </w:r>
      <w:r w:rsidR="0028404B">
        <w:t xml:space="preserve">been </w:t>
      </w:r>
      <w:r>
        <w:t>incorporated within the gain</w:t>
      </w:r>
      <w:r w:rsidR="00A8228E">
        <w:t>.</w:t>
      </w:r>
    </w:p>
    <w:p w:rsidR="001A49F3" w:rsidRDefault="001A49F3" w:rsidP="001A49F3">
      <w:pPr>
        <w:pStyle w:val="MJAheading3"/>
      </w:pPr>
      <w:r>
        <w:t xml:space="preserve">PIIOP and OFIEP on-farm construction </w:t>
      </w:r>
    </w:p>
    <w:p w:rsidR="001A49F3" w:rsidRDefault="001A49F3" w:rsidP="001A49F3">
      <w:pPr>
        <w:pStyle w:val="MJAnormal"/>
      </w:pPr>
      <w:r>
        <w:t>On-farm construction irrigation infrastructure investment can create ongoing on</w:t>
      </w:r>
      <w:r w:rsidR="00A277D1">
        <w:t>-</w:t>
      </w:r>
      <w:r>
        <w:t xml:space="preserve">farm productivity gains. These gains have </w:t>
      </w:r>
      <w:r w:rsidR="008908BF">
        <w:t xml:space="preserve">a net </w:t>
      </w:r>
      <w:r>
        <w:t xml:space="preserve">positive </w:t>
      </w:r>
      <w:r w:rsidR="00347830">
        <w:t>effect</w:t>
      </w:r>
      <w:r w:rsidR="008908BF">
        <w:t xml:space="preserve"> </w:t>
      </w:r>
      <w:r>
        <w:t>on gross value added for the region.</w:t>
      </w:r>
    </w:p>
    <w:p w:rsidR="001A49F3" w:rsidRDefault="001A49F3" w:rsidP="001A49F3">
      <w:pPr>
        <w:pStyle w:val="MJAnormal"/>
      </w:pPr>
      <w:r>
        <w:t>On</w:t>
      </w:r>
      <w:r w:rsidR="00A277D1">
        <w:t>-</w:t>
      </w:r>
      <w:r>
        <w:t>farm technologies that have been invested in under PIIOP and OFIEP</w:t>
      </w:r>
      <w:r w:rsidR="009E6C29">
        <w:t xml:space="preserve"> have predominantly</w:t>
      </w:r>
      <w:r>
        <w:t xml:space="preserve"> include</w:t>
      </w:r>
      <w:r w:rsidR="009E6C29">
        <w:t>d</w:t>
      </w:r>
      <w:r>
        <w:t>:</w:t>
      </w:r>
    </w:p>
    <w:p w:rsidR="001A49F3" w:rsidRDefault="001A49F3" w:rsidP="001A49F3">
      <w:pPr>
        <w:pStyle w:val="MJAbulletnormal"/>
      </w:pPr>
      <w:r>
        <w:t>pressurised irrigation systems such as in-situ drips and sprays on permanent plantings and lateral and centre pivots on annual crops such as cereals;</w:t>
      </w:r>
    </w:p>
    <w:p w:rsidR="001A49F3" w:rsidRDefault="001A49F3" w:rsidP="001A49F3">
      <w:pPr>
        <w:pStyle w:val="MJAbulletnormal"/>
      </w:pPr>
      <w:r>
        <w:t>lasering and channel and b</w:t>
      </w:r>
      <w:r w:rsidR="004462CD">
        <w:t>ank re-configuration earthworks; and</w:t>
      </w:r>
    </w:p>
    <w:p w:rsidR="001A49F3" w:rsidRDefault="001A49F3" w:rsidP="001A49F3">
      <w:pPr>
        <w:pStyle w:val="MJAbulletnormal"/>
      </w:pPr>
      <w:r>
        <w:t>farm dam and water recycling pump systems.</w:t>
      </w:r>
    </w:p>
    <w:p w:rsidR="004462CD" w:rsidRDefault="004462CD" w:rsidP="004462CD">
      <w:pPr>
        <w:pStyle w:val="MJAbulletnormal"/>
        <w:numPr>
          <w:ilvl w:val="0"/>
          <w:numId w:val="0"/>
        </w:numPr>
      </w:pPr>
      <w:r>
        <w:t>There has also been some stock and domestic investments that have increased quality and extent of pressurised water delivery to these properties.</w:t>
      </w:r>
    </w:p>
    <w:p w:rsidR="001A49F3" w:rsidRDefault="001A49F3" w:rsidP="001A49F3">
      <w:pPr>
        <w:pStyle w:val="MJAheading4"/>
      </w:pPr>
      <w:r>
        <w:t xml:space="preserve">Pressurised systems </w:t>
      </w:r>
    </w:p>
    <w:p w:rsidR="00A277D1" w:rsidRPr="00484065" w:rsidRDefault="001A49F3" w:rsidP="00A277D1">
      <w:pPr>
        <w:pStyle w:val="MJAnormal"/>
      </w:pPr>
      <w:r>
        <w:t xml:space="preserve">Pressured systems include among others in-situ drip and spray systems that </w:t>
      </w:r>
      <w:r w:rsidRPr="00484065">
        <w:t>have enabled deliver</w:t>
      </w:r>
      <w:r w:rsidR="00A277D1" w:rsidRPr="00484065">
        <w:t>y</w:t>
      </w:r>
      <w:r w:rsidRPr="00484065">
        <w:t xml:space="preserve"> of water to perennial plant root zone in wine grapes citrus and almonds. </w:t>
      </w:r>
      <w:r w:rsidR="00A277D1" w:rsidRPr="00061E10">
        <w:t xml:space="preserve">Lateral and centre pivots </w:t>
      </w:r>
      <w:r w:rsidR="007C305D" w:rsidRPr="00061E10">
        <w:t xml:space="preserve">(overhead irrigation) </w:t>
      </w:r>
      <w:r w:rsidR="00A277D1" w:rsidRPr="00061E10">
        <w:t>are used in broader-acre annual crop systems such as cereals.</w:t>
      </w:r>
    </w:p>
    <w:p w:rsidR="001A49F3" w:rsidRDefault="00A277D1" w:rsidP="001A49F3">
      <w:pPr>
        <w:pStyle w:val="MJAnormal"/>
      </w:pPr>
      <w:r w:rsidRPr="00484065">
        <w:t>Most pressurised systems instal</w:t>
      </w:r>
      <w:r w:rsidR="007C305D" w:rsidRPr="00484065">
        <w:t xml:space="preserve">led under PIIOP and OFIEP were </w:t>
      </w:r>
      <w:r w:rsidRPr="00484065">
        <w:t>drip systems on</w:t>
      </w:r>
      <w:r>
        <w:t xml:space="preserve"> wine grapes and citrus (</w:t>
      </w:r>
      <w:r>
        <w:fldChar w:fldCharType="begin"/>
      </w:r>
      <w:r>
        <w:instrText xml:space="preserve"> REF _Ref477269020 \h </w:instrText>
      </w:r>
      <w:r>
        <w:fldChar w:fldCharType="separate"/>
      </w:r>
      <w:r w:rsidR="002F2E38">
        <w:t xml:space="preserve">Table </w:t>
      </w:r>
      <w:r w:rsidR="002F2E38">
        <w:rPr>
          <w:noProof/>
        </w:rPr>
        <w:t>7</w:t>
      </w:r>
      <w:r>
        <w:fldChar w:fldCharType="end"/>
      </w:r>
      <w:r>
        <w:t>).</w:t>
      </w:r>
    </w:p>
    <w:p w:rsidR="001A49F3" w:rsidRDefault="001A49F3" w:rsidP="001A49F3">
      <w:pPr>
        <w:pStyle w:val="Caption"/>
      </w:pPr>
      <w:bookmarkStart w:id="119" w:name="_Ref477269020"/>
      <w:bookmarkStart w:id="120" w:name="_Toc481964518"/>
      <w:bookmarkStart w:id="121" w:name="_Toc494892436"/>
      <w:r>
        <w:t xml:space="preserve">Table </w:t>
      </w:r>
      <w:fldSimple w:instr=" SEQ Table \* ARABIC ">
        <w:r w:rsidR="002F2E38">
          <w:rPr>
            <w:noProof/>
          </w:rPr>
          <w:t>7</w:t>
        </w:r>
      </w:fldSimple>
      <w:bookmarkEnd w:id="119"/>
      <w:r>
        <w:t xml:space="preserve"> Crops and areas converted</w:t>
      </w:r>
      <w:r w:rsidR="00A277D1">
        <w:t xml:space="preserve"> to pressurised systems</w:t>
      </w:r>
      <w:bookmarkEnd w:id="120"/>
      <w:bookmarkEnd w:id="121"/>
    </w:p>
    <w:tbl>
      <w:tblPr>
        <w:tblStyle w:val="MJATable1"/>
        <w:tblW w:w="0" w:type="auto"/>
        <w:tblLook w:val="04A0" w:firstRow="1" w:lastRow="0" w:firstColumn="1" w:lastColumn="0" w:noHBand="0" w:noVBand="1"/>
      </w:tblPr>
      <w:tblGrid>
        <w:gridCol w:w="2832"/>
        <w:gridCol w:w="2843"/>
        <w:gridCol w:w="2829"/>
      </w:tblGrid>
      <w:tr w:rsidR="001A49F3" w:rsidTr="00061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rsidR="001A49F3" w:rsidRPr="00061E10" w:rsidRDefault="001A49F3" w:rsidP="004462CD">
            <w:pPr>
              <w:pStyle w:val="MJAnormal"/>
              <w:rPr>
                <w:rFonts w:asciiTheme="minorHAnsi" w:hAnsiTheme="minorHAnsi"/>
              </w:rPr>
            </w:pPr>
            <w:r w:rsidRPr="00061E10">
              <w:rPr>
                <w:rFonts w:asciiTheme="minorHAnsi" w:hAnsiTheme="minorHAnsi"/>
              </w:rPr>
              <w:t>Farm system</w:t>
            </w:r>
          </w:p>
        </w:tc>
        <w:tc>
          <w:tcPr>
            <w:tcW w:w="2843" w:type="dxa"/>
          </w:tcPr>
          <w:p w:rsidR="001A49F3" w:rsidRPr="00061E10" w:rsidRDefault="001A49F3" w:rsidP="004462CD">
            <w:pPr>
              <w:pStyle w:val="MJAnormal"/>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61E10">
              <w:rPr>
                <w:rFonts w:asciiTheme="minorHAnsi" w:hAnsiTheme="minorHAnsi"/>
              </w:rPr>
              <w:t>Technology change</w:t>
            </w:r>
          </w:p>
        </w:tc>
        <w:tc>
          <w:tcPr>
            <w:tcW w:w="2829" w:type="dxa"/>
          </w:tcPr>
          <w:p w:rsidR="001A49F3" w:rsidRPr="00061E10" w:rsidRDefault="001A49F3" w:rsidP="004462CD">
            <w:pPr>
              <w:pStyle w:val="MJAnormal"/>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61E10">
              <w:rPr>
                <w:rFonts w:asciiTheme="minorHAnsi" w:hAnsiTheme="minorHAnsi"/>
              </w:rPr>
              <w:t>Hectares</w:t>
            </w:r>
          </w:p>
        </w:tc>
      </w:tr>
      <w:tr w:rsidR="002045D6" w:rsidTr="00061E10">
        <w:tc>
          <w:tcPr>
            <w:cnfStyle w:val="001000000000" w:firstRow="0" w:lastRow="0" w:firstColumn="1" w:lastColumn="0" w:oddVBand="0" w:evenVBand="0" w:oddHBand="0" w:evenHBand="0" w:firstRowFirstColumn="0" w:firstRowLastColumn="0" w:lastRowFirstColumn="0" w:lastRowLastColumn="0"/>
            <w:tcW w:w="2832" w:type="dxa"/>
          </w:tcPr>
          <w:p w:rsidR="002045D6" w:rsidRPr="00061E10" w:rsidRDefault="002045D6" w:rsidP="002045D6">
            <w:pPr>
              <w:pStyle w:val="MJAnormal"/>
              <w:rPr>
                <w:rFonts w:asciiTheme="minorHAnsi" w:hAnsiTheme="minorHAnsi"/>
              </w:rPr>
            </w:pPr>
            <w:r w:rsidRPr="00061E10">
              <w:rPr>
                <w:rFonts w:asciiTheme="minorHAnsi" w:hAnsiTheme="minorHAnsi"/>
              </w:rPr>
              <w:t>Wine grape</w:t>
            </w:r>
          </w:p>
        </w:tc>
        <w:tc>
          <w:tcPr>
            <w:tcW w:w="2843" w:type="dxa"/>
          </w:tcPr>
          <w:p w:rsidR="002045D6" w:rsidRPr="00061E10" w:rsidRDefault="002045D6" w:rsidP="002045D6">
            <w:pPr>
              <w:pStyle w:val="MJAnormal"/>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1E10">
              <w:rPr>
                <w:rFonts w:asciiTheme="minorHAnsi" w:hAnsiTheme="minorHAnsi"/>
              </w:rPr>
              <w:t>Flood/furrow to drip</w:t>
            </w:r>
          </w:p>
        </w:tc>
        <w:tc>
          <w:tcPr>
            <w:tcW w:w="2829" w:type="dxa"/>
          </w:tcPr>
          <w:p w:rsidR="002045D6" w:rsidRPr="00061E10" w:rsidRDefault="008C413F" w:rsidP="002045D6">
            <w:pPr>
              <w:pStyle w:val="MJAnormal"/>
              <w:cnfStyle w:val="000000000000" w:firstRow="0" w:lastRow="0" w:firstColumn="0" w:lastColumn="0" w:oddVBand="0" w:evenVBand="0" w:oddHBand="0" w:evenHBand="0" w:firstRowFirstColumn="0" w:firstRowLastColumn="0" w:lastRowFirstColumn="0" w:lastRowLastColumn="0"/>
              <w:rPr>
                <w:rFonts w:asciiTheme="minorHAnsi" w:hAnsiTheme="minorHAnsi"/>
                <w:highlight w:val="green"/>
              </w:rPr>
            </w:pPr>
            <w:r w:rsidRPr="00061E10">
              <w:rPr>
                <w:rFonts w:asciiTheme="minorHAnsi" w:hAnsiTheme="minorHAnsi"/>
              </w:rPr>
              <w:t>576</w:t>
            </w:r>
          </w:p>
        </w:tc>
      </w:tr>
      <w:tr w:rsidR="002045D6" w:rsidTr="00061E10">
        <w:tc>
          <w:tcPr>
            <w:cnfStyle w:val="001000000000" w:firstRow="0" w:lastRow="0" w:firstColumn="1" w:lastColumn="0" w:oddVBand="0" w:evenVBand="0" w:oddHBand="0" w:evenHBand="0" w:firstRowFirstColumn="0" w:firstRowLastColumn="0" w:lastRowFirstColumn="0" w:lastRowLastColumn="0"/>
            <w:tcW w:w="2832" w:type="dxa"/>
          </w:tcPr>
          <w:p w:rsidR="002045D6" w:rsidRPr="00061E10" w:rsidRDefault="002045D6" w:rsidP="002045D6">
            <w:pPr>
              <w:pStyle w:val="MJAnormal"/>
              <w:rPr>
                <w:rFonts w:asciiTheme="minorHAnsi" w:hAnsiTheme="minorHAnsi"/>
              </w:rPr>
            </w:pPr>
            <w:r w:rsidRPr="00061E10">
              <w:rPr>
                <w:rFonts w:asciiTheme="minorHAnsi" w:hAnsiTheme="minorHAnsi"/>
              </w:rPr>
              <w:t>Citrus</w:t>
            </w:r>
          </w:p>
        </w:tc>
        <w:tc>
          <w:tcPr>
            <w:tcW w:w="2843" w:type="dxa"/>
          </w:tcPr>
          <w:p w:rsidR="002045D6" w:rsidRPr="00061E10" w:rsidRDefault="002045D6" w:rsidP="002045D6">
            <w:pPr>
              <w:pStyle w:val="MJAnormal"/>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1E10">
              <w:rPr>
                <w:rFonts w:asciiTheme="minorHAnsi" w:hAnsiTheme="minorHAnsi"/>
              </w:rPr>
              <w:t>Flood/Furrow to drip</w:t>
            </w:r>
          </w:p>
        </w:tc>
        <w:tc>
          <w:tcPr>
            <w:tcW w:w="2829" w:type="dxa"/>
          </w:tcPr>
          <w:p w:rsidR="002045D6" w:rsidRPr="00061E10" w:rsidRDefault="002045D6" w:rsidP="002045D6">
            <w:pPr>
              <w:pStyle w:val="MJAnormal"/>
              <w:cnfStyle w:val="000000000000" w:firstRow="0" w:lastRow="0" w:firstColumn="0" w:lastColumn="0" w:oddVBand="0" w:evenVBand="0" w:oddHBand="0" w:evenHBand="0" w:firstRowFirstColumn="0" w:firstRowLastColumn="0" w:lastRowFirstColumn="0" w:lastRowLastColumn="0"/>
              <w:rPr>
                <w:rFonts w:asciiTheme="minorHAnsi" w:hAnsiTheme="minorHAnsi"/>
                <w:highlight w:val="green"/>
              </w:rPr>
            </w:pPr>
            <w:r w:rsidRPr="00061E10">
              <w:rPr>
                <w:rFonts w:asciiTheme="minorHAnsi" w:hAnsiTheme="minorHAnsi"/>
              </w:rPr>
              <w:t>1,220</w:t>
            </w:r>
          </w:p>
        </w:tc>
      </w:tr>
      <w:tr w:rsidR="007C305D" w:rsidTr="00061E10">
        <w:tc>
          <w:tcPr>
            <w:cnfStyle w:val="001000000000" w:firstRow="0" w:lastRow="0" w:firstColumn="1" w:lastColumn="0" w:oddVBand="0" w:evenVBand="0" w:oddHBand="0" w:evenHBand="0" w:firstRowFirstColumn="0" w:firstRowLastColumn="0" w:lastRowFirstColumn="0" w:lastRowLastColumn="0"/>
            <w:tcW w:w="2832" w:type="dxa"/>
            <w:tcBorders>
              <w:bottom w:val="single" w:sz="4" w:space="0" w:color="auto"/>
            </w:tcBorders>
          </w:tcPr>
          <w:p w:rsidR="007C305D" w:rsidRPr="00061E10" w:rsidRDefault="007C305D" w:rsidP="007C305D">
            <w:pPr>
              <w:pStyle w:val="MJAnormal"/>
              <w:rPr>
                <w:rFonts w:asciiTheme="minorHAnsi" w:hAnsiTheme="minorHAnsi"/>
              </w:rPr>
            </w:pPr>
            <w:r w:rsidRPr="00061E10">
              <w:rPr>
                <w:rFonts w:asciiTheme="minorHAnsi" w:hAnsiTheme="minorHAnsi"/>
              </w:rPr>
              <w:t>Rice and cereals</w:t>
            </w:r>
          </w:p>
        </w:tc>
        <w:tc>
          <w:tcPr>
            <w:tcW w:w="2843" w:type="dxa"/>
            <w:tcBorders>
              <w:bottom w:val="single" w:sz="4" w:space="0" w:color="auto"/>
            </w:tcBorders>
          </w:tcPr>
          <w:p w:rsidR="007C305D" w:rsidRPr="00061E10" w:rsidRDefault="007C305D" w:rsidP="007C305D">
            <w:pPr>
              <w:pStyle w:val="MJAnormal"/>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1E10">
              <w:rPr>
                <w:rFonts w:asciiTheme="minorHAnsi" w:hAnsiTheme="minorHAnsi"/>
              </w:rPr>
              <w:t>Shift to overhead irrigation</w:t>
            </w:r>
          </w:p>
        </w:tc>
        <w:tc>
          <w:tcPr>
            <w:tcW w:w="2829" w:type="dxa"/>
            <w:tcBorders>
              <w:bottom w:val="single" w:sz="4" w:space="0" w:color="auto"/>
            </w:tcBorders>
          </w:tcPr>
          <w:p w:rsidR="007C305D" w:rsidRPr="00061E10" w:rsidRDefault="00A922C6" w:rsidP="007C305D">
            <w:pPr>
              <w:pStyle w:val="MJAnormal"/>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1E10">
              <w:rPr>
                <w:rFonts w:asciiTheme="minorHAnsi" w:hAnsiTheme="minorHAnsi"/>
              </w:rPr>
              <w:t>88</w:t>
            </w:r>
          </w:p>
        </w:tc>
      </w:tr>
    </w:tbl>
    <w:p w:rsidR="001A49F3" w:rsidRDefault="001A49F3" w:rsidP="001A49F3">
      <w:pPr>
        <w:pStyle w:val="MJAsource"/>
      </w:pPr>
      <w:r>
        <w:t xml:space="preserve">Source Marsden Jacob estimates </w:t>
      </w:r>
    </w:p>
    <w:p w:rsidR="001A49F3" w:rsidRDefault="001A49F3" w:rsidP="001A49F3">
      <w:pPr>
        <w:pStyle w:val="MJAheading4"/>
      </w:pPr>
      <w:r>
        <w:t>Laser grading for rice</w:t>
      </w:r>
      <w:r w:rsidR="000767EF">
        <w:t xml:space="preserve">, </w:t>
      </w:r>
      <w:r w:rsidR="000767EF" w:rsidRPr="00484065">
        <w:t>cereals</w:t>
      </w:r>
      <w:r w:rsidRPr="00484065">
        <w:t xml:space="preserve"> </w:t>
      </w:r>
      <w:r w:rsidR="00A922C6" w:rsidRPr="00484065">
        <w:t>and cotton</w:t>
      </w:r>
    </w:p>
    <w:p w:rsidR="001A49F3" w:rsidRDefault="001A49F3" w:rsidP="001A49F3">
      <w:pPr>
        <w:pStyle w:val="MJAnormal"/>
      </w:pPr>
      <w:r w:rsidRPr="00484065">
        <w:t xml:space="preserve">Laser grading upgrades for irrigated annual cropping dominate OFIEP expenditures. </w:t>
      </w:r>
      <w:r w:rsidRPr="00061E10">
        <w:t xml:space="preserve">We estimate </w:t>
      </w:r>
      <w:r w:rsidR="00A922C6">
        <w:t>12,</w:t>
      </w:r>
      <w:r w:rsidR="008C413F">
        <w:t xml:space="preserve">027 </w:t>
      </w:r>
      <w:r w:rsidRPr="00061E10">
        <w:t xml:space="preserve">hectares of irrigated land </w:t>
      </w:r>
      <w:r w:rsidR="00A922C6">
        <w:t xml:space="preserve">used for rice </w:t>
      </w:r>
      <w:r w:rsidR="000767EF">
        <w:t xml:space="preserve">and cereals </w:t>
      </w:r>
      <w:r w:rsidR="00A922C6">
        <w:t xml:space="preserve">production </w:t>
      </w:r>
      <w:r w:rsidRPr="00061E10">
        <w:t>has been converted to improved laser levelled cropping area.</w:t>
      </w:r>
      <w:r w:rsidRPr="00484065">
        <w:t xml:space="preserve"> </w:t>
      </w:r>
      <w:r w:rsidR="00A922C6">
        <w:t xml:space="preserve">Similarly, 391 hectares of land used for cotton production have been improved. </w:t>
      </w:r>
      <w:r w:rsidRPr="00484065">
        <w:t>The major form of up-grade has been to convert to bank-less channel systems that enabled terracing of larger irrigation bays that self</w:t>
      </w:r>
      <w:r>
        <w:t xml:space="preserve">-irrigate. </w:t>
      </w:r>
    </w:p>
    <w:p w:rsidR="001A49F3" w:rsidRDefault="001A49F3" w:rsidP="001A49F3">
      <w:pPr>
        <w:pStyle w:val="MJAheading4"/>
      </w:pPr>
      <w:r>
        <w:t>Return flow systems-</w:t>
      </w:r>
      <w:r w:rsidRPr="000251FC">
        <w:t xml:space="preserve"> </w:t>
      </w:r>
      <w:r>
        <w:t>Farm dam and water recycling pump systems</w:t>
      </w:r>
    </w:p>
    <w:p w:rsidR="001A49F3" w:rsidRDefault="001A49F3" w:rsidP="001A49F3">
      <w:pPr>
        <w:pStyle w:val="MJAnormal"/>
      </w:pPr>
      <w:r w:rsidRPr="00061E10">
        <w:t>Under OFIEP</w:t>
      </w:r>
      <w:r w:rsidR="00FD2FA7">
        <w:t>,</w:t>
      </w:r>
      <w:r w:rsidRPr="00061E10">
        <w:t xml:space="preserve"> </w:t>
      </w:r>
      <w:r w:rsidR="00561D1E" w:rsidRPr="00061E10">
        <w:t>22</w:t>
      </w:r>
      <w:r w:rsidRPr="00061E10">
        <w:t xml:space="preserve"> landholders installed </w:t>
      </w:r>
      <w:r w:rsidR="00A922C6" w:rsidRPr="00061E10">
        <w:t xml:space="preserve">new or improved </w:t>
      </w:r>
      <w:r w:rsidRPr="00061E10">
        <w:t>return flow systems as part of on farm irrigation systems upgrades.</w:t>
      </w:r>
      <w:r w:rsidRPr="00484065">
        <w:t xml:space="preserve"> </w:t>
      </w:r>
      <w:r w:rsidR="00A922C6" w:rsidRPr="00484065">
        <w:t xml:space="preserve">This </w:t>
      </w:r>
      <w:r w:rsidR="00A922C6">
        <w:t xml:space="preserve">could </w:t>
      </w:r>
      <w:r w:rsidR="0028404B">
        <w:t xml:space="preserve">include </w:t>
      </w:r>
      <w:r w:rsidR="00561D1E">
        <w:t>investments such as</w:t>
      </w:r>
      <w:r w:rsidR="00A922C6">
        <w:t xml:space="preserve"> new or improved pumps</w:t>
      </w:r>
      <w:r w:rsidR="00561D1E">
        <w:t xml:space="preserve"> and</w:t>
      </w:r>
      <w:r w:rsidR="00A922C6">
        <w:t xml:space="preserve"> new or improved drains for the pumping station</w:t>
      </w:r>
      <w:r w:rsidR="00561D1E">
        <w:t>.</w:t>
      </w:r>
    </w:p>
    <w:p w:rsidR="001A49F3" w:rsidRDefault="001A49F3" w:rsidP="001A49F3">
      <w:pPr>
        <w:pStyle w:val="MJAheading3"/>
      </w:pPr>
      <w:r>
        <w:t>Effects on local value added</w:t>
      </w:r>
    </w:p>
    <w:p w:rsidR="001A49F3" w:rsidRDefault="004D4F09" w:rsidP="001A49F3">
      <w:pPr>
        <w:pStyle w:val="MJAbulletnormal"/>
        <w:numPr>
          <w:ilvl w:val="0"/>
          <w:numId w:val="0"/>
        </w:numPr>
      </w:pPr>
      <w:r>
        <w:t>Changes to o</w:t>
      </w:r>
      <w:r w:rsidR="001A49F3">
        <w:t>n</w:t>
      </w:r>
      <w:r>
        <w:t>-</w:t>
      </w:r>
      <w:r w:rsidR="001A49F3">
        <w:t>farm water infrastructure can alter farm input use and</w:t>
      </w:r>
      <w:r w:rsidR="00561D1E">
        <w:t>/or</w:t>
      </w:r>
      <w:r w:rsidR="001A49F3">
        <w:t xml:space="preserve"> outputs (</w:t>
      </w:r>
      <w:r w:rsidR="00561D1E">
        <w:fldChar w:fldCharType="begin"/>
      </w:r>
      <w:r w:rsidR="00561D1E">
        <w:instrText xml:space="preserve"> REF _Ref477271274 \h </w:instrText>
      </w:r>
      <w:r w:rsidR="00561D1E">
        <w:fldChar w:fldCharType="separate"/>
      </w:r>
      <w:r w:rsidR="002F2E38">
        <w:t xml:space="preserve">Table </w:t>
      </w:r>
      <w:r w:rsidR="002F2E38">
        <w:rPr>
          <w:noProof/>
        </w:rPr>
        <w:t>8</w:t>
      </w:r>
      <w:r w:rsidR="00561D1E">
        <w:fldChar w:fldCharType="end"/>
      </w:r>
      <w:r w:rsidR="001A49F3">
        <w:t xml:space="preserve">). </w:t>
      </w:r>
    </w:p>
    <w:p w:rsidR="001A49F3" w:rsidRDefault="001A49F3" w:rsidP="001A49F3">
      <w:pPr>
        <w:pStyle w:val="MJAbulletnormal"/>
        <w:numPr>
          <w:ilvl w:val="0"/>
          <w:numId w:val="0"/>
        </w:numPr>
      </w:pPr>
      <w:r>
        <w:t>The characteristics of these changes can have positive</w:t>
      </w:r>
      <w:r w:rsidR="008908BF">
        <w:t>,</w:t>
      </w:r>
      <w:r>
        <w:t xml:space="preserve"> negative or neutral effects </w:t>
      </w:r>
      <w:r w:rsidR="000D3874">
        <w:t>in the very short run on</w:t>
      </w:r>
      <w:r w:rsidR="00F523FE">
        <w:t xml:space="preserve"> </w:t>
      </w:r>
      <w:r>
        <w:t>first round local (and regional) economic activity. These effects are described in further detail below. Of interest in this project are productivity changes that have a positive net effect on local value added. These occur where the change results in a net increase in farm output or the value of farm output. Productivity changes that result in the shift of resources between one group to another are transfers and have a neutral first round effect on local value added.</w:t>
      </w:r>
    </w:p>
    <w:p w:rsidR="001A49F3" w:rsidRDefault="001A49F3" w:rsidP="001A49F3">
      <w:pPr>
        <w:pStyle w:val="Caption"/>
      </w:pPr>
      <w:bookmarkStart w:id="122" w:name="_Ref477271274"/>
      <w:bookmarkStart w:id="123" w:name="_Toc481964519"/>
      <w:bookmarkStart w:id="124" w:name="_Toc494892437"/>
      <w:r>
        <w:t xml:space="preserve">Table </w:t>
      </w:r>
      <w:fldSimple w:instr=" SEQ Table \* ARABIC ">
        <w:r w:rsidR="002F2E38">
          <w:rPr>
            <w:noProof/>
          </w:rPr>
          <w:t>8</w:t>
        </w:r>
      </w:fldSimple>
      <w:bookmarkEnd w:id="122"/>
      <w:r>
        <w:t>: On farm irrigation system changes under PIIOP and OFIEP</w:t>
      </w:r>
      <w:bookmarkEnd w:id="123"/>
      <w:bookmarkEnd w:id="124"/>
    </w:p>
    <w:tbl>
      <w:tblPr>
        <w:tblStyle w:val="MJATable1"/>
        <w:tblW w:w="0" w:type="auto"/>
        <w:tblLook w:val="04A0" w:firstRow="1" w:lastRow="0" w:firstColumn="1" w:lastColumn="0" w:noHBand="0" w:noVBand="1"/>
      </w:tblPr>
      <w:tblGrid>
        <w:gridCol w:w="1688"/>
        <w:gridCol w:w="1719"/>
        <w:gridCol w:w="1698"/>
        <w:gridCol w:w="1692"/>
        <w:gridCol w:w="1707"/>
      </w:tblGrid>
      <w:tr w:rsidR="001A49F3" w:rsidTr="00F20D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88" w:type="dxa"/>
          </w:tcPr>
          <w:p w:rsidR="001A49F3" w:rsidRDefault="001A49F3" w:rsidP="004462CD">
            <w:r>
              <w:t>Program</w:t>
            </w:r>
          </w:p>
        </w:tc>
        <w:tc>
          <w:tcPr>
            <w:tcW w:w="1719" w:type="dxa"/>
          </w:tcPr>
          <w:p w:rsidR="001A49F3" w:rsidRDefault="001A49F3" w:rsidP="004462CD">
            <w:pPr>
              <w:cnfStyle w:val="100000000000" w:firstRow="1" w:lastRow="0" w:firstColumn="0" w:lastColumn="0" w:oddVBand="0" w:evenVBand="0" w:oddHBand="0" w:evenHBand="0" w:firstRowFirstColumn="0" w:firstRowLastColumn="0" w:lastRowFirstColumn="0" w:lastRowLastColumn="0"/>
            </w:pPr>
            <w:r>
              <w:t>Investment</w:t>
            </w:r>
          </w:p>
        </w:tc>
        <w:tc>
          <w:tcPr>
            <w:tcW w:w="1698" w:type="dxa"/>
          </w:tcPr>
          <w:p w:rsidR="001A49F3" w:rsidRDefault="001A49F3" w:rsidP="004462CD">
            <w:pPr>
              <w:cnfStyle w:val="100000000000" w:firstRow="1" w:lastRow="0" w:firstColumn="0" w:lastColumn="0" w:oddVBand="0" w:evenVBand="0" w:oddHBand="0" w:evenHBand="0" w:firstRowFirstColumn="0" w:firstRowLastColumn="0" w:lastRowFirstColumn="0" w:lastRowLastColumn="0"/>
            </w:pPr>
            <w:r>
              <w:t>Input or output effect</w:t>
            </w:r>
          </w:p>
        </w:tc>
        <w:tc>
          <w:tcPr>
            <w:tcW w:w="1692" w:type="dxa"/>
          </w:tcPr>
          <w:p w:rsidR="001A49F3" w:rsidRDefault="001A49F3" w:rsidP="004462CD">
            <w:pPr>
              <w:cnfStyle w:val="100000000000" w:firstRow="1" w:lastRow="0" w:firstColumn="0" w:lastColumn="0" w:oddVBand="0" w:evenVBand="0" w:oddHBand="0" w:evenHBand="0" w:firstRowFirstColumn="0" w:firstRowLastColumn="0" w:lastRowFirstColumn="0" w:lastRowLastColumn="0"/>
            </w:pPr>
            <w:r>
              <w:t>First round local economy effect</w:t>
            </w:r>
            <w:r w:rsidR="000D3874">
              <w:rPr>
                <w:rStyle w:val="FootnoteReference"/>
              </w:rPr>
              <w:footnoteReference w:id="6"/>
            </w:r>
            <w:r>
              <w:t xml:space="preserve"> </w:t>
            </w:r>
          </w:p>
        </w:tc>
        <w:tc>
          <w:tcPr>
            <w:tcW w:w="1707" w:type="dxa"/>
          </w:tcPr>
          <w:p w:rsidR="001A49F3" w:rsidRDefault="001A49F3" w:rsidP="004462CD">
            <w:pPr>
              <w:cnfStyle w:val="100000000000" w:firstRow="1" w:lastRow="0" w:firstColumn="0" w:lastColumn="0" w:oddVBand="0" w:evenVBand="0" w:oddHBand="0" w:evenHBand="0" w:firstRowFirstColumn="0" w:firstRowLastColumn="0" w:lastRowFirstColumn="0" w:lastRowLastColumn="0"/>
            </w:pPr>
            <w:r>
              <w:t>Explanation</w:t>
            </w:r>
          </w:p>
        </w:tc>
      </w:tr>
      <w:tr w:rsidR="001A49F3" w:rsidTr="00F20D24">
        <w:tc>
          <w:tcPr>
            <w:cnfStyle w:val="001000000000" w:firstRow="0" w:lastRow="0" w:firstColumn="1" w:lastColumn="0" w:oddVBand="0" w:evenVBand="0" w:oddHBand="0" w:evenHBand="0" w:firstRowFirstColumn="0" w:firstRowLastColumn="0" w:lastRowFirstColumn="0" w:lastRowLastColumn="0"/>
            <w:tcW w:w="1688" w:type="dxa"/>
          </w:tcPr>
          <w:p w:rsidR="001A49F3" w:rsidRDefault="001A49F3" w:rsidP="004462CD">
            <w:r>
              <w:t>PIIOP On Farm</w:t>
            </w:r>
          </w:p>
        </w:tc>
        <w:tc>
          <w:tcPr>
            <w:tcW w:w="1719"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 xml:space="preserve">Drip </w:t>
            </w:r>
          </w:p>
        </w:tc>
        <w:tc>
          <w:tcPr>
            <w:tcW w:w="1698"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Increased quality of wine grapes</w:t>
            </w:r>
          </w:p>
        </w:tc>
        <w:tc>
          <w:tcPr>
            <w:tcW w:w="1692"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Positive</w:t>
            </w:r>
          </w:p>
        </w:tc>
        <w:tc>
          <w:tcPr>
            <w:tcW w:w="1707"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Higher farm income</w:t>
            </w:r>
          </w:p>
        </w:tc>
      </w:tr>
      <w:tr w:rsidR="001A49F3" w:rsidTr="00F20D24">
        <w:tc>
          <w:tcPr>
            <w:cnfStyle w:val="001000000000" w:firstRow="0" w:lastRow="0" w:firstColumn="1" w:lastColumn="0" w:oddVBand="0" w:evenVBand="0" w:oddHBand="0" w:evenHBand="0" w:firstRowFirstColumn="0" w:firstRowLastColumn="0" w:lastRowFirstColumn="0" w:lastRowLastColumn="0"/>
            <w:tcW w:w="1688" w:type="dxa"/>
          </w:tcPr>
          <w:p w:rsidR="001A49F3" w:rsidRDefault="001A49F3" w:rsidP="004462CD"/>
        </w:tc>
        <w:tc>
          <w:tcPr>
            <w:tcW w:w="1719"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p>
        </w:tc>
        <w:tc>
          <w:tcPr>
            <w:tcW w:w="1698"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Lower on farm labour costs</w:t>
            </w:r>
          </w:p>
        </w:tc>
        <w:tc>
          <w:tcPr>
            <w:tcW w:w="1692"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Neutral</w:t>
            </w:r>
          </w:p>
        </w:tc>
        <w:tc>
          <w:tcPr>
            <w:tcW w:w="1707"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Labour savings offsets lower farm costs</w:t>
            </w:r>
          </w:p>
        </w:tc>
      </w:tr>
      <w:tr w:rsidR="001A49F3" w:rsidTr="00F20D24">
        <w:tc>
          <w:tcPr>
            <w:cnfStyle w:val="001000000000" w:firstRow="0" w:lastRow="0" w:firstColumn="1" w:lastColumn="0" w:oddVBand="0" w:evenVBand="0" w:oddHBand="0" w:evenHBand="0" w:firstRowFirstColumn="0" w:firstRowLastColumn="0" w:lastRowFirstColumn="0" w:lastRowLastColumn="0"/>
            <w:tcW w:w="1688" w:type="dxa"/>
          </w:tcPr>
          <w:p w:rsidR="001A49F3" w:rsidRDefault="001A49F3" w:rsidP="004462CD"/>
        </w:tc>
        <w:tc>
          <w:tcPr>
            <w:tcW w:w="1719"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p>
        </w:tc>
        <w:tc>
          <w:tcPr>
            <w:tcW w:w="1698"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Lower on farm fertiliser costs</w:t>
            </w:r>
          </w:p>
        </w:tc>
        <w:tc>
          <w:tcPr>
            <w:tcW w:w="1692"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Neutral</w:t>
            </w:r>
          </w:p>
        </w:tc>
        <w:tc>
          <w:tcPr>
            <w:tcW w:w="1707"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Fertiliser savings offset lower farm costs</w:t>
            </w:r>
          </w:p>
        </w:tc>
      </w:tr>
      <w:tr w:rsidR="001A49F3" w:rsidTr="00F20D24">
        <w:tc>
          <w:tcPr>
            <w:cnfStyle w:val="001000000000" w:firstRow="0" w:lastRow="0" w:firstColumn="1" w:lastColumn="0" w:oddVBand="0" w:evenVBand="0" w:oddHBand="0" w:evenHBand="0" w:firstRowFirstColumn="0" w:firstRowLastColumn="0" w:lastRowFirstColumn="0" w:lastRowLastColumn="0"/>
            <w:tcW w:w="1688" w:type="dxa"/>
          </w:tcPr>
          <w:p w:rsidR="001A49F3" w:rsidRDefault="001A49F3" w:rsidP="004462CD"/>
        </w:tc>
        <w:tc>
          <w:tcPr>
            <w:tcW w:w="1719"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p>
        </w:tc>
        <w:tc>
          <w:tcPr>
            <w:tcW w:w="1698" w:type="dxa"/>
          </w:tcPr>
          <w:p w:rsidR="001A49F3" w:rsidRDefault="001A49F3" w:rsidP="00061E10">
            <w:pPr>
              <w:cnfStyle w:val="000000000000" w:firstRow="0" w:lastRow="0" w:firstColumn="0" w:lastColumn="0" w:oddVBand="0" w:evenVBand="0" w:oddHBand="0" w:evenHBand="0" w:firstRowFirstColumn="0" w:firstRowLastColumn="0" w:lastRowFirstColumn="0" w:lastRowLastColumn="0"/>
            </w:pPr>
            <w:r>
              <w:t xml:space="preserve">Lower water demand </w:t>
            </w:r>
          </w:p>
        </w:tc>
        <w:tc>
          <w:tcPr>
            <w:tcW w:w="1692"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Neutral</w:t>
            </w:r>
          </w:p>
        </w:tc>
        <w:tc>
          <w:tcPr>
            <w:tcW w:w="1707"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Higher farm income offsets losses in MIA revenues</w:t>
            </w:r>
          </w:p>
        </w:tc>
      </w:tr>
      <w:tr w:rsidR="001A49F3" w:rsidTr="00F20D24">
        <w:tc>
          <w:tcPr>
            <w:cnfStyle w:val="001000000000" w:firstRow="0" w:lastRow="0" w:firstColumn="1" w:lastColumn="0" w:oddVBand="0" w:evenVBand="0" w:oddHBand="0" w:evenHBand="0" w:firstRowFirstColumn="0" w:firstRowLastColumn="0" w:lastRowFirstColumn="0" w:lastRowLastColumn="0"/>
            <w:tcW w:w="1688" w:type="dxa"/>
          </w:tcPr>
          <w:p w:rsidR="001A49F3" w:rsidRDefault="001A49F3" w:rsidP="004462CD">
            <w:r>
              <w:t>OFIEP</w:t>
            </w:r>
          </w:p>
        </w:tc>
        <w:tc>
          <w:tcPr>
            <w:tcW w:w="1719"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Bank</w:t>
            </w:r>
            <w:r w:rsidR="004D4F09">
              <w:t>-</w:t>
            </w:r>
            <w:r>
              <w:t xml:space="preserve">less channels </w:t>
            </w:r>
          </w:p>
        </w:tc>
        <w:tc>
          <w:tcPr>
            <w:tcW w:w="1698"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 xml:space="preserve">Increased enterprise flexibility </w:t>
            </w:r>
          </w:p>
        </w:tc>
        <w:tc>
          <w:tcPr>
            <w:tcW w:w="1692"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Positive</w:t>
            </w:r>
          </w:p>
        </w:tc>
        <w:tc>
          <w:tcPr>
            <w:tcW w:w="1707"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Higher farm income</w:t>
            </w:r>
          </w:p>
        </w:tc>
      </w:tr>
      <w:tr w:rsidR="001A49F3" w:rsidTr="00F20D24">
        <w:tc>
          <w:tcPr>
            <w:cnfStyle w:val="001000000000" w:firstRow="0" w:lastRow="0" w:firstColumn="1" w:lastColumn="0" w:oddVBand="0" w:evenVBand="0" w:oddHBand="0" w:evenHBand="0" w:firstRowFirstColumn="0" w:firstRowLastColumn="0" w:lastRowFirstColumn="0" w:lastRowLastColumn="0"/>
            <w:tcW w:w="1688" w:type="dxa"/>
          </w:tcPr>
          <w:p w:rsidR="001A49F3" w:rsidRDefault="001A49F3" w:rsidP="004462CD"/>
        </w:tc>
        <w:tc>
          <w:tcPr>
            <w:tcW w:w="1719"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p>
        </w:tc>
        <w:tc>
          <w:tcPr>
            <w:tcW w:w="1698" w:type="dxa"/>
          </w:tcPr>
          <w:p w:rsidR="001A49F3" w:rsidRPr="004E2A48" w:rsidRDefault="001A49F3" w:rsidP="004462CD">
            <w:pPr>
              <w:cnfStyle w:val="000000000000" w:firstRow="0" w:lastRow="0" w:firstColumn="0" w:lastColumn="0" w:oddVBand="0" w:evenVBand="0" w:oddHBand="0" w:evenHBand="0" w:firstRowFirstColumn="0" w:firstRowLastColumn="0" w:lastRowFirstColumn="0" w:lastRowLastColumn="0"/>
            </w:pPr>
            <w:r>
              <w:t>-</w:t>
            </w:r>
            <w:r w:rsidRPr="004E2A48">
              <w:t>Increased reliability of cereal yield</w:t>
            </w:r>
          </w:p>
        </w:tc>
        <w:tc>
          <w:tcPr>
            <w:tcW w:w="1692"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Positive</w:t>
            </w:r>
          </w:p>
        </w:tc>
        <w:tc>
          <w:tcPr>
            <w:tcW w:w="1707"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Higher farm income</w:t>
            </w:r>
          </w:p>
        </w:tc>
      </w:tr>
      <w:tr w:rsidR="001A49F3" w:rsidTr="00F20D24">
        <w:tc>
          <w:tcPr>
            <w:cnfStyle w:val="001000000000" w:firstRow="0" w:lastRow="0" w:firstColumn="1" w:lastColumn="0" w:oddVBand="0" w:evenVBand="0" w:oddHBand="0" w:evenHBand="0" w:firstRowFirstColumn="0" w:firstRowLastColumn="0" w:lastRowFirstColumn="0" w:lastRowLastColumn="0"/>
            <w:tcW w:w="1688" w:type="dxa"/>
          </w:tcPr>
          <w:p w:rsidR="001A49F3" w:rsidRDefault="001A49F3" w:rsidP="004462CD"/>
        </w:tc>
        <w:tc>
          <w:tcPr>
            <w:tcW w:w="1719"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p>
        </w:tc>
        <w:tc>
          <w:tcPr>
            <w:tcW w:w="1698"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 xml:space="preserve">-Increased reliability of rice yield </w:t>
            </w:r>
          </w:p>
        </w:tc>
        <w:tc>
          <w:tcPr>
            <w:tcW w:w="1692"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Positive</w:t>
            </w:r>
          </w:p>
        </w:tc>
        <w:tc>
          <w:tcPr>
            <w:tcW w:w="1707"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Higher farm income</w:t>
            </w:r>
          </w:p>
        </w:tc>
      </w:tr>
      <w:tr w:rsidR="001A49F3" w:rsidTr="00F20D24">
        <w:tc>
          <w:tcPr>
            <w:cnfStyle w:val="001000000000" w:firstRow="0" w:lastRow="0" w:firstColumn="1" w:lastColumn="0" w:oddVBand="0" w:evenVBand="0" w:oddHBand="0" w:evenHBand="0" w:firstRowFirstColumn="0" w:firstRowLastColumn="0" w:lastRowFirstColumn="0" w:lastRowLastColumn="0"/>
            <w:tcW w:w="1688" w:type="dxa"/>
          </w:tcPr>
          <w:p w:rsidR="001A49F3" w:rsidRDefault="001A49F3" w:rsidP="004462CD"/>
        </w:tc>
        <w:tc>
          <w:tcPr>
            <w:tcW w:w="1719"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p>
        </w:tc>
        <w:tc>
          <w:tcPr>
            <w:tcW w:w="1698"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Lower machinery operating costs</w:t>
            </w:r>
          </w:p>
        </w:tc>
        <w:tc>
          <w:tcPr>
            <w:tcW w:w="1692"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Neutral</w:t>
            </w:r>
          </w:p>
        </w:tc>
        <w:tc>
          <w:tcPr>
            <w:tcW w:w="1707"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Higher farm income</w:t>
            </w:r>
          </w:p>
        </w:tc>
      </w:tr>
      <w:tr w:rsidR="001A49F3" w:rsidTr="00F20D24">
        <w:tc>
          <w:tcPr>
            <w:cnfStyle w:val="001000000000" w:firstRow="0" w:lastRow="0" w:firstColumn="1" w:lastColumn="0" w:oddVBand="0" w:evenVBand="0" w:oddHBand="0" w:evenHBand="0" w:firstRowFirstColumn="0" w:firstRowLastColumn="0" w:lastRowFirstColumn="0" w:lastRowLastColumn="0"/>
            <w:tcW w:w="1688" w:type="dxa"/>
          </w:tcPr>
          <w:p w:rsidR="001A49F3" w:rsidRDefault="001A49F3" w:rsidP="004462CD"/>
        </w:tc>
        <w:tc>
          <w:tcPr>
            <w:tcW w:w="1719"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p>
        </w:tc>
        <w:tc>
          <w:tcPr>
            <w:tcW w:w="1698" w:type="dxa"/>
          </w:tcPr>
          <w:p w:rsidR="001A49F3" w:rsidRDefault="001A49F3" w:rsidP="00061E10">
            <w:pPr>
              <w:cnfStyle w:val="000000000000" w:firstRow="0" w:lastRow="0" w:firstColumn="0" w:lastColumn="0" w:oddVBand="0" w:evenVBand="0" w:oddHBand="0" w:evenHBand="0" w:firstRowFirstColumn="0" w:firstRowLastColumn="0" w:lastRowFirstColumn="0" w:lastRowLastColumn="0"/>
            </w:pPr>
            <w:r>
              <w:t xml:space="preserve">Lower water demand </w:t>
            </w:r>
          </w:p>
        </w:tc>
        <w:tc>
          <w:tcPr>
            <w:tcW w:w="1692"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Neutral</w:t>
            </w:r>
          </w:p>
        </w:tc>
        <w:tc>
          <w:tcPr>
            <w:tcW w:w="1707"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Higher farm income offsets losses inn MIA revenues</w:t>
            </w:r>
          </w:p>
        </w:tc>
      </w:tr>
      <w:tr w:rsidR="001A49F3" w:rsidTr="00F20D24">
        <w:tc>
          <w:tcPr>
            <w:cnfStyle w:val="001000000000" w:firstRow="0" w:lastRow="0" w:firstColumn="1" w:lastColumn="0" w:oddVBand="0" w:evenVBand="0" w:oddHBand="0" w:evenHBand="0" w:firstRowFirstColumn="0" w:firstRowLastColumn="0" w:lastRowFirstColumn="0" w:lastRowLastColumn="0"/>
            <w:tcW w:w="1688" w:type="dxa"/>
          </w:tcPr>
          <w:p w:rsidR="001A49F3" w:rsidRDefault="001A49F3" w:rsidP="004462CD"/>
        </w:tc>
        <w:tc>
          <w:tcPr>
            <w:tcW w:w="1719"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Lateral/centre pivot</w:t>
            </w:r>
          </w:p>
        </w:tc>
        <w:tc>
          <w:tcPr>
            <w:tcW w:w="1698"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 xml:space="preserve">Increased fuel </w:t>
            </w:r>
          </w:p>
        </w:tc>
        <w:tc>
          <w:tcPr>
            <w:tcW w:w="1692"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Neutral</w:t>
            </w:r>
          </w:p>
        </w:tc>
        <w:tc>
          <w:tcPr>
            <w:tcW w:w="1707"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Higher farm costs offsets fuel value added</w:t>
            </w:r>
          </w:p>
        </w:tc>
      </w:tr>
      <w:tr w:rsidR="001A49F3" w:rsidTr="00F20D24">
        <w:tc>
          <w:tcPr>
            <w:cnfStyle w:val="001000000000" w:firstRow="0" w:lastRow="0" w:firstColumn="1" w:lastColumn="0" w:oddVBand="0" w:evenVBand="0" w:oddHBand="0" w:evenHBand="0" w:firstRowFirstColumn="0" w:firstRowLastColumn="0" w:lastRowFirstColumn="0" w:lastRowLastColumn="0"/>
            <w:tcW w:w="1688" w:type="dxa"/>
          </w:tcPr>
          <w:p w:rsidR="001A49F3" w:rsidRDefault="001A49F3" w:rsidP="004462CD"/>
        </w:tc>
        <w:tc>
          <w:tcPr>
            <w:tcW w:w="1719"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p>
        </w:tc>
        <w:tc>
          <w:tcPr>
            <w:tcW w:w="1698"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Lower on farm labour costs</w:t>
            </w:r>
          </w:p>
        </w:tc>
        <w:tc>
          <w:tcPr>
            <w:tcW w:w="1692"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Neutral</w:t>
            </w:r>
          </w:p>
        </w:tc>
        <w:tc>
          <w:tcPr>
            <w:tcW w:w="1707"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Higher farm costs offsets labour income</w:t>
            </w:r>
          </w:p>
        </w:tc>
      </w:tr>
      <w:tr w:rsidR="001A49F3" w:rsidTr="00F20D24">
        <w:tc>
          <w:tcPr>
            <w:cnfStyle w:val="001000000000" w:firstRow="0" w:lastRow="0" w:firstColumn="1" w:lastColumn="0" w:oddVBand="0" w:evenVBand="0" w:oddHBand="0" w:evenHBand="0" w:firstRowFirstColumn="0" w:firstRowLastColumn="0" w:lastRowFirstColumn="0" w:lastRowLastColumn="0"/>
            <w:tcW w:w="1688" w:type="dxa"/>
          </w:tcPr>
          <w:p w:rsidR="001A49F3" w:rsidRDefault="001A49F3" w:rsidP="004462CD"/>
        </w:tc>
        <w:tc>
          <w:tcPr>
            <w:tcW w:w="1719"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 xml:space="preserve">Pump station and recycling systems </w:t>
            </w:r>
          </w:p>
        </w:tc>
        <w:tc>
          <w:tcPr>
            <w:tcW w:w="1698"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 xml:space="preserve">Increased fuel </w:t>
            </w:r>
          </w:p>
        </w:tc>
        <w:tc>
          <w:tcPr>
            <w:tcW w:w="1692"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Neutral</w:t>
            </w:r>
          </w:p>
        </w:tc>
        <w:tc>
          <w:tcPr>
            <w:tcW w:w="1707" w:type="dxa"/>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Higher farm costs offsets fuel value added</w:t>
            </w:r>
          </w:p>
        </w:tc>
      </w:tr>
      <w:tr w:rsidR="001A49F3" w:rsidTr="00F20D24">
        <w:tc>
          <w:tcPr>
            <w:cnfStyle w:val="001000000000" w:firstRow="0" w:lastRow="0" w:firstColumn="1" w:lastColumn="0" w:oddVBand="0" w:evenVBand="0" w:oddHBand="0" w:evenHBand="0" w:firstRowFirstColumn="0" w:firstRowLastColumn="0" w:lastRowFirstColumn="0" w:lastRowLastColumn="0"/>
            <w:tcW w:w="1688" w:type="dxa"/>
            <w:tcBorders>
              <w:bottom w:val="single" w:sz="4" w:space="0" w:color="auto"/>
            </w:tcBorders>
          </w:tcPr>
          <w:p w:rsidR="001A49F3" w:rsidRDefault="001A49F3" w:rsidP="004462CD"/>
        </w:tc>
        <w:tc>
          <w:tcPr>
            <w:tcW w:w="1719" w:type="dxa"/>
            <w:tcBorders>
              <w:bottom w:val="single" w:sz="4" w:space="0" w:color="auto"/>
            </w:tcBorders>
          </w:tcPr>
          <w:p w:rsidR="001A49F3" w:rsidRDefault="001A49F3" w:rsidP="004462CD">
            <w:pPr>
              <w:cnfStyle w:val="000000000000" w:firstRow="0" w:lastRow="0" w:firstColumn="0" w:lastColumn="0" w:oddVBand="0" w:evenVBand="0" w:oddHBand="0" w:evenHBand="0" w:firstRowFirstColumn="0" w:firstRowLastColumn="0" w:lastRowFirstColumn="0" w:lastRowLastColumn="0"/>
            </w:pPr>
          </w:p>
        </w:tc>
        <w:tc>
          <w:tcPr>
            <w:tcW w:w="1698" w:type="dxa"/>
            <w:tcBorders>
              <w:bottom w:val="single" w:sz="4" w:space="0" w:color="auto"/>
            </w:tcBorders>
          </w:tcPr>
          <w:p w:rsidR="001A49F3" w:rsidRDefault="001A49F3" w:rsidP="00061E10">
            <w:pPr>
              <w:cnfStyle w:val="000000000000" w:firstRow="0" w:lastRow="0" w:firstColumn="0" w:lastColumn="0" w:oddVBand="0" w:evenVBand="0" w:oddHBand="0" w:evenHBand="0" w:firstRowFirstColumn="0" w:firstRowLastColumn="0" w:lastRowFirstColumn="0" w:lastRowLastColumn="0"/>
            </w:pPr>
            <w:r>
              <w:t xml:space="preserve">Lower water demand </w:t>
            </w:r>
          </w:p>
        </w:tc>
        <w:tc>
          <w:tcPr>
            <w:tcW w:w="1692" w:type="dxa"/>
            <w:tcBorders>
              <w:bottom w:val="single" w:sz="4" w:space="0" w:color="auto"/>
            </w:tcBorders>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Neutral</w:t>
            </w:r>
          </w:p>
        </w:tc>
        <w:tc>
          <w:tcPr>
            <w:tcW w:w="1707" w:type="dxa"/>
            <w:tcBorders>
              <w:bottom w:val="single" w:sz="4" w:space="0" w:color="auto"/>
            </w:tcBorders>
          </w:tcPr>
          <w:p w:rsidR="001A49F3" w:rsidRDefault="001A49F3" w:rsidP="004462CD">
            <w:pPr>
              <w:cnfStyle w:val="000000000000" w:firstRow="0" w:lastRow="0" w:firstColumn="0" w:lastColumn="0" w:oddVBand="0" w:evenVBand="0" w:oddHBand="0" w:evenHBand="0" w:firstRowFirstColumn="0" w:firstRowLastColumn="0" w:lastRowFirstColumn="0" w:lastRowLastColumn="0"/>
            </w:pPr>
            <w:r>
              <w:t>Higher farm income offsets losses inn MIA revenues</w:t>
            </w:r>
          </w:p>
        </w:tc>
      </w:tr>
    </w:tbl>
    <w:p w:rsidR="00F20D24" w:rsidRDefault="00F20D24" w:rsidP="00F20D24">
      <w:pPr>
        <w:pStyle w:val="MJAsource"/>
      </w:pPr>
      <w:r>
        <w:t xml:space="preserve">Source: Marsden Jacob estimates </w:t>
      </w:r>
    </w:p>
    <w:p w:rsidR="000D3874" w:rsidRPr="0028404B" w:rsidRDefault="000D3874" w:rsidP="001A49F3">
      <w:pPr>
        <w:pStyle w:val="MJAsource"/>
        <w:rPr>
          <w:sz w:val="20"/>
          <w:szCs w:val="20"/>
        </w:rPr>
      </w:pPr>
      <w:r w:rsidRPr="0028404B">
        <w:rPr>
          <w:sz w:val="20"/>
          <w:szCs w:val="20"/>
        </w:rPr>
        <w:t>Note</w:t>
      </w:r>
      <w:r w:rsidR="00F20D24" w:rsidRPr="0028404B">
        <w:rPr>
          <w:sz w:val="20"/>
          <w:szCs w:val="20"/>
        </w:rPr>
        <w:t>:</w:t>
      </w:r>
      <w:r w:rsidRPr="0028404B">
        <w:rPr>
          <w:sz w:val="20"/>
          <w:szCs w:val="20"/>
        </w:rPr>
        <w:t xml:space="preserve"> where effects are described as neutral we treat this as neutral in the first round only. In the longer term some of these effects are likely to be positive as factors of production adjust and are redeployed in the longer term. These longer term dynamic productivity effects are accounted for within the VU Term model.</w:t>
      </w:r>
    </w:p>
    <w:p w:rsidR="001A49F3" w:rsidRPr="00793FD6" w:rsidRDefault="001A49F3" w:rsidP="001A49F3">
      <w:pPr>
        <w:pStyle w:val="MJAheading3"/>
      </w:pPr>
      <w:r w:rsidRPr="00793FD6">
        <w:t xml:space="preserve">Retained water savings </w:t>
      </w:r>
    </w:p>
    <w:p w:rsidR="001A49F3" w:rsidRDefault="001A49F3" w:rsidP="001A49F3">
      <w:pPr>
        <w:pStyle w:val="MJAnormal"/>
      </w:pPr>
      <w:r>
        <w:t xml:space="preserve">Another outcome of on-farm PIIOP and OFIEP infrastructure investments is participating farmers can retain up to 50 per </w:t>
      </w:r>
      <w:r w:rsidR="00387D2F">
        <w:t xml:space="preserve">cent of on-farm water savings. </w:t>
      </w:r>
      <w:r>
        <w:t>Retained water savings that occur from reducing on-farm evaporation and seepage have an economic value that can contribute to the local economy by:</w:t>
      </w:r>
    </w:p>
    <w:p w:rsidR="001A49F3" w:rsidRDefault="001A49F3" w:rsidP="001A49F3">
      <w:pPr>
        <w:pStyle w:val="MJAbulletnormal"/>
      </w:pPr>
      <w:r>
        <w:t>expand</w:t>
      </w:r>
      <w:r w:rsidR="008908BF">
        <w:t>ing</w:t>
      </w:r>
      <w:r>
        <w:t xml:space="preserve"> the area under production;</w:t>
      </w:r>
    </w:p>
    <w:p w:rsidR="001A49F3" w:rsidRDefault="00FD3BB4" w:rsidP="001A49F3">
      <w:pPr>
        <w:pStyle w:val="MJAbulletnormal"/>
      </w:pPr>
      <w:r>
        <w:t xml:space="preserve">selling </w:t>
      </w:r>
      <w:r w:rsidR="001A49F3">
        <w:t>as allocation or entitlement as excess of needs; or</w:t>
      </w:r>
    </w:p>
    <w:p w:rsidR="001A49F3" w:rsidRDefault="00FD3BB4" w:rsidP="001A49F3">
      <w:pPr>
        <w:pStyle w:val="MJAbulletnormal"/>
      </w:pPr>
      <w:r>
        <w:t xml:space="preserve">carrying </w:t>
      </w:r>
      <w:r w:rsidR="001A49F3">
        <w:t>over for use in future seasons</w:t>
      </w:r>
    </w:p>
    <w:p w:rsidR="001A49F3" w:rsidRDefault="001A49F3" w:rsidP="001A49F3">
      <w:pPr>
        <w:pStyle w:val="MJAheading2"/>
      </w:pPr>
      <w:bookmarkStart w:id="125" w:name="_Toc482099168"/>
      <w:bookmarkStart w:id="126" w:name="_Toc494892270"/>
      <w:r>
        <w:t xml:space="preserve">Measuring </w:t>
      </w:r>
      <w:r w:rsidR="007C440F">
        <w:t>economic</w:t>
      </w:r>
      <w:r>
        <w:t xml:space="preserve"> effects</w:t>
      </w:r>
      <w:r w:rsidR="00663616">
        <w:t xml:space="preserve"> of OFIEP and PIIOP</w:t>
      </w:r>
      <w:bookmarkEnd w:id="125"/>
      <w:bookmarkEnd w:id="126"/>
      <w:r w:rsidR="00663616">
        <w:t xml:space="preserve"> </w:t>
      </w:r>
    </w:p>
    <w:p w:rsidR="00663616" w:rsidRDefault="00663616" w:rsidP="00663616">
      <w:pPr>
        <w:pStyle w:val="MJAnormal"/>
      </w:pPr>
      <w:r>
        <w:t>In this section</w:t>
      </w:r>
      <w:r w:rsidR="008908BF">
        <w:t>,</w:t>
      </w:r>
      <w:r>
        <w:t xml:space="preserve"> we consider the</w:t>
      </w:r>
      <w:r w:rsidRPr="00F14F47">
        <w:t xml:space="preserve"> positive produ</w:t>
      </w:r>
      <w:r>
        <w:t>ctivity gains and estimate their</w:t>
      </w:r>
      <w:r w:rsidRPr="00F14F47">
        <w:t xml:space="preserve"> likely </w:t>
      </w:r>
      <w:r>
        <w:t xml:space="preserve">first round </w:t>
      </w:r>
      <w:r w:rsidRPr="00F14F47">
        <w:t>value</w:t>
      </w:r>
      <w:r>
        <w:t xml:space="preserve"> — e</w:t>
      </w:r>
      <w:r w:rsidRPr="00F14F47">
        <w:t>ach is discussed in further detail in following sub sections</w:t>
      </w:r>
      <w:r>
        <w:t xml:space="preserve">. </w:t>
      </w:r>
    </w:p>
    <w:p w:rsidR="00663616" w:rsidRDefault="00663616" w:rsidP="00663616">
      <w:pPr>
        <w:pStyle w:val="MJAnormal"/>
      </w:pPr>
      <w:r>
        <w:t xml:space="preserve">There are </w:t>
      </w:r>
      <w:r w:rsidR="0028404B">
        <w:t xml:space="preserve">three </w:t>
      </w:r>
      <w:r>
        <w:t>key source</w:t>
      </w:r>
      <w:r w:rsidR="008908BF">
        <w:t>s</w:t>
      </w:r>
      <w:r>
        <w:t xml:space="preserve"> of productivity gain</w:t>
      </w:r>
      <w:r w:rsidR="008908BF">
        <w:t>:</w:t>
      </w:r>
    </w:p>
    <w:p w:rsidR="00663616" w:rsidRDefault="00663616" w:rsidP="00663616">
      <w:pPr>
        <w:pStyle w:val="MJAbulletnormal"/>
      </w:pPr>
      <w:r>
        <w:t>increased citrus production across the region due to improve</w:t>
      </w:r>
      <w:r w:rsidR="00DA0FE1">
        <w:t>d timeliness of system delivery;</w:t>
      </w:r>
    </w:p>
    <w:p w:rsidR="00663616" w:rsidRDefault="00663616" w:rsidP="00663616">
      <w:pPr>
        <w:pStyle w:val="MJAbulletnormal"/>
      </w:pPr>
      <w:r>
        <w:t>increased annual broad-acre cropping yield due to the improved on-farm flexibilities associated with border</w:t>
      </w:r>
      <w:r w:rsidR="009128AB">
        <w:t>-</w:t>
      </w:r>
      <w:r>
        <w:t>less check irrigation technologies</w:t>
      </w:r>
      <w:r w:rsidR="00DA0FE1">
        <w:t>; and</w:t>
      </w:r>
    </w:p>
    <w:p w:rsidR="00663616" w:rsidRDefault="00663616" w:rsidP="00663616">
      <w:pPr>
        <w:pStyle w:val="MJAbulletnormal"/>
      </w:pPr>
      <w:r>
        <w:t xml:space="preserve">increased crop production from water savings associated with reduced seepage and </w:t>
      </w:r>
      <w:r w:rsidR="00FD3BB4">
        <w:t>evaporation</w:t>
      </w:r>
      <w:r w:rsidR="00DA0FE1">
        <w:t>.</w:t>
      </w:r>
    </w:p>
    <w:p w:rsidR="00663616" w:rsidRDefault="001A49F3" w:rsidP="001A49F3">
      <w:pPr>
        <w:pStyle w:val="MJAnormal"/>
      </w:pPr>
      <w:r w:rsidRPr="00061E10">
        <w:t xml:space="preserve">Annual change in </w:t>
      </w:r>
      <w:r w:rsidR="00387D2F" w:rsidRPr="00061E10">
        <w:t>first round value added as a</w:t>
      </w:r>
      <w:r w:rsidRPr="00061E10">
        <w:t xml:space="preserve"> result of productivity gains are estimated to be in the order of $</w:t>
      </w:r>
      <w:r w:rsidR="00604DE1" w:rsidRPr="00061E10">
        <w:t>3.</w:t>
      </w:r>
      <w:r w:rsidR="008908BF">
        <w:t>8</w:t>
      </w:r>
      <w:r w:rsidRPr="00061E10">
        <w:t xml:space="preserve"> million per annum </w:t>
      </w:r>
      <w:r w:rsidR="00604DE1" w:rsidRPr="00061E10">
        <w:t xml:space="preserve">excluding the additional value added generated from the additional water availability of </w:t>
      </w:r>
      <w:r w:rsidR="009A03CD">
        <w:t>21.8</w:t>
      </w:r>
      <w:r w:rsidR="00604DE1" w:rsidRPr="00061E10">
        <w:t xml:space="preserve"> GL </w:t>
      </w:r>
      <w:r w:rsidR="00022104">
        <w:t>LTAAY</w:t>
      </w:r>
      <w:r w:rsidR="00604DE1" w:rsidRPr="00061E10">
        <w:t xml:space="preserve"> </w:t>
      </w:r>
      <w:r w:rsidRPr="00061E10">
        <w:t>(</w:t>
      </w:r>
      <w:r w:rsidR="00FD2FA7" w:rsidRPr="00061E10">
        <w:fldChar w:fldCharType="begin"/>
      </w:r>
      <w:r w:rsidR="00FD2FA7" w:rsidRPr="00061E10">
        <w:instrText xml:space="preserve"> REF _Ref477280171 \h </w:instrText>
      </w:r>
      <w:r w:rsidR="00604DE1">
        <w:instrText xml:space="preserve"> \* MERGEFORMAT </w:instrText>
      </w:r>
      <w:r w:rsidR="00FD2FA7" w:rsidRPr="00061E10">
        <w:fldChar w:fldCharType="separate"/>
      </w:r>
      <w:r w:rsidR="002F2E38">
        <w:t xml:space="preserve">Table </w:t>
      </w:r>
      <w:r w:rsidR="002F2E38">
        <w:rPr>
          <w:noProof/>
        </w:rPr>
        <w:t>9</w:t>
      </w:r>
      <w:r w:rsidR="00FD2FA7" w:rsidRPr="00061E10">
        <w:fldChar w:fldCharType="end"/>
      </w:r>
      <w:r w:rsidRPr="00061E10">
        <w:t>)</w:t>
      </w:r>
      <w:r w:rsidRPr="00385502">
        <w:t xml:space="preserve">. </w:t>
      </w:r>
      <w:r w:rsidR="00663616" w:rsidRPr="00604DE1">
        <w:t xml:space="preserve"> </w:t>
      </w:r>
      <w:r w:rsidRPr="00604DE1">
        <w:t>We note that gains will vary</w:t>
      </w:r>
      <w:r>
        <w:t xml:space="preserve"> from year to year depending upon seasonal circumstances. For simplicity</w:t>
      </w:r>
      <w:r w:rsidR="00FD2FA7">
        <w:t>,</w:t>
      </w:r>
      <w:r>
        <w:t xml:space="preserve"> we assume the</w:t>
      </w:r>
      <w:r w:rsidR="00663616">
        <w:t xml:space="preserve"> gain is an average annual gain</w:t>
      </w:r>
      <w:r w:rsidR="008908BF">
        <w:t>.</w:t>
      </w:r>
    </w:p>
    <w:p w:rsidR="001A49F3" w:rsidRDefault="001A49F3" w:rsidP="001A49F3">
      <w:pPr>
        <w:pStyle w:val="Caption"/>
      </w:pPr>
      <w:bookmarkStart w:id="127" w:name="_Ref477280171"/>
      <w:bookmarkStart w:id="128" w:name="_Toc481964520"/>
      <w:bookmarkStart w:id="129" w:name="_Toc494892438"/>
      <w:r>
        <w:t xml:space="preserve">Table </w:t>
      </w:r>
      <w:fldSimple w:instr=" SEQ Table \* ARABIC ">
        <w:r w:rsidR="002F2E38">
          <w:rPr>
            <w:noProof/>
          </w:rPr>
          <w:t>9</w:t>
        </w:r>
      </w:fldSimple>
      <w:bookmarkEnd w:id="127"/>
      <w:r w:rsidR="007C1D5A">
        <w:rPr>
          <w:noProof/>
        </w:rPr>
        <w:t>:</w:t>
      </w:r>
      <w:r>
        <w:t xml:space="preserve"> Annual increase in local economy value added from on farm productivity gains (2016 dollars)</w:t>
      </w:r>
      <w:bookmarkEnd w:id="128"/>
      <w:bookmarkEnd w:id="129"/>
    </w:p>
    <w:tbl>
      <w:tblPr>
        <w:tblStyle w:val="MJATable1"/>
        <w:tblW w:w="0" w:type="auto"/>
        <w:tblLook w:val="04A0" w:firstRow="1" w:lastRow="0" w:firstColumn="1" w:lastColumn="0" w:noHBand="0" w:noVBand="1"/>
      </w:tblPr>
      <w:tblGrid>
        <w:gridCol w:w="2837"/>
        <w:gridCol w:w="2839"/>
        <w:gridCol w:w="2828"/>
      </w:tblGrid>
      <w:tr w:rsidR="001A49F3" w:rsidRPr="002B5C14" w:rsidTr="00446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tcPr>
          <w:p w:rsidR="001A49F3" w:rsidRPr="00847C57" w:rsidRDefault="00387D2F" w:rsidP="004462CD">
            <w:pPr>
              <w:pStyle w:val="MJAnormal"/>
              <w:rPr>
                <w:rFonts w:asciiTheme="minorHAnsi" w:hAnsiTheme="minorHAnsi"/>
                <w:szCs w:val="20"/>
              </w:rPr>
            </w:pPr>
            <w:r>
              <w:rPr>
                <w:rFonts w:asciiTheme="minorHAnsi" w:hAnsiTheme="minorHAnsi"/>
                <w:szCs w:val="20"/>
              </w:rPr>
              <w:t>Source of productivity gain</w:t>
            </w:r>
          </w:p>
        </w:tc>
        <w:tc>
          <w:tcPr>
            <w:tcW w:w="2839" w:type="dxa"/>
          </w:tcPr>
          <w:p w:rsidR="001A49F3" w:rsidRPr="002B5C14" w:rsidRDefault="001A49F3" w:rsidP="004462CD">
            <w:pPr>
              <w:pStyle w:val="MJAnormal"/>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2B5C14">
              <w:rPr>
                <w:rFonts w:asciiTheme="minorHAnsi" w:hAnsiTheme="minorHAnsi"/>
                <w:szCs w:val="20"/>
              </w:rPr>
              <w:t>Enterprise</w:t>
            </w:r>
          </w:p>
        </w:tc>
        <w:tc>
          <w:tcPr>
            <w:tcW w:w="2828" w:type="dxa"/>
          </w:tcPr>
          <w:p w:rsidR="001A49F3" w:rsidRPr="002B5C14" w:rsidRDefault="001A49F3" w:rsidP="004462CD">
            <w:pPr>
              <w:pStyle w:val="MJAnormal"/>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2B5C14">
              <w:rPr>
                <w:rFonts w:asciiTheme="minorHAnsi" w:hAnsiTheme="minorHAnsi"/>
                <w:szCs w:val="20"/>
              </w:rPr>
              <w:t>Annual change in value added</w:t>
            </w:r>
          </w:p>
        </w:tc>
      </w:tr>
      <w:tr w:rsidR="001A49F3" w:rsidRPr="002B5C14" w:rsidTr="0028404B">
        <w:tc>
          <w:tcPr>
            <w:cnfStyle w:val="001000000000" w:firstRow="0" w:lastRow="0" w:firstColumn="1" w:lastColumn="0" w:oddVBand="0" w:evenVBand="0" w:oddHBand="0" w:evenHBand="0" w:firstRowFirstColumn="0" w:firstRowLastColumn="0" w:lastRowFirstColumn="0" w:lastRowLastColumn="0"/>
            <w:tcW w:w="2837" w:type="dxa"/>
            <w:vAlign w:val="top"/>
          </w:tcPr>
          <w:p w:rsidR="001A49F3" w:rsidRPr="002B5C14" w:rsidRDefault="001A49F3" w:rsidP="00904A2B">
            <w:pPr>
              <w:pStyle w:val="MJAnormal"/>
              <w:spacing w:before="40" w:after="40" w:line="240" w:lineRule="auto"/>
              <w:jc w:val="center"/>
              <w:rPr>
                <w:rFonts w:asciiTheme="minorHAnsi" w:hAnsiTheme="minorHAnsi"/>
                <w:szCs w:val="20"/>
              </w:rPr>
            </w:pPr>
            <w:r w:rsidRPr="002B5C14">
              <w:rPr>
                <w:rFonts w:asciiTheme="minorHAnsi" w:hAnsiTheme="minorHAnsi"/>
                <w:szCs w:val="20"/>
              </w:rPr>
              <w:t>Laser levelling</w:t>
            </w:r>
          </w:p>
        </w:tc>
        <w:tc>
          <w:tcPr>
            <w:tcW w:w="2839" w:type="dxa"/>
            <w:vAlign w:val="top"/>
          </w:tcPr>
          <w:p w:rsidR="001A49F3" w:rsidRPr="002B5C14" w:rsidRDefault="001A49F3" w:rsidP="00904A2B">
            <w:pPr>
              <w:pStyle w:val="MJAnormal"/>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B5C14">
              <w:rPr>
                <w:rFonts w:asciiTheme="minorHAnsi" w:hAnsiTheme="minorHAnsi"/>
                <w:szCs w:val="20"/>
              </w:rPr>
              <w:t>Rice and cereals</w:t>
            </w:r>
            <w:r w:rsidR="00387D2F">
              <w:rPr>
                <w:rFonts w:asciiTheme="minorHAnsi" w:hAnsiTheme="minorHAnsi"/>
                <w:szCs w:val="20"/>
              </w:rPr>
              <w:t xml:space="preserve"> (OFIEP)</w:t>
            </w:r>
          </w:p>
        </w:tc>
        <w:tc>
          <w:tcPr>
            <w:tcW w:w="2828" w:type="dxa"/>
            <w:vAlign w:val="top"/>
          </w:tcPr>
          <w:p w:rsidR="001A49F3" w:rsidRPr="00484065" w:rsidRDefault="00FD2FA7" w:rsidP="00904A2B">
            <w:pPr>
              <w:spacing w:before="40" w:after="40"/>
              <w:ind w:right="745"/>
              <w:cnfStyle w:val="000000000000" w:firstRow="0" w:lastRow="0" w:firstColumn="0" w:lastColumn="0" w:oddVBand="0" w:evenVBand="0" w:oddHBand="0" w:evenHBand="0" w:firstRowFirstColumn="0" w:firstRowLastColumn="0" w:lastRowFirstColumn="0" w:lastRowLastColumn="0"/>
              <w:rPr>
                <w:color w:val="000000"/>
                <w:szCs w:val="20"/>
              </w:rPr>
            </w:pPr>
            <w:r w:rsidRPr="00061E10">
              <w:rPr>
                <w:color w:val="000000"/>
                <w:szCs w:val="20"/>
              </w:rPr>
              <w:t>$2,738,486</w:t>
            </w:r>
          </w:p>
        </w:tc>
      </w:tr>
      <w:tr w:rsidR="001A49F3" w:rsidRPr="002B5C14" w:rsidTr="0028404B">
        <w:trPr>
          <w:trHeight w:val="386"/>
        </w:trPr>
        <w:tc>
          <w:tcPr>
            <w:cnfStyle w:val="001000000000" w:firstRow="0" w:lastRow="0" w:firstColumn="1" w:lastColumn="0" w:oddVBand="0" w:evenVBand="0" w:oddHBand="0" w:evenHBand="0" w:firstRowFirstColumn="0" w:firstRowLastColumn="0" w:lastRowFirstColumn="0" w:lastRowLastColumn="0"/>
            <w:tcW w:w="2837" w:type="dxa"/>
            <w:vAlign w:val="top"/>
          </w:tcPr>
          <w:p w:rsidR="001A49F3" w:rsidRPr="002B5C14" w:rsidRDefault="001A49F3" w:rsidP="00904A2B">
            <w:pPr>
              <w:pStyle w:val="MJAnormal"/>
              <w:spacing w:before="40" w:after="40" w:line="240" w:lineRule="auto"/>
              <w:jc w:val="center"/>
              <w:rPr>
                <w:rFonts w:asciiTheme="minorHAnsi" w:hAnsiTheme="minorHAnsi"/>
                <w:szCs w:val="20"/>
              </w:rPr>
            </w:pPr>
          </w:p>
        </w:tc>
        <w:tc>
          <w:tcPr>
            <w:tcW w:w="2839" w:type="dxa"/>
            <w:vAlign w:val="top"/>
          </w:tcPr>
          <w:p w:rsidR="001A49F3" w:rsidRPr="002B5C14" w:rsidRDefault="001A49F3" w:rsidP="00904A2B">
            <w:pPr>
              <w:pStyle w:val="MJAnormal"/>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B5C14">
              <w:rPr>
                <w:rFonts w:asciiTheme="minorHAnsi" w:hAnsiTheme="minorHAnsi"/>
                <w:szCs w:val="20"/>
              </w:rPr>
              <w:t>Cotton</w:t>
            </w:r>
            <w:r w:rsidR="00387D2F">
              <w:rPr>
                <w:rFonts w:asciiTheme="minorHAnsi" w:hAnsiTheme="minorHAnsi"/>
                <w:szCs w:val="20"/>
              </w:rPr>
              <w:t xml:space="preserve"> (OFIEP)</w:t>
            </w:r>
          </w:p>
        </w:tc>
        <w:tc>
          <w:tcPr>
            <w:tcW w:w="2828" w:type="dxa"/>
            <w:vAlign w:val="top"/>
          </w:tcPr>
          <w:p w:rsidR="001A49F3" w:rsidRPr="00484065" w:rsidRDefault="00561D1E" w:rsidP="00904A2B">
            <w:pPr>
              <w:spacing w:before="40" w:after="40"/>
              <w:ind w:right="745"/>
              <w:cnfStyle w:val="000000000000" w:firstRow="0" w:lastRow="0" w:firstColumn="0" w:lastColumn="0" w:oddVBand="0" w:evenVBand="0" w:oddHBand="0" w:evenHBand="0" w:firstRowFirstColumn="0" w:firstRowLastColumn="0" w:lastRowFirstColumn="0" w:lastRowLastColumn="0"/>
              <w:rPr>
                <w:color w:val="000000"/>
                <w:szCs w:val="20"/>
              </w:rPr>
            </w:pPr>
            <w:r w:rsidRPr="00061E10">
              <w:rPr>
                <w:color w:val="000000"/>
                <w:szCs w:val="20"/>
              </w:rPr>
              <w:t>$</w:t>
            </w:r>
            <w:r w:rsidR="00F523FE">
              <w:rPr>
                <w:color w:val="000000"/>
                <w:szCs w:val="20"/>
              </w:rPr>
              <w:t>103,420</w:t>
            </w:r>
          </w:p>
        </w:tc>
      </w:tr>
      <w:tr w:rsidR="001A49F3" w:rsidRPr="002B5C14" w:rsidTr="0028404B">
        <w:tc>
          <w:tcPr>
            <w:cnfStyle w:val="001000000000" w:firstRow="0" w:lastRow="0" w:firstColumn="1" w:lastColumn="0" w:oddVBand="0" w:evenVBand="0" w:oddHBand="0" w:evenHBand="0" w:firstRowFirstColumn="0" w:firstRowLastColumn="0" w:lastRowFirstColumn="0" w:lastRowLastColumn="0"/>
            <w:tcW w:w="2837" w:type="dxa"/>
            <w:tcBorders>
              <w:bottom w:val="single" w:sz="4" w:space="0" w:color="auto"/>
            </w:tcBorders>
            <w:vAlign w:val="top"/>
          </w:tcPr>
          <w:p w:rsidR="001A49F3" w:rsidRPr="002B5C14" w:rsidRDefault="00387D2F" w:rsidP="00904A2B">
            <w:pPr>
              <w:pStyle w:val="MJAnormal"/>
              <w:spacing w:before="40" w:after="40" w:line="240" w:lineRule="auto"/>
              <w:jc w:val="center"/>
              <w:rPr>
                <w:rFonts w:asciiTheme="minorHAnsi" w:hAnsiTheme="minorHAnsi"/>
                <w:szCs w:val="20"/>
              </w:rPr>
            </w:pPr>
            <w:r>
              <w:rPr>
                <w:rFonts w:asciiTheme="minorHAnsi" w:hAnsiTheme="minorHAnsi"/>
                <w:szCs w:val="20"/>
              </w:rPr>
              <w:t>Improved delivery t</w:t>
            </w:r>
            <w:r w:rsidR="001A49F3">
              <w:rPr>
                <w:rFonts w:asciiTheme="minorHAnsi" w:hAnsiTheme="minorHAnsi"/>
                <w:szCs w:val="20"/>
              </w:rPr>
              <w:t>imeliness</w:t>
            </w:r>
          </w:p>
        </w:tc>
        <w:tc>
          <w:tcPr>
            <w:tcW w:w="2839" w:type="dxa"/>
            <w:tcBorders>
              <w:bottom w:val="single" w:sz="4" w:space="0" w:color="auto"/>
            </w:tcBorders>
            <w:vAlign w:val="top"/>
          </w:tcPr>
          <w:p w:rsidR="001A49F3" w:rsidRPr="002B5C14" w:rsidRDefault="001A49F3" w:rsidP="00904A2B">
            <w:pPr>
              <w:pStyle w:val="MJAnormal"/>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B5C14">
              <w:rPr>
                <w:rFonts w:asciiTheme="minorHAnsi" w:hAnsiTheme="minorHAnsi"/>
                <w:szCs w:val="20"/>
              </w:rPr>
              <w:t>C</w:t>
            </w:r>
            <w:r>
              <w:rPr>
                <w:rFonts w:asciiTheme="minorHAnsi" w:hAnsiTheme="minorHAnsi"/>
                <w:szCs w:val="20"/>
              </w:rPr>
              <w:t>itrus</w:t>
            </w:r>
            <w:r w:rsidR="00387D2F">
              <w:rPr>
                <w:rFonts w:asciiTheme="minorHAnsi" w:hAnsiTheme="minorHAnsi"/>
                <w:szCs w:val="20"/>
              </w:rPr>
              <w:t xml:space="preserve"> (All growers)</w:t>
            </w:r>
          </w:p>
        </w:tc>
        <w:tc>
          <w:tcPr>
            <w:tcW w:w="2828" w:type="dxa"/>
            <w:tcBorders>
              <w:bottom w:val="single" w:sz="4" w:space="0" w:color="auto"/>
            </w:tcBorders>
            <w:vAlign w:val="top"/>
          </w:tcPr>
          <w:p w:rsidR="00FD2FA7" w:rsidRPr="00061E10" w:rsidRDefault="00FD2FA7" w:rsidP="00904A2B">
            <w:pPr>
              <w:spacing w:before="40" w:after="40"/>
              <w:ind w:right="745"/>
              <w:cnfStyle w:val="000000000000" w:firstRow="0" w:lastRow="0" w:firstColumn="0" w:lastColumn="0" w:oddVBand="0" w:evenVBand="0" w:oddHBand="0" w:evenHBand="0" w:firstRowFirstColumn="0" w:firstRowLastColumn="0" w:lastRowFirstColumn="0" w:lastRowLastColumn="0"/>
              <w:rPr>
                <w:color w:val="000000"/>
                <w:szCs w:val="20"/>
              </w:rPr>
            </w:pPr>
            <w:r w:rsidRPr="00061E10">
              <w:rPr>
                <w:color w:val="000000"/>
                <w:szCs w:val="20"/>
              </w:rPr>
              <w:t>$</w:t>
            </w:r>
            <w:r w:rsidR="00ED3FA4">
              <w:rPr>
                <w:color w:val="000000"/>
                <w:szCs w:val="20"/>
              </w:rPr>
              <w:t>965,655</w:t>
            </w:r>
          </w:p>
          <w:p w:rsidR="001A49F3" w:rsidRPr="00484065" w:rsidRDefault="001A49F3" w:rsidP="00904A2B">
            <w:pPr>
              <w:spacing w:before="40" w:after="40"/>
              <w:ind w:right="745"/>
              <w:cnfStyle w:val="000000000000" w:firstRow="0" w:lastRow="0" w:firstColumn="0" w:lastColumn="0" w:oddVBand="0" w:evenVBand="0" w:oddHBand="0" w:evenHBand="0" w:firstRowFirstColumn="0" w:firstRowLastColumn="0" w:lastRowFirstColumn="0" w:lastRowLastColumn="0"/>
              <w:rPr>
                <w:color w:val="000000"/>
                <w:szCs w:val="20"/>
              </w:rPr>
            </w:pPr>
          </w:p>
        </w:tc>
      </w:tr>
    </w:tbl>
    <w:p w:rsidR="001A49F3" w:rsidRDefault="001A49F3" w:rsidP="001A49F3">
      <w:pPr>
        <w:pStyle w:val="MJAsource"/>
      </w:pPr>
      <w:r w:rsidRPr="00387D2F">
        <w:t>Source Marden Jacob estimates</w:t>
      </w:r>
      <w:r>
        <w:t xml:space="preserve"> </w:t>
      </w:r>
    </w:p>
    <w:p w:rsidR="001A49F3" w:rsidRPr="00484065" w:rsidRDefault="001A49F3" w:rsidP="001A49F3">
      <w:pPr>
        <w:pStyle w:val="MJAheading3"/>
      </w:pPr>
      <w:r w:rsidRPr="00484065">
        <w:t>Drip systems - wine grape productivity</w:t>
      </w:r>
    </w:p>
    <w:p w:rsidR="001A49F3" w:rsidRDefault="001A49F3" w:rsidP="001A49F3">
      <w:pPr>
        <w:pStyle w:val="MJAnormal"/>
      </w:pPr>
      <w:r w:rsidRPr="00061E10">
        <w:t>Under PIIOP and OFIEP</w:t>
      </w:r>
      <w:r w:rsidR="00FD2FA7" w:rsidRPr="00061E10">
        <w:t>,</w:t>
      </w:r>
      <w:r w:rsidRPr="00061E10">
        <w:t xml:space="preserve"> a total of </w:t>
      </w:r>
      <w:r w:rsidR="00FD2FA7" w:rsidRPr="00061E10">
        <w:t>576</w:t>
      </w:r>
      <w:r w:rsidRPr="00061E10">
        <w:t xml:space="preserve"> hectares of wine grapes were converted from flood-furrow to drip configurations (a minor number installed low sprinkler systems).</w:t>
      </w:r>
    </w:p>
    <w:p w:rsidR="00C37DD5" w:rsidRDefault="000D3874" w:rsidP="001A49F3">
      <w:pPr>
        <w:pStyle w:val="MJAnormal"/>
      </w:pPr>
      <w:r>
        <w:t xml:space="preserve">Our </w:t>
      </w:r>
      <w:r w:rsidR="00670F0C">
        <w:t>consultations</w:t>
      </w:r>
      <w:r w:rsidR="00C37DD5">
        <w:t xml:space="preserve"> revealed some mixed views on the effect of precision irrigation on wine grape quality and the effect of this on economic value of the final product. On balance the feedback has been the effects are negligible</w:t>
      </w:r>
      <w:r w:rsidR="009E1B36">
        <w:t xml:space="preserve"> </w:t>
      </w:r>
      <w:r w:rsidR="00C37DD5">
        <w:t xml:space="preserve">or not </w:t>
      </w:r>
      <w:r w:rsidR="009E1B36">
        <w:t>discernible</w:t>
      </w:r>
      <w:r w:rsidR="00C37DD5">
        <w:t xml:space="preserve">. In this evaluation we have excluded valuing any on farm productivity gain for wine grape growers within the OFIEP program. </w:t>
      </w:r>
    </w:p>
    <w:p w:rsidR="001A49F3" w:rsidRPr="00F308F7" w:rsidRDefault="001A49F3" w:rsidP="001A49F3">
      <w:pPr>
        <w:pStyle w:val="MJAheading3"/>
      </w:pPr>
      <w:r w:rsidRPr="00F308F7">
        <w:t>Citrus productivity</w:t>
      </w:r>
    </w:p>
    <w:p w:rsidR="00387D2F" w:rsidRDefault="00670F0C" w:rsidP="001A49F3">
      <w:pPr>
        <w:pStyle w:val="MJAnormal"/>
      </w:pPr>
      <w:r>
        <w:t>Consultation</w:t>
      </w:r>
      <w:r w:rsidR="001046EC">
        <w:t>s by the Department of Agriculture and Water</w:t>
      </w:r>
      <w:r w:rsidR="00387D2F" w:rsidRPr="00F308F7">
        <w:t xml:space="preserve"> </w:t>
      </w:r>
      <w:r w:rsidR="00561914">
        <w:t xml:space="preserve">Resources </w:t>
      </w:r>
      <w:r w:rsidR="00387D2F" w:rsidRPr="00F308F7">
        <w:t>with industry</w:t>
      </w:r>
      <w:r w:rsidR="001046EC">
        <w:t xml:space="preserve"> experts </w:t>
      </w:r>
      <w:r w:rsidR="00387D2F" w:rsidRPr="00F308F7">
        <w:t xml:space="preserve">in the region indicate </w:t>
      </w:r>
      <w:r w:rsidR="00C7524E" w:rsidRPr="00ED3FA4">
        <w:t xml:space="preserve">an </w:t>
      </w:r>
      <w:r w:rsidR="00387D2F" w:rsidRPr="00ED3FA4">
        <w:t xml:space="preserve">approximately 3 per cent loss in citrus fruit due to delays in accessing water times of peak heat stress for orchards. </w:t>
      </w:r>
      <w:r w:rsidR="00C7524E" w:rsidRPr="00ED3FA4">
        <w:t xml:space="preserve">There are </w:t>
      </w:r>
      <w:r w:rsidR="00584A39" w:rsidRPr="00ED3FA4">
        <w:t xml:space="preserve">approximately 9,000 </w:t>
      </w:r>
      <w:r w:rsidR="00C7524E" w:rsidRPr="00ED3FA4">
        <w:t>hectare</w:t>
      </w:r>
      <w:r w:rsidR="00584A39" w:rsidRPr="00ED3FA4">
        <w:t>s</w:t>
      </w:r>
      <w:r w:rsidR="00C7524E" w:rsidRPr="00ED3FA4">
        <w:t xml:space="preserve"> of citrus </w:t>
      </w:r>
      <w:r w:rsidR="008908BF" w:rsidRPr="00ED3FA4">
        <w:t xml:space="preserve">production </w:t>
      </w:r>
      <w:r w:rsidR="00C7524E" w:rsidRPr="00ED3FA4">
        <w:t xml:space="preserve">in </w:t>
      </w:r>
      <w:r w:rsidR="008908BF" w:rsidRPr="00ED3FA4">
        <w:t xml:space="preserve">the </w:t>
      </w:r>
      <w:r w:rsidR="00C7524E" w:rsidRPr="00ED3FA4">
        <w:t xml:space="preserve">region </w:t>
      </w:r>
      <w:r w:rsidR="00584A39" w:rsidRPr="00ED3FA4">
        <w:t xml:space="preserve">with </w:t>
      </w:r>
      <w:r w:rsidR="008908BF" w:rsidRPr="00ED3FA4">
        <w:t xml:space="preserve">estimated </w:t>
      </w:r>
      <w:r w:rsidR="00584A39" w:rsidRPr="00ED3FA4">
        <w:t>returns of $</w:t>
      </w:r>
      <w:r w:rsidR="00ED3FA4">
        <w:t>85,836</w:t>
      </w:r>
      <w:r w:rsidR="00584A39" w:rsidRPr="00ED3FA4">
        <w:t xml:space="preserve"> </w:t>
      </w:r>
      <w:r w:rsidR="00ED3FA4">
        <w:t>gross margin</w:t>
      </w:r>
      <w:r w:rsidR="00584A39" w:rsidRPr="00ED3FA4">
        <w:t xml:space="preserve"> per </w:t>
      </w:r>
      <w:r w:rsidR="001046EC">
        <w:t>farm</w:t>
      </w:r>
      <w:r w:rsidR="00C7524E" w:rsidRPr="00F308F7">
        <w:t>. Based on these estimates</w:t>
      </w:r>
      <w:r w:rsidR="008908BF" w:rsidRPr="00F308F7">
        <w:t>,</w:t>
      </w:r>
      <w:r w:rsidR="00C7524E" w:rsidRPr="00ED3FA4">
        <w:t xml:space="preserve"> the </w:t>
      </w:r>
      <w:r w:rsidR="008A415F" w:rsidRPr="00ED3FA4">
        <w:t>first-round</w:t>
      </w:r>
      <w:r w:rsidR="00C7524E" w:rsidRPr="00ED3FA4">
        <w:t xml:space="preserve"> value of avoiding this heat stress is approximately $</w:t>
      </w:r>
      <w:r w:rsidR="00ED3FA4">
        <w:t>966</w:t>
      </w:r>
      <w:r w:rsidR="00E70773">
        <w:t>,000</w:t>
      </w:r>
      <w:r w:rsidR="00C7524E" w:rsidRPr="00ED3FA4">
        <w:t xml:space="preserve"> per annum</w:t>
      </w:r>
      <w:r w:rsidR="001046EC">
        <w:t xml:space="preserve"> (that is a gain in gross margin of $107 per hectare)</w:t>
      </w:r>
    </w:p>
    <w:p w:rsidR="001A49F3" w:rsidRDefault="001A49F3" w:rsidP="001A49F3">
      <w:pPr>
        <w:pStyle w:val="MJAheading3"/>
      </w:pPr>
      <w:r>
        <w:t>Laser grading — Rice and cereals</w:t>
      </w:r>
    </w:p>
    <w:p w:rsidR="001A49F3" w:rsidRDefault="001A49F3" w:rsidP="001A49F3">
      <w:pPr>
        <w:pStyle w:val="MJAnormal"/>
      </w:pPr>
      <w:r>
        <w:t>The overwhelming majority of OFIEP on-farm expenditures have been directed to reconfiguring rice and cereal farms to terraced bays with bank</w:t>
      </w:r>
      <w:r w:rsidR="00663616">
        <w:t>-</w:t>
      </w:r>
      <w:r>
        <w:t>less channels. Conversions to bank</w:t>
      </w:r>
      <w:r w:rsidR="00663616">
        <w:t>-</w:t>
      </w:r>
      <w:r>
        <w:t>less channels have been occurring since the early 2000s but increased at a pace as a result of OFIEP.</w:t>
      </w:r>
    </w:p>
    <w:p w:rsidR="001A49F3" w:rsidRDefault="001A49F3" w:rsidP="001A49F3">
      <w:pPr>
        <w:pStyle w:val="MJAnormal"/>
      </w:pPr>
      <w:r>
        <w:t>Bank</w:t>
      </w:r>
      <w:r w:rsidR="00663616">
        <w:t>-</w:t>
      </w:r>
      <w:r>
        <w:t xml:space="preserve">less channel layouts are perceived to have many advantages over conventional sloping furrow systems, including: </w:t>
      </w:r>
    </w:p>
    <w:p w:rsidR="001A49F3" w:rsidRDefault="001A49F3" w:rsidP="001A49F3">
      <w:pPr>
        <w:pStyle w:val="MJAbulletnormal"/>
      </w:pPr>
      <w:r>
        <w:t>ease of operation and amenability to automation</w:t>
      </w:r>
      <w:r w:rsidR="008908BF">
        <w:t>;</w:t>
      </w:r>
    </w:p>
    <w:p w:rsidR="001A49F3" w:rsidRDefault="001A49F3" w:rsidP="001A49F3">
      <w:pPr>
        <w:pStyle w:val="MJAbulletnormal"/>
      </w:pPr>
      <w:r>
        <w:t>labour savings — for example ‘The real benefit of the new layout was the labour savings, coming from three workers using three ute’s full time for a solid three months of the year, to being able to irrigate over 500 hectare</w:t>
      </w:r>
      <w:r w:rsidR="004D4F09">
        <w:t>s</w:t>
      </w:r>
      <w:r>
        <w:t xml:space="preserve"> on my own was the real winner’</w:t>
      </w:r>
      <w:r>
        <w:rPr>
          <w:rStyle w:val="FootnoteReference"/>
        </w:rPr>
        <w:footnoteReference w:id="7"/>
      </w:r>
      <w:r w:rsidR="008908BF">
        <w:t>;</w:t>
      </w:r>
    </w:p>
    <w:p w:rsidR="001A49F3" w:rsidRDefault="001A49F3" w:rsidP="001A49F3">
      <w:pPr>
        <w:pStyle w:val="MJAbulletnormal"/>
      </w:pPr>
      <w:r>
        <w:t>potential for water use efficiency</w:t>
      </w:r>
      <w:r w:rsidR="008908BF">
        <w:t>; and</w:t>
      </w:r>
      <w:r>
        <w:t xml:space="preserve"> </w:t>
      </w:r>
    </w:p>
    <w:p w:rsidR="001A49F3" w:rsidRDefault="001A49F3" w:rsidP="001A49F3">
      <w:pPr>
        <w:pStyle w:val="MJAbulletnormal"/>
      </w:pPr>
      <w:r>
        <w:t>greater flexibility in the farm systems to cho</w:t>
      </w:r>
      <w:r w:rsidR="004D4F09">
        <w:t>o</w:t>
      </w:r>
      <w:r>
        <w:t>se a wider range of numerous cropping options.</w:t>
      </w:r>
      <w:r>
        <w:rPr>
          <w:rStyle w:val="FootnoteReference"/>
        </w:rPr>
        <w:footnoteReference w:id="8"/>
      </w:r>
    </w:p>
    <w:p w:rsidR="001A49F3" w:rsidRDefault="001A49F3" w:rsidP="001A49F3">
      <w:pPr>
        <w:pStyle w:val="MJAnormal"/>
      </w:pPr>
      <w:r>
        <w:t>Nonetheless</w:t>
      </w:r>
      <w:r w:rsidR="008908BF">
        <w:t>,</w:t>
      </w:r>
      <w:r>
        <w:t xml:space="preserve"> there are </w:t>
      </w:r>
      <w:r w:rsidR="004166B3">
        <w:t xml:space="preserve">a </w:t>
      </w:r>
      <w:r>
        <w:t>number of limitation</w:t>
      </w:r>
      <w:r w:rsidR="004166B3">
        <w:t>s</w:t>
      </w:r>
      <w:r>
        <w:t xml:space="preserve"> to bank</w:t>
      </w:r>
      <w:r w:rsidR="00663616">
        <w:t>-</w:t>
      </w:r>
      <w:r>
        <w:t>less channels including:</w:t>
      </w:r>
    </w:p>
    <w:p w:rsidR="001A49F3" w:rsidRDefault="001A49F3" w:rsidP="001A49F3">
      <w:pPr>
        <w:pStyle w:val="MJAbulletnormal"/>
      </w:pPr>
      <w:r>
        <w:t>greater difficulty in maintaining uniformity</w:t>
      </w:r>
      <w:r w:rsidR="008908BF">
        <w:t>;</w:t>
      </w:r>
    </w:p>
    <w:p w:rsidR="001A49F3" w:rsidRDefault="001A49F3" w:rsidP="001A49F3">
      <w:pPr>
        <w:pStyle w:val="MJAbulletnormal"/>
      </w:pPr>
      <w:r>
        <w:t>over application of water can easily occur</w:t>
      </w:r>
      <w:r w:rsidR="008908BF">
        <w:t>;</w:t>
      </w:r>
    </w:p>
    <w:p w:rsidR="001A49F3" w:rsidRDefault="001A49F3" w:rsidP="001A49F3">
      <w:pPr>
        <w:pStyle w:val="MJAbulletnormal"/>
      </w:pPr>
      <w:r>
        <w:t>more extensive earth works and movement of top soil is required</w:t>
      </w:r>
      <w:r w:rsidR="008908BF">
        <w:t>;</w:t>
      </w:r>
      <w:r>
        <w:t xml:space="preserve"> and</w:t>
      </w:r>
    </w:p>
    <w:p w:rsidR="001A49F3" w:rsidRDefault="001A49F3" w:rsidP="001A49F3">
      <w:pPr>
        <w:pStyle w:val="MJAbulletnormal"/>
      </w:pPr>
      <w:r>
        <w:t>high flow rates from supply channels are required.</w:t>
      </w:r>
    </w:p>
    <w:p w:rsidR="001A49F3" w:rsidRDefault="001A49F3" w:rsidP="001A49F3">
      <w:pPr>
        <w:pStyle w:val="MJAnormal"/>
      </w:pPr>
      <w:r>
        <w:t>Estimating the yield gain from converting to bank</w:t>
      </w:r>
      <w:r w:rsidR="00663616">
        <w:t>-</w:t>
      </w:r>
      <w:r>
        <w:t xml:space="preserve">less channels is complex. There are a variety of factors to consider, including among others the </w:t>
      </w:r>
      <w:r w:rsidR="00347830">
        <w:t>effect</w:t>
      </w:r>
      <w:r>
        <w:t xml:space="preserve"> of lasering on the:</w:t>
      </w:r>
    </w:p>
    <w:p w:rsidR="001A49F3" w:rsidRDefault="001A49F3" w:rsidP="001A49F3">
      <w:pPr>
        <w:pStyle w:val="MJAbulletnormal"/>
      </w:pPr>
      <w:r>
        <w:t>area of irrigable land — lasering to bank</w:t>
      </w:r>
      <w:r w:rsidR="00663616">
        <w:t>-</w:t>
      </w:r>
      <w:r>
        <w:t>less channels can both increase and decrease the area under irrigation depending on individual farm circumstances;</w:t>
      </w:r>
    </w:p>
    <w:p w:rsidR="001A49F3" w:rsidRDefault="001A49F3" w:rsidP="001A49F3">
      <w:pPr>
        <w:pStyle w:val="MJAbulletnormal"/>
      </w:pPr>
      <w:r>
        <w:t>quality-evenness of irrigation across the irrigable land — lasering to</w:t>
      </w:r>
      <w:r w:rsidRPr="00480BD1">
        <w:t xml:space="preserve"> </w:t>
      </w:r>
      <w:r>
        <w:t>bank</w:t>
      </w:r>
      <w:r w:rsidR="00663616">
        <w:t>-</w:t>
      </w:r>
      <w:r>
        <w:t>less channels tends to increase the evenness of irrigation and thereby other things equal decrease water logging and increasing the consistency of yield across the area lasered;</w:t>
      </w:r>
    </w:p>
    <w:p w:rsidR="001A49F3" w:rsidRDefault="001A49F3" w:rsidP="001A49F3">
      <w:pPr>
        <w:pStyle w:val="MJAbulletnormal"/>
      </w:pPr>
      <w:r>
        <w:t>ability to flexibly adapt the farm system and undertake more timely enterprise decisio</w:t>
      </w:r>
      <w:r w:rsidR="00DA0FE1">
        <w:t>ns and inventions</w:t>
      </w:r>
      <w:r>
        <w:t>.</w:t>
      </w:r>
    </w:p>
    <w:p w:rsidR="001A49F3" w:rsidRDefault="001A49F3" w:rsidP="001A49F3">
      <w:pPr>
        <w:pStyle w:val="MJAbulletnormal"/>
        <w:numPr>
          <w:ilvl w:val="0"/>
          <w:numId w:val="0"/>
        </w:numPr>
      </w:pPr>
      <w:r>
        <w:t xml:space="preserve">There is limited empirical evidence of the yield </w:t>
      </w:r>
      <w:r w:rsidR="00347830">
        <w:t>effect</w:t>
      </w:r>
      <w:r>
        <w:t>s</w:t>
      </w:r>
      <w:r w:rsidR="00FD3BB4">
        <w:t xml:space="preserve"> from</w:t>
      </w:r>
      <w:r>
        <w:t xml:space="preserve"> bank</w:t>
      </w:r>
      <w:r w:rsidR="00663616">
        <w:t>-</w:t>
      </w:r>
      <w:r>
        <w:t>less – most are based on individual sites or pilot paddocks. In this project</w:t>
      </w:r>
      <w:r w:rsidR="008908BF">
        <w:t>,</w:t>
      </w:r>
      <w:r>
        <w:t xml:space="preserve"> we have relied on</w:t>
      </w:r>
      <w:r w:rsidR="00102CFC">
        <w:t xml:space="preserve"> insights from</w:t>
      </w:r>
      <w:r>
        <w:t xml:space="preserve"> </w:t>
      </w:r>
      <w:r w:rsidR="00102CFC">
        <w:t>a range of technical experts in these land form systems</w:t>
      </w:r>
      <w:r>
        <w:t>. The key insights were that bank</w:t>
      </w:r>
      <w:r w:rsidR="00663616">
        <w:t>-</w:t>
      </w:r>
      <w:r>
        <w:t>less channels:</w:t>
      </w:r>
    </w:p>
    <w:p w:rsidR="001A49F3" w:rsidRDefault="001A49F3" w:rsidP="001A49F3">
      <w:pPr>
        <w:pStyle w:val="MJAbulletnormal"/>
      </w:pPr>
      <w:r w:rsidRPr="00480BD1">
        <w:t xml:space="preserve">primarily enable single farm operators to operate </w:t>
      </w:r>
      <w:r w:rsidRPr="0025183D">
        <w:t xml:space="preserve">larger scale enterprises. There </w:t>
      </w:r>
      <w:r w:rsidR="0028404B">
        <w:t>were</w:t>
      </w:r>
      <w:r w:rsidRPr="0025183D">
        <w:t xml:space="preserve"> mixed view</w:t>
      </w:r>
      <w:r w:rsidR="005D2327">
        <w:t>s</w:t>
      </w:r>
      <w:r w:rsidRPr="0025183D">
        <w:t xml:space="preserve"> on its </w:t>
      </w:r>
      <w:r w:rsidR="00347830">
        <w:t>effect</w:t>
      </w:r>
      <w:r w:rsidRPr="0025183D">
        <w:t xml:space="preserve"> on the area of irrigable land — that is </w:t>
      </w:r>
      <w:r w:rsidR="0028404B">
        <w:t xml:space="preserve">they </w:t>
      </w:r>
      <w:r w:rsidRPr="0025183D">
        <w:t>are predominantly labour and input saving technology and thereby a transfer for the purposes of this study</w:t>
      </w:r>
      <w:r w:rsidR="00833A2E" w:rsidRPr="0025183D">
        <w:t>.</w:t>
      </w:r>
      <w:r w:rsidRPr="0025183D">
        <w:t xml:space="preserve"> Some case-studies in cotton have reported saving in machinery costs of 20 to 25 per cent</w:t>
      </w:r>
      <w:r>
        <w:rPr>
          <w:rStyle w:val="FootnoteReference"/>
        </w:rPr>
        <w:footnoteReference w:id="9"/>
      </w:r>
      <w:r>
        <w:t>.</w:t>
      </w:r>
    </w:p>
    <w:p w:rsidR="001A49F3" w:rsidRPr="00733225" w:rsidRDefault="001A49F3" w:rsidP="001A49F3">
      <w:pPr>
        <w:pStyle w:val="MJAbulletnormal"/>
      </w:pPr>
      <w:r w:rsidRPr="00733225">
        <w:t>have a minor to limited effect on yield by improving the evenness of irrigation — given the assumptions required and the limited effect we do not incorporate this gain in this project.</w:t>
      </w:r>
    </w:p>
    <w:p w:rsidR="001A49F3" w:rsidRPr="00B22F9A" w:rsidRDefault="001A49F3" w:rsidP="001A49F3">
      <w:pPr>
        <w:pStyle w:val="MJAbulletnormal"/>
      </w:pPr>
      <w:r w:rsidRPr="00B22F9A">
        <w:t xml:space="preserve">appear to primarily </w:t>
      </w:r>
      <w:r w:rsidR="00FD3BB4">
        <w:t>improve</w:t>
      </w:r>
      <w:r w:rsidR="00FD3BB4" w:rsidRPr="00B22F9A">
        <w:t xml:space="preserve"> </w:t>
      </w:r>
      <w:r w:rsidRPr="00B22F9A">
        <w:t xml:space="preserve">the flexibility of annual cropping systems — including having more cropping choices including additional crop choices and increased options with crop rotations. </w:t>
      </w:r>
    </w:p>
    <w:p w:rsidR="001A49F3" w:rsidRPr="00B22F9A" w:rsidRDefault="001A49F3" w:rsidP="001A49F3">
      <w:pPr>
        <w:pStyle w:val="MJAbulletnormal"/>
        <w:numPr>
          <w:ilvl w:val="0"/>
          <w:numId w:val="0"/>
        </w:numPr>
      </w:pPr>
      <w:r w:rsidRPr="00B22F9A">
        <w:t xml:space="preserve">Grabham </w:t>
      </w:r>
      <w:r w:rsidR="00833A2E">
        <w:t>(</w:t>
      </w:r>
      <w:r w:rsidRPr="00B22F9A">
        <w:t>2012</w:t>
      </w:r>
      <w:r w:rsidR="00833A2E">
        <w:t>)</w:t>
      </w:r>
      <w:r w:rsidRPr="00B22F9A">
        <w:t xml:space="preserve"> observed the system enables row-crops to be grown in rotation with rice, which requires inundation. For example</w:t>
      </w:r>
      <w:r w:rsidR="00833A2E">
        <w:t>,</w:t>
      </w:r>
      <w:r w:rsidRPr="00B22F9A">
        <w:t xml:space="preserve"> </w:t>
      </w:r>
      <w:r w:rsidR="00833A2E">
        <w:t xml:space="preserve">using a </w:t>
      </w:r>
      <w:r w:rsidRPr="00B22F9A">
        <w:t>case</w:t>
      </w:r>
      <w:r>
        <w:t xml:space="preserve"> </w:t>
      </w:r>
      <w:r w:rsidRPr="00B22F9A">
        <w:t xml:space="preserve">study of </w:t>
      </w:r>
      <w:r>
        <w:t xml:space="preserve">a </w:t>
      </w:r>
      <w:r w:rsidRPr="00B22F9A">
        <w:t>terra</w:t>
      </w:r>
      <w:r>
        <w:t>ced bay bank</w:t>
      </w:r>
      <w:r w:rsidR="00663616">
        <w:t>-</w:t>
      </w:r>
      <w:r>
        <w:t>less channel system,</w:t>
      </w:r>
      <w:r w:rsidRPr="00B22F9A">
        <w:t xml:space="preserve"> Gibb </w:t>
      </w:r>
      <w:r w:rsidR="00833A2E">
        <w:t>(</w:t>
      </w:r>
      <w:r w:rsidRPr="00B22F9A">
        <w:t>2015</w:t>
      </w:r>
      <w:r w:rsidR="00833A2E">
        <w:t>)</w:t>
      </w:r>
      <w:r w:rsidRPr="00B22F9A">
        <w:t xml:space="preserve"> observed crop options for the original irrig</w:t>
      </w:r>
      <w:r>
        <w:t xml:space="preserve">ation layout were ‘limited to a </w:t>
      </w:r>
      <w:r w:rsidRPr="00B22F9A">
        <w:t>rice-winter cereal</w:t>
      </w:r>
      <w:r>
        <w:t>-winter pasture’ crop rotation and that ‘c</w:t>
      </w:r>
      <w:r w:rsidRPr="00B22F9A">
        <w:t>rop options for the new irrigation layout will increase for summer crops (rice, cotton, maize) and winter crop types: cereals (wheat); legumes (faba beans) and oilseeds (canola)</w:t>
      </w:r>
      <w:r>
        <w:t>’</w:t>
      </w:r>
      <w:r w:rsidRPr="00B22F9A">
        <w:t xml:space="preserve">. Grabham </w:t>
      </w:r>
      <w:r w:rsidR="00833A2E">
        <w:t>(</w:t>
      </w:r>
      <w:r w:rsidRPr="00B22F9A">
        <w:t>2012</w:t>
      </w:r>
      <w:r w:rsidR="00833A2E">
        <w:t>)</w:t>
      </w:r>
      <w:r w:rsidRPr="00B22F9A">
        <w:t xml:space="preserve"> noted that this can also have advantages for weed management, soil health and the versatility to exploit commodity markets without major reconfiguration of the irrigation system.</w:t>
      </w:r>
    </w:p>
    <w:p w:rsidR="001A49F3" w:rsidRPr="00733225" w:rsidRDefault="00B11587" w:rsidP="001A49F3">
      <w:pPr>
        <w:pStyle w:val="MJAbulletnormal"/>
        <w:numPr>
          <w:ilvl w:val="0"/>
          <w:numId w:val="0"/>
        </w:numPr>
      </w:pPr>
      <w:r>
        <w:t xml:space="preserve">Our </w:t>
      </w:r>
      <w:r w:rsidR="009128AB">
        <w:t>consultations</w:t>
      </w:r>
      <w:r w:rsidR="003B367A">
        <w:t xml:space="preserve"> with field experts</w:t>
      </w:r>
      <w:r w:rsidR="00F711AD">
        <w:t xml:space="preserve"> </w:t>
      </w:r>
      <w:r w:rsidR="001A49F3" w:rsidRPr="00B22F9A">
        <w:t>also indicate that flexibility is improved through the ability to make and execute more timely cropping decisions.</w:t>
      </w:r>
      <w:r w:rsidR="001A49F3">
        <w:t xml:space="preserve"> Among others</w:t>
      </w:r>
      <w:r w:rsidR="00833A2E">
        <w:t>,</w:t>
      </w:r>
      <w:r w:rsidR="001A49F3">
        <w:t xml:space="preserve"> t</w:t>
      </w:r>
      <w:r w:rsidR="001A49F3" w:rsidRPr="00B22F9A">
        <w:t xml:space="preserve">his occurs through enabling more rapid and accurate application of </w:t>
      </w:r>
      <w:r w:rsidR="001A49F3">
        <w:t>machinery and results</w:t>
      </w:r>
      <w:r w:rsidR="001A49F3" w:rsidRPr="00B22F9A">
        <w:t xml:space="preserve"> in th</w:t>
      </w:r>
      <w:r w:rsidR="001A49F3">
        <w:t>e yielding of successful crops in</w:t>
      </w:r>
      <w:r w:rsidR="001A49F3" w:rsidRPr="00B22F9A">
        <w:t xml:space="preserve"> years where a crop might be otherwise marginal. </w:t>
      </w:r>
      <w:r w:rsidR="001A49F3">
        <w:t xml:space="preserve">Based on </w:t>
      </w:r>
      <w:r w:rsidR="003B367A">
        <w:t xml:space="preserve">feedback of field </w:t>
      </w:r>
      <w:r w:rsidR="001046EC">
        <w:t>expert</w:t>
      </w:r>
      <w:r w:rsidR="003B367A">
        <w:t>s</w:t>
      </w:r>
      <w:r w:rsidR="001046EC">
        <w:t xml:space="preserve"> (including </w:t>
      </w:r>
      <w:r w:rsidR="00561914">
        <w:t>program delivery head contractors</w:t>
      </w:r>
      <w:r w:rsidR="001046EC">
        <w:t xml:space="preserve"> and on-farm advisors)</w:t>
      </w:r>
      <w:r w:rsidR="00833A2E">
        <w:t>,</w:t>
      </w:r>
      <w:r w:rsidR="001A49F3">
        <w:t xml:space="preserve"> w</w:t>
      </w:r>
      <w:r w:rsidR="001A49F3" w:rsidRPr="00B22F9A">
        <w:t>e assume that one year in ten an extra rice</w:t>
      </w:r>
      <w:r w:rsidR="001A49F3">
        <w:t>/cereal</w:t>
      </w:r>
      <w:r w:rsidR="001A49F3" w:rsidRPr="00B22F9A">
        <w:t xml:space="preserve"> crop </w:t>
      </w:r>
      <w:r w:rsidR="003B367A">
        <w:t>can be</w:t>
      </w:r>
      <w:r w:rsidR="003B367A" w:rsidRPr="00B22F9A">
        <w:t xml:space="preserve"> </w:t>
      </w:r>
      <w:r w:rsidR="001A49F3" w:rsidRPr="00B22F9A">
        <w:t xml:space="preserve">yielded than would otherwise be the case. </w:t>
      </w:r>
    </w:p>
    <w:p w:rsidR="000767EF" w:rsidRDefault="001A49F3" w:rsidP="001A49F3">
      <w:pPr>
        <w:pStyle w:val="MJAbulletnormal"/>
        <w:numPr>
          <w:ilvl w:val="0"/>
          <w:numId w:val="0"/>
        </w:numPr>
      </w:pPr>
      <w:r w:rsidRPr="00061E10">
        <w:t>We assume gross margin of $2</w:t>
      </w:r>
      <w:r w:rsidR="000767EF" w:rsidRPr="00061E10">
        <w:t>,</w:t>
      </w:r>
      <w:r w:rsidRPr="00061E10">
        <w:t xml:space="preserve">277 per hectare (based on 2011-12 gross margin produced by Booth Associates — note we use the gross margin as an indicator of the </w:t>
      </w:r>
      <w:r w:rsidR="008A415F" w:rsidRPr="00061E10">
        <w:t>first-round</w:t>
      </w:r>
      <w:r w:rsidRPr="00061E10">
        <w:t xml:space="preserve"> value added effect</w:t>
      </w:r>
      <w:r w:rsidR="00174251">
        <w:rPr>
          <w:rStyle w:val="FootnoteReference"/>
        </w:rPr>
        <w:footnoteReference w:id="10"/>
      </w:r>
      <w:r w:rsidR="009E30FC">
        <w:t>).</w:t>
      </w:r>
      <w:r w:rsidRPr="00061E10">
        <w:t xml:space="preserve"> Consequently, the annual productivity gain of bank</w:t>
      </w:r>
      <w:r w:rsidR="000767EF" w:rsidRPr="00061E10">
        <w:t>-</w:t>
      </w:r>
      <w:r w:rsidRPr="00061E10">
        <w:t xml:space="preserve">less channels </w:t>
      </w:r>
      <w:r w:rsidR="000767EF">
        <w:t xml:space="preserve">used for rice and cereals production </w:t>
      </w:r>
      <w:r w:rsidRPr="00061E10">
        <w:t>can be calculated as = $2.</w:t>
      </w:r>
      <w:r w:rsidR="00A76DF0">
        <w:t>7</w:t>
      </w:r>
      <w:r w:rsidRPr="00061E10">
        <w:t xml:space="preserve"> million = </w:t>
      </w:r>
      <w:r w:rsidR="000767EF" w:rsidRPr="00061E10">
        <w:t>12,</w:t>
      </w:r>
      <w:r w:rsidR="00A76DF0">
        <w:t>027</w:t>
      </w:r>
      <w:r w:rsidRPr="00061E10">
        <w:t xml:space="preserve"> hectares x $2</w:t>
      </w:r>
      <w:r w:rsidR="007663E4">
        <w:t>,</w:t>
      </w:r>
      <w:r w:rsidRPr="00061E10">
        <w:t>277/10.</w:t>
      </w:r>
      <w:r w:rsidR="009E6C29">
        <w:t xml:space="preserve"> </w:t>
      </w:r>
      <w:r w:rsidR="000767EF">
        <w:t xml:space="preserve">The productivity gains for cotton are estimated in the same way – the gain is calculated as </w:t>
      </w:r>
      <w:r w:rsidR="000767EF" w:rsidRPr="00061E10">
        <w:t>$</w:t>
      </w:r>
      <w:r w:rsidR="007663E4">
        <w:t>103,420</w:t>
      </w:r>
      <w:r w:rsidR="000767EF" w:rsidRPr="00061E10">
        <w:t xml:space="preserve"> = 391 hectares x </w:t>
      </w:r>
      <w:r w:rsidR="000767EF" w:rsidRPr="00756FA3">
        <w:t>$</w:t>
      </w:r>
      <w:r w:rsidR="007663E4">
        <w:t>2,645</w:t>
      </w:r>
      <w:r w:rsidR="000767EF" w:rsidRPr="00756FA3">
        <w:t>/10</w:t>
      </w:r>
      <w:r w:rsidR="007663E4">
        <w:t>, where the gross margin is also sourced from Booth Associates</w:t>
      </w:r>
      <w:r w:rsidR="000767EF" w:rsidRPr="00756FA3">
        <w:t>.</w:t>
      </w:r>
    </w:p>
    <w:p w:rsidR="001A49F3" w:rsidRDefault="00387D2F" w:rsidP="001A49F3">
      <w:pPr>
        <w:pStyle w:val="MJAheading3"/>
      </w:pPr>
      <w:r>
        <w:t>Water savings</w:t>
      </w:r>
    </w:p>
    <w:p w:rsidR="009F7E8D" w:rsidRDefault="00604DE1" w:rsidP="00604DE1">
      <w:pPr>
        <w:pStyle w:val="MJAnormal"/>
      </w:pPr>
      <w:r w:rsidRPr="00061E10">
        <w:t xml:space="preserve">The Department of Agriculture </w:t>
      </w:r>
      <w:r w:rsidR="008770EF">
        <w:t xml:space="preserve">and Water Resources </w:t>
      </w:r>
      <w:r w:rsidR="006024E6">
        <w:t xml:space="preserve">returns 30 </w:t>
      </w:r>
      <w:r w:rsidRPr="00061E10">
        <w:t xml:space="preserve">per cent of on-farm water savings to irrigators. </w:t>
      </w:r>
    </w:p>
    <w:p w:rsidR="006024E6" w:rsidRDefault="00F6665E" w:rsidP="00604DE1">
      <w:pPr>
        <w:pStyle w:val="MJAnormal"/>
      </w:pPr>
      <w:r>
        <w:t>The Department estimate a net gain of 21.8 GL LTAAY has been returned to irrigators</w:t>
      </w:r>
      <w:r w:rsidR="00C235E5">
        <w:t xml:space="preserve"> which </w:t>
      </w:r>
      <w:r w:rsidR="009F7E8D">
        <w:t>is comprised of</w:t>
      </w:r>
      <w:r w:rsidR="009F7E8D" w:rsidRPr="009F7E8D">
        <w:t xml:space="preserve"> </w:t>
      </w:r>
      <w:r w:rsidR="009F7E8D" w:rsidRPr="00061E10">
        <w:t>approximately</w:t>
      </w:r>
      <w:r w:rsidR="009F7E8D">
        <w:t>:</w:t>
      </w:r>
    </w:p>
    <w:p w:rsidR="00604DE1" w:rsidRDefault="006024E6" w:rsidP="009F7E8D">
      <w:pPr>
        <w:pStyle w:val="MJAbulletnormal"/>
      </w:pPr>
      <w:r>
        <w:t>14.8</w:t>
      </w:r>
      <w:r w:rsidR="009F7E8D">
        <w:t xml:space="preserve"> </w:t>
      </w:r>
      <w:r w:rsidR="00604DE1" w:rsidRPr="00061E10">
        <w:t xml:space="preserve">GL of entitlement </w:t>
      </w:r>
      <w:r w:rsidR="00C235E5">
        <w:t xml:space="preserve">LTAAY </w:t>
      </w:r>
      <w:r w:rsidR="009F7E8D">
        <w:t>from on-farm efficiency works</w:t>
      </w:r>
      <w:r w:rsidR="00C235E5">
        <w:t xml:space="preserve"> (where irrigators retain 30 per cent of all on farm savings); </w:t>
      </w:r>
      <w:r w:rsidR="00604DE1" w:rsidRPr="00061E10">
        <w:t xml:space="preserve"> </w:t>
      </w:r>
    </w:p>
    <w:p w:rsidR="00604DE1" w:rsidRDefault="009F7E8D" w:rsidP="009F7E8D">
      <w:pPr>
        <w:pStyle w:val="MJAbulletnormal"/>
      </w:pPr>
      <w:r w:rsidRPr="00061E10">
        <w:t xml:space="preserve">7 GL of entitlement </w:t>
      </w:r>
      <w:r>
        <w:t>LTAAY</w:t>
      </w:r>
      <w:r w:rsidRPr="00061E10">
        <w:t xml:space="preserve"> </w:t>
      </w:r>
      <w:r>
        <w:t>from</w:t>
      </w:r>
      <w:r w:rsidR="00604DE1" w:rsidRPr="00061E10">
        <w:t xml:space="preserve"> off</w:t>
      </w:r>
      <w:r w:rsidR="00C235E5">
        <w:t>-</w:t>
      </w:r>
      <w:r w:rsidR="00604DE1" w:rsidRPr="00061E10">
        <w:t>farm delivery system efficiency investments by PIIOP</w:t>
      </w:r>
      <w:r>
        <w:t>.</w:t>
      </w:r>
    </w:p>
    <w:p w:rsidR="006024E6" w:rsidRDefault="006024E6" w:rsidP="00BA4684">
      <w:pPr>
        <w:pStyle w:val="MJAnormal"/>
      </w:pPr>
      <w:r w:rsidRPr="00904A2B">
        <w:t>Th</w:t>
      </w:r>
      <w:r w:rsidR="00C235E5">
        <w:t xml:space="preserve">is water is assumed to be a net increase in available water for productive purposes and </w:t>
      </w:r>
      <w:r>
        <w:t xml:space="preserve">is used as the basis for estimating net economic </w:t>
      </w:r>
      <w:r w:rsidR="00BA4684">
        <w:t xml:space="preserve">productivity </w:t>
      </w:r>
      <w:r>
        <w:t xml:space="preserve">gains to the region from </w:t>
      </w:r>
      <w:r w:rsidR="00BA4684">
        <w:t>the PIIOP and OFIEP investments</w:t>
      </w:r>
      <w:r w:rsidR="006165E6">
        <w:t xml:space="preserve"> in section 8</w:t>
      </w:r>
      <w:r w:rsidRPr="00904A2B">
        <w:t>.</w:t>
      </w:r>
      <w:r w:rsidR="006165E6">
        <w:t xml:space="preserve"> </w:t>
      </w:r>
    </w:p>
    <w:p w:rsidR="009F7E8D" w:rsidRDefault="009F7E8D">
      <w:pPr>
        <w:rPr>
          <w:rFonts w:ascii="Times New Roman" w:eastAsia="Times New Roman" w:hAnsi="Times New Roman" w:cs="Times New Roman"/>
        </w:rPr>
      </w:pPr>
      <w:r>
        <w:br w:type="page"/>
      </w:r>
    </w:p>
    <w:p w:rsidR="009F7E8D" w:rsidRPr="00BA4684" w:rsidRDefault="009F7E8D" w:rsidP="00BA4684">
      <w:pPr>
        <w:pStyle w:val="MJAnormal"/>
      </w:pPr>
    </w:p>
    <w:p w:rsidR="00F20D24" w:rsidRDefault="00F20D24" w:rsidP="00F20D24">
      <w:pPr>
        <w:pStyle w:val="MJAHeading10"/>
      </w:pPr>
      <w:r>
        <w:tab/>
      </w:r>
      <w:bookmarkStart w:id="130" w:name="_Toc494892271"/>
      <w:r>
        <w:t>Effects of water buy back</w:t>
      </w:r>
      <w:bookmarkEnd w:id="130"/>
    </w:p>
    <w:p w:rsidR="004616F9" w:rsidRDefault="004616F9" w:rsidP="00F20D24">
      <w:pPr>
        <w:pStyle w:val="MJAnormal"/>
      </w:pPr>
      <w:r>
        <w:t xml:space="preserve">This section considers the </w:t>
      </w:r>
      <w:r w:rsidR="008608E1">
        <w:t>effect</w:t>
      </w:r>
      <w:r>
        <w:t xml:space="preserve"> of </w:t>
      </w:r>
      <w:r w:rsidR="00DA0FE1">
        <w:t xml:space="preserve">the </w:t>
      </w:r>
      <w:r w:rsidR="00833A2E">
        <w:t>Australian Government</w:t>
      </w:r>
      <w:r>
        <w:t xml:space="preserve"> water purchase</w:t>
      </w:r>
      <w:r w:rsidR="00DA0FE1">
        <w:t xml:space="preserve"> program</w:t>
      </w:r>
      <w:r>
        <w:t xml:space="preserve"> on the </w:t>
      </w:r>
      <w:r w:rsidR="00314E7D">
        <w:t>MIA</w:t>
      </w:r>
      <w:r>
        <w:t xml:space="preserve">.  </w:t>
      </w:r>
    </w:p>
    <w:p w:rsidR="00FD3BB4" w:rsidRDefault="00FD3BB4" w:rsidP="00061E10">
      <w:pPr>
        <w:pStyle w:val="MJAheading2"/>
      </w:pPr>
      <w:bookmarkStart w:id="131" w:name="_Toc482099170"/>
      <w:bookmarkStart w:id="132" w:name="_Toc494892272"/>
      <w:r>
        <w:t>Key Findings</w:t>
      </w:r>
      <w:bookmarkEnd w:id="131"/>
      <w:bookmarkEnd w:id="132"/>
    </w:p>
    <w:p w:rsidR="00FD3BB4" w:rsidRDefault="00FD3BB4" w:rsidP="00061E10">
      <w:pPr>
        <w:pStyle w:val="MJAbulletnormal"/>
      </w:pPr>
      <w:r>
        <w:t xml:space="preserve">Precise analysis of the regional economic </w:t>
      </w:r>
      <w:r w:rsidR="00347830">
        <w:t>effect</w:t>
      </w:r>
      <w:r>
        <w:t>s from the water purchase programs is confounded by numerous dynamic influences that affect water market performance and prices, and regional economic performance.</w:t>
      </w:r>
    </w:p>
    <w:p w:rsidR="00FD3BB4" w:rsidRDefault="00FD3BB4" w:rsidP="00061E10">
      <w:pPr>
        <w:pStyle w:val="MJAbulletnormal"/>
      </w:pPr>
      <w:r>
        <w:t xml:space="preserve">Based on the available evidence, Marsden Jacob concludes that the economic </w:t>
      </w:r>
      <w:r w:rsidR="00347830">
        <w:t>effect</w:t>
      </w:r>
      <w:r>
        <w:t xml:space="preserve"> of the purchase (buy-back) program on the MIA is very small if not neutral because the water was purchased at the prevailing market price.  </w:t>
      </w:r>
    </w:p>
    <w:p w:rsidR="00FD3BB4" w:rsidRDefault="00FD3BB4" w:rsidP="00061E10">
      <w:pPr>
        <w:pStyle w:val="MJAbulletnormal"/>
      </w:pPr>
      <w:r>
        <w:t xml:space="preserve">The first-round effects are neutral because the prices paid </w:t>
      </w:r>
      <w:r w:rsidR="00833A2E">
        <w:t xml:space="preserve">by the </w:t>
      </w:r>
      <w:r>
        <w:t>Australian Government were equivalent to those offered by other bidders and</w:t>
      </w:r>
      <w:r w:rsidR="00833A2E">
        <w:t>,</w:t>
      </w:r>
      <w:r>
        <w:t xml:space="preserve"> therefore</w:t>
      </w:r>
      <w:r w:rsidR="00833A2E">
        <w:t>,</w:t>
      </w:r>
      <w:r>
        <w:t xml:space="preserve"> sale income is equivalent to the value of forgone farm income. </w:t>
      </w:r>
    </w:p>
    <w:p w:rsidR="00FD3BB4" w:rsidRDefault="00FD3BB4" w:rsidP="00061E10">
      <w:pPr>
        <w:pStyle w:val="MJAbulletnormal"/>
      </w:pPr>
      <w:r>
        <w:t xml:space="preserve">Consideration of the longer-term </w:t>
      </w:r>
      <w:r w:rsidR="00347830">
        <w:t>effect</w:t>
      </w:r>
      <w:r>
        <w:t xml:space="preserve">s finds that the </w:t>
      </w:r>
      <w:r w:rsidR="00347830">
        <w:t>effect</w:t>
      </w:r>
      <w:r>
        <w:t xml:space="preserve"> is neutral because good</w:t>
      </w:r>
      <w:r w:rsidR="00833A2E">
        <w:t>s</w:t>
      </w:r>
      <w:r>
        <w:t xml:space="preserve"> and services that would have been locally purchased to support irrigation activity have been largely replaced with alternative purchases to support new farming activity or business activity.  </w:t>
      </w:r>
    </w:p>
    <w:p w:rsidR="00C235E5" w:rsidRDefault="00C235E5" w:rsidP="00061E10">
      <w:pPr>
        <w:pStyle w:val="MJAbulletnormal"/>
      </w:pPr>
      <w:r w:rsidRPr="00904A2B">
        <w:t>Assuming leakage of income from the region of 10 or even 20 per cent</w:t>
      </w:r>
      <w:r>
        <w:t>,</w:t>
      </w:r>
      <w:r w:rsidRPr="00904A2B">
        <w:t xml:space="preserve"> the loss is substantially less than the </w:t>
      </w:r>
      <w:r>
        <w:t xml:space="preserve">increase in </w:t>
      </w:r>
      <w:r w:rsidRPr="00904A2B">
        <w:t xml:space="preserve">estimated </w:t>
      </w:r>
      <w:r w:rsidRPr="00904A2B">
        <w:rPr>
          <w:i/>
        </w:rPr>
        <w:t>annual flow of income</w:t>
      </w:r>
      <w:r w:rsidRPr="00904A2B">
        <w:t xml:space="preserve"> </w:t>
      </w:r>
      <w:r>
        <w:t xml:space="preserve">generated from Commonwealth </w:t>
      </w:r>
      <w:r w:rsidR="00FD1A19">
        <w:t xml:space="preserve">infrastructure </w:t>
      </w:r>
      <w:r>
        <w:t>investments on and off farm.</w:t>
      </w:r>
    </w:p>
    <w:p w:rsidR="00E279BA" w:rsidRDefault="00E279BA" w:rsidP="00061E10">
      <w:pPr>
        <w:pStyle w:val="MJAheading2"/>
      </w:pPr>
      <w:bookmarkStart w:id="133" w:name="_Toc482099171"/>
      <w:bookmarkStart w:id="134" w:name="_Toc494892273"/>
      <w:r>
        <w:t>Background</w:t>
      </w:r>
      <w:bookmarkEnd w:id="133"/>
      <w:bookmarkEnd w:id="134"/>
    </w:p>
    <w:p w:rsidR="00E279BA" w:rsidRDefault="00E279BA" w:rsidP="00AF20DE">
      <w:pPr>
        <w:pStyle w:val="MJAnormal"/>
      </w:pPr>
      <w:r>
        <w:t xml:space="preserve">The </w:t>
      </w:r>
      <w:r w:rsidR="00AF20DE">
        <w:t xml:space="preserve">Australian Government </w:t>
      </w:r>
      <w:r>
        <w:t xml:space="preserve">has purchased 215,295 </w:t>
      </w:r>
      <w:r w:rsidR="00AF20DE">
        <w:t>M</w:t>
      </w:r>
      <w:r>
        <w:t>L of water from the Murrumbidgee region comprised of:</w:t>
      </w:r>
    </w:p>
    <w:p w:rsidR="00E279BA" w:rsidRDefault="00E279BA" w:rsidP="00E279BA">
      <w:pPr>
        <w:pStyle w:val="MJAbulletnormal"/>
        <w:ind w:left="360" w:hanging="360"/>
      </w:pPr>
      <w:r>
        <w:t xml:space="preserve">4,515 ML High Security; </w:t>
      </w:r>
    </w:p>
    <w:p w:rsidR="00E279BA" w:rsidRDefault="00E279BA" w:rsidP="00E279BA">
      <w:pPr>
        <w:pStyle w:val="MJAbulletnormal"/>
        <w:ind w:left="360" w:hanging="360"/>
      </w:pPr>
      <w:r>
        <w:t xml:space="preserve">188,840 ML General Security; and </w:t>
      </w:r>
    </w:p>
    <w:p w:rsidR="00E279BA" w:rsidRDefault="00E279BA" w:rsidP="00E279BA">
      <w:pPr>
        <w:pStyle w:val="MJAbulletnormal"/>
        <w:ind w:left="360" w:hanging="360"/>
      </w:pPr>
      <w:r>
        <w:t>20,820 ML Supplementary entitlement</w:t>
      </w:r>
      <w:r>
        <w:rPr>
          <w:rStyle w:val="FootnoteReference"/>
        </w:rPr>
        <w:footnoteReference w:id="11"/>
      </w:r>
      <w:r>
        <w:t xml:space="preserve"> purchases — plus an additional 1,120 in long term average annual yield.</w:t>
      </w:r>
    </w:p>
    <w:p w:rsidR="00AF20DE" w:rsidRDefault="00AF20DE" w:rsidP="00061E10">
      <w:pPr>
        <w:pStyle w:val="MJAnormal"/>
      </w:pPr>
      <w:r>
        <w:t>This water is held by the Commonwealth Environmental Water Holder.</w:t>
      </w:r>
    </w:p>
    <w:p w:rsidR="00AF20DE" w:rsidRDefault="0015745C" w:rsidP="00904A2B">
      <w:pPr>
        <w:pStyle w:val="MJAnormal"/>
      </w:pPr>
      <w:r>
        <w:t>Based on information provided by the Department of Agriculture and Water Resources</w:t>
      </w:r>
      <w:r w:rsidR="001E4905">
        <w:t xml:space="preserve"> of this </w:t>
      </w:r>
      <w:r w:rsidR="00AF20DE">
        <w:t xml:space="preserve">amount the Australian Government have purchased 72,977 ML from within the </w:t>
      </w:r>
      <w:r w:rsidR="00DA0FE1">
        <w:t>MIA</w:t>
      </w:r>
      <w:r w:rsidR="00A40CBF">
        <w:t xml:space="preserve"> at a total cost of $</w:t>
      </w:r>
      <w:r w:rsidR="00D1702F">
        <w:t>76</w:t>
      </w:r>
      <w:r w:rsidR="00A40CBF">
        <w:t>.6 million</w:t>
      </w:r>
      <w:r w:rsidR="00AF20DE">
        <w:t>, comprised of</w:t>
      </w:r>
      <w:r w:rsidR="00A40CBF">
        <w:t xml:space="preserve"> </w:t>
      </w:r>
      <w:r w:rsidR="00AF20DE">
        <w:t>2,467 ML High Security</w:t>
      </w:r>
      <w:r w:rsidR="00A40CBF">
        <w:t xml:space="preserve"> and </w:t>
      </w:r>
      <w:r w:rsidR="00AF20DE">
        <w:t>70,510 ML General Security</w:t>
      </w:r>
      <w:r w:rsidR="00C235E5">
        <w:t>.</w:t>
      </w:r>
      <w:r w:rsidR="001607EA">
        <w:t xml:space="preserve"> </w:t>
      </w:r>
    </w:p>
    <w:p w:rsidR="00E279BA" w:rsidRDefault="00E279BA" w:rsidP="00061E10">
      <w:pPr>
        <w:pStyle w:val="MJAheading2"/>
      </w:pPr>
      <w:bookmarkStart w:id="135" w:name="_Toc482099172"/>
      <w:bookmarkStart w:id="136" w:name="_Toc494892274"/>
      <w:r>
        <w:t>First round income effects</w:t>
      </w:r>
      <w:bookmarkEnd w:id="135"/>
      <w:bookmarkEnd w:id="136"/>
    </w:p>
    <w:p w:rsidR="00E279BA" w:rsidRDefault="00E279BA" w:rsidP="00E279BA">
      <w:pPr>
        <w:pStyle w:val="MJAbulletnormal"/>
        <w:numPr>
          <w:ilvl w:val="0"/>
          <w:numId w:val="0"/>
        </w:numPr>
      </w:pPr>
      <w:r>
        <w:t>Some aspects of the first round effects of buyback are straight forward</w:t>
      </w:r>
    </w:p>
    <w:p w:rsidR="00E279BA" w:rsidRDefault="00E279BA" w:rsidP="00E279BA">
      <w:pPr>
        <w:pStyle w:val="MJAbulletnormal"/>
      </w:pPr>
      <w:r>
        <w:t xml:space="preserve">the sale of water generates income but this sale also foregoes on-farm production </w:t>
      </w:r>
    </w:p>
    <w:p w:rsidR="00E279BA" w:rsidRDefault="00E279BA" w:rsidP="00E279BA">
      <w:pPr>
        <w:pStyle w:val="MJAbulletnormal"/>
        <w:ind w:left="360" w:hanging="360"/>
      </w:pPr>
      <w:r>
        <w:t>sale income can be used to purchase goods and services that flow on through the economy but the loss of farm production has negative effects on flow on through the economy.</w:t>
      </w:r>
    </w:p>
    <w:p w:rsidR="00E279BA" w:rsidRDefault="00E279BA" w:rsidP="00E279BA">
      <w:pPr>
        <w:pStyle w:val="MJAbulletnormal"/>
        <w:numPr>
          <w:ilvl w:val="0"/>
          <w:numId w:val="0"/>
        </w:numPr>
      </w:pPr>
      <w:r>
        <w:t xml:space="preserve">First principles suggest that the </w:t>
      </w:r>
      <w:r w:rsidR="008A415F">
        <w:t>first-round</w:t>
      </w:r>
      <w:r>
        <w:t xml:space="preserve"> effect on local economy value added is neutral</w:t>
      </w:r>
      <w:r w:rsidR="00AF20DE">
        <w:t>, because</w:t>
      </w:r>
      <w:r>
        <w:t xml:space="preserve"> prices paid by the </w:t>
      </w:r>
      <w:r w:rsidR="00AF20DE">
        <w:t xml:space="preserve">Australian Government </w:t>
      </w:r>
      <w:r>
        <w:t>are equivalent to those offered by other bidder</w:t>
      </w:r>
      <w:r w:rsidR="00AF20DE">
        <w:t>s</w:t>
      </w:r>
      <w:r>
        <w:t xml:space="preserve"> and therefore sale income is equivalent to the value of forgone farm income or sales to other water users. </w:t>
      </w:r>
    </w:p>
    <w:p w:rsidR="00E279BA" w:rsidRDefault="00DE5390" w:rsidP="00E279BA">
      <w:pPr>
        <w:pStyle w:val="MJAnormal"/>
      </w:pPr>
      <w:r>
        <w:t>O</w:t>
      </w:r>
      <w:r w:rsidR="00AF20DE">
        <w:t xml:space="preserve">ver </w:t>
      </w:r>
      <w:r w:rsidR="00E279BA">
        <w:t>time the longer</w:t>
      </w:r>
      <w:r w:rsidR="004D4F09">
        <w:t>-</w:t>
      </w:r>
      <w:r w:rsidR="00E279BA">
        <w:t xml:space="preserve">term </w:t>
      </w:r>
      <w:r w:rsidR="00347830">
        <w:t>effect</w:t>
      </w:r>
      <w:r w:rsidR="00E279BA">
        <w:t xml:space="preserve"> of buy back on value added to the local economy will depend on what goods and services, and their location, are purchased from water sales income compared to the good and services that would have been purchased to support the generation of farm income through the irrigation activity. </w:t>
      </w:r>
    </w:p>
    <w:p w:rsidR="00E279BA" w:rsidRDefault="00B255EA" w:rsidP="00061E10">
      <w:pPr>
        <w:pStyle w:val="MJAheading2"/>
      </w:pPr>
      <w:bookmarkStart w:id="137" w:name="_Toc482099173"/>
      <w:bookmarkStart w:id="138" w:name="_Toc494892275"/>
      <w:r>
        <w:t>Flow-</w:t>
      </w:r>
      <w:r w:rsidR="00E279BA">
        <w:t>on effects</w:t>
      </w:r>
      <w:bookmarkEnd w:id="137"/>
      <w:bookmarkEnd w:id="138"/>
      <w:r w:rsidR="00E279BA">
        <w:t xml:space="preserve"> </w:t>
      </w:r>
    </w:p>
    <w:p w:rsidR="001D399C" w:rsidRPr="00EB6772" w:rsidRDefault="007D0468" w:rsidP="007D0468">
      <w:pPr>
        <w:pStyle w:val="MJAbulletnormal"/>
        <w:numPr>
          <w:ilvl w:val="0"/>
          <w:numId w:val="0"/>
        </w:numPr>
      </w:pPr>
      <w:r w:rsidRPr="00EB6772">
        <w:t xml:space="preserve">Although first round effects are in principle neutral — the relative comparative flow-on effects of </w:t>
      </w:r>
      <w:r w:rsidR="00B255EA">
        <w:t xml:space="preserve">no buyback </w:t>
      </w:r>
      <w:r w:rsidRPr="00EB6772">
        <w:t xml:space="preserve">compared to buyback are of interest. </w:t>
      </w:r>
      <w:r w:rsidR="002479DE">
        <w:t>A key issue</w:t>
      </w:r>
      <w:r w:rsidRPr="00EB6772">
        <w:t xml:space="preserve"> is the extent of the indirect effect on the economy through countervailing multipliers</w:t>
      </w:r>
      <w:r w:rsidR="00AF20DE">
        <w:t xml:space="preserve">.  In other words, </w:t>
      </w:r>
      <w:r w:rsidRPr="00EB6772">
        <w:t xml:space="preserve">once the first round effect of selling water occurs, then what happens through the economy? Of interest is whether negative or positive multiplier effects occur. </w:t>
      </w:r>
      <w:r w:rsidR="001E3558">
        <w:t xml:space="preserve">To inform </w:t>
      </w:r>
      <w:r w:rsidR="00952DFD">
        <w:t>the</w:t>
      </w:r>
      <w:r w:rsidR="001E3558">
        <w:t xml:space="preserve"> assessment of the multiplier effects from the water purchase program we have considered prior analysis and literature</w:t>
      </w:r>
      <w:r w:rsidR="00952DFD">
        <w:t>, no primary data collection has been undertaken</w:t>
      </w:r>
      <w:r w:rsidR="001E3558">
        <w:t>.</w:t>
      </w:r>
    </w:p>
    <w:p w:rsidR="007D0468" w:rsidRPr="007D0468" w:rsidRDefault="007D0468" w:rsidP="007D0468">
      <w:pPr>
        <w:pStyle w:val="MJAbulletnormal"/>
        <w:numPr>
          <w:ilvl w:val="0"/>
          <w:numId w:val="0"/>
        </w:numPr>
      </w:pPr>
      <w:r w:rsidRPr="007D0468">
        <w:t xml:space="preserve">The indirect </w:t>
      </w:r>
      <w:r w:rsidR="00347830">
        <w:t>effect</w:t>
      </w:r>
      <w:r w:rsidRPr="007D0468">
        <w:t xml:space="preserve"> can be measured by negative multiplier effects associated with a contraction in the value-added of agriculture that reduces expenditures in the economy. </w:t>
      </w:r>
      <w:r w:rsidR="00B255EA">
        <w:t xml:space="preserve"> </w:t>
      </w:r>
      <w:r w:rsidR="00516DBF">
        <w:t>However</w:t>
      </w:r>
      <w:r w:rsidR="001D399C">
        <w:t>, we agree with Grafton (2009) that c</w:t>
      </w:r>
      <w:r w:rsidRPr="007D0468">
        <w:t xml:space="preserve">onsumption-induced multipliers </w:t>
      </w:r>
      <w:r w:rsidR="001D399C">
        <w:t xml:space="preserve">have </w:t>
      </w:r>
      <w:r w:rsidRPr="007D0468">
        <w:t>not be</w:t>
      </w:r>
      <w:r w:rsidR="00D1702F">
        <w:t>en</w:t>
      </w:r>
      <w:r w:rsidRPr="007D0468">
        <w:t xml:space="preserve"> included when assessing the effect of a water buyback because the negative consumption effects of the direct losses of the net returns in agriculture are very likely to be offset by any increases in consumption associated with the proceeds from the sale of water entitlements</w:t>
      </w:r>
      <w:r w:rsidR="001D399C">
        <w:t xml:space="preserve"> (page 8)</w:t>
      </w:r>
      <w:r w:rsidRPr="007D0468">
        <w:t xml:space="preserve">. </w:t>
      </w:r>
    </w:p>
    <w:p w:rsidR="002479DE" w:rsidRPr="00CF7E80" w:rsidRDefault="002479DE" w:rsidP="002479DE">
      <w:pPr>
        <w:pStyle w:val="MJAnormal"/>
        <w:rPr>
          <w:lang w:val="en-US"/>
        </w:rPr>
      </w:pPr>
      <w:r w:rsidRPr="00CF7E80">
        <w:t>For example</w:t>
      </w:r>
      <w:r>
        <w:t>,</w:t>
      </w:r>
      <w:r w:rsidRPr="00CF7E80">
        <w:t xml:space="preserve"> Arche Consulting 2012</w:t>
      </w:r>
      <w:r>
        <w:t xml:space="preserve"> </w:t>
      </w:r>
      <w:r w:rsidRPr="00CF7E80">
        <w:rPr>
          <w:lang w:val="en-US"/>
        </w:rPr>
        <w:t xml:space="preserve">assumed </w:t>
      </w:r>
      <w:r>
        <w:rPr>
          <w:lang w:val="en-US"/>
        </w:rPr>
        <w:t xml:space="preserve">230 GL is recovered from the Griffith and Leeton areas and </w:t>
      </w:r>
      <w:r w:rsidRPr="00CF7E80">
        <w:rPr>
          <w:lang w:val="en-US"/>
        </w:rPr>
        <w:t>that</w:t>
      </w:r>
      <w:r>
        <w:rPr>
          <w:lang w:val="en-US"/>
        </w:rPr>
        <w:t>:</w:t>
      </w:r>
      <w:r w:rsidRPr="00CF7E80">
        <w:rPr>
          <w:lang w:val="en-US"/>
        </w:rPr>
        <w:t xml:space="preserve"> </w:t>
      </w:r>
    </w:p>
    <w:p w:rsidR="002479DE" w:rsidRPr="00CF7E80" w:rsidRDefault="002479DE" w:rsidP="002479DE">
      <w:pPr>
        <w:pStyle w:val="MJAquote"/>
      </w:pPr>
      <w:r w:rsidRPr="00CF7E80">
        <w:rPr>
          <w:lang w:val="en-US"/>
        </w:rPr>
        <w:t>70% of the total money from the buyback is retained by residents within the LGA and that in 2019, 5% of those total proceeds will be spent in an LGA resulting in increased household expenditure.</w:t>
      </w:r>
      <w:r>
        <w:rPr>
          <w:rStyle w:val="FootnoteReference"/>
          <w:lang w:val="en-US"/>
        </w:rPr>
        <w:footnoteReference w:id="12"/>
      </w:r>
    </w:p>
    <w:p w:rsidR="002479DE" w:rsidRPr="009E5283" w:rsidRDefault="002479DE" w:rsidP="002479DE">
      <w:pPr>
        <w:pStyle w:val="MJAnormal"/>
      </w:pPr>
      <w:r w:rsidRPr="009E5283">
        <w:t>As a consequence</w:t>
      </w:r>
      <w:r w:rsidR="00833A2E">
        <w:t>,</w:t>
      </w:r>
      <w:r w:rsidRPr="009E5283">
        <w:t xml:space="preserve"> </w:t>
      </w:r>
      <w:r w:rsidRPr="00CF7E80">
        <w:t>Arche Consulting 2012</w:t>
      </w:r>
      <w:r>
        <w:t xml:space="preserve"> </w:t>
      </w:r>
      <w:r w:rsidRPr="009E5283">
        <w:t xml:space="preserve">estimated that the application of the Basin Plan and subsequent reduction in SDL through direct purchases would result in an annual decrease in </w:t>
      </w:r>
      <w:r w:rsidR="008608E1">
        <w:t xml:space="preserve">the </w:t>
      </w:r>
      <w:r w:rsidRPr="009E5283">
        <w:t>G</w:t>
      </w:r>
      <w:r w:rsidR="008608E1">
        <w:t xml:space="preserve">ross </w:t>
      </w:r>
      <w:r w:rsidRPr="009E5283">
        <w:t>V</w:t>
      </w:r>
      <w:r w:rsidR="008608E1">
        <w:t xml:space="preserve">alue of </w:t>
      </w:r>
      <w:r w:rsidRPr="009E5283">
        <w:t>I</w:t>
      </w:r>
      <w:r w:rsidR="008608E1">
        <w:t xml:space="preserve">rrigated </w:t>
      </w:r>
      <w:r w:rsidRPr="009E5283">
        <w:t>A</w:t>
      </w:r>
      <w:r w:rsidR="008608E1">
        <w:t xml:space="preserve">gricultural </w:t>
      </w:r>
      <w:r w:rsidRPr="009E5283">
        <w:t>P</w:t>
      </w:r>
      <w:r w:rsidR="008608E1">
        <w:t>roduction</w:t>
      </w:r>
      <w:r w:rsidR="00347830">
        <w:t xml:space="preserve"> (GVIAP)</w:t>
      </w:r>
      <w:r w:rsidRPr="009E5283">
        <w:t xml:space="preserve"> of $36.5 mil</w:t>
      </w:r>
      <w:r>
        <w:t>lion – note this assumed</w:t>
      </w:r>
      <w:r w:rsidRPr="009E5283">
        <w:t>:</w:t>
      </w:r>
    </w:p>
    <w:p w:rsidR="002479DE" w:rsidRPr="009E5283" w:rsidRDefault="002479DE" w:rsidP="002479DE">
      <w:pPr>
        <w:pStyle w:val="MJAbulletnormal"/>
        <w:ind w:left="360" w:hanging="360"/>
      </w:pPr>
      <w:r w:rsidRPr="009E5283">
        <w:t>short term stimulus from infrastructure investment of approximately $20 million in output for the Griffith an</w:t>
      </w:r>
      <w:r>
        <w:t>d Leeton local government areas;</w:t>
      </w:r>
    </w:p>
    <w:p w:rsidR="002479DE" w:rsidRPr="009E5283" w:rsidRDefault="002479DE" w:rsidP="002479DE">
      <w:pPr>
        <w:pStyle w:val="MJAbulletnormal"/>
        <w:ind w:left="360" w:hanging="360"/>
      </w:pPr>
      <w:r w:rsidRPr="009E5283">
        <w:t>a small increas</w:t>
      </w:r>
      <w:r>
        <w:t xml:space="preserve">e in dryland agriculture GVIAP </w:t>
      </w:r>
      <w:r w:rsidRPr="009E5283">
        <w:t>on properties where water had fully existed</w:t>
      </w:r>
      <w:r>
        <w:t>;</w:t>
      </w:r>
      <w:r w:rsidRPr="009E5283">
        <w:t xml:space="preserve"> and </w:t>
      </w:r>
    </w:p>
    <w:p w:rsidR="002479DE" w:rsidRPr="009E5283" w:rsidRDefault="002479DE" w:rsidP="002479DE">
      <w:pPr>
        <w:pStyle w:val="MJAbulletnormal"/>
        <w:ind w:left="360" w:hanging="360"/>
      </w:pPr>
      <w:r w:rsidRPr="009E5283">
        <w:t>a range of limiting</w:t>
      </w:r>
      <w:r w:rsidR="001D399C">
        <w:t xml:space="preserve"> input-output</w:t>
      </w:r>
      <w:r w:rsidRPr="009E5283">
        <w:t xml:space="preserve"> mo</w:t>
      </w:r>
      <w:r>
        <w:t>delling assumptions and excluded</w:t>
      </w:r>
      <w:r w:rsidRPr="009E5283">
        <w:t xml:space="preserve"> the dynamic effects of water trade. </w:t>
      </w:r>
    </w:p>
    <w:p w:rsidR="007D0468" w:rsidRDefault="002479DE" w:rsidP="007D0468">
      <w:pPr>
        <w:pStyle w:val="MJAbulletnormal"/>
        <w:numPr>
          <w:ilvl w:val="0"/>
          <w:numId w:val="0"/>
        </w:numPr>
      </w:pPr>
      <w:r>
        <w:t>To address the limitation of input output model multiplier analysis a</w:t>
      </w:r>
      <w:r w:rsidR="007D0468">
        <w:t xml:space="preserve"> number of authors have used dynamic economic models to understand the dynamic interplays within local economies and how they affect the outcomes of buyback</w:t>
      </w:r>
      <w:r w:rsidR="00B255EA">
        <w:t xml:space="preserve"> taking into account these countervailing multipliers:</w:t>
      </w:r>
    </w:p>
    <w:p w:rsidR="00EB6772" w:rsidRPr="00B255EA" w:rsidRDefault="003E1D38" w:rsidP="00B255EA">
      <w:pPr>
        <w:pStyle w:val="MJAbulletnormal"/>
      </w:pPr>
      <w:r w:rsidRPr="00B255EA">
        <w:t xml:space="preserve">Dixon et al. (2009, p. 25) </w:t>
      </w:r>
      <w:r w:rsidR="00EB6772" w:rsidRPr="00B255EA">
        <w:t>estimated</w:t>
      </w:r>
      <w:r w:rsidRPr="00B255EA">
        <w:t xml:space="preserve"> that even if all proceeds from a 1,500 GL buyback leaked from the regions where the entitlements were held there would still only be a very small impact on regional aggregate consumption. The negative multipliers associated with reduced agricultural net returns from lower water diversions are offset by positive multipliers associated with the investments made by farmers from the proceeds of their sales of water entitlements. </w:t>
      </w:r>
    </w:p>
    <w:p w:rsidR="001D399C" w:rsidRPr="00B255EA" w:rsidRDefault="001D399C" w:rsidP="00B255EA">
      <w:pPr>
        <w:pStyle w:val="MJAbulletnormal"/>
      </w:pPr>
      <w:r>
        <w:t>Grafton et a</w:t>
      </w:r>
      <w:r w:rsidR="00516DBF">
        <w:t>l.</w:t>
      </w:r>
      <w:r>
        <w:t xml:space="preserve"> (2009) </w:t>
      </w:r>
      <w:r w:rsidR="00516DBF">
        <w:t xml:space="preserve">estimate that </w:t>
      </w:r>
      <w:r>
        <w:t>direct impact on on-farm incomes are fully compensated by the proceeds associated with the voluntary sale of water entitlements by farmers, whereas, there are possible indirect impacts to upstream and downstream industries and the regional economy.  The indirect impacts could be measured by negative multiplier effects associated with a contraction in the value-added of agriculture that reduces expenditures in the economy.</w:t>
      </w:r>
    </w:p>
    <w:p w:rsidR="003E1D38" w:rsidRDefault="003E1D38" w:rsidP="00EB6772">
      <w:pPr>
        <w:pStyle w:val="MJAbulletnormal"/>
        <w:numPr>
          <w:ilvl w:val="0"/>
          <w:numId w:val="0"/>
        </w:numPr>
      </w:pPr>
      <w:r w:rsidRPr="002479DE">
        <w:t xml:space="preserve">Unfortunately, it is not possible to calculate the size of this offsetting effect </w:t>
      </w:r>
      <w:r w:rsidR="00B255EA" w:rsidRPr="002479DE">
        <w:t xml:space="preserve">of water sales </w:t>
      </w:r>
      <w:r w:rsidRPr="002479DE">
        <w:t>without knowing how the proceeds are invested from water buybacks.</w:t>
      </w:r>
      <w:r w:rsidR="002479DE">
        <w:t xml:space="preserve"> The evidence from surveys of farmers that have sold water indicate proceeds from sales are commonly used to fund farm cash-flow and that farmers continue their contribution to the local economy either through existing enterprises, dry-land farming or other forms of local employment.</w:t>
      </w:r>
    </w:p>
    <w:p w:rsidR="004E62B2" w:rsidRPr="004E62B2" w:rsidRDefault="004E62B2" w:rsidP="004E62B2">
      <w:pPr>
        <w:pStyle w:val="MJAbulletnormal"/>
        <w:numPr>
          <w:ilvl w:val="0"/>
          <w:numId w:val="0"/>
        </w:numPr>
      </w:pPr>
      <w:r>
        <w:t xml:space="preserve">A survey </w:t>
      </w:r>
      <w:r w:rsidRPr="004E62B2">
        <w:t xml:space="preserve">of the 3150 farmers who sold water </w:t>
      </w:r>
      <w:r>
        <w:t>(</w:t>
      </w:r>
      <w:r w:rsidR="00972555">
        <w:t>Chees</w:t>
      </w:r>
      <w:r>
        <w:t>man and Wheeler 2012) found</w:t>
      </w:r>
      <w:r w:rsidRPr="004E62B2">
        <w:t xml:space="preserve"> 60 per cent sold part of their water entitlement and were still farming, 30 </w:t>
      </w:r>
      <w:r w:rsidR="00516DBF">
        <w:t xml:space="preserve">per cent </w:t>
      </w:r>
      <w:r w:rsidRPr="004E62B2">
        <w:t>sold all of their water entitlement and had left farming, and 10 per cent had sold all of their water and were dry-land farming, purchased more water or used groundwater.</w:t>
      </w:r>
    </w:p>
    <w:p w:rsidR="004E62B2" w:rsidRDefault="004E62B2" w:rsidP="004E62B2">
      <w:pPr>
        <w:pStyle w:val="MJAbulletnormal"/>
      </w:pPr>
      <w:r>
        <w:t>almost 50% of irrigators who sold part of their water entitlement and continued farming said selling water has had no consequences for farm production. Around 30% of irrigators surveyed who had sold all of their water on an entitlement and continued to farm said that selling the water had had no consequences for farm production. Some irrigators said it was too early to tell if their water sale would impact on production;</w:t>
      </w:r>
    </w:p>
    <w:p w:rsidR="004E62B2" w:rsidRPr="004E62B2" w:rsidRDefault="00752246" w:rsidP="004E62B2">
      <w:pPr>
        <w:pStyle w:val="MJAbulletnormal"/>
      </w:pPr>
      <w:r>
        <w:t>m</w:t>
      </w:r>
      <w:r w:rsidR="004E62B2" w:rsidRPr="004E62B2">
        <w:t>any irrigators who sold part of their water and continued farming had eliminated all their surplus water and some of their productive water, with the main aim of reducing farm debt from water sales proceeds</w:t>
      </w:r>
      <w:r>
        <w:t>; and</w:t>
      </w:r>
    </w:p>
    <w:p w:rsidR="004E62B2" w:rsidRDefault="00752246" w:rsidP="004E62B2">
      <w:pPr>
        <w:pStyle w:val="MJAbulletnormal"/>
      </w:pPr>
      <w:r>
        <w:t>m</w:t>
      </w:r>
      <w:r w:rsidR="004E62B2">
        <w:t>ost of the 158 irrigators who sold their water and exited farming are now working in other employment in the region (51%) or have retired in the region (35%). Around 3% are currently unemployed</w:t>
      </w:r>
      <w:r>
        <w:t>.</w:t>
      </w:r>
    </w:p>
    <w:p w:rsidR="004E62B2" w:rsidRDefault="004E62B2" w:rsidP="004E62B2">
      <w:pPr>
        <w:pStyle w:val="MJAnormal"/>
      </w:pPr>
      <w:r>
        <w:t>Consistent with the findings of several earlier studies, Ch</w:t>
      </w:r>
      <w:r w:rsidR="00972555">
        <w:t>ees</w:t>
      </w:r>
      <w:r>
        <w:t>man and Wheeler</w:t>
      </w:r>
      <w:r w:rsidR="002479DE">
        <w:t xml:space="preserve"> 2012,</w:t>
      </w:r>
      <w:r>
        <w:t xml:space="preserve"> also found most irrigators said they sold water to the Commonwealth to generat</w:t>
      </w:r>
      <w:r w:rsidR="002479DE">
        <w:t>e cash</w:t>
      </w:r>
      <w:r w:rsidR="00B16C23">
        <w:t>-</w:t>
      </w:r>
      <w:r w:rsidR="002479DE">
        <w:t>flow and continued contributing to the local economy in a variety of ways</w:t>
      </w:r>
      <w:r>
        <w:t>:</w:t>
      </w:r>
    </w:p>
    <w:p w:rsidR="004E62B2" w:rsidRDefault="004E62B2" w:rsidP="004E62B2">
      <w:pPr>
        <w:pStyle w:val="MJAbulletnormal"/>
      </w:pPr>
      <w:r>
        <w:t>342 irrigators (60%) who offered or sold water to the Commonwealth did so to generate cash</w:t>
      </w:r>
      <w:r w:rsidR="00B16C23">
        <w:t>-</w:t>
      </w:r>
      <w:r>
        <w:t>flow. Irrigators mainly used the cash</w:t>
      </w:r>
      <w:r w:rsidR="00B16C23">
        <w:t>-</w:t>
      </w:r>
      <w:r>
        <w:t>flow generated b</w:t>
      </w:r>
      <w:r w:rsidR="002479DE">
        <w:t>y their sale to reduce debt (30 per cent</w:t>
      </w:r>
      <w:r>
        <w:t xml:space="preserve"> of all respondents who sold water);</w:t>
      </w:r>
    </w:p>
    <w:p w:rsidR="004E62B2" w:rsidRDefault="004E62B2" w:rsidP="004E62B2">
      <w:pPr>
        <w:pStyle w:val="MJAbulletnormal"/>
      </w:pPr>
      <w:r>
        <w:t>irrigators reported that much of the proceeds of their water sales remain in the local region. A total of 36% of respondents said that they had spent the proceeds of their water sales on their farm or in their region, compared to 5% who said their water sale proceeds had been spent outside the region. Many respondents said they had used the proceeds to reduce farm debt. This report considers why debt reduction will often result in more money staying in the region rather than less.</w:t>
      </w:r>
    </w:p>
    <w:p w:rsidR="00CC2C79" w:rsidRPr="00904A2B" w:rsidRDefault="00752246" w:rsidP="00CC2C79">
      <w:pPr>
        <w:pStyle w:val="MJAbulletnormal"/>
        <w:numPr>
          <w:ilvl w:val="0"/>
          <w:numId w:val="0"/>
        </w:numPr>
      </w:pPr>
      <w:r>
        <w:t xml:space="preserve">Taken together these insights indicate that buyback </w:t>
      </w:r>
      <w:r w:rsidRPr="00F875F6">
        <w:rPr>
          <w:i/>
        </w:rPr>
        <w:t xml:space="preserve">on its own </w:t>
      </w:r>
      <w:r>
        <w:t xml:space="preserve">is likely to have had a minor </w:t>
      </w:r>
      <w:r w:rsidR="00347830">
        <w:t>effect</w:t>
      </w:r>
      <w:r w:rsidRPr="007C1D5A">
        <w:t xml:space="preserve"> on the local MIA economy.</w:t>
      </w:r>
      <w:r w:rsidR="00032ADB" w:rsidRPr="007C1D5A">
        <w:t xml:space="preserve"> </w:t>
      </w:r>
      <w:r w:rsidRPr="007C1D5A">
        <w:t xml:space="preserve">These insights are supported by </w:t>
      </w:r>
      <w:r w:rsidRPr="00904A2B">
        <w:t xml:space="preserve">ABARES 2011 modelling that indicated that the </w:t>
      </w:r>
      <w:r w:rsidR="00347830">
        <w:t>effect</w:t>
      </w:r>
      <w:r w:rsidRPr="00904A2B">
        <w:t xml:space="preserve"> of buy backs was expected to be relatively modest at the Basin level. </w:t>
      </w:r>
      <w:r w:rsidR="00032ADB" w:rsidRPr="00904A2B">
        <w:t>We also note t</w:t>
      </w:r>
      <w:r w:rsidRPr="00904A2B">
        <w:t>his report indicated that estimating the likely distribution of Basin Plan effects at a town or community level is ‘inherently difficult’.</w:t>
      </w:r>
    </w:p>
    <w:p w:rsidR="00CC2C79" w:rsidRPr="00904A2B" w:rsidRDefault="00032ADB" w:rsidP="00CC2C79">
      <w:pPr>
        <w:pStyle w:val="MJAbulletnormal"/>
        <w:numPr>
          <w:ilvl w:val="0"/>
          <w:numId w:val="0"/>
        </w:numPr>
      </w:pPr>
      <w:r w:rsidRPr="00904A2B">
        <w:t xml:space="preserve">Given no primary data collection has been undertaken to support the neutral </w:t>
      </w:r>
      <w:r w:rsidR="00347830">
        <w:t>effect</w:t>
      </w:r>
      <w:r w:rsidRPr="00904A2B">
        <w:t xml:space="preserve"> assumption for this project and the inherent degree of uncertainty around this question at a regional (as opposed to basin scale) level — o</w:t>
      </w:r>
      <w:r w:rsidR="00752246" w:rsidRPr="00904A2B">
        <w:t xml:space="preserve">ne way to test significance of buyback is to consider the potential for leakage of income from water sales to the Australian Government </w:t>
      </w:r>
      <w:r w:rsidR="00CC2C79" w:rsidRPr="00904A2B">
        <w:t xml:space="preserve">and compare these to the order of magnitude gains from Commonwealth investments. Based on Department of Agriculture </w:t>
      </w:r>
      <w:r w:rsidR="00516DBF">
        <w:t xml:space="preserve">and Water Resources </w:t>
      </w:r>
      <w:r w:rsidR="00CC2C79" w:rsidRPr="00904A2B">
        <w:t xml:space="preserve">data we estimate total income to irrigators based on sales of </w:t>
      </w:r>
      <w:r w:rsidR="00CC2C79" w:rsidRPr="00904A2B">
        <w:rPr>
          <w:i/>
        </w:rPr>
        <w:t>entitlement</w:t>
      </w:r>
      <w:r w:rsidR="00CC2C79" w:rsidRPr="00904A2B">
        <w:t xml:space="preserve"> to the CEWH to be in the order of $</w:t>
      </w:r>
      <w:r w:rsidR="00DE5390">
        <w:t>76</w:t>
      </w:r>
      <w:r w:rsidR="00CC2C79" w:rsidRPr="00904A2B">
        <w:t xml:space="preserve"> million (</w:t>
      </w:r>
      <w:r w:rsidR="00CC2C79" w:rsidRPr="00904A2B">
        <w:rPr>
          <w:i/>
        </w:rPr>
        <w:t>total stock of income in net present value terms</w:t>
      </w:r>
      <w:r w:rsidR="00CC2C79" w:rsidRPr="00904A2B">
        <w:t>). Assuming leakage of income from the region of 10 or even 20 per cent the loss ($</w:t>
      </w:r>
      <w:r w:rsidR="00DE5390">
        <w:t>7.6</w:t>
      </w:r>
      <w:r w:rsidR="00CC2C79" w:rsidRPr="00904A2B">
        <w:t>-</w:t>
      </w:r>
      <w:r w:rsidR="00DE5390">
        <w:t>15.2</w:t>
      </w:r>
      <w:r w:rsidR="00CC2C79" w:rsidRPr="00904A2B">
        <w:t xml:space="preserve"> million in total</w:t>
      </w:r>
      <w:r w:rsidR="00DE5390">
        <w:t xml:space="preserve"> or a decrease in the annual flow of income of less than $1 million</w:t>
      </w:r>
      <w:r w:rsidR="00CC2C79" w:rsidRPr="00904A2B">
        <w:t xml:space="preserve">) is substantially less than the </w:t>
      </w:r>
      <w:r w:rsidR="00DE5390">
        <w:t xml:space="preserve">increase in </w:t>
      </w:r>
      <w:r w:rsidR="00CC2C79" w:rsidRPr="00904A2B">
        <w:t xml:space="preserve">estimated </w:t>
      </w:r>
      <w:r w:rsidR="00CC2C79" w:rsidRPr="00904A2B">
        <w:rPr>
          <w:i/>
        </w:rPr>
        <w:t>annual flow of income</w:t>
      </w:r>
      <w:r w:rsidR="00CC2C79" w:rsidRPr="00904A2B">
        <w:t xml:space="preserve"> </w:t>
      </w:r>
      <w:r w:rsidR="00C235E5">
        <w:t xml:space="preserve">as a result of Commonwealth on and off-farm </w:t>
      </w:r>
      <w:r w:rsidR="00FD1A19">
        <w:t xml:space="preserve">infrastructure </w:t>
      </w:r>
      <w:r w:rsidR="00C235E5">
        <w:t>investments (</w:t>
      </w:r>
      <w:r w:rsidR="00CC2C79" w:rsidRPr="00904A2B">
        <w:t>estimated in the following section</w:t>
      </w:r>
      <w:r w:rsidR="00C235E5">
        <w:t>)</w:t>
      </w:r>
      <w:r w:rsidR="00CC2C79" w:rsidRPr="00904A2B">
        <w:t>.</w:t>
      </w:r>
    </w:p>
    <w:p w:rsidR="002479DE" w:rsidRDefault="002479DE" w:rsidP="00061E10">
      <w:pPr>
        <w:pStyle w:val="MJAheading2"/>
      </w:pPr>
      <w:bookmarkStart w:id="139" w:name="_Toc482099174"/>
      <w:bookmarkStart w:id="140" w:name="_Toc494892276"/>
      <w:r>
        <w:t>Understanding dynamic influences</w:t>
      </w:r>
      <w:bookmarkEnd w:id="139"/>
      <w:bookmarkEnd w:id="140"/>
      <w:r>
        <w:t xml:space="preserve"> </w:t>
      </w:r>
    </w:p>
    <w:p w:rsidR="002479DE" w:rsidRDefault="00F875F6" w:rsidP="002479DE">
      <w:pPr>
        <w:pStyle w:val="MJAbulletnormal"/>
        <w:numPr>
          <w:ilvl w:val="0"/>
          <w:numId w:val="0"/>
        </w:numPr>
      </w:pPr>
      <w:r>
        <w:t xml:space="preserve">A key challenge in understanding the local economy </w:t>
      </w:r>
      <w:r w:rsidR="00347830">
        <w:t>effect</w:t>
      </w:r>
      <w:r>
        <w:t xml:space="preserve"> of buyback is that </w:t>
      </w:r>
      <w:r w:rsidR="00347830">
        <w:t>it</w:t>
      </w:r>
      <w:r>
        <w:t xml:space="preserve"> </w:t>
      </w:r>
      <w:r w:rsidR="004D4F09">
        <w:t>occurs</w:t>
      </w:r>
      <w:r>
        <w:t xml:space="preserve"> in </w:t>
      </w:r>
      <w:r w:rsidR="00347830">
        <w:t xml:space="preserve">a </w:t>
      </w:r>
      <w:r>
        <w:t xml:space="preserve">dynamic economic setting where there many other factors influencing local economy </w:t>
      </w:r>
      <w:r w:rsidR="00347830">
        <w:t>effect</w:t>
      </w:r>
      <w:r>
        <w:t xml:space="preserve"> and the relative effect of buyback, </w:t>
      </w:r>
      <w:r w:rsidR="002479DE">
        <w:t>these include:</w:t>
      </w:r>
    </w:p>
    <w:p w:rsidR="002479DE" w:rsidRPr="007C0D38" w:rsidRDefault="002479DE" w:rsidP="002479DE">
      <w:pPr>
        <w:pStyle w:val="MJAbulletnormal"/>
      </w:pPr>
      <w:r w:rsidRPr="007C0D38">
        <w:t>relative water availability in the region and other parts of the southern connected systems</w:t>
      </w:r>
      <w:r>
        <w:t>;</w:t>
      </w:r>
    </w:p>
    <w:p w:rsidR="002479DE" w:rsidRPr="007C0D38" w:rsidRDefault="002479DE" w:rsidP="002479DE">
      <w:pPr>
        <w:pStyle w:val="MJAbulletnormal"/>
      </w:pPr>
      <w:r w:rsidRPr="007C0D38">
        <w:t>other water trades</w:t>
      </w:r>
      <w:r>
        <w:t>;</w:t>
      </w:r>
    </w:p>
    <w:p w:rsidR="002479DE" w:rsidRDefault="002479DE" w:rsidP="002479DE">
      <w:pPr>
        <w:pStyle w:val="MJAbulletnormal"/>
      </w:pPr>
      <w:r w:rsidRPr="007C0D38">
        <w:t xml:space="preserve">relative </w:t>
      </w:r>
      <w:r w:rsidR="004616F9">
        <w:t xml:space="preserve">current and outlooks for </w:t>
      </w:r>
      <w:r w:rsidRPr="007C0D38">
        <w:t>commodity prices</w:t>
      </w:r>
      <w:r>
        <w:t>;</w:t>
      </w:r>
    </w:p>
    <w:p w:rsidR="002479DE" w:rsidRPr="007C0D38" w:rsidRDefault="002479DE" w:rsidP="002479DE">
      <w:pPr>
        <w:pStyle w:val="MJAbulletnormal"/>
      </w:pPr>
      <w:r>
        <w:t>other productive uses of land; and</w:t>
      </w:r>
    </w:p>
    <w:p w:rsidR="002479DE" w:rsidRDefault="002479DE" w:rsidP="002479DE">
      <w:pPr>
        <w:pStyle w:val="MJAbulletnormal"/>
      </w:pPr>
      <w:r w:rsidRPr="007C0D38">
        <w:t>underlying changes in farm enterprise productivity and competitiveness</w:t>
      </w:r>
      <w:r>
        <w:t>.</w:t>
      </w:r>
    </w:p>
    <w:p w:rsidR="002479DE" w:rsidRDefault="002479DE" w:rsidP="002479DE">
      <w:pPr>
        <w:pStyle w:val="MJAbulletnormal"/>
        <w:numPr>
          <w:ilvl w:val="0"/>
          <w:numId w:val="0"/>
        </w:numPr>
      </w:pPr>
      <w:r>
        <w:t xml:space="preserve">It is also important to separate the local economy effects of water buyback from other </w:t>
      </w:r>
      <w:r w:rsidR="00347830">
        <w:t>effect</w:t>
      </w:r>
      <w:r>
        <w:t xml:space="preserve"> such as seasonal variations in water availability, drought, broader structural adjustment in farm enterprises and their supply chain.</w:t>
      </w:r>
    </w:p>
    <w:p w:rsidR="002479DE" w:rsidRDefault="002479DE" w:rsidP="002479DE">
      <w:pPr>
        <w:pStyle w:val="MJAbulletnormal"/>
        <w:numPr>
          <w:ilvl w:val="0"/>
          <w:numId w:val="0"/>
        </w:numPr>
      </w:pPr>
      <w:r>
        <w:t xml:space="preserve">The purchase of water by the </w:t>
      </w:r>
      <w:r w:rsidR="004616F9">
        <w:t xml:space="preserve">Australian Government </w:t>
      </w:r>
      <w:r>
        <w:t>is just one part of a set of dynamic relationships that affected economic outcomes in the MIA</w:t>
      </w:r>
      <w:r w:rsidR="004616F9">
        <w:t>. Thus</w:t>
      </w:r>
      <w:r w:rsidR="00833A2E">
        <w:t>,</w:t>
      </w:r>
      <w:r w:rsidR="004616F9">
        <w:t xml:space="preserve"> we note that</w:t>
      </w:r>
      <w:r>
        <w:t>:</w:t>
      </w:r>
    </w:p>
    <w:p w:rsidR="002479DE" w:rsidRDefault="002479DE" w:rsidP="002479DE">
      <w:pPr>
        <w:pStyle w:val="MJAbulletnormal"/>
      </w:pPr>
      <w:r>
        <w:t>t</w:t>
      </w:r>
      <w:r w:rsidRPr="0044337A">
        <w:t xml:space="preserve">he purchase of water by the </w:t>
      </w:r>
      <w:r w:rsidR="004616F9">
        <w:t xml:space="preserve">Australian Government </w:t>
      </w:r>
      <w:r w:rsidRPr="0044337A">
        <w:t>increased the overall demand for water</w:t>
      </w:r>
      <w:r w:rsidR="004616F9">
        <w:t xml:space="preserve"> entitlements</w:t>
      </w:r>
      <w:r w:rsidRPr="0044337A">
        <w:t xml:space="preserve"> across the</w:t>
      </w:r>
      <w:r>
        <w:t xml:space="preserve"> southern MDB</w:t>
      </w:r>
      <w:r w:rsidRPr="0044337A">
        <w:t xml:space="preserve"> and most water market experts agree </w:t>
      </w:r>
      <w:r>
        <w:t xml:space="preserve">that, other things </w:t>
      </w:r>
      <w:r w:rsidR="00347830">
        <w:t xml:space="preserve">being </w:t>
      </w:r>
      <w:r>
        <w:t xml:space="preserve">equal, </w:t>
      </w:r>
      <w:r w:rsidR="00347830">
        <w:t xml:space="preserve">this </w:t>
      </w:r>
      <w:r w:rsidRPr="0044337A">
        <w:t>tend</w:t>
      </w:r>
      <w:r>
        <w:t>ed</w:t>
      </w:r>
      <w:r w:rsidRPr="0044337A">
        <w:t xml:space="preserve"> to increase</w:t>
      </w:r>
      <w:r>
        <w:t xml:space="preserve"> the</w:t>
      </w:r>
      <w:r w:rsidRPr="0044337A">
        <w:t xml:space="preserve"> relative price</w:t>
      </w:r>
      <w:r>
        <w:t xml:space="preserve"> of water</w:t>
      </w:r>
      <w:r w:rsidR="00032ADB">
        <w:t xml:space="preserve"> which has offsetting economic </w:t>
      </w:r>
      <w:r w:rsidR="00347830">
        <w:t>effect</w:t>
      </w:r>
      <w:r w:rsidR="00032ADB">
        <w:t xml:space="preserve"> on buyers and sellers</w:t>
      </w:r>
      <w:r>
        <w:t>;</w:t>
      </w:r>
    </w:p>
    <w:p w:rsidR="002479DE" w:rsidRDefault="002479DE" w:rsidP="002479DE">
      <w:pPr>
        <w:pStyle w:val="MJAbulletnormal"/>
      </w:pPr>
      <w:r>
        <w:t>significant buybacks occurred during periods of low water availability but drought itself was not a contributing factor to local economy outcomes from buyback;</w:t>
      </w:r>
    </w:p>
    <w:p w:rsidR="002479DE" w:rsidRDefault="002479DE" w:rsidP="002479DE">
      <w:pPr>
        <w:pStyle w:val="MJAbulletnormal"/>
      </w:pPr>
      <w:r>
        <w:t>when water traded out of some activities it was offset by purchases into the region by other enterprises;</w:t>
      </w:r>
    </w:p>
    <w:p w:rsidR="002479DE" w:rsidRDefault="002479DE" w:rsidP="002479DE">
      <w:pPr>
        <w:pStyle w:val="MJAbulletnormal"/>
      </w:pPr>
      <w:r>
        <w:t xml:space="preserve">buybacks occurred during a period of low commodity prices and high exchange rates that </w:t>
      </w:r>
      <w:r w:rsidR="00347830">
        <w:t>affected</w:t>
      </w:r>
      <w:r>
        <w:t xml:space="preserve"> the competitiveness of some sectors;</w:t>
      </w:r>
    </w:p>
    <w:p w:rsidR="002479DE" w:rsidRDefault="002479DE" w:rsidP="002479DE">
      <w:pPr>
        <w:pStyle w:val="MJAbulletnormal"/>
      </w:pPr>
      <w:r>
        <w:t>buybacks largely occurred prior to the significant investment in on farm irrigation technologies through OFIEP and PIIOP</w:t>
      </w:r>
      <w:r w:rsidR="004616F9">
        <w:t>, because the purchase programs were able to be activated more quickly</w:t>
      </w:r>
      <w:r>
        <w:t xml:space="preserve">. These </w:t>
      </w:r>
      <w:r w:rsidR="004616F9">
        <w:t xml:space="preserve">infrastructure </w:t>
      </w:r>
      <w:r>
        <w:t>investments are having positive material influence on the relative competitiveness of broad</w:t>
      </w:r>
      <w:r w:rsidR="00972555">
        <w:t>-</w:t>
      </w:r>
      <w:r>
        <w:t xml:space="preserve">acre irrigation in the region that </w:t>
      </w:r>
      <w:r w:rsidR="004616F9">
        <w:t xml:space="preserve">was </w:t>
      </w:r>
      <w:r>
        <w:t>a key source of general security water for the buyback; and</w:t>
      </w:r>
    </w:p>
    <w:p w:rsidR="002479DE" w:rsidRDefault="002479DE" w:rsidP="002479DE">
      <w:pPr>
        <w:pStyle w:val="MJAbulletnormal"/>
      </w:pPr>
      <w:r>
        <w:t xml:space="preserve">buybacks can affect the terms of trade of irrigators </w:t>
      </w:r>
    </w:p>
    <w:p w:rsidR="002479DE" w:rsidRDefault="002479DE" w:rsidP="002479DE">
      <w:pPr>
        <w:pStyle w:val="MJAbulletnormal"/>
        <w:numPr>
          <w:ilvl w:val="0"/>
          <w:numId w:val="0"/>
        </w:numPr>
      </w:pPr>
      <w:r>
        <w:t xml:space="preserve">These influences make it important to consider the local economy </w:t>
      </w:r>
      <w:r w:rsidR="00347830">
        <w:t>effect</w:t>
      </w:r>
      <w:r>
        <w:t xml:space="preserve"> of buyback within a whole of region and whole of basin context.</w:t>
      </w:r>
    </w:p>
    <w:p w:rsidR="00BD12E2" w:rsidRDefault="00BD12E2" w:rsidP="00BD12E2">
      <w:pPr>
        <w:rPr>
          <w:rFonts w:ascii="Times New Roman" w:eastAsia="Times New Roman" w:hAnsi="Times New Roman" w:cs="Times New Roman"/>
        </w:rPr>
      </w:pPr>
      <w:r>
        <w:br w:type="page"/>
      </w:r>
    </w:p>
    <w:p w:rsidR="00BD12E2" w:rsidRDefault="00EF6D85" w:rsidP="00061E10">
      <w:pPr>
        <w:pStyle w:val="MJAHeading10"/>
      </w:pPr>
      <w:bookmarkStart w:id="141" w:name="_Toc482099175"/>
      <w:bookmarkStart w:id="142" w:name="_Toc494892277"/>
      <w:r>
        <w:t xml:space="preserve">Timing of first round </w:t>
      </w:r>
      <w:r w:rsidR="00347830">
        <w:t>effect</w:t>
      </w:r>
      <w:bookmarkEnd w:id="141"/>
      <w:bookmarkEnd w:id="142"/>
    </w:p>
    <w:p w:rsidR="00EF6D85" w:rsidRDefault="00BD12E2" w:rsidP="007C440F">
      <w:pPr>
        <w:pStyle w:val="MJAnormal"/>
      </w:pPr>
      <w:r>
        <w:t>In this section</w:t>
      </w:r>
      <w:r w:rsidR="007F0160">
        <w:t>,</w:t>
      </w:r>
      <w:r>
        <w:t xml:space="preserve"> we describe our approach to, and estimation of,</w:t>
      </w:r>
      <w:r w:rsidR="007C440F">
        <w:t xml:space="preserve"> local economy gains over time. </w:t>
      </w:r>
      <w:r>
        <w:t xml:space="preserve">Our estimation approach is based on timings </w:t>
      </w:r>
      <w:r w:rsidR="007C440F">
        <w:t xml:space="preserve">and values of </w:t>
      </w:r>
      <w:r>
        <w:t>key PIIOP an</w:t>
      </w:r>
      <w:r w:rsidR="007C440F">
        <w:t>d OFIEP events and expenditures.</w:t>
      </w:r>
      <w:r w:rsidR="007F0160">
        <w:t xml:space="preserve"> The approach in this section describes the gains using a static first round approach.</w:t>
      </w:r>
      <w:r w:rsidR="00EF6D85">
        <w:t xml:space="preserve"> </w:t>
      </w:r>
    </w:p>
    <w:p w:rsidR="00BD12E2" w:rsidRDefault="00EF6D85" w:rsidP="007C440F">
      <w:pPr>
        <w:pStyle w:val="MJAnormal"/>
      </w:pPr>
      <w:r>
        <w:t xml:space="preserve">To be able </w:t>
      </w:r>
      <w:r w:rsidR="00516DBF">
        <w:t xml:space="preserve">to </w:t>
      </w:r>
      <w:r>
        <w:t xml:space="preserve">model using </w:t>
      </w:r>
      <w:r w:rsidR="00663CF7">
        <w:t xml:space="preserve">VU </w:t>
      </w:r>
      <w:r>
        <w:t xml:space="preserve">TERM over time we have identified the timings of these </w:t>
      </w:r>
      <w:r w:rsidR="008A415F">
        <w:t>first-round</w:t>
      </w:r>
      <w:r>
        <w:t xml:space="preserve"> </w:t>
      </w:r>
      <w:r w:rsidR="00347830">
        <w:t>effect</w:t>
      </w:r>
      <w:r>
        <w:t>.</w:t>
      </w:r>
    </w:p>
    <w:p w:rsidR="00BD12E2" w:rsidRDefault="00BD12E2" w:rsidP="00BD12E2">
      <w:pPr>
        <w:pStyle w:val="MJAheading2"/>
      </w:pPr>
      <w:bookmarkStart w:id="143" w:name="_Toc482099176"/>
      <w:bookmarkStart w:id="144" w:name="_Toc494892278"/>
      <w:r>
        <w:t>Timing of PIIOP and OFIEP</w:t>
      </w:r>
      <w:bookmarkEnd w:id="143"/>
      <w:bookmarkEnd w:id="144"/>
      <w:r>
        <w:t xml:space="preserve"> </w:t>
      </w:r>
    </w:p>
    <w:p w:rsidR="00BD12E2" w:rsidRDefault="00BD12E2" w:rsidP="00BD12E2">
      <w:pPr>
        <w:pStyle w:val="MJAnormal"/>
      </w:pPr>
      <w:r>
        <w:t>A tim</w:t>
      </w:r>
      <w:r w:rsidR="002E4ED7">
        <w:t>e</w:t>
      </w:r>
      <w:r>
        <w:t xml:space="preserve">line of the PIIOP and OFIEP projects that occurred in the </w:t>
      </w:r>
      <w:r w:rsidR="0025183D">
        <w:t xml:space="preserve">MIA </w:t>
      </w:r>
      <w:r>
        <w:t>is described below. PIIOP and OFIEP expenditures under individual rounds have occurred under reasonably narrow periods of time between 201</w:t>
      </w:r>
      <w:r w:rsidR="000F607B">
        <w:t>0</w:t>
      </w:r>
      <w:r>
        <w:t xml:space="preserve"> and 201</w:t>
      </w:r>
      <w:r w:rsidR="000F607B">
        <w:t>9</w:t>
      </w:r>
      <w:r>
        <w:t xml:space="preserve"> (</w:t>
      </w:r>
      <w:r>
        <w:fldChar w:fldCharType="begin"/>
      </w:r>
      <w:r>
        <w:instrText xml:space="preserve"> REF _Ref459985816 \h </w:instrText>
      </w:r>
      <w:r>
        <w:fldChar w:fldCharType="separate"/>
      </w:r>
      <w:r w:rsidR="002F2E38">
        <w:t xml:space="preserve">Table </w:t>
      </w:r>
      <w:r w:rsidR="002F2E38">
        <w:rPr>
          <w:noProof/>
        </w:rPr>
        <w:t>10</w:t>
      </w:r>
      <w:r>
        <w:fldChar w:fldCharType="end"/>
      </w:r>
      <w:r>
        <w:t>). Rather than estimate local expenditure timing based on the timing of individual transactions</w:t>
      </w:r>
      <w:r w:rsidR="002E4ED7">
        <w:t>,</w:t>
      </w:r>
      <w:r>
        <w:t xml:space="preserve"> we derive a profile of expenditures based on the project start and completion dates and the timing of key contract deliverables.</w:t>
      </w:r>
    </w:p>
    <w:p w:rsidR="002E4ED7" w:rsidRDefault="00BD12E2" w:rsidP="002E4ED7">
      <w:pPr>
        <w:pStyle w:val="Caption"/>
        <w:spacing w:before="360"/>
      </w:pPr>
      <w:bookmarkStart w:id="145" w:name="_Ref459985816"/>
      <w:bookmarkStart w:id="146" w:name="_Toc481964521"/>
      <w:bookmarkStart w:id="147" w:name="_Toc494892439"/>
      <w:r>
        <w:t xml:space="preserve">Table </w:t>
      </w:r>
      <w:fldSimple w:instr=" SEQ Table \* ARABIC ">
        <w:r w:rsidR="002F2E38">
          <w:rPr>
            <w:noProof/>
          </w:rPr>
          <w:t>10</w:t>
        </w:r>
      </w:fldSimple>
      <w:bookmarkEnd w:id="145"/>
      <w:r>
        <w:t>: Key PIIOP and OFIEP events timeline</w:t>
      </w:r>
      <w:bookmarkEnd w:id="146"/>
      <w:bookmarkEnd w:id="147"/>
    </w:p>
    <w:tbl>
      <w:tblPr>
        <w:tblStyle w:val="MJATable1"/>
        <w:tblW w:w="8505" w:type="dxa"/>
        <w:tblLayout w:type="fixed"/>
        <w:tblLook w:val="04A0" w:firstRow="1" w:lastRow="0" w:firstColumn="1" w:lastColumn="0" w:noHBand="0" w:noVBand="1"/>
      </w:tblPr>
      <w:tblGrid>
        <w:gridCol w:w="1985"/>
        <w:gridCol w:w="3260"/>
        <w:gridCol w:w="3260"/>
      </w:tblGrid>
      <w:tr w:rsidR="002E4ED7" w:rsidRPr="000644F3" w:rsidTr="00516D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vAlign w:val="top"/>
          </w:tcPr>
          <w:p w:rsidR="002E4ED7" w:rsidRPr="000644F3" w:rsidRDefault="002E4ED7" w:rsidP="00516DBF">
            <w:pPr>
              <w:rPr>
                <w:bCs/>
                <w:szCs w:val="20"/>
              </w:rPr>
            </w:pPr>
            <w:r>
              <w:rPr>
                <w:bCs/>
                <w:szCs w:val="20"/>
              </w:rPr>
              <w:t>Round</w:t>
            </w:r>
          </w:p>
        </w:tc>
        <w:tc>
          <w:tcPr>
            <w:tcW w:w="3260" w:type="dxa"/>
            <w:vAlign w:val="top"/>
          </w:tcPr>
          <w:p w:rsidR="002E4ED7" w:rsidRPr="00050C38" w:rsidRDefault="002E4ED7" w:rsidP="002E4ED7">
            <w:pPr>
              <w:cnfStyle w:val="100000000000" w:firstRow="1" w:lastRow="0" w:firstColumn="0" w:lastColumn="0" w:oddVBand="0" w:evenVBand="0" w:oddHBand="0" w:evenHBand="0" w:firstRowFirstColumn="0" w:firstRowLastColumn="0" w:lastRowFirstColumn="0" w:lastRowLastColumn="0"/>
              <w:rPr>
                <w:rFonts w:ascii="Calibri" w:hAnsi="Calibri"/>
                <w:bCs/>
                <w:szCs w:val="20"/>
              </w:rPr>
            </w:pPr>
            <w:r w:rsidRPr="00C60B71">
              <w:rPr>
                <w:bCs/>
              </w:rPr>
              <w:t>Construction start date</w:t>
            </w:r>
          </w:p>
        </w:tc>
        <w:tc>
          <w:tcPr>
            <w:tcW w:w="3260" w:type="dxa"/>
            <w:vAlign w:val="top"/>
          </w:tcPr>
          <w:p w:rsidR="002E4ED7" w:rsidRPr="00050C38" w:rsidRDefault="002E4ED7" w:rsidP="002E4ED7">
            <w:pPr>
              <w:cnfStyle w:val="100000000000" w:firstRow="1" w:lastRow="0" w:firstColumn="0" w:lastColumn="0" w:oddVBand="0" w:evenVBand="0" w:oddHBand="0" w:evenHBand="0" w:firstRowFirstColumn="0" w:firstRowLastColumn="0" w:lastRowFirstColumn="0" w:lastRowLastColumn="0"/>
              <w:rPr>
                <w:rFonts w:ascii="Calibri" w:hAnsi="Calibri"/>
                <w:bCs/>
                <w:szCs w:val="20"/>
              </w:rPr>
            </w:pPr>
            <w:r w:rsidRPr="00050C38">
              <w:rPr>
                <w:bCs/>
              </w:rPr>
              <w:t>Construction completion date</w:t>
            </w:r>
          </w:p>
        </w:tc>
      </w:tr>
      <w:tr w:rsidR="002E4ED7" w:rsidRPr="000644F3" w:rsidTr="00516DBF">
        <w:tc>
          <w:tcPr>
            <w:cnfStyle w:val="001000000000" w:firstRow="0" w:lastRow="0" w:firstColumn="1" w:lastColumn="0" w:oddVBand="0" w:evenVBand="0" w:oddHBand="0" w:evenHBand="0" w:firstRowFirstColumn="0" w:firstRowLastColumn="0" w:lastRowFirstColumn="0" w:lastRowLastColumn="0"/>
            <w:tcW w:w="1985" w:type="dxa"/>
            <w:vAlign w:val="top"/>
          </w:tcPr>
          <w:p w:rsidR="002E4ED7" w:rsidRPr="000644F3" w:rsidRDefault="002E4ED7" w:rsidP="002E4ED7">
            <w:pPr>
              <w:rPr>
                <w:rFonts w:ascii="Calibri" w:hAnsi="Calibri"/>
                <w:color w:val="000000"/>
                <w:szCs w:val="20"/>
              </w:rPr>
            </w:pPr>
            <w:r>
              <w:rPr>
                <w:b/>
                <w:bCs/>
              </w:rPr>
              <w:t>OFIEP Round</w:t>
            </w:r>
          </w:p>
        </w:tc>
        <w:tc>
          <w:tcPr>
            <w:tcW w:w="3260" w:type="dxa"/>
            <w:vAlign w:val="top"/>
          </w:tcPr>
          <w:p w:rsidR="002E4ED7" w:rsidRPr="00A67BEB" w:rsidRDefault="002E4ED7" w:rsidP="002E4ED7">
            <w:pPr>
              <w:ind w:right="535"/>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p>
        </w:tc>
        <w:tc>
          <w:tcPr>
            <w:tcW w:w="3260" w:type="dxa"/>
            <w:vAlign w:val="top"/>
          </w:tcPr>
          <w:p w:rsidR="002E4ED7" w:rsidRPr="00C60B71" w:rsidRDefault="002E4ED7" w:rsidP="002E4ED7">
            <w:pPr>
              <w:ind w:right="535"/>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p>
        </w:tc>
      </w:tr>
      <w:tr w:rsidR="002E4ED7" w:rsidRPr="000644F3" w:rsidTr="00516DBF">
        <w:tc>
          <w:tcPr>
            <w:cnfStyle w:val="001000000000" w:firstRow="0" w:lastRow="0" w:firstColumn="1" w:lastColumn="0" w:oddVBand="0" w:evenVBand="0" w:oddHBand="0" w:evenHBand="0" w:firstRowFirstColumn="0" w:firstRowLastColumn="0" w:lastRowFirstColumn="0" w:lastRowLastColumn="0"/>
            <w:tcW w:w="1985" w:type="dxa"/>
            <w:vAlign w:val="top"/>
          </w:tcPr>
          <w:p w:rsidR="002E4ED7" w:rsidRPr="000644F3" w:rsidRDefault="002E4ED7" w:rsidP="002E4ED7">
            <w:pPr>
              <w:rPr>
                <w:rFonts w:ascii="Calibri" w:hAnsi="Calibri"/>
                <w:color w:val="000000"/>
                <w:szCs w:val="20"/>
              </w:rPr>
            </w:pPr>
            <w:r>
              <w:t>Round 1</w:t>
            </w:r>
          </w:p>
        </w:tc>
        <w:tc>
          <w:tcPr>
            <w:tcW w:w="3260" w:type="dxa"/>
            <w:vAlign w:val="top"/>
          </w:tcPr>
          <w:p w:rsidR="002E4ED7" w:rsidRPr="00E11126" w:rsidRDefault="002E4ED7" w:rsidP="002E4ED7">
            <w:pPr>
              <w:ind w:right="535"/>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t>October 2010</w:t>
            </w:r>
          </w:p>
        </w:tc>
        <w:tc>
          <w:tcPr>
            <w:tcW w:w="3260" w:type="dxa"/>
            <w:vAlign w:val="top"/>
          </w:tcPr>
          <w:p w:rsidR="002E4ED7" w:rsidRPr="00E11126" w:rsidRDefault="002E4ED7" w:rsidP="002E4ED7">
            <w:pPr>
              <w:ind w:right="535"/>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t>December 2013</w:t>
            </w:r>
          </w:p>
        </w:tc>
      </w:tr>
      <w:tr w:rsidR="002E4ED7" w:rsidRPr="000644F3" w:rsidTr="00516DBF">
        <w:tc>
          <w:tcPr>
            <w:cnfStyle w:val="001000000000" w:firstRow="0" w:lastRow="0" w:firstColumn="1" w:lastColumn="0" w:oddVBand="0" w:evenVBand="0" w:oddHBand="0" w:evenHBand="0" w:firstRowFirstColumn="0" w:firstRowLastColumn="0" w:lastRowFirstColumn="0" w:lastRowLastColumn="0"/>
            <w:tcW w:w="1985" w:type="dxa"/>
            <w:vAlign w:val="top"/>
          </w:tcPr>
          <w:p w:rsidR="002E4ED7" w:rsidRPr="000644F3" w:rsidRDefault="002E4ED7" w:rsidP="002E4ED7">
            <w:pPr>
              <w:rPr>
                <w:rFonts w:ascii="Calibri" w:hAnsi="Calibri"/>
                <w:color w:val="000000"/>
                <w:szCs w:val="20"/>
              </w:rPr>
            </w:pPr>
            <w:r>
              <w:t>Round 3</w:t>
            </w:r>
          </w:p>
        </w:tc>
        <w:tc>
          <w:tcPr>
            <w:tcW w:w="3260" w:type="dxa"/>
            <w:vAlign w:val="top"/>
          </w:tcPr>
          <w:p w:rsidR="002E4ED7" w:rsidRPr="00E11126" w:rsidRDefault="002E4ED7" w:rsidP="002E4ED7">
            <w:pPr>
              <w:ind w:right="535"/>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t>December 2013</w:t>
            </w:r>
          </w:p>
        </w:tc>
        <w:tc>
          <w:tcPr>
            <w:tcW w:w="3260" w:type="dxa"/>
            <w:vAlign w:val="top"/>
          </w:tcPr>
          <w:p w:rsidR="002E4ED7" w:rsidRPr="00E11126" w:rsidRDefault="002E4ED7" w:rsidP="002E4ED7">
            <w:pPr>
              <w:ind w:right="535"/>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t>September 2016</w:t>
            </w:r>
          </w:p>
        </w:tc>
      </w:tr>
      <w:tr w:rsidR="002E4ED7" w:rsidRPr="000644F3" w:rsidTr="00516DBF">
        <w:tc>
          <w:tcPr>
            <w:cnfStyle w:val="001000000000" w:firstRow="0" w:lastRow="0" w:firstColumn="1" w:lastColumn="0" w:oddVBand="0" w:evenVBand="0" w:oddHBand="0" w:evenHBand="0" w:firstRowFirstColumn="0" w:firstRowLastColumn="0" w:lastRowFirstColumn="0" w:lastRowLastColumn="0"/>
            <w:tcW w:w="1985" w:type="dxa"/>
            <w:vAlign w:val="top"/>
          </w:tcPr>
          <w:p w:rsidR="002E4ED7" w:rsidRPr="000644F3" w:rsidRDefault="002E4ED7" w:rsidP="002E4ED7">
            <w:pPr>
              <w:rPr>
                <w:rFonts w:ascii="Calibri" w:hAnsi="Calibri"/>
                <w:color w:val="000000"/>
                <w:szCs w:val="20"/>
              </w:rPr>
            </w:pPr>
            <w:r>
              <w:t>Round 5</w:t>
            </w:r>
          </w:p>
        </w:tc>
        <w:tc>
          <w:tcPr>
            <w:tcW w:w="3260" w:type="dxa"/>
            <w:vAlign w:val="top"/>
          </w:tcPr>
          <w:p w:rsidR="002E4ED7" w:rsidRPr="00E11126" w:rsidRDefault="002E4ED7" w:rsidP="002E4ED7">
            <w:pPr>
              <w:ind w:right="535"/>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t>January 2017</w:t>
            </w:r>
          </w:p>
        </w:tc>
        <w:tc>
          <w:tcPr>
            <w:tcW w:w="3260" w:type="dxa"/>
            <w:vAlign w:val="top"/>
          </w:tcPr>
          <w:p w:rsidR="002E4ED7" w:rsidRPr="00E11126" w:rsidRDefault="002E4ED7" w:rsidP="002E4ED7">
            <w:pPr>
              <w:ind w:right="535"/>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t>March 2019</w:t>
            </w:r>
          </w:p>
        </w:tc>
      </w:tr>
      <w:tr w:rsidR="002E4ED7" w:rsidRPr="000644F3" w:rsidTr="00516DBF">
        <w:tc>
          <w:tcPr>
            <w:cnfStyle w:val="001000000000" w:firstRow="0" w:lastRow="0" w:firstColumn="1" w:lastColumn="0" w:oddVBand="0" w:evenVBand="0" w:oddHBand="0" w:evenHBand="0" w:firstRowFirstColumn="0" w:firstRowLastColumn="0" w:lastRowFirstColumn="0" w:lastRowLastColumn="0"/>
            <w:tcW w:w="0" w:type="dxa"/>
            <w:vAlign w:val="top"/>
          </w:tcPr>
          <w:p w:rsidR="002E4ED7" w:rsidRDefault="002E4ED7" w:rsidP="002E4ED7">
            <w:pPr>
              <w:rPr>
                <w:b/>
                <w:bCs/>
                <w:color w:val="000000"/>
              </w:rPr>
            </w:pPr>
            <w:r>
              <w:rPr>
                <w:b/>
                <w:bCs/>
              </w:rPr>
              <w:t>PIIOP Round</w:t>
            </w:r>
          </w:p>
        </w:tc>
        <w:tc>
          <w:tcPr>
            <w:tcW w:w="0" w:type="dxa"/>
            <w:vAlign w:val="top"/>
          </w:tcPr>
          <w:p w:rsidR="002E4ED7" w:rsidRPr="00A67BEB" w:rsidRDefault="002E4ED7" w:rsidP="002E4ED7">
            <w:pPr>
              <w:ind w:right="535"/>
              <w:jc w:val="right"/>
              <w:cnfStyle w:val="000000000000" w:firstRow="0" w:lastRow="0" w:firstColumn="0" w:lastColumn="0" w:oddVBand="0" w:evenVBand="0" w:oddHBand="0" w:evenHBand="0" w:firstRowFirstColumn="0" w:firstRowLastColumn="0" w:lastRowFirstColumn="0" w:lastRowLastColumn="0"/>
              <w:rPr>
                <w:color w:val="000000"/>
              </w:rPr>
            </w:pPr>
          </w:p>
        </w:tc>
        <w:tc>
          <w:tcPr>
            <w:tcW w:w="0" w:type="dxa"/>
            <w:vAlign w:val="top"/>
          </w:tcPr>
          <w:p w:rsidR="002E4ED7" w:rsidRPr="00C60B71" w:rsidRDefault="002E4ED7" w:rsidP="002E4ED7">
            <w:pPr>
              <w:ind w:right="535"/>
              <w:jc w:val="right"/>
              <w:cnfStyle w:val="000000000000" w:firstRow="0" w:lastRow="0" w:firstColumn="0" w:lastColumn="0" w:oddVBand="0" w:evenVBand="0" w:oddHBand="0" w:evenHBand="0" w:firstRowFirstColumn="0" w:firstRowLastColumn="0" w:lastRowFirstColumn="0" w:lastRowLastColumn="0"/>
              <w:rPr>
                <w:color w:val="000000"/>
              </w:rPr>
            </w:pPr>
          </w:p>
        </w:tc>
      </w:tr>
      <w:tr w:rsidR="002E4ED7" w:rsidRPr="000644F3" w:rsidTr="00516DBF">
        <w:tc>
          <w:tcPr>
            <w:cnfStyle w:val="001000000000" w:firstRow="0" w:lastRow="0" w:firstColumn="1" w:lastColumn="0" w:oddVBand="0" w:evenVBand="0" w:oddHBand="0" w:evenHBand="0" w:firstRowFirstColumn="0" w:firstRowLastColumn="0" w:lastRowFirstColumn="0" w:lastRowLastColumn="0"/>
            <w:tcW w:w="0" w:type="dxa"/>
            <w:vAlign w:val="top"/>
          </w:tcPr>
          <w:p w:rsidR="002E4ED7" w:rsidRDefault="002E4ED7" w:rsidP="002E4ED7">
            <w:pPr>
              <w:rPr>
                <w:b/>
                <w:bCs/>
                <w:color w:val="000000"/>
              </w:rPr>
            </w:pPr>
            <w:r>
              <w:t>Round 1</w:t>
            </w:r>
          </w:p>
        </w:tc>
        <w:tc>
          <w:tcPr>
            <w:tcW w:w="0" w:type="dxa"/>
            <w:vAlign w:val="top"/>
          </w:tcPr>
          <w:p w:rsidR="002E4ED7" w:rsidRDefault="002E4ED7" w:rsidP="002E4ED7">
            <w:pPr>
              <w:ind w:right="535"/>
              <w:jc w:val="right"/>
              <w:cnfStyle w:val="000000000000" w:firstRow="0" w:lastRow="0" w:firstColumn="0" w:lastColumn="0" w:oddVBand="0" w:evenVBand="0" w:oddHBand="0" w:evenHBand="0" w:firstRowFirstColumn="0" w:firstRowLastColumn="0" w:lastRowFirstColumn="0" w:lastRowLastColumn="0"/>
              <w:rPr>
                <w:color w:val="000000"/>
              </w:rPr>
            </w:pPr>
            <w:r>
              <w:t>May 2013</w:t>
            </w:r>
          </w:p>
        </w:tc>
        <w:tc>
          <w:tcPr>
            <w:tcW w:w="0" w:type="dxa"/>
            <w:vAlign w:val="top"/>
          </w:tcPr>
          <w:p w:rsidR="002E4ED7" w:rsidRDefault="002E4ED7" w:rsidP="002E4ED7">
            <w:pPr>
              <w:ind w:right="535"/>
              <w:jc w:val="right"/>
              <w:cnfStyle w:val="000000000000" w:firstRow="0" w:lastRow="0" w:firstColumn="0" w:lastColumn="0" w:oddVBand="0" w:evenVBand="0" w:oddHBand="0" w:evenHBand="0" w:firstRowFirstColumn="0" w:firstRowLastColumn="0" w:lastRowFirstColumn="0" w:lastRowLastColumn="0"/>
              <w:rPr>
                <w:color w:val="000000"/>
              </w:rPr>
            </w:pPr>
            <w:r>
              <w:t>November 2014</w:t>
            </w:r>
          </w:p>
        </w:tc>
      </w:tr>
      <w:tr w:rsidR="002E4ED7" w:rsidRPr="000644F3" w:rsidTr="00516DBF">
        <w:tc>
          <w:tcPr>
            <w:cnfStyle w:val="001000000000" w:firstRow="0" w:lastRow="0" w:firstColumn="1" w:lastColumn="0" w:oddVBand="0" w:evenVBand="0" w:oddHBand="0" w:evenHBand="0" w:firstRowFirstColumn="0" w:firstRowLastColumn="0" w:lastRowFirstColumn="0" w:lastRowLastColumn="0"/>
            <w:tcW w:w="0" w:type="dxa"/>
            <w:vAlign w:val="top"/>
          </w:tcPr>
          <w:p w:rsidR="002E4ED7" w:rsidRDefault="002E4ED7" w:rsidP="002E4ED7">
            <w:pPr>
              <w:rPr>
                <w:b/>
                <w:bCs/>
                <w:color w:val="000000"/>
              </w:rPr>
            </w:pPr>
            <w:r>
              <w:t>Round 2</w:t>
            </w:r>
          </w:p>
        </w:tc>
        <w:tc>
          <w:tcPr>
            <w:tcW w:w="0" w:type="dxa"/>
            <w:vAlign w:val="top"/>
          </w:tcPr>
          <w:p w:rsidR="002E4ED7" w:rsidRDefault="002E4ED7" w:rsidP="002E4ED7">
            <w:pPr>
              <w:ind w:right="535"/>
              <w:jc w:val="right"/>
              <w:cnfStyle w:val="000000000000" w:firstRow="0" w:lastRow="0" w:firstColumn="0" w:lastColumn="0" w:oddVBand="0" w:evenVBand="0" w:oddHBand="0" w:evenHBand="0" w:firstRowFirstColumn="0" w:firstRowLastColumn="0" w:lastRowFirstColumn="0" w:lastRowLastColumn="0"/>
              <w:rPr>
                <w:color w:val="000000"/>
              </w:rPr>
            </w:pPr>
            <w:r>
              <w:t>March 2015</w:t>
            </w:r>
          </w:p>
        </w:tc>
        <w:tc>
          <w:tcPr>
            <w:tcW w:w="0" w:type="dxa"/>
            <w:vAlign w:val="top"/>
          </w:tcPr>
          <w:p w:rsidR="002E4ED7" w:rsidRDefault="002E4ED7" w:rsidP="002E4ED7">
            <w:pPr>
              <w:ind w:right="535"/>
              <w:jc w:val="right"/>
              <w:cnfStyle w:val="000000000000" w:firstRow="0" w:lastRow="0" w:firstColumn="0" w:lastColumn="0" w:oddVBand="0" w:evenVBand="0" w:oddHBand="0" w:evenHBand="0" w:firstRowFirstColumn="0" w:firstRowLastColumn="0" w:lastRowFirstColumn="0" w:lastRowLastColumn="0"/>
              <w:rPr>
                <w:color w:val="000000"/>
              </w:rPr>
            </w:pPr>
            <w:r>
              <w:t>June 2019</w:t>
            </w:r>
          </w:p>
        </w:tc>
      </w:tr>
      <w:tr w:rsidR="002E4ED7" w:rsidRPr="000644F3" w:rsidTr="00516DBF">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vAlign w:val="top"/>
          </w:tcPr>
          <w:p w:rsidR="002E4ED7" w:rsidRDefault="002E4ED7" w:rsidP="002E4ED7">
            <w:pPr>
              <w:rPr>
                <w:b/>
                <w:bCs/>
                <w:color w:val="000000"/>
              </w:rPr>
            </w:pPr>
            <w:r>
              <w:t>Round 3</w:t>
            </w:r>
          </w:p>
        </w:tc>
        <w:tc>
          <w:tcPr>
            <w:tcW w:w="0" w:type="dxa"/>
            <w:tcBorders>
              <w:bottom w:val="single" w:sz="4" w:space="0" w:color="auto"/>
            </w:tcBorders>
            <w:vAlign w:val="top"/>
          </w:tcPr>
          <w:p w:rsidR="002E4ED7" w:rsidRDefault="002E4ED7" w:rsidP="002E4ED7">
            <w:pPr>
              <w:ind w:right="535"/>
              <w:jc w:val="right"/>
              <w:cnfStyle w:val="000000000000" w:firstRow="0" w:lastRow="0" w:firstColumn="0" w:lastColumn="0" w:oddVBand="0" w:evenVBand="0" w:oddHBand="0" w:evenHBand="0" w:firstRowFirstColumn="0" w:firstRowLastColumn="0" w:lastRowFirstColumn="0" w:lastRowLastColumn="0"/>
              <w:rPr>
                <w:color w:val="000000"/>
              </w:rPr>
            </w:pPr>
            <w:r>
              <w:t>May 2017</w:t>
            </w:r>
          </w:p>
        </w:tc>
        <w:tc>
          <w:tcPr>
            <w:tcW w:w="0" w:type="dxa"/>
            <w:tcBorders>
              <w:bottom w:val="single" w:sz="4" w:space="0" w:color="auto"/>
            </w:tcBorders>
            <w:vAlign w:val="top"/>
          </w:tcPr>
          <w:p w:rsidR="002E4ED7" w:rsidRDefault="002E4ED7" w:rsidP="002E4ED7">
            <w:pPr>
              <w:ind w:right="535"/>
              <w:jc w:val="right"/>
              <w:cnfStyle w:val="000000000000" w:firstRow="0" w:lastRow="0" w:firstColumn="0" w:lastColumn="0" w:oddVBand="0" w:evenVBand="0" w:oddHBand="0" w:evenHBand="0" w:firstRowFirstColumn="0" w:firstRowLastColumn="0" w:lastRowFirstColumn="0" w:lastRowLastColumn="0"/>
              <w:rPr>
                <w:color w:val="000000"/>
              </w:rPr>
            </w:pPr>
            <w:r>
              <w:t>June 2019</w:t>
            </w:r>
          </w:p>
        </w:tc>
      </w:tr>
    </w:tbl>
    <w:p w:rsidR="002E4ED7" w:rsidRDefault="002E4ED7" w:rsidP="002E4ED7">
      <w:pPr>
        <w:pStyle w:val="MJAsource"/>
      </w:pPr>
      <w:r>
        <w:t xml:space="preserve">Source Department of Agriculture </w:t>
      </w:r>
      <w:r w:rsidR="00516DBF">
        <w:t>and Water Resources</w:t>
      </w:r>
    </w:p>
    <w:p w:rsidR="00BD12E2" w:rsidRDefault="001B1A8A" w:rsidP="001B1A8A">
      <w:pPr>
        <w:pStyle w:val="MJAnormal"/>
        <w:spacing w:before="360"/>
      </w:pPr>
      <w:r w:rsidRPr="001B1A8A">
        <w:t xml:space="preserve">Using this timeline and the </w:t>
      </w:r>
      <w:r w:rsidR="00DA0FE1">
        <w:t xml:space="preserve">prior </w:t>
      </w:r>
      <w:r w:rsidRPr="001B1A8A">
        <w:t xml:space="preserve">analysis, we have estimated the value of local </w:t>
      </w:r>
      <w:r w:rsidR="00833A2E">
        <w:t xml:space="preserve">(within MIA) </w:t>
      </w:r>
      <w:r w:rsidRPr="001B1A8A">
        <w:t xml:space="preserve">and regional value added </w:t>
      </w:r>
      <w:r w:rsidR="00833A2E">
        <w:t xml:space="preserve">(Outside of MIA but within MDB) </w:t>
      </w:r>
      <w:r w:rsidR="002E66EC">
        <w:t xml:space="preserve">over time </w:t>
      </w:r>
      <w:r>
        <w:t xml:space="preserve">in nominal and real dollar terms </w:t>
      </w:r>
      <w:r w:rsidRPr="001B1A8A">
        <w:t>(</w:t>
      </w:r>
      <w:r w:rsidRPr="001B1A8A">
        <w:fldChar w:fldCharType="begin"/>
      </w:r>
      <w:r w:rsidRPr="001B1A8A">
        <w:instrText xml:space="preserve"> REF _Ref460583108 \h </w:instrText>
      </w:r>
      <w:r>
        <w:instrText xml:space="preserve"> \* MERGEFORMAT </w:instrText>
      </w:r>
      <w:r w:rsidRPr="001B1A8A">
        <w:fldChar w:fldCharType="separate"/>
      </w:r>
      <w:r w:rsidR="002F2E38">
        <w:t xml:space="preserve">Table </w:t>
      </w:r>
      <w:r w:rsidR="002F2E38">
        <w:rPr>
          <w:noProof/>
        </w:rPr>
        <w:t>11</w:t>
      </w:r>
      <w:r w:rsidRPr="001B1A8A">
        <w:fldChar w:fldCharType="end"/>
      </w:r>
      <w:r w:rsidRPr="001B1A8A">
        <w:t xml:space="preserve"> and </w:t>
      </w:r>
      <w:r w:rsidR="00462AF0">
        <w:fldChar w:fldCharType="begin"/>
      </w:r>
      <w:r w:rsidR="00462AF0">
        <w:instrText xml:space="preserve"> REF _Ref477280914 \h </w:instrText>
      </w:r>
      <w:r w:rsidR="00462AF0">
        <w:fldChar w:fldCharType="separate"/>
      </w:r>
      <w:r w:rsidR="002F2E38">
        <w:t xml:space="preserve">Table </w:t>
      </w:r>
      <w:r w:rsidR="002F2E38">
        <w:rPr>
          <w:noProof/>
        </w:rPr>
        <w:t>12</w:t>
      </w:r>
      <w:r w:rsidR="00462AF0">
        <w:fldChar w:fldCharType="end"/>
      </w:r>
      <w:r w:rsidRPr="001B1A8A">
        <w:t>).</w:t>
      </w:r>
    </w:p>
    <w:p w:rsidR="002E4ED7" w:rsidRDefault="002E4ED7" w:rsidP="001B1A8A">
      <w:pPr>
        <w:pStyle w:val="MJAnormal"/>
        <w:spacing w:before="360"/>
      </w:pPr>
    </w:p>
    <w:p w:rsidR="002E4ED7" w:rsidRDefault="002E4ED7" w:rsidP="001B1A8A">
      <w:pPr>
        <w:pStyle w:val="MJAnormal"/>
        <w:spacing w:before="360"/>
      </w:pPr>
    </w:p>
    <w:p w:rsidR="002E4ED7" w:rsidRPr="001B1A8A" w:rsidRDefault="002E4ED7" w:rsidP="001B1A8A">
      <w:pPr>
        <w:pStyle w:val="MJAnormal"/>
        <w:spacing w:before="360"/>
      </w:pPr>
    </w:p>
    <w:p w:rsidR="00BD12E2" w:rsidRDefault="00BD12E2" w:rsidP="001B1A8A">
      <w:pPr>
        <w:pStyle w:val="Caption"/>
        <w:spacing w:before="360"/>
      </w:pPr>
      <w:bookmarkStart w:id="148" w:name="_Ref460583108"/>
      <w:bookmarkStart w:id="149" w:name="_Toc481964522"/>
      <w:bookmarkStart w:id="150" w:name="_Toc494892440"/>
      <w:r>
        <w:t xml:space="preserve">Table </w:t>
      </w:r>
      <w:fldSimple w:instr=" SEQ Table \* ARABIC ">
        <w:r w:rsidR="002F2E38">
          <w:rPr>
            <w:noProof/>
          </w:rPr>
          <w:t>11</w:t>
        </w:r>
      </w:fldSimple>
      <w:bookmarkEnd w:id="148"/>
      <w:r>
        <w:t>: Estimate of local and regional value added from construction phase by year</w:t>
      </w:r>
      <w:r w:rsidR="002E0115">
        <w:t xml:space="preserve"> (nominal dollars</w:t>
      </w:r>
      <w:r w:rsidR="007F0160">
        <w:t xml:space="preserve"> $m</w:t>
      </w:r>
      <w:r w:rsidR="002E0115">
        <w:t>)</w:t>
      </w:r>
      <w:r w:rsidR="007F0160">
        <w:t xml:space="preserve"> – Static Approach</w:t>
      </w:r>
      <w:bookmarkEnd w:id="149"/>
      <w:bookmarkEnd w:id="150"/>
    </w:p>
    <w:tbl>
      <w:tblPr>
        <w:tblStyle w:val="MJATable1"/>
        <w:tblW w:w="0" w:type="auto"/>
        <w:tblLayout w:type="fixed"/>
        <w:tblLook w:val="04A0" w:firstRow="1" w:lastRow="0" w:firstColumn="1" w:lastColumn="0" w:noHBand="0" w:noVBand="1"/>
      </w:tblPr>
      <w:tblGrid>
        <w:gridCol w:w="2036"/>
        <w:gridCol w:w="2036"/>
        <w:gridCol w:w="2037"/>
      </w:tblGrid>
      <w:tr w:rsidR="0042453A" w:rsidTr="00061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vAlign w:val="top"/>
          </w:tcPr>
          <w:p w:rsidR="0042453A" w:rsidRPr="0042453A" w:rsidRDefault="00662ECB" w:rsidP="00061E10">
            <w:r>
              <w:t>Calendar year</w:t>
            </w:r>
          </w:p>
        </w:tc>
        <w:tc>
          <w:tcPr>
            <w:tcW w:w="2036" w:type="dxa"/>
            <w:vAlign w:val="top"/>
          </w:tcPr>
          <w:p w:rsidR="0042453A" w:rsidRPr="0042453A" w:rsidRDefault="0042453A" w:rsidP="00484065">
            <w:pPr>
              <w:cnfStyle w:val="100000000000" w:firstRow="1" w:lastRow="0" w:firstColumn="0" w:lastColumn="0" w:oddVBand="0" w:evenVBand="0" w:oddHBand="0" w:evenHBand="0" w:firstRowFirstColumn="0" w:firstRowLastColumn="0" w:lastRowFirstColumn="0" w:lastRowLastColumn="0"/>
              <w:rPr>
                <w:bCs/>
                <w:color w:val="FFFFFF"/>
                <w:szCs w:val="20"/>
              </w:rPr>
            </w:pPr>
            <w:r w:rsidRPr="0042453A">
              <w:rPr>
                <w:bCs/>
                <w:color w:val="FFFFFF"/>
                <w:szCs w:val="20"/>
              </w:rPr>
              <w:t>Within MIA</w:t>
            </w:r>
          </w:p>
        </w:tc>
        <w:tc>
          <w:tcPr>
            <w:tcW w:w="2037" w:type="dxa"/>
            <w:vAlign w:val="top"/>
          </w:tcPr>
          <w:p w:rsidR="0042453A" w:rsidRPr="0042453A" w:rsidRDefault="0042453A" w:rsidP="00484065">
            <w:pPr>
              <w:cnfStyle w:val="100000000000" w:firstRow="1" w:lastRow="0" w:firstColumn="0" w:lastColumn="0" w:oddVBand="0" w:evenVBand="0" w:oddHBand="0" w:evenHBand="0" w:firstRowFirstColumn="0" w:firstRowLastColumn="0" w:lastRowFirstColumn="0" w:lastRowLastColumn="0"/>
              <w:rPr>
                <w:bCs/>
                <w:color w:val="FFFFFF"/>
                <w:szCs w:val="20"/>
              </w:rPr>
            </w:pPr>
            <w:r w:rsidRPr="0042453A">
              <w:rPr>
                <w:bCs/>
                <w:color w:val="FFFFFF"/>
                <w:szCs w:val="20"/>
              </w:rPr>
              <w:t>Outside MIA but within MDB</w:t>
            </w:r>
          </w:p>
        </w:tc>
      </w:tr>
      <w:tr w:rsidR="002E4ED7" w:rsidTr="00061E10">
        <w:tc>
          <w:tcPr>
            <w:cnfStyle w:val="001000000000" w:firstRow="0" w:lastRow="0" w:firstColumn="1" w:lastColumn="0" w:oddVBand="0" w:evenVBand="0" w:oddHBand="0" w:evenHBand="0" w:firstRowFirstColumn="0" w:firstRowLastColumn="0" w:lastRowFirstColumn="0" w:lastRowLastColumn="0"/>
            <w:tcW w:w="2036" w:type="dxa"/>
          </w:tcPr>
          <w:p w:rsidR="002E4ED7" w:rsidRPr="0042453A" w:rsidRDefault="002E4ED7" w:rsidP="002E4ED7">
            <w:pPr>
              <w:pStyle w:val="MJAnormal"/>
              <w:spacing w:before="40" w:after="40"/>
              <w:rPr>
                <w:rFonts w:asciiTheme="minorHAnsi" w:hAnsiTheme="minorHAnsi"/>
              </w:rPr>
            </w:pPr>
            <w:r>
              <w:rPr>
                <w:color w:val="000000"/>
                <w:szCs w:val="20"/>
              </w:rPr>
              <w:t>2010 A*</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$1.4</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$0.1</w:t>
            </w:r>
          </w:p>
        </w:tc>
      </w:tr>
      <w:tr w:rsidR="002E4ED7" w:rsidTr="00061E10">
        <w:tc>
          <w:tcPr>
            <w:cnfStyle w:val="001000000000" w:firstRow="0" w:lastRow="0" w:firstColumn="1" w:lastColumn="0" w:oddVBand="0" w:evenVBand="0" w:oddHBand="0" w:evenHBand="0" w:firstRowFirstColumn="0" w:firstRowLastColumn="0" w:lastRowFirstColumn="0" w:lastRowLastColumn="0"/>
            <w:tcW w:w="2036" w:type="dxa"/>
          </w:tcPr>
          <w:p w:rsidR="002E4ED7" w:rsidRPr="0042453A" w:rsidRDefault="002E4ED7" w:rsidP="002E4ED7">
            <w:pPr>
              <w:pStyle w:val="MJAnormal"/>
              <w:spacing w:before="40" w:after="40"/>
              <w:rPr>
                <w:rFonts w:asciiTheme="minorHAnsi" w:hAnsiTheme="minorHAnsi"/>
              </w:rPr>
            </w:pPr>
            <w:r>
              <w:rPr>
                <w:color w:val="000000"/>
                <w:szCs w:val="20"/>
              </w:rPr>
              <w:t>2011 A</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$1.4</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$0.1</w:t>
            </w:r>
          </w:p>
        </w:tc>
      </w:tr>
      <w:tr w:rsidR="002E4ED7" w:rsidTr="00061E10">
        <w:tc>
          <w:tcPr>
            <w:cnfStyle w:val="001000000000" w:firstRow="0" w:lastRow="0" w:firstColumn="1" w:lastColumn="0" w:oddVBand="0" w:evenVBand="0" w:oddHBand="0" w:evenHBand="0" w:firstRowFirstColumn="0" w:firstRowLastColumn="0" w:lastRowFirstColumn="0" w:lastRowLastColumn="0"/>
            <w:tcW w:w="2036" w:type="dxa"/>
          </w:tcPr>
          <w:p w:rsidR="002E4ED7" w:rsidRPr="0042453A" w:rsidRDefault="002E4ED7" w:rsidP="002E4ED7">
            <w:pPr>
              <w:pStyle w:val="MJAnormal"/>
              <w:spacing w:before="40" w:after="40"/>
              <w:rPr>
                <w:rFonts w:asciiTheme="minorHAnsi" w:hAnsiTheme="minorHAnsi"/>
              </w:rPr>
            </w:pPr>
            <w:r>
              <w:rPr>
                <w:color w:val="000000"/>
                <w:szCs w:val="20"/>
              </w:rPr>
              <w:t>2012 A</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$1.4</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$0.1</w:t>
            </w:r>
          </w:p>
        </w:tc>
      </w:tr>
      <w:tr w:rsidR="002E4ED7" w:rsidTr="00061E10">
        <w:tc>
          <w:tcPr>
            <w:cnfStyle w:val="001000000000" w:firstRow="0" w:lastRow="0" w:firstColumn="1" w:lastColumn="0" w:oddVBand="0" w:evenVBand="0" w:oddHBand="0" w:evenHBand="0" w:firstRowFirstColumn="0" w:firstRowLastColumn="0" w:lastRowFirstColumn="0" w:lastRowLastColumn="0"/>
            <w:tcW w:w="2036" w:type="dxa"/>
          </w:tcPr>
          <w:p w:rsidR="002E4ED7" w:rsidRPr="0042453A" w:rsidRDefault="002E4ED7" w:rsidP="002E4ED7">
            <w:pPr>
              <w:pStyle w:val="MJAnormal"/>
              <w:spacing w:before="40" w:after="40"/>
              <w:rPr>
                <w:rFonts w:asciiTheme="minorHAnsi" w:hAnsiTheme="minorHAnsi"/>
              </w:rPr>
            </w:pPr>
            <w:r>
              <w:rPr>
                <w:color w:val="000000"/>
                <w:szCs w:val="20"/>
              </w:rPr>
              <w:t>2013 A</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$14.4</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$2.9</w:t>
            </w:r>
          </w:p>
        </w:tc>
      </w:tr>
      <w:tr w:rsidR="002E4ED7" w:rsidTr="00061E10">
        <w:tc>
          <w:tcPr>
            <w:cnfStyle w:val="001000000000" w:firstRow="0" w:lastRow="0" w:firstColumn="1" w:lastColumn="0" w:oddVBand="0" w:evenVBand="0" w:oddHBand="0" w:evenHBand="0" w:firstRowFirstColumn="0" w:firstRowLastColumn="0" w:lastRowFirstColumn="0" w:lastRowLastColumn="0"/>
            <w:tcW w:w="2036" w:type="dxa"/>
          </w:tcPr>
          <w:p w:rsidR="002E4ED7" w:rsidRPr="0042453A" w:rsidRDefault="002E4ED7" w:rsidP="002E4ED7">
            <w:pPr>
              <w:pStyle w:val="MJAnormal"/>
              <w:spacing w:before="40" w:after="40"/>
              <w:rPr>
                <w:rFonts w:asciiTheme="minorHAnsi" w:hAnsiTheme="minorHAnsi"/>
              </w:rPr>
            </w:pPr>
            <w:r>
              <w:rPr>
                <w:color w:val="000000"/>
                <w:szCs w:val="20"/>
              </w:rPr>
              <w:t>2014 A</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$13.0</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$2.8</w:t>
            </w:r>
          </w:p>
        </w:tc>
      </w:tr>
      <w:tr w:rsidR="002E4ED7" w:rsidTr="00061E10">
        <w:tc>
          <w:tcPr>
            <w:cnfStyle w:val="001000000000" w:firstRow="0" w:lastRow="0" w:firstColumn="1" w:lastColumn="0" w:oddVBand="0" w:evenVBand="0" w:oddHBand="0" w:evenHBand="0" w:firstRowFirstColumn="0" w:firstRowLastColumn="0" w:lastRowFirstColumn="0" w:lastRowLastColumn="0"/>
            <w:tcW w:w="2036" w:type="dxa"/>
          </w:tcPr>
          <w:p w:rsidR="002E4ED7" w:rsidRPr="0042453A" w:rsidRDefault="002E4ED7" w:rsidP="002E4ED7">
            <w:pPr>
              <w:pStyle w:val="MJAnormal"/>
              <w:spacing w:before="40" w:after="40"/>
              <w:rPr>
                <w:rFonts w:asciiTheme="minorHAnsi" w:hAnsiTheme="minorHAnsi"/>
              </w:rPr>
            </w:pPr>
            <w:r>
              <w:rPr>
                <w:color w:val="000000"/>
                <w:szCs w:val="20"/>
              </w:rPr>
              <w:t>2015 A</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$19.6</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$3.0</w:t>
            </w:r>
          </w:p>
        </w:tc>
      </w:tr>
      <w:tr w:rsidR="002E4ED7" w:rsidTr="00061E10">
        <w:tc>
          <w:tcPr>
            <w:cnfStyle w:val="001000000000" w:firstRow="0" w:lastRow="0" w:firstColumn="1" w:lastColumn="0" w:oddVBand="0" w:evenVBand="0" w:oddHBand="0" w:evenHBand="0" w:firstRowFirstColumn="0" w:firstRowLastColumn="0" w:lastRowFirstColumn="0" w:lastRowLastColumn="0"/>
            <w:tcW w:w="2036" w:type="dxa"/>
          </w:tcPr>
          <w:p w:rsidR="002E4ED7" w:rsidRPr="0042453A" w:rsidRDefault="002E4ED7" w:rsidP="002E4ED7">
            <w:pPr>
              <w:pStyle w:val="MJAnormal"/>
              <w:spacing w:before="40" w:after="40"/>
              <w:rPr>
                <w:rFonts w:asciiTheme="minorHAnsi" w:hAnsiTheme="minorHAnsi"/>
              </w:rPr>
            </w:pPr>
            <w:r>
              <w:rPr>
                <w:color w:val="000000"/>
                <w:szCs w:val="20"/>
              </w:rPr>
              <w:t>2016 A</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$19.6</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$3.0</w:t>
            </w:r>
          </w:p>
        </w:tc>
      </w:tr>
      <w:tr w:rsidR="002E4ED7" w:rsidTr="00061E10">
        <w:tc>
          <w:tcPr>
            <w:cnfStyle w:val="001000000000" w:firstRow="0" w:lastRow="0" w:firstColumn="1" w:lastColumn="0" w:oddVBand="0" w:evenVBand="0" w:oddHBand="0" w:evenHBand="0" w:firstRowFirstColumn="0" w:firstRowLastColumn="0" w:lastRowFirstColumn="0" w:lastRowLastColumn="0"/>
            <w:tcW w:w="2036" w:type="dxa"/>
          </w:tcPr>
          <w:p w:rsidR="002E4ED7" w:rsidRPr="0042453A" w:rsidRDefault="002E4ED7" w:rsidP="002E4ED7">
            <w:pPr>
              <w:pStyle w:val="MJAnormal"/>
              <w:spacing w:before="40" w:after="40"/>
              <w:rPr>
                <w:rFonts w:asciiTheme="minorHAnsi" w:hAnsiTheme="minorHAnsi"/>
              </w:rPr>
            </w:pPr>
            <w:r>
              <w:rPr>
                <w:color w:val="000000"/>
                <w:szCs w:val="20"/>
              </w:rPr>
              <w:t>2017 F</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$35.9</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$5.6</w:t>
            </w:r>
          </w:p>
        </w:tc>
      </w:tr>
      <w:tr w:rsidR="002E4ED7" w:rsidTr="00061E10">
        <w:tc>
          <w:tcPr>
            <w:cnfStyle w:val="001000000000" w:firstRow="0" w:lastRow="0" w:firstColumn="1" w:lastColumn="0" w:oddVBand="0" w:evenVBand="0" w:oddHBand="0" w:evenHBand="0" w:firstRowFirstColumn="0" w:firstRowLastColumn="0" w:lastRowFirstColumn="0" w:lastRowLastColumn="0"/>
            <w:tcW w:w="2036" w:type="dxa"/>
          </w:tcPr>
          <w:p w:rsidR="002E4ED7" w:rsidRDefault="002E4ED7" w:rsidP="002E4ED7">
            <w:pPr>
              <w:pStyle w:val="MJAnormal"/>
              <w:spacing w:before="40" w:after="40"/>
              <w:rPr>
                <w:color w:val="000000"/>
                <w:szCs w:val="20"/>
              </w:rPr>
            </w:pPr>
            <w:r>
              <w:rPr>
                <w:color w:val="000000"/>
                <w:szCs w:val="20"/>
              </w:rPr>
              <w:t>2018 F</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$35.9</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$5.6</w:t>
            </w:r>
          </w:p>
        </w:tc>
      </w:tr>
      <w:tr w:rsidR="002E4ED7" w:rsidTr="00061E10">
        <w:tc>
          <w:tcPr>
            <w:cnfStyle w:val="001000000000" w:firstRow="0" w:lastRow="0" w:firstColumn="1" w:lastColumn="0" w:oddVBand="0" w:evenVBand="0" w:oddHBand="0" w:evenHBand="0" w:firstRowFirstColumn="0" w:firstRowLastColumn="0" w:lastRowFirstColumn="0" w:lastRowLastColumn="0"/>
            <w:tcW w:w="2036" w:type="dxa"/>
            <w:tcBorders>
              <w:bottom w:val="single" w:sz="4" w:space="0" w:color="auto"/>
            </w:tcBorders>
          </w:tcPr>
          <w:p w:rsidR="002E4ED7" w:rsidRPr="0042453A" w:rsidRDefault="002E4ED7" w:rsidP="002E4ED7">
            <w:pPr>
              <w:pStyle w:val="MJAnormal"/>
              <w:spacing w:before="40" w:after="40"/>
              <w:rPr>
                <w:rFonts w:asciiTheme="minorHAnsi" w:hAnsiTheme="minorHAnsi"/>
              </w:rPr>
            </w:pPr>
            <w:r>
              <w:rPr>
                <w:color w:val="000000"/>
                <w:szCs w:val="20"/>
              </w:rPr>
              <w:t>2019 F</w:t>
            </w:r>
          </w:p>
        </w:tc>
        <w:tc>
          <w:tcPr>
            <w:tcW w:w="2036" w:type="dxa"/>
            <w:tcBorders>
              <w:bottom w:val="single" w:sz="4" w:space="0" w:color="auto"/>
            </w:tcBorders>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$35.9</w:t>
            </w:r>
          </w:p>
        </w:tc>
        <w:tc>
          <w:tcPr>
            <w:tcW w:w="2037" w:type="dxa"/>
            <w:tcBorders>
              <w:bottom w:val="single" w:sz="4" w:space="0" w:color="auto"/>
            </w:tcBorders>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$5.6</w:t>
            </w:r>
          </w:p>
        </w:tc>
      </w:tr>
    </w:tbl>
    <w:p w:rsidR="008126E7" w:rsidRDefault="008126E7" w:rsidP="008126E7">
      <w:pPr>
        <w:pStyle w:val="MJAsource"/>
      </w:pPr>
      <w:r>
        <w:t>*A: Actual: F: Forecast</w:t>
      </w:r>
    </w:p>
    <w:p w:rsidR="00BD12E2" w:rsidRDefault="00BD12E2" w:rsidP="00BD12E2">
      <w:pPr>
        <w:pStyle w:val="MJAsource"/>
      </w:pPr>
      <w:r>
        <w:t>Source: Marsden Jacob estimates</w:t>
      </w:r>
    </w:p>
    <w:p w:rsidR="00387F15" w:rsidRDefault="00387F15" w:rsidP="00387F15">
      <w:pPr>
        <w:pStyle w:val="Caption"/>
        <w:spacing w:before="360"/>
      </w:pPr>
      <w:bookmarkStart w:id="151" w:name="_Ref477280914"/>
      <w:bookmarkStart w:id="152" w:name="_Toc481964523"/>
      <w:bookmarkStart w:id="153" w:name="_Toc494892441"/>
      <w:r>
        <w:t xml:space="preserve">Table </w:t>
      </w:r>
      <w:fldSimple w:instr=" SEQ Table \* ARABIC ">
        <w:r w:rsidR="002F2E38">
          <w:rPr>
            <w:noProof/>
          </w:rPr>
          <w:t>12</w:t>
        </w:r>
      </w:fldSimple>
      <w:bookmarkEnd w:id="151"/>
      <w:r>
        <w:t>: Estimate of local and regional value added from construction phase by year (2016 dollars</w:t>
      </w:r>
      <w:r w:rsidR="007F0160">
        <w:t xml:space="preserve"> $m</w:t>
      </w:r>
      <w:r>
        <w:t>)</w:t>
      </w:r>
      <w:r w:rsidR="007F0160">
        <w:t xml:space="preserve"> – Static Approach</w:t>
      </w:r>
      <w:bookmarkEnd w:id="152"/>
      <w:bookmarkEnd w:id="153"/>
    </w:p>
    <w:tbl>
      <w:tblPr>
        <w:tblStyle w:val="MJATable1"/>
        <w:tblW w:w="0" w:type="auto"/>
        <w:tblLayout w:type="fixed"/>
        <w:tblLook w:val="04A0" w:firstRow="1" w:lastRow="0" w:firstColumn="1" w:lastColumn="0" w:noHBand="0" w:noVBand="1"/>
      </w:tblPr>
      <w:tblGrid>
        <w:gridCol w:w="2036"/>
        <w:gridCol w:w="2036"/>
        <w:gridCol w:w="2037"/>
      </w:tblGrid>
      <w:tr w:rsidR="00387F15" w:rsidTr="00462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vAlign w:val="top"/>
          </w:tcPr>
          <w:p w:rsidR="00387F15" w:rsidRPr="00662ECB" w:rsidRDefault="00662ECB" w:rsidP="00462AF0">
            <w:r w:rsidRPr="00662ECB">
              <w:t>Calend</w:t>
            </w:r>
            <w:r>
              <w:t>ar</w:t>
            </w:r>
            <w:r w:rsidRPr="00662ECB">
              <w:t xml:space="preserve"> year</w:t>
            </w:r>
          </w:p>
        </w:tc>
        <w:tc>
          <w:tcPr>
            <w:tcW w:w="2036" w:type="dxa"/>
            <w:vAlign w:val="top"/>
          </w:tcPr>
          <w:p w:rsidR="00387F15" w:rsidRPr="0042453A" w:rsidRDefault="00387F15" w:rsidP="00462AF0">
            <w:pPr>
              <w:cnfStyle w:val="100000000000" w:firstRow="1" w:lastRow="0" w:firstColumn="0" w:lastColumn="0" w:oddVBand="0" w:evenVBand="0" w:oddHBand="0" w:evenHBand="0" w:firstRowFirstColumn="0" w:firstRowLastColumn="0" w:lastRowFirstColumn="0" w:lastRowLastColumn="0"/>
              <w:rPr>
                <w:bCs/>
                <w:color w:val="FFFFFF"/>
                <w:szCs w:val="20"/>
              </w:rPr>
            </w:pPr>
            <w:r w:rsidRPr="0042453A">
              <w:rPr>
                <w:bCs/>
                <w:color w:val="FFFFFF"/>
                <w:szCs w:val="20"/>
              </w:rPr>
              <w:t>Within MIA</w:t>
            </w:r>
          </w:p>
        </w:tc>
        <w:tc>
          <w:tcPr>
            <w:tcW w:w="2037" w:type="dxa"/>
            <w:vAlign w:val="top"/>
          </w:tcPr>
          <w:p w:rsidR="00387F15" w:rsidRPr="0042453A" w:rsidRDefault="00387F15" w:rsidP="00462AF0">
            <w:pPr>
              <w:cnfStyle w:val="100000000000" w:firstRow="1" w:lastRow="0" w:firstColumn="0" w:lastColumn="0" w:oddVBand="0" w:evenVBand="0" w:oddHBand="0" w:evenHBand="0" w:firstRowFirstColumn="0" w:firstRowLastColumn="0" w:lastRowFirstColumn="0" w:lastRowLastColumn="0"/>
              <w:rPr>
                <w:bCs/>
                <w:color w:val="FFFFFF"/>
                <w:szCs w:val="20"/>
              </w:rPr>
            </w:pPr>
            <w:r w:rsidRPr="0042453A">
              <w:rPr>
                <w:bCs/>
                <w:color w:val="FFFFFF"/>
                <w:szCs w:val="20"/>
              </w:rPr>
              <w:t>Outside MIA but within MDB</w:t>
            </w:r>
          </w:p>
        </w:tc>
      </w:tr>
      <w:tr w:rsidR="002E4ED7" w:rsidTr="00462AF0">
        <w:tc>
          <w:tcPr>
            <w:cnfStyle w:val="001000000000" w:firstRow="0" w:lastRow="0" w:firstColumn="1" w:lastColumn="0" w:oddVBand="0" w:evenVBand="0" w:oddHBand="0" w:evenHBand="0" w:firstRowFirstColumn="0" w:firstRowLastColumn="0" w:lastRowFirstColumn="0" w:lastRowLastColumn="0"/>
            <w:tcW w:w="2036" w:type="dxa"/>
          </w:tcPr>
          <w:p w:rsidR="002E4ED7" w:rsidRPr="0042453A" w:rsidRDefault="002E4ED7" w:rsidP="002E4ED7">
            <w:pPr>
              <w:pStyle w:val="MJAnormal"/>
              <w:spacing w:before="40" w:after="40"/>
              <w:rPr>
                <w:rFonts w:asciiTheme="minorHAnsi" w:hAnsiTheme="minorHAnsi"/>
              </w:rPr>
            </w:pPr>
            <w:r>
              <w:rPr>
                <w:color w:val="000000"/>
                <w:szCs w:val="20"/>
              </w:rPr>
              <w:t>2010 A*</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$1.6</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$0.1</w:t>
            </w:r>
          </w:p>
        </w:tc>
      </w:tr>
      <w:tr w:rsidR="002E4ED7" w:rsidTr="00462AF0">
        <w:tc>
          <w:tcPr>
            <w:cnfStyle w:val="001000000000" w:firstRow="0" w:lastRow="0" w:firstColumn="1" w:lastColumn="0" w:oddVBand="0" w:evenVBand="0" w:oddHBand="0" w:evenHBand="0" w:firstRowFirstColumn="0" w:firstRowLastColumn="0" w:lastRowFirstColumn="0" w:lastRowLastColumn="0"/>
            <w:tcW w:w="2036" w:type="dxa"/>
          </w:tcPr>
          <w:p w:rsidR="002E4ED7" w:rsidRPr="0042453A" w:rsidRDefault="002E4ED7" w:rsidP="002E4ED7">
            <w:pPr>
              <w:pStyle w:val="MJAnormal"/>
              <w:spacing w:before="40" w:after="40"/>
              <w:rPr>
                <w:rFonts w:asciiTheme="minorHAnsi" w:hAnsiTheme="minorHAnsi"/>
              </w:rPr>
            </w:pPr>
            <w:r>
              <w:rPr>
                <w:color w:val="000000"/>
                <w:szCs w:val="20"/>
              </w:rPr>
              <w:t>2011 A</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$1.6</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$0.1</w:t>
            </w:r>
          </w:p>
        </w:tc>
      </w:tr>
      <w:tr w:rsidR="002E4ED7" w:rsidTr="00462AF0">
        <w:tc>
          <w:tcPr>
            <w:cnfStyle w:val="001000000000" w:firstRow="0" w:lastRow="0" w:firstColumn="1" w:lastColumn="0" w:oddVBand="0" w:evenVBand="0" w:oddHBand="0" w:evenHBand="0" w:firstRowFirstColumn="0" w:firstRowLastColumn="0" w:lastRowFirstColumn="0" w:lastRowLastColumn="0"/>
            <w:tcW w:w="2036" w:type="dxa"/>
          </w:tcPr>
          <w:p w:rsidR="002E4ED7" w:rsidRPr="0042453A" w:rsidRDefault="002E4ED7" w:rsidP="002E4ED7">
            <w:pPr>
              <w:pStyle w:val="MJAnormal"/>
              <w:spacing w:before="40" w:after="40"/>
              <w:rPr>
                <w:rFonts w:asciiTheme="minorHAnsi" w:hAnsiTheme="minorHAnsi"/>
              </w:rPr>
            </w:pPr>
            <w:r>
              <w:rPr>
                <w:color w:val="000000"/>
                <w:szCs w:val="20"/>
              </w:rPr>
              <w:t>2012 A</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$1.5</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$0.1</w:t>
            </w:r>
          </w:p>
        </w:tc>
      </w:tr>
      <w:tr w:rsidR="002E4ED7" w:rsidTr="00462AF0">
        <w:tc>
          <w:tcPr>
            <w:cnfStyle w:val="001000000000" w:firstRow="0" w:lastRow="0" w:firstColumn="1" w:lastColumn="0" w:oddVBand="0" w:evenVBand="0" w:oddHBand="0" w:evenHBand="0" w:firstRowFirstColumn="0" w:firstRowLastColumn="0" w:lastRowFirstColumn="0" w:lastRowLastColumn="0"/>
            <w:tcW w:w="2036" w:type="dxa"/>
          </w:tcPr>
          <w:p w:rsidR="002E4ED7" w:rsidRPr="0042453A" w:rsidRDefault="002E4ED7" w:rsidP="002E4ED7">
            <w:pPr>
              <w:pStyle w:val="MJAnormal"/>
              <w:spacing w:before="40" w:after="40"/>
              <w:rPr>
                <w:rFonts w:asciiTheme="minorHAnsi" w:hAnsiTheme="minorHAnsi"/>
              </w:rPr>
            </w:pPr>
            <w:r>
              <w:rPr>
                <w:color w:val="000000"/>
                <w:szCs w:val="20"/>
              </w:rPr>
              <w:t>2013 A</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$15.2</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$3.1</w:t>
            </w:r>
          </w:p>
        </w:tc>
      </w:tr>
      <w:tr w:rsidR="002E4ED7" w:rsidTr="00462AF0">
        <w:tc>
          <w:tcPr>
            <w:cnfStyle w:val="001000000000" w:firstRow="0" w:lastRow="0" w:firstColumn="1" w:lastColumn="0" w:oddVBand="0" w:evenVBand="0" w:oddHBand="0" w:evenHBand="0" w:firstRowFirstColumn="0" w:firstRowLastColumn="0" w:lastRowFirstColumn="0" w:lastRowLastColumn="0"/>
            <w:tcW w:w="2036" w:type="dxa"/>
          </w:tcPr>
          <w:p w:rsidR="002E4ED7" w:rsidRPr="0042453A" w:rsidRDefault="002E4ED7" w:rsidP="002E4ED7">
            <w:pPr>
              <w:pStyle w:val="MJAnormal"/>
              <w:spacing w:before="40" w:after="40"/>
              <w:rPr>
                <w:rFonts w:asciiTheme="minorHAnsi" w:hAnsiTheme="minorHAnsi"/>
              </w:rPr>
            </w:pPr>
            <w:r>
              <w:rPr>
                <w:color w:val="000000"/>
                <w:szCs w:val="20"/>
              </w:rPr>
              <w:t>2014 A</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$13.3</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$2.9</w:t>
            </w:r>
          </w:p>
        </w:tc>
      </w:tr>
      <w:tr w:rsidR="002E4ED7" w:rsidTr="00462AF0">
        <w:tc>
          <w:tcPr>
            <w:cnfStyle w:val="001000000000" w:firstRow="0" w:lastRow="0" w:firstColumn="1" w:lastColumn="0" w:oddVBand="0" w:evenVBand="0" w:oddHBand="0" w:evenHBand="0" w:firstRowFirstColumn="0" w:firstRowLastColumn="0" w:lastRowFirstColumn="0" w:lastRowLastColumn="0"/>
            <w:tcW w:w="2036" w:type="dxa"/>
          </w:tcPr>
          <w:p w:rsidR="002E4ED7" w:rsidRPr="0042453A" w:rsidRDefault="002E4ED7" w:rsidP="002E4ED7">
            <w:pPr>
              <w:pStyle w:val="MJAnormal"/>
              <w:spacing w:before="40" w:after="40"/>
              <w:rPr>
                <w:rFonts w:asciiTheme="minorHAnsi" w:hAnsiTheme="minorHAnsi"/>
              </w:rPr>
            </w:pPr>
            <w:r>
              <w:rPr>
                <w:color w:val="000000"/>
                <w:szCs w:val="20"/>
              </w:rPr>
              <w:t>2015 A</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$19.8</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$3.0</w:t>
            </w:r>
          </w:p>
        </w:tc>
      </w:tr>
      <w:tr w:rsidR="002E4ED7" w:rsidTr="00462AF0">
        <w:tc>
          <w:tcPr>
            <w:cnfStyle w:val="001000000000" w:firstRow="0" w:lastRow="0" w:firstColumn="1" w:lastColumn="0" w:oddVBand="0" w:evenVBand="0" w:oddHBand="0" w:evenHBand="0" w:firstRowFirstColumn="0" w:firstRowLastColumn="0" w:lastRowFirstColumn="0" w:lastRowLastColumn="0"/>
            <w:tcW w:w="2036" w:type="dxa"/>
          </w:tcPr>
          <w:p w:rsidR="002E4ED7" w:rsidRPr="0042453A" w:rsidRDefault="002E4ED7" w:rsidP="002E4ED7">
            <w:pPr>
              <w:pStyle w:val="MJAnormal"/>
              <w:spacing w:before="40" w:after="40"/>
              <w:rPr>
                <w:rFonts w:asciiTheme="minorHAnsi" w:hAnsiTheme="minorHAnsi"/>
              </w:rPr>
            </w:pPr>
            <w:r>
              <w:rPr>
                <w:color w:val="000000"/>
                <w:szCs w:val="20"/>
              </w:rPr>
              <w:t>2016 A</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$19.6</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$3.0</w:t>
            </w:r>
          </w:p>
        </w:tc>
      </w:tr>
      <w:tr w:rsidR="002E4ED7" w:rsidTr="00462AF0">
        <w:tc>
          <w:tcPr>
            <w:cnfStyle w:val="001000000000" w:firstRow="0" w:lastRow="0" w:firstColumn="1" w:lastColumn="0" w:oddVBand="0" w:evenVBand="0" w:oddHBand="0" w:evenHBand="0" w:firstRowFirstColumn="0" w:firstRowLastColumn="0" w:lastRowFirstColumn="0" w:lastRowLastColumn="0"/>
            <w:tcW w:w="2036" w:type="dxa"/>
          </w:tcPr>
          <w:p w:rsidR="002E4ED7" w:rsidRPr="0042453A" w:rsidRDefault="002E4ED7" w:rsidP="002E4ED7">
            <w:pPr>
              <w:pStyle w:val="MJAnormal"/>
              <w:spacing w:before="40" w:after="40"/>
              <w:rPr>
                <w:rFonts w:asciiTheme="minorHAnsi" w:hAnsiTheme="minorHAnsi"/>
              </w:rPr>
            </w:pPr>
            <w:r>
              <w:rPr>
                <w:color w:val="000000"/>
                <w:szCs w:val="20"/>
              </w:rPr>
              <w:t>2017 F</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$35.1</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$5.4</w:t>
            </w:r>
          </w:p>
        </w:tc>
      </w:tr>
      <w:tr w:rsidR="002E4ED7" w:rsidTr="00462AF0">
        <w:tc>
          <w:tcPr>
            <w:cnfStyle w:val="001000000000" w:firstRow="0" w:lastRow="0" w:firstColumn="1" w:lastColumn="0" w:oddVBand="0" w:evenVBand="0" w:oddHBand="0" w:evenHBand="0" w:firstRowFirstColumn="0" w:firstRowLastColumn="0" w:lastRowFirstColumn="0" w:lastRowLastColumn="0"/>
            <w:tcW w:w="2036" w:type="dxa"/>
          </w:tcPr>
          <w:p w:rsidR="002E4ED7" w:rsidRDefault="002E4ED7" w:rsidP="002E4ED7">
            <w:pPr>
              <w:pStyle w:val="MJAnormal"/>
              <w:spacing w:before="40" w:after="40"/>
              <w:rPr>
                <w:color w:val="000000"/>
                <w:szCs w:val="20"/>
              </w:rPr>
            </w:pPr>
            <w:r>
              <w:rPr>
                <w:color w:val="000000"/>
                <w:szCs w:val="20"/>
              </w:rPr>
              <w:t>2018 F</w:t>
            </w:r>
          </w:p>
        </w:tc>
        <w:tc>
          <w:tcPr>
            <w:tcW w:w="2036"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$34.2</w:t>
            </w:r>
          </w:p>
        </w:tc>
        <w:tc>
          <w:tcPr>
            <w:tcW w:w="2037" w:type="dxa"/>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$5.3</w:t>
            </w:r>
          </w:p>
        </w:tc>
      </w:tr>
      <w:tr w:rsidR="002E4ED7" w:rsidTr="00462AF0">
        <w:tc>
          <w:tcPr>
            <w:cnfStyle w:val="001000000000" w:firstRow="0" w:lastRow="0" w:firstColumn="1" w:lastColumn="0" w:oddVBand="0" w:evenVBand="0" w:oddHBand="0" w:evenHBand="0" w:firstRowFirstColumn="0" w:firstRowLastColumn="0" w:lastRowFirstColumn="0" w:lastRowLastColumn="0"/>
            <w:tcW w:w="2036" w:type="dxa"/>
            <w:tcBorders>
              <w:bottom w:val="single" w:sz="4" w:space="0" w:color="auto"/>
            </w:tcBorders>
          </w:tcPr>
          <w:p w:rsidR="002E4ED7" w:rsidRPr="0042453A" w:rsidRDefault="002E4ED7" w:rsidP="002E4ED7">
            <w:pPr>
              <w:pStyle w:val="MJAnormal"/>
              <w:spacing w:before="40" w:after="40"/>
              <w:rPr>
                <w:rFonts w:asciiTheme="minorHAnsi" w:hAnsiTheme="minorHAnsi"/>
              </w:rPr>
            </w:pPr>
            <w:r>
              <w:rPr>
                <w:color w:val="000000"/>
                <w:szCs w:val="20"/>
              </w:rPr>
              <w:t>2019 F</w:t>
            </w:r>
          </w:p>
        </w:tc>
        <w:tc>
          <w:tcPr>
            <w:tcW w:w="2036" w:type="dxa"/>
            <w:tcBorders>
              <w:bottom w:val="single" w:sz="4" w:space="0" w:color="auto"/>
            </w:tcBorders>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$33.4</w:t>
            </w:r>
          </w:p>
        </w:tc>
        <w:tc>
          <w:tcPr>
            <w:tcW w:w="2037" w:type="dxa"/>
            <w:tcBorders>
              <w:bottom w:val="single" w:sz="4" w:space="0" w:color="auto"/>
            </w:tcBorders>
          </w:tcPr>
          <w:p w:rsidR="002E4ED7" w:rsidRDefault="002E4ED7" w:rsidP="002E4ED7">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$5.2</w:t>
            </w:r>
          </w:p>
        </w:tc>
      </w:tr>
    </w:tbl>
    <w:p w:rsidR="008126E7" w:rsidRDefault="008126E7" w:rsidP="008126E7">
      <w:pPr>
        <w:pStyle w:val="MJAsource"/>
      </w:pPr>
      <w:r>
        <w:t>*A: Actual: F: Forecast</w:t>
      </w:r>
    </w:p>
    <w:p w:rsidR="00387F15" w:rsidRDefault="00387F15" w:rsidP="00387F15">
      <w:pPr>
        <w:pStyle w:val="MJAsource"/>
      </w:pPr>
      <w:r>
        <w:t>Source: Marsden Jacob estimates</w:t>
      </w:r>
    </w:p>
    <w:p w:rsidR="003B367A" w:rsidRDefault="003B367A">
      <w:pPr>
        <w:rPr>
          <w:rFonts w:ascii="Tahoma" w:hAnsi="Tahoma" w:cs="Tahoma"/>
          <w:sz w:val="16"/>
          <w:szCs w:val="16"/>
        </w:rPr>
      </w:pPr>
      <w:r>
        <w:br w:type="page"/>
      </w:r>
    </w:p>
    <w:p w:rsidR="00BD12E2" w:rsidRDefault="004D4F09" w:rsidP="00BD12E2">
      <w:pPr>
        <w:pStyle w:val="MJAheading2"/>
      </w:pPr>
      <w:bookmarkStart w:id="154" w:name="_Toc482099177"/>
      <w:bookmarkStart w:id="155" w:name="_Toc494892279"/>
      <w:r>
        <w:t>Profile over time</w:t>
      </w:r>
      <w:bookmarkEnd w:id="154"/>
      <w:bookmarkEnd w:id="155"/>
    </w:p>
    <w:p w:rsidR="00BD12E2" w:rsidRDefault="00BD12E2" w:rsidP="00050C38">
      <w:pPr>
        <w:pStyle w:val="MJAnormal"/>
      </w:pPr>
      <w:r>
        <w:t>In this report</w:t>
      </w:r>
      <w:r w:rsidR="00462AF0">
        <w:t>,</w:t>
      </w:r>
      <w:r>
        <w:t xml:space="preserve"> we estimate the local economy gains </w:t>
      </w:r>
      <w:r w:rsidR="00C938A6">
        <w:t>from 2010 to 2033</w:t>
      </w:r>
      <w:r>
        <w:t xml:space="preserve"> commencing July 2010 (</w:t>
      </w:r>
      <w:r w:rsidR="002E4ED7">
        <w:fldChar w:fldCharType="begin"/>
      </w:r>
      <w:r w:rsidR="002E4ED7">
        <w:instrText xml:space="preserve"> REF _Ref490600522 \h </w:instrText>
      </w:r>
      <w:r w:rsidR="002E4ED7">
        <w:fldChar w:fldCharType="separate"/>
      </w:r>
      <w:r w:rsidR="002F2E38">
        <w:t xml:space="preserve">Table </w:t>
      </w:r>
      <w:r w:rsidR="002F2E38">
        <w:rPr>
          <w:noProof/>
        </w:rPr>
        <w:t>13</w:t>
      </w:r>
      <w:r w:rsidR="002E4ED7">
        <w:fldChar w:fldCharType="end"/>
      </w:r>
      <w:r>
        <w:t>)</w:t>
      </w:r>
      <w:r w:rsidR="007F0160">
        <w:t xml:space="preserve"> using the static approach</w:t>
      </w:r>
      <w:r>
        <w:t>.</w:t>
      </w:r>
    </w:p>
    <w:p w:rsidR="00BD12E2" w:rsidRDefault="00BD12E2" w:rsidP="00BD12E2">
      <w:pPr>
        <w:pStyle w:val="MJAnormal"/>
      </w:pPr>
      <w:r>
        <w:t>This includes the</w:t>
      </w:r>
      <w:r w:rsidRPr="005B56A2">
        <w:t xml:space="preserve"> </w:t>
      </w:r>
      <w:r w:rsidR="008A415F">
        <w:t>first-round</w:t>
      </w:r>
      <w:r>
        <w:t xml:space="preserve"> </w:t>
      </w:r>
      <w:r w:rsidR="007F0160">
        <w:t xml:space="preserve">static </w:t>
      </w:r>
      <w:r w:rsidR="00347830">
        <w:t>effect</w:t>
      </w:r>
      <w:r w:rsidR="007F0160">
        <w:t>s</w:t>
      </w:r>
      <w:r>
        <w:t xml:space="preserve"> of:</w:t>
      </w:r>
    </w:p>
    <w:p w:rsidR="00BD12E2" w:rsidRDefault="00BD12E2" w:rsidP="00BD12E2">
      <w:pPr>
        <w:pStyle w:val="MJAbulletnormal"/>
      </w:pPr>
      <w:r>
        <w:t>PIIOP and OFIEP infrastructure expenditures;</w:t>
      </w:r>
    </w:p>
    <w:p w:rsidR="00BD12E2" w:rsidRDefault="00BD12E2" w:rsidP="00BD12E2">
      <w:pPr>
        <w:pStyle w:val="MJAbulletnormal"/>
      </w:pPr>
      <w:r>
        <w:t>on-farm productivity gains from the infrastructure investments;</w:t>
      </w:r>
      <w:r w:rsidR="00E804D3">
        <w:t xml:space="preserve"> and</w:t>
      </w:r>
    </w:p>
    <w:p w:rsidR="00BD12E2" w:rsidRDefault="00BD12E2" w:rsidP="00BD12E2">
      <w:pPr>
        <w:pStyle w:val="MJAbulletnormal"/>
      </w:pPr>
      <w:r>
        <w:t>a leakage over time of local expenditure as goods and service shift to outside of the region.</w:t>
      </w:r>
    </w:p>
    <w:p w:rsidR="00845F04" w:rsidRDefault="00845F04" w:rsidP="00904A2B">
      <w:pPr>
        <w:pStyle w:val="MJAbulletnormal"/>
        <w:numPr>
          <w:ilvl w:val="0"/>
          <w:numId w:val="0"/>
        </w:numPr>
        <w:ind w:left="357" w:hanging="357"/>
      </w:pPr>
      <w:bookmarkStart w:id="156" w:name="_Ref477347530"/>
    </w:p>
    <w:p w:rsidR="00BD12E2" w:rsidRDefault="00BD12E2" w:rsidP="00BD12E2">
      <w:pPr>
        <w:pStyle w:val="Caption"/>
      </w:pPr>
      <w:bookmarkStart w:id="157" w:name="_Ref490600522"/>
      <w:bookmarkStart w:id="158" w:name="_Toc481964524"/>
      <w:bookmarkStart w:id="159" w:name="_Toc494892442"/>
      <w:r>
        <w:t xml:space="preserve">Table </w:t>
      </w:r>
      <w:fldSimple w:instr=" SEQ Table \* ARABIC ">
        <w:r w:rsidR="002F2E38">
          <w:rPr>
            <w:noProof/>
          </w:rPr>
          <w:t>13</w:t>
        </w:r>
      </w:fldSimple>
      <w:bookmarkEnd w:id="156"/>
      <w:bookmarkEnd w:id="157"/>
      <w:r>
        <w:t>: Estimated annual local economy contribution (</w:t>
      </w:r>
      <w:r w:rsidR="000D517B">
        <w:t xml:space="preserve">nominal </w:t>
      </w:r>
      <w:r>
        <w:t xml:space="preserve">dollars </w:t>
      </w:r>
      <w:r w:rsidR="00484065">
        <w:t>$</w:t>
      </w:r>
      <w:r>
        <w:t>million)</w:t>
      </w:r>
      <w:r w:rsidR="00484065" w:rsidRPr="00484065">
        <w:t xml:space="preserve"> </w:t>
      </w:r>
      <w:r w:rsidR="00484065">
        <w:t>– Static Approach</w:t>
      </w:r>
      <w:bookmarkEnd w:id="158"/>
      <w:bookmarkEnd w:id="159"/>
    </w:p>
    <w:tbl>
      <w:tblPr>
        <w:tblStyle w:val="MJATable1"/>
        <w:tblW w:w="0" w:type="auto"/>
        <w:tblLook w:val="04A0" w:firstRow="1" w:lastRow="0" w:firstColumn="1" w:lastColumn="0" w:noHBand="0" w:noVBand="1"/>
      </w:tblPr>
      <w:tblGrid>
        <w:gridCol w:w="1680"/>
        <w:gridCol w:w="1844"/>
        <w:gridCol w:w="1715"/>
        <w:gridCol w:w="1681"/>
      </w:tblGrid>
      <w:tr w:rsidR="00E279BA" w:rsidTr="006B1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vAlign w:val="top"/>
          </w:tcPr>
          <w:p w:rsidR="00E279BA" w:rsidRPr="00C938A6" w:rsidRDefault="0001226E" w:rsidP="000D517B">
            <w:pPr>
              <w:pStyle w:val="MJAnormal"/>
              <w:rPr>
                <w:rFonts w:asciiTheme="minorHAnsi" w:hAnsiTheme="minorHAnsi"/>
                <w:szCs w:val="20"/>
              </w:rPr>
            </w:pPr>
            <w:r>
              <w:rPr>
                <w:rFonts w:asciiTheme="minorHAnsi" w:hAnsiTheme="minorHAnsi"/>
                <w:szCs w:val="20"/>
              </w:rPr>
              <w:t xml:space="preserve">Calendar </w:t>
            </w:r>
            <w:r w:rsidR="00E279BA" w:rsidRPr="00C938A6">
              <w:rPr>
                <w:rFonts w:asciiTheme="minorHAnsi" w:hAnsiTheme="minorHAnsi"/>
                <w:szCs w:val="20"/>
              </w:rPr>
              <w:t>Year</w:t>
            </w:r>
          </w:p>
        </w:tc>
        <w:tc>
          <w:tcPr>
            <w:tcW w:w="1844" w:type="dxa"/>
            <w:vAlign w:val="top"/>
          </w:tcPr>
          <w:p w:rsidR="00E279BA" w:rsidRPr="00C938A6" w:rsidRDefault="006B1AB5" w:rsidP="000D517B">
            <w:pPr>
              <w:pStyle w:val="MJAnormal"/>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t>Value added (Within MIA)</w:t>
            </w:r>
          </w:p>
        </w:tc>
        <w:tc>
          <w:tcPr>
            <w:tcW w:w="1715" w:type="dxa"/>
            <w:vAlign w:val="top"/>
          </w:tcPr>
          <w:p w:rsidR="00E279BA" w:rsidRPr="00C938A6" w:rsidRDefault="00E279BA" w:rsidP="000D517B">
            <w:pPr>
              <w:pStyle w:val="MJAnormal"/>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C938A6">
              <w:rPr>
                <w:rFonts w:asciiTheme="minorHAnsi" w:hAnsiTheme="minorHAnsi"/>
                <w:szCs w:val="20"/>
              </w:rPr>
              <w:t>On farm productivity</w:t>
            </w:r>
            <w:r w:rsidR="00BE123F">
              <w:rPr>
                <w:rFonts w:asciiTheme="minorHAnsi" w:hAnsiTheme="minorHAnsi"/>
                <w:szCs w:val="20"/>
              </w:rPr>
              <w:t>*</w:t>
            </w:r>
          </w:p>
        </w:tc>
        <w:tc>
          <w:tcPr>
            <w:tcW w:w="1681" w:type="dxa"/>
            <w:vAlign w:val="top"/>
          </w:tcPr>
          <w:p w:rsidR="00E279BA" w:rsidRPr="00C938A6" w:rsidRDefault="00E279BA" w:rsidP="000D517B">
            <w:pPr>
              <w:pStyle w:val="MJAnormal"/>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C938A6">
              <w:rPr>
                <w:rFonts w:asciiTheme="minorHAnsi" w:hAnsiTheme="minorHAnsi"/>
                <w:szCs w:val="20"/>
              </w:rPr>
              <w:t>Total</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061E10">
              <w:rPr>
                <w:rFonts w:asciiTheme="minorHAnsi" w:hAnsiTheme="minorHAnsi"/>
                <w:color w:val="000000"/>
                <w:szCs w:val="20"/>
              </w:rPr>
              <w:t>2010</w:t>
            </w:r>
          </w:p>
        </w:tc>
        <w:tc>
          <w:tcPr>
            <w:tcW w:w="1844"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$1.4</w:t>
            </w: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$1.4</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061E10">
              <w:rPr>
                <w:rFonts w:asciiTheme="minorHAnsi" w:hAnsiTheme="minorHAnsi"/>
                <w:color w:val="000000"/>
                <w:szCs w:val="20"/>
              </w:rPr>
              <w:t>2011</w:t>
            </w:r>
          </w:p>
        </w:tc>
        <w:tc>
          <w:tcPr>
            <w:tcW w:w="1844"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$1.4</w:t>
            </w: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$1.4</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061E10">
              <w:rPr>
                <w:rFonts w:asciiTheme="minorHAnsi" w:hAnsiTheme="minorHAnsi"/>
                <w:color w:val="000000"/>
                <w:szCs w:val="20"/>
              </w:rPr>
              <w:t>2012</w:t>
            </w:r>
          </w:p>
        </w:tc>
        <w:tc>
          <w:tcPr>
            <w:tcW w:w="1844"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$1.4</w:t>
            </w: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$0.1</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$1.5</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061E10">
              <w:rPr>
                <w:rFonts w:asciiTheme="minorHAnsi" w:hAnsiTheme="minorHAnsi"/>
                <w:color w:val="000000"/>
                <w:szCs w:val="20"/>
              </w:rPr>
              <w:t>2013</w:t>
            </w:r>
          </w:p>
        </w:tc>
        <w:tc>
          <w:tcPr>
            <w:tcW w:w="1844"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$14.4</w:t>
            </w: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$0.1</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$14.5</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061E10">
              <w:rPr>
                <w:rFonts w:asciiTheme="minorHAnsi" w:hAnsiTheme="minorHAnsi"/>
                <w:color w:val="000000"/>
                <w:szCs w:val="20"/>
              </w:rPr>
              <w:t>2014</w:t>
            </w:r>
          </w:p>
        </w:tc>
        <w:tc>
          <w:tcPr>
            <w:tcW w:w="1844"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$13.0</w:t>
            </w: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$0.4</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$13.4</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061E10">
              <w:rPr>
                <w:rFonts w:asciiTheme="minorHAnsi" w:hAnsiTheme="minorHAnsi"/>
                <w:color w:val="000000"/>
                <w:szCs w:val="20"/>
              </w:rPr>
              <w:t>2015</w:t>
            </w:r>
          </w:p>
        </w:tc>
        <w:tc>
          <w:tcPr>
            <w:tcW w:w="1844"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$19.6</w:t>
            </w: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$0.7</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$20.3</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061E10">
              <w:rPr>
                <w:rFonts w:asciiTheme="minorHAnsi" w:hAnsiTheme="minorHAnsi"/>
                <w:color w:val="000000"/>
                <w:szCs w:val="20"/>
              </w:rPr>
              <w:t>2016</w:t>
            </w:r>
          </w:p>
        </w:tc>
        <w:tc>
          <w:tcPr>
            <w:tcW w:w="1844"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$19.6</w:t>
            </w:r>
          </w:p>
        </w:tc>
        <w:tc>
          <w:tcPr>
            <w:tcW w:w="1715"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$1.2</w:t>
            </w:r>
          </w:p>
        </w:tc>
        <w:tc>
          <w:tcPr>
            <w:tcW w:w="1681"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$20.8</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061E10">
              <w:rPr>
                <w:rFonts w:asciiTheme="minorHAnsi" w:hAnsiTheme="minorHAnsi"/>
                <w:color w:val="000000"/>
                <w:szCs w:val="20"/>
              </w:rPr>
              <w:t>2017</w:t>
            </w:r>
          </w:p>
        </w:tc>
        <w:tc>
          <w:tcPr>
            <w:tcW w:w="1844"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$35.9</w:t>
            </w:r>
          </w:p>
        </w:tc>
        <w:tc>
          <w:tcPr>
            <w:tcW w:w="1715"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$1.6</w:t>
            </w:r>
          </w:p>
        </w:tc>
        <w:tc>
          <w:tcPr>
            <w:tcW w:w="1681"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$37.6</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061E10">
              <w:rPr>
                <w:rFonts w:asciiTheme="minorHAnsi" w:hAnsiTheme="minorHAnsi"/>
                <w:color w:val="000000"/>
                <w:szCs w:val="20"/>
              </w:rPr>
              <w:t>2018</w:t>
            </w:r>
          </w:p>
        </w:tc>
        <w:tc>
          <w:tcPr>
            <w:tcW w:w="1844"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$35.9</w:t>
            </w:r>
          </w:p>
        </w:tc>
        <w:tc>
          <w:tcPr>
            <w:tcW w:w="1715"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$2.5</w:t>
            </w:r>
          </w:p>
        </w:tc>
        <w:tc>
          <w:tcPr>
            <w:tcW w:w="1681"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$38.4</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061E10">
              <w:rPr>
                <w:rFonts w:asciiTheme="minorHAnsi" w:hAnsiTheme="minorHAnsi"/>
                <w:color w:val="000000"/>
                <w:szCs w:val="20"/>
              </w:rPr>
              <w:t>2019</w:t>
            </w:r>
          </w:p>
        </w:tc>
        <w:tc>
          <w:tcPr>
            <w:tcW w:w="1844"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$35.9</w:t>
            </w:r>
          </w:p>
        </w:tc>
        <w:tc>
          <w:tcPr>
            <w:tcW w:w="1715"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$3.3</w:t>
            </w:r>
          </w:p>
        </w:tc>
        <w:tc>
          <w:tcPr>
            <w:tcW w:w="1681"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$39.3</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061E10">
              <w:rPr>
                <w:rFonts w:asciiTheme="minorHAnsi" w:hAnsiTheme="minorHAnsi"/>
                <w:color w:val="000000"/>
                <w:szCs w:val="20"/>
              </w:rPr>
              <w:t>2020</w:t>
            </w:r>
          </w:p>
        </w:tc>
        <w:tc>
          <w:tcPr>
            <w:tcW w:w="1844"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$4.2</w:t>
            </w:r>
          </w:p>
        </w:tc>
        <w:tc>
          <w:tcPr>
            <w:tcW w:w="1681"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$4.2</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061E10">
              <w:rPr>
                <w:rFonts w:asciiTheme="minorHAnsi" w:hAnsiTheme="minorHAnsi"/>
                <w:color w:val="000000"/>
                <w:szCs w:val="20"/>
              </w:rPr>
              <w:t>2021</w:t>
            </w:r>
          </w:p>
        </w:tc>
        <w:tc>
          <w:tcPr>
            <w:tcW w:w="1844"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$4.3</w:t>
            </w:r>
          </w:p>
        </w:tc>
        <w:tc>
          <w:tcPr>
            <w:tcW w:w="1681"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$4.3</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061E10">
              <w:rPr>
                <w:rFonts w:asciiTheme="minorHAnsi" w:hAnsiTheme="minorHAnsi"/>
                <w:color w:val="000000"/>
                <w:szCs w:val="20"/>
              </w:rPr>
              <w:t>2022</w:t>
            </w:r>
          </w:p>
        </w:tc>
        <w:tc>
          <w:tcPr>
            <w:tcW w:w="1844"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$4.4</w:t>
            </w:r>
          </w:p>
        </w:tc>
        <w:tc>
          <w:tcPr>
            <w:tcW w:w="1681"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$4.4</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061E10">
              <w:rPr>
                <w:rFonts w:asciiTheme="minorHAnsi" w:hAnsiTheme="minorHAnsi"/>
                <w:color w:val="000000"/>
                <w:szCs w:val="20"/>
              </w:rPr>
              <w:t>2023</w:t>
            </w:r>
          </w:p>
        </w:tc>
        <w:tc>
          <w:tcPr>
            <w:tcW w:w="1844"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$4.5</w:t>
            </w:r>
          </w:p>
        </w:tc>
        <w:tc>
          <w:tcPr>
            <w:tcW w:w="1681"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$4.5</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061E10">
              <w:rPr>
                <w:rFonts w:asciiTheme="minorHAnsi" w:hAnsiTheme="minorHAnsi"/>
                <w:color w:val="000000"/>
                <w:szCs w:val="20"/>
              </w:rPr>
              <w:t>2024</w:t>
            </w:r>
          </w:p>
        </w:tc>
        <w:tc>
          <w:tcPr>
            <w:tcW w:w="1844"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$4.6</w:t>
            </w:r>
          </w:p>
        </w:tc>
        <w:tc>
          <w:tcPr>
            <w:tcW w:w="1681" w:type="dxa"/>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$4.6</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061E10">
              <w:rPr>
                <w:rFonts w:asciiTheme="minorHAnsi" w:hAnsiTheme="minorHAnsi"/>
                <w:color w:val="000000"/>
                <w:szCs w:val="20"/>
              </w:rPr>
              <w:t>2025</w:t>
            </w:r>
          </w:p>
        </w:tc>
        <w:tc>
          <w:tcPr>
            <w:tcW w:w="1844"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$4.8</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$4.8</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061E10">
              <w:rPr>
                <w:rFonts w:asciiTheme="minorHAnsi" w:hAnsiTheme="minorHAnsi"/>
                <w:color w:val="000000"/>
                <w:szCs w:val="20"/>
              </w:rPr>
              <w:t>2026</w:t>
            </w:r>
          </w:p>
        </w:tc>
        <w:tc>
          <w:tcPr>
            <w:tcW w:w="1844"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$4.9</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$4.9</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061E10">
              <w:rPr>
                <w:rFonts w:asciiTheme="minorHAnsi" w:hAnsiTheme="minorHAnsi"/>
                <w:color w:val="000000"/>
                <w:szCs w:val="20"/>
              </w:rPr>
              <w:t>2027</w:t>
            </w:r>
          </w:p>
        </w:tc>
        <w:tc>
          <w:tcPr>
            <w:tcW w:w="1844"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$5.0</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$5.0</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061E10">
              <w:rPr>
                <w:rFonts w:asciiTheme="minorHAnsi" w:hAnsiTheme="minorHAnsi"/>
                <w:color w:val="000000"/>
                <w:szCs w:val="20"/>
              </w:rPr>
              <w:t>2028</w:t>
            </w:r>
          </w:p>
        </w:tc>
        <w:tc>
          <w:tcPr>
            <w:tcW w:w="1844"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$5.1</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$5.1</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061E10">
              <w:rPr>
                <w:rFonts w:asciiTheme="minorHAnsi" w:hAnsiTheme="minorHAnsi"/>
                <w:color w:val="000000"/>
                <w:szCs w:val="20"/>
              </w:rPr>
              <w:t>2029</w:t>
            </w:r>
          </w:p>
        </w:tc>
        <w:tc>
          <w:tcPr>
            <w:tcW w:w="1844"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$5.2</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$5.2</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061E10">
              <w:rPr>
                <w:rFonts w:asciiTheme="minorHAnsi" w:hAnsiTheme="minorHAnsi"/>
                <w:color w:val="000000"/>
                <w:szCs w:val="20"/>
              </w:rPr>
              <w:t>2030</w:t>
            </w:r>
          </w:p>
        </w:tc>
        <w:tc>
          <w:tcPr>
            <w:tcW w:w="1844"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$5.4</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$5.4</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061E10">
              <w:rPr>
                <w:rFonts w:asciiTheme="minorHAnsi" w:hAnsiTheme="minorHAnsi"/>
                <w:color w:val="000000"/>
                <w:szCs w:val="20"/>
              </w:rPr>
              <w:t>2031</w:t>
            </w:r>
          </w:p>
        </w:tc>
        <w:tc>
          <w:tcPr>
            <w:tcW w:w="1844"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$5.5</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$5.5</w:t>
            </w:r>
          </w:p>
        </w:tc>
      </w:tr>
      <w:tr w:rsidR="006B1AB5" w:rsidRPr="00E279BA" w:rsidTr="006B1AB5">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061E10">
              <w:rPr>
                <w:rFonts w:asciiTheme="minorHAnsi" w:hAnsiTheme="minorHAnsi"/>
                <w:color w:val="000000"/>
                <w:szCs w:val="20"/>
              </w:rPr>
              <w:t>2032</w:t>
            </w:r>
          </w:p>
        </w:tc>
        <w:tc>
          <w:tcPr>
            <w:tcW w:w="1844"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$5.7</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$5.7</w:t>
            </w:r>
          </w:p>
        </w:tc>
      </w:tr>
      <w:tr w:rsidR="006B1AB5" w:rsidTr="006B1AB5">
        <w:tc>
          <w:tcPr>
            <w:cnfStyle w:val="001000000000" w:firstRow="0" w:lastRow="0" w:firstColumn="1" w:lastColumn="0" w:oddVBand="0" w:evenVBand="0" w:oddHBand="0" w:evenHBand="0" w:firstRowFirstColumn="0" w:firstRowLastColumn="0" w:lastRowFirstColumn="0" w:lastRowLastColumn="0"/>
            <w:tcW w:w="1680" w:type="dxa"/>
            <w:tcBorders>
              <w:bottom w:val="single" w:sz="4" w:space="0" w:color="auto"/>
            </w:tcBorders>
          </w:tcPr>
          <w:p w:rsidR="006B1AB5" w:rsidRPr="00061E10" w:rsidRDefault="006B1AB5" w:rsidP="006B1AB5">
            <w:pPr>
              <w:pStyle w:val="MJAnormal"/>
              <w:rPr>
                <w:rFonts w:asciiTheme="minorHAnsi" w:hAnsiTheme="minorHAnsi"/>
                <w:szCs w:val="20"/>
              </w:rPr>
            </w:pPr>
            <w:r w:rsidRPr="00061E10">
              <w:rPr>
                <w:rFonts w:asciiTheme="minorHAnsi" w:hAnsiTheme="minorHAnsi"/>
                <w:color w:val="000000"/>
                <w:szCs w:val="20"/>
              </w:rPr>
              <w:t>2033</w:t>
            </w:r>
          </w:p>
        </w:tc>
        <w:tc>
          <w:tcPr>
            <w:tcW w:w="1844" w:type="dxa"/>
            <w:tcBorders>
              <w:bottom w:val="single" w:sz="4" w:space="0" w:color="auto"/>
            </w:tcBorders>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Borders>
              <w:bottom w:val="single" w:sz="4" w:space="0" w:color="auto"/>
            </w:tcBorders>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$5.8</w:t>
            </w:r>
          </w:p>
        </w:tc>
        <w:tc>
          <w:tcPr>
            <w:tcW w:w="1681" w:type="dxa"/>
            <w:tcBorders>
              <w:bottom w:val="single" w:sz="4" w:space="0" w:color="auto"/>
            </w:tcBorders>
          </w:tcPr>
          <w:p w:rsidR="006B1AB5" w:rsidRPr="00C938A6"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$5.8</w:t>
            </w:r>
          </w:p>
        </w:tc>
      </w:tr>
    </w:tbl>
    <w:p w:rsidR="00BE123F" w:rsidRDefault="00BE123F" w:rsidP="00BD12E2">
      <w:pPr>
        <w:pStyle w:val="MJAsource"/>
      </w:pPr>
      <w:r>
        <w:t>* excluding value of production gains from water savings which are included in VU Term estimates</w:t>
      </w:r>
    </w:p>
    <w:p w:rsidR="00BD12E2" w:rsidRDefault="00BD12E2" w:rsidP="00BD12E2">
      <w:pPr>
        <w:pStyle w:val="MJAsource"/>
      </w:pPr>
      <w:r>
        <w:t>Source: Marsden Jacob estimates</w:t>
      </w:r>
    </w:p>
    <w:p w:rsidR="00BD12E2" w:rsidRDefault="00BD12E2" w:rsidP="00BD12E2">
      <w:pPr>
        <w:pStyle w:val="MJAnormal"/>
      </w:pPr>
    </w:p>
    <w:p w:rsidR="00AC78ED" w:rsidRDefault="00AC78ED" w:rsidP="00AC78ED">
      <w:pPr>
        <w:pStyle w:val="Caption"/>
      </w:pPr>
      <w:bookmarkStart w:id="160" w:name="_Toc481964525"/>
      <w:bookmarkStart w:id="161" w:name="_Toc494892443"/>
      <w:r>
        <w:t xml:space="preserve">Table </w:t>
      </w:r>
      <w:fldSimple w:instr=" SEQ Table \* ARABIC ">
        <w:r w:rsidR="002F2E38">
          <w:rPr>
            <w:noProof/>
          </w:rPr>
          <w:t>14</w:t>
        </w:r>
      </w:fldSimple>
      <w:r>
        <w:t>: Estimated annual local economy contribution (</w:t>
      </w:r>
      <w:r w:rsidR="00C938A6">
        <w:t xml:space="preserve">2016 </w:t>
      </w:r>
      <w:r>
        <w:t xml:space="preserve">dollars </w:t>
      </w:r>
      <w:r w:rsidR="00484065">
        <w:t>$</w:t>
      </w:r>
      <w:r>
        <w:t>million)</w:t>
      </w:r>
      <w:bookmarkEnd w:id="160"/>
      <w:bookmarkEnd w:id="161"/>
    </w:p>
    <w:tbl>
      <w:tblPr>
        <w:tblStyle w:val="MJATable1"/>
        <w:tblW w:w="0" w:type="auto"/>
        <w:tblLook w:val="04A0" w:firstRow="1" w:lastRow="0" w:firstColumn="1" w:lastColumn="0" w:noHBand="0" w:noVBand="1"/>
      </w:tblPr>
      <w:tblGrid>
        <w:gridCol w:w="1680"/>
        <w:gridCol w:w="1723"/>
        <w:gridCol w:w="1715"/>
        <w:gridCol w:w="1681"/>
      </w:tblGrid>
      <w:tr w:rsidR="00E279BA" w:rsidRPr="00E279BA" w:rsidTr="00461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vAlign w:val="top"/>
          </w:tcPr>
          <w:p w:rsidR="00E279BA" w:rsidRPr="00061E10" w:rsidRDefault="0001226E" w:rsidP="0046164B">
            <w:pPr>
              <w:pStyle w:val="MJAnormal"/>
              <w:rPr>
                <w:rFonts w:asciiTheme="minorHAnsi" w:hAnsiTheme="minorHAnsi"/>
                <w:szCs w:val="20"/>
              </w:rPr>
            </w:pPr>
            <w:r>
              <w:rPr>
                <w:rFonts w:asciiTheme="minorHAnsi" w:hAnsiTheme="minorHAnsi"/>
                <w:szCs w:val="20"/>
              </w:rPr>
              <w:t xml:space="preserve">Calendar </w:t>
            </w:r>
            <w:r w:rsidR="00E279BA" w:rsidRPr="00061E10">
              <w:rPr>
                <w:rFonts w:asciiTheme="minorHAnsi" w:hAnsiTheme="minorHAnsi"/>
                <w:szCs w:val="20"/>
              </w:rPr>
              <w:t>Year</w:t>
            </w:r>
          </w:p>
        </w:tc>
        <w:tc>
          <w:tcPr>
            <w:tcW w:w="1723" w:type="dxa"/>
            <w:vAlign w:val="top"/>
          </w:tcPr>
          <w:p w:rsidR="00E279BA" w:rsidRPr="00061E10" w:rsidRDefault="006B1AB5" w:rsidP="0046164B">
            <w:pPr>
              <w:pStyle w:val="MJAnormal"/>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t>Value added (Within MIA)</w:t>
            </w:r>
          </w:p>
        </w:tc>
        <w:tc>
          <w:tcPr>
            <w:tcW w:w="1715" w:type="dxa"/>
            <w:vAlign w:val="top"/>
          </w:tcPr>
          <w:p w:rsidR="00E279BA" w:rsidRPr="00061E10" w:rsidRDefault="00E279BA" w:rsidP="0046164B">
            <w:pPr>
              <w:pStyle w:val="MJAnormal"/>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61E10">
              <w:rPr>
                <w:rFonts w:asciiTheme="minorHAnsi" w:hAnsiTheme="minorHAnsi"/>
                <w:szCs w:val="20"/>
              </w:rPr>
              <w:t>On farm productivity</w:t>
            </w:r>
            <w:r w:rsidR="00BE123F">
              <w:rPr>
                <w:rFonts w:asciiTheme="minorHAnsi" w:hAnsiTheme="minorHAnsi"/>
                <w:szCs w:val="20"/>
              </w:rPr>
              <w:t>*</w:t>
            </w:r>
          </w:p>
        </w:tc>
        <w:tc>
          <w:tcPr>
            <w:tcW w:w="1681" w:type="dxa"/>
            <w:vAlign w:val="top"/>
          </w:tcPr>
          <w:p w:rsidR="00E279BA" w:rsidRPr="00061E10" w:rsidRDefault="00E279BA" w:rsidP="0046164B">
            <w:pPr>
              <w:pStyle w:val="MJAnormal"/>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61E10">
              <w:rPr>
                <w:rFonts w:asciiTheme="minorHAnsi" w:hAnsiTheme="minorHAnsi"/>
                <w:szCs w:val="20"/>
              </w:rPr>
              <w:t>Total</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802CC6">
              <w:rPr>
                <w:rFonts w:asciiTheme="minorHAnsi" w:hAnsiTheme="minorHAnsi"/>
                <w:color w:val="000000"/>
                <w:szCs w:val="20"/>
              </w:rPr>
              <w:t>2010</w:t>
            </w:r>
          </w:p>
        </w:tc>
        <w:tc>
          <w:tcPr>
            <w:tcW w:w="1723"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$1.6</w:t>
            </w: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$1.6</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802CC6">
              <w:rPr>
                <w:rFonts w:asciiTheme="minorHAnsi" w:hAnsiTheme="minorHAnsi"/>
                <w:color w:val="000000"/>
                <w:szCs w:val="20"/>
              </w:rPr>
              <w:t>2011</w:t>
            </w:r>
          </w:p>
        </w:tc>
        <w:tc>
          <w:tcPr>
            <w:tcW w:w="1723"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$1.6</w:t>
            </w: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$1.6</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802CC6">
              <w:rPr>
                <w:rFonts w:asciiTheme="minorHAnsi" w:hAnsiTheme="minorHAnsi"/>
                <w:color w:val="000000"/>
                <w:szCs w:val="20"/>
              </w:rPr>
              <w:t>2012</w:t>
            </w:r>
          </w:p>
        </w:tc>
        <w:tc>
          <w:tcPr>
            <w:tcW w:w="1723"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$1.5</w:t>
            </w: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$0.1</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$1.6</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802CC6">
              <w:rPr>
                <w:rFonts w:asciiTheme="minorHAnsi" w:hAnsiTheme="minorHAnsi"/>
                <w:color w:val="000000"/>
                <w:szCs w:val="20"/>
              </w:rPr>
              <w:t>2013</w:t>
            </w:r>
          </w:p>
        </w:tc>
        <w:tc>
          <w:tcPr>
            <w:tcW w:w="1723"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$15.2</w:t>
            </w: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$0.1</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$15.3</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802CC6">
              <w:rPr>
                <w:rFonts w:asciiTheme="minorHAnsi" w:hAnsiTheme="minorHAnsi"/>
                <w:color w:val="000000"/>
                <w:szCs w:val="20"/>
              </w:rPr>
              <w:t>2014</w:t>
            </w:r>
          </w:p>
        </w:tc>
        <w:tc>
          <w:tcPr>
            <w:tcW w:w="1723"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$13.3</w:t>
            </w: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$0.4</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$13.8</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802CC6">
              <w:rPr>
                <w:rFonts w:asciiTheme="minorHAnsi" w:hAnsiTheme="minorHAnsi"/>
                <w:color w:val="000000"/>
                <w:szCs w:val="20"/>
              </w:rPr>
              <w:t>2015</w:t>
            </w:r>
          </w:p>
        </w:tc>
        <w:tc>
          <w:tcPr>
            <w:tcW w:w="1723"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$19.8</w:t>
            </w: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$0.7</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$20.5</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802CC6">
              <w:rPr>
                <w:rFonts w:asciiTheme="minorHAnsi" w:hAnsiTheme="minorHAnsi"/>
                <w:color w:val="000000"/>
                <w:szCs w:val="20"/>
              </w:rPr>
              <w:t>2016</w:t>
            </w:r>
          </w:p>
        </w:tc>
        <w:tc>
          <w:tcPr>
            <w:tcW w:w="1723"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$19.6</w:t>
            </w:r>
          </w:p>
        </w:tc>
        <w:tc>
          <w:tcPr>
            <w:tcW w:w="1715"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$1.2</w:t>
            </w:r>
          </w:p>
        </w:tc>
        <w:tc>
          <w:tcPr>
            <w:tcW w:w="1681"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$20.8</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802CC6">
              <w:rPr>
                <w:rFonts w:asciiTheme="minorHAnsi" w:hAnsiTheme="minorHAnsi"/>
                <w:color w:val="000000"/>
                <w:szCs w:val="20"/>
              </w:rPr>
              <w:t>2017</w:t>
            </w:r>
          </w:p>
        </w:tc>
        <w:tc>
          <w:tcPr>
            <w:tcW w:w="1723"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$35.1</w:t>
            </w:r>
          </w:p>
        </w:tc>
        <w:tc>
          <w:tcPr>
            <w:tcW w:w="1715"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$1.6</w:t>
            </w:r>
          </w:p>
        </w:tc>
        <w:tc>
          <w:tcPr>
            <w:tcW w:w="1681"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$36.6</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802CC6">
              <w:rPr>
                <w:rFonts w:asciiTheme="minorHAnsi" w:hAnsiTheme="minorHAnsi"/>
                <w:color w:val="000000"/>
                <w:szCs w:val="20"/>
              </w:rPr>
              <w:t>2018</w:t>
            </w:r>
          </w:p>
        </w:tc>
        <w:tc>
          <w:tcPr>
            <w:tcW w:w="1723"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$34.2</w:t>
            </w:r>
          </w:p>
        </w:tc>
        <w:tc>
          <w:tcPr>
            <w:tcW w:w="1715"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$2.3</w:t>
            </w:r>
          </w:p>
        </w:tc>
        <w:tc>
          <w:tcPr>
            <w:tcW w:w="1681"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$36.6</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802CC6">
              <w:rPr>
                <w:rFonts w:asciiTheme="minorHAnsi" w:hAnsiTheme="minorHAnsi"/>
                <w:color w:val="000000"/>
                <w:szCs w:val="20"/>
              </w:rPr>
              <w:t>2019</w:t>
            </w:r>
          </w:p>
        </w:tc>
        <w:tc>
          <w:tcPr>
            <w:tcW w:w="1723"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$33.4</w:t>
            </w:r>
          </w:p>
        </w:tc>
        <w:tc>
          <w:tcPr>
            <w:tcW w:w="1715"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$3.1</w:t>
            </w:r>
          </w:p>
        </w:tc>
        <w:tc>
          <w:tcPr>
            <w:tcW w:w="1681"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$36.5</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802CC6">
              <w:rPr>
                <w:rFonts w:asciiTheme="minorHAnsi" w:hAnsiTheme="minorHAnsi"/>
                <w:color w:val="000000"/>
                <w:szCs w:val="20"/>
              </w:rPr>
              <w:t>2020</w:t>
            </w:r>
          </w:p>
        </w:tc>
        <w:tc>
          <w:tcPr>
            <w:tcW w:w="1723"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c>
          <w:tcPr>
            <w:tcW w:w="1681"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802CC6">
              <w:rPr>
                <w:rFonts w:asciiTheme="minorHAnsi" w:hAnsiTheme="minorHAnsi"/>
                <w:color w:val="000000"/>
                <w:szCs w:val="20"/>
              </w:rPr>
              <w:t>2021</w:t>
            </w:r>
          </w:p>
        </w:tc>
        <w:tc>
          <w:tcPr>
            <w:tcW w:w="1723"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c>
          <w:tcPr>
            <w:tcW w:w="1681"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802CC6">
              <w:rPr>
                <w:rFonts w:asciiTheme="minorHAnsi" w:hAnsiTheme="minorHAnsi"/>
                <w:color w:val="000000"/>
                <w:szCs w:val="20"/>
              </w:rPr>
              <w:t>2022</w:t>
            </w:r>
          </w:p>
        </w:tc>
        <w:tc>
          <w:tcPr>
            <w:tcW w:w="1723"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c>
          <w:tcPr>
            <w:tcW w:w="1681"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C938A6" w:rsidRDefault="006B1AB5" w:rsidP="006B1AB5">
            <w:pPr>
              <w:pStyle w:val="MJAnormal"/>
              <w:rPr>
                <w:rFonts w:asciiTheme="minorHAnsi" w:hAnsiTheme="minorHAnsi"/>
                <w:szCs w:val="20"/>
              </w:rPr>
            </w:pPr>
            <w:r w:rsidRPr="00802CC6">
              <w:rPr>
                <w:rFonts w:asciiTheme="minorHAnsi" w:hAnsiTheme="minorHAnsi"/>
                <w:color w:val="000000"/>
                <w:szCs w:val="20"/>
              </w:rPr>
              <w:t>2023</w:t>
            </w:r>
          </w:p>
        </w:tc>
        <w:tc>
          <w:tcPr>
            <w:tcW w:w="1723"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c>
          <w:tcPr>
            <w:tcW w:w="1681" w:type="dxa"/>
          </w:tcPr>
          <w:p w:rsidR="006B1AB5" w:rsidRPr="00484065"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802CC6">
              <w:rPr>
                <w:rFonts w:asciiTheme="minorHAnsi" w:hAnsiTheme="minorHAnsi"/>
                <w:color w:val="000000"/>
                <w:szCs w:val="20"/>
              </w:rPr>
              <w:t>2024</w:t>
            </w:r>
          </w:p>
        </w:tc>
        <w:tc>
          <w:tcPr>
            <w:tcW w:w="1723"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802CC6">
              <w:rPr>
                <w:rFonts w:asciiTheme="minorHAnsi" w:hAnsiTheme="minorHAnsi"/>
                <w:color w:val="000000"/>
                <w:szCs w:val="20"/>
              </w:rPr>
              <w:t>2025</w:t>
            </w:r>
          </w:p>
        </w:tc>
        <w:tc>
          <w:tcPr>
            <w:tcW w:w="1723"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802CC6">
              <w:rPr>
                <w:rFonts w:asciiTheme="minorHAnsi" w:hAnsiTheme="minorHAnsi"/>
                <w:color w:val="000000"/>
                <w:szCs w:val="20"/>
              </w:rPr>
              <w:t>2026</w:t>
            </w:r>
          </w:p>
        </w:tc>
        <w:tc>
          <w:tcPr>
            <w:tcW w:w="1723"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802CC6">
              <w:rPr>
                <w:rFonts w:asciiTheme="minorHAnsi" w:hAnsiTheme="minorHAnsi"/>
                <w:color w:val="000000"/>
                <w:szCs w:val="20"/>
              </w:rPr>
              <w:t>2027</w:t>
            </w:r>
          </w:p>
        </w:tc>
        <w:tc>
          <w:tcPr>
            <w:tcW w:w="1723"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802CC6">
              <w:rPr>
                <w:rFonts w:asciiTheme="minorHAnsi" w:hAnsiTheme="minorHAnsi"/>
                <w:color w:val="000000"/>
                <w:szCs w:val="20"/>
              </w:rPr>
              <w:t>2028</w:t>
            </w:r>
          </w:p>
        </w:tc>
        <w:tc>
          <w:tcPr>
            <w:tcW w:w="1723"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802CC6">
              <w:rPr>
                <w:rFonts w:asciiTheme="minorHAnsi" w:hAnsiTheme="minorHAnsi"/>
                <w:color w:val="000000"/>
                <w:szCs w:val="20"/>
              </w:rPr>
              <w:t>2029</w:t>
            </w:r>
          </w:p>
        </w:tc>
        <w:tc>
          <w:tcPr>
            <w:tcW w:w="1723"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802CC6">
              <w:rPr>
                <w:rFonts w:asciiTheme="minorHAnsi" w:hAnsiTheme="minorHAnsi"/>
                <w:color w:val="000000"/>
                <w:szCs w:val="20"/>
              </w:rPr>
              <w:t>2030</w:t>
            </w:r>
          </w:p>
        </w:tc>
        <w:tc>
          <w:tcPr>
            <w:tcW w:w="1723"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802CC6">
              <w:rPr>
                <w:rFonts w:asciiTheme="minorHAnsi" w:hAnsiTheme="minorHAnsi"/>
                <w:color w:val="000000"/>
                <w:szCs w:val="20"/>
              </w:rPr>
              <w:t>2031</w:t>
            </w:r>
          </w:p>
        </w:tc>
        <w:tc>
          <w:tcPr>
            <w:tcW w:w="1723"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Pr>
          <w:p w:rsidR="006B1AB5" w:rsidRPr="00061E10" w:rsidRDefault="006B1AB5" w:rsidP="006B1AB5">
            <w:pPr>
              <w:pStyle w:val="MJAnormal"/>
              <w:rPr>
                <w:rFonts w:asciiTheme="minorHAnsi" w:hAnsiTheme="minorHAnsi"/>
                <w:szCs w:val="20"/>
              </w:rPr>
            </w:pPr>
            <w:r w:rsidRPr="00802CC6">
              <w:rPr>
                <w:rFonts w:asciiTheme="minorHAnsi" w:hAnsiTheme="minorHAnsi"/>
                <w:color w:val="000000"/>
                <w:szCs w:val="20"/>
              </w:rPr>
              <w:t>2032</w:t>
            </w:r>
          </w:p>
        </w:tc>
        <w:tc>
          <w:tcPr>
            <w:tcW w:w="1723"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c>
          <w:tcPr>
            <w:tcW w:w="1681" w:type="dxa"/>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r>
      <w:tr w:rsidR="006B1AB5" w:rsidRPr="00E279BA" w:rsidTr="0046164B">
        <w:tc>
          <w:tcPr>
            <w:cnfStyle w:val="001000000000" w:firstRow="0" w:lastRow="0" w:firstColumn="1" w:lastColumn="0" w:oddVBand="0" w:evenVBand="0" w:oddHBand="0" w:evenHBand="0" w:firstRowFirstColumn="0" w:firstRowLastColumn="0" w:lastRowFirstColumn="0" w:lastRowLastColumn="0"/>
            <w:tcW w:w="1680" w:type="dxa"/>
            <w:tcBorders>
              <w:bottom w:val="single" w:sz="4" w:space="0" w:color="auto"/>
            </w:tcBorders>
          </w:tcPr>
          <w:p w:rsidR="006B1AB5" w:rsidRPr="00061E10" w:rsidRDefault="006B1AB5" w:rsidP="006B1AB5">
            <w:pPr>
              <w:pStyle w:val="MJAnormal"/>
              <w:rPr>
                <w:rFonts w:asciiTheme="minorHAnsi" w:hAnsiTheme="minorHAnsi"/>
                <w:szCs w:val="20"/>
              </w:rPr>
            </w:pPr>
            <w:r w:rsidRPr="00802CC6">
              <w:rPr>
                <w:rFonts w:asciiTheme="minorHAnsi" w:hAnsiTheme="minorHAnsi"/>
                <w:color w:val="000000"/>
                <w:szCs w:val="20"/>
              </w:rPr>
              <w:t>2033</w:t>
            </w:r>
          </w:p>
        </w:tc>
        <w:tc>
          <w:tcPr>
            <w:tcW w:w="1723" w:type="dxa"/>
            <w:tcBorders>
              <w:bottom w:val="single" w:sz="4" w:space="0" w:color="auto"/>
            </w:tcBorders>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715" w:type="dxa"/>
            <w:tcBorders>
              <w:bottom w:val="single" w:sz="4" w:space="0" w:color="auto"/>
            </w:tcBorders>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c>
          <w:tcPr>
            <w:tcW w:w="1681" w:type="dxa"/>
            <w:tcBorders>
              <w:bottom w:val="single" w:sz="4" w:space="0" w:color="auto"/>
            </w:tcBorders>
          </w:tcPr>
          <w:p w:rsidR="006B1AB5" w:rsidRPr="00061E10" w:rsidRDefault="006B1AB5" w:rsidP="006B1AB5">
            <w:pP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p>
        </w:tc>
      </w:tr>
    </w:tbl>
    <w:p w:rsidR="00BE123F" w:rsidRDefault="00BE123F" w:rsidP="00BE123F">
      <w:pPr>
        <w:pStyle w:val="MJAsource"/>
      </w:pPr>
      <w:r>
        <w:t>* excluding value of production gains from water savings – which are included in VU Term estimates</w:t>
      </w:r>
    </w:p>
    <w:p w:rsidR="00AC78ED" w:rsidRDefault="00AC78ED" w:rsidP="00AC78ED">
      <w:pPr>
        <w:pStyle w:val="MJAsource"/>
      </w:pPr>
      <w:r w:rsidRPr="00061E10">
        <w:t>Source: Marsden Jacob estimates</w:t>
      </w:r>
    </w:p>
    <w:p w:rsidR="00BD12E2" w:rsidRDefault="00BD12E2" w:rsidP="00BD12E2">
      <w:pPr>
        <w:pStyle w:val="MJAnormal"/>
      </w:pPr>
    </w:p>
    <w:p w:rsidR="00BD12E2" w:rsidRDefault="00BD12E2" w:rsidP="00BD12E2">
      <w:pPr>
        <w:rPr>
          <w:rFonts w:ascii="Times New Roman" w:eastAsia="Times New Roman" w:hAnsi="Times New Roman" w:cs="Times New Roman"/>
        </w:rPr>
      </w:pPr>
      <w:r>
        <w:br w:type="page"/>
      </w:r>
    </w:p>
    <w:p w:rsidR="00BD12E2" w:rsidRDefault="00C938A6" w:rsidP="00061E10">
      <w:pPr>
        <w:pStyle w:val="MJAHeading10"/>
      </w:pPr>
      <w:bookmarkStart w:id="162" w:name="_Toc482099178"/>
      <w:bookmarkStart w:id="163" w:name="_Toc494892280"/>
      <w:r>
        <w:t>Estimating gains (dynamic approach)</w:t>
      </w:r>
      <w:bookmarkEnd w:id="162"/>
      <w:bookmarkEnd w:id="163"/>
    </w:p>
    <w:p w:rsidR="000E04C3" w:rsidRDefault="000E04C3" w:rsidP="00BD12E2">
      <w:pPr>
        <w:pStyle w:val="MJAnormal"/>
      </w:pPr>
      <w:r>
        <w:t xml:space="preserve">Victoria University was engaged by Marsden Jacob to estimate local economy and regional economic </w:t>
      </w:r>
      <w:r w:rsidR="00347830">
        <w:t>effect</w:t>
      </w:r>
      <w:r>
        <w:t>s from the PIIOP and OFIEP program in the MIA using the</w:t>
      </w:r>
      <w:r w:rsidR="00663CF7">
        <w:t xml:space="preserve"> VU</w:t>
      </w:r>
      <w:r>
        <w:t xml:space="preserve"> TERM Model. </w:t>
      </w:r>
    </w:p>
    <w:p w:rsidR="00BD12E2" w:rsidRDefault="000E04C3" w:rsidP="00BD12E2">
      <w:pPr>
        <w:pStyle w:val="MJAnormal"/>
      </w:pPr>
      <w:r>
        <w:t xml:space="preserve">TERM is used to estimate annual ongoing </w:t>
      </w:r>
      <w:r w:rsidR="00347830">
        <w:t>effect</w:t>
      </w:r>
      <w:r>
        <w:t xml:space="preserve">s of both the construction and implementation phases. This model gives a fuller picture of the economic </w:t>
      </w:r>
      <w:r w:rsidR="00347830">
        <w:t>effect</w:t>
      </w:r>
      <w:r>
        <w:t xml:space="preserve">s estimated </w:t>
      </w:r>
      <w:r w:rsidR="00BD6F07">
        <w:t xml:space="preserve">than </w:t>
      </w:r>
      <w:r>
        <w:t>the previous sections because:</w:t>
      </w:r>
    </w:p>
    <w:p w:rsidR="00B85769" w:rsidRDefault="00B85769" w:rsidP="000E04C3">
      <w:pPr>
        <w:pStyle w:val="MJAbulletnormal"/>
      </w:pPr>
      <w:r>
        <w:t>local</w:t>
      </w:r>
      <w:r w:rsidR="00A57F1E">
        <w:t xml:space="preserve"> and </w:t>
      </w:r>
      <w:r>
        <w:t>regional employment effects can be estimated</w:t>
      </w:r>
      <w:r w:rsidR="00A57F1E">
        <w:t>;</w:t>
      </w:r>
    </w:p>
    <w:p w:rsidR="000E04C3" w:rsidRDefault="00A57F1E" w:rsidP="000E04C3">
      <w:pPr>
        <w:pStyle w:val="MJAbulletnormal"/>
      </w:pPr>
      <w:r>
        <w:t xml:space="preserve">follow-on valued added effects </w:t>
      </w:r>
      <w:r w:rsidR="000E04C3">
        <w:t xml:space="preserve">(commonly referred to as multipliers) from first round expenditures are included in </w:t>
      </w:r>
      <w:r>
        <w:t>net economic indicators</w:t>
      </w:r>
      <w:r w:rsidR="000E04C3">
        <w:t>; and</w:t>
      </w:r>
    </w:p>
    <w:p w:rsidR="000E04C3" w:rsidRDefault="000E04C3" w:rsidP="000E04C3">
      <w:pPr>
        <w:pStyle w:val="MJAbulletnormal"/>
      </w:pPr>
      <w:r>
        <w:t>first round estimate</w:t>
      </w:r>
      <w:r w:rsidR="00A57F1E">
        <w:t>s</w:t>
      </w:r>
      <w:r>
        <w:t xml:space="preserve"> will </w:t>
      </w:r>
      <w:r w:rsidR="00A57F1E">
        <w:t xml:space="preserve">over-estimate the net </w:t>
      </w:r>
      <w:r w:rsidR="00347830">
        <w:t>effect</w:t>
      </w:r>
      <w:r w:rsidR="00A57F1E">
        <w:t xml:space="preserve">s and the investments </w:t>
      </w:r>
      <w:r>
        <w:t>lead to changes in the prices of goods and services that creates further movements of labour and capital within and between region.</w:t>
      </w:r>
    </w:p>
    <w:p w:rsidR="00E22414" w:rsidRDefault="00FD3BB4" w:rsidP="00061E10">
      <w:pPr>
        <w:pStyle w:val="MJAheading2"/>
      </w:pPr>
      <w:bookmarkStart w:id="164" w:name="_Toc482099179"/>
      <w:bookmarkStart w:id="165" w:name="_Toc494892281"/>
      <w:r>
        <w:t>Key Findings</w:t>
      </w:r>
      <w:bookmarkEnd w:id="164"/>
      <w:bookmarkEnd w:id="165"/>
      <w:r>
        <w:t xml:space="preserve"> </w:t>
      </w:r>
    </w:p>
    <w:p w:rsidR="00E22414" w:rsidRDefault="00E22414" w:rsidP="00C775F7">
      <w:pPr>
        <w:pStyle w:val="MJAbulletnormal"/>
      </w:pPr>
      <w:r w:rsidRPr="00314792">
        <w:t>During the construction phase (2010-201</w:t>
      </w:r>
      <w:r w:rsidR="000F607B">
        <w:t>9</w:t>
      </w:r>
      <w:r w:rsidRPr="00314792">
        <w:t>)</w:t>
      </w:r>
      <w:r>
        <w:t>,</w:t>
      </w:r>
      <w:r w:rsidRPr="00314792">
        <w:t xml:space="preserve"> </w:t>
      </w:r>
      <w:r w:rsidR="00032ADB">
        <w:t>`</w:t>
      </w:r>
      <w:r w:rsidRPr="00314792">
        <w:t xml:space="preserve">real </w:t>
      </w:r>
      <w:r>
        <w:t xml:space="preserve">GDP </w:t>
      </w:r>
      <w:r w:rsidRPr="00314792">
        <w:t>in the local econom</w:t>
      </w:r>
      <w:r>
        <w:t>y increases by an estimated $</w:t>
      </w:r>
      <w:r w:rsidR="00311808">
        <w:t>178</w:t>
      </w:r>
      <w:r w:rsidR="00311808" w:rsidRPr="00314792">
        <w:t xml:space="preserve"> </w:t>
      </w:r>
      <w:r w:rsidRPr="00314792">
        <w:t xml:space="preserve">million. The economy then experiences an ongoing net increase in real </w:t>
      </w:r>
      <w:r>
        <w:t>GDP of between $1</w:t>
      </w:r>
      <w:r w:rsidR="00311808">
        <w:t>6</w:t>
      </w:r>
      <w:r>
        <w:t>-</w:t>
      </w:r>
      <w:r w:rsidR="00311808">
        <w:t>2</w:t>
      </w:r>
      <w:r w:rsidR="00913F56">
        <w:t>2</w:t>
      </w:r>
      <w:r w:rsidRPr="00314792">
        <w:t xml:space="preserve"> million annually</w:t>
      </w:r>
      <w:r>
        <w:t xml:space="preserve"> thereafter due to the ongoing influence of productivity gains.</w:t>
      </w:r>
    </w:p>
    <w:p w:rsidR="00E22414" w:rsidRDefault="0020796D" w:rsidP="00061E10">
      <w:pPr>
        <w:pStyle w:val="MJAbulletnormal"/>
      </w:pPr>
      <w:r>
        <w:t>Additional e</w:t>
      </w:r>
      <w:r w:rsidR="00E22414">
        <w:t xml:space="preserve">mployment in the local economy rises from </w:t>
      </w:r>
      <w:r w:rsidR="00311808">
        <w:t>1</w:t>
      </w:r>
      <w:r w:rsidR="00E22414">
        <w:t>6</w:t>
      </w:r>
      <w:r w:rsidR="00BD6F07">
        <w:t>8</w:t>
      </w:r>
      <w:r w:rsidR="00E22414">
        <w:t xml:space="preserve"> </w:t>
      </w:r>
      <w:r w:rsidR="00FD1A19">
        <w:t>full-time equivalent jobs</w:t>
      </w:r>
      <w:r w:rsidR="00E22414">
        <w:t xml:space="preserve"> to a peak of </w:t>
      </w:r>
      <w:r w:rsidR="00311808">
        <w:t>298</w:t>
      </w:r>
      <w:r w:rsidR="00E22414">
        <w:t xml:space="preserve"> jobs at the end of the construction phase</w:t>
      </w:r>
      <w:r>
        <w:t>. This then steadies to around 100 as productivity gains flow on, before</w:t>
      </w:r>
      <w:r w:rsidR="00BD6F07">
        <w:t xml:space="preserve"> </w:t>
      </w:r>
      <w:r w:rsidR="00DF4173">
        <w:t xml:space="preserve">gradually </w:t>
      </w:r>
      <w:r w:rsidR="00BD6F07">
        <w:t>declining to</w:t>
      </w:r>
      <w:r>
        <w:t xml:space="preserve"> </w:t>
      </w:r>
      <w:r w:rsidR="00BD6F07">
        <w:t>75</w:t>
      </w:r>
      <w:r>
        <w:t xml:space="preserve"> extra jobs annually compared to the base case by 2034</w:t>
      </w:r>
      <w:r w:rsidR="00E22414">
        <w:t xml:space="preserve">. We note these are annual net changes relative to the base case and are not additive annually. </w:t>
      </w:r>
    </w:p>
    <w:p w:rsidR="00674CAB" w:rsidRDefault="000E04C3" w:rsidP="00690C73">
      <w:pPr>
        <w:pStyle w:val="MJAheading2"/>
      </w:pPr>
      <w:bookmarkStart w:id="166" w:name="_Toc482099180"/>
      <w:bookmarkStart w:id="167" w:name="_Toc494892282"/>
      <w:r>
        <w:t>Data</w:t>
      </w:r>
      <w:r w:rsidR="002C0815">
        <w:t xml:space="preserve"> and ‘shocks’</w:t>
      </w:r>
      <w:r w:rsidR="00690C73">
        <w:t xml:space="preserve"> for the model</w:t>
      </w:r>
      <w:bookmarkEnd w:id="166"/>
      <w:bookmarkEnd w:id="167"/>
    </w:p>
    <w:p w:rsidR="00E7623F" w:rsidRDefault="00E7623F" w:rsidP="00061E10">
      <w:pPr>
        <w:pStyle w:val="MJAnormal"/>
      </w:pPr>
      <w:r>
        <w:t xml:space="preserve">There are </w:t>
      </w:r>
      <w:r w:rsidR="00BE123F">
        <w:t>two</w:t>
      </w:r>
      <w:r>
        <w:t xml:space="preserve"> s</w:t>
      </w:r>
      <w:r w:rsidR="009E6C29">
        <w:t>h</w:t>
      </w:r>
      <w:r>
        <w:t xml:space="preserve">ocks applied </w:t>
      </w:r>
      <w:r w:rsidR="009E6C29">
        <w:t>to VU TERM:</w:t>
      </w:r>
    </w:p>
    <w:p w:rsidR="00E7623F" w:rsidRDefault="002C1FC2" w:rsidP="00061E10">
      <w:pPr>
        <w:pStyle w:val="MJAbulletnormal"/>
      </w:pPr>
      <w:r>
        <w:t>an investment</w:t>
      </w:r>
      <w:r w:rsidR="00E7623F">
        <w:t xml:space="preserve"> shock to account for the local economy effects of construction expenditures</w:t>
      </w:r>
      <w:r w:rsidR="007C1D5A">
        <w:t>;</w:t>
      </w:r>
    </w:p>
    <w:p w:rsidR="00BE123F" w:rsidRDefault="002C1FC2" w:rsidP="00061E10">
      <w:pPr>
        <w:pStyle w:val="MJAbulletnormal"/>
      </w:pPr>
      <w:r>
        <w:t>a</w:t>
      </w:r>
      <w:r w:rsidR="00E7623F">
        <w:t xml:space="preserve"> productivity shock to account for</w:t>
      </w:r>
      <w:r w:rsidR="00BE123F">
        <w:t>:</w:t>
      </w:r>
      <w:r w:rsidR="00E7623F">
        <w:t xml:space="preserve"> </w:t>
      </w:r>
    </w:p>
    <w:p w:rsidR="00E7623F" w:rsidRDefault="00E7623F" w:rsidP="00904A2B">
      <w:pPr>
        <w:pStyle w:val="MJAbulletnormal"/>
        <w:ind w:left="714"/>
      </w:pPr>
      <w:r>
        <w:t xml:space="preserve">the </w:t>
      </w:r>
      <w:r w:rsidR="00BE123F">
        <w:t>increase in</w:t>
      </w:r>
      <w:r>
        <w:t xml:space="preserve"> farm gate value added and its local economy eff</w:t>
      </w:r>
      <w:r w:rsidR="002C1FC2">
        <w:t>e</w:t>
      </w:r>
      <w:r>
        <w:t>cts</w:t>
      </w:r>
      <w:r w:rsidR="002C1FC2">
        <w:t xml:space="preserve"> that are generated by implementing the off and on farm investments</w:t>
      </w:r>
      <w:r w:rsidR="007C1D5A">
        <w:t xml:space="preserve"> (see table 9)</w:t>
      </w:r>
      <w:r w:rsidR="00BE123F">
        <w:t>; and</w:t>
      </w:r>
    </w:p>
    <w:p w:rsidR="00BE123F" w:rsidRPr="009043CE" w:rsidRDefault="00BE123F" w:rsidP="00904A2B">
      <w:pPr>
        <w:pStyle w:val="MJAbulletnormal"/>
        <w:ind w:left="714"/>
      </w:pPr>
      <w:r>
        <w:t xml:space="preserve">the increase in farm gate value added and its local economy effects that are generated by </w:t>
      </w:r>
      <w:r w:rsidR="007C1D5A">
        <w:t xml:space="preserve">21.8 GL of </w:t>
      </w:r>
      <w:r>
        <w:t>water returned to irrigators under the PIIOP and OFIEP water saving sharing rules.</w:t>
      </w:r>
    </w:p>
    <w:p w:rsidR="00674CAB" w:rsidRDefault="00690C73" w:rsidP="00690C73">
      <w:pPr>
        <w:pStyle w:val="MJAheading4"/>
      </w:pPr>
      <w:r>
        <w:t>Investment</w:t>
      </w:r>
    </w:p>
    <w:p w:rsidR="002C0815" w:rsidRDefault="002C0815" w:rsidP="000E04C3">
      <w:pPr>
        <w:pStyle w:val="MJAbulletnormal"/>
        <w:numPr>
          <w:ilvl w:val="0"/>
          <w:numId w:val="0"/>
        </w:numPr>
      </w:pPr>
      <w:r>
        <w:t xml:space="preserve">Based on analysis developed in the previous sections </w:t>
      </w:r>
      <w:r w:rsidR="009E6C29">
        <w:t xml:space="preserve">VU </w:t>
      </w:r>
      <w:r>
        <w:t>TERM was ‘shocked’ with an increase in local investment (</w:t>
      </w:r>
      <w:r>
        <w:fldChar w:fldCharType="begin"/>
      </w:r>
      <w:r>
        <w:instrText xml:space="preserve"> REF _Ref473294495 \h </w:instrText>
      </w:r>
      <w:r>
        <w:fldChar w:fldCharType="separate"/>
      </w:r>
      <w:r w:rsidR="002F2E38">
        <w:t xml:space="preserve">Table </w:t>
      </w:r>
      <w:r w:rsidR="002F2E38">
        <w:rPr>
          <w:noProof/>
        </w:rPr>
        <w:t>15</w:t>
      </w:r>
      <w:r>
        <w:fldChar w:fldCharType="end"/>
      </w:r>
      <w:r>
        <w:t>)</w:t>
      </w:r>
      <w:r w:rsidR="00674CAB">
        <w:t>.</w:t>
      </w:r>
    </w:p>
    <w:p w:rsidR="00F20D24" w:rsidRDefault="00F20D24" w:rsidP="000E04C3">
      <w:pPr>
        <w:pStyle w:val="MJAbulletnormal"/>
        <w:numPr>
          <w:ilvl w:val="0"/>
          <w:numId w:val="0"/>
        </w:numPr>
      </w:pPr>
    </w:p>
    <w:p w:rsidR="002C0815" w:rsidRDefault="002C0815" w:rsidP="002C0815">
      <w:pPr>
        <w:pStyle w:val="Caption"/>
      </w:pPr>
      <w:bookmarkStart w:id="168" w:name="_Ref473294495"/>
      <w:bookmarkStart w:id="169" w:name="_Toc481964526"/>
      <w:bookmarkStart w:id="170" w:name="_Toc494892444"/>
      <w:r>
        <w:t xml:space="preserve">Table </w:t>
      </w:r>
      <w:fldSimple w:instr=" SEQ Table \* ARABIC ">
        <w:r w:rsidR="002F2E38">
          <w:rPr>
            <w:noProof/>
          </w:rPr>
          <w:t>15</w:t>
        </w:r>
      </w:fldSimple>
      <w:bookmarkEnd w:id="168"/>
      <w:r w:rsidR="00DA0FE1">
        <w:rPr>
          <w:noProof/>
        </w:rPr>
        <w:t>:</w:t>
      </w:r>
      <w:r>
        <w:t xml:space="preserve"> </w:t>
      </w:r>
      <w:r w:rsidR="00462AF0">
        <w:t>Estimate of local investment in MIA (nominal dollars</w:t>
      </w:r>
      <w:r w:rsidR="00484065">
        <w:t xml:space="preserve"> $million</w:t>
      </w:r>
      <w:r w:rsidR="00462AF0">
        <w:t>)</w:t>
      </w:r>
      <w:bookmarkEnd w:id="169"/>
      <w:bookmarkEnd w:id="170"/>
    </w:p>
    <w:tbl>
      <w:tblPr>
        <w:tblStyle w:val="MJATable1"/>
        <w:tblW w:w="0" w:type="auto"/>
        <w:tblLayout w:type="fixed"/>
        <w:tblLook w:val="04A0" w:firstRow="1" w:lastRow="0" w:firstColumn="1" w:lastColumn="0" w:noHBand="0" w:noVBand="1"/>
      </w:tblPr>
      <w:tblGrid>
        <w:gridCol w:w="2036"/>
        <w:gridCol w:w="2036"/>
      </w:tblGrid>
      <w:tr w:rsidR="00462AF0" w:rsidTr="00462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vAlign w:val="top"/>
          </w:tcPr>
          <w:p w:rsidR="00462AF0" w:rsidRPr="0042453A" w:rsidRDefault="00462AF0" w:rsidP="00462AF0">
            <w:r w:rsidRPr="0042453A">
              <w:t>Year</w:t>
            </w:r>
          </w:p>
        </w:tc>
        <w:tc>
          <w:tcPr>
            <w:tcW w:w="2036" w:type="dxa"/>
            <w:vAlign w:val="top"/>
          </w:tcPr>
          <w:p w:rsidR="00462AF0" w:rsidRPr="0042453A" w:rsidRDefault="00462AF0" w:rsidP="00462AF0">
            <w:pPr>
              <w:cnfStyle w:val="100000000000" w:firstRow="1" w:lastRow="0" w:firstColumn="0" w:lastColumn="0" w:oddVBand="0" w:evenVBand="0" w:oddHBand="0" w:evenHBand="0" w:firstRowFirstColumn="0" w:firstRowLastColumn="0" w:lastRowFirstColumn="0" w:lastRowLastColumn="0"/>
              <w:rPr>
                <w:bCs/>
                <w:color w:val="FFFFFF"/>
                <w:szCs w:val="20"/>
              </w:rPr>
            </w:pPr>
            <w:r w:rsidRPr="0042453A">
              <w:rPr>
                <w:bCs/>
                <w:color w:val="FFFFFF"/>
                <w:szCs w:val="20"/>
              </w:rPr>
              <w:t>Within MIA</w:t>
            </w:r>
          </w:p>
        </w:tc>
      </w:tr>
      <w:tr w:rsidR="0011214A" w:rsidTr="00462AF0">
        <w:tc>
          <w:tcPr>
            <w:cnfStyle w:val="001000000000" w:firstRow="0" w:lastRow="0" w:firstColumn="1" w:lastColumn="0" w:oddVBand="0" w:evenVBand="0" w:oddHBand="0" w:evenHBand="0" w:firstRowFirstColumn="0" w:firstRowLastColumn="0" w:lastRowFirstColumn="0" w:lastRowLastColumn="0"/>
            <w:tcW w:w="2036" w:type="dxa"/>
          </w:tcPr>
          <w:p w:rsidR="0011214A" w:rsidRPr="00A85AC3" w:rsidRDefault="0011214A" w:rsidP="00A85AC3">
            <w:pPr>
              <w:pStyle w:val="MJAnormal"/>
              <w:spacing w:before="40" w:after="40"/>
              <w:rPr>
                <w:rFonts w:asciiTheme="minorHAnsi" w:hAnsiTheme="minorHAnsi"/>
              </w:rPr>
            </w:pPr>
            <w:r w:rsidRPr="006A2A8F">
              <w:rPr>
                <w:color w:val="000000"/>
              </w:rPr>
              <w:t>2010 A</w:t>
            </w:r>
          </w:p>
        </w:tc>
        <w:tc>
          <w:tcPr>
            <w:tcW w:w="2036" w:type="dxa"/>
          </w:tcPr>
          <w:p w:rsidR="0011214A" w:rsidRPr="00904A2B" w:rsidRDefault="0011214A" w:rsidP="00A85AC3">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szCs w:val="20"/>
              </w:rPr>
              <w:t>$1.6</w:t>
            </w:r>
          </w:p>
        </w:tc>
      </w:tr>
      <w:tr w:rsidR="0011214A" w:rsidTr="00462AF0">
        <w:tc>
          <w:tcPr>
            <w:cnfStyle w:val="001000000000" w:firstRow="0" w:lastRow="0" w:firstColumn="1" w:lastColumn="0" w:oddVBand="0" w:evenVBand="0" w:oddHBand="0" w:evenHBand="0" w:firstRowFirstColumn="0" w:firstRowLastColumn="0" w:lastRowFirstColumn="0" w:lastRowLastColumn="0"/>
            <w:tcW w:w="2036" w:type="dxa"/>
          </w:tcPr>
          <w:p w:rsidR="0011214A" w:rsidRPr="00A85AC3" w:rsidRDefault="0011214A" w:rsidP="00A85AC3">
            <w:pPr>
              <w:pStyle w:val="MJAnormal"/>
              <w:spacing w:before="40" w:after="40"/>
              <w:rPr>
                <w:rFonts w:asciiTheme="minorHAnsi" w:hAnsiTheme="minorHAnsi"/>
              </w:rPr>
            </w:pPr>
            <w:r w:rsidRPr="006A2A8F">
              <w:rPr>
                <w:color w:val="000000"/>
              </w:rPr>
              <w:t>2011 A</w:t>
            </w:r>
          </w:p>
        </w:tc>
        <w:tc>
          <w:tcPr>
            <w:tcW w:w="2036" w:type="dxa"/>
          </w:tcPr>
          <w:p w:rsidR="0011214A" w:rsidRPr="00904A2B" w:rsidRDefault="0011214A" w:rsidP="00A85AC3">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szCs w:val="20"/>
              </w:rPr>
              <w:t>$1.6</w:t>
            </w:r>
          </w:p>
        </w:tc>
      </w:tr>
      <w:tr w:rsidR="0011214A" w:rsidTr="00462AF0">
        <w:tc>
          <w:tcPr>
            <w:cnfStyle w:val="001000000000" w:firstRow="0" w:lastRow="0" w:firstColumn="1" w:lastColumn="0" w:oddVBand="0" w:evenVBand="0" w:oddHBand="0" w:evenHBand="0" w:firstRowFirstColumn="0" w:firstRowLastColumn="0" w:lastRowFirstColumn="0" w:lastRowLastColumn="0"/>
            <w:tcW w:w="2036" w:type="dxa"/>
          </w:tcPr>
          <w:p w:rsidR="0011214A" w:rsidRPr="00A85AC3" w:rsidRDefault="0011214A" w:rsidP="00A85AC3">
            <w:pPr>
              <w:pStyle w:val="MJAnormal"/>
              <w:spacing w:before="40" w:after="40"/>
              <w:rPr>
                <w:rFonts w:asciiTheme="minorHAnsi" w:hAnsiTheme="minorHAnsi"/>
              </w:rPr>
            </w:pPr>
            <w:r w:rsidRPr="006A2A8F">
              <w:rPr>
                <w:color w:val="000000"/>
              </w:rPr>
              <w:t>2012 A</w:t>
            </w:r>
          </w:p>
        </w:tc>
        <w:tc>
          <w:tcPr>
            <w:tcW w:w="2036" w:type="dxa"/>
          </w:tcPr>
          <w:p w:rsidR="0011214A" w:rsidRPr="00904A2B" w:rsidRDefault="0011214A" w:rsidP="00A85AC3">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szCs w:val="20"/>
              </w:rPr>
              <w:t>$1.5</w:t>
            </w:r>
          </w:p>
        </w:tc>
      </w:tr>
      <w:tr w:rsidR="0011214A" w:rsidTr="00462AF0">
        <w:tc>
          <w:tcPr>
            <w:cnfStyle w:val="001000000000" w:firstRow="0" w:lastRow="0" w:firstColumn="1" w:lastColumn="0" w:oddVBand="0" w:evenVBand="0" w:oddHBand="0" w:evenHBand="0" w:firstRowFirstColumn="0" w:firstRowLastColumn="0" w:lastRowFirstColumn="0" w:lastRowLastColumn="0"/>
            <w:tcW w:w="2036" w:type="dxa"/>
          </w:tcPr>
          <w:p w:rsidR="0011214A" w:rsidRPr="00A85AC3" w:rsidRDefault="0011214A" w:rsidP="00A85AC3">
            <w:pPr>
              <w:pStyle w:val="MJAnormal"/>
              <w:spacing w:before="40" w:after="40"/>
              <w:rPr>
                <w:rFonts w:asciiTheme="minorHAnsi" w:hAnsiTheme="minorHAnsi"/>
              </w:rPr>
            </w:pPr>
            <w:r w:rsidRPr="006A2A8F">
              <w:rPr>
                <w:color w:val="000000"/>
              </w:rPr>
              <w:t>2013 A</w:t>
            </w:r>
          </w:p>
        </w:tc>
        <w:tc>
          <w:tcPr>
            <w:tcW w:w="2036" w:type="dxa"/>
          </w:tcPr>
          <w:p w:rsidR="0011214A" w:rsidRPr="00904A2B" w:rsidRDefault="0011214A" w:rsidP="00A85AC3">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szCs w:val="20"/>
              </w:rPr>
              <w:t>$15.2</w:t>
            </w:r>
          </w:p>
        </w:tc>
      </w:tr>
      <w:tr w:rsidR="0011214A" w:rsidTr="00462AF0">
        <w:tc>
          <w:tcPr>
            <w:cnfStyle w:val="001000000000" w:firstRow="0" w:lastRow="0" w:firstColumn="1" w:lastColumn="0" w:oddVBand="0" w:evenVBand="0" w:oddHBand="0" w:evenHBand="0" w:firstRowFirstColumn="0" w:firstRowLastColumn="0" w:lastRowFirstColumn="0" w:lastRowLastColumn="0"/>
            <w:tcW w:w="2036" w:type="dxa"/>
          </w:tcPr>
          <w:p w:rsidR="0011214A" w:rsidRPr="00A85AC3" w:rsidRDefault="0011214A" w:rsidP="00A85AC3">
            <w:pPr>
              <w:pStyle w:val="MJAnormal"/>
              <w:spacing w:before="40" w:after="40"/>
              <w:rPr>
                <w:rFonts w:asciiTheme="minorHAnsi" w:hAnsiTheme="minorHAnsi"/>
              </w:rPr>
            </w:pPr>
            <w:r w:rsidRPr="006A2A8F">
              <w:rPr>
                <w:color w:val="000000"/>
              </w:rPr>
              <w:t>2014 A</w:t>
            </w:r>
          </w:p>
        </w:tc>
        <w:tc>
          <w:tcPr>
            <w:tcW w:w="2036" w:type="dxa"/>
          </w:tcPr>
          <w:p w:rsidR="0011214A" w:rsidRPr="00904A2B" w:rsidRDefault="0011214A" w:rsidP="00A85AC3">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szCs w:val="20"/>
              </w:rPr>
              <w:t>$13.3</w:t>
            </w:r>
          </w:p>
        </w:tc>
      </w:tr>
      <w:tr w:rsidR="0011214A" w:rsidTr="00462AF0">
        <w:tc>
          <w:tcPr>
            <w:cnfStyle w:val="001000000000" w:firstRow="0" w:lastRow="0" w:firstColumn="1" w:lastColumn="0" w:oddVBand="0" w:evenVBand="0" w:oddHBand="0" w:evenHBand="0" w:firstRowFirstColumn="0" w:firstRowLastColumn="0" w:lastRowFirstColumn="0" w:lastRowLastColumn="0"/>
            <w:tcW w:w="2036" w:type="dxa"/>
          </w:tcPr>
          <w:p w:rsidR="0011214A" w:rsidRPr="00A85AC3" w:rsidRDefault="0011214A" w:rsidP="00A85AC3">
            <w:pPr>
              <w:pStyle w:val="MJAnormal"/>
              <w:spacing w:before="40" w:after="40"/>
              <w:rPr>
                <w:rFonts w:asciiTheme="minorHAnsi" w:hAnsiTheme="minorHAnsi"/>
              </w:rPr>
            </w:pPr>
            <w:r w:rsidRPr="006A2A8F">
              <w:rPr>
                <w:color w:val="000000"/>
              </w:rPr>
              <w:t>2015 A</w:t>
            </w:r>
          </w:p>
        </w:tc>
        <w:tc>
          <w:tcPr>
            <w:tcW w:w="2036" w:type="dxa"/>
          </w:tcPr>
          <w:p w:rsidR="0011214A" w:rsidRPr="00904A2B" w:rsidRDefault="0011214A" w:rsidP="00A85AC3">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szCs w:val="20"/>
              </w:rPr>
              <w:t>$19.8</w:t>
            </w:r>
          </w:p>
        </w:tc>
      </w:tr>
      <w:tr w:rsidR="0011214A" w:rsidTr="00462AF0">
        <w:tc>
          <w:tcPr>
            <w:cnfStyle w:val="001000000000" w:firstRow="0" w:lastRow="0" w:firstColumn="1" w:lastColumn="0" w:oddVBand="0" w:evenVBand="0" w:oddHBand="0" w:evenHBand="0" w:firstRowFirstColumn="0" w:firstRowLastColumn="0" w:lastRowFirstColumn="0" w:lastRowLastColumn="0"/>
            <w:tcW w:w="2036" w:type="dxa"/>
          </w:tcPr>
          <w:p w:rsidR="0011214A" w:rsidRPr="00A85AC3" w:rsidRDefault="0011214A" w:rsidP="00A85AC3">
            <w:pPr>
              <w:pStyle w:val="MJAnormal"/>
              <w:spacing w:before="40" w:after="40"/>
              <w:rPr>
                <w:rFonts w:asciiTheme="minorHAnsi" w:hAnsiTheme="minorHAnsi"/>
              </w:rPr>
            </w:pPr>
            <w:r w:rsidRPr="006A2A8F">
              <w:rPr>
                <w:color w:val="000000"/>
              </w:rPr>
              <w:t>2016 A</w:t>
            </w:r>
          </w:p>
        </w:tc>
        <w:tc>
          <w:tcPr>
            <w:tcW w:w="2036" w:type="dxa"/>
          </w:tcPr>
          <w:p w:rsidR="0011214A" w:rsidRPr="00904A2B" w:rsidRDefault="0011214A" w:rsidP="00A85AC3">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szCs w:val="20"/>
              </w:rPr>
              <w:t>$19.6</w:t>
            </w:r>
          </w:p>
        </w:tc>
      </w:tr>
      <w:tr w:rsidR="0011214A" w:rsidTr="00462AF0">
        <w:tc>
          <w:tcPr>
            <w:cnfStyle w:val="001000000000" w:firstRow="0" w:lastRow="0" w:firstColumn="1" w:lastColumn="0" w:oddVBand="0" w:evenVBand="0" w:oddHBand="0" w:evenHBand="0" w:firstRowFirstColumn="0" w:firstRowLastColumn="0" w:lastRowFirstColumn="0" w:lastRowLastColumn="0"/>
            <w:tcW w:w="2036" w:type="dxa"/>
          </w:tcPr>
          <w:p w:rsidR="0011214A" w:rsidRPr="00A85AC3" w:rsidRDefault="0011214A" w:rsidP="00A85AC3">
            <w:pPr>
              <w:pStyle w:val="MJAnormal"/>
              <w:spacing w:before="40" w:after="40"/>
              <w:rPr>
                <w:rFonts w:asciiTheme="minorHAnsi" w:hAnsiTheme="minorHAnsi"/>
              </w:rPr>
            </w:pPr>
            <w:r w:rsidRPr="006A2A8F">
              <w:rPr>
                <w:color w:val="000000"/>
              </w:rPr>
              <w:t>2017 F</w:t>
            </w:r>
          </w:p>
        </w:tc>
        <w:tc>
          <w:tcPr>
            <w:tcW w:w="2036" w:type="dxa"/>
          </w:tcPr>
          <w:p w:rsidR="0011214A" w:rsidRPr="00904A2B" w:rsidRDefault="0011214A" w:rsidP="00A85AC3">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szCs w:val="20"/>
              </w:rPr>
              <w:t>$35.1</w:t>
            </w:r>
          </w:p>
        </w:tc>
      </w:tr>
      <w:tr w:rsidR="0011214A" w:rsidTr="0020796D">
        <w:tc>
          <w:tcPr>
            <w:cnfStyle w:val="001000000000" w:firstRow="0" w:lastRow="0" w:firstColumn="1" w:lastColumn="0" w:oddVBand="0" w:evenVBand="0" w:oddHBand="0" w:evenHBand="0" w:firstRowFirstColumn="0" w:firstRowLastColumn="0" w:lastRowFirstColumn="0" w:lastRowLastColumn="0"/>
            <w:tcW w:w="2036" w:type="dxa"/>
          </w:tcPr>
          <w:p w:rsidR="0011214A" w:rsidRPr="00A85AC3" w:rsidRDefault="0011214A" w:rsidP="00974B9E">
            <w:pPr>
              <w:pStyle w:val="MJAnormal"/>
              <w:spacing w:before="40" w:after="40"/>
              <w:rPr>
                <w:rFonts w:asciiTheme="minorHAnsi" w:hAnsiTheme="minorHAnsi"/>
              </w:rPr>
            </w:pPr>
            <w:r w:rsidRPr="006A2A8F">
              <w:rPr>
                <w:color w:val="000000"/>
              </w:rPr>
              <w:t>2018 F</w:t>
            </w:r>
          </w:p>
        </w:tc>
        <w:tc>
          <w:tcPr>
            <w:tcW w:w="2036" w:type="dxa"/>
          </w:tcPr>
          <w:p w:rsidR="0011214A" w:rsidRPr="00904A2B" w:rsidRDefault="0011214A" w:rsidP="00974B9E">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szCs w:val="20"/>
              </w:rPr>
              <w:t>$34.2</w:t>
            </w:r>
          </w:p>
        </w:tc>
      </w:tr>
      <w:tr w:rsidR="0011214A" w:rsidTr="00BD6F07">
        <w:tc>
          <w:tcPr>
            <w:cnfStyle w:val="001000000000" w:firstRow="0" w:lastRow="0" w:firstColumn="1" w:lastColumn="0" w:oddVBand="0" w:evenVBand="0" w:oddHBand="0" w:evenHBand="0" w:firstRowFirstColumn="0" w:firstRowLastColumn="0" w:lastRowFirstColumn="0" w:lastRowLastColumn="0"/>
            <w:tcW w:w="2036" w:type="dxa"/>
          </w:tcPr>
          <w:p w:rsidR="0011214A" w:rsidRPr="00BD6F07" w:rsidRDefault="0011214A" w:rsidP="00A85AC3">
            <w:pPr>
              <w:pStyle w:val="MJAnormal"/>
              <w:spacing w:before="40" w:after="40"/>
              <w:rPr>
                <w:rFonts w:asciiTheme="minorHAnsi" w:hAnsiTheme="minorHAnsi"/>
                <w:highlight w:val="cyan"/>
              </w:rPr>
            </w:pPr>
            <w:r w:rsidRPr="00346A79">
              <w:rPr>
                <w:color w:val="000000"/>
              </w:rPr>
              <w:t>2019 F</w:t>
            </w:r>
          </w:p>
        </w:tc>
        <w:tc>
          <w:tcPr>
            <w:tcW w:w="2036" w:type="dxa"/>
          </w:tcPr>
          <w:p w:rsidR="0011214A" w:rsidRPr="00BD6F07" w:rsidRDefault="0011214A" w:rsidP="00A85AC3">
            <w:pPr>
              <w:spacing w:before="40" w:after="40" w:line="280" w:lineRule="atLeast"/>
              <w:cnfStyle w:val="000000000000" w:firstRow="0" w:lastRow="0" w:firstColumn="0" w:lastColumn="0" w:oddVBand="0" w:evenVBand="0" w:oddHBand="0" w:evenHBand="0" w:firstRowFirstColumn="0" w:firstRowLastColumn="0" w:lastRowFirstColumn="0" w:lastRowLastColumn="0"/>
              <w:rPr>
                <w:color w:val="000000"/>
                <w:highlight w:val="cyan"/>
              </w:rPr>
            </w:pPr>
            <w:r>
              <w:rPr>
                <w:color w:val="000000"/>
                <w:szCs w:val="20"/>
              </w:rPr>
              <w:t>$33.4</w:t>
            </w:r>
          </w:p>
        </w:tc>
      </w:tr>
    </w:tbl>
    <w:p w:rsidR="008126E7" w:rsidRDefault="008126E7" w:rsidP="00385502">
      <w:pPr>
        <w:pStyle w:val="MJAsource"/>
      </w:pPr>
      <w:r>
        <w:t>A: Actual: F: Forecast</w:t>
      </w:r>
    </w:p>
    <w:p w:rsidR="00462AF0" w:rsidRDefault="00462AF0" w:rsidP="00462AF0">
      <w:pPr>
        <w:pStyle w:val="MJAsource"/>
      </w:pPr>
      <w:r>
        <w:t>Source: Marsden Jacob estimates</w:t>
      </w:r>
    </w:p>
    <w:p w:rsidR="004462CD" w:rsidRDefault="00674CAB" w:rsidP="00BD6F07">
      <w:pPr>
        <w:pStyle w:val="MJAbulletnormal"/>
        <w:numPr>
          <w:ilvl w:val="0"/>
          <w:numId w:val="0"/>
        </w:numPr>
        <w:spacing w:before="360"/>
      </w:pPr>
      <w:r>
        <w:t xml:space="preserve">In </w:t>
      </w:r>
      <w:r>
        <w:fldChar w:fldCharType="begin"/>
      </w:r>
      <w:r>
        <w:instrText xml:space="preserve"> REF _Ref474917531 \h </w:instrText>
      </w:r>
      <w:r>
        <w:fldChar w:fldCharType="separate"/>
      </w:r>
      <w:r w:rsidR="002F2E38">
        <w:t xml:space="preserve">Table </w:t>
      </w:r>
      <w:r w:rsidR="002F2E38">
        <w:rPr>
          <w:noProof/>
        </w:rPr>
        <w:t>16</w:t>
      </w:r>
      <w:r>
        <w:fldChar w:fldCharType="end"/>
      </w:r>
      <w:r>
        <w:t xml:space="preserve"> the specific capital stock shocks for the lower Murrumbidgee region industries in the </w:t>
      </w:r>
      <w:r w:rsidR="009E6C29">
        <w:t xml:space="preserve">VU </w:t>
      </w:r>
      <w:r>
        <w:t>TERM are summarised.</w:t>
      </w:r>
      <w:r w:rsidR="00485105">
        <w:t xml:space="preserve"> Note in </w:t>
      </w:r>
      <w:r w:rsidR="009E6C29">
        <w:t xml:space="preserve">VU </w:t>
      </w:r>
      <w:r w:rsidR="00485105">
        <w:t xml:space="preserve">TERM is shocked by the change in aggregate expenditure rather than first round value added. This is because </w:t>
      </w:r>
      <w:r w:rsidR="009E6C29">
        <w:t xml:space="preserve">VU </w:t>
      </w:r>
      <w:r w:rsidR="00485105">
        <w:t>TERM internally estimates value added after accounting for all changes on factor input prices and their subsequent flow on effects through the economy.</w:t>
      </w:r>
      <w:r w:rsidR="004F3331" w:rsidRPr="004F3331">
        <w:t xml:space="preserve"> </w:t>
      </w:r>
      <w:r w:rsidR="004F3331">
        <w:t xml:space="preserve">The shocks to the model differ in proportion to actual capital expenditures in order to account for real wage impacts of the investments on the local economy.  </w:t>
      </w:r>
    </w:p>
    <w:p w:rsidR="00674CAB" w:rsidRPr="001046EC" w:rsidRDefault="00674CAB" w:rsidP="00BD6F07">
      <w:pPr>
        <w:pStyle w:val="Caption"/>
        <w:spacing w:before="360"/>
      </w:pPr>
      <w:bookmarkStart w:id="171" w:name="_Ref474917531"/>
      <w:bookmarkStart w:id="172" w:name="_Toc481964527"/>
      <w:bookmarkStart w:id="173" w:name="_Toc494892445"/>
      <w:r w:rsidRPr="001046EC">
        <w:t xml:space="preserve">Table </w:t>
      </w:r>
      <w:fldSimple w:instr=" SEQ Table \* ARABIC ">
        <w:r w:rsidR="002F2E38" w:rsidRPr="001046EC">
          <w:rPr>
            <w:noProof/>
          </w:rPr>
          <w:t>16</w:t>
        </w:r>
      </w:fldSimple>
      <w:bookmarkEnd w:id="171"/>
      <w:r w:rsidR="00DA0FE1" w:rsidRPr="001046EC">
        <w:rPr>
          <w:noProof/>
        </w:rPr>
        <w:t>:</w:t>
      </w:r>
      <w:r w:rsidRPr="001046EC">
        <w:t xml:space="preserve"> </w:t>
      </w:r>
      <w:r w:rsidR="00663CF7" w:rsidRPr="001046EC">
        <w:t xml:space="preserve">VU </w:t>
      </w:r>
      <w:r w:rsidRPr="001046EC">
        <w:t>TERM Annual investment ‘shocks’ (dollars million)</w:t>
      </w:r>
      <w:bookmarkEnd w:id="172"/>
      <w:bookmarkEnd w:id="173"/>
    </w:p>
    <w:tbl>
      <w:tblPr>
        <w:tblStyle w:val="MJATable1"/>
        <w:tblW w:w="0" w:type="auto"/>
        <w:tblLook w:val="04A0" w:firstRow="1" w:lastRow="0" w:firstColumn="1" w:lastColumn="0" w:noHBand="0" w:noVBand="1"/>
      </w:tblPr>
      <w:tblGrid>
        <w:gridCol w:w="1587"/>
        <w:gridCol w:w="1151"/>
        <w:gridCol w:w="1152"/>
        <w:gridCol w:w="1152"/>
        <w:gridCol w:w="1152"/>
        <w:gridCol w:w="1155"/>
        <w:gridCol w:w="1155"/>
      </w:tblGrid>
      <w:tr w:rsidR="00674CAB" w:rsidRPr="001046EC" w:rsidTr="00674C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rsidR="00674CAB" w:rsidRPr="001046EC" w:rsidRDefault="00674CAB" w:rsidP="000E04C3">
            <w:pPr>
              <w:pStyle w:val="MJAbulletnormal"/>
              <w:numPr>
                <w:ilvl w:val="0"/>
                <w:numId w:val="0"/>
              </w:numPr>
              <w:rPr>
                <w:rFonts w:asciiTheme="minorHAnsi" w:hAnsiTheme="minorHAnsi" w:cstheme="minorHAnsi"/>
              </w:rPr>
            </w:pPr>
            <w:r w:rsidRPr="001046EC">
              <w:rPr>
                <w:rFonts w:asciiTheme="minorHAnsi" w:hAnsiTheme="minorHAnsi" w:cstheme="minorHAnsi"/>
              </w:rPr>
              <w:t>Industry</w:t>
            </w:r>
          </w:p>
        </w:tc>
        <w:tc>
          <w:tcPr>
            <w:tcW w:w="1186" w:type="dxa"/>
          </w:tcPr>
          <w:p w:rsidR="00674CAB" w:rsidRPr="001046EC" w:rsidRDefault="00674CAB" w:rsidP="000E04C3">
            <w:pPr>
              <w:pStyle w:val="MJAbulletnormal"/>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046EC">
              <w:rPr>
                <w:rFonts w:asciiTheme="minorHAnsi" w:hAnsiTheme="minorHAnsi" w:cstheme="minorHAnsi"/>
              </w:rPr>
              <w:t>2013</w:t>
            </w:r>
          </w:p>
        </w:tc>
        <w:tc>
          <w:tcPr>
            <w:tcW w:w="1186" w:type="dxa"/>
          </w:tcPr>
          <w:p w:rsidR="00674CAB" w:rsidRPr="001046EC" w:rsidRDefault="00674CAB" w:rsidP="000E04C3">
            <w:pPr>
              <w:pStyle w:val="MJAbulletnormal"/>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046EC">
              <w:rPr>
                <w:rFonts w:asciiTheme="minorHAnsi" w:hAnsiTheme="minorHAnsi" w:cstheme="minorHAnsi"/>
              </w:rPr>
              <w:t>2014</w:t>
            </w:r>
          </w:p>
        </w:tc>
        <w:tc>
          <w:tcPr>
            <w:tcW w:w="1186" w:type="dxa"/>
          </w:tcPr>
          <w:p w:rsidR="00674CAB" w:rsidRPr="001046EC" w:rsidRDefault="00674CAB" w:rsidP="000E04C3">
            <w:pPr>
              <w:pStyle w:val="MJAbulletnormal"/>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046EC">
              <w:rPr>
                <w:rFonts w:asciiTheme="minorHAnsi" w:hAnsiTheme="minorHAnsi" w:cstheme="minorHAnsi"/>
              </w:rPr>
              <w:t>2015</w:t>
            </w:r>
          </w:p>
        </w:tc>
        <w:tc>
          <w:tcPr>
            <w:tcW w:w="1186" w:type="dxa"/>
          </w:tcPr>
          <w:p w:rsidR="00674CAB" w:rsidRPr="001046EC" w:rsidRDefault="00674CAB" w:rsidP="000E04C3">
            <w:pPr>
              <w:pStyle w:val="MJAbulletnormal"/>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046EC">
              <w:rPr>
                <w:rFonts w:asciiTheme="minorHAnsi" w:hAnsiTheme="minorHAnsi" w:cstheme="minorHAnsi"/>
              </w:rPr>
              <w:t>2016</w:t>
            </w:r>
          </w:p>
        </w:tc>
        <w:tc>
          <w:tcPr>
            <w:tcW w:w="1186" w:type="dxa"/>
          </w:tcPr>
          <w:p w:rsidR="00674CAB" w:rsidRPr="001046EC" w:rsidRDefault="00674CAB" w:rsidP="000E04C3">
            <w:pPr>
              <w:pStyle w:val="MJAbulletnormal"/>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046EC">
              <w:rPr>
                <w:rFonts w:asciiTheme="minorHAnsi" w:hAnsiTheme="minorHAnsi" w:cstheme="minorHAnsi"/>
              </w:rPr>
              <w:t>2017</w:t>
            </w:r>
          </w:p>
        </w:tc>
        <w:tc>
          <w:tcPr>
            <w:tcW w:w="1186" w:type="dxa"/>
          </w:tcPr>
          <w:p w:rsidR="00674CAB" w:rsidRPr="001046EC" w:rsidRDefault="00674CAB" w:rsidP="000E04C3">
            <w:pPr>
              <w:pStyle w:val="MJAbulletnormal"/>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046EC">
              <w:rPr>
                <w:rFonts w:asciiTheme="minorHAnsi" w:hAnsiTheme="minorHAnsi" w:cstheme="minorHAnsi"/>
              </w:rPr>
              <w:t>2018</w:t>
            </w:r>
          </w:p>
        </w:tc>
      </w:tr>
      <w:tr w:rsidR="00BE54A8" w:rsidRPr="001046EC" w:rsidTr="00BE54A8">
        <w:tc>
          <w:tcPr>
            <w:cnfStyle w:val="001000000000" w:firstRow="0" w:lastRow="0" w:firstColumn="1" w:lastColumn="0" w:oddVBand="0" w:evenVBand="0" w:oddHBand="0" w:evenHBand="0" w:firstRowFirstColumn="0" w:firstRowLastColumn="0" w:lastRowFirstColumn="0" w:lastRowLastColumn="0"/>
            <w:tcW w:w="1604" w:type="dxa"/>
            <w:vAlign w:val="bottom"/>
          </w:tcPr>
          <w:p w:rsidR="00BE54A8" w:rsidRPr="001046EC" w:rsidRDefault="00BE54A8" w:rsidP="00674CAB">
            <w:pPr>
              <w:pStyle w:val="MJATableRow"/>
              <w:rPr>
                <w:rFonts w:eastAsia="Times New Roman"/>
              </w:rPr>
            </w:pPr>
            <w:r w:rsidRPr="001046EC">
              <w:rPr>
                <w:rFonts w:eastAsia="Times New Roman"/>
              </w:rPr>
              <w:t>Wheat</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1.97</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1.4</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1.38</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1.37</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19.21</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18.74</w:t>
            </w:r>
          </w:p>
        </w:tc>
      </w:tr>
      <w:tr w:rsidR="00BE54A8" w:rsidRPr="001046EC" w:rsidTr="00BE54A8">
        <w:tc>
          <w:tcPr>
            <w:cnfStyle w:val="001000000000" w:firstRow="0" w:lastRow="0" w:firstColumn="1" w:lastColumn="0" w:oddVBand="0" w:evenVBand="0" w:oddHBand="0" w:evenHBand="0" w:firstRowFirstColumn="0" w:firstRowLastColumn="0" w:lastRowFirstColumn="0" w:lastRowLastColumn="0"/>
            <w:tcW w:w="1604" w:type="dxa"/>
            <w:vAlign w:val="bottom"/>
          </w:tcPr>
          <w:p w:rsidR="00BE54A8" w:rsidRPr="001046EC" w:rsidRDefault="00BE54A8" w:rsidP="00674CAB">
            <w:pPr>
              <w:pStyle w:val="MJATableRow"/>
              <w:rPr>
                <w:rFonts w:eastAsia="Times New Roman"/>
              </w:rPr>
            </w:pPr>
            <w:r w:rsidRPr="001046EC">
              <w:rPr>
                <w:rFonts w:eastAsia="Times New Roman"/>
              </w:rPr>
              <w:t>OthCerealHay</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0.99</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0.7</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0.69</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0.68</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9.6</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9.37</w:t>
            </w:r>
          </w:p>
        </w:tc>
      </w:tr>
      <w:tr w:rsidR="00BE54A8" w:rsidRPr="001046EC" w:rsidTr="00BE54A8">
        <w:tc>
          <w:tcPr>
            <w:cnfStyle w:val="001000000000" w:firstRow="0" w:lastRow="0" w:firstColumn="1" w:lastColumn="0" w:oddVBand="0" w:evenVBand="0" w:oddHBand="0" w:evenHBand="0" w:firstRowFirstColumn="0" w:firstRowLastColumn="0" w:lastRowFirstColumn="0" w:lastRowLastColumn="0"/>
            <w:tcW w:w="1604" w:type="dxa"/>
            <w:vAlign w:val="bottom"/>
          </w:tcPr>
          <w:p w:rsidR="00BE54A8" w:rsidRPr="001046EC" w:rsidRDefault="00BE54A8" w:rsidP="00674CAB">
            <w:pPr>
              <w:pStyle w:val="MJATableRow"/>
              <w:rPr>
                <w:rFonts w:eastAsia="Times New Roman"/>
              </w:rPr>
            </w:pPr>
            <w:r w:rsidRPr="001046EC">
              <w:rPr>
                <w:rFonts w:eastAsia="Times New Roman"/>
              </w:rPr>
              <w:t>Rice</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6.91</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4.91</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4.84</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4.79</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67.23</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65.59</w:t>
            </w:r>
          </w:p>
        </w:tc>
      </w:tr>
      <w:tr w:rsidR="00BE54A8" w:rsidRPr="001046EC" w:rsidTr="00BE54A8">
        <w:tc>
          <w:tcPr>
            <w:cnfStyle w:val="001000000000" w:firstRow="0" w:lastRow="0" w:firstColumn="1" w:lastColumn="0" w:oddVBand="0" w:evenVBand="0" w:oddHBand="0" w:evenHBand="0" w:firstRowFirstColumn="0" w:firstRowLastColumn="0" w:lastRowFirstColumn="0" w:lastRowLastColumn="0"/>
            <w:tcW w:w="1604" w:type="dxa"/>
            <w:vAlign w:val="bottom"/>
          </w:tcPr>
          <w:p w:rsidR="00BE54A8" w:rsidRPr="001046EC" w:rsidRDefault="00BE54A8" w:rsidP="00674CAB">
            <w:pPr>
              <w:pStyle w:val="MJATableRow"/>
              <w:rPr>
                <w:rFonts w:eastAsia="Times New Roman"/>
              </w:rPr>
            </w:pPr>
            <w:r w:rsidRPr="001046EC">
              <w:rPr>
                <w:rFonts w:eastAsia="Times New Roman"/>
              </w:rPr>
              <w:t>Cotton</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rPr>
                <w:color w:val="000000"/>
              </w:rPr>
            </w:pPr>
            <w:r w:rsidRPr="001046EC">
              <w:rPr>
                <w:color w:val="000000"/>
              </w:rPr>
              <w:t>0.31</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rPr>
                <w:color w:val="000000"/>
              </w:rPr>
            </w:pPr>
            <w:r w:rsidRPr="001046EC">
              <w:rPr>
                <w:color w:val="000000"/>
              </w:rPr>
              <w:t>0.22</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rPr>
                <w:color w:val="000000"/>
              </w:rPr>
            </w:pPr>
            <w:r w:rsidRPr="001046EC">
              <w:rPr>
                <w:color w:val="000000"/>
              </w:rPr>
              <w:t>0.22</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rPr>
                <w:color w:val="000000"/>
              </w:rPr>
            </w:pPr>
            <w:r w:rsidRPr="001046EC">
              <w:rPr>
                <w:color w:val="000000"/>
              </w:rPr>
              <w:t>0.22</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rPr>
                <w:color w:val="000000"/>
              </w:rPr>
            </w:pPr>
            <w:r w:rsidRPr="001046EC">
              <w:rPr>
                <w:color w:val="000000"/>
              </w:rPr>
              <w:t>3.03</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rPr>
                <w:color w:val="000000"/>
              </w:rPr>
            </w:pPr>
            <w:r w:rsidRPr="001046EC">
              <w:rPr>
                <w:color w:val="000000"/>
              </w:rPr>
              <w:t>2.96</w:t>
            </w:r>
          </w:p>
        </w:tc>
      </w:tr>
      <w:tr w:rsidR="00BE54A8" w:rsidRPr="001046EC" w:rsidTr="00BE54A8">
        <w:tc>
          <w:tcPr>
            <w:cnfStyle w:val="001000000000" w:firstRow="0" w:lastRow="0" w:firstColumn="1" w:lastColumn="0" w:oddVBand="0" w:evenVBand="0" w:oddHBand="0" w:evenHBand="0" w:firstRowFirstColumn="0" w:firstRowLastColumn="0" w:lastRowFirstColumn="0" w:lastRowLastColumn="0"/>
            <w:tcW w:w="1604" w:type="dxa"/>
            <w:vAlign w:val="bottom"/>
          </w:tcPr>
          <w:p w:rsidR="00BE54A8" w:rsidRPr="001046EC" w:rsidRDefault="00BE54A8" w:rsidP="00674CAB">
            <w:pPr>
              <w:pStyle w:val="MJATableRow"/>
              <w:rPr>
                <w:rFonts w:eastAsia="Times New Roman"/>
              </w:rPr>
            </w:pPr>
            <w:r w:rsidRPr="001046EC">
              <w:rPr>
                <w:rFonts w:eastAsia="Times New Roman"/>
              </w:rPr>
              <w:t>Grapes</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1.19</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0.84</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0.83</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0.82</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11.56</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11.28</w:t>
            </w:r>
          </w:p>
        </w:tc>
      </w:tr>
      <w:tr w:rsidR="00BE54A8" w:rsidRPr="001046EC" w:rsidTr="00A503B9">
        <w:tc>
          <w:tcPr>
            <w:cnfStyle w:val="001000000000" w:firstRow="0" w:lastRow="0" w:firstColumn="1" w:lastColumn="0" w:oddVBand="0" w:evenVBand="0" w:oddHBand="0" w:evenHBand="0" w:firstRowFirstColumn="0" w:firstRowLastColumn="0" w:lastRowFirstColumn="0" w:lastRowLastColumn="0"/>
            <w:tcW w:w="1604" w:type="dxa"/>
            <w:vAlign w:val="bottom"/>
          </w:tcPr>
          <w:p w:rsidR="00BE54A8" w:rsidRPr="001046EC" w:rsidRDefault="00BE54A8" w:rsidP="00674CAB">
            <w:pPr>
              <w:pStyle w:val="MJATableRow"/>
              <w:rPr>
                <w:rFonts w:eastAsia="Times New Roman"/>
              </w:rPr>
            </w:pPr>
            <w:r w:rsidRPr="001046EC">
              <w:rPr>
                <w:rFonts w:eastAsia="Times New Roman"/>
              </w:rPr>
              <w:t>Fruit</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0.78</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0.55</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0.54</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0.54</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7.57</w:t>
            </w:r>
          </w:p>
        </w:tc>
        <w:tc>
          <w:tcPr>
            <w:tcW w:w="1186" w:type="dxa"/>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pPr>
            <w:r w:rsidRPr="001046EC">
              <w:t>7.39</w:t>
            </w:r>
          </w:p>
        </w:tc>
      </w:tr>
      <w:tr w:rsidR="00BE54A8" w:rsidRPr="001046EC" w:rsidTr="00A503B9">
        <w:tc>
          <w:tcPr>
            <w:cnfStyle w:val="001000000000" w:firstRow="0" w:lastRow="0" w:firstColumn="1" w:lastColumn="0" w:oddVBand="0" w:evenVBand="0" w:oddHBand="0" w:evenHBand="0" w:firstRowFirstColumn="0" w:firstRowLastColumn="0" w:lastRowFirstColumn="0" w:lastRowLastColumn="0"/>
            <w:tcW w:w="1604" w:type="dxa"/>
            <w:tcBorders>
              <w:bottom w:val="single" w:sz="4" w:space="0" w:color="auto"/>
            </w:tcBorders>
            <w:vAlign w:val="bottom"/>
          </w:tcPr>
          <w:p w:rsidR="00BE54A8" w:rsidRPr="001046EC" w:rsidRDefault="00BE54A8" w:rsidP="00674CAB">
            <w:pPr>
              <w:pStyle w:val="MJATableRow"/>
              <w:rPr>
                <w:rFonts w:eastAsia="Times New Roman"/>
              </w:rPr>
            </w:pPr>
            <w:r w:rsidRPr="001046EC">
              <w:rPr>
                <w:rFonts w:eastAsia="Times New Roman"/>
              </w:rPr>
              <w:t>Almonds</w:t>
            </w:r>
          </w:p>
        </w:tc>
        <w:tc>
          <w:tcPr>
            <w:tcW w:w="1186" w:type="dxa"/>
            <w:tcBorders>
              <w:bottom w:val="single" w:sz="4" w:space="0" w:color="auto"/>
            </w:tcBorders>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rPr>
                <w:color w:val="000000"/>
              </w:rPr>
            </w:pPr>
            <w:r w:rsidRPr="001046EC">
              <w:rPr>
                <w:color w:val="000000"/>
              </w:rPr>
              <w:t>0.19</w:t>
            </w:r>
          </w:p>
        </w:tc>
        <w:tc>
          <w:tcPr>
            <w:tcW w:w="1186" w:type="dxa"/>
            <w:tcBorders>
              <w:bottom w:val="single" w:sz="4" w:space="0" w:color="auto"/>
            </w:tcBorders>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rPr>
                <w:color w:val="000000"/>
              </w:rPr>
            </w:pPr>
            <w:r w:rsidRPr="001046EC">
              <w:rPr>
                <w:color w:val="000000"/>
              </w:rPr>
              <w:t>0.14</w:t>
            </w:r>
          </w:p>
        </w:tc>
        <w:tc>
          <w:tcPr>
            <w:tcW w:w="1186" w:type="dxa"/>
            <w:tcBorders>
              <w:bottom w:val="single" w:sz="4" w:space="0" w:color="auto"/>
            </w:tcBorders>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rPr>
                <w:color w:val="000000"/>
              </w:rPr>
            </w:pPr>
            <w:r w:rsidRPr="001046EC">
              <w:rPr>
                <w:color w:val="000000"/>
              </w:rPr>
              <w:t>0.14</w:t>
            </w:r>
          </w:p>
        </w:tc>
        <w:tc>
          <w:tcPr>
            <w:tcW w:w="1186" w:type="dxa"/>
            <w:tcBorders>
              <w:bottom w:val="single" w:sz="4" w:space="0" w:color="auto"/>
            </w:tcBorders>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rPr>
                <w:color w:val="000000"/>
              </w:rPr>
            </w:pPr>
            <w:r w:rsidRPr="001046EC">
              <w:rPr>
                <w:color w:val="000000"/>
              </w:rPr>
              <w:t>0.13</w:t>
            </w:r>
          </w:p>
        </w:tc>
        <w:tc>
          <w:tcPr>
            <w:tcW w:w="1186" w:type="dxa"/>
            <w:tcBorders>
              <w:bottom w:val="single" w:sz="4" w:space="0" w:color="auto"/>
            </w:tcBorders>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rPr>
                <w:color w:val="000000"/>
              </w:rPr>
            </w:pPr>
            <w:r w:rsidRPr="001046EC">
              <w:rPr>
                <w:color w:val="000000"/>
              </w:rPr>
              <w:t>1.89</w:t>
            </w:r>
          </w:p>
        </w:tc>
        <w:tc>
          <w:tcPr>
            <w:tcW w:w="1186" w:type="dxa"/>
            <w:tcBorders>
              <w:bottom w:val="single" w:sz="4" w:space="0" w:color="auto"/>
            </w:tcBorders>
          </w:tcPr>
          <w:p w:rsidR="00BE54A8" w:rsidRPr="001046EC" w:rsidRDefault="00BE54A8" w:rsidP="00BE54A8">
            <w:pPr>
              <w:pStyle w:val="MJATableRow"/>
              <w:cnfStyle w:val="000000000000" w:firstRow="0" w:lastRow="0" w:firstColumn="0" w:lastColumn="0" w:oddVBand="0" w:evenVBand="0" w:oddHBand="0" w:evenHBand="0" w:firstRowFirstColumn="0" w:firstRowLastColumn="0" w:lastRowFirstColumn="0" w:lastRowLastColumn="0"/>
              <w:rPr>
                <w:color w:val="000000"/>
              </w:rPr>
            </w:pPr>
            <w:r w:rsidRPr="001046EC">
              <w:rPr>
                <w:color w:val="000000"/>
              </w:rPr>
              <w:t>1.85</w:t>
            </w:r>
          </w:p>
        </w:tc>
      </w:tr>
    </w:tbl>
    <w:p w:rsidR="00620FA8" w:rsidRDefault="00620FA8" w:rsidP="00620FA8">
      <w:pPr>
        <w:pStyle w:val="MJAsource"/>
      </w:pPr>
      <w:r w:rsidRPr="001046EC">
        <w:t>Source: Victoria University</w:t>
      </w:r>
    </w:p>
    <w:p w:rsidR="00EC5946" w:rsidRPr="00EC5946" w:rsidRDefault="00EC5946" w:rsidP="00BD6F07">
      <w:pPr>
        <w:pStyle w:val="BalloonText"/>
      </w:pPr>
    </w:p>
    <w:p w:rsidR="00690C73" w:rsidRDefault="00690C73" w:rsidP="00690C73">
      <w:pPr>
        <w:pStyle w:val="MJAheading4"/>
      </w:pPr>
      <w:r>
        <w:t xml:space="preserve">Productivity </w:t>
      </w:r>
    </w:p>
    <w:p w:rsidR="00632728" w:rsidRDefault="003C16D9" w:rsidP="000E04C3">
      <w:pPr>
        <w:pStyle w:val="MJAbulletnormal"/>
        <w:numPr>
          <w:ilvl w:val="0"/>
          <w:numId w:val="0"/>
        </w:numPr>
      </w:pPr>
      <w:r>
        <w:t>VU TERM was also ‘shocked’ to account for the ongoing productivity for the affected farm businesses as reported in the previous section</w:t>
      </w:r>
      <w:r w:rsidR="00B973A0">
        <w:t xml:space="preserve"> these include the change in on farm productivity and the effect of returned water savings</w:t>
      </w:r>
      <w:r>
        <w:t xml:space="preserve">. </w:t>
      </w:r>
      <w:r w:rsidR="00B973A0">
        <w:t>T</w:t>
      </w:r>
      <w:r w:rsidR="00C37776" w:rsidRPr="00EF6D85">
        <w:t xml:space="preserve">hey assume all farms with productivity gains in 2018 continue to achieve those gains and </w:t>
      </w:r>
      <w:r w:rsidR="00BE123F">
        <w:t xml:space="preserve">the MIA receives </w:t>
      </w:r>
      <w:r w:rsidR="001B7E65">
        <w:t>64</w:t>
      </w:r>
      <w:r w:rsidR="00BE123F">
        <w:t xml:space="preserve"> per cent </w:t>
      </w:r>
      <w:r w:rsidR="00BD6F07">
        <w:t>allocations</w:t>
      </w:r>
      <w:r w:rsidR="00144A42">
        <w:t xml:space="preserve"> per annum (based on </w:t>
      </w:r>
      <w:r w:rsidR="00BE123F">
        <w:t xml:space="preserve">LTAAY </w:t>
      </w:r>
      <w:r w:rsidR="00144A42">
        <w:t>conversion factor)</w:t>
      </w:r>
      <w:r w:rsidR="00BE123F">
        <w:t xml:space="preserve"> </w:t>
      </w:r>
      <w:r w:rsidR="00C37776" w:rsidRPr="00EF6D85">
        <w:t>between 2018 and 20</w:t>
      </w:r>
      <w:r w:rsidR="00C938A6" w:rsidRPr="00EF6D85">
        <w:t>33</w:t>
      </w:r>
      <w:r w:rsidR="00C37776" w:rsidRPr="00EF6D85">
        <w:t xml:space="preserve">. </w:t>
      </w:r>
      <w:r w:rsidR="005A2A63" w:rsidRPr="00EF6D85">
        <w:t xml:space="preserve">The consequent annual productivity shocks for </w:t>
      </w:r>
      <w:r w:rsidR="00663CF7">
        <w:t xml:space="preserve">VU </w:t>
      </w:r>
      <w:r w:rsidR="005A2A63" w:rsidRPr="00EF6D85">
        <w:t xml:space="preserve">TERM industries are summarised in </w:t>
      </w:r>
      <w:r w:rsidR="00DA0FE1">
        <w:fldChar w:fldCharType="begin"/>
      </w:r>
      <w:r w:rsidR="00DA0FE1">
        <w:instrText xml:space="preserve"> REF _Ref477449242 \h </w:instrText>
      </w:r>
      <w:r w:rsidR="00DA0FE1">
        <w:fldChar w:fldCharType="separate"/>
      </w:r>
      <w:r w:rsidR="002F2E38">
        <w:t xml:space="preserve">Table </w:t>
      </w:r>
      <w:r w:rsidR="002F2E38">
        <w:rPr>
          <w:noProof/>
        </w:rPr>
        <w:t>17</w:t>
      </w:r>
      <w:r w:rsidR="00DA0FE1">
        <w:fldChar w:fldCharType="end"/>
      </w:r>
      <w:r w:rsidR="005A2A63" w:rsidRPr="00EF6D85">
        <w:t>.</w:t>
      </w:r>
    </w:p>
    <w:p w:rsidR="00620FA8" w:rsidRPr="00EF6D85" w:rsidRDefault="00DA0FE1" w:rsidP="00DA0FE1">
      <w:pPr>
        <w:pStyle w:val="Caption"/>
      </w:pPr>
      <w:bookmarkStart w:id="174" w:name="_Ref477449242"/>
      <w:bookmarkStart w:id="175" w:name="_Toc481964529"/>
      <w:bookmarkStart w:id="176" w:name="_Toc494892446"/>
      <w:r>
        <w:t xml:space="preserve">Table </w:t>
      </w:r>
      <w:fldSimple w:instr=" SEQ Table \* ARABIC ">
        <w:r w:rsidR="002F2E38">
          <w:rPr>
            <w:noProof/>
          </w:rPr>
          <w:t>17</w:t>
        </w:r>
      </w:fldSimple>
      <w:bookmarkEnd w:id="174"/>
      <w:r>
        <w:t xml:space="preserve">: </w:t>
      </w:r>
      <w:r w:rsidR="00663CF7">
        <w:t xml:space="preserve">VU </w:t>
      </w:r>
      <w:r w:rsidR="00632728" w:rsidRPr="00EF6D85">
        <w:t>TERM industry productivity shocks</w:t>
      </w:r>
      <w:bookmarkEnd w:id="175"/>
      <w:bookmarkEnd w:id="176"/>
    </w:p>
    <w:tbl>
      <w:tblPr>
        <w:tblStyle w:val="MJATable1"/>
        <w:tblW w:w="0" w:type="auto"/>
        <w:tblLook w:val="04A0" w:firstRow="1" w:lastRow="0" w:firstColumn="1" w:lastColumn="0" w:noHBand="0" w:noVBand="1"/>
      </w:tblPr>
      <w:tblGrid>
        <w:gridCol w:w="2844"/>
        <w:gridCol w:w="2837"/>
        <w:gridCol w:w="2823"/>
      </w:tblGrid>
      <w:tr w:rsidR="00620FA8" w:rsidRPr="00EF6D85" w:rsidTr="00620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Pr>
          <w:p w:rsidR="00620FA8" w:rsidRPr="00EF6D85" w:rsidRDefault="00620FA8" w:rsidP="000E04C3">
            <w:pPr>
              <w:pStyle w:val="MJAbulletnormal"/>
              <w:numPr>
                <w:ilvl w:val="0"/>
                <w:numId w:val="0"/>
              </w:numPr>
            </w:pPr>
          </w:p>
        </w:tc>
        <w:tc>
          <w:tcPr>
            <w:tcW w:w="2907" w:type="dxa"/>
          </w:tcPr>
          <w:p w:rsidR="00620FA8" w:rsidRPr="00EF6D85" w:rsidRDefault="00632728" w:rsidP="000E04C3">
            <w:pPr>
              <w:pStyle w:val="MJAbulletnormal"/>
              <w:numPr>
                <w:ilvl w:val="0"/>
                <w:numId w:val="0"/>
              </w:numPr>
              <w:cnfStyle w:val="100000000000" w:firstRow="1" w:lastRow="0" w:firstColumn="0" w:lastColumn="0" w:oddVBand="0" w:evenVBand="0" w:oddHBand="0" w:evenHBand="0" w:firstRowFirstColumn="0" w:firstRowLastColumn="0" w:lastRowFirstColumn="0" w:lastRowLastColumn="0"/>
            </w:pPr>
            <w:r w:rsidRPr="00EF6D85">
              <w:t>Percentage change#</w:t>
            </w:r>
          </w:p>
        </w:tc>
        <w:tc>
          <w:tcPr>
            <w:tcW w:w="2907" w:type="dxa"/>
          </w:tcPr>
          <w:p w:rsidR="00620FA8" w:rsidRPr="00EF6D85" w:rsidRDefault="00632728" w:rsidP="000E04C3">
            <w:pPr>
              <w:pStyle w:val="MJAbulletnormal"/>
              <w:numPr>
                <w:ilvl w:val="0"/>
                <w:numId w:val="0"/>
              </w:numPr>
              <w:cnfStyle w:val="100000000000" w:firstRow="1" w:lastRow="0" w:firstColumn="0" w:lastColumn="0" w:oddVBand="0" w:evenVBand="0" w:oddHBand="0" w:evenHBand="0" w:firstRowFirstColumn="0" w:firstRowLastColumn="0" w:lastRowFirstColumn="0" w:lastRowLastColumn="0"/>
            </w:pPr>
            <w:r w:rsidRPr="00EF6D85">
              <w:t>$ million</w:t>
            </w:r>
          </w:p>
        </w:tc>
      </w:tr>
      <w:tr w:rsidR="00620FA8" w:rsidRPr="00EF6D85" w:rsidTr="00620FA8">
        <w:tc>
          <w:tcPr>
            <w:cnfStyle w:val="001000000000" w:firstRow="0" w:lastRow="0" w:firstColumn="1" w:lastColumn="0" w:oddVBand="0" w:evenVBand="0" w:oddHBand="0" w:evenHBand="0" w:firstRowFirstColumn="0" w:firstRowLastColumn="0" w:lastRowFirstColumn="0" w:lastRowLastColumn="0"/>
            <w:tcW w:w="2906" w:type="dxa"/>
          </w:tcPr>
          <w:p w:rsidR="00620FA8" w:rsidRPr="00EF6D85" w:rsidRDefault="00620FA8" w:rsidP="00632728">
            <w:pPr>
              <w:pStyle w:val="MJATableRow"/>
            </w:pPr>
            <w:r w:rsidRPr="00EF6D85">
              <w:t>Wheat</w:t>
            </w:r>
          </w:p>
        </w:tc>
        <w:tc>
          <w:tcPr>
            <w:tcW w:w="2907" w:type="dxa"/>
          </w:tcPr>
          <w:p w:rsidR="00620FA8" w:rsidRPr="00EF6D85" w:rsidRDefault="00632728" w:rsidP="00632728">
            <w:pPr>
              <w:pStyle w:val="MJATableRow"/>
              <w:cnfStyle w:val="000000000000" w:firstRow="0" w:lastRow="0" w:firstColumn="0" w:lastColumn="0" w:oddVBand="0" w:evenVBand="0" w:oddHBand="0" w:evenHBand="0" w:firstRowFirstColumn="0" w:firstRowLastColumn="0" w:lastRowFirstColumn="0" w:lastRowLastColumn="0"/>
            </w:pPr>
            <w:r w:rsidRPr="00EF6D85">
              <w:t>-0.05</w:t>
            </w:r>
          </w:p>
        </w:tc>
        <w:tc>
          <w:tcPr>
            <w:tcW w:w="2907" w:type="dxa"/>
          </w:tcPr>
          <w:p w:rsidR="00620FA8" w:rsidRPr="00EF6D85" w:rsidRDefault="00632728" w:rsidP="00632728">
            <w:pPr>
              <w:pStyle w:val="MJATableRow"/>
              <w:cnfStyle w:val="000000000000" w:firstRow="0" w:lastRow="0" w:firstColumn="0" w:lastColumn="0" w:oddVBand="0" w:evenVBand="0" w:oddHBand="0" w:evenHBand="0" w:firstRowFirstColumn="0" w:firstRowLastColumn="0" w:lastRowFirstColumn="0" w:lastRowLastColumn="0"/>
            </w:pPr>
            <w:r w:rsidRPr="00EF6D85">
              <w:t>$0.05</w:t>
            </w:r>
          </w:p>
        </w:tc>
      </w:tr>
      <w:tr w:rsidR="00620FA8" w:rsidRPr="00EF6D85" w:rsidTr="00620FA8">
        <w:tc>
          <w:tcPr>
            <w:cnfStyle w:val="001000000000" w:firstRow="0" w:lastRow="0" w:firstColumn="1" w:lastColumn="0" w:oddVBand="0" w:evenVBand="0" w:oddHBand="0" w:evenHBand="0" w:firstRowFirstColumn="0" w:firstRowLastColumn="0" w:lastRowFirstColumn="0" w:lastRowLastColumn="0"/>
            <w:tcW w:w="2906" w:type="dxa"/>
          </w:tcPr>
          <w:p w:rsidR="00620FA8" w:rsidRPr="00EF6D85" w:rsidRDefault="00620FA8" w:rsidP="00632728">
            <w:pPr>
              <w:pStyle w:val="MJATableRow"/>
            </w:pPr>
            <w:r w:rsidRPr="00EF6D85">
              <w:t>Rice</w:t>
            </w:r>
          </w:p>
        </w:tc>
        <w:tc>
          <w:tcPr>
            <w:tcW w:w="2907" w:type="dxa"/>
          </w:tcPr>
          <w:p w:rsidR="00620FA8" w:rsidRPr="00EF6D85" w:rsidRDefault="00620FA8" w:rsidP="00632728">
            <w:pPr>
              <w:pStyle w:val="MJATableRow"/>
              <w:cnfStyle w:val="000000000000" w:firstRow="0" w:lastRow="0" w:firstColumn="0" w:lastColumn="0" w:oddVBand="0" w:evenVBand="0" w:oddHBand="0" w:evenHBand="0" w:firstRowFirstColumn="0" w:firstRowLastColumn="0" w:lastRowFirstColumn="0" w:lastRowLastColumn="0"/>
            </w:pPr>
            <w:r w:rsidRPr="00EF6D85">
              <w:t>-0.33</w:t>
            </w:r>
          </w:p>
        </w:tc>
        <w:tc>
          <w:tcPr>
            <w:tcW w:w="2907" w:type="dxa"/>
          </w:tcPr>
          <w:p w:rsidR="00620FA8" w:rsidRPr="00EF6D85" w:rsidRDefault="00632728" w:rsidP="00632728">
            <w:pPr>
              <w:pStyle w:val="MJATableRow"/>
              <w:cnfStyle w:val="000000000000" w:firstRow="0" w:lastRow="0" w:firstColumn="0" w:lastColumn="0" w:oddVBand="0" w:evenVBand="0" w:oddHBand="0" w:evenHBand="0" w:firstRowFirstColumn="0" w:firstRowLastColumn="0" w:lastRowFirstColumn="0" w:lastRowLastColumn="0"/>
            </w:pPr>
            <w:r w:rsidRPr="00EF6D85">
              <w:t>$0.21</w:t>
            </w:r>
          </w:p>
        </w:tc>
      </w:tr>
      <w:tr w:rsidR="00620FA8" w:rsidRPr="00EF6D85" w:rsidTr="00620FA8">
        <w:tc>
          <w:tcPr>
            <w:cnfStyle w:val="001000000000" w:firstRow="0" w:lastRow="0" w:firstColumn="1" w:lastColumn="0" w:oddVBand="0" w:evenVBand="0" w:oddHBand="0" w:evenHBand="0" w:firstRowFirstColumn="0" w:firstRowLastColumn="0" w:lastRowFirstColumn="0" w:lastRowLastColumn="0"/>
            <w:tcW w:w="2906" w:type="dxa"/>
          </w:tcPr>
          <w:p w:rsidR="00620FA8" w:rsidRPr="00EF6D85" w:rsidRDefault="00620FA8" w:rsidP="00632728">
            <w:pPr>
              <w:pStyle w:val="MJATableRow"/>
            </w:pPr>
            <w:r w:rsidRPr="00EF6D85">
              <w:t>Cotton</w:t>
            </w:r>
          </w:p>
        </w:tc>
        <w:tc>
          <w:tcPr>
            <w:tcW w:w="2907" w:type="dxa"/>
          </w:tcPr>
          <w:p w:rsidR="00620FA8" w:rsidRPr="00EF6D85" w:rsidRDefault="00620FA8" w:rsidP="00632728">
            <w:pPr>
              <w:pStyle w:val="MJATableRow"/>
              <w:cnfStyle w:val="000000000000" w:firstRow="0" w:lastRow="0" w:firstColumn="0" w:lastColumn="0" w:oddVBand="0" w:evenVBand="0" w:oddHBand="0" w:evenHBand="0" w:firstRowFirstColumn="0" w:firstRowLastColumn="0" w:lastRowFirstColumn="0" w:lastRowLastColumn="0"/>
            </w:pPr>
            <w:r w:rsidRPr="00EF6D85">
              <w:t>-0.17</w:t>
            </w:r>
          </w:p>
        </w:tc>
        <w:tc>
          <w:tcPr>
            <w:tcW w:w="2907" w:type="dxa"/>
          </w:tcPr>
          <w:p w:rsidR="00620FA8" w:rsidRPr="00EF6D85" w:rsidRDefault="00632728" w:rsidP="00632728">
            <w:pPr>
              <w:pStyle w:val="MJATableRow"/>
              <w:cnfStyle w:val="000000000000" w:firstRow="0" w:lastRow="0" w:firstColumn="0" w:lastColumn="0" w:oddVBand="0" w:evenVBand="0" w:oddHBand="0" w:evenHBand="0" w:firstRowFirstColumn="0" w:firstRowLastColumn="0" w:lastRowFirstColumn="0" w:lastRowLastColumn="0"/>
            </w:pPr>
            <w:r w:rsidRPr="00EF6D85">
              <w:t>$0.02</w:t>
            </w:r>
          </w:p>
        </w:tc>
      </w:tr>
      <w:tr w:rsidR="00620FA8" w:rsidRPr="00EF6D85" w:rsidTr="00BE54A8">
        <w:tc>
          <w:tcPr>
            <w:cnfStyle w:val="001000000000" w:firstRow="0" w:lastRow="0" w:firstColumn="1" w:lastColumn="0" w:oddVBand="0" w:evenVBand="0" w:oddHBand="0" w:evenHBand="0" w:firstRowFirstColumn="0" w:firstRowLastColumn="0" w:lastRowFirstColumn="0" w:lastRowLastColumn="0"/>
            <w:tcW w:w="2906" w:type="dxa"/>
          </w:tcPr>
          <w:p w:rsidR="00620FA8" w:rsidRPr="00EF6D85" w:rsidRDefault="00620FA8" w:rsidP="00632728">
            <w:pPr>
              <w:pStyle w:val="MJATableRow"/>
            </w:pPr>
            <w:r w:rsidRPr="00EF6D85">
              <w:t>OthCerealHay</w:t>
            </w:r>
            <w:r w:rsidRPr="00EF6D85">
              <w:tab/>
            </w:r>
          </w:p>
        </w:tc>
        <w:tc>
          <w:tcPr>
            <w:tcW w:w="2907" w:type="dxa"/>
          </w:tcPr>
          <w:p w:rsidR="00620FA8" w:rsidRPr="00EF6D85" w:rsidRDefault="00620FA8" w:rsidP="00632728">
            <w:pPr>
              <w:pStyle w:val="MJATableRow"/>
              <w:cnfStyle w:val="000000000000" w:firstRow="0" w:lastRow="0" w:firstColumn="0" w:lastColumn="0" w:oddVBand="0" w:evenVBand="0" w:oddHBand="0" w:evenHBand="0" w:firstRowFirstColumn="0" w:firstRowLastColumn="0" w:lastRowFirstColumn="0" w:lastRowLastColumn="0"/>
            </w:pPr>
            <w:r w:rsidRPr="00EF6D85">
              <w:t>-0.17</w:t>
            </w:r>
          </w:p>
        </w:tc>
        <w:tc>
          <w:tcPr>
            <w:tcW w:w="2907" w:type="dxa"/>
          </w:tcPr>
          <w:p w:rsidR="00620FA8" w:rsidRPr="00EF6D85" w:rsidRDefault="00632728" w:rsidP="00632728">
            <w:pPr>
              <w:pStyle w:val="MJATableRow"/>
              <w:cnfStyle w:val="000000000000" w:firstRow="0" w:lastRow="0" w:firstColumn="0" w:lastColumn="0" w:oddVBand="0" w:evenVBand="0" w:oddHBand="0" w:evenHBand="0" w:firstRowFirstColumn="0" w:firstRowLastColumn="0" w:lastRowFirstColumn="0" w:lastRowLastColumn="0"/>
            </w:pPr>
            <w:r w:rsidRPr="00EF6D85">
              <w:t>$0.01</w:t>
            </w:r>
          </w:p>
        </w:tc>
      </w:tr>
      <w:tr w:rsidR="00620FA8" w:rsidRPr="00EF6D85" w:rsidTr="00620FA8">
        <w:tc>
          <w:tcPr>
            <w:cnfStyle w:val="001000000000" w:firstRow="0" w:lastRow="0" w:firstColumn="1" w:lastColumn="0" w:oddVBand="0" w:evenVBand="0" w:oddHBand="0" w:evenHBand="0" w:firstRowFirstColumn="0" w:firstRowLastColumn="0" w:lastRowFirstColumn="0" w:lastRowLastColumn="0"/>
            <w:tcW w:w="2906" w:type="dxa"/>
          </w:tcPr>
          <w:p w:rsidR="00620FA8" w:rsidRPr="00EF6D85" w:rsidRDefault="00620FA8" w:rsidP="00632728">
            <w:pPr>
              <w:pStyle w:val="MJATableRow"/>
            </w:pPr>
            <w:r w:rsidRPr="00EF6D85">
              <w:t xml:space="preserve">Grapes </w:t>
            </w:r>
          </w:p>
        </w:tc>
        <w:tc>
          <w:tcPr>
            <w:tcW w:w="2907" w:type="dxa"/>
          </w:tcPr>
          <w:p w:rsidR="00620FA8" w:rsidRPr="00EF6D85" w:rsidRDefault="00620FA8" w:rsidP="00632728">
            <w:pPr>
              <w:pStyle w:val="MJATableRow"/>
              <w:cnfStyle w:val="000000000000" w:firstRow="0" w:lastRow="0" w:firstColumn="0" w:lastColumn="0" w:oddVBand="0" w:evenVBand="0" w:oddHBand="0" w:evenHBand="0" w:firstRowFirstColumn="0" w:firstRowLastColumn="0" w:lastRowFirstColumn="0" w:lastRowLastColumn="0"/>
            </w:pPr>
            <w:r w:rsidRPr="00EF6D85">
              <w:t xml:space="preserve">-0.30 </w:t>
            </w:r>
          </w:p>
        </w:tc>
        <w:tc>
          <w:tcPr>
            <w:tcW w:w="2907" w:type="dxa"/>
          </w:tcPr>
          <w:p w:rsidR="00620FA8" w:rsidRPr="00EF6D85" w:rsidRDefault="00632728" w:rsidP="00632728">
            <w:pPr>
              <w:pStyle w:val="MJATableRow"/>
              <w:cnfStyle w:val="000000000000" w:firstRow="0" w:lastRow="0" w:firstColumn="0" w:lastColumn="0" w:oddVBand="0" w:evenVBand="0" w:oddHBand="0" w:evenHBand="0" w:firstRowFirstColumn="0" w:firstRowLastColumn="0" w:lastRowFirstColumn="0" w:lastRowLastColumn="0"/>
            </w:pPr>
            <w:r w:rsidRPr="00EF6D85">
              <w:t>$0.11</w:t>
            </w:r>
          </w:p>
        </w:tc>
      </w:tr>
      <w:tr w:rsidR="00620FA8" w:rsidRPr="00EF6D85" w:rsidTr="00620FA8">
        <w:tc>
          <w:tcPr>
            <w:cnfStyle w:val="001000000000" w:firstRow="0" w:lastRow="0" w:firstColumn="1" w:lastColumn="0" w:oddVBand="0" w:evenVBand="0" w:oddHBand="0" w:evenHBand="0" w:firstRowFirstColumn="0" w:firstRowLastColumn="0" w:lastRowFirstColumn="0" w:lastRowLastColumn="0"/>
            <w:tcW w:w="2906" w:type="dxa"/>
            <w:tcBorders>
              <w:bottom w:val="single" w:sz="4" w:space="0" w:color="auto"/>
            </w:tcBorders>
          </w:tcPr>
          <w:p w:rsidR="00620FA8" w:rsidRPr="00EF6D85" w:rsidRDefault="00620FA8" w:rsidP="00632728">
            <w:pPr>
              <w:pStyle w:val="MJATableRow"/>
            </w:pPr>
            <w:r w:rsidRPr="00EF6D85">
              <w:t>Fruit</w:t>
            </w:r>
            <w:r w:rsidRPr="00EF6D85">
              <w:tab/>
            </w:r>
          </w:p>
        </w:tc>
        <w:tc>
          <w:tcPr>
            <w:tcW w:w="2907" w:type="dxa"/>
            <w:tcBorders>
              <w:bottom w:val="single" w:sz="4" w:space="0" w:color="auto"/>
            </w:tcBorders>
          </w:tcPr>
          <w:p w:rsidR="00620FA8" w:rsidRPr="00EF6D85" w:rsidRDefault="00620FA8" w:rsidP="00632728">
            <w:pPr>
              <w:pStyle w:val="MJATableRow"/>
              <w:cnfStyle w:val="000000000000" w:firstRow="0" w:lastRow="0" w:firstColumn="0" w:lastColumn="0" w:oddVBand="0" w:evenVBand="0" w:oddHBand="0" w:evenHBand="0" w:firstRowFirstColumn="0" w:firstRowLastColumn="0" w:lastRowFirstColumn="0" w:lastRowLastColumn="0"/>
            </w:pPr>
            <w:r w:rsidRPr="00EF6D85">
              <w:t>-0.30</w:t>
            </w:r>
          </w:p>
        </w:tc>
        <w:tc>
          <w:tcPr>
            <w:tcW w:w="2907" w:type="dxa"/>
            <w:tcBorders>
              <w:bottom w:val="single" w:sz="4" w:space="0" w:color="auto"/>
            </w:tcBorders>
          </w:tcPr>
          <w:p w:rsidR="00620FA8" w:rsidRPr="00EF6D85" w:rsidRDefault="00632728" w:rsidP="00632728">
            <w:pPr>
              <w:pStyle w:val="MJATableRow"/>
              <w:cnfStyle w:val="000000000000" w:firstRow="0" w:lastRow="0" w:firstColumn="0" w:lastColumn="0" w:oddVBand="0" w:evenVBand="0" w:oddHBand="0" w:evenHBand="0" w:firstRowFirstColumn="0" w:firstRowLastColumn="0" w:lastRowFirstColumn="0" w:lastRowLastColumn="0"/>
            </w:pPr>
            <w:r w:rsidRPr="00EF6D85">
              <w:t>$0.2</w:t>
            </w:r>
          </w:p>
        </w:tc>
      </w:tr>
    </w:tbl>
    <w:p w:rsidR="00632728" w:rsidRPr="00EF6D85" w:rsidRDefault="00632728" w:rsidP="00632728">
      <w:pPr>
        <w:pStyle w:val="MJAsource"/>
      </w:pPr>
      <w:r w:rsidRPr="00EF6D85">
        <w:t># negative implies improvement, as input requirement per unit of output falls</w:t>
      </w:r>
    </w:p>
    <w:p w:rsidR="00620FA8" w:rsidRPr="00EF6D85" w:rsidRDefault="00620FA8" w:rsidP="00620FA8">
      <w:pPr>
        <w:pStyle w:val="MJAsource"/>
      </w:pPr>
      <w:r w:rsidRPr="00EF6D85">
        <w:t xml:space="preserve">Source: Victoria University </w:t>
      </w:r>
    </w:p>
    <w:p w:rsidR="00620FA8" w:rsidRPr="00EF6D85" w:rsidRDefault="00620FA8" w:rsidP="00620FA8">
      <w:pPr>
        <w:pStyle w:val="MJAnormal"/>
      </w:pPr>
      <w:r w:rsidRPr="00EF6D85">
        <w:t>In rice and other cereals &amp; hay production, the shocks are larger, reflecting improvements in water productivity. Since rice is more water-intensive than other crops, the overall productivity gains are larger.</w:t>
      </w:r>
    </w:p>
    <w:p w:rsidR="000E04C3" w:rsidRDefault="002C0815" w:rsidP="002C0815">
      <w:pPr>
        <w:pStyle w:val="MJAheading2"/>
      </w:pPr>
      <w:bookmarkStart w:id="177" w:name="_Toc490602105"/>
      <w:bookmarkStart w:id="178" w:name="_Toc482099181"/>
      <w:bookmarkStart w:id="179" w:name="_Toc494892283"/>
      <w:bookmarkEnd w:id="177"/>
      <w:r>
        <w:t xml:space="preserve">Modelling </w:t>
      </w:r>
      <w:r w:rsidR="00690C73">
        <w:t>issues</w:t>
      </w:r>
      <w:bookmarkEnd w:id="178"/>
      <w:bookmarkEnd w:id="179"/>
      <w:r>
        <w:t xml:space="preserve"> </w:t>
      </w:r>
    </w:p>
    <w:p w:rsidR="00B85769" w:rsidRDefault="00B85769" w:rsidP="00B85769">
      <w:pPr>
        <w:pStyle w:val="MJAheading3"/>
      </w:pPr>
      <w:r>
        <w:t xml:space="preserve">Accounting for labour markets responses </w:t>
      </w:r>
    </w:p>
    <w:p w:rsidR="00B85769" w:rsidRPr="00620FA8" w:rsidRDefault="00B85769" w:rsidP="00620FA8">
      <w:pPr>
        <w:pStyle w:val="MJAnormal"/>
      </w:pPr>
      <w:r w:rsidRPr="00620FA8">
        <w:t>In the model</w:t>
      </w:r>
      <w:r w:rsidR="00C938A6">
        <w:t>,</w:t>
      </w:r>
      <w:r w:rsidRPr="00620FA8">
        <w:t xml:space="preserve"> normal labour market responses (effects on wages and movement of labour) are softened to account for the short time period of construction, likely stickiness in the local labour market and local employment protocols established by Murrumbidgee Irrigation.</w:t>
      </w:r>
    </w:p>
    <w:p w:rsidR="00B85769" w:rsidRPr="00620FA8" w:rsidRDefault="00B85769" w:rsidP="00620FA8">
      <w:pPr>
        <w:pStyle w:val="MJAnormal"/>
      </w:pPr>
      <w:r w:rsidRPr="00620FA8">
        <w:t xml:space="preserve">The net result is labour utilisation in the local economy increases and more wages are retained within the region.  </w:t>
      </w:r>
    </w:p>
    <w:p w:rsidR="00620FA8" w:rsidRDefault="00620FA8" w:rsidP="00BD12E2">
      <w:pPr>
        <w:pStyle w:val="MJAnormal"/>
      </w:pPr>
      <w:r w:rsidRPr="00620FA8">
        <w:t>The</w:t>
      </w:r>
      <w:r w:rsidR="00B22377">
        <w:t xml:space="preserve"> extra</w:t>
      </w:r>
      <w:r w:rsidRPr="00620FA8">
        <w:t xml:space="preserve"> </w:t>
      </w:r>
      <w:r w:rsidR="00EC5946">
        <w:t>29</w:t>
      </w:r>
      <w:r w:rsidR="00144A42">
        <w:t xml:space="preserve">8 </w:t>
      </w:r>
      <w:r w:rsidR="00B22377" w:rsidRPr="00620FA8">
        <w:t xml:space="preserve">jobs </w:t>
      </w:r>
      <w:r w:rsidRPr="00620FA8">
        <w:t>peak coincides with the peak in project-specific investments in 20</w:t>
      </w:r>
      <w:r w:rsidR="00B22377">
        <w:t>1</w:t>
      </w:r>
      <w:r w:rsidR="00720A48">
        <w:t>9</w:t>
      </w:r>
      <w:r w:rsidR="00144A42">
        <w:t xml:space="preserve"> </w:t>
      </w:r>
      <w:r w:rsidRPr="00620FA8">
        <w:t>and</w:t>
      </w:r>
      <w:r w:rsidR="00B22377">
        <w:t xml:space="preserve"> then falls to around 100 extra jobs on an ongoing basis</w:t>
      </w:r>
      <w:r w:rsidRPr="00620FA8">
        <w:t>.</w:t>
      </w:r>
      <w:r w:rsidR="00426036">
        <w:t xml:space="preserve"> In net percentage terms</w:t>
      </w:r>
      <w:r w:rsidR="00050C38">
        <w:t>,</w:t>
      </w:r>
      <w:r w:rsidR="00426036">
        <w:t xml:space="preserve"> regional employment increases to just over 1.4 per cent at the peak of the con</w:t>
      </w:r>
      <w:r w:rsidR="007036D9">
        <w:t>s</w:t>
      </w:r>
      <w:r w:rsidR="00426036">
        <w:t>truction phase (</w:t>
      </w:r>
      <w:r w:rsidR="00050C38">
        <w:fldChar w:fldCharType="begin"/>
      </w:r>
      <w:r w:rsidR="00050C38">
        <w:instrText xml:space="preserve"> REF _Ref490601846 \h </w:instrText>
      </w:r>
      <w:r w:rsidR="00050C38">
        <w:fldChar w:fldCharType="separate"/>
      </w:r>
      <w:r w:rsidR="002F2E38" w:rsidRPr="00426036">
        <w:t xml:space="preserve">Figure </w:t>
      </w:r>
      <w:r w:rsidR="002F2E38">
        <w:rPr>
          <w:noProof/>
        </w:rPr>
        <w:t>7</w:t>
      </w:r>
      <w:r w:rsidR="00050C38">
        <w:fldChar w:fldCharType="end"/>
      </w:r>
      <w:r w:rsidR="00426036">
        <w:t>)</w:t>
      </w:r>
      <w:r w:rsidR="005A2A63">
        <w:t>.</w:t>
      </w:r>
    </w:p>
    <w:p w:rsidR="00FC46AF" w:rsidRDefault="00FC46AF" w:rsidP="00144A42">
      <w:pPr>
        <w:pStyle w:val="Caption"/>
        <w:spacing w:before="360"/>
      </w:pPr>
      <w:bookmarkStart w:id="180" w:name="_Ref490601846"/>
      <w:bookmarkStart w:id="181" w:name="_Toc494892421"/>
      <w:r w:rsidRPr="00426036">
        <w:t xml:space="preserve">Figure </w:t>
      </w:r>
      <w:r w:rsidRPr="00421B4A">
        <w:fldChar w:fldCharType="begin"/>
      </w:r>
      <w:r w:rsidRPr="00426036">
        <w:instrText xml:space="preserve"> SEQ Figure \* ARABIC </w:instrText>
      </w:r>
      <w:r w:rsidRPr="00421B4A">
        <w:fldChar w:fldCharType="separate"/>
      </w:r>
      <w:r w:rsidR="002F2E38">
        <w:rPr>
          <w:noProof/>
        </w:rPr>
        <w:t>7</w:t>
      </w:r>
      <w:r w:rsidRPr="00421B4A">
        <w:rPr>
          <w:noProof/>
        </w:rPr>
        <w:fldChar w:fldCharType="end"/>
      </w:r>
      <w:bookmarkEnd w:id="180"/>
      <w:r w:rsidRPr="00421B4A">
        <w:t xml:space="preserve">: </w:t>
      </w:r>
      <w:r w:rsidR="00B11587">
        <w:t xml:space="preserve">Change in </w:t>
      </w:r>
      <w:r w:rsidRPr="00421B4A">
        <w:t xml:space="preserve">Murrumbidgee employment </w:t>
      </w:r>
      <w:r w:rsidR="00B11587">
        <w:t>(</w:t>
      </w:r>
      <w:r w:rsidRPr="00421B4A">
        <w:t>per</w:t>
      </w:r>
      <w:r w:rsidR="00B11587">
        <w:t xml:space="preserve"> </w:t>
      </w:r>
      <w:r w:rsidRPr="00421B4A">
        <w:t>cent</w:t>
      </w:r>
      <w:r w:rsidR="00B11587">
        <w:t>)</w:t>
      </w:r>
      <w:r w:rsidRPr="00421B4A">
        <w:t xml:space="preserve"> </w:t>
      </w:r>
      <w:r w:rsidR="00B11587">
        <w:t>due to investments</w:t>
      </w:r>
      <w:bookmarkEnd w:id="181"/>
    </w:p>
    <w:p w:rsidR="004F701B" w:rsidRPr="004F701B" w:rsidRDefault="004F701B" w:rsidP="00144A42">
      <w:r w:rsidRPr="004F701B">
        <w:rPr>
          <w:noProof/>
        </w:rPr>
        <w:drawing>
          <wp:inline distT="0" distB="0" distL="0" distR="0" wp14:anchorId="76998252" wp14:editId="7A298C28">
            <wp:extent cx="5340559" cy="249348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40559" cy="2493480"/>
                    </a:xfrm>
                    <a:prstGeom prst="rect">
                      <a:avLst/>
                    </a:prstGeom>
                  </pic:spPr>
                </pic:pic>
              </a:graphicData>
            </a:graphic>
          </wp:inline>
        </w:drawing>
      </w:r>
    </w:p>
    <w:p w:rsidR="00620FA8" w:rsidRDefault="00620FA8" w:rsidP="00620FA8">
      <w:pPr>
        <w:pStyle w:val="MJAsource"/>
      </w:pPr>
      <w:r>
        <w:t>Source: Victoria University</w:t>
      </w:r>
    </w:p>
    <w:p w:rsidR="00620FA8" w:rsidRDefault="00620FA8" w:rsidP="00620FA8">
      <w:pPr>
        <w:pStyle w:val="MJAheading3"/>
      </w:pPr>
      <w:r>
        <w:t>Avoiding double counting</w:t>
      </w:r>
    </w:p>
    <w:p w:rsidR="00690C73" w:rsidRPr="00FD3BB4" w:rsidRDefault="00620FA8" w:rsidP="00FD3BB4">
      <w:pPr>
        <w:pStyle w:val="MJAnormal"/>
      </w:pPr>
      <w:r w:rsidRPr="00061E10">
        <w:t>Some of the productivity gains are treated in VU</w:t>
      </w:r>
      <w:r w:rsidR="009E6C29">
        <w:t xml:space="preserve"> </w:t>
      </w:r>
      <w:r w:rsidRPr="00061E10">
        <w:t>TERM as factor quantity gains. This is because investment adds to the capital stock of each sector (the model includes a linkage between capital stocks in year t, and capital stocks plus investment in year t-1). Therefore, the ascribed productivity gains in the model should be somewhat smaller than the overall productivity gains so as not to double count.</w:t>
      </w:r>
    </w:p>
    <w:p w:rsidR="002C0815" w:rsidRDefault="002C0815" w:rsidP="002C0815">
      <w:pPr>
        <w:pStyle w:val="MJAheading2"/>
      </w:pPr>
      <w:bookmarkStart w:id="182" w:name="_Toc482099182"/>
      <w:bookmarkStart w:id="183" w:name="_Toc494892284"/>
      <w:r>
        <w:t>Results</w:t>
      </w:r>
      <w:bookmarkEnd w:id="182"/>
      <w:bookmarkEnd w:id="183"/>
      <w:r>
        <w:t xml:space="preserve"> </w:t>
      </w:r>
    </w:p>
    <w:p w:rsidR="00B85769" w:rsidRDefault="00B85769" w:rsidP="00BD12E2">
      <w:pPr>
        <w:pStyle w:val="MJAnormal"/>
      </w:pPr>
      <w:r>
        <w:t xml:space="preserve">The total economic </w:t>
      </w:r>
      <w:r w:rsidR="00347830">
        <w:t>effect</w:t>
      </w:r>
      <w:r>
        <w:t xml:space="preserve"> of the investment can be considered by t</w:t>
      </w:r>
      <w:r w:rsidR="00426036">
        <w:t>wo</w:t>
      </w:r>
      <w:r>
        <w:t xml:space="preserve"> key indicators</w:t>
      </w:r>
      <w:r w:rsidR="00426036">
        <w:t>:</w:t>
      </w:r>
    </w:p>
    <w:p w:rsidR="00B85769" w:rsidRPr="00314792" w:rsidRDefault="00314792" w:rsidP="00B85769">
      <w:pPr>
        <w:pStyle w:val="MJAbulletnormal"/>
      </w:pPr>
      <w:r>
        <w:t>r</w:t>
      </w:r>
      <w:r w:rsidR="00B85769" w:rsidRPr="00314792">
        <w:t>eal GDP —</w:t>
      </w:r>
      <w:r w:rsidRPr="00314792">
        <w:t xml:space="preserve"> the value of all final goods and services produced in the regions – including consumption, investment and other government expenditures and exports and excluded imports — with inflation accounted for;</w:t>
      </w:r>
    </w:p>
    <w:p w:rsidR="00B85769" w:rsidRPr="00314792" w:rsidRDefault="00314792" w:rsidP="00B85769">
      <w:pPr>
        <w:pStyle w:val="MJAbulletnormal"/>
      </w:pPr>
      <w:r>
        <w:t>e</w:t>
      </w:r>
      <w:r w:rsidR="00B85769" w:rsidRPr="00314792">
        <w:t xml:space="preserve">mployment — </w:t>
      </w:r>
      <w:r w:rsidRPr="00314792">
        <w:t>number of full time equivalent jobs created.</w:t>
      </w:r>
    </w:p>
    <w:p w:rsidR="00C37776" w:rsidRDefault="00B85769" w:rsidP="00BD12E2">
      <w:pPr>
        <w:pStyle w:val="MJAnormal"/>
      </w:pPr>
      <w:r>
        <w:t xml:space="preserve">We report all results as net change relative to the counterfactual (the </w:t>
      </w:r>
      <w:r w:rsidR="00314792">
        <w:t xml:space="preserve">equilibrium </w:t>
      </w:r>
      <w:r>
        <w:t>state of the model prior to the construction and productivity ‘shocks’</w:t>
      </w:r>
      <w:r w:rsidR="00C37776">
        <w:t xml:space="preserve"> </w:t>
      </w:r>
    </w:p>
    <w:p w:rsidR="002B3133" w:rsidRDefault="002B3133" w:rsidP="00BD12E2">
      <w:pPr>
        <w:pStyle w:val="MJAheading3"/>
      </w:pPr>
      <w:r>
        <w:t xml:space="preserve">Local economy </w:t>
      </w:r>
      <w:r w:rsidR="00347830">
        <w:t>effect</w:t>
      </w:r>
      <w:r>
        <w:t>s</w:t>
      </w:r>
    </w:p>
    <w:p w:rsidR="00C37776" w:rsidRPr="00EC5946" w:rsidRDefault="002B3133" w:rsidP="00BD12E2">
      <w:pPr>
        <w:pStyle w:val="MJAnormal"/>
      </w:pPr>
      <w:r w:rsidRPr="00EC5946">
        <w:t>During the construction phase (2010-201</w:t>
      </w:r>
      <w:r w:rsidR="00720A48">
        <w:t>9</w:t>
      </w:r>
      <w:r w:rsidRPr="00EC5946">
        <w:t>)</w:t>
      </w:r>
      <w:r w:rsidR="00F47825" w:rsidRPr="00EC5946">
        <w:t>,</w:t>
      </w:r>
      <w:r w:rsidRPr="00EC5946">
        <w:t xml:space="preserve"> real </w:t>
      </w:r>
      <w:r w:rsidR="00B22377" w:rsidRPr="00EC5946">
        <w:t xml:space="preserve">GDP </w:t>
      </w:r>
      <w:r w:rsidRPr="00EC5946">
        <w:t>in the local econom</w:t>
      </w:r>
      <w:r w:rsidR="00B22377" w:rsidRPr="00EC5946">
        <w:t xml:space="preserve">y increases by an estimated </w:t>
      </w:r>
      <w:r w:rsidR="00426036" w:rsidRPr="00EC5946">
        <w:t>$141.</w:t>
      </w:r>
      <w:r w:rsidR="00EC5946" w:rsidRPr="00144A42">
        <w:t>2</w:t>
      </w:r>
      <w:r w:rsidR="00E804D3" w:rsidRPr="00EC5946">
        <w:t xml:space="preserve"> million</w:t>
      </w:r>
      <w:r w:rsidRPr="00EC5946">
        <w:t xml:space="preserve">. The economy then experiences an ongoing net increase in real </w:t>
      </w:r>
      <w:r w:rsidR="00B22377" w:rsidRPr="00EC5946">
        <w:t>GDP of between $1</w:t>
      </w:r>
      <w:r w:rsidR="00EC5946" w:rsidRPr="00144A42">
        <w:t>8</w:t>
      </w:r>
      <w:r w:rsidR="00B22377" w:rsidRPr="00EC5946">
        <w:t>-</w:t>
      </w:r>
      <w:r w:rsidR="00EC5946" w:rsidRPr="00144A42">
        <w:t>20</w:t>
      </w:r>
      <w:r w:rsidRPr="00EC5946">
        <w:t xml:space="preserve"> million annually thereafter </w:t>
      </w:r>
      <w:r w:rsidR="00EC5946" w:rsidRPr="00144A42">
        <w:t xml:space="preserve">given </w:t>
      </w:r>
      <w:r w:rsidRPr="00EC5946">
        <w:t>the ongoing influence of productivity gains</w:t>
      </w:r>
      <w:r w:rsidR="004A390E">
        <w:t xml:space="preserve"> (</w:t>
      </w:r>
      <w:r w:rsidR="004A390E">
        <w:fldChar w:fldCharType="begin"/>
      </w:r>
      <w:r w:rsidR="004A390E">
        <w:instrText xml:space="preserve"> REF _Ref493511216 \h </w:instrText>
      </w:r>
      <w:r w:rsidR="004A390E">
        <w:fldChar w:fldCharType="separate"/>
      </w:r>
      <w:r w:rsidR="004A390E" w:rsidRPr="00426036">
        <w:t xml:space="preserve">Figure </w:t>
      </w:r>
      <w:r w:rsidR="004A390E">
        <w:rPr>
          <w:noProof/>
        </w:rPr>
        <w:t>8</w:t>
      </w:r>
      <w:r w:rsidR="004A390E">
        <w:fldChar w:fldCharType="end"/>
      </w:r>
      <w:r w:rsidR="004A390E">
        <w:t xml:space="preserve"> and </w:t>
      </w:r>
      <w:r w:rsidR="004A390E">
        <w:fldChar w:fldCharType="begin"/>
      </w:r>
      <w:r w:rsidR="004A390E">
        <w:instrText xml:space="preserve"> REF _Ref493511312 \h </w:instrText>
      </w:r>
      <w:r w:rsidR="004A390E">
        <w:fldChar w:fldCharType="separate"/>
      </w:r>
      <w:r w:rsidR="004A390E">
        <w:t xml:space="preserve">Table </w:t>
      </w:r>
      <w:r w:rsidR="004A390E">
        <w:rPr>
          <w:noProof/>
        </w:rPr>
        <w:t>18</w:t>
      </w:r>
      <w:r w:rsidR="004A390E">
        <w:fldChar w:fldCharType="end"/>
      </w:r>
      <w:r w:rsidR="004F2333">
        <w:t xml:space="preserve"> – these data report economy changes from 2013 reflecting negligible effects between 2010-2012</w:t>
      </w:r>
    </w:p>
    <w:p w:rsidR="002C1F08" w:rsidRDefault="002B3133" w:rsidP="00BD12E2">
      <w:pPr>
        <w:pStyle w:val="MJAnormal"/>
      </w:pPr>
      <w:r w:rsidRPr="00EC5946">
        <w:t>Employment in</w:t>
      </w:r>
      <w:r w:rsidR="00BE54A8" w:rsidRPr="00EC5946">
        <w:t xml:space="preserve"> the local economy rises from </w:t>
      </w:r>
      <w:r w:rsidR="00426036" w:rsidRPr="00EC5946">
        <w:t>168</w:t>
      </w:r>
      <w:r w:rsidRPr="00EC5946">
        <w:t xml:space="preserve"> </w:t>
      </w:r>
      <w:r w:rsidR="00FD1A19">
        <w:t>full-time equivalent jobs</w:t>
      </w:r>
      <w:r w:rsidRPr="00EC5946">
        <w:t xml:space="preserve"> to </w:t>
      </w:r>
      <w:r w:rsidR="00B22377" w:rsidRPr="00EC5946">
        <w:t xml:space="preserve">a peak of </w:t>
      </w:r>
      <w:r w:rsidR="00426036" w:rsidRPr="00EC5946">
        <w:t>29</w:t>
      </w:r>
      <w:r w:rsidR="00442AF0">
        <w:t>8</w:t>
      </w:r>
      <w:r w:rsidR="002C1F08" w:rsidRPr="00EC5946">
        <w:t xml:space="preserve"> jobs at the end of the construction phase to </w:t>
      </w:r>
      <w:r w:rsidR="00EC5946">
        <w:t xml:space="preserve">between </w:t>
      </w:r>
      <w:r w:rsidR="00DB0D79">
        <w:t>75</w:t>
      </w:r>
      <w:r w:rsidR="002F2E38">
        <w:t xml:space="preserve"> and 110</w:t>
      </w:r>
      <w:r w:rsidR="00EC5946">
        <w:t xml:space="preserve"> </w:t>
      </w:r>
      <w:r w:rsidR="002C1F08" w:rsidRPr="00EC5946">
        <w:t xml:space="preserve">plus extra jobs annually </w:t>
      </w:r>
      <w:r w:rsidR="00DB0D79" w:rsidRPr="00EC5946">
        <w:t xml:space="preserve">under the implementation phases </w:t>
      </w:r>
      <w:r w:rsidR="002C1F08" w:rsidRPr="00EC5946">
        <w:t xml:space="preserve">compared to the base </w:t>
      </w:r>
      <w:r w:rsidR="00390232" w:rsidRPr="00EC5946">
        <w:t>case</w:t>
      </w:r>
      <w:r w:rsidR="004A390E">
        <w:t xml:space="preserve"> (</w:t>
      </w:r>
      <w:r w:rsidR="004A390E">
        <w:fldChar w:fldCharType="begin"/>
      </w:r>
      <w:r w:rsidR="004A390E">
        <w:instrText xml:space="preserve"> REF _Ref493511226 \h </w:instrText>
      </w:r>
      <w:r w:rsidR="004A390E">
        <w:fldChar w:fldCharType="separate"/>
      </w:r>
      <w:r w:rsidR="004A390E" w:rsidRPr="00426036">
        <w:t xml:space="preserve">Figure </w:t>
      </w:r>
      <w:r w:rsidR="004A390E">
        <w:rPr>
          <w:noProof/>
        </w:rPr>
        <w:t>9</w:t>
      </w:r>
      <w:r w:rsidR="004A390E">
        <w:fldChar w:fldCharType="end"/>
      </w:r>
      <w:r w:rsidR="004A390E">
        <w:t xml:space="preserve"> and </w:t>
      </w:r>
      <w:r w:rsidR="004A390E">
        <w:fldChar w:fldCharType="begin"/>
      </w:r>
      <w:r w:rsidR="004A390E">
        <w:instrText xml:space="preserve"> REF _Ref493511312 \h </w:instrText>
      </w:r>
      <w:r w:rsidR="004A390E">
        <w:fldChar w:fldCharType="separate"/>
      </w:r>
      <w:r w:rsidR="004A390E">
        <w:t xml:space="preserve">Table </w:t>
      </w:r>
      <w:r w:rsidR="004A390E">
        <w:rPr>
          <w:noProof/>
        </w:rPr>
        <w:t>18</w:t>
      </w:r>
      <w:r w:rsidR="004A390E">
        <w:fldChar w:fldCharType="end"/>
      </w:r>
      <w:r w:rsidR="004A390E">
        <w:t>)</w:t>
      </w:r>
      <w:r w:rsidR="00390232" w:rsidRPr="00EC5946">
        <w:t xml:space="preserve">. </w:t>
      </w:r>
      <w:r w:rsidR="002C1F08" w:rsidRPr="00EC5946">
        <w:t>We note these are annual net changes relative to the base case and are not additive annually.</w:t>
      </w:r>
      <w:r w:rsidR="002C1F08">
        <w:t xml:space="preserve"> </w:t>
      </w:r>
    </w:p>
    <w:p w:rsidR="00F0035F" w:rsidRDefault="00F0035F" w:rsidP="00F0035F">
      <w:pPr>
        <w:pStyle w:val="Caption"/>
        <w:spacing w:before="360"/>
      </w:pPr>
      <w:bookmarkStart w:id="184" w:name="_Ref493511216"/>
      <w:bookmarkStart w:id="185" w:name="_Toc494892422"/>
      <w:bookmarkStart w:id="186" w:name="_Toc481964530"/>
      <w:r w:rsidRPr="00426036">
        <w:t xml:space="preserve">Figure </w:t>
      </w:r>
      <w:r w:rsidRPr="00421B4A">
        <w:fldChar w:fldCharType="begin"/>
      </w:r>
      <w:r w:rsidRPr="00426036">
        <w:instrText xml:space="preserve"> SEQ Figure \* ARABIC </w:instrText>
      </w:r>
      <w:r w:rsidRPr="00421B4A">
        <w:fldChar w:fldCharType="separate"/>
      </w:r>
      <w:r w:rsidR="002F2E38">
        <w:rPr>
          <w:noProof/>
        </w:rPr>
        <w:t>8</w:t>
      </w:r>
      <w:r w:rsidRPr="00421B4A">
        <w:rPr>
          <w:noProof/>
        </w:rPr>
        <w:fldChar w:fldCharType="end"/>
      </w:r>
      <w:bookmarkEnd w:id="184"/>
      <w:r w:rsidRPr="00421B4A">
        <w:t xml:space="preserve">: </w:t>
      </w:r>
      <w:r w:rsidR="00442AF0">
        <w:t>Estimated total local economy Real GDP impact of PIIOP and OFIEP in the Griffith region</w:t>
      </w:r>
      <w:bookmarkEnd w:id="185"/>
    </w:p>
    <w:p w:rsidR="00F0035F" w:rsidRDefault="00442AF0" w:rsidP="00583D9E">
      <w:pPr>
        <w:pStyle w:val="Caption"/>
        <w:spacing w:before="360"/>
        <w:jc w:val="center"/>
      </w:pPr>
      <w:r w:rsidRPr="00442AF0">
        <w:rPr>
          <w:noProof/>
        </w:rPr>
        <w:drawing>
          <wp:inline distT="0" distB="0" distL="0" distR="0" wp14:anchorId="5011263D" wp14:editId="4B9C1481">
            <wp:extent cx="4563110" cy="2734310"/>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3110" cy="2734310"/>
                    </a:xfrm>
                    <a:prstGeom prst="rect">
                      <a:avLst/>
                    </a:prstGeom>
                    <a:noFill/>
                    <a:ln>
                      <a:noFill/>
                    </a:ln>
                  </pic:spPr>
                </pic:pic>
              </a:graphicData>
            </a:graphic>
          </wp:inline>
        </w:drawing>
      </w:r>
    </w:p>
    <w:p w:rsidR="00442AF0" w:rsidRDefault="00442AF0" w:rsidP="00442AF0">
      <w:pPr>
        <w:pStyle w:val="Caption"/>
        <w:spacing w:before="360"/>
      </w:pPr>
      <w:bookmarkStart w:id="187" w:name="_Ref493511226"/>
      <w:bookmarkStart w:id="188" w:name="_Toc494892423"/>
      <w:r w:rsidRPr="00426036">
        <w:t xml:space="preserve">Figure </w:t>
      </w:r>
      <w:r w:rsidRPr="00421B4A">
        <w:fldChar w:fldCharType="begin"/>
      </w:r>
      <w:r w:rsidRPr="00426036">
        <w:instrText xml:space="preserve"> SEQ Figure \* ARABIC </w:instrText>
      </w:r>
      <w:r w:rsidRPr="00421B4A">
        <w:fldChar w:fldCharType="separate"/>
      </w:r>
      <w:r w:rsidR="002F2E38">
        <w:rPr>
          <w:noProof/>
        </w:rPr>
        <w:t>9</w:t>
      </w:r>
      <w:r w:rsidRPr="00421B4A">
        <w:rPr>
          <w:noProof/>
        </w:rPr>
        <w:fldChar w:fldCharType="end"/>
      </w:r>
      <w:bookmarkEnd w:id="187"/>
      <w:r w:rsidRPr="00421B4A">
        <w:t xml:space="preserve">: </w:t>
      </w:r>
      <w:r>
        <w:t>Estimated total local economy employment impact of PIIOP and OFIEP in the Griffith region</w:t>
      </w:r>
      <w:bookmarkEnd w:id="188"/>
    </w:p>
    <w:p w:rsidR="00F0035F" w:rsidRDefault="00442AF0" w:rsidP="00144A42">
      <w:pPr>
        <w:pStyle w:val="Caption"/>
        <w:spacing w:before="360"/>
      </w:pPr>
      <w:r w:rsidRPr="00442AF0">
        <w:rPr>
          <w:noProof/>
        </w:rPr>
        <w:drawing>
          <wp:inline distT="0" distB="0" distL="0" distR="0" wp14:anchorId="03A19119" wp14:editId="67F6393D">
            <wp:extent cx="4563110" cy="2734310"/>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3110" cy="2734310"/>
                    </a:xfrm>
                    <a:prstGeom prst="rect">
                      <a:avLst/>
                    </a:prstGeom>
                    <a:noFill/>
                    <a:ln>
                      <a:noFill/>
                    </a:ln>
                  </pic:spPr>
                </pic:pic>
              </a:graphicData>
            </a:graphic>
          </wp:inline>
        </w:drawing>
      </w:r>
    </w:p>
    <w:p w:rsidR="00F0035F" w:rsidRDefault="00F0035F" w:rsidP="00144A42">
      <w:pPr>
        <w:pStyle w:val="Caption"/>
        <w:spacing w:before="360"/>
      </w:pPr>
    </w:p>
    <w:p w:rsidR="00AD05B9" w:rsidRDefault="00AD05B9" w:rsidP="00583D9E"/>
    <w:p w:rsidR="00346A79" w:rsidRDefault="00346A79">
      <w:r>
        <w:br w:type="page"/>
      </w:r>
    </w:p>
    <w:p w:rsidR="00B85769" w:rsidRDefault="001B7A5D" w:rsidP="00144A42">
      <w:pPr>
        <w:pStyle w:val="Caption"/>
        <w:spacing w:before="360"/>
      </w:pPr>
      <w:bookmarkStart w:id="189" w:name="_Ref493511312"/>
      <w:bookmarkStart w:id="190" w:name="_Toc494892447"/>
      <w:r>
        <w:t xml:space="preserve">Table </w:t>
      </w:r>
      <w:fldSimple w:instr=" SEQ Table \* ARABIC ">
        <w:r w:rsidR="002F2E38">
          <w:rPr>
            <w:noProof/>
          </w:rPr>
          <w:t>18</w:t>
        </w:r>
      </w:fldSimple>
      <w:bookmarkEnd w:id="189"/>
      <w:r>
        <w:t>: Estimate</w:t>
      </w:r>
      <w:r w:rsidR="00F47825">
        <w:t>d</w:t>
      </w:r>
      <w:r>
        <w:t xml:space="preserve"> total local economy </w:t>
      </w:r>
      <w:r w:rsidR="00442AF0">
        <w:t>Real GDP impact</w:t>
      </w:r>
      <w:r>
        <w:t xml:space="preserve"> </w:t>
      </w:r>
      <w:r w:rsidR="00F47825">
        <w:t>of PIIOP and OFIEP in the Griffith region</w:t>
      </w:r>
      <w:bookmarkEnd w:id="186"/>
      <w:r w:rsidR="00C775F7">
        <w:rPr>
          <w:rStyle w:val="FootnoteReference"/>
        </w:rPr>
        <w:footnoteReference w:id="13"/>
      </w:r>
      <w:bookmarkEnd w:id="190"/>
    </w:p>
    <w:tbl>
      <w:tblPr>
        <w:tblStyle w:val="MJATable1"/>
        <w:tblW w:w="0" w:type="auto"/>
        <w:tblLook w:val="04A0" w:firstRow="1" w:lastRow="0" w:firstColumn="1" w:lastColumn="0" w:noHBand="0" w:noVBand="1"/>
      </w:tblPr>
      <w:tblGrid>
        <w:gridCol w:w="622"/>
        <w:gridCol w:w="1016"/>
        <w:gridCol w:w="1275"/>
      </w:tblGrid>
      <w:tr w:rsidR="00426036" w:rsidTr="00520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dxa"/>
          </w:tcPr>
          <w:p w:rsidR="00426036" w:rsidRDefault="00426036" w:rsidP="00426036">
            <w:r>
              <w:t>Year</w:t>
            </w:r>
          </w:p>
        </w:tc>
        <w:tc>
          <w:tcPr>
            <w:tcW w:w="1016" w:type="dxa"/>
          </w:tcPr>
          <w:p w:rsidR="00426036" w:rsidRDefault="00426036" w:rsidP="00426036">
            <w:pPr>
              <w:cnfStyle w:val="100000000000" w:firstRow="1" w:lastRow="0" w:firstColumn="0" w:lastColumn="0" w:oddVBand="0" w:evenVBand="0" w:oddHBand="0" w:evenHBand="0" w:firstRowFirstColumn="0" w:firstRowLastColumn="0" w:lastRowFirstColumn="0" w:lastRowLastColumn="0"/>
            </w:pPr>
            <w:r>
              <w:t>Real GDP</w:t>
            </w:r>
          </w:p>
          <w:p w:rsidR="00426036" w:rsidRDefault="00426036" w:rsidP="00426036">
            <w:pPr>
              <w:cnfStyle w:val="100000000000" w:firstRow="1" w:lastRow="0" w:firstColumn="0" w:lastColumn="0" w:oddVBand="0" w:evenVBand="0" w:oddHBand="0" w:evenHBand="0" w:firstRowFirstColumn="0" w:firstRowLastColumn="0" w:lastRowFirstColumn="0" w:lastRowLastColumn="0"/>
            </w:pPr>
            <w:r>
              <w:t>($million)</w:t>
            </w:r>
          </w:p>
        </w:tc>
        <w:tc>
          <w:tcPr>
            <w:tcW w:w="1275" w:type="dxa"/>
          </w:tcPr>
          <w:p w:rsidR="00426036" w:rsidRPr="00061E10" w:rsidRDefault="00426036" w:rsidP="00426036">
            <w:pPr>
              <w:pStyle w:val="MJAnormal"/>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61E10">
              <w:rPr>
                <w:rFonts w:asciiTheme="minorHAnsi" w:hAnsiTheme="minorHAnsi" w:cstheme="minorHAnsi"/>
              </w:rPr>
              <w:t>Employment</w:t>
            </w:r>
          </w:p>
          <w:p w:rsidR="00426036" w:rsidRDefault="00426036" w:rsidP="00426036">
            <w:pPr>
              <w:cnfStyle w:val="100000000000" w:firstRow="1" w:lastRow="0" w:firstColumn="0" w:lastColumn="0" w:oddVBand="0" w:evenVBand="0" w:oddHBand="0" w:evenHBand="0" w:firstRowFirstColumn="0" w:firstRowLastColumn="0" w:lastRowFirstColumn="0" w:lastRowLastColumn="0"/>
            </w:pPr>
            <w:r w:rsidRPr="00061E10">
              <w:rPr>
                <w:rFonts w:cstheme="minorHAnsi"/>
              </w:rPr>
              <w:t>(Persons)</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2013</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14.5</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168</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2014</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19.3</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200</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2015</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18.5</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177</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2016</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22.9</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212</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2017</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31.5</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279</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2018</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34.6</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293</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2019</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36.8</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298</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2020</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22.1</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110</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2021</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22.0</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111</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2022</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21.8</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112</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2023</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21.6</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111</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2024</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21.3</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110</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2025</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20.9</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109</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vAlign w:val="bottom"/>
          </w:tcPr>
          <w:p w:rsidR="00C17359" w:rsidRDefault="00C17359" w:rsidP="00904A2B">
            <w:pPr>
              <w:pStyle w:val="MJATableRow"/>
            </w:pPr>
            <w:r w:rsidRPr="00061E10">
              <w:t>2026</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20.6</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107</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vAlign w:val="bottom"/>
          </w:tcPr>
          <w:p w:rsidR="00C17359" w:rsidRDefault="00C17359" w:rsidP="00904A2B">
            <w:pPr>
              <w:pStyle w:val="MJATableRow"/>
            </w:pPr>
            <w:r w:rsidRPr="00061E10">
              <w:t>2027</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20.3</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104</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vAlign w:val="bottom"/>
          </w:tcPr>
          <w:p w:rsidR="00C17359" w:rsidRDefault="00C17359" w:rsidP="00904A2B">
            <w:pPr>
              <w:pStyle w:val="MJATableRow"/>
            </w:pPr>
            <w:r w:rsidRPr="00061E10">
              <w:t>2028</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18.8</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94</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vAlign w:val="bottom"/>
          </w:tcPr>
          <w:p w:rsidR="00C17359" w:rsidRDefault="00C17359" w:rsidP="00904A2B">
            <w:pPr>
              <w:pStyle w:val="MJATableRow"/>
            </w:pPr>
            <w:r w:rsidRPr="00061E10">
              <w:t>2029</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18.3</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91</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2030</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17.9</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88</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2031</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17.4</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85</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2032</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16.9</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82</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Pr>
          <w:p w:rsidR="00C17359" w:rsidRDefault="00C17359" w:rsidP="00904A2B">
            <w:pPr>
              <w:pStyle w:val="MJATableRow"/>
            </w:pPr>
            <w:r>
              <w:t>2033</w:t>
            </w:r>
          </w:p>
        </w:tc>
        <w:tc>
          <w:tcPr>
            <w:tcW w:w="1016"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16.5</w:t>
            </w:r>
          </w:p>
        </w:tc>
        <w:tc>
          <w:tcPr>
            <w:tcW w:w="1275" w:type="dxa"/>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78</w:t>
            </w:r>
          </w:p>
        </w:tc>
      </w:tr>
      <w:tr w:rsidR="00C17359" w:rsidTr="00520F45">
        <w:tc>
          <w:tcPr>
            <w:cnfStyle w:val="001000000000" w:firstRow="0" w:lastRow="0" w:firstColumn="1" w:lastColumn="0" w:oddVBand="0" w:evenVBand="0" w:oddHBand="0" w:evenHBand="0" w:firstRowFirstColumn="0" w:firstRowLastColumn="0" w:lastRowFirstColumn="0" w:lastRowLastColumn="0"/>
            <w:tcW w:w="622" w:type="dxa"/>
            <w:tcBorders>
              <w:bottom w:val="single" w:sz="4" w:space="0" w:color="auto"/>
            </w:tcBorders>
          </w:tcPr>
          <w:p w:rsidR="00C17359" w:rsidRDefault="00C17359" w:rsidP="00904A2B">
            <w:pPr>
              <w:pStyle w:val="MJATableRow"/>
            </w:pPr>
            <w:r>
              <w:t>2034</w:t>
            </w:r>
          </w:p>
        </w:tc>
        <w:tc>
          <w:tcPr>
            <w:tcW w:w="1016" w:type="dxa"/>
            <w:tcBorders>
              <w:bottom w:val="single" w:sz="4" w:space="0" w:color="auto"/>
            </w:tcBorders>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16.0</w:t>
            </w:r>
          </w:p>
        </w:tc>
        <w:tc>
          <w:tcPr>
            <w:tcW w:w="1275" w:type="dxa"/>
            <w:tcBorders>
              <w:bottom w:val="single" w:sz="4" w:space="0" w:color="auto"/>
            </w:tcBorders>
            <w:vAlign w:val="bottom"/>
          </w:tcPr>
          <w:p w:rsidR="00C17359" w:rsidRPr="00C17359" w:rsidRDefault="00C17359" w:rsidP="00C17359">
            <w:pPr>
              <w:pStyle w:val="MJATableRow"/>
              <w:cnfStyle w:val="000000000000" w:firstRow="0" w:lastRow="0" w:firstColumn="0" w:lastColumn="0" w:oddVBand="0" w:evenVBand="0" w:oddHBand="0" w:evenHBand="0" w:firstRowFirstColumn="0" w:firstRowLastColumn="0" w:lastRowFirstColumn="0" w:lastRowLastColumn="0"/>
            </w:pPr>
            <w:r w:rsidRPr="00144A42">
              <w:t>75</w:t>
            </w:r>
          </w:p>
        </w:tc>
      </w:tr>
    </w:tbl>
    <w:p w:rsidR="00B85769" w:rsidRDefault="00314792" w:rsidP="00A57F1E">
      <w:pPr>
        <w:pStyle w:val="MJAsource"/>
      </w:pPr>
      <w:r>
        <w:t xml:space="preserve">Source Victoria University TERM </w:t>
      </w:r>
      <w:r w:rsidR="00A57F1E">
        <w:t xml:space="preserve">model estimates </w:t>
      </w:r>
    </w:p>
    <w:p w:rsidR="00A503B9" w:rsidRDefault="00A503B9" w:rsidP="00A503B9">
      <w:pPr>
        <w:pStyle w:val="MJAnormal"/>
      </w:pPr>
      <w:r>
        <w:t xml:space="preserve">There are </w:t>
      </w:r>
      <w:r w:rsidR="006154D3">
        <w:t xml:space="preserve">small </w:t>
      </w:r>
      <w:r>
        <w:t xml:space="preserve">differences between first round value added estimates in </w:t>
      </w:r>
      <w:r w:rsidR="00DA0FE1">
        <w:t xml:space="preserve">Section </w:t>
      </w:r>
      <w:r w:rsidR="006154D3">
        <w:t>5</w:t>
      </w:r>
      <w:r>
        <w:t xml:space="preserve"> and VU </w:t>
      </w:r>
      <w:r w:rsidR="00663CF7">
        <w:t>TERM</w:t>
      </w:r>
      <w:r>
        <w:t xml:space="preserve"> results for real GDP. This can be expected because</w:t>
      </w:r>
      <w:r w:rsidR="00DA0FE1">
        <w:t xml:space="preserve"> of</w:t>
      </w:r>
      <w:r>
        <w:t>:</w:t>
      </w:r>
    </w:p>
    <w:p w:rsidR="00A503B9" w:rsidRDefault="00A503B9" w:rsidP="00A503B9">
      <w:pPr>
        <w:pStyle w:val="MJAbulletnormal"/>
      </w:pPr>
      <w:r>
        <w:t>methodological differences between the measures</w:t>
      </w:r>
      <w:r w:rsidR="0092155D">
        <w:t>;</w:t>
      </w:r>
    </w:p>
    <w:p w:rsidR="0092155D" w:rsidRDefault="0092155D" w:rsidP="0092155D">
      <w:pPr>
        <w:pStyle w:val="MJAbulletnormal"/>
      </w:pPr>
      <w:r>
        <w:t xml:space="preserve">the granularity of representation of the construction sector — the </w:t>
      </w:r>
      <w:r w:rsidR="00663CF7">
        <w:t xml:space="preserve">VU </w:t>
      </w:r>
      <w:r>
        <w:t>TERM model is underpinned by regional input output tables that do not have fine degree of resolution of on-farm construction businesses</w:t>
      </w:r>
      <w:r w:rsidR="00A4467D">
        <w:t>; and</w:t>
      </w:r>
      <w:r>
        <w:t xml:space="preserve"> </w:t>
      </w:r>
    </w:p>
    <w:p w:rsidR="0092155D" w:rsidRDefault="0092155D" w:rsidP="0092155D">
      <w:pPr>
        <w:pStyle w:val="MJAbulletnormal"/>
      </w:pPr>
      <w:r>
        <w:t>effects of investments on input prices and substitution effects within the economy</w:t>
      </w:r>
      <w:r w:rsidR="00A4467D">
        <w:t>.</w:t>
      </w:r>
    </w:p>
    <w:p w:rsidR="0074454C" w:rsidRPr="00A503B9" w:rsidRDefault="0092155D" w:rsidP="00A503B9">
      <w:pPr>
        <w:pStyle w:val="MJAnormal"/>
      </w:pPr>
      <w:r>
        <w:t xml:space="preserve">A key issue in the modelling </w:t>
      </w:r>
      <w:r w:rsidR="009E6C29">
        <w:t xml:space="preserve">VU </w:t>
      </w:r>
      <w:r>
        <w:t>TERM</w:t>
      </w:r>
      <w:r w:rsidR="0074454C">
        <w:t xml:space="preserve"> </w:t>
      </w:r>
      <w:r>
        <w:t>is to account for the likely value added differences in different forms of construction and investment activities</w:t>
      </w:r>
      <w:r w:rsidRPr="00FD1A19">
        <w:t xml:space="preserve">. In section </w:t>
      </w:r>
      <w:r w:rsidR="006154D3" w:rsidRPr="00FD1A19">
        <w:t>5</w:t>
      </w:r>
      <w:r w:rsidRPr="00FD1A19">
        <w:t xml:space="preserve"> highly granular</w:t>
      </w:r>
      <w:r>
        <w:t xml:space="preserve"> expenditure data was used to estimate </w:t>
      </w:r>
      <w:r w:rsidR="008A415F">
        <w:t>first-round</w:t>
      </w:r>
      <w:r>
        <w:t xml:space="preserve"> value added estimates, </w:t>
      </w:r>
      <w:r w:rsidR="0074454C">
        <w:t xml:space="preserve">in particular large investments in laser grading are assumed to generate more local value added than off farm construction activity simply because the latter utilises a higher proportion </w:t>
      </w:r>
      <w:r w:rsidR="00C362DF">
        <w:t xml:space="preserve">of </w:t>
      </w:r>
      <w:r w:rsidR="0074454C">
        <w:t xml:space="preserve">imported goods and services. A challenge in </w:t>
      </w:r>
      <w:r w:rsidR="009E6C29">
        <w:t xml:space="preserve">VU </w:t>
      </w:r>
      <w:r w:rsidR="0074454C">
        <w:t>TERM is the on</w:t>
      </w:r>
      <w:r w:rsidR="004D4F09">
        <w:t>-</w:t>
      </w:r>
      <w:r w:rsidR="0074454C">
        <w:t xml:space="preserve">farm construction sector does not have this degree of granularity and as such assumes a higher proportion of imported goods and services are used than is likely to be the case for OFIEP investments in 2017-18. To address this problem the </w:t>
      </w:r>
      <w:r w:rsidR="009E6C29">
        <w:t xml:space="preserve">VU </w:t>
      </w:r>
      <w:r w:rsidR="0074454C">
        <w:t xml:space="preserve">TERM model shocks were adjusted to account for </w:t>
      </w:r>
      <w:r w:rsidR="00C362DF">
        <w:t xml:space="preserve">a </w:t>
      </w:r>
      <w:r w:rsidR="0074454C">
        <w:t xml:space="preserve">higher proportion of local goods and services in construction expenditures focussed on farm than would otherwise be the case. </w:t>
      </w:r>
    </w:p>
    <w:p w:rsidR="00F47825" w:rsidRDefault="00F47825" w:rsidP="00F47825">
      <w:pPr>
        <w:pStyle w:val="MJAheading3"/>
      </w:pPr>
      <w:r>
        <w:t xml:space="preserve">Change </w:t>
      </w:r>
      <w:r w:rsidR="00FD3BB4">
        <w:t xml:space="preserve">in </w:t>
      </w:r>
      <w:r>
        <w:t>industry value added</w:t>
      </w:r>
    </w:p>
    <w:p w:rsidR="00F47825" w:rsidRDefault="00221A07" w:rsidP="00BD12E2">
      <w:pPr>
        <w:pStyle w:val="MJAnormal"/>
      </w:pPr>
      <w:r>
        <w:t>The serv</w:t>
      </w:r>
      <w:r w:rsidR="00DA0FE1">
        <w:t xml:space="preserve">ices sector in Griffith region is a key beneficiary </w:t>
      </w:r>
      <w:r>
        <w:t>during the construction phase. This includes the utilities</w:t>
      </w:r>
      <w:r w:rsidR="00520F45">
        <w:t xml:space="preserve"> (water gas electricity etc)</w:t>
      </w:r>
      <w:r>
        <w:t xml:space="preserve">, construction services and trade </w:t>
      </w:r>
      <w:r w:rsidR="00520F45">
        <w:t xml:space="preserve">service </w:t>
      </w:r>
      <w:r>
        <w:t>industries</w:t>
      </w:r>
      <w:r w:rsidR="00520F45">
        <w:t xml:space="preserve"> (plumbers, electricians etc)</w:t>
      </w:r>
      <w:r>
        <w:t xml:space="preserve"> (</w:t>
      </w:r>
      <w:r>
        <w:fldChar w:fldCharType="begin"/>
      </w:r>
      <w:r>
        <w:instrText xml:space="preserve"> REF _Ref475116175 \h </w:instrText>
      </w:r>
      <w:r>
        <w:fldChar w:fldCharType="separate"/>
      </w:r>
      <w:r w:rsidR="002F2E38" w:rsidRPr="007036D9">
        <w:t xml:space="preserve">Figure </w:t>
      </w:r>
      <w:r w:rsidR="002F2E38">
        <w:rPr>
          <w:noProof/>
        </w:rPr>
        <w:t>10</w:t>
      </w:r>
      <w:r>
        <w:fldChar w:fldCharType="end"/>
      </w:r>
      <w:r>
        <w:t>)</w:t>
      </w:r>
      <w:r w:rsidR="00A503B9">
        <w:t>.</w:t>
      </w:r>
    </w:p>
    <w:p w:rsidR="00F47825" w:rsidRDefault="00F47825" w:rsidP="00F47825">
      <w:pPr>
        <w:pStyle w:val="Caption"/>
      </w:pPr>
      <w:bookmarkStart w:id="191" w:name="_Ref475116175"/>
      <w:bookmarkStart w:id="192" w:name="_Toc481964539"/>
      <w:bookmarkStart w:id="193" w:name="_Toc494892424"/>
      <w:r w:rsidRPr="007036D9">
        <w:t xml:space="preserve">Figure </w:t>
      </w:r>
      <w:fldSimple w:instr=" SEQ Figure \* ARABIC ">
        <w:r w:rsidR="002F2E38">
          <w:rPr>
            <w:noProof/>
          </w:rPr>
          <w:t>10</w:t>
        </w:r>
      </w:fldSimple>
      <w:bookmarkEnd w:id="191"/>
      <w:r w:rsidRPr="007036D9">
        <w:t>: Change in utility</w:t>
      </w:r>
      <w:r w:rsidR="00490CB2">
        <w:t xml:space="preserve">, construction </w:t>
      </w:r>
      <w:r w:rsidRPr="007036D9">
        <w:t xml:space="preserve">services </w:t>
      </w:r>
      <w:r w:rsidR="00490CB2">
        <w:t xml:space="preserve">and trade </w:t>
      </w:r>
      <w:r w:rsidRPr="007036D9">
        <w:t>value added ($million)</w:t>
      </w:r>
      <w:bookmarkEnd w:id="192"/>
      <w:r w:rsidR="00853002" w:rsidRPr="00904A2B">
        <w:t>*</w:t>
      </w:r>
      <w:bookmarkEnd w:id="193"/>
    </w:p>
    <w:p w:rsidR="004F701B" w:rsidRPr="004F701B" w:rsidRDefault="004F701B" w:rsidP="006154D3">
      <w:r w:rsidRPr="004F701B">
        <w:rPr>
          <w:noProof/>
        </w:rPr>
        <w:drawing>
          <wp:inline distT="0" distB="0" distL="0" distR="0" wp14:anchorId="41F64589" wp14:editId="1FD6602E">
            <wp:extent cx="5400040" cy="2127708"/>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2127708"/>
                    </a:xfrm>
                    <a:prstGeom prst="rect">
                      <a:avLst/>
                    </a:prstGeom>
                  </pic:spPr>
                </pic:pic>
              </a:graphicData>
            </a:graphic>
          </wp:inline>
        </w:drawing>
      </w:r>
    </w:p>
    <w:p w:rsidR="00853002" w:rsidRPr="007036D9" w:rsidRDefault="00853002" w:rsidP="00904A2B">
      <w:pPr>
        <w:pStyle w:val="MJAsource"/>
      </w:pPr>
      <w:r>
        <w:t>*</w:t>
      </w:r>
      <w:r w:rsidRPr="00853002">
        <w:t xml:space="preserve"> </w:t>
      </w:r>
      <w:r>
        <w:t>See Appendix 2 for annual dollar value tables</w:t>
      </w:r>
    </w:p>
    <w:p w:rsidR="00F47825" w:rsidRDefault="00F47825" w:rsidP="00F47825">
      <w:pPr>
        <w:pStyle w:val="MJAsource"/>
      </w:pPr>
      <w:r>
        <w:t>Source Victoria University estimates</w:t>
      </w:r>
    </w:p>
    <w:p w:rsidR="00A503B9" w:rsidRDefault="00A503B9" w:rsidP="00913F56">
      <w:pPr>
        <w:pStyle w:val="MJAnormal"/>
        <w:spacing w:before="360"/>
      </w:pPr>
      <w:r>
        <w:t xml:space="preserve">We note that </w:t>
      </w:r>
      <w:r w:rsidR="00FD1A19">
        <w:t xml:space="preserve">in </w:t>
      </w:r>
      <w:r>
        <w:t xml:space="preserve">the </w:t>
      </w:r>
      <w:r w:rsidR="00663CF7">
        <w:t xml:space="preserve">VU </w:t>
      </w:r>
      <w:r>
        <w:t>TERM Model</w:t>
      </w:r>
      <w:r w:rsidR="00FD1A19">
        <w:t>, which</w:t>
      </w:r>
      <w:r>
        <w:t xml:space="preserve"> </w:t>
      </w:r>
      <w:r w:rsidR="00133785">
        <w:t>reflect</w:t>
      </w:r>
      <w:r w:rsidR="00FD1A19">
        <w:t>s</w:t>
      </w:r>
      <w:r w:rsidR="00133785">
        <w:t xml:space="preserve"> available regional economy data</w:t>
      </w:r>
      <w:r w:rsidR="00FD1A19">
        <w:t>,</w:t>
      </w:r>
      <w:r w:rsidR="00133785">
        <w:t xml:space="preserve"> there is </w:t>
      </w:r>
      <w:r>
        <w:t>limited representation of the construction services to farm development</w:t>
      </w:r>
      <w:r w:rsidR="00133785">
        <w:t xml:space="preserve"> </w:t>
      </w:r>
      <w:r>
        <w:t xml:space="preserve">. Most of the expenditure in years 2017 and 2018 of OFIEP occur in laser grading on broad acre cropping. </w:t>
      </w:r>
      <w:r w:rsidR="0092155D">
        <w:t xml:space="preserve">Many of these service providers are contractors in earth moving but some also operate as off farm enterprises to support farm households. In undertaking the </w:t>
      </w:r>
      <w:r w:rsidR="00663CF7">
        <w:t xml:space="preserve">VU </w:t>
      </w:r>
      <w:r w:rsidR="0092155D">
        <w:t xml:space="preserve">TERM simulations we have adjusted </w:t>
      </w:r>
      <w:r w:rsidR="00663CF7">
        <w:t>VU T</w:t>
      </w:r>
      <w:r w:rsidR="0092155D">
        <w:t xml:space="preserve">ERM shocks and employment effects to account for this feature of the investment. </w:t>
      </w:r>
      <w:r w:rsidR="006C3F99">
        <w:t xml:space="preserve">The model also accounts for dynamic shifts in relative agricultural enterprise performance and this </w:t>
      </w:r>
      <w:r w:rsidR="00211560">
        <w:t>a</w:t>
      </w:r>
      <w:r w:rsidR="006C3F99">
        <w:t xml:space="preserve">ffects changes </w:t>
      </w:r>
      <w:r w:rsidR="00347830">
        <w:t xml:space="preserve">in </w:t>
      </w:r>
      <w:r w:rsidR="006C3F99">
        <w:t xml:space="preserve">aggregate </w:t>
      </w:r>
      <w:r w:rsidR="00390232">
        <w:t>industry</w:t>
      </w:r>
      <w:r w:rsidR="006C3F99">
        <w:t xml:space="preserve"> value add performance.</w:t>
      </w:r>
    </w:p>
    <w:p w:rsidR="00F47825" w:rsidRDefault="00F47825" w:rsidP="00BD12E2">
      <w:pPr>
        <w:pStyle w:val="MJAnormal"/>
      </w:pPr>
      <w:r>
        <w:t>Reflecting the relative water intensity, productivity and water savings gains result in the largest sustained gain</w:t>
      </w:r>
      <w:r w:rsidR="00347830">
        <w:t>s</w:t>
      </w:r>
      <w:r>
        <w:t xml:space="preserve"> in the rice industry (</w:t>
      </w:r>
      <w:r>
        <w:fldChar w:fldCharType="begin"/>
      </w:r>
      <w:r>
        <w:instrText xml:space="preserve"> REF _Ref475115840 \h </w:instrText>
      </w:r>
      <w:r>
        <w:fldChar w:fldCharType="separate"/>
      </w:r>
      <w:r w:rsidR="002F2E38">
        <w:t xml:space="preserve">Figure </w:t>
      </w:r>
      <w:r w:rsidR="002F2E38">
        <w:rPr>
          <w:noProof/>
        </w:rPr>
        <w:t>11</w:t>
      </w:r>
      <w:r>
        <w:fldChar w:fldCharType="end"/>
      </w:r>
      <w:r>
        <w:t xml:space="preserve">). </w:t>
      </w:r>
    </w:p>
    <w:p w:rsidR="00CD4CFF" w:rsidRDefault="005A2A63" w:rsidP="006154D3">
      <w:pPr>
        <w:pStyle w:val="Caption"/>
        <w:spacing w:before="360"/>
      </w:pPr>
      <w:bookmarkStart w:id="194" w:name="_Ref475115840"/>
      <w:bookmarkStart w:id="195" w:name="_Toc481964540"/>
      <w:bookmarkStart w:id="196" w:name="_Toc494892425"/>
      <w:r>
        <w:t xml:space="preserve">Figure </w:t>
      </w:r>
      <w:fldSimple w:instr=" SEQ Figure \* ARABIC ">
        <w:r w:rsidR="002F2E38">
          <w:rPr>
            <w:noProof/>
          </w:rPr>
          <w:t>11</w:t>
        </w:r>
      </w:fldSimple>
      <w:bookmarkEnd w:id="194"/>
      <w:r w:rsidR="003C16D9">
        <w:rPr>
          <w:noProof/>
        </w:rPr>
        <w:t>:</w:t>
      </w:r>
      <w:r>
        <w:t xml:space="preserve"> Change in agricultural industry value added ($ million)</w:t>
      </w:r>
      <w:bookmarkEnd w:id="195"/>
      <w:r w:rsidR="00791812">
        <w:t>*</w:t>
      </w:r>
      <w:bookmarkEnd w:id="196"/>
    </w:p>
    <w:p w:rsidR="005A2A63" w:rsidRPr="004F701B" w:rsidRDefault="004F701B" w:rsidP="006154D3">
      <w:pPr>
        <w:pStyle w:val="Caption"/>
        <w:spacing w:before="360"/>
      </w:pPr>
      <w:r>
        <w:rPr>
          <w:noProof/>
        </w:rPr>
        <w:drawing>
          <wp:inline distT="0" distB="0" distL="0" distR="0" wp14:anchorId="1A2646D8" wp14:editId="49788F28">
            <wp:extent cx="5943600" cy="25806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580640"/>
                    </a:xfrm>
                    <a:prstGeom prst="rect">
                      <a:avLst/>
                    </a:prstGeom>
                  </pic:spPr>
                </pic:pic>
              </a:graphicData>
            </a:graphic>
          </wp:inline>
        </w:drawing>
      </w:r>
    </w:p>
    <w:p w:rsidR="00791812" w:rsidRDefault="00791812" w:rsidP="00904A2B">
      <w:pPr>
        <w:pStyle w:val="MJAsource"/>
      </w:pPr>
      <w:r>
        <w:t>* See Appendix 2 for annual dollar value tables</w:t>
      </w:r>
    </w:p>
    <w:p w:rsidR="00F47825" w:rsidRDefault="00F47825" w:rsidP="00F47825">
      <w:pPr>
        <w:pStyle w:val="MJAsource"/>
      </w:pPr>
      <w:r>
        <w:t>Source Victoria University estimates</w:t>
      </w:r>
    </w:p>
    <w:p w:rsidR="0056674C" w:rsidRDefault="0056674C">
      <w:pPr>
        <w:rPr>
          <w:rFonts w:ascii="Times New Roman" w:eastAsia="Times New Roman" w:hAnsi="Times New Roman" w:cs="Times New Roman"/>
        </w:rPr>
      </w:pPr>
      <w:r>
        <w:br w:type="page"/>
      </w:r>
    </w:p>
    <w:p w:rsidR="00BD12E2" w:rsidRDefault="00BD12E2" w:rsidP="00061E10">
      <w:pPr>
        <w:pStyle w:val="MJAHeading10"/>
      </w:pPr>
      <w:bookmarkStart w:id="197" w:name="_Toc490832001"/>
      <w:bookmarkStart w:id="198" w:name="_Toc490832005"/>
      <w:bookmarkEnd w:id="197"/>
      <w:bookmarkEnd w:id="198"/>
      <w:r>
        <w:tab/>
      </w:r>
      <w:bookmarkStart w:id="199" w:name="_Toc482099183"/>
      <w:bookmarkStart w:id="200" w:name="_Toc494892285"/>
      <w:r>
        <w:t>References</w:t>
      </w:r>
      <w:bookmarkEnd w:id="199"/>
      <w:bookmarkEnd w:id="200"/>
    </w:p>
    <w:p w:rsidR="006165E6" w:rsidRPr="00924FBA" w:rsidRDefault="006165E6" w:rsidP="00904A2B">
      <w:pPr>
        <w:pStyle w:val="MJAnormal"/>
      </w:pPr>
      <w:r w:rsidRPr="004F701B">
        <w:t xml:space="preserve">ABARES 2011 </w:t>
      </w:r>
      <w:r w:rsidRPr="00924FBA">
        <w:t xml:space="preserve">‘Modelling the economic effects of the Murray-Darling Basin Plan’, Report prepared for the Murray Darling Basin Authority, Canberra. </w:t>
      </w:r>
    </w:p>
    <w:p w:rsidR="006165E6" w:rsidRDefault="00531B74" w:rsidP="00904A2B">
      <w:pPr>
        <w:pStyle w:val="MJAnormal"/>
      </w:pPr>
      <w:hyperlink r:id="rId34" w:history="1">
        <w:r w:rsidR="006165E6" w:rsidRPr="00924FBA">
          <w:rPr>
            <w:rStyle w:val="Hyperlink"/>
          </w:rPr>
          <w:t>https://www.mdba.gov.au/kid/files/1716-ModellingTheEconomicEffectsOfTheMDBPlan.pdf</w:t>
        </w:r>
      </w:hyperlink>
    </w:p>
    <w:p w:rsidR="00BD12E2" w:rsidRDefault="00BD12E2" w:rsidP="00BD12E2">
      <w:pPr>
        <w:pStyle w:val="MJAnormal"/>
      </w:pPr>
      <w:r>
        <w:t>Retallack, M 2013</w:t>
      </w:r>
      <w:r w:rsidR="00390232">
        <w:t>, Assessing</w:t>
      </w:r>
      <w:r w:rsidRPr="00170566">
        <w:rPr>
          <w:i/>
        </w:rPr>
        <w:t xml:space="preserve"> yield water use efficiency in the Murray Valley and Riverina wine regions</w:t>
      </w:r>
      <w:r>
        <w:t xml:space="preserve">, Report prepared for the Murray Valley Winegrowers Inc and Riverina Wine Grapes marketing Board. </w:t>
      </w:r>
      <w:hyperlink r:id="rId35" w:history="1">
        <w:r w:rsidRPr="00585391">
          <w:rPr>
            <w:rStyle w:val="Hyperlink"/>
          </w:rPr>
          <w:t>http://mvwi.com.au/items/577/MVWI%20%20Riverina%20WUE%20Report%202012-13.pdf</w:t>
        </w:r>
      </w:hyperlink>
    </w:p>
    <w:p w:rsidR="00BD12E2" w:rsidRDefault="00BD12E2" w:rsidP="00BD12E2">
      <w:pPr>
        <w:pStyle w:val="MJAnormal"/>
      </w:pPr>
      <w:r>
        <w:t xml:space="preserve">Falivene, S. Giddings, J and Skewes, M, 2016, </w:t>
      </w:r>
      <w:r w:rsidRPr="00F442F6">
        <w:rPr>
          <w:i/>
        </w:rPr>
        <w:t>Managing citrus orchards with less water</w:t>
      </w:r>
      <w:r>
        <w:t>,  PrimeFact, NSW Department of Primary Industries.</w:t>
      </w:r>
    </w:p>
    <w:p w:rsidR="00346A79" w:rsidRDefault="00531B74" w:rsidP="00BD12E2">
      <w:pPr>
        <w:pStyle w:val="MJAnormal"/>
      </w:pPr>
      <w:hyperlink r:id="rId36" w:history="1">
        <w:r w:rsidR="00346A79" w:rsidRPr="00607C77">
          <w:rPr>
            <w:rStyle w:val="Hyperlink"/>
          </w:rPr>
          <w:t>http://mvcitrus.org.au/mvcb/wp-content/uploads/2012/08/Managing-Citrus-Orchards-with-less-Water-FINAL.pdf</w:t>
        </w:r>
      </w:hyperlink>
    </w:p>
    <w:p w:rsidR="00BD12E2" w:rsidRDefault="001D399C" w:rsidP="00BD12E2">
      <w:pPr>
        <w:pStyle w:val="MJAnormal"/>
      </w:pPr>
      <w:r>
        <w:t>Grafton Q, Jiang Q (2006) Economics of Drought, Water Diversions, Water Recovery and Climate Change in the Murray-Darling Basin</w:t>
      </w:r>
      <w:r w:rsidR="004616F9">
        <w:t xml:space="preserve"> </w:t>
      </w:r>
    </w:p>
    <w:p w:rsidR="004616F9" w:rsidRDefault="00531B74" w:rsidP="00BD12E2">
      <w:pPr>
        <w:pStyle w:val="MJAnormal"/>
      </w:pPr>
      <w:hyperlink r:id="rId37" w:history="1">
        <w:r w:rsidR="004616F9" w:rsidRPr="001D72A9">
          <w:rPr>
            <w:rStyle w:val="Hyperlink"/>
          </w:rPr>
          <w:t>http://www.pc.gov.au/inquiries/completed/murray-darling-water-recovery/submissions/subdr082.pdf</w:t>
        </w:r>
      </w:hyperlink>
      <w:r w:rsidR="004616F9">
        <w:t xml:space="preserve"> </w:t>
      </w:r>
    </w:p>
    <w:p w:rsidR="00DA0FE1" w:rsidRDefault="00DA0FE1" w:rsidP="00BD12E2">
      <w:pPr>
        <w:pStyle w:val="MJAnormal"/>
      </w:pPr>
    </w:p>
    <w:p w:rsidR="00DA0FE1" w:rsidRPr="00A0316A" w:rsidRDefault="00CE5249" w:rsidP="00904A2B">
      <w:r>
        <w:br w:type="page"/>
      </w:r>
    </w:p>
    <w:p w:rsidR="00CB7F61" w:rsidRDefault="00CE5249" w:rsidP="00CE5249">
      <w:pPr>
        <w:pStyle w:val="MJAHeading10"/>
        <w:numPr>
          <w:ilvl w:val="0"/>
          <w:numId w:val="0"/>
        </w:numPr>
      </w:pPr>
      <w:bookmarkStart w:id="201" w:name="_Toc482099184"/>
      <w:bookmarkStart w:id="202" w:name="_Toc494892286"/>
      <w:r>
        <w:t>Appendix A</w:t>
      </w:r>
      <w:bookmarkEnd w:id="201"/>
      <w:r w:rsidR="00CB7F61">
        <w:t>: Total goods and services expenditures</w:t>
      </w:r>
      <w:bookmarkEnd w:id="202"/>
    </w:p>
    <w:p w:rsidR="00CB7F61" w:rsidRDefault="00CB7F61" w:rsidP="00CB7F61">
      <w:pPr>
        <w:pStyle w:val="MJAnormal"/>
      </w:pPr>
      <w:r>
        <w:t>Expenditures from the program were allocated to each goods and services class for each project based on a timeline of project events.  The cost categories displayed in this section vary across PIIOP (on-farm and off-farm) and OFIEP as a result of differences in the categorisation of data provided.</w:t>
      </w:r>
    </w:p>
    <w:p w:rsidR="00CB7F61" w:rsidRPr="007C440F" w:rsidRDefault="00CB7F61" w:rsidP="00583D9E">
      <w:pPr>
        <w:pStyle w:val="MJAheading2"/>
        <w:numPr>
          <w:ilvl w:val="0"/>
          <w:numId w:val="0"/>
        </w:numPr>
      </w:pPr>
      <w:bookmarkStart w:id="203" w:name="_Toc494892287"/>
      <w:r>
        <w:t>Goods and services —  PIIOP off-farm</w:t>
      </w:r>
      <w:bookmarkEnd w:id="203"/>
      <w:r>
        <w:t xml:space="preserve">  </w:t>
      </w:r>
    </w:p>
    <w:p w:rsidR="00CB7F61" w:rsidRDefault="00CB7F61" w:rsidP="00913F56">
      <w:pPr>
        <w:pStyle w:val="Caption"/>
      </w:pPr>
      <w:bookmarkStart w:id="204" w:name="_Toc494892448"/>
      <w:r>
        <w:t xml:space="preserve">Table </w:t>
      </w:r>
      <w:fldSimple w:instr=" SEQ Table \* ARABIC ">
        <w:r w:rsidR="002F2E38">
          <w:rPr>
            <w:noProof/>
          </w:rPr>
          <w:t>19</w:t>
        </w:r>
      </w:fldSimple>
      <w:r>
        <w:rPr>
          <w:noProof/>
        </w:rPr>
        <w:t>:</w:t>
      </w:r>
      <w:r>
        <w:t xml:space="preserve"> PIIOP off-farm expenditure Round 1 GST Exclusive</w:t>
      </w:r>
      <w:r w:rsidR="0073468F">
        <w:t xml:space="preserve"> $million</w:t>
      </w:r>
      <w:bookmarkEnd w:id="204"/>
    </w:p>
    <w:tbl>
      <w:tblPr>
        <w:tblStyle w:val="MJATable1"/>
        <w:tblW w:w="8647" w:type="dxa"/>
        <w:tblLook w:val="04A0" w:firstRow="1" w:lastRow="0" w:firstColumn="1" w:lastColumn="0" w:noHBand="0" w:noVBand="1"/>
      </w:tblPr>
      <w:tblGrid>
        <w:gridCol w:w="5798"/>
        <w:gridCol w:w="2849"/>
      </w:tblGrid>
      <w:tr w:rsidR="00CB7F61" w:rsidTr="00CB7F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98" w:type="dxa"/>
          </w:tcPr>
          <w:p w:rsidR="00CB7F61" w:rsidRPr="009F0034" w:rsidRDefault="00CB7F61" w:rsidP="00CB7F61">
            <w:pPr>
              <w:rPr>
                <w:szCs w:val="20"/>
              </w:rPr>
            </w:pPr>
            <w:r>
              <w:rPr>
                <w:szCs w:val="20"/>
              </w:rPr>
              <w:t>Cost category</w:t>
            </w:r>
          </w:p>
        </w:tc>
        <w:tc>
          <w:tcPr>
            <w:tcW w:w="2849" w:type="dxa"/>
          </w:tcPr>
          <w:p w:rsidR="00CB7F61" w:rsidRPr="009F0034" w:rsidRDefault="00CB7F61" w:rsidP="00CB7F61">
            <w:pPr>
              <w:cnfStyle w:val="100000000000" w:firstRow="1" w:lastRow="0" w:firstColumn="0" w:lastColumn="0" w:oddVBand="0" w:evenVBand="0" w:oddHBand="0" w:evenHBand="0" w:firstRowFirstColumn="0" w:firstRowLastColumn="0" w:lastRowFirstColumn="0" w:lastRowLastColumn="0"/>
              <w:rPr>
                <w:szCs w:val="20"/>
              </w:rPr>
            </w:pPr>
            <w:r>
              <w:rPr>
                <w:szCs w:val="20"/>
              </w:rPr>
              <w:t>Expenditure</w:t>
            </w:r>
          </w:p>
        </w:tc>
      </w:tr>
      <w:tr w:rsidR="0073468F" w:rsidTr="00CB7F61">
        <w:tc>
          <w:tcPr>
            <w:cnfStyle w:val="001000000000" w:firstRow="0" w:lastRow="0" w:firstColumn="1" w:lastColumn="0" w:oddVBand="0" w:evenVBand="0" w:oddHBand="0" w:evenHBand="0" w:firstRowFirstColumn="0" w:firstRowLastColumn="0" w:lastRowFirstColumn="0" w:lastRowLastColumn="0"/>
            <w:tcW w:w="5798" w:type="dxa"/>
            <w:tcBorders>
              <w:bottom w:val="single" w:sz="4" w:space="0" w:color="FFFFFF" w:themeColor="background1"/>
            </w:tcBorders>
            <w:vAlign w:val="bottom"/>
          </w:tcPr>
          <w:p w:rsidR="0073468F" w:rsidRPr="009F0034" w:rsidRDefault="0073468F" w:rsidP="0073468F">
            <w:pPr>
              <w:rPr>
                <w:rFonts w:ascii="Calibri" w:hAnsi="Calibri"/>
                <w:color w:val="000000"/>
                <w:szCs w:val="20"/>
              </w:rPr>
            </w:pPr>
            <w:r w:rsidRPr="006E7A2E">
              <w:rPr>
                <w:color w:val="000000"/>
                <w:szCs w:val="20"/>
              </w:rPr>
              <w:t>Labour</w:t>
            </w:r>
          </w:p>
        </w:tc>
        <w:tc>
          <w:tcPr>
            <w:tcW w:w="2849" w:type="dxa"/>
            <w:tcBorders>
              <w:bottom w:val="single" w:sz="4" w:space="0" w:color="FFFFFF" w:themeColor="background1"/>
            </w:tcBorders>
            <w:vAlign w:val="bottom"/>
          </w:tcPr>
          <w:p w:rsidR="0073468F" w:rsidRPr="005712E2" w:rsidRDefault="0073468F" w:rsidP="00913F56">
            <w:pPr>
              <w:ind w:right="1027"/>
              <w:jc w:val="right"/>
              <w:cnfStyle w:val="000000000000" w:firstRow="0" w:lastRow="0" w:firstColumn="0" w:lastColumn="0" w:oddVBand="0" w:evenVBand="0" w:oddHBand="0" w:evenHBand="0" w:firstRowFirstColumn="0" w:firstRowLastColumn="0" w:lastRowFirstColumn="0" w:lastRowLastColumn="0"/>
              <w:rPr>
                <w:color w:val="000000"/>
                <w:szCs w:val="20"/>
              </w:rPr>
            </w:pPr>
            <w:r w:rsidRPr="00C60B71">
              <w:rPr>
                <w:rFonts w:ascii="Calibri" w:hAnsi="Calibri" w:cs="Calibri"/>
                <w:color w:val="000000"/>
                <w:szCs w:val="20"/>
              </w:rPr>
              <w:t>$13.3</w:t>
            </w:r>
          </w:p>
        </w:tc>
      </w:tr>
      <w:tr w:rsidR="0073468F" w:rsidTr="00CB7F61">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FFFFFF" w:themeColor="background1"/>
              <w:bottom w:val="single" w:sz="4" w:space="0" w:color="FFFFFF" w:themeColor="background1"/>
            </w:tcBorders>
            <w:vAlign w:val="bottom"/>
          </w:tcPr>
          <w:p w:rsidR="0073468F" w:rsidRPr="009F0034" w:rsidRDefault="0073468F" w:rsidP="0073468F">
            <w:pPr>
              <w:rPr>
                <w:rFonts w:ascii="Calibri" w:hAnsi="Calibri"/>
                <w:color w:val="000000"/>
                <w:szCs w:val="20"/>
              </w:rPr>
            </w:pPr>
            <w:r w:rsidRPr="006E7A2E">
              <w:rPr>
                <w:color w:val="000000"/>
                <w:szCs w:val="20"/>
              </w:rPr>
              <w:t>Project management, design and stakeholder management</w:t>
            </w:r>
          </w:p>
        </w:tc>
        <w:tc>
          <w:tcPr>
            <w:tcW w:w="2849" w:type="dxa"/>
            <w:tcBorders>
              <w:top w:val="single" w:sz="4" w:space="0" w:color="FFFFFF" w:themeColor="background1"/>
              <w:bottom w:val="single" w:sz="4" w:space="0" w:color="FFFFFF" w:themeColor="background1"/>
            </w:tcBorders>
            <w:vAlign w:val="bottom"/>
          </w:tcPr>
          <w:p w:rsidR="0073468F" w:rsidRPr="005712E2" w:rsidRDefault="0073468F" w:rsidP="00913F56">
            <w:pPr>
              <w:ind w:right="1027"/>
              <w:jc w:val="right"/>
              <w:cnfStyle w:val="000000000000" w:firstRow="0" w:lastRow="0" w:firstColumn="0" w:lastColumn="0" w:oddVBand="0" w:evenVBand="0" w:oddHBand="0" w:evenHBand="0" w:firstRowFirstColumn="0" w:firstRowLastColumn="0" w:lastRowFirstColumn="0" w:lastRowLastColumn="0"/>
              <w:rPr>
                <w:color w:val="000000"/>
                <w:szCs w:val="20"/>
              </w:rPr>
            </w:pPr>
            <w:r w:rsidRPr="00C60B71">
              <w:rPr>
                <w:rFonts w:ascii="Calibri" w:hAnsi="Calibri" w:cs="Calibri"/>
                <w:color w:val="000000"/>
                <w:szCs w:val="20"/>
              </w:rPr>
              <w:t>$5.8</w:t>
            </w:r>
          </w:p>
        </w:tc>
      </w:tr>
      <w:tr w:rsidR="0073468F" w:rsidTr="00CB7F61">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FFFFFF" w:themeColor="background1"/>
              <w:bottom w:val="single" w:sz="4" w:space="0" w:color="FFFFFF" w:themeColor="background1"/>
            </w:tcBorders>
            <w:vAlign w:val="bottom"/>
          </w:tcPr>
          <w:p w:rsidR="0073468F" w:rsidRPr="009F0034" w:rsidRDefault="0073468F" w:rsidP="0073468F">
            <w:pPr>
              <w:rPr>
                <w:rFonts w:ascii="Calibri" w:hAnsi="Calibri"/>
                <w:color w:val="000000"/>
                <w:szCs w:val="20"/>
              </w:rPr>
            </w:pPr>
            <w:r w:rsidRPr="006E7A2E">
              <w:rPr>
                <w:color w:val="000000"/>
                <w:szCs w:val="20"/>
              </w:rPr>
              <w:t>Material</w:t>
            </w:r>
          </w:p>
        </w:tc>
        <w:tc>
          <w:tcPr>
            <w:tcW w:w="2849" w:type="dxa"/>
            <w:tcBorders>
              <w:top w:val="single" w:sz="4" w:space="0" w:color="FFFFFF" w:themeColor="background1"/>
              <w:bottom w:val="single" w:sz="4" w:space="0" w:color="FFFFFF" w:themeColor="background1"/>
            </w:tcBorders>
            <w:vAlign w:val="bottom"/>
          </w:tcPr>
          <w:p w:rsidR="0073468F" w:rsidRPr="005712E2" w:rsidRDefault="0073468F" w:rsidP="00913F56">
            <w:pPr>
              <w:ind w:right="1027"/>
              <w:jc w:val="right"/>
              <w:cnfStyle w:val="000000000000" w:firstRow="0" w:lastRow="0" w:firstColumn="0" w:lastColumn="0" w:oddVBand="0" w:evenVBand="0" w:oddHBand="0" w:evenHBand="0" w:firstRowFirstColumn="0" w:firstRowLastColumn="0" w:lastRowFirstColumn="0" w:lastRowLastColumn="0"/>
              <w:rPr>
                <w:color w:val="000000"/>
                <w:szCs w:val="20"/>
              </w:rPr>
            </w:pPr>
            <w:r w:rsidRPr="00C60B71">
              <w:rPr>
                <w:rFonts w:ascii="Calibri" w:hAnsi="Calibri" w:cs="Calibri"/>
                <w:color w:val="000000"/>
                <w:szCs w:val="20"/>
              </w:rPr>
              <w:t>$20.0</w:t>
            </w:r>
          </w:p>
        </w:tc>
      </w:tr>
      <w:tr w:rsidR="0073468F" w:rsidTr="00CB7F61">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FFFFFF" w:themeColor="background1"/>
              <w:bottom w:val="single" w:sz="4" w:space="0" w:color="FFFFFF" w:themeColor="background1"/>
            </w:tcBorders>
            <w:vAlign w:val="bottom"/>
          </w:tcPr>
          <w:p w:rsidR="0073468F" w:rsidRPr="009F0034" w:rsidRDefault="0073468F" w:rsidP="0073468F">
            <w:pPr>
              <w:rPr>
                <w:rFonts w:ascii="Calibri" w:hAnsi="Calibri"/>
                <w:color w:val="000000"/>
                <w:szCs w:val="20"/>
              </w:rPr>
            </w:pPr>
            <w:r w:rsidRPr="006E7A2E">
              <w:rPr>
                <w:color w:val="000000"/>
                <w:szCs w:val="20"/>
              </w:rPr>
              <w:t>Fuel</w:t>
            </w:r>
          </w:p>
        </w:tc>
        <w:tc>
          <w:tcPr>
            <w:tcW w:w="2849" w:type="dxa"/>
            <w:tcBorders>
              <w:top w:val="single" w:sz="4" w:space="0" w:color="FFFFFF" w:themeColor="background1"/>
              <w:bottom w:val="single" w:sz="4" w:space="0" w:color="FFFFFF" w:themeColor="background1"/>
            </w:tcBorders>
            <w:vAlign w:val="bottom"/>
          </w:tcPr>
          <w:p w:rsidR="0073468F" w:rsidRPr="005712E2" w:rsidRDefault="0073468F" w:rsidP="00913F56">
            <w:pPr>
              <w:ind w:right="1027"/>
              <w:jc w:val="right"/>
              <w:cnfStyle w:val="000000000000" w:firstRow="0" w:lastRow="0" w:firstColumn="0" w:lastColumn="0" w:oddVBand="0" w:evenVBand="0" w:oddHBand="0" w:evenHBand="0" w:firstRowFirstColumn="0" w:firstRowLastColumn="0" w:lastRowFirstColumn="0" w:lastRowLastColumn="0"/>
              <w:rPr>
                <w:color w:val="000000"/>
                <w:szCs w:val="20"/>
              </w:rPr>
            </w:pPr>
            <w:r w:rsidRPr="00C60B71">
              <w:rPr>
                <w:rFonts w:ascii="Calibri" w:hAnsi="Calibri" w:cs="Calibri"/>
                <w:color w:val="000000"/>
                <w:szCs w:val="20"/>
              </w:rPr>
              <w:t>$0.0</w:t>
            </w:r>
          </w:p>
        </w:tc>
      </w:tr>
      <w:tr w:rsidR="0073468F" w:rsidTr="00CB7F61">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FFFFFF" w:themeColor="background1"/>
              <w:bottom w:val="single" w:sz="4" w:space="0" w:color="FFFFFF" w:themeColor="background1"/>
            </w:tcBorders>
            <w:vAlign w:val="bottom"/>
          </w:tcPr>
          <w:p w:rsidR="0073468F" w:rsidRPr="009F0034" w:rsidRDefault="0073468F" w:rsidP="0073468F">
            <w:pPr>
              <w:rPr>
                <w:rFonts w:ascii="Calibri" w:hAnsi="Calibri"/>
                <w:color w:val="000000"/>
                <w:szCs w:val="20"/>
              </w:rPr>
            </w:pPr>
            <w:r w:rsidRPr="006E7A2E">
              <w:rPr>
                <w:color w:val="000000"/>
                <w:szCs w:val="20"/>
              </w:rPr>
              <w:t>Plant</w:t>
            </w:r>
          </w:p>
        </w:tc>
        <w:tc>
          <w:tcPr>
            <w:tcW w:w="2849" w:type="dxa"/>
            <w:tcBorders>
              <w:top w:val="single" w:sz="4" w:space="0" w:color="FFFFFF" w:themeColor="background1"/>
              <w:bottom w:val="single" w:sz="4" w:space="0" w:color="FFFFFF" w:themeColor="background1"/>
            </w:tcBorders>
            <w:vAlign w:val="bottom"/>
          </w:tcPr>
          <w:p w:rsidR="0073468F" w:rsidRPr="005712E2" w:rsidRDefault="0073468F" w:rsidP="00913F56">
            <w:pPr>
              <w:ind w:right="1027"/>
              <w:jc w:val="right"/>
              <w:cnfStyle w:val="000000000000" w:firstRow="0" w:lastRow="0" w:firstColumn="0" w:lastColumn="0" w:oddVBand="0" w:evenVBand="0" w:oddHBand="0" w:evenHBand="0" w:firstRowFirstColumn="0" w:firstRowLastColumn="0" w:lastRowFirstColumn="0" w:lastRowLastColumn="0"/>
              <w:rPr>
                <w:color w:val="000000"/>
                <w:szCs w:val="20"/>
              </w:rPr>
            </w:pPr>
            <w:r w:rsidRPr="00C60B71">
              <w:rPr>
                <w:rFonts w:ascii="Calibri" w:hAnsi="Calibri" w:cs="Calibri"/>
                <w:color w:val="000000"/>
                <w:szCs w:val="20"/>
              </w:rPr>
              <w:t>$6.5</w:t>
            </w:r>
          </w:p>
        </w:tc>
      </w:tr>
      <w:tr w:rsidR="0073468F" w:rsidTr="00CB7F61">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FFFFFF" w:themeColor="background1"/>
              <w:bottom w:val="single" w:sz="4" w:space="0" w:color="auto"/>
            </w:tcBorders>
            <w:vAlign w:val="bottom"/>
          </w:tcPr>
          <w:p w:rsidR="0073468F" w:rsidRPr="009F0034" w:rsidRDefault="0073468F" w:rsidP="0073468F">
            <w:pPr>
              <w:rPr>
                <w:rFonts w:ascii="Calibri" w:hAnsi="Calibri"/>
                <w:color w:val="000000"/>
                <w:szCs w:val="20"/>
              </w:rPr>
            </w:pPr>
            <w:r w:rsidRPr="006E7A2E">
              <w:rPr>
                <w:color w:val="000000"/>
                <w:szCs w:val="20"/>
              </w:rPr>
              <w:t>Other</w:t>
            </w:r>
          </w:p>
        </w:tc>
        <w:tc>
          <w:tcPr>
            <w:tcW w:w="2849" w:type="dxa"/>
            <w:tcBorders>
              <w:top w:val="single" w:sz="4" w:space="0" w:color="FFFFFF" w:themeColor="background1"/>
              <w:bottom w:val="single" w:sz="4" w:space="0" w:color="auto"/>
            </w:tcBorders>
            <w:vAlign w:val="bottom"/>
          </w:tcPr>
          <w:p w:rsidR="0073468F" w:rsidRPr="005712E2" w:rsidRDefault="0073468F" w:rsidP="00913F56">
            <w:pPr>
              <w:ind w:right="1027"/>
              <w:jc w:val="right"/>
              <w:cnfStyle w:val="000000000000" w:firstRow="0" w:lastRow="0" w:firstColumn="0" w:lastColumn="0" w:oddVBand="0" w:evenVBand="0" w:oddHBand="0" w:evenHBand="0" w:firstRowFirstColumn="0" w:firstRowLastColumn="0" w:lastRowFirstColumn="0" w:lastRowLastColumn="0"/>
              <w:rPr>
                <w:color w:val="000000"/>
                <w:szCs w:val="20"/>
              </w:rPr>
            </w:pPr>
            <w:r w:rsidRPr="00C60B71">
              <w:rPr>
                <w:rFonts w:ascii="Calibri" w:hAnsi="Calibri" w:cs="Calibri"/>
                <w:color w:val="000000"/>
                <w:szCs w:val="20"/>
              </w:rPr>
              <w:t>$4.4</w:t>
            </w:r>
          </w:p>
        </w:tc>
      </w:tr>
      <w:tr w:rsidR="0073468F" w:rsidTr="00CB7F61">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auto"/>
              <w:bottom w:val="single" w:sz="4" w:space="0" w:color="auto"/>
            </w:tcBorders>
            <w:shd w:val="clear" w:color="auto" w:fill="F2F2F2" w:themeFill="background1" w:themeFillShade="F2"/>
            <w:vAlign w:val="bottom"/>
          </w:tcPr>
          <w:p w:rsidR="0073468F" w:rsidRPr="009F0034" w:rsidRDefault="0073468F" w:rsidP="0073468F">
            <w:pPr>
              <w:rPr>
                <w:rFonts w:ascii="Calibri" w:hAnsi="Calibri"/>
                <w:b/>
                <w:bCs/>
                <w:color w:val="000000"/>
                <w:szCs w:val="20"/>
              </w:rPr>
            </w:pPr>
            <w:r w:rsidRPr="009F0034">
              <w:rPr>
                <w:rFonts w:ascii="Calibri" w:hAnsi="Calibri"/>
                <w:b/>
                <w:bCs/>
                <w:color w:val="000000"/>
                <w:szCs w:val="20"/>
              </w:rPr>
              <w:t>Total</w:t>
            </w:r>
          </w:p>
        </w:tc>
        <w:tc>
          <w:tcPr>
            <w:tcW w:w="2849" w:type="dxa"/>
            <w:tcBorders>
              <w:top w:val="single" w:sz="4" w:space="0" w:color="auto"/>
              <w:bottom w:val="single" w:sz="4" w:space="0" w:color="auto"/>
            </w:tcBorders>
            <w:shd w:val="clear" w:color="auto" w:fill="F2F2F2" w:themeFill="background1" w:themeFillShade="F2"/>
            <w:vAlign w:val="bottom"/>
          </w:tcPr>
          <w:p w:rsidR="0073468F" w:rsidRPr="005712E2" w:rsidRDefault="0073468F" w:rsidP="00913F56">
            <w:pPr>
              <w:ind w:right="1027"/>
              <w:jc w:val="right"/>
              <w:cnfStyle w:val="000000000000" w:firstRow="0" w:lastRow="0" w:firstColumn="0" w:lastColumn="0" w:oddVBand="0" w:evenVBand="0" w:oddHBand="0" w:evenHBand="0" w:firstRowFirstColumn="0" w:firstRowLastColumn="0" w:lastRowFirstColumn="0" w:lastRowLastColumn="0"/>
              <w:rPr>
                <w:b/>
                <w:color w:val="000000"/>
                <w:szCs w:val="20"/>
              </w:rPr>
            </w:pPr>
            <w:r w:rsidRPr="00C60B71">
              <w:rPr>
                <w:rFonts w:ascii="Calibri" w:hAnsi="Calibri" w:cs="Calibri"/>
                <w:b/>
                <w:bCs/>
                <w:color w:val="000000"/>
                <w:szCs w:val="20"/>
              </w:rPr>
              <w:t>$50.0</w:t>
            </w:r>
          </w:p>
        </w:tc>
      </w:tr>
    </w:tbl>
    <w:p w:rsidR="00CB7F61" w:rsidRDefault="00CB7F61" w:rsidP="00CB7F61">
      <w:pPr>
        <w:pStyle w:val="MJAnormal"/>
        <w:rPr>
          <w:rFonts w:asciiTheme="minorHAnsi" w:hAnsiTheme="minorHAnsi"/>
          <w:i/>
          <w:sz w:val="18"/>
          <w:szCs w:val="18"/>
        </w:rPr>
      </w:pPr>
      <w:r w:rsidRPr="00F675D9">
        <w:rPr>
          <w:rFonts w:asciiTheme="minorHAnsi" w:hAnsiTheme="minorHAnsi"/>
          <w:i/>
          <w:sz w:val="18"/>
          <w:szCs w:val="18"/>
        </w:rPr>
        <w:t>Source: MJA estimates</w:t>
      </w:r>
      <w:r>
        <w:rPr>
          <w:rFonts w:asciiTheme="minorHAnsi" w:hAnsiTheme="minorHAnsi"/>
          <w:i/>
          <w:sz w:val="18"/>
          <w:szCs w:val="18"/>
        </w:rPr>
        <w:t xml:space="preserve"> using information and data on forecast expenditures provided by Murrumbidgee Irrigation and the </w:t>
      </w:r>
      <w:r w:rsidRPr="00061E10">
        <w:rPr>
          <w:rFonts w:asciiTheme="minorHAnsi" w:hAnsiTheme="minorHAnsi"/>
          <w:i/>
          <w:sz w:val="18"/>
          <w:szCs w:val="18"/>
        </w:rPr>
        <w:t>Department of Agriculture and Water Resources</w:t>
      </w:r>
      <w:r>
        <w:rPr>
          <w:rFonts w:asciiTheme="minorHAnsi" w:hAnsiTheme="minorHAnsi"/>
          <w:i/>
          <w:sz w:val="18"/>
          <w:szCs w:val="18"/>
        </w:rPr>
        <w:t>.</w:t>
      </w:r>
    </w:p>
    <w:p w:rsidR="00AA5E6C" w:rsidRDefault="00AA5E6C" w:rsidP="00CB7F61">
      <w:pPr>
        <w:pStyle w:val="MJAnormal"/>
        <w:rPr>
          <w:rFonts w:asciiTheme="minorHAnsi" w:hAnsiTheme="minorHAnsi"/>
          <w:i/>
          <w:sz w:val="18"/>
          <w:szCs w:val="18"/>
        </w:rPr>
      </w:pPr>
    </w:p>
    <w:p w:rsidR="00405524" w:rsidRDefault="00405524" w:rsidP="00405524">
      <w:pPr>
        <w:pStyle w:val="Caption"/>
      </w:pPr>
      <w:bookmarkStart w:id="205" w:name="_Toc494892449"/>
      <w:r>
        <w:t xml:space="preserve">Table </w:t>
      </w:r>
      <w:fldSimple w:instr=" SEQ Table \* ARABIC ">
        <w:r w:rsidR="002F2E38">
          <w:rPr>
            <w:noProof/>
          </w:rPr>
          <w:t>20</w:t>
        </w:r>
      </w:fldSimple>
      <w:r>
        <w:rPr>
          <w:noProof/>
        </w:rPr>
        <w:t>:</w:t>
      </w:r>
      <w:r>
        <w:t xml:space="preserve"> PIIOP off-farm expenditure Round </w:t>
      </w:r>
      <w:r w:rsidR="00B37B0B">
        <w:t>2</w:t>
      </w:r>
      <w:r>
        <w:t xml:space="preserve"> GST Exclusive</w:t>
      </w:r>
      <w:r w:rsidR="0073468F">
        <w:t xml:space="preserve"> $million</w:t>
      </w:r>
      <w:bookmarkEnd w:id="205"/>
    </w:p>
    <w:tbl>
      <w:tblPr>
        <w:tblStyle w:val="MJATable1"/>
        <w:tblW w:w="8647" w:type="dxa"/>
        <w:tblLook w:val="04A0" w:firstRow="1" w:lastRow="0" w:firstColumn="1" w:lastColumn="0" w:noHBand="0" w:noVBand="1"/>
      </w:tblPr>
      <w:tblGrid>
        <w:gridCol w:w="5798"/>
        <w:gridCol w:w="2849"/>
      </w:tblGrid>
      <w:tr w:rsidR="00405524" w:rsidTr="00982D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98" w:type="dxa"/>
          </w:tcPr>
          <w:p w:rsidR="00405524" w:rsidRPr="009F0034" w:rsidRDefault="00405524" w:rsidP="00982D8A">
            <w:pPr>
              <w:rPr>
                <w:szCs w:val="20"/>
              </w:rPr>
            </w:pPr>
            <w:r>
              <w:rPr>
                <w:szCs w:val="20"/>
              </w:rPr>
              <w:t>Cost category</w:t>
            </w:r>
          </w:p>
        </w:tc>
        <w:tc>
          <w:tcPr>
            <w:tcW w:w="2849" w:type="dxa"/>
          </w:tcPr>
          <w:p w:rsidR="00405524" w:rsidRPr="009F0034" w:rsidRDefault="00405524" w:rsidP="00982D8A">
            <w:pPr>
              <w:cnfStyle w:val="100000000000" w:firstRow="1" w:lastRow="0" w:firstColumn="0" w:lastColumn="0" w:oddVBand="0" w:evenVBand="0" w:oddHBand="0" w:evenHBand="0" w:firstRowFirstColumn="0" w:firstRowLastColumn="0" w:lastRowFirstColumn="0" w:lastRowLastColumn="0"/>
              <w:rPr>
                <w:szCs w:val="20"/>
              </w:rPr>
            </w:pPr>
            <w:r>
              <w:rPr>
                <w:szCs w:val="20"/>
              </w:rPr>
              <w:t>Expenditure</w:t>
            </w:r>
          </w:p>
        </w:tc>
      </w:tr>
      <w:tr w:rsidR="00AA3513" w:rsidTr="00982D8A">
        <w:tc>
          <w:tcPr>
            <w:cnfStyle w:val="001000000000" w:firstRow="0" w:lastRow="0" w:firstColumn="1" w:lastColumn="0" w:oddVBand="0" w:evenVBand="0" w:oddHBand="0" w:evenHBand="0" w:firstRowFirstColumn="0" w:firstRowLastColumn="0" w:lastRowFirstColumn="0" w:lastRowLastColumn="0"/>
            <w:tcW w:w="5798" w:type="dxa"/>
            <w:tcBorders>
              <w:bottom w:val="single" w:sz="4" w:space="0" w:color="FFFFFF" w:themeColor="background1"/>
            </w:tcBorders>
            <w:vAlign w:val="bottom"/>
          </w:tcPr>
          <w:p w:rsidR="00AA3513" w:rsidRPr="009F0034" w:rsidRDefault="00AA3513" w:rsidP="00AA3513">
            <w:pPr>
              <w:rPr>
                <w:rFonts w:ascii="Calibri" w:hAnsi="Calibri"/>
                <w:color w:val="000000"/>
                <w:szCs w:val="20"/>
              </w:rPr>
            </w:pPr>
            <w:r w:rsidRPr="006E7A2E">
              <w:rPr>
                <w:color w:val="000000"/>
                <w:szCs w:val="20"/>
              </w:rPr>
              <w:t>Labour</w:t>
            </w:r>
          </w:p>
        </w:tc>
        <w:tc>
          <w:tcPr>
            <w:tcW w:w="2849" w:type="dxa"/>
            <w:tcBorders>
              <w:bottom w:val="single" w:sz="4" w:space="0" w:color="FFFFFF" w:themeColor="background1"/>
            </w:tcBorders>
            <w:vAlign w:val="bottom"/>
          </w:tcPr>
          <w:p w:rsidR="00AA3513" w:rsidRPr="00913F56" w:rsidRDefault="00AA3513" w:rsidP="00913F56">
            <w:pPr>
              <w:ind w:right="1027"/>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$31.1</w:t>
            </w:r>
          </w:p>
        </w:tc>
      </w:tr>
      <w:tr w:rsidR="00AA3513" w:rsidTr="00982D8A">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FFFFFF" w:themeColor="background1"/>
              <w:bottom w:val="single" w:sz="4" w:space="0" w:color="FFFFFF" w:themeColor="background1"/>
            </w:tcBorders>
            <w:vAlign w:val="bottom"/>
          </w:tcPr>
          <w:p w:rsidR="00AA3513" w:rsidRPr="009F0034" w:rsidRDefault="00AA3513" w:rsidP="00AA3513">
            <w:pPr>
              <w:rPr>
                <w:rFonts w:ascii="Calibri" w:hAnsi="Calibri"/>
                <w:color w:val="000000"/>
                <w:szCs w:val="20"/>
              </w:rPr>
            </w:pPr>
            <w:r w:rsidRPr="006E7A2E">
              <w:rPr>
                <w:color w:val="000000"/>
                <w:szCs w:val="20"/>
              </w:rPr>
              <w:t>Project management, design and stakeholder management</w:t>
            </w:r>
          </w:p>
        </w:tc>
        <w:tc>
          <w:tcPr>
            <w:tcW w:w="2849" w:type="dxa"/>
            <w:tcBorders>
              <w:top w:val="single" w:sz="4" w:space="0" w:color="FFFFFF" w:themeColor="background1"/>
              <w:bottom w:val="single" w:sz="4" w:space="0" w:color="FFFFFF" w:themeColor="background1"/>
            </w:tcBorders>
            <w:vAlign w:val="bottom"/>
          </w:tcPr>
          <w:p w:rsidR="00AA3513" w:rsidRPr="00913F56" w:rsidRDefault="00AA3513" w:rsidP="00913F56">
            <w:pPr>
              <w:ind w:right="1027"/>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$13.5</w:t>
            </w:r>
          </w:p>
        </w:tc>
      </w:tr>
      <w:tr w:rsidR="00AA3513" w:rsidTr="00982D8A">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FFFFFF" w:themeColor="background1"/>
              <w:bottom w:val="single" w:sz="4" w:space="0" w:color="FFFFFF" w:themeColor="background1"/>
            </w:tcBorders>
            <w:vAlign w:val="bottom"/>
          </w:tcPr>
          <w:p w:rsidR="00AA3513" w:rsidRPr="009F0034" w:rsidRDefault="00AA3513" w:rsidP="00AA3513">
            <w:pPr>
              <w:rPr>
                <w:rFonts w:ascii="Calibri" w:hAnsi="Calibri"/>
                <w:color w:val="000000"/>
                <w:szCs w:val="20"/>
              </w:rPr>
            </w:pPr>
            <w:r w:rsidRPr="006E7A2E">
              <w:rPr>
                <w:color w:val="000000"/>
                <w:szCs w:val="20"/>
              </w:rPr>
              <w:t>Material</w:t>
            </w:r>
          </w:p>
        </w:tc>
        <w:tc>
          <w:tcPr>
            <w:tcW w:w="2849" w:type="dxa"/>
            <w:tcBorders>
              <w:top w:val="single" w:sz="4" w:space="0" w:color="FFFFFF" w:themeColor="background1"/>
              <w:bottom w:val="single" w:sz="4" w:space="0" w:color="FFFFFF" w:themeColor="background1"/>
            </w:tcBorders>
            <w:vAlign w:val="bottom"/>
          </w:tcPr>
          <w:p w:rsidR="00AA3513" w:rsidRPr="00913F56" w:rsidRDefault="00AA3513" w:rsidP="00913F56">
            <w:pPr>
              <w:ind w:right="1027"/>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$46.7</w:t>
            </w:r>
          </w:p>
        </w:tc>
      </w:tr>
      <w:tr w:rsidR="00AA3513" w:rsidTr="00982D8A">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FFFFFF" w:themeColor="background1"/>
              <w:bottom w:val="single" w:sz="4" w:space="0" w:color="FFFFFF" w:themeColor="background1"/>
            </w:tcBorders>
            <w:vAlign w:val="bottom"/>
          </w:tcPr>
          <w:p w:rsidR="00AA3513" w:rsidRPr="009F0034" w:rsidRDefault="00AA3513" w:rsidP="00AA3513">
            <w:pPr>
              <w:rPr>
                <w:rFonts w:ascii="Calibri" w:hAnsi="Calibri"/>
                <w:color w:val="000000"/>
                <w:szCs w:val="20"/>
              </w:rPr>
            </w:pPr>
            <w:r w:rsidRPr="006E7A2E">
              <w:rPr>
                <w:color w:val="000000"/>
                <w:szCs w:val="20"/>
              </w:rPr>
              <w:t>Fuel</w:t>
            </w:r>
          </w:p>
        </w:tc>
        <w:tc>
          <w:tcPr>
            <w:tcW w:w="2849" w:type="dxa"/>
            <w:tcBorders>
              <w:top w:val="single" w:sz="4" w:space="0" w:color="FFFFFF" w:themeColor="background1"/>
              <w:bottom w:val="single" w:sz="4" w:space="0" w:color="FFFFFF" w:themeColor="background1"/>
            </w:tcBorders>
            <w:vAlign w:val="bottom"/>
          </w:tcPr>
          <w:p w:rsidR="00AA3513" w:rsidRPr="00913F56" w:rsidRDefault="00AA3513" w:rsidP="00913F56">
            <w:pPr>
              <w:ind w:right="1027"/>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r>
      <w:tr w:rsidR="00AA3513" w:rsidTr="00982D8A">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FFFFFF" w:themeColor="background1"/>
              <w:bottom w:val="single" w:sz="4" w:space="0" w:color="FFFFFF" w:themeColor="background1"/>
            </w:tcBorders>
            <w:vAlign w:val="bottom"/>
          </w:tcPr>
          <w:p w:rsidR="00AA3513" w:rsidRPr="009F0034" w:rsidRDefault="00AA3513" w:rsidP="00AA3513">
            <w:pPr>
              <w:rPr>
                <w:rFonts w:ascii="Calibri" w:hAnsi="Calibri"/>
                <w:color w:val="000000"/>
                <w:szCs w:val="20"/>
              </w:rPr>
            </w:pPr>
            <w:r w:rsidRPr="006E7A2E">
              <w:rPr>
                <w:color w:val="000000"/>
                <w:szCs w:val="20"/>
              </w:rPr>
              <w:t>Plant</w:t>
            </w:r>
          </w:p>
        </w:tc>
        <w:tc>
          <w:tcPr>
            <w:tcW w:w="2849" w:type="dxa"/>
            <w:tcBorders>
              <w:top w:val="single" w:sz="4" w:space="0" w:color="FFFFFF" w:themeColor="background1"/>
              <w:bottom w:val="single" w:sz="4" w:space="0" w:color="FFFFFF" w:themeColor="background1"/>
            </w:tcBorders>
            <w:vAlign w:val="bottom"/>
          </w:tcPr>
          <w:p w:rsidR="00AA3513" w:rsidRPr="00913F56" w:rsidRDefault="00AA3513" w:rsidP="00913F56">
            <w:pPr>
              <w:ind w:right="1027"/>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$15.1</w:t>
            </w:r>
          </w:p>
        </w:tc>
      </w:tr>
      <w:tr w:rsidR="00AA3513" w:rsidTr="00982D8A">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FFFFFF" w:themeColor="background1"/>
              <w:bottom w:val="single" w:sz="4" w:space="0" w:color="auto"/>
            </w:tcBorders>
            <w:vAlign w:val="bottom"/>
          </w:tcPr>
          <w:p w:rsidR="00AA3513" w:rsidRPr="009F0034" w:rsidRDefault="00AA3513" w:rsidP="00AA3513">
            <w:pPr>
              <w:rPr>
                <w:rFonts w:ascii="Calibri" w:hAnsi="Calibri"/>
                <w:color w:val="000000"/>
                <w:szCs w:val="20"/>
              </w:rPr>
            </w:pPr>
            <w:r w:rsidRPr="006E7A2E">
              <w:rPr>
                <w:color w:val="000000"/>
                <w:szCs w:val="20"/>
              </w:rPr>
              <w:t>Other</w:t>
            </w:r>
          </w:p>
        </w:tc>
        <w:tc>
          <w:tcPr>
            <w:tcW w:w="2849" w:type="dxa"/>
            <w:tcBorders>
              <w:top w:val="single" w:sz="4" w:space="0" w:color="FFFFFF" w:themeColor="background1"/>
              <w:bottom w:val="single" w:sz="4" w:space="0" w:color="auto"/>
            </w:tcBorders>
            <w:vAlign w:val="bottom"/>
          </w:tcPr>
          <w:p w:rsidR="00AA3513" w:rsidRPr="00913F56" w:rsidRDefault="00AA3513" w:rsidP="00913F56">
            <w:pPr>
              <w:ind w:right="1027"/>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$10.2</w:t>
            </w:r>
          </w:p>
        </w:tc>
      </w:tr>
      <w:tr w:rsidR="00AA3513" w:rsidTr="00982D8A">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auto"/>
              <w:bottom w:val="single" w:sz="4" w:space="0" w:color="auto"/>
            </w:tcBorders>
            <w:shd w:val="clear" w:color="auto" w:fill="F2F2F2" w:themeFill="background1" w:themeFillShade="F2"/>
            <w:vAlign w:val="bottom"/>
          </w:tcPr>
          <w:p w:rsidR="00AA3513" w:rsidRPr="009F0034" w:rsidRDefault="00AA3513" w:rsidP="00AA3513">
            <w:pPr>
              <w:rPr>
                <w:rFonts w:ascii="Calibri" w:hAnsi="Calibri"/>
                <w:b/>
                <w:bCs/>
                <w:color w:val="000000"/>
                <w:szCs w:val="20"/>
              </w:rPr>
            </w:pPr>
            <w:r w:rsidRPr="009F0034">
              <w:rPr>
                <w:rFonts w:ascii="Calibri" w:hAnsi="Calibri"/>
                <w:b/>
                <w:bCs/>
                <w:color w:val="000000"/>
                <w:szCs w:val="20"/>
              </w:rPr>
              <w:t>Total</w:t>
            </w:r>
          </w:p>
        </w:tc>
        <w:tc>
          <w:tcPr>
            <w:tcW w:w="2849" w:type="dxa"/>
            <w:tcBorders>
              <w:top w:val="single" w:sz="4" w:space="0" w:color="auto"/>
              <w:bottom w:val="single" w:sz="4" w:space="0" w:color="auto"/>
            </w:tcBorders>
            <w:shd w:val="clear" w:color="auto" w:fill="F2F2F2" w:themeFill="background1" w:themeFillShade="F2"/>
            <w:vAlign w:val="bottom"/>
          </w:tcPr>
          <w:p w:rsidR="00AA3513" w:rsidRPr="00913F56" w:rsidRDefault="00AA3513" w:rsidP="00913F56">
            <w:pPr>
              <w:ind w:right="1027"/>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b/>
                <w:bCs/>
                <w:color w:val="000000"/>
                <w:szCs w:val="20"/>
              </w:rPr>
              <w:t>$116.6</w:t>
            </w:r>
          </w:p>
        </w:tc>
      </w:tr>
    </w:tbl>
    <w:p w:rsidR="00405524" w:rsidRDefault="00405524" w:rsidP="00CB7F61">
      <w:pPr>
        <w:pStyle w:val="MJAnormal"/>
        <w:rPr>
          <w:rFonts w:asciiTheme="minorHAnsi" w:hAnsiTheme="minorHAnsi"/>
          <w:i/>
          <w:sz w:val="18"/>
          <w:szCs w:val="18"/>
        </w:rPr>
      </w:pPr>
      <w:r w:rsidRPr="00F675D9">
        <w:rPr>
          <w:rFonts w:asciiTheme="minorHAnsi" w:hAnsiTheme="minorHAnsi"/>
          <w:i/>
          <w:sz w:val="18"/>
          <w:szCs w:val="18"/>
        </w:rPr>
        <w:t>Source: MJA estimates</w:t>
      </w:r>
      <w:r>
        <w:rPr>
          <w:rFonts w:asciiTheme="minorHAnsi" w:hAnsiTheme="minorHAnsi"/>
          <w:i/>
          <w:sz w:val="18"/>
          <w:szCs w:val="18"/>
        </w:rPr>
        <w:t xml:space="preserve"> using information and data on forecast expenditures provided by Murrumbidgee Irrigation and the </w:t>
      </w:r>
      <w:r w:rsidRPr="00061E10">
        <w:rPr>
          <w:rFonts w:asciiTheme="minorHAnsi" w:hAnsiTheme="minorHAnsi"/>
          <w:i/>
          <w:sz w:val="18"/>
          <w:szCs w:val="18"/>
        </w:rPr>
        <w:t>Department of Agriculture and Water Resources</w:t>
      </w:r>
      <w:r>
        <w:rPr>
          <w:rFonts w:asciiTheme="minorHAnsi" w:hAnsiTheme="minorHAnsi"/>
          <w:i/>
          <w:sz w:val="18"/>
          <w:szCs w:val="18"/>
        </w:rPr>
        <w:t>.</w:t>
      </w:r>
    </w:p>
    <w:p w:rsidR="00AA5E6C" w:rsidRDefault="00AA5E6C" w:rsidP="00CB7F61">
      <w:pPr>
        <w:pStyle w:val="MJAnormal"/>
        <w:rPr>
          <w:rFonts w:asciiTheme="minorHAnsi" w:hAnsiTheme="minorHAnsi"/>
          <w:i/>
          <w:sz w:val="18"/>
          <w:szCs w:val="18"/>
        </w:rPr>
      </w:pPr>
    </w:p>
    <w:p w:rsidR="00574C65" w:rsidRDefault="00574C65" w:rsidP="00CB7F61">
      <w:pPr>
        <w:pStyle w:val="MJAnormal"/>
        <w:rPr>
          <w:rFonts w:asciiTheme="minorHAnsi" w:hAnsiTheme="minorHAnsi"/>
          <w:i/>
          <w:sz w:val="18"/>
          <w:szCs w:val="18"/>
        </w:rPr>
      </w:pPr>
    </w:p>
    <w:p w:rsidR="00AA5E6C" w:rsidRDefault="00AA5E6C" w:rsidP="00CB7F61">
      <w:pPr>
        <w:pStyle w:val="MJAnormal"/>
        <w:rPr>
          <w:rFonts w:asciiTheme="minorHAnsi" w:hAnsiTheme="minorHAnsi"/>
          <w:i/>
          <w:sz w:val="18"/>
          <w:szCs w:val="18"/>
        </w:rPr>
      </w:pPr>
    </w:p>
    <w:p w:rsidR="00405524" w:rsidRDefault="00405524" w:rsidP="00405524">
      <w:pPr>
        <w:pStyle w:val="Caption"/>
      </w:pPr>
      <w:bookmarkStart w:id="206" w:name="_Toc494892450"/>
      <w:r>
        <w:t xml:space="preserve">Table </w:t>
      </w:r>
      <w:fldSimple w:instr=" SEQ Table \* ARABIC ">
        <w:r w:rsidR="002F2E38">
          <w:rPr>
            <w:noProof/>
          </w:rPr>
          <w:t>21</w:t>
        </w:r>
      </w:fldSimple>
      <w:r>
        <w:rPr>
          <w:noProof/>
        </w:rPr>
        <w:t>:</w:t>
      </w:r>
      <w:r>
        <w:t xml:space="preserve"> PII</w:t>
      </w:r>
      <w:r w:rsidR="00B37B0B">
        <w:t>OP off-farm expenditure Round 3</w:t>
      </w:r>
      <w:r>
        <w:t xml:space="preserve"> GST Exclusive</w:t>
      </w:r>
      <w:r w:rsidR="009E283D">
        <w:t xml:space="preserve"> $million</w:t>
      </w:r>
      <w:bookmarkEnd w:id="206"/>
    </w:p>
    <w:tbl>
      <w:tblPr>
        <w:tblStyle w:val="MJATable1"/>
        <w:tblW w:w="8647" w:type="dxa"/>
        <w:tblLook w:val="04A0" w:firstRow="1" w:lastRow="0" w:firstColumn="1" w:lastColumn="0" w:noHBand="0" w:noVBand="1"/>
      </w:tblPr>
      <w:tblGrid>
        <w:gridCol w:w="5798"/>
        <w:gridCol w:w="2849"/>
      </w:tblGrid>
      <w:tr w:rsidR="00405524" w:rsidTr="00982D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98" w:type="dxa"/>
          </w:tcPr>
          <w:p w:rsidR="00405524" w:rsidRPr="009F0034" w:rsidRDefault="00405524" w:rsidP="00982D8A">
            <w:pPr>
              <w:rPr>
                <w:szCs w:val="20"/>
              </w:rPr>
            </w:pPr>
            <w:r>
              <w:rPr>
                <w:szCs w:val="20"/>
              </w:rPr>
              <w:t>Cost category</w:t>
            </w:r>
          </w:p>
        </w:tc>
        <w:tc>
          <w:tcPr>
            <w:tcW w:w="2849" w:type="dxa"/>
          </w:tcPr>
          <w:p w:rsidR="00405524" w:rsidRPr="009F0034" w:rsidRDefault="00405524" w:rsidP="00982D8A">
            <w:pPr>
              <w:cnfStyle w:val="100000000000" w:firstRow="1" w:lastRow="0" w:firstColumn="0" w:lastColumn="0" w:oddVBand="0" w:evenVBand="0" w:oddHBand="0" w:evenHBand="0" w:firstRowFirstColumn="0" w:firstRowLastColumn="0" w:lastRowFirstColumn="0" w:lastRowLastColumn="0"/>
              <w:rPr>
                <w:szCs w:val="20"/>
              </w:rPr>
            </w:pPr>
            <w:r>
              <w:rPr>
                <w:szCs w:val="20"/>
              </w:rPr>
              <w:t>Expenditure</w:t>
            </w:r>
          </w:p>
        </w:tc>
      </w:tr>
      <w:tr w:rsidR="009E283D" w:rsidTr="00982D8A">
        <w:tc>
          <w:tcPr>
            <w:cnfStyle w:val="001000000000" w:firstRow="0" w:lastRow="0" w:firstColumn="1" w:lastColumn="0" w:oddVBand="0" w:evenVBand="0" w:oddHBand="0" w:evenHBand="0" w:firstRowFirstColumn="0" w:firstRowLastColumn="0" w:lastRowFirstColumn="0" w:lastRowLastColumn="0"/>
            <w:tcW w:w="5798" w:type="dxa"/>
            <w:tcBorders>
              <w:bottom w:val="single" w:sz="4" w:space="0" w:color="FFFFFF" w:themeColor="background1"/>
            </w:tcBorders>
            <w:vAlign w:val="bottom"/>
          </w:tcPr>
          <w:p w:rsidR="009E283D" w:rsidRPr="009F0034" w:rsidRDefault="009E283D" w:rsidP="009E283D">
            <w:pPr>
              <w:rPr>
                <w:rFonts w:ascii="Calibri" w:hAnsi="Calibri"/>
                <w:color w:val="000000"/>
                <w:szCs w:val="20"/>
              </w:rPr>
            </w:pPr>
            <w:r w:rsidRPr="006E7A2E">
              <w:rPr>
                <w:color w:val="000000"/>
                <w:szCs w:val="20"/>
              </w:rPr>
              <w:t>Labour</w:t>
            </w:r>
          </w:p>
        </w:tc>
        <w:tc>
          <w:tcPr>
            <w:tcW w:w="2849" w:type="dxa"/>
            <w:tcBorders>
              <w:bottom w:val="single" w:sz="4" w:space="0" w:color="FFFFFF" w:themeColor="background1"/>
            </w:tcBorders>
            <w:vAlign w:val="bottom"/>
          </w:tcPr>
          <w:p w:rsidR="009E283D" w:rsidRPr="00913F56" w:rsidRDefault="009E283D" w:rsidP="00913F56">
            <w:pPr>
              <w:ind w:right="1027"/>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$20.2</w:t>
            </w:r>
          </w:p>
        </w:tc>
      </w:tr>
      <w:tr w:rsidR="009E283D" w:rsidTr="00982D8A">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FFFFFF" w:themeColor="background1"/>
              <w:bottom w:val="single" w:sz="4" w:space="0" w:color="FFFFFF" w:themeColor="background1"/>
            </w:tcBorders>
            <w:vAlign w:val="bottom"/>
          </w:tcPr>
          <w:p w:rsidR="009E283D" w:rsidRPr="009F0034" w:rsidRDefault="009E283D" w:rsidP="009E283D">
            <w:pPr>
              <w:rPr>
                <w:rFonts w:ascii="Calibri" w:hAnsi="Calibri"/>
                <w:color w:val="000000"/>
                <w:szCs w:val="20"/>
              </w:rPr>
            </w:pPr>
            <w:r w:rsidRPr="006E7A2E">
              <w:rPr>
                <w:color w:val="000000"/>
                <w:szCs w:val="20"/>
              </w:rPr>
              <w:t>Project management, design and stakeholder management</w:t>
            </w:r>
          </w:p>
        </w:tc>
        <w:tc>
          <w:tcPr>
            <w:tcW w:w="2849" w:type="dxa"/>
            <w:tcBorders>
              <w:top w:val="single" w:sz="4" w:space="0" w:color="FFFFFF" w:themeColor="background1"/>
              <w:bottom w:val="single" w:sz="4" w:space="0" w:color="FFFFFF" w:themeColor="background1"/>
            </w:tcBorders>
            <w:vAlign w:val="bottom"/>
          </w:tcPr>
          <w:p w:rsidR="009E283D" w:rsidRPr="00913F56" w:rsidRDefault="009E283D" w:rsidP="00913F56">
            <w:pPr>
              <w:ind w:right="1027"/>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$11.0</w:t>
            </w:r>
          </w:p>
        </w:tc>
      </w:tr>
      <w:tr w:rsidR="009E283D" w:rsidTr="00982D8A">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FFFFFF" w:themeColor="background1"/>
              <w:bottom w:val="single" w:sz="4" w:space="0" w:color="FFFFFF" w:themeColor="background1"/>
            </w:tcBorders>
            <w:vAlign w:val="bottom"/>
          </w:tcPr>
          <w:p w:rsidR="009E283D" w:rsidRPr="009F0034" w:rsidRDefault="009E283D" w:rsidP="009E283D">
            <w:pPr>
              <w:rPr>
                <w:rFonts w:ascii="Calibri" w:hAnsi="Calibri"/>
                <w:color w:val="000000"/>
                <w:szCs w:val="20"/>
              </w:rPr>
            </w:pPr>
            <w:r w:rsidRPr="006E7A2E">
              <w:rPr>
                <w:color w:val="000000"/>
                <w:szCs w:val="20"/>
              </w:rPr>
              <w:t>Material</w:t>
            </w:r>
          </w:p>
        </w:tc>
        <w:tc>
          <w:tcPr>
            <w:tcW w:w="2849" w:type="dxa"/>
            <w:tcBorders>
              <w:top w:val="single" w:sz="4" w:space="0" w:color="FFFFFF" w:themeColor="background1"/>
              <w:bottom w:val="single" w:sz="4" w:space="0" w:color="FFFFFF" w:themeColor="background1"/>
            </w:tcBorders>
            <w:vAlign w:val="bottom"/>
          </w:tcPr>
          <w:p w:rsidR="009E283D" w:rsidRPr="00913F56" w:rsidRDefault="009E283D" w:rsidP="00913F56">
            <w:pPr>
              <w:ind w:right="1027"/>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$35.7</w:t>
            </w:r>
          </w:p>
        </w:tc>
      </w:tr>
      <w:tr w:rsidR="009E283D" w:rsidTr="00982D8A">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FFFFFF" w:themeColor="background1"/>
              <w:bottom w:val="single" w:sz="4" w:space="0" w:color="FFFFFF" w:themeColor="background1"/>
            </w:tcBorders>
            <w:vAlign w:val="bottom"/>
          </w:tcPr>
          <w:p w:rsidR="009E283D" w:rsidRPr="009F0034" w:rsidRDefault="009E283D" w:rsidP="009E283D">
            <w:pPr>
              <w:rPr>
                <w:rFonts w:ascii="Calibri" w:hAnsi="Calibri"/>
                <w:color w:val="000000"/>
                <w:szCs w:val="20"/>
              </w:rPr>
            </w:pPr>
            <w:r w:rsidRPr="006E7A2E">
              <w:rPr>
                <w:color w:val="000000"/>
                <w:szCs w:val="20"/>
              </w:rPr>
              <w:t>Fuel</w:t>
            </w:r>
          </w:p>
        </w:tc>
        <w:tc>
          <w:tcPr>
            <w:tcW w:w="2849" w:type="dxa"/>
            <w:tcBorders>
              <w:top w:val="single" w:sz="4" w:space="0" w:color="FFFFFF" w:themeColor="background1"/>
              <w:bottom w:val="single" w:sz="4" w:space="0" w:color="FFFFFF" w:themeColor="background1"/>
            </w:tcBorders>
            <w:vAlign w:val="bottom"/>
          </w:tcPr>
          <w:p w:rsidR="009E283D" w:rsidRPr="00913F56" w:rsidRDefault="009E283D" w:rsidP="00913F56">
            <w:pPr>
              <w:ind w:right="1027"/>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r>
      <w:tr w:rsidR="009E283D" w:rsidTr="00982D8A">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FFFFFF" w:themeColor="background1"/>
              <w:bottom w:val="single" w:sz="4" w:space="0" w:color="FFFFFF" w:themeColor="background1"/>
            </w:tcBorders>
            <w:vAlign w:val="bottom"/>
          </w:tcPr>
          <w:p w:rsidR="009E283D" w:rsidRPr="009F0034" w:rsidRDefault="009E283D" w:rsidP="009E283D">
            <w:pPr>
              <w:rPr>
                <w:rFonts w:ascii="Calibri" w:hAnsi="Calibri"/>
                <w:color w:val="000000"/>
                <w:szCs w:val="20"/>
              </w:rPr>
            </w:pPr>
            <w:r w:rsidRPr="006E7A2E">
              <w:rPr>
                <w:color w:val="000000"/>
                <w:szCs w:val="20"/>
              </w:rPr>
              <w:t>Plant</w:t>
            </w:r>
          </w:p>
        </w:tc>
        <w:tc>
          <w:tcPr>
            <w:tcW w:w="2849" w:type="dxa"/>
            <w:tcBorders>
              <w:top w:val="single" w:sz="4" w:space="0" w:color="FFFFFF" w:themeColor="background1"/>
              <w:bottom w:val="single" w:sz="4" w:space="0" w:color="FFFFFF" w:themeColor="background1"/>
            </w:tcBorders>
            <w:vAlign w:val="bottom"/>
          </w:tcPr>
          <w:p w:rsidR="009E283D" w:rsidRPr="00913F56" w:rsidRDefault="009E283D" w:rsidP="00913F56">
            <w:pPr>
              <w:ind w:right="1027"/>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$9.9</w:t>
            </w:r>
          </w:p>
        </w:tc>
      </w:tr>
      <w:tr w:rsidR="009E283D" w:rsidTr="00982D8A">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FFFFFF" w:themeColor="background1"/>
              <w:bottom w:val="single" w:sz="4" w:space="0" w:color="auto"/>
            </w:tcBorders>
            <w:vAlign w:val="bottom"/>
          </w:tcPr>
          <w:p w:rsidR="009E283D" w:rsidRPr="009F0034" w:rsidRDefault="009E283D" w:rsidP="009E283D">
            <w:pPr>
              <w:rPr>
                <w:rFonts w:ascii="Calibri" w:hAnsi="Calibri"/>
                <w:color w:val="000000"/>
                <w:szCs w:val="20"/>
              </w:rPr>
            </w:pPr>
            <w:r w:rsidRPr="006E7A2E">
              <w:rPr>
                <w:color w:val="000000"/>
                <w:szCs w:val="20"/>
              </w:rPr>
              <w:t>Other</w:t>
            </w:r>
          </w:p>
        </w:tc>
        <w:tc>
          <w:tcPr>
            <w:tcW w:w="2849" w:type="dxa"/>
            <w:tcBorders>
              <w:top w:val="single" w:sz="4" w:space="0" w:color="FFFFFF" w:themeColor="background1"/>
              <w:bottom w:val="single" w:sz="4" w:space="0" w:color="auto"/>
            </w:tcBorders>
            <w:vAlign w:val="bottom"/>
          </w:tcPr>
          <w:p w:rsidR="009E283D" w:rsidRPr="00913F56" w:rsidRDefault="009E283D" w:rsidP="00913F56">
            <w:pPr>
              <w:ind w:right="1027"/>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$8.1</w:t>
            </w:r>
          </w:p>
        </w:tc>
      </w:tr>
      <w:tr w:rsidR="009E283D" w:rsidTr="00982D8A">
        <w:tc>
          <w:tcPr>
            <w:cnfStyle w:val="001000000000" w:firstRow="0" w:lastRow="0" w:firstColumn="1" w:lastColumn="0" w:oddVBand="0" w:evenVBand="0" w:oddHBand="0" w:evenHBand="0" w:firstRowFirstColumn="0" w:firstRowLastColumn="0" w:lastRowFirstColumn="0" w:lastRowLastColumn="0"/>
            <w:tcW w:w="5798" w:type="dxa"/>
            <w:tcBorders>
              <w:top w:val="single" w:sz="4" w:space="0" w:color="auto"/>
              <w:bottom w:val="single" w:sz="4" w:space="0" w:color="auto"/>
            </w:tcBorders>
            <w:shd w:val="clear" w:color="auto" w:fill="F2F2F2" w:themeFill="background1" w:themeFillShade="F2"/>
            <w:vAlign w:val="bottom"/>
          </w:tcPr>
          <w:p w:rsidR="009E283D" w:rsidRPr="009F0034" w:rsidRDefault="009E283D" w:rsidP="009E283D">
            <w:pPr>
              <w:rPr>
                <w:rFonts w:ascii="Calibri" w:hAnsi="Calibri"/>
                <w:b/>
                <w:bCs/>
                <w:color w:val="000000"/>
                <w:szCs w:val="20"/>
              </w:rPr>
            </w:pPr>
            <w:r w:rsidRPr="009F0034">
              <w:rPr>
                <w:rFonts w:ascii="Calibri" w:hAnsi="Calibri"/>
                <w:b/>
                <w:bCs/>
                <w:color w:val="000000"/>
                <w:szCs w:val="20"/>
              </w:rPr>
              <w:t>Total</w:t>
            </w:r>
          </w:p>
        </w:tc>
        <w:tc>
          <w:tcPr>
            <w:tcW w:w="2849" w:type="dxa"/>
            <w:tcBorders>
              <w:top w:val="single" w:sz="4" w:space="0" w:color="auto"/>
              <w:bottom w:val="single" w:sz="4" w:space="0" w:color="auto"/>
            </w:tcBorders>
            <w:shd w:val="clear" w:color="auto" w:fill="F2F2F2" w:themeFill="background1" w:themeFillShade="F2"/>
            <w:vAlign w:val="bottom"/>
          </w:tcPr>
          <w:p w:rsidR="009E283D" w:rsidRPr="00913F56" w:rsidRDefault="009E283D" w:rsidP="00913F56">
            <w:pPr>
              <w:ind w:right="1027"/>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b/>
                <w:bCs/>
                <w:color w:val="000000"/>
                <w:szCs w:val="20"/>
              </w:rPr>
              <w:t>$84.9</w:t>
            </w:r>
          </w:p>
        </w:tc>
      </w:tr>
    </w:tbl>
    <w:p w:rsidR="00CB7F61" w:rsidRPr="00F675D9" w:rsidRDefault="00405524" w:rsidP="00CB7F61">
      <w:pPr>
        <w:pStyle w:val="MJAnormal"/>
        <w:rPr>
          <w:rFonts w:asciiTheme="minorHAnsi" w:hAnsiTheme="minorHAnsi"/>
          <w:i/>
          <w:sz w:val="18"/>
          <w:szCs w:val="18"/>
        </w:rPr>
      </w:pPr>
      <w:r w:rsidRPr="00F675D9">
        <w:rPr>
          <w:rFonts w:asciiTheme="minorHAnsi" w:hAnsiTheme="minorHAnsi"/>
          <w:i/>
          <w:sz w:val="18"/>
          <w:szCs w:val="18"/>
        </w:rPr>
        <w:t>Source: MJA estimates</w:t>
      </w:r>
      <w:r>
        <w:rPr>
          <w:rFonts w:asciiTheme="minorHAnsi" w:hAnsiTheme="minorHAnsi"/>
          <w:i/>
          <w:sz w:val="18"/>
          <w:szCs w:val="18"/>
        </w:rPr>
        <w:t xml:space="preserve"> using information and data on forecast expenditures provided by Murrumbidgee Irrigation and the </w:t>
      </w:r>
      <w:r w:rsidRPr="00061E10">
        <w:rPr>
          <w:rFonts w:asciiTheme="minorHAnsi" w:hAnsiTheme="minorHAnsi"/>
          <w:i/>
          <w:sz w:val="18"/>
          <w:szCs w:val="18"/>
        </w:rPr>
        <w:t>Department of Agriculture and Water Resources</w:t>
      </w:r>
      <w:r>
        <w:rPr>
          <w:rFonts w:asciiTheme="minorHAnsi" w:hAnsiTheme="minorHAnsi"/>
          <w:i/>
          <w:sz w:val="18"/>
          <w:szCs w:val="18"/>
        </w:rPr>
        <w:t>.</w:t>
      </w:r>
    </w:p>
    <w:p w:rsidR="00CB7F61" w:rsidRDefault="00CB7F61" w:rsidP="00583D9E">
      <w:pPr>
        <w:pStyle w:val="MJAheading2"/>
        <w:numPr>
          <w:ilvl w:val="0"/>
          <w:numId w:val="0"/>
        </w:numPr>
      </w:pPr>
      <w:bookmarkStart w:id="207" w:name="_Toc494892288"/>
      <w:r>
        <w:t>Goods and services — PIIOP on-farm</w:t>
      </w:r>
      <w:bookmarkEnd w:id="207"/>
      <w:r>
        <w:t xml:space="preserve"> </w:t>
      </w:r>
    </w:p>
    <w:p w:rsidR="00CB7F61" w:rsidRDefault="00CB7F61" w:rsidP="00CB7F61">
      <w:pPr>
        <w:pStyle w:val="Caption"/>
        <w:spacing w:before="360"/>
      </w:pPr>
      <w:bookmarkStart w:id="208" w:name="_Toc494892451"/>
      <w:r>
        <w:t xml:space="preserve">Table </w:t>
      </w:r>
      <w:fldSimple w:instr=" SEQ Table \* ARABIC ">
        <w:r w:rsidR="002F2E38">
          <w:rPr>
            <w:noProof/>
          </w:rPr>
          <w:t>22</w:t>
        </w:r>
      </w:fldSimple>
      <w:r>
        <w:rPr>
          <w:noProof/>
        </w:rPr>
        <w:t>:</w:t>
      </w:r>
      <w:r>
        <w:t xml:space="preserve"> PIIOP on-farm expenditure GST Exclusive</w:t>
      </w:r>
      <w:r w:rsidR="009E283D">
        <w:t xml:space="preserve"> $million</w:t>
      </w:r>
      <w:bookmarkEnd w:id="208"/>
    </w:p>
    <w:tbl>
      <w:tblPr>
        <w:tblStyle w:val="MJATable1"/>
        <w:tblW w:w="0" w:type="auto"/>
        <w:tblLook w:val="04A0" w:firstRow="1" w:lastRow="0" w:firstColumn="1" w:lastColumn="0" w:noHBand="0" w:noVBand="1"/>
      </w:tblPr>
      <w:tblGrid>
        <w:gridCol w:w="3402"/>
        <w:gridCol w:w="2268"/>
      </w:tblGrid>
      <w:tr w:rsidR="00CB7F61" w:rsidTr="00CB7F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rsidR="00CB7F61" w:rsidRPr="009F0034" w:rsidRDefault="00CB7F61" w:rsidP="00CB7F61">
            <w:pPr>
              <w:rPr>
                <w:szCs w:val="20"/>
              </w:rPr>
            </w:pPr>
            <w:r>
              <w:rPr>
                <w:szCs w:val="20"/>
              </w:rPr>
              <w:t>Cost category</w:t>
            </w:r>
          </w:p>
        </w:tc>
        <w:tc>
          <w:tcPr>
            <w:tcW w:w="2268" w:type="dxa"/>
          </w:tcPr>
          <w:p w:rsidR="00CB7F61" w:rsidRPr="009F0034" w:rsidRDefault="00CB7F61" w:rsidP="00CB7F61">
            <w:pPr>
              <w:cnfStyle w:val="100000000000" w:firstRow="1" w:lastRow="0" w:firstColumn="0" w:lastColumn="0" w:oddVBand="0" w:evenVBand="0" w:oddHBand="0" w:evenHBand="0" w:firstRowFirstColumn="0" w:firstRowLastColumn="0" w:lastRowFirstColumn="0" w:lastRowLastColumn="0"/>
              <w:rPr>
                <w:szCs w:val="20"/>
              </w:rPr>
            </w:pPr>
            <w:r>
              <w:rPr>
                <w:szCs w:val="20"/>
              </w:rPr>
              <w:t>Expenditure</w:t>
            </w:r>
          </w:p>
        </w:tc>
      </w:tr>
      <w:tr w:rsidR="009E283D" w:rsidTr="00CB7F61">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FFFFFF" w:themeColor="background1"/>
            </w:tcBorders>
            <w:vAlign w:val="bottom"/>
          </w:tcPr>
          <w:p w:rsidR="009E283D" w:rsidRPr="009F0034" w:rsidRDefault="009E283D" w:rsidP="009E283D">
            <w:pPr>
              <w:rPr>
                <w:rFonts w:ascii="Calibri" w:hAnsi="Calibri"/>
                <w:color w:val="000000"/>
                <w:szCs w:val="20"/>
              </w:rPr>
            </w:pPr>
            <w:r w:rsidRPr="009F0034">
              <w:rPr>
                <w:rFonts w:ascii="Calibri" w:hAnsi="Calibri"/>
                <w:color w:val="000000"/>
                <w:szCs w:val="20"/>
              </w:rPr>
              <w:t>Drips</w:t>
            </w:r>
          </w:p>
        </w:tc>
        <w:tc>
          <w:tcPr>
            <w:tcW w:w="2268" w:type="dxa"/>
            <w:tcBorders>
              <w:bottom w:val="single" w:sz="4" w:space="0" w:color="FFFFFF" w:themeColor="background1"/>
            </w:tcBorders>
            <w:vAlign w:val="bottom"/>
          </w:tcPr>
          <w:p w:rsidR="009E283D" w:rsidRPr="005712E2" w:rsidRDefault="009E283D" w:rsidP="00671D0E">
            <w:pPr>
              <w:ind w:right="763"/>
              <w:jc w:val="right"/>
              <w:cnfStyle w:val="000000000000" w:firstRow="0" w:lastRow="0" w:firstColumn="0" w:lastColumn="0" w:oddVBand="0" w:evenVBand="0" w:oddHBand="0" w:evenHBand="0" w:firstRowFirstColumn="0" w:firstRowLastColumn="0" w:lastRowFirstColumn="0" w:lastRowLastColumn="0"/>
              <w:rPr>
                <w:color w:val="000000"/>
                <w:szCs w:val="20"/>
              </w:rPr>
            </w:pPr>
            <w:r w:rsidRPr="00C60B71">
              <w:rPr>
                <w:rFonts w:ascii="Calibri" w:hAnsi="Calibri" w:cs="Calibri"/>
                <w:color w:val="000000"/>
                <w:szCs w:val="20"/>
              </w:rPr>
              <w:t>$29.9</w:t>
            </w:r>
          </w:p>
        </w:tc>
      </w:tr>
      <w:tr w:rsidR="009E283D" w:rsidTr="00CB7F61">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bottom w:val="single" w:sz="4" w:space="0" w:color="FFFFFF" w:themeColor="background1"/>
            </w:tcBorders>
            <w:vAlign w:val="bottom"/>
          </w:tcPr>
          <w:p w:rsidR="009E283D" w:rsidRPr="009F0034" w:rsidRDefault="009E283D" w:rsidP="009E283D">
            <w:pPr>
              <w:rPr>
                <w:rFonts w:ascii="Calibri" w:hAnsi="Calibri"/>
                <w:color w:val="000000"/>
                <w:szCs w:val="20"/>
              </w:rPr>
            </w:pPr>
            <w:r w:rsidRPr="009F0034">
              <w:rPr>
                <w:rFonts w:ascii="Calibri" w:hAnsi="Calibri"/>
                <w:color w:val="000000"/>
                <w:szCs w:val="20"/>
              </w:rPr>
              <w:t>Pipes</w:t>
            </w:r>
          </w:p>
        </w:tc>
        <w:tc>
          <w:tcPr>
            <w:tcW w:w="2268" w:type="dxa"/>
            <w:tcBorders>
              <w:top w:val="single" w:sz="4" w:space="0" w:color="FFFFFF" w:themeColor="background1"/>
              <w:bottom w:val="single" w:sz="4" w:space="0" w:color="FFFFFF" w:themeColor="background1"/>
            </w:tcBorders>
            <w:vAlign w:val="bottom"/>
          </w:tcPr>
          <w:p w:rsidR="009E283D" w:rsidRPr="005712E2" w:rsidRDefault="009E283D" w:rsidP="00671D0E">
            <w:pPr>
              <w:ind w:right="763"/>
              <w:jc w:val="right"/>
              <w:cnfStyle w:val="000000000000" w:firstRow="0" w:lastRow="0" w:firstColumn="0" w:lastColumn="0" w:oddVBand="0" w:evenVBand="0" w:oddHBand="0" w:evenHBand="0" w:firstRowFirstColumn="0" w:firstRowLastColumn="0" w:lastRowFirstColumn="0" w:lastRowLastColumn="0"/>
              <w:rPr>
                <w:color w:val="000000"/>
                <w:szCs w:val="20"/>
              </w:rPr>
            </w:pPr>
            <w:r w:rsidRPr="00C60B71">
              <w:rPr>
                <w:rFonts w:ascii="Calibri" w:hAnsi="Calibri" w:cs="Calibri"/>
                <w:color w:val="000000"/>
                <w:szCs w:val="20"/>
              </w:rPr>
              <w:t>$1.3</w:t>
            </w:r>
          </w:p>
        </w:tc>
      </w:tr>
      <w:tr w:rsidR="009E283D" w:rsidTr="00CB7F61">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bottom w:val="single" w:sz="4" w:space="0" w:color="FFFFFF" w:themeColor="background1"/>
            </w:tcBorders>
            <w:vAlign w:val="bottom"/>
          </w:tcPr>
          <w:p w:rsidR="009E283D" w:rsidRPr="009F0034" w:rsidRDefault="009E283D" w:rsidP="009E283D">
            <w:pPr>
              <w:rPr>
                <w:rFonts w:ascii="Calibri" w:hAnsi="Calibri"/>
                <w:color w:val="000000"/>
                <w:szCs w:val="20"/>
              </w:rPr>
            </w:pPr>
            <w:r w:rsidRPr="009F0034">
              <w:rPr>
                <w:rFonts w:ascii="Calibri" w:hAnsi="Calibri"/>
                <w:color w:val="000000"/>
                <w:szCs w:val="20"/>
              </w:rPr>
              <w:t>Excavation</w:t>
            </w:r>
          </w:p>
        </w:tc>
        <w:tc>
          <w:tcPr>
            <w:tcW w:w="2268" w:type="dxa"/>
            <w:tcBorders>
              <w:top w:val="single" w:sz="4" w:space="0" w:color="FFFFFF" w:themeColor="background1"/>
              <w:bottom w:val="single" w:sz="4" w:space="0" w:color="FFFFFF" w:themeColor="background1"/>
            </w:tcBorders>
            <w:vAlign w:val="bottom"/>
          </w:tcPr>
          <w:p w:rsidR="009E283D" w:rsidRPr="005712E2" w:rsidRDefault="009E283D" w:rsidP="00671D0E">
            <w:pPr>
              <w:ind w:right="763"/>
              <w:jc w:val="right"/>
              <w:cnfStyle w:val="000000000000" w:firstRow="0" w:lastRow="0" w:firstColumn="0" w:lastColumn="0" w:oddVBand="0" w:evenVBand="0" w:oddHBand="0" w:evenHBand="0" w:firstRowFirstColumn="0" w:firstRowLastColumn="0" w:lastRowFirstColumn="0" w:lastRowLastColumn="0"/>
              <w:rPr>
                <w:color w:val="000000"/>
                <w:szCs w:val="20"/>
              </w:rPr>
            </w:pPr>
            <w:r w:rsidRPr="00C60B71">
              <w:rPr>
                <w:rFonts w:ascii="Calibri" w:hAnsi="Calibri" w:cs="Calibri"/>
                <w:color w:val="000000"/>
                <w:szCs w:val="20"/>
              </w:rPr>
              <w:t>$15.5</w:t>
            </w:r>
          </w:p>
        </w:tc>
      </w:tr>
      <w:tr w:rsidR="009E283D" w:rsidTr="00CB7F61">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bottom w:val="single" w:sz="4" w:space="0" w:color="FFFFFF" w:themeColor="background1"/>
            </w:tcBorders>
            <w:vAlign w:val="bottom"/>
          </w:tcPr>
          <w:p w:rsidR="009E283D" w:rsidRPr="009F0034" w:rsidRDefault="009E283D" w:rsidP="009E283D">
            <w:pPr>
              <w:rPr>
                <w:rFonts w:ascii="Calibri" w:hAnsi="Calibri"/>
                <w:color w:val="000000"/>
                <w:szCs w:val="20"/>
              </w:rPr>
            </w:pPr>
            <w:r w:rsidRPr="009F0034">
              <w:rPr>
                <w:rFonts w:ascii="Calibri" w:hAnsi="Calibri"/>
                <w:color w:val="000000"/>
                <w:szCs w:val="20"/>
              </w:rPr>
              <w:t>Pumps</w:t>
            </w:r>
          </w:p>
        </w:tc>
        <w:tc>
          <w:tcPr>
            <w:tcW w:w="2268" w:type="dxa"/>
            <w:tcBorders>
              <w:top w:val="single" w:sz="4" w:space="0" w:color="FFFFFF" w:themeColor="background1"/>
              <w:bottom w:val="single" w:sz="4" w:space="0" w:color="FFFFFF" w:themeColor="background1"/>
            </w:tcBorders>
            <w:vAlign w:val="bottom"/>
          </w:tcPr>
          <w:p w:rsidR="009E283D" w:rsidRPr="00662ECB" w:rsidRDefault="009E283D" w:rsidP="00671D0E">
            <w:pPr>
              <w:ind w:right="763"/>
              <w:jc w:val="right"/>
              <w:cnfStyle w:val="000000000000" w:firstRow="0" w:lastRow="0" w:firstColumn="0" w:lastColumn="0" w:oddVBand="0" w:evenVBand="0" w:oddHBand="0" w:evenHBand="0" w:firstRowFirstColumn="0" w:firstRowLastColumn="0" w:lastRowFirstColumn="0" w:lastRowLastColumn="0"/>
              <w:rPr>
                <w:color w:val="000000"/>
                <w:szCs w:val="20"/>
              </w:rPr>
            </w:pPr>
            <w:r w:rsidRPr="00C60B71">
              <w:rPr>
                <w:rFonts w:ascii="Calibri" w:hAnsi="Calibri" w:cs="Calibri"/>
                <w:color w:val="000000"/>
                <w:szCs w:val="20"/>
              </w:rPr>
              <w:t>$8.9</w:t>
            </w:r>
          </w:p>
        </w:tc>
      </w:tr>
      <w:tr w:rsidR="009E283D" w:rsidTr="00CB7F61">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bottom w:val="single" w:sz="4" w:space="0" w:color="FFFFFF" w:themeColor="background1"/>
            </w:tcBorders>
            <w:vAlign w:val="bottom"/>
          </w:tcPr>
          <w:p w:rsidR="009E283D" w:rsidRPr="009F0034" w:rsidRDefault="009E283D" w:rsidP="009E283D">
            <w:pPr>
              <w:rPr>
                <w:rFonts w:ascii="Calibri" w:hAnsi="Calibri"/>
                <w:color w:val="000000"/>
                <w:szCs w:val="20"/>
              </w:rPr>
            </w:pPr>
            <w:r w:rsidRPr="009F0034">
              <w:rPr>
                <w:rFonts w:ascii="Calibri" w:hAnsi="Calibri"/>
                <w:color w:val="000000"/>
                <w:szCs w:val="20"/>
              </w:rPr>
              <w:t>Bores</w:t>
            </w:r>
          </w:p>
        </w:tc>
        <w:tc>
          <w:tcPr>
            <w:tcW w:w="2268" w:type="dxa"/>
            <w:tcBorders>
              <w:top w:val="single" w:sz="4" w:space="0" w:color="FFFFFF" w:themeColor="background1"/>
              <w:bottom w:val="single" w:sz="4" w:space="0" w:color="FFFFFF" w:themeColor="background1"/>
            </w:tcBorders>
            <w:vAlign w:val="bottom"/>
          </w:tcPr>
          <w:p w:rsidR="009E283D" w:rsidRPr="005712E2" w:rsidRDefault="009E283D" w:rsidP="00671D0E">
            <w:pPr>
              <w:ind w:right="763"/>
              <w:jc w:val="right"/>
              <w:cnfStyle w:val="000000000000" w:firstRow="0" w:lastRow="0" w:firstColumn="0" w:lastColumn="0" w:oddVBand="0" w:evenVBand="0" w:oddHBand="0" w:evenHBand="0" w:firstRowFirstColumn="0" w:firstRowLastColumn="0" w:lastRowFirstColumn="0" w:lastRowLastColumn="0"/>
              <w:rPr>
                <w:color w:val="000000"/>
                <w:szCs w:val="20"/>
              </w:rPr>
            </w:pPr>
            <w:r w:rsidRPr="00C60B71">
              <w:rPr>
                <w:rFonts w:ascii="Calibri" w:hAnsi="Calibri" w:cs="Calibri"/>
                <w:color w:val="000000"/>
                <w:szCs w:val="20"/>
              </w:rPr>
              <w:t>$0.1</w:t>
            </w:r>
          </w:p>
        </w:tc>
      </w:tr>
      <w:tr w:rsidR="009E283D" w:rsidTr="00CB7F61">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bottom w:val="single" w:sz="4" w:space="0" w:color="FFFFFF" w:themeColor="background1"/>
            </w:tcBorders>
            <w:vAlign w:val="bottom"/>
          </w:tcPr>
          <w:p w:rsidR="009E283D" w:rsidRPr="009F0034" w:rsidRDefault="009E283D" w:rsidP="009E283D">
            <w:pPr>
              <w:rPr>
                <w:rFonts w:ascii="Calibri" w:hAnsi="Calibri"/>
                <w:color w:val="000000"/>
                <w:szCs w:val="20"/>
              </w:rPr>
            </w:pPr>
            <w:r w:rsidRPr="009F0034">
              <w:rPr>
                <w:rFonts w:ascii="Calibri" w:hAnsi="Calibri"/>
                <w:color w:val="000000"/>
                <w:szCs w:val="20"/>
              </w:rPr>
              <w:t>Soil moisture monitoring</w:t>
            </w:r>
          </w:p>
        </w:tc>
        <w:tc>
          <w:tcPr>
            <w:tcW w:w="2268" w:type="dxa"/>
            <w:tcBorders>
              <w:top w:val="single" w:sz="4" w:space="0" w:color="FFFFFF" w:themeColor="background1"/>
              <w:bottom w:val="single" w:sz="4" w:space="0" w:color="FFFFFF" w:themeColor="background1"/>
            </w:tcBorders>
            <w:vAlign w:val="bottom"/>
          </w:tcPr>
          <w:p w:rsidR="009E283D" w:rsidRPr="005712E2" w:rsidRDefault="009E283D" w:rsidP="00671D0E">
            <w:pPr>
              <w:ind w:right="763"/>
              <w:jc w:val="right"/>
              <w:cnfStyle w:val="000000000000" w:firstRow="0" w:lastRow="0" w:firstColumn="0" w:lastColumn="0" w:oddVBand="0" w:evenVBand="0" w:oddHBand="0" w:evenHBand="0" w:firstRowFirstColumn="0" w:firstRowLastColumn="0" w:lastRowFirstColumn="0" w:lastRowLastColumn="0"/>
              <w:rPr>
                <w:color w:val="000000"/>
                <w:szCs w:val="20"/>
              </w:rPr>
            </w:pPr>
            <w:r w:rsidRPr="00C60B71">
              <w:rPr>
                <w:rFonts w:ascii="Calibri" w:hAnsi="Calibri" w:cs="Calibri"/>
                <w:color w:val="000000"/>
                <w:szCs w:val="20"/>
              </w:rPr>
              <w:t>$2.8</w:t>
            </w:r>
          </w:p>
        </w:tc>
      </w:tr>
      <w:tr w:rsidR="009E283D" w:rsidTr="00CB7F61">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FFFFFF" w:themeColor="background1"/>
              <w:bottom w:val="single" w:sz="4" w:space="0" w:color="auto"/>
            </w:tcBorders>
            <w:vAlign w:val="bottom"/>
          </w:tcPr>
          <w:p w:rsidR="009E283D" w:rsidRPr="009F0034" w:rsidRDefault="009E283D" w:rsidP="009E283D">
            <w:pPr>
              <w:rPr>
                <w:rFonts w:ascii="Calibri" w:hAnsi="Calibri"/>
                <w:color w:val="000000"/>
                <w:szCs w:val="20"/>
              </w:rPr>
            </w:pPr>
            <w:r w:rsidRPr="009F0034">
              <w:rPr>
                <w:rFonts w:ascii="Calibri" w:hAnsi="Calibri"/>
                <w:color w:val="000000"/>
                <w:szCs w:val="20"/>
              </w:rPr>
              <w:t>Troughs</w:t>
            </w:r>
          </w:p>
        </w:tc>
        <w:tc>
          <w:tcPr>
            <w:tcW w:w="2268" w:type="dxa"/>
            <w:tcBorders>
              <w:top w:val="single" w:sz="4" w:space="0" w:color="FFFFFF" w:themeColor="background1"/>
              <w:bottom w:val="single" w:sz="4" w:space="0" w:color="auto"/>
            </w:tcBorders>
            <w:vAlign w:val="bottom"/>
          </w:tcPr>
          <w:p w:rsidR="009E283D" w:rsidRPr="005712E2" w:rsidRDefault="009E283D" w:rsidP="00671D0E">
            <w:pPr>
              <w:ind w:right="763"/>
              <w:jc w:val="right"/>
              <w:cnfStyle w:val="000000000000" w:firstRow="0" w:lastRow="0" w:firstColumn="0" w:lastColumn="0" w:oddVBand="0" w:evenVBand="0" w:oddHBand="0" w:evenHBand="0" w:firstRowFirstColumn="0" w:firstRowLastColumn="0" w:lastRowFirstColumn="0" w:lastRowLastColumn="0"/>
              <w:rPr>
                <w:color w:val="000000"/>
                <w:szCs w:val="20"/>
              </w:rPr>
            </w:pPr>
            <w:r w:rsidRPr="00C60B71">
              <w:rPr>
                <w:rFonts w:ascii="Calibri" w:hAnsi="Calibri" w:cs="Calibri"/>
                <w:color w:val="000000"/>
                <w:szCs w:val="20"/>
              </w:rPr>
              <w:t>$0.1</w:t>
            </w:r>
          </w:p>
        </w:tc>
      </w:tr>
      <w:tr w:rsidR="009E283D" w:rsidTr="00CB7F61">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2F2F2" w:themeFill="background1" w:themeFillShade="F2"/>
            <w:vAlign w:val="bottom"/>
          </w:tcPr>
          <w:p w:rsidR="009E283D" w:rsidRPr="009F0034" w:rsidRDefault="009E283D" w:rsidP="009E283D">
            <w:pPr>
              <w:rPr>
                <w:rFonts w:ascii="Calibri" w:hAnsi="Calibri"/>
                <w:b/>
                <w:bCs/>
                <w:color w:val="000000"/>
                <w:szCs w:val="20"/>
              </w:rPr>
            </w:pPr>
            <w:r w:rsidRPr="009F0034">
              <w:rPr>
                <w:rFonts w:ascii="Calibri" w:hAnsi="Calibri"/>
                <w:b/>
                <w:bCs/>
                <w:color w:val="000000"/>
                <w:szCs w:val="20"/>
              </w:rPr>
              <w:t>Total</w:t>
            </w:r>
          </w:p>
        </w:tc>
        <w:tc>
          <w:tcPr>
            <w:tcW w:w="2268" w:type="dxa"/>
            <w:tcBorders>
              <w:top w:val="single" w:sz="4" w:space="0" w:color="auto"/>
              <w:bottom w:val="single" w:sz="4" w:space="0" w:color="auto"/>
            </w:tcBorders>
            <w:shd w:val="clear" w:color="auto" w:fill="F2F2F2" w:themeFill="background1" w:themeFillShade="F2"/>
            <w:vAlign w:val="bottom"/>
          </w:tcPr>
          <w:p w:rsidR="009E283D" w:rsidRPr="005712E2" w:rsidRDefault="009E283D" w:rsidP="00671D0E">
            <w:pPr>
              <w:ind w:right="763"/>
              <w:jc w:val="right"/>
              <w:cnfStyle w:val="000000000000" w:firstRow="0" w:lastRow="0" w:firstColumn="0" w:lastColumn="0" w:oddVBand="0" w:evenVBand="0" w:oddHBand="0" w:evenHBand="0" w:firstRowFirstColumn="0" w:firstRowLastColumn="0" w:lastRowFirstColumn="0" w:lastRowLastColumn="0"/>
              <w:rPr>
                <w:b/>
                <w:color w:val="000000"/>
                <w:szCs w:val="20"/>
              </w:rPr>
            </w:pPr>
            <w:r w:rsidRPr="00C60B71">
              <w:rPr>
                <w:rFonts w:ascii="Calibri" w:hAnsi="Calibri" w:cs="Calibri"/>
                <w:b/>
                <w:bCs/>
                <w:color w:val="000000"/>
                <w:szCs w:val="20"/>
              </w:rPr>
              <w:t>$58.5</w:t>
            </w:r>
          </w:p>
        </w:tc>
      </w:tr>
    </w:tbl>
    <w:p w:rsidR="00CB7F61" w:rsidRPr="00F675D9" w:rsidRDefault="00CB7F61" w:rsidP="00CB7F61">
      <w:pPr>
        <w:pStyle w:val="MJAnormal"/>
        <w:rPr>
          <w:rFonts w:asciiTheme="minorHAnsi" w:hAnsiTheme="minorHAnsi"/>
          <w:i/>
          <w:sz w:val="18"/>
          <w:szCs w:val="18"/>
        </w:rPr>
      </w:pPr>
      <w:r w:rsidRPr="00F675D9">
        <w:rPr>
          <w:rFonts w:asciiTheme="minorHAnsi" w:hAnsiTheme="minorHAnsi"/>
          <w:i/>
          <w:sz w:val="18"/>
          <w:szCs w:val="18"/>
        </w:rPr>
        <w:t>Source: MJA estimates</w:t>
      </w:r>
      <w:r>
        <w:rPr>
          <w:rFonts w:asciiTheme="minorHAnsi" w:hAnsiTheme="minorHAnsi"/>
          <w:i/>
          <w:sz w:val="18"/>
          <w:szCs w:val="18"/>
        </w:rPr>
        <w:t xml:space="preserve"> using information and data on actual expenditures provided by Murrumbidgee Irrigation. </w:t>
      </w:r>
    </w:p>
    <w:p w:rsidR="00CB7F61" w:rsidRDefault="00CB7F61" w:rsidP="00583D9E">
      <w:pPr>
        <w:pStyle w:val="MJAheading2"/>
        <w:numPr>
          <w:ilvl w:val="0"/>
          <w:numId w:val="0"/>
        </w:numPr>
      </w:pPr>
      <w:bookmarkStart w:id="209" w:name="_Toc494892289"/>
      <w:r>
        <w:t>Goods and services — OFIEP on-farm</w:t>
      </w:r>
      <w:bookmarkEnd w:id="209"/>
      <w:r>
        <w:t xml:space="preserve"> </w:t>
      </w:r>
    </w:p>
    <w:p w:rsidR="00CB7F61" w:rsidRDefault="00CB7F61" w:rsidP="00CB7F61">
      <w:pPr>
        <w:pStyle w:val="Caption"/>
        <w:spacing w:before="360"/>
      </w:pPr>
      <w:bookmarkStart w:id="210" w:name="_Toc494892452"/>
      <w:r>
        <w:t xml:space="preserve">Table </w:t>
      </w:r>
      <w:fldSimple w:instr=" SEQ Table \* ARABIC ">
        <w:r w:rsidR="002F2E38">
          <w:rPr>
            <w:noProof/>
          </w:rPr>
          <w:t>23</w:t>
        </w:r>
      </w:fldSimple>
      <w:r>
        <w:rPr>
          <w:noProof/>
        </w:rPr>
        <w:t>:</w:t>
      </w:r>
      <w:r>
        <w:t xml:space="preserve"> OFIEP expenditure – Round 1 GST Exclusive</w:t>
      </w:r>
      <w:r w:rsidR="008A68AF">
        <w:t xml:space="preserve"> $million</w:t>
      </w:r>
      <w:bookmarkEnd w:id="210"/>
    </w:p>
    <w:tbl>
      <w:tblPr>
        <w:tblStyle w:val="MJATable1"/>
        <w:tblW w:w="0" w:type="auto"/>
        <w:tblLayout w:type="fixed"/>
        <w:tblLook w:val="04A0" w:firstRow="1" w:lastRow="0" w:firstColumn="1" w:lastColumn="0" w:noHBand="0" w:noVBand="1"/>
      </w:tblPr>
      <w:tblGrid>
        <w:gridCol w:w="6148"/>
        <w:gridCol w:w="2216"/>
      </w:tblGrid>
      <w:tr w:rsidR="00CB7F61" w:rsidTr="00CB7F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48" w:type="dxa"/>
          </w:tcPr>
          <w:p w:rsidR="00CB7F61" w:rsidRPr="00732E9F" w:rsidRDefault="00CB7F61" w:rsidP="00CB7F61">
            <w:pPr>
              <w:rPr>
                <w:szCs w:val="20"/>
              </w:rPr>
            </w:pPr>
            <w:r w:rsidRPr="00732E9F">
              <w:rPr>
                <w:szCs w:val="20"/>
              </w:rPr>
              <w:t>Good and services class</w:t>
            </w:r>
          </w:p>
        </w:tc>
        <w:tc>
          <w:tcPr>
            <w:tcW w:w="2216" w:type="dxa"/>
            <w:vAlign w:val="bottom"/>
          </w:tcPr>
          <w:p w:rsidR="00CB7F61" w:rsidRPr="00732E9F" w:rsidRDefault="00CB7F61" w:rsidP="00CB7F61">
            <w:pPr>
              <w:ind w:right="36"/>
              <w:cnfStyle w:val="100000000000" w:firstRow="1" w:lastRow="0" w:firstColumn="0" w:lastColumn="0" w:oddVBand="0" w:evenVBand="0" w:oddHBand="0" w:evenHBand="0" w:firstRowFirstColumn="0" w:firstRowLastColumn="0" w:lastRowFirstColumn="0" w:lastRowLastColumn="0"/>
              <w:rPr>
                <w:szCs w:val="20"/>
              </w:rPr>
            </w:pPr>
            <w:r w:rsidRPr="00732E9F">
              <w:rPr>
                <w:szCs w:val="20"/>
              </w:rPr>
              <w:t>Expenditure</w:t>
            </w:r>
          </w:p>
        </w:tc>
      </w:tr>
      <w:tr w:rsidR="008A68AF" w:rsidTr="00CB7F61">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Planning and design</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$0.5</w:t>
            </w:r>
          </w:p>
        </w:tc>
      </w:tr>
      <w:tr w:rsidR="008A68AF" w:rsidTr="00CB7F61">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Landforming</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$5.9</w:t>
            </w:r>
          </w:p>
        </w:tc>
      </w:tr>
      <w:tr w:rsidR="008A68AF" w:rsidTr="00CB7F61">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Pipes and stops</w:t>
            </w:r>
          </w:p>
        </w:tc>
        <w:tc>
          <w:tcPr>
            <w:tcW w:w="2216" w:type="dxa"/>
            <w:vAlign w:val="bottom"/>
          </w:tcPr>
          <w:p w:rsidR="008A68AF" w:rsidRPr="00662ECB"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$1.6</w:t>
            </w:r>
          </w:p>
        </w:tc>
      </w:tr>
      <w:tr w:rsidR="008A68AF" w:rsidTr="00CB7F61">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Pumps</w:t>
            </w:r>
          </w:p>
        </w:tc>
        <w:tc>
          <w:tcPr>
            <w:tcW w:w="2216" w:type="dxa"/>
            <w:vAlign w:val="bottom"/>
          </w:tcPr>
          <w:p w:rsidR="008A68AF" w:rsidRPr="00662ECB"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$0.7</w:t>
            </w:r>
          </w:p>
        </w:tc>
      </w:tr>
      <w:tr w:rsidR="008A68AF" w:rsidTr="00CB7F61">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Earthworks for drains, channels and on-farm storage and pumps</w:t>
            </w:r>
          </w:p>
        </w:tc>
        <w:tc>
          <w:tcPr>
            <w:tcW w:w="2216" w:type="dxa"/>
            <w:vAlign w:val="bottom"/>
          </w:tcPr>
          <w:p w:rsidR="008A68AF" w:rsidRPr="00662ECB"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$1.0</w:t>
            </w:r>
          </w:p>
        </w:tc>
      </w:tr>
      <w:tr w:rsidR="008A68AF" w:rsidTr="00CB7F61">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Travelling irrigator</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$0.1</w:t>
            </w:r>
          </w:p>
        </w:tc>
      </w:tr>
      <w:tr w:rsidR="008A68AF" w:rsidTr="00CB7F61">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Telemetry and control system</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$0.1</w:t>
            </w:r>
          </w:p>
        </w:tc>
      </w:tr>
      <w:tr w:rsidR="008A68AF" w:rsidTr="00CB7F61">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Drip system</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$0.0</w:t>
            </w:r>
          </w:p>
        </w:tc>
      </w:tr>
      <w:tr w:rsidR="008A68AF" w:rsidTr="00CB7F61">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Fertigation and soil moisture monitoring</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$0.0</w:t>
            </w:r>
          </w:p>
        </w:tc>
      </w:tr>
      <w:tr w:rsidR="008A68AF" w:rsidTr="00CB7F61">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Ricegrowers administration cost</w:t>
            </w:r>
          </w:p>
        </w:tc>
        <w:tc>
          <w:tcPr>
            <w:tcW w:w="2216" w:type="dxa"/>
            <w:vAlign w:val="bottom"/>
          </w:tcPr>
          <w:p w:rsidR="008A68AF" w:rsidRPr="00662ECB"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$0.6</w:t>
            </w:r>
          </w:p>
        </w:tc>
      </w:tr>
      <w:tr w:rsidR="008A68AF" w:rsidRPr="00B92D05" w:rsidTr="00CB7F61">
        <w:tc>
          <w:tcPr>
            <w:cnfStyle w:val="001000000000" w:firstRow="0" w:lastRow="0" w:firstColumn="1" w:lastColumn="0" w:oddVBand="0" w:evenVBand="0" w:oddHBand="0" w:evenHBand="0" w:firstRowFirstColumn="0" w:firstRowLastColumn="0" w:lastRowFirstColumn="0" w:lastRowLastColumn="0"/>
            <w:tcW w:w="6148" w:type="dxa"/>
            <w:tcBorders>
              <w:top w:val="single" w:sz="4" w:space="0" w:color="auto"/>
              <w:bottom w:val="single" w:sz="4" w:space="0" w:color="auto"/>
            </w:tcBorders>
            <w:shd w:val="clear" w:color="auto" w:fill="F2F2F2" w:themeFill="background1" w:themeFillShade="F2"/>
            <w:vAlign w:val="bottom"/>
          </w:tcPr>
          <w:p w:rsidR="008A68AF" w:rsidRPr="00732E9F" w:rsidRDefault="008A68AF" w:rsidP="008A68AF">
            <w:pPr>
              <w:rPr>
                <w:rFonts w:ascii="Calibri" w:hAnsi="Calibri"/>
                <w:b/>
                <w:bCs/>
                <w:color w:val="000000"/>
                <w:szCs w:val="20"/>
              </w:rPr>
            </w:pPr>
            <w:r w:rsidRPr="00732E9F">
              <w:rPr>
                <w:rFonts w:ascii="Calibri" w:hAnsi="Calibri"/>
                <w:b/>
                <w:bCs/>
                <w:color w:val="000000"/>
                <w:szCs w:val="20"/>
              </w:rPr>
              <w:t>Total</w:t>
            </w:r>
          </w:p>
        </w:tc>
        <w:tc>
          <w:tcPr>
            <w:tcW w:w="2216" w:type="dxa"/>
            <w:tcBorders>
              <w:top w:val="single" w:sz="4" w:space="0" w:color="auto"/>
              <w:bottom w:val="single" w:sz="4" w:space="0" w:color="auto"/>
            </w:tcBorders>
            <w:shd w:val="clear" w:color="auto" w:fill="F2F2F2" w:themeFill="background1" w:themeFillShade="F2"/>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C60B71">
              <w:rPr>
                <w:rFonts w:ascii="Calibri" w:hAnsi="Calibri" w:cs="Calibri"/>
                <w:b/>
                <w:bCs/>
                <w:color w:val="000000"/>
                <w:szCs w:val="20"/>
              </w:rPr>
              <w:t>$10.4</w:t>
            </w:r>
          </w:p>
        </w:tc>
      </w:tr>
    </w:tbl>
    <w:p w:rsidR="00CB7F61" w:rsidRDefault="00CB7F61" w:rsidP="00CB7F61">
      <w:pPr>
        <w:pStyle w:val="MJAnormal"/>
        <w:rPr>
          <w:rFonts w:asciiTheme="minorHAnsi" w:hAnsiTheme="minorHAnsi"/>
          <w:i/>
          <w:sz w:val="18"/>
          <w:szCs w:val="18"/>
        </w:rPr>
      </w:pPr>
      <w:r w:rsidRPr="00F675D9">
        <w:rPr>
          <w:rFonts w:asciiTheme="minorHAnsi" w:hAnsiTheme="minorHAnsi"/>
          <w:i/>
          <w:sz w:val="18"/>
          <w:szCs w:val="18"/>
        </w:rPr>
        <w:t>Source: MJA estimates</w:t>
      </w:r>
      <w:r>
        <w:rPr>
          <w:rFonts w:asciiTheme="minorHAnsi" w:hAnsiTheme="minorHAnsi"/>
          <w:i/>
          <w:sz w:val="18"/>
          <w:szCs w:val="18"/>
        </w:rPr>
        <w:t xml:space="preserve"> </w:t>
      </w:r>
      <w:r w:rsidRPr="00732E9F">
        <w:rPr>
          <w:rFonts w:asciiTheme="minorHAnsi" w:hAnsiTheme="minorHAnsi"/>
          <w:i/>
          <w:sz w:val="18"/>
          <w:szCs w:val="18"/>
        </w:rPr>
        <w:t>based on Department of Agriculture and Water.</w:t>
      </w:r>
    </w:p>
    <w:p w:rsidR="00AA5E6C" w:rsidRDefault="00AA5E6C" w:rsidP="00CB7F61">
      <w:pPr>
        <w:pStyle w:val="MJAnormal"/>
        <w:rPr>
          <w:rFonts w:asciiTheme="minorHAnsi" w:hAnsiTheme="minorHAnsi"/>
          <w:i/>
          <w:sz w:val="18"/>
          <w:szCs w:val="18"/>
        </w:rPr>
      </w:pPr>
    </w:p>
    <w:p w:rsidR="00AA5E6C" w:rsidRDefault="00AA5E6C" w:rsidP="00AA5E6C">
      <w:pPr>
        <w:pStyle w:val="Caption"/>
        <w:spacing w:before="360"/>
      </w:pPr>
      <w:bookmarkStart w:id="211" w:name="_Toc494892453"/>
      <w:r>
        <w:t xml:space="preserve">Table </w:t>
      </w:r>
      <w:fldSimple w:instr=" SEQ Table \* ARABIC ">
        <w:r w:rsidR="002F2E38">
          <w:rPr>
            <w:noProof/>
          </w:rPr>
          <w:t>24</w:t>
        </w:r>
      </w:fldSimple>
      <w:r>
        <w:rPr>
          <w:noProof/>
        </w:rPr>
        <w:t>:</w:t>
      </w:r>
      <w:r>
        <w:t xml:space="preserve"> OFIEP expenditure – Round 3 GST Exclusive</w:t>
      </w:r>
      <w:r w:rsidR="008A68AF">
        <w:t xml:space="preserve"> $million</w:t>
      </w:r>
      <w:bookmarkEnd w:id="211"/>
    </w:p>
    <w:tbl>
      <w:tblPr>
        <w:tblStyle w:val="MJATable1"/>
        <w:tblW w:w="0" w:type="auto"/>
        <w:tblLayout w:type="fixed"/>
        <w:tblLook w:val="04A0" w:firstRow="1" w:lastRow="0" w:firstColumn="1" w:lastColumn="0" w:noHBand="0" w:noVBand="1"/>
      </w:tblPr>
      <w:tblGrid>
        <w:gridCol w:w="6148"/>
        <w:gridCol w:w="2216"/>
      </w:tblGrid>
      <w:tr w:rsidR="00AA5E6C" w:rsidTr="00982D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48" w:type="dxa"/>
          </w:tcPr>
          <w:p w:rsidR="00AA5E6C" w:rsidRPr="00732E9F" w:rsidRDefault="00AA5E6C" w:rsidP="00982D8A">
            <w:pPr>
              <w:rPr>
                <w:szCs w:val="20"/>
              </w:rPr>
            </w:pPr>
            <w:r w:rsidRPr="00732E9F">
              <w:rPr>
                <w:szCs w:val="20"/>
              </w:rPr>
              <w:t>Good and services class</w:t>
            </w:r>
          </w:p>
        </w:tc>
        <w:tc>
          <w:tcPr>
            <w:tcW w:w="2216" w:type="dxa"/>
            <w:vAlign w:val="bottom"/>
          </w:tcPr>
          <w:p w:rsidR="00AA5E6C" w:rsidRPr="00732E9F" w:rsidRDefault="00AA5E6C" w:rsidP="00982D8A">
            <w:pPr>
              <w:ind w:right="36"/>
              <w:cnfStyle w:val="100000000000" w:firstRow="1" w:lastRow="0" w:firstColumn="0" w:lastColumn="0" w:oddVBand="0" w:evenVBand="0" w:oddHBand="0" w:evenHBand="0" w:firstRowFirstColumn="0" w:firstRowLastColumn="0" w:lastRowFirstColumn="0" w:lastRowLastColumn="0"/>
              <w:rPr>
                <w:szCs w:val="20"/>
              </w:rPr>
            </w:pPr>
            <w:r w:rsidRPr="00732E9F">
              <w:rPr>
                <w:szCs w:val="20"/>
              </w:rPr>
              <w:t>Expenditure</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Planning and design</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$0.4</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Landforming</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$15.0</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Pipes and stops</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$2.0</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Pumps</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$2.1</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Earthworks for drains, channels and on-farm storage and pumps</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$1.6</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Travelling irrigator</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Telemetry and control system</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Drip system</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$0.8</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Fertigation and soil moisture monitoring</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$0.3</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Ricegrowers administration cost</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$1.7</w:t>
            </w:r>
          </w:p>
        </w:tc>
      </w:tr>
      <w:tr w:rsidR="008A68AF" w:rsidRPr="00B92D05" w:rsidTr="00982D8A">
        <w:tc>
          <w:tcPr>
            <w:cnfStyle w:val="001000000000" w:firstRow="0" w:lastRow="0" w:firstColumn="1" w:lastColumn="0" w:oddVBand="0" w:evenVBand="0" w:oddHBand="0" w:evenHBand="0" w:firstRowFirstColumn="0" w:firstRowLastColumn="0" w:lastRowFirstColumn="0" w:lastRowLastColumn="0"/>
            <w:tcW w:w="6148" w:type="dxa"/>
            <w:tcBorders>
              <w:top w:val="single" w:sz="4" w:space="0" w:color="auto"/>
              <w:bottom w:val="single" w:sz="4" w:space="0" w:color="auto"/>
            </w:tcBorders>
            <w:shd w:val="clear" w:color="auto" w:fill="F2F2F2" w:themeFill="background1" w:themeFillShade="F2"/>
            <w:vAlign w:val="bottom"/>
          </w:tcPr>
          <w:p w:rsidR="008A68AF" w:rsidRPr="00732E9F" w:rsidRDefault="008A68AF" w:rsidP="008A68AF">
            <w:pPr>
              <w:rPr>
                <w:rFonts w:ascii="Calibri" w:hAnsi="Calibri"/>
                <w:b/>
                <w:bCs/>
                <w:color w:val="000000"/>
                <w:szCs w:val="20"/>
              </w:rPr>
            </w:pPr>
            <w:r w:rsidRPr="00732E9F">
              <w:rPr>
                <w:rFonts w:ascii="Calibri" w:hAnsi="Calibri"/>
                <w:b/>
                <w:bCs/>
                <w:color w:val="000000"/>
                <w:szCs w:val="20"/>
              </w:rPr>
              <w:t>Total</w:t>
            </w:r>
          </w:p>
        </w:tc>
        <w:tc>
          <w:tcPr>
            <w:tcW w:w="2216" w:type="dxa"/>
            <w:tcBorders>
              <w:top w:val="single" w:sz="4" w:space="0" w:color="auto"/>
              <w:bottom w:val="single" w:sz="4" w:space="0" w:color="auto"/>
            </w:tcBorders>
            <w:shd w:val="clear" w:color="auto" w:fill="F2F2F2" w:themeFill="background1" w:themeFillShade="F2"/>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b/>
                <w:color w:val="000000"/>
                <w:szCs w:val="20"/>
              </w:rPr>
              <w:t>$23.9</w:t>
            </w:r>
          </w:p>
        </w:tc>
      </w:tr>
    </w:tbl>
    <w:p w:rsidR="00AA5E6C" w:rsidRDefault="00AA5E6C" w:rsidP="00AA5E6C">
      <w:pPr>
        <w:pStyle w:val="MJAnormal"/>
        <w:rPr>
          <w:rFonts w:asciiTheme="minorHAnsi" w:hAnsiTheme="minorHAnsi"/>
          <w:i/>
          <w:sz w:val="18"/>
          <w:szCs w:val="18"/>
        </w:rPr>
      </w:pPr>
      <w:r w:rsidRPr="00F675D9">
        <w:rPr>
          <w:rFonts w:asciiTheme="minorHAnsi" w:hAnsiTheme="minorHAnsi"/>
          <w:i/>
          <w:sz w:val="18"/>
          <w:szCs w:val="18"/>
        </w:rPr>
        <w:t>Source: MJA estimates</w:t>
      </w:r>
      <w:r>
        <w:rPr>
          <w:rFonts w:asciiTheme="minorHAnsi" w:hAnsiTheme="minorHAnsi"/>
          <w:i/>
          <w:sz w:val="18"/>
          <w:szCs w:val="18"/>
        </w:rPr>
        <w:t xml:space="preserve"> </w:t>
      </w:r>
      <w:r w:rsidRPr="00732E9F">
        <w:rPr>
          <w:rFonts w:asciiTheme="minorHAnsi" w:hAnsiTheme="minorHAnsi"/>
          <w:i/>
          <w:sz w:val="18"/>
          <w:szCs w:val="18"/>
        </w:rPr>
        <w:t>based on Department of Agriculture and Water.</w:t>
      </w:r>
    </w:p>
    <w:p w:rsidR="00AA5E6C" w:rsidRDefault="00AA5E6C" w:rsidP="00CB7F61">
      <w:pPr>
        <w:pStyle w:val="MJAnormal"/>
        <w:rPr>
          <w:rFonts w:asciiTheme="minorHAnsi" w:hAnsiTheme="minorHAnsi"/>
          <w:i/>
          <w:sz w:val="18"/>
          <w:szCs w:val="18"/>
        </w:rPr>
      </w:pPr>
    </w:p>
    <w:p w:rsidR="00AA5E6C" w:rsidRDefault="00AA5E6C" w:rsidP="00AA5E6C">
      <w:pPr>
        <w:pStyle w:val="Caption"/>
        <w:spacing w:before="360"/>
      </w:pPr>
      <w:bookmarkStart w:id="212" w:name="_Toc494892454"/>
      <w:r>
        <w:t xml:space="preserve">Table </w:t>
      </w:r>
      <w:fldSimple w:instr=" SEQ Table \* ARABIC ">
        <w:r w:rsidR="002F2E38">
          <w:rPr>
            <w:noProof/>
          </w:rPr>
          <w:t>25</w:t>
        </w:r>
      </w:fldSimple>
      <w:r>
        <w:rPr>
          <w:noProof/>
        </w:rPr>
        <w:t>:</w:t>
      </w:r>
      <w:r>
        <w:t xml:space="preserve"> OFIEP expenditure – Round 5 GST Exclusive</w:t>
      </w:r>
      <w:r w:rsidR="008A68AF">
        <w:t xml:space="preserve"> $million</w:t>
      </w:r>
      <w:bookmarkEnd w:id="212"/>
    </w:p>
    <w:tbl>
      <w:tblPr>
        <w:tblStyle w:val="MJATable1"/>
        <w:tblW w:w="0" w:type="auto"/>
        <w:tblLayout w:type="fixed"/>
        <w:tblLook w:val="04A0" w:firstRow="1" w:lastRow="0" w:firstColumn="1" w:lastColumn="0" w:noHBand="0" w:noVBand="1"/>
      </w:tblPr>
      <w:tblGrid>
        <w:gridCol w:w="6148"/>
        <w:gridCol w:w="2216"/>
      </w:tblGrid>
      <w:tr w:rsidR="00AA5E6C" w:rsidTr="00982D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48" w:type="dxa"/>
          </w:tcPr>
          <w:p w:rsidR="00AA5E6C" w:rsidRPr="00732E9F" w:rsidRDefault="00AA5E6C" w:rsidP="00982D8A">
            <w:pPr>
              <w:rPr>
                <w:szCs w:val="20"/>
              </w:rPr>
            </w:pPr>
            <w:r w:rsidRPr="00732E9F">
              <w:rPr>
                <w:szCs w:val="20"/>
              </w:rPr>
              <w:t>Good and services class</w:t>
            </w:r>
          </w:p>
        </w:tc>
        <w:tc>
          <w:tcPr>
            <w:tcW w:w="2216" w:type="dxa"/>
            <w:vAlign w:val="bottom"/>
          </w:tcPr>
          <w:p w:rsidR="00AA5E6C" w:rsidRPr="00732E9F" w:rsidRDefault="00AA5E6C" w:rsidP="00982D8A">
            <w:pPr>
              <w:ind w:right="36"/>
              <w:cnfStyle w:val="100000000000" w:firstRow="1" w:lastRow="0" w:firstColumn="0" w:lastColumn="0" w:oddVBand="0" w:evenVBand="0" w:oddHBand="0" w:evenHBand="0" w:firstRowFirstColumn="0" w:firstRowLastColumn="0" w:lastRowFirstColumn="0" w:lastRowLastColumn="0"/>
              <w:rPr>
                <w:szCs w:val="20"/>
              </w:rPr>
            </w:pPr>
            <w:r w:rsidRPr="00732E9F">
              <w:rPr>
                <w:szCs w:val="20"/>
              </w:rPr>
              <w:t>Expenditure</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Planning and design</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$1.1</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Landforming</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$26.4</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Pipes and stops</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$4.7</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Pumps</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$3.5</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Earthworks for drains, channels and on-farm storage and pumps</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$3.4</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Travelling irrigator</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$0.1</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Telemetry and control system</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w:t>
            </w:r>
            <w:r w:rsidRPr="00050C38">
              <w:rPr>
                <w:rFonts w:ascii="Calibri" w:hAnsi="Calibri" w:cs="Calibri"/>
                <w:color w:val="000000"/>
                <w:szCs w:val="20"/>
              </w:rPr>
              <w:t>.2</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Drip system</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$1.0</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Fertigation and soil moisture monitoring</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$0.4</w:t>
            </w:r>
          </w:p>
        </w:tc>
      </w:tr>
      <w:tr w:rsidR="008A68AF" w:rsidTr="00982D8A">
        <w:tc>
          <w:tcPr>
            <w:cnfStyle w:val="001000000000" w:firstRow="0" w:lastRow="0" w:firstColumn="1" w:lastColumn="0" w:oddVBand="0" w:evenVBand="0" w:oddHBand="0" w:evenHBand="0" w:firstRowFirstColumn="0" w:firstRowLastColumn="0" w:lastRowFirstColumn="0" w:lastRowLastColumn="0"/>
            <w:tcW w:w="6148" w:type="dxa"/>
            <w:vAlign w:val="bottom"/>
          </w:tcPr>
          <w:p w:rsidR="008A68AF" w:rsidRPr="00732E9F" w:rsidRDefault="008A68AF" w:rsidP="008A68AF">
            <w:pPr>
              <w:rPr>
                <w:rFonts w:ascii="Calibri" w:hAnsi="Calibri"/>
                <w:color w:val="000000"/>
                <w:szCs w:val="20"/>
              </w:rPr>
            </w:pPr>
            <w:r w:rsidRPr="00732E9F">
              <w:rPr>
                <w:rFonts w:ascii="Calibri" w:hAnsi="Calibri"/>
                <w:color w:val="000000"/>
                <w:szCs w:val="20"/>
              </w:rPr>
              <w:t>Ricegrowers administration cost</w:t>
            </w:r>
          </w:p>
        </w:tc>
        <w:tc>
          <w:tcPr>
            <w:tcW w:w="2216" w:type="dxa"/>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$2.9</w:t>
            </w:r>
          </w:p>
        </w:tc>
      </w:tr>
      <w:tr w:rsidR="008A68AF" w:rsidRPr="00B92D05" w:rsidTr="00982D8A">
        <w:tc>
          <w:tcPr>
            <w:cnfStyle w:val="001000000000" w:firstRow="0" w:lastRow="0" w:firstColumn="1" w:lastColumn="0" w:oddVBand="0" w:evenVBand="0" w:oddHBand="0" w:evenHBand="0" w:firstRowFirstColumn="0" w:firstRowLastColumn="0" w:lastRowFirstColumn="0" w:lastRowLastColumn="0"/>
            <w:tcW w:w="6148" w:type="dxa"/>
            <w:tcBorders>
              <w:top w:val="single" w:sz="4" w:space="0" w:color="auto"/>
              <w:bottom w:val="single" w:sz="4" w:space="0" w:color="auto"/>
            </w:tcBorders>
            <w:shd w:val="clear" w:color="auto" w:fill="F2F2F2" w:themeFill="background1" w:themeFillShade="F2"/>
            <w:vAlign w:val="bottom"/>
          </w:tcPr>
          <w:p w:rsidR="008A68AF" w:rsidRPr="00732E9F" w:rsidRDefault="008A68AF" w:rsidP="008A68AF">
            <w:pPr>
              <w:rPr>
                <w:rFonts w:ascii="Calibri" w:hAnsi="Calibri"/>
                <w:b/>
                <w:bCs/>
                <w:color w:val="000000"/>
                <w:szCs w:val="20"/>
              </w:rPr>
            </w:pPr>
            <w:r w:rsidRPr="00732E9F">
              <w:rPr>
                <w:rFonts w:ascii="Calibri" w:hAnsi="Calibri"/>
                <w:b/>
                <w:bCs/>
                <w:color w:val="000000"/>
                <w:szCs w:val="20"/>
              </w:rPr>
              <w:t>Total</w:t>
            </w:r>
          </w:p>
        </w:tc>
        <w:tc>
          <w:tcPr>
            <w:tcW w:w="2216" w:type="dxa"/>
            <w:tcBorders>
              <w:top w:val="single" w:sz="4" w:space="0" w:color="auto"/>
              <w:bottom w:val="single" w:sz="4" w:space="0" w:color="auto"/>
            </w:tcBorders>
            <w:shd w:val="clear" w:color="auto" w:fill="F2F2F2" w:themeFill="background1" w:themeFillShade="F2"/>
            <w:vAlign w:val="bottom"/>
          </w:tcPr>
          <w:p w:rsidR="008A68AF" w:rsidRPr="005712E2" w:rsidRDefault="008A68AF" w:rsidP="00671D0E">
            <w:pPr>
              <w:ind w:right="739"/>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b/>
                <w:color w:val="000000"/>
                <w:szCs w:val="20"/>
              </w:rPr>
              <w:t>$43.6</w:t>
            </w:r>
          </w:p>
        </w:tc>
      </w:tr>
    </w:tbl>
    <w:p w:rsidR="008D649A" w:rsidRDefault="00AA5E6C">
      <w:r w:rsidRPr="008D649A">
        <w:rPr>
          <w:i/>
          <w:sz w:val="18"/>
          <w:szCs w:val="18"/>
        </w:rPr>
        <w:t xml:space="preserve">Source: MJA estimates </w:t>
      </w:r>
      <w:r w:rsidRPr="005712E2">
        <w:rPr>
          <w:i/>
          <w:sz w:val="18"/>
          <w:szCs w:val="18"/>
        </w:rPr>
        <w:t>based on Department of Agriculture and Water</w:t>
      </w:r>
      <w:r w:rsidR="008D649A">
        <w:br w:type="page"/>
      </w:r>
    </w:p>
    <w:p w:rsidR="008D649A" w:rsidRDefault="008D649A" w:rsidP="008D649A">
      <w:pPr>
        <w:pStyle w:val="MJAHeading10"/>
        <w:numPr>
          <w:ilvl w:val="0"/>
          <w:numId w:val="0"/>
        </w:numPr>
      </w:pPr>
      <w:bookmarkStart w:id="213" w:name="_Toc494892290"/>
      <w:r>
        <w:t xml:space="preserve">Appendix B: </w:t>
      </w:r>
      <w:r>
        <w:rPr>
          <w:bCs/>
          <w:szCs w:val="20"/>
        </w:rPr>
        <w:t>Value of intermediate</w:t>
      </w:r>
      <w:r w:rsidRPr="00D04164">
        <w:rPr>
          <w:bCs/>
          <w:szCs w:val="20"/>
        </w:rPr>
        <w:t xml:space="preserve"> </w:t>
      </w:r>
      <w:r>
        <w:rPr>
          <w:bCs/>
          <w:szCs w:val="20"/>
        </w:rPr>
        <w:t>goods and services inputs</w:t>
      </w:r>
      <w:bookmarkEnd w:id="213"/>
    </w:p>
    <w:p w:rsidR="00CB7F61" w:rsidRDefault="00CB7F61" w:rsidP="00583D9E">
      <w:pPr>
        <w:pStyle w:val="MJAheading2"/>
        <w:numPr>
          <w:ilvl w:val="0"/>
          <w:numId w:val="0"/>
        </w:numPr>
      </w:pPr>
      <w:bookmarkStart w:id="214" w:name="_Toc490602111"/>
      <w:bookmarkStart w:id="215" w:name="_Toc490832009"/>
      <w:bookmarkStart w:id="216" w:name="_Toc490602112"/>
      <w:bookmarkStart w:id="217" w:name="_Toc490832010"/>
      <w:bookmarkStart w:id="218" w:name="_Toc494892291"/>
      <w:bookmarkEnd w:id="214"/>
      <w:bookmarkEnd w:id="215"/>
      <w:bookmarkEnd w:id="216"/>
      <w:bookmarkEnd w:id="217"/>
      <w:r>
        <w:t>PIIOP off-farm final goods and services</w:t>
      </w:r>
      <w:bookmarkEnd w:id="218"/>
    </w:p>
    <w:p w:rsidR="00CB7F61" w:rsidRDefault="00CB7F61" w:rsidP="00CB7F61">
      <w:pPr>
        <w:pStyle w:val="MJAnormal"/>
      </w:pPr>
      <w:r>
        <w:t>The total value of PIIOP off-farm goods and services is $2</w:t>
      </w:r>
      <w:r w:rsidR="003A101B">
        <w:t>51.5</w:t>
      </w:r>
      <w:r>
        <w:t xml:space="preserve"> million</w:t>
      </w:r>
      <w:r w:rsidR="003A101B">
        <w:t xml:space="preserve">. Based on expenditure to date, </w:t>
      </w:r>
      <w:r>
        <w:t>$</w:t>
      </w:r>
      <w:r w:rsidR="005712E2">
        <w:t>100.0</w:t>
      </w:r>
      <w:r>
        <w:t xml:space="preserve"> million (</w:t>
      </w:r>
      <w:r w:rsidR="005712E2">
        <w:t>40</w:t>
      </w:r>
      <w:r>
        <w:t xml:space="preserve"> per cent of the total) is estimated to be intermediate goods and services within the MIA. There is a further $2</w:t>
      </w:r>
      <w:r w:rsidR="005712E2">
        <w:t>4.8</w:t>
      </w:r>
      <w:r>
        <w:t xml:space="preserve"> million (1</w:t>
      </w:r>
      <w:r w:rsidR="005712E2">
        <w:t>0</w:t>
      </w:r>
      <w:r>
        <w:t xml:space="preserve"> per cent of the total) of intermediate goods and services that has been sourced from outside the MIA but within the MDB.</w:t>
      </w:r>
    </w:p>
    <w:p w:rsidR="00CB7F61" w:rsidRPr="00E213C7" w:rsidRDefault="00CB7F61" w:rsidP="00CB7F61">
      <w:pPr>
        <w:pStyle w:val="Caption"/>
        <w:spacing w:before="360"/>
      </w:pPr>
      <w:bookmarkStart w:id="219" w:name="_Toc494892455"/>
      <w:r w:rsidRPr="00E213C7">
        <w:t xml:space="preserve">Table </w:t>
      </w:r>
      <w:r w:rsidRPr="00E213C7">
        <w:fldChar w:fldCharType="begin"/>
      </w:r>
      <w:r w:rsidRPr="000644F3">
        <w:instrText xml:space="preserve"> SEQ Table \* ARABIC </w:instrText>
      </w:r>
      <w:r w:rsidRPr="00E213C7">
        <w:fldChar w:fldCharType="separate"/>
      </w:r>
      <w:r w:rsidR="002F2E38">
        <w:rPr>
          <w:noProof/>
        </w:rPr>
        <w:t>26</w:t>
      </w:r>
      <w:r w:rsidRPr="00E213C7">
        <w:rPr>
          <w:noProof/>
        </w:rPr>
        <w:fldChar w:fldCharType="end"/>
      </w:r>
      <w:r w:rsidRPr="00E213C7">
        <w:rPr>
          <w:noProof/>
        </w:rPr>
        <w:t>:</w:t>
      </w:r>
      <w:r w:rsidRPr="00E213C7">
        <w:t xml:space="preserve"> PIIOP off-farm </w:t>
      </w:r>
      <w:r>
        <w:t>All Rounds</w:t>
      </w:r>
      <w:r w:rsidRPr="00E213C7">
        <w:t xml:space="preserve"> final expenditure (</w:t>
      </w:r>
      <w:r>
        <w:t>GST Exclusive</w:t>
      </w:r>
      <w:r w:rsidRPr="00E213C7">
        <w:t>)</w:t>
      </w:r>
      <w:r w:rsidR="005712E2">
        <w:t xml:space="preserve"> $ million</w:t>
      </w:r>
      <w:bookmarkEnd w:id="219"/>
    </w:p>
    <w:tbl>
      <w:tblPr>
        <w:tblStyle w:val="MJATable1"/>
        <w:tblW w:w="8613" w:type="dxa"/>
        <w:tblLayout w:type="fixed"/>
        <w:tblLook w:val="04A0" w:firstRow="1" w:lastRow="0" w:firstColumn="1" w:lastColumn="0" w:noHBand="0" w:noVBand="1"/>
      </w:tblPr>
      <w:tblGrid>
        <w:gridCol w:w="2518"/>
        <w:gridCol w:w="1559"/>
        <w:gridCol w:w="1512"/>
        <w:gridCol w:w="1512"/>
        <w:gridCol w:w="1512"/>
      </w:tblGrid>
      <w:tr w:rsidR="00CB7F61" w:rsidRPr="000644F3" w:rsidTr="00671D0E">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2518" w:type="dxa"/>
            <w:vAlign w:val="top"/>
          </w:tcPr>
          <w:p w:rsidR="00CB7F61" w:rsidRPr="00031BE3" w:rsidRDefault="00CB7F61" w:rsidP="00CB7F61">
            <w:pPr>
              <w:rPr>
                <w:bCs/>
                <w:szCs w:val="20"/>
              </w:rPr>
            </w:pPr>
            <w:r w:rsidRPr="00031BE3">
              <w:rPr>
                <w:bCs/>
                <w:szCs w:val="20"/>
              </w:rPr>
              <w:t>Type of cost</w:t>
            </w:r>
          </w:p>
        </w:tc>
        <w:tc>
          <w:tcPr>
            <w:tcW w:w="1559" w:type="dxa"/>
            <w:vMerge w:val="restart"/>
            <w:vAlign w:val="top"/>
          </w:tcPr>
          <w:p w:rsidR="00CB7F61" w:rsidRPr="00E11126" w:rsidRDefault="00CB7F61" w:rsidP="00CB7F61">
            <w:pPr>
              <w:cnfStyle w:val="100000000000" w:firstRow="1" w:lastRow="0" w:firstColumn="0" w:lastColumn="0" w:oddVBand="0" w:evenVBand="0" w:oddHBand="0" w:evenHBand="0" w:firstRowFirstColumn="0" w:firstRowLastColumn="0" w:lastRowFirstColumn="0" w:lastRowLastColumn="0"/>
              <w:rPr>
                <w:b w:val="0"/>
                <w:bCs/>
                <w:szCs w:val="20"/>
              </w:rPr>
            </w:pPr>
            <w:r w:rsidRPr="00BA71F3">
              <w:rPr>
                <w:rFonts w:ascii="Calibri" w:hAnsi="Calibri"/>
                <w:bCs/>
                <w:szCs w:val="20"/>
              </w:rPr>
              <w:t>Total expenditures</w:t>
            </w:r>
          </w:p>
        </w:tc>
        <w:tc>
          <w:tcPr>
            <w:tcW w:w="4536" w:type="dxa"/>
            <w:gridSpan w:val="3"/>
            <w:vAlign w:val="top"/>
          </w:tcPr>
          <w:p w:rsidR="00CB7F61" w:rsidRPr="000644F3" w:rsidRDefault="00CB7F61" w:rsidP="00CB7F61">
            <w:pPr>
              <w:cnfStyle w:val="100000000000" w:firstRow="1" w:lastRow="0" w:firstColumn="0" w:lastColumn="0" w:oddVBand="0" w:evenVBand="0" w:oddHBand="0" w:evenHBand="0" w:firstRowFirstColumn="0" w:firstRowLastColumn="0" w:lastRowFirstColumn="0" w:lastRowLastColumn="0"/>
              <w:rPr>
                <w:bCs/>
                <w:szCs w:val="20"/>
              </w:rPr>
            </w:pPr>
            <w:r>
              <w:rPr>
                <w:bCs/>
                <w:szCs w:val="20"/>
              </w:rPr>
              <w:t>Value of intermediate</w:t>
            </w:r>
            <w:r w:rsidRPr="00D04164">
              <w:rPr>
                <w:bCs/>
                <w:szCs w:val="20"/>
              </w:rPr>
              <w:t xml:space="preserve"> </w:t>
            </w:r>
            <w:r>
              <w:rPr>
                <w:bCs/>
                <w:szCs w:val="20"/>
              </w:rPr>
              <w:t>goods and services inputs</w:t>
            </w:r>
          </w:p>
        </w:tc>
      </w:tr>
      <w:tr w:rsidR="00CB7F61" w:rsidRPr="000644F3" w:rsidTr="00671D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vAlign w:val="top"/>
          </w:tcPr>
          <w:p w:rsidR="00CB7F61" w:rsidRPr="000644F3" w:rsidRDefault="00CB7F61" w:rsidP="00CB7F61">
            <w:pPr>
              <w:jc w:val="center"/>
              <w:rPr>
                <w:bCs/>
                <w:szCs w:val="20"/>
              </w:rPr>
            </w:pPr>
          </w:p>
        </w:tc>
        <w:tc>
          <w:tcPr>
            <w:tcW w:w="1559" w:type="dxa"/>
            <w:vMerge/>
            <w:vAlign w:val="top"/>
          </w:tcPr>
          <w:p w:rsidR="00CB7F61" w:rsidRPr="000644F3" w:rsidRDefault="00CB7F61" w:rsidP="00CB7F61">
            <w:pPr>
              <w:cnfStyle w:val="100000000000" w:firstRow="1" w:lastRow="0" w:firstColumn="0" w:lastColumn="0" w:oddVBand="0" w:evenVBand="0" w:oddHBand="0" w:evenHBand="0" w:firstRowFirstColumn="0" w:firstRowLastColumn="0" w:lastRowFirstColumn="0" w:lastRowLastColumn="0"/>
              <w:rPr>
                <w:szCs w:val="20"/>
              </w:rPr>
            </w:pPr>
          </w:p>
        </w:tc>
        <w:tc>
          <w:tcPr>
            <w:tcW w:w="1512" w:type="dxa"/>
            <w:vAlign w:val="top"/>
          </w:tcPr>
          <w:p w:rsidR="00CB7F61" w:rsidRPr="000644F3" w:rsidRDefault="00CB7F61" w:rsidP="00CB7F61">
            <w:pPr>
              <w:cnfStyle w:val="100000000000" w:firstRow="1" w:lastRow="0" w:firstColumn="0" w:lastColumn="0" w:oddVBand="0" w:evenVBand="0" w:oddHBand="0" w:evenHBand="0" w:firstRowFirstColumn="0" w:firstRowLastColumn="0" w:lastRowFirstColumn="0" w:lastRowLastColumn="0"/>
              <w:rPr>
                <w:rFonts w:ascii="Calibri" w:hAnsi="Calibri"/>
                <w:b w:val="0"/>
                <w:bCs/>
                <w:szCs w:val="20"/>
              </w:rPr>
            </w:pPr>
            <w:r w:rsidRPr="000644F3">
              <w:rPr>
                <w:rFonts w:ascii="Calibri" w:hAnsi="Calibri"/>
                <w:bCs/>
                <w:szCs w:val="20"/>
              </w:rPr>
              <w:t>Within MIA</w:t>
            </w:r>
          </w:p>
        </w:tc>
        <w:tc>
          <w:tcPr>
            <w:tcW w:w="1512" w:type="dxa"/>
            <w:vAlign w:val="top"/>
          </w:tcPr>
          <w:p w:rsidR="00CB7F61" w:rsidRPr="000644F3" w:rsidRDefault="00CB7F61" w:rsidP="00CB7F61">
            <w:pPr>
              <w:cnfStyle w:val="100000000000" w:firstRow="1" w:lastRow="0" w:firstColumn="0" w:lastColumn="0" w:oddVBand="0" w:evenVBand="0" w:oddHBand="0" w:evenHBand="0" w:firstRowFirstColumn="0" w:firstRowLastColumn="0" w:lastRowFirstColumn="0" w:lastRowLastColumn="0"/>
              <w:rPr>
                <w:rFonts w:ascii="Calibri" w:hAnsi="Calibri"/>
                <w:b w:val="0"/>
                <w:bCs/>
                <w:szCs w:val="20"/>
              </w:rPr>
            </w:pPr>
            <w:r w:rsidRPr="000644F3">
              <w:rPr>
                <w:rFonts w:ascii="Calibri" w:hAnsi="Calibri"/>
                <w:bCs/>
                <w:szCs w:val="20"/>
              </w:rPr>
              <w:t>Outside MIA but within MDB</w:t>
            </w:r>
          </w:p>
        </w:tc>
        <w:tc>
          <w:tcPr>
            <w:tcW w:w="1512" w:type="dxa"/>
            <w:vAlign w:val="top"/>
          </w:tcPr>
          <w:p w:rsidR="00CB7F61" w:rsidRPr="000644F3" w:rsidRDefault="00CB7F61" w:rsidP="00CB7F61">
            <w:pPr>
              <w:cnfStyle w:val="100000000000" w:firstRow="1" w:lastRow="0" w:firstColumn="0" w:lastColumn="0" w:oddVBand="0" w:evenVBand="0" w:oddHBand="0" w:evenHBand="0" w:firstRowFirstColumn="0" w:firstRowLastColumn="0" w:lastRowFirstColumn="0" w:lastRowLastColumn="0"/>
              <w:rPr>
                <w:rFonts w:ascii="Calibri" w:hAnsi="Calibri"/>
                <w:b w:val="0"/>
                <w:bCs/>
                <w:szCs w:val="20"/>
              </w:rPr>
            </w:pPr>
            <w:r w:rsidRPr="000644F3">
              <w:rPr>
                <w:rFonts w:ascii="Calibri" w:hAnsi="Calibri"/>
                <w:bCs/>
                <w:szCs w:val="20"/>
              </w:rPr>
              <w:t>Outside MIA and MDB region</w:t>
            </w:r>
          </w:p>
        </w:tc>
      </w:tr>
      <w:tr w:rsidR="005712E2" w:rsidRPr="000644F3" w:rsidTr="00671D0E">
        <w:tc>
          <w:tcPr>
            <w:cnfStyle w:val="001000000000" w:firstRow="0" w:lastRow="0" w:firstColumn="1" w:lastColumn="0" w:oddVBand="0" w:evenVBand="0" w:oddHBand="0" w:evenHBand="0" w:firstRowFirstColumn="0" w:firstRowLastColumn="0" w:lastRowFirstColumn="0" w:lastRowLastColumn="0"/>
            <w:tcW w:w="2518" w:type="dxa"/>
            <w:vAlign w:val="top"/>
          </w:tcPr>
          <w:p w:rsidR="005712E2" w:rsidRPr="00662ECB" w:rsidRDefault="005712E2" w:rsidP="005712E2">
            <w:pPr>
              <w:rPr>
                <w:rFonts w:ascii="Calibri" w:hAnsi="Calibri"/>
                <w:color w:val="000000"/>
                <w:szCs w:val="20"/>
              </w:rPr>
            </w:pPr>
            <w:r w:rsidRPr="00662ECB">
              <w:rPr>
                <w:rFonts w:ascii="Calibri" w:hAnsi="Calibri"/>
                <w:color w:val="000000"/>
                <w:szCs w:val="20"/>
              </w:rPr>
              <w:t>Labour</w:t>
            </w:r>
          </w:p>
        </w:tc>
        <w:tc>
          <w:tcPr>
            <w:tcW w:w="1559" w:type="dxa"/>
            <w:vAlign w:val="bottom"/>
          </w:tcPr>
          <w:p w:rsidR="005712E2" w:rsidRPr="00A67BEB" w:rsidRDefault="005712E2" w:rsidP="005712E2">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$64.6</w:t>
            </w:r>
          </w:p>
        </w:tc>
        <w:tc>
          <w:tcPr>
            <w:tcW w:w="1512" w:type="dxa"/>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$31.1</w:t>
            </w:r>
          </w:p>
        </w:tc>
        <w:tc>
          <w:tcPr>
            <w:tcW w:w="1512" w:type="dxa"/>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$4.7</w:t>
            </w:r>
          </w:p>
        </w:tc>
        <w:tc>
          <w:tcPr>
            <w:tcW w:w="1512" w:type="dxa"/>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$28.8</w:t>
            </w:r>
          </w:p>
        </w:tc>
      </w:tr>
      <w:tr w:rsidR="005712E2" w:rsidRPr="000644F3" w:rsidTr="00671D0E">
        <w:tc>
          <w:tcPr>
            <w:cnfStyle w:val="001000000000" w:firstRow="0" w:lastRow="0" w:firstColumn="1" w:lastColumn="0" w:oddVBand="0" w:evenVBand="0" w:oddHBand="0" w:evenHBand="0" w:firstRowFirstColumn="0" w:firstRowLastColumn="0" w:lastRowFirstColumn="0" w:lastRowLastColumn="0"/>
            <w:tcW w:w="2518" w:type="dxa"/>
            <w:vAlign w:val="top"/>
          </w:tcPr>
          <w:p w:rsidR="005712E2" w:rsidRPr="00662ECB" w:rsidRDefault="005712E2" w:rsidP="005712E2">
            <w:pPr>
              <w:rPr>
                <w:rFonts w:ascii="Calibri" w:hAnsi="Calibri"/>
                <w:color w:val="000000"/>
                <w:szCs w:val="20"/>
              </w:rPr>
            </w:pPr>
            <w:r w:rsidRPr="00662ECB">
              <w:rPr>
                <w:rFonts w:ascii="Calibri" w:hAnsi="Calibri"/>
                <w:color w:val="000000"/>
                <w:szCs w:val="20"/>
              </w:rPr>
              <w:t>Project management, design and stakeholder management</w:t>
            </w:r>
          </w:p>
        </w:tc>
        <w:tc>
          <w:tcPr>
            <w:tcW w:w="1559" w:type="dxa"/>
            <w:vAlign w:val="bottom"/>
          </w:tcPr>
          <w:p w:rsidR="005712E2" w:rsidRPr="00A67BEB" w:rsidRDefault="005712E2" w:rsidP="005712E2">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$30.3</w:t>
            </w:r>
          </w:p>
        </w:tc>
        <w:tc>
          <w:tcPr>
            <w:tcW w:w="1512" w:type="dxa"/>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$17.9</w:t>
            </w:r>
          </w:p>
        </w:tc>
        <w:tc>
          <w:tcPr>
            <w:tcW w:w="1512" w:type="dxa"/>
            <w:vAlign w:val="bottom"/>
          </w:tcPr>
          <w:p w:rsidR="005712E2" w:rsidRPr="00662EC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$0.0</w:t>
            </w:r>
          </w:p>
        </w:tc>
        <w:tc>
          <w:tcPr>
            <w:tcW w:w="1512" w:type="dxa"/>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$12.4</w:t>
            </w:r>
          </w:p>
        </w:tc>
      </w:tr>
      <w:tr w:rsidR="005712E2" w:rsidRPr="000644F3" w:rsidTr="00671D0E">
        <w:tc>
          <w:tcPr>
            <w:cnfStyle w:val="001000000000" w:firstRow="0" w:lastRow="0" w:firstColumn="1" w:lastColumn="0" w:oddVBand="0" w:evenVBand="0" w:oddHBand="0" w:evenHBand="0" w:firstRowFirstColumn="0" w:firstRowLastColumn="0" w:lastRowFirstColumn="0" w:lastRowLastColumn="0"/>
            <w:tcW w:w="2518" w:type="dxa"/>
            <w:vAlign w:val="top"/>
          </w:tcPr>
          <w:p w:rsidR="005712E2" w:rsidRPr="00662ECB" w:rsidRDefault="005712E2" w:rsidP="005712E2">
            <w:pPr>
              <w:rPr>
                <w:rFonts w:ascii="Calibri" w:hAnsi="Calibri"/>
                <w:color w:val="000000"/>
                <w:szCs w:val="20"/>
              </w:rPr>
            </w:pPr>
            <w:r w:rsidRPr="00662ECB">
              <w:rPr>
                <w:rFonts w:ascii="Calibri" w:hAnsi="Calibri"/>
                <w:color w:val="000000"/>
                <w:szCs w:val="20"/>
              </w:rPr>
              <w:t>Material</w:t>
            </w:r>
          </w:p>
        </w:tc>
        <w:tc>
          <w:tcPr>
            <w:tcW w:w="1559" w:type="dxa"/>
            <w:vAlign w:val="bottom"/>
          </w:tcPr>
          <w:p w:rsidR="005712E2" w:rsidRPr="00A67BEB" w:rsidRDefault="005712E2" w:rsidP="005712E2">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$102.5</w:t>
            </w:r>
          </w:p>
        </w:tc>
        <w:tc>
          <w:tcPr>
            <w:tcW w:w="1512" w:type="dxa"/>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$27.0</w:t>
            </w:r>
          </w:p>
        </w:tc>
        <w:tc>
          <w:tcPr>
            <w:tcW w:w="1512" w:type="dxa"/>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$17.4</w:t>
            </w:r>
          </w:p>
        </w:tc>
        <w:tc>
          <w:tcPr>
            <w:tcW w:w="1512" w:type="dxa"/>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$58.1</w:t>
            </w:r>
          </w:p>
        </w:tc>
      </w:tr>
      <w:tr w:rsidR="005712E2" w:rsidRPr="000644F3" w:rsidTr="00671D0E">
        <w:tc>
          <w:tcPr>
            <w:cnfStyle w:val="001000000000" w:firstRow="0" w:lastRow="0" w:firstColumn="1" w:lastColumn="0" w:oddVBand="0" w:evenVBand="0" w:oddHBand="0" w:evenHBand="0" w:firstRowFirstColumn="0" w:firstRowLastColumn="0" w:lastRowFirstColumn="0" w:lastRowLastColumn="0"/>
            <w:tcW w:w="2518" w:type="dxa"/>
            <w:vAlign w:val="top"/>
          </w:tcPr>
          <w:p w:rsidR="005712E2" w:rsidRPr="00662ECB" w:rsidRDefault="005712E2" w:rsidP="005712E2">
            <w:pPr>
              <w:rPr>
                <w:rFonts w:ascii="Calibri" w:hAnsi="Calibri"/>
                <w:color w:val="000000"/>
                <w:szCs w:val="20"/>
              </w:rPr>
            </w:pPr>
            <w:r w:rsidRPr="00662ECB">
              <w:rPr>
                <w:rFonts w:ascii="Calibri" w:hAnsi="Calibri"/>
                <w:color w:val="000000"/>
                <w:szCs w:val="20"/>
              </w:rPr>
              <w:t>Fuel</w:t>
            </w:r>
          </w:p>
        </w:tc>
        <w:tc>
          <w:tcPr>
            <w:tcW w:w="1559" w:type="dxa"/>
            <w:vAlign w:val="bottom"/>
          </w:tcPr>
          <w:p w:rsidR="005712E2" w:rsidRPr="00A67BEB" w:rsidRDefault="005712E2" w:rsidP="005712E2">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$0.0</w:t>
            </w:r>
          </w:p>
        </w:tc>
        <w:tc>
          <w:tcPr>
            <w:tcW w:w="1512" w:type="dxa"/>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$0.0</w:t>
            </w:r>
          </w:p>
        </w:tc>
        <w:tc>
          <w:tcPr>
            <w:tcW w:w="1512" w:type="dxa"/>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$0.0</w:t>
            </w:r>
          </w:p>
        </w:tc>
        <w:tc>
          <w:tcPr>
            <w:tcW w:w="1512" w:type="dxa"/>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$0.0</w:t>
            </w:r>
          </w:p>
        </w:tc>
      </w:tr>
      <w:tr w:rsidR="005712E2" w:rsidRPr="000644F3" w:rsidTr="00671D0E">
        <w:tc>
          <w:tcPr>
            <w:cnfStyle w:val="001000000000" w:firstRow="0" w:lastRow="0" w:firstColumn="1" w:lastColumn="0" w:oddVBand="0" w:evenVBand="0" w:oddHBand="0" w:evenHBand="0" w:firstRowFirstColumn="0" w:firstRowLastColumn="0" w:lastRowFirstColumn="0" w:lastRowLastColumn="0"/>
            <w:tcW w:w="2518" w:type="dxa"/>
            <w:vAlign w:val="top"/>
          </w:tcPr>
          <w:p w:rsidR="005712E2" w:rsidRPr="00662ECB" w:rsidRDefault="005712E2" w:rsidP="005712E2">
            <w:pPr>
              <w:rPr>
                <w:rFonts w:ascii="Calibri" w:hAnsi="Calibri"/>
                <w:color w:val="000000"/>
                <w:szCs w:val="20"/>
              </w:rPr>
            </w:pPr>
            <w:r w:rsidRPr="00662ECB">
              <w:rPr>
                <w:rFonts w:ascii="Calibri" w:hAnsi="Calibri"/>
                <w:color w:val="000000"/>
                <w:szCs w:val="20"/>
              </w:rPr>
              <w:t>Plant</w:t>
            </w:r>
          </w:p>
        </w:tc>
        <w:tc>
          <w:tcPr>
            <w:tcW w:w="1559" w:type="dxa"/>
            <w:vAlign w:val="bottom"/>
          </w:tcPr>
          <w:p w:rsidR="005712E2" w:rsidRPr="00A67BEB" w:rsidRDefault="005712E2" w:rsidP="005712E2">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$31.4</w:t>
            </w:r>
          </w:p>
        </w:tc>
        <w:tc>
          <w:tcPr>
            <w:tcW w:w="1512" w:type="dxa"/>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$9.8</w:t>
            </w:r>
          </w:p>
        </w:tc>
        <w:tc>
          <w:tcPr>
            <w:tcW w:w="1512" w:type="dxa"/>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$2.7</w:t>
            </w:r>
          </w:p>
        </w:tc>
        <w:tc>
          <w:tcPr>
            <w:tcW w:w="1512" w:type="dxa"/>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$19.0</w:t>
            </w:r>
          </w:p>
        </w:tc>
      </w:tr>
      <w:tr w:rsidR="005712E2" w:rsidRPr="000644F3" w:rsidTr="00671D0E">
        <w:tc>
          <w:tcPr>
            <w:cnfStyle w:val="001000000000" w:firstRow="0" w:lastRow="0" w:firstColumn="1" w:lastColumn="0" w:oddVBand="0" w:evenVBand="0" w:oddHBand="0" w:evenHBand="0" w:firstRowFirstColumn="0" w:firstRowLastColumn="0" w:lastRowFirstColumn="0" w:lastRowLastColumn="0"/>
            <w:tcW w:w="2518" w:type="dxa"/>
            <w:vAlign w:val="top"/>
          </w:tcPr>
          <w:p w:rsidR="005712E2" w:rsidRPr="00662ECB" w:rsidRDefault="005712E2" w:rsidP="005712E2">
            <w:pPr>
              <w:rPr>
                <w:rFonts w:ascii="Calibri" w:hAnsi="Calibri"/>
                <w:color w:val="000000"/>
                <w:szCs w:val="20"/>
              </w:rPr>
            </w:pPr>
            <w:r w:rsidRPr="00662ECB">
              <w:rPr>
                <w:rFonts w:ascii="Calibri" w:hAnsi="Calibri"/>
                <w:color w:val="000000"/>
                <w:szCs w:val="20"/>
              </w:rPr>
              <w:t>Other</w:t>
            </w:r>
          </w:p>
        </w:tc>
        <w:tc>
          <w:tcPr>
            <w:tcW w:w="1559" w:type="dxa"/>
            <w:vAlign w:val="bottom"/>
          </w:tcPr>
          <w:p w:rsidR="005712E2" w:rsidRPr="00A67BEB" w:rsidRDefault="005712E2" w:rsidP="005712E2">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$22.7</w:t>
            </w:r>
          </w:p>
        </w:tc>
        <w:tc>
          <w:tcPr>
            <w:tcW w:w="1512" w:type="dxa"/>
            <w:vAlign w:val="bottom"/>
          </w:tcPr>
          <w:p w:rsidR="005712E2" w:rsidRPr="00662EC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$14.4</w:t>
            </w:r>
          </w:p>
        </w:tc>
        <w:tc>
          <w:tcPr>
            <w:tcW w:w="1512" w:type="dxa"/>
            <w:vAlign w:val="bottom"/>
          </w:tcPr>
          <w:p w:rsidR="005712E2" w:rsidRPr="00662EC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$0.0</w:t>
            </w:r>
          </w:p>
        </w:tc>
        <w:tc>
          <w:tcPr>
            <w:tcW w:w="1512" w:type="dxa"/>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C60B71">
              <w:rPr>
                <w:rFonts w:ascii="Calibri" w:hAnsi="Calibri" w:cs="Calibri"/>
                <w:color w:val="000000"/>
                <w:szCs w:val="20"/>
              </w:rPr>
              <w:t>$8.4</w:t>
            </w:r>
          </w:p>
        </w:tc>
      </w:tr>
      <w:tr w:rsidR="005712E2" w:rsidRPr="000644F3" w:rsidTr="00671D0E">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bottom w:val="single" w:sz="4" w:space="0" w:color="auto"/>
            </w:tcBorders>
            <w:shd w:val="clear" w:color="auto" w:fill="F2F2F2" w:themeFill="background1" w:themeFillShade="F2"/>
            <w:vAlign w:val="top"/>
          </w:tcPr>
          <w:p w:rsidR="005712E2" w:rsidRPr="00662ECB" w:rsidRDefault="005712E2" w:rsidP="005712E2">
            <w:pPr>
              <w:rPr>
                <w:b/>
                <w:color w:val="000000"/>
                <w:szCs w:val="20"/>
              </w:rPr>
            </w:pPr>
            <w:r w:rsidRPr="00662ECB">
              <w:rPr>
                <w:b/>
                <w:color w:val="000000"/>
                <w:szCs w:val="20"/>
              </w:rPr>
              <w:t>Total</w:t>
            </w:r>
          </w:p>
        </w:tc>
        <w:tc>
          <w:tcPr>
            <w:tcW w:w="1559" w:type="dxa"/>
            <w:tcBorders>
              <w:top w:val="single" w:sz="4" w:space="0" w:color="auto"/>
              <w:bottom w:val="single" w:sz="4" w:space="0" w:color="auto"/>
            </w:tcBorders>
            <w:shd w:val="clear" w:color="auto" w:fill="F2F2F2" w:themeFill="background1" w:themeFillShade="F2"/>
            <w:vAlign w:val="bottom"/>
          </w:tcPr>
          <w:p w:rsidR="005712E2" w:rsidRPr="00A67BEB" w:rsidRDefault="005712E2" w:rsidP="005712E2">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C60B71">
              <w:rPr>
                <w:rFonts w:ascii="Calibri" w:hAnsi="Calibri" w:cs="Calibri"/>
                <w:b/>
                <w:bCs/>
                <w:color w:val="000000"/>
                <w:szCs w:val="20"/>
              </w:rPr>
              <w:t>$251.5</w:t>
            </w:r>
          </w:p>
        </w:tc>
        <w:tc>
          <w:tcPr>
            <w:tcW w:w="1512" w:type="dxa"/>
            <w:tcBorders>
              <w:top w:val="single" w:sz="4" w:space="0" w:color="auto"/>
              <w:bottom w:val="single" w:sz="4" w:space="0" w:color="auto"/>
            </w:tcBorders>
            <w:shd w:val="clear" w:color="auto" w:fill="F2F2F2" w:themeFill="background1" w:themeFillShade="F2"/>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C60B71">
              <w:rPr>
                <w:rFonts w:ascii="Calibri" w:hAnsi="Calibri" w:cs="Calibri"/>
                <w:b/>
                <w:bCs/>
                <w:color w:val="000000"/>
                <w:szCs w:val="20"/>
              </w:rPr>
              <w:t>$100.0</w:t>
            </w:r>
          </w:p>
        </w:tc>
        <w:tc>
          <w:tcPr>
            <w:tcW w:w="1512" w:type="dxa"/>
            <w:tcBorders>
              <w:top w:val="single" w:sz="4" w:space="0" w:color="auto"/>
              <w:bottom w:val="single" w:sz="4" w:space="0" w:color="auto"/>
            </w:tcBorders>
            <w:shd w:val="clear" w:color="auto" w:fill="F2F2F2" w:themeFill="background1" w:themeFillShade="F2"/>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C60B71">
              <w:rPr>
                <w:rFonts w:ascii="Calibri" w:hAnsi="Calibri" w:cs="Calibri"/>
                <w:b/>
                <w:bCs/>
                <w:color w:val="000000"/>
                <w:szCs w:val="20"/>
              </w:rPr>
              <w:t>$24.8</w:t>
            </w:r>
          </w:p>
        </w:tc>
        <w:tc>
          <w:tcPr>
            <w:tcW w:w="1512" w:type="dxa"/>
            <w:tcBorders>
              <w:top w:val="single" w:sz="4" w:space="0" w:color="auto"/>
              <w:bottom w:val="single" w:sz="4" w:space="0" w:color="auto"/>
            </w:tcBorders>
            <w:shd w:val="clear" w:color="auto" w:fill="F2F2F2" w:themeFill="background1" w:themeFillShade="F2"/>
            <w:vAlign w:val="bottom"/>
          </w:tcPr>
          <w:p w:rsidR="005712E2" w:rsidRPr="00A67BE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C60B71">
              <w:rPr>
                <w:rFonts w:ascii="Calibri" w:hAnsi="Calibri" w:cs="Calibri"/>
                <w:b/>
                <w:bCs/>
                <w:color w:val="000000"/>
                <w:szCs w:val="20"/>
              </w:rPr>
              <w:t>$126.7</w:t>
            </w:r>
          </w:p>
        </w:tc>
      </w:tr>
      <w:tr w:rsidR="005712E2" w:rsidRPr="000644F3" w:rsidTr="00671D0E">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bottom w:val="single" w:sz="4" w:space="0" w:color="auto"/>
            </w:tcBorders>
            <w:shd w:val="clear" w:color="auto" w:fill="F2F2F2" w:themeFill="background1" w:themeFillShade="F2"/>
            <w:vAlign w:val="top"/>
          </w:tcPr>
          <w:p w:rsidR="005712E2" w:rsidRPr="00662ECB" w:rsidRDefault="005712E2" w:rsidP="005712E2">
            <w:pPr>
              <w:rPr>
                <w:b/>
                <w:color w:val="000000"/>
                <w:szCs w:val="20"/>
              </w:rPr>
            </w:pPr>
            <w:r w:rsidRPr="00662ECB">
              <w:rPr>
                <w:b/>
                <w:color w:val="000000"/>
                <w:szCs w:val="20"/>
              </w:rPr>
              <w:t>% of total</w:t>
            </w:r>
          </w:p>
        </w:tc>
        <w:tc>
          <w:tcPr>
            <w:tcW w:w="1559" w:type="dxa"/>
            <w:tcBorders>
              <w:top w:val="single" w:sz="4" w:space="0" w:color="auto"/>
              <w:bottom w:val="single" w:sz="4" w:space="0" w:color="auto"/>
            </w:tcBorders>
            <w:shd w:val="clear" w:color="auto" w:fill="F2F2F2" w:themeFill="background1" w:themeFillShade="F2"/>
            <w:vAlign w:val="top"/>
          </w:tcPr>
          <w:p w:rsidR="005712E2" w:rsidRPr="00A67BEB" w:rsidRDefault="005712E2" w:rsidP="005712E2">
            <w:pPr>
              <w:ind w:right="18"/>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A67BEB">
              <w:rPr>
                <w:rFonts w:ascii="Calibri" w:hAnsi="Calibri"/>
                <w:b/>
                <w:bCs/>
                <w:color w:val="000000"/>
                <w:szCs w:val="20"/>
              </w:rPr>
              <w:t>100%</w:t>
            </w:r>
          </w:p>
        </w:tc>
        <w:tc>
          <w:tcPr>
            <w:tcW w:w="1512" w:type="dxa"/>
            <w:tcBorders>
              <w:top w:val="single" w:sz="4" w:space="0" w:color="auto"/>
              <w:bottom w:val="single" w:sz="4" w:space="0" w:color="auto"/>
            </w:tcBorders>
            <w:shd w:val="clear" w:color="auto" w:fill="F2F2F2" w:themeFill="background1" w:themeFillShade="F2"/>
            <w:vAlign w:val="bottom"/>
          </w:tcPr>
          <w:p w:rsidR="005712E2" w:rsidRPr="00662EC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b/>
                <w:szCs w:val="20"/>
              </w:rPr>
            </w:pPr>
            <w:r w:rsidRPr="00C60B71">
              <w:rPr>
                <w:rFonts w:ascii="Calibri" w:hAnsi="Calibri" w:cs="Calibri"/>
                <w:b/>
                <w:bCs/>
                <w:color w:val="000000"/>
                <w:szCs w:val="20"/>
              </w:rPr>
              <w:t>40%</w:t>
            </w:r>
          </w:p>
        </w:tc>
        <w:tc>
          <w:tcPr>
            <w:tcW w:w="1512" w:type="dxa"/>
            <w:tcBorders>
              <w:top w:val="single" w:sz="4" w:space="0" w:color="auto"/>
              <w:bottom w:val="single" w:sz="4" w:space="0" w:color="auto"/>
            </w:tcBorders>
            <w:shd w:val="clear" w:color="auto" w:fill="F2F2F2" w:themeFill="background1" w:themeFillShade="F2"/>
            <w:vAlign w:val="bottom"/>
          </w:tcPr>
          <w:p w:rsidR="005712E2" w:rsidRPr="00662EC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b/>
                <w:szCs w:val="20"/>
              </w:rPr>
            </w:pPr>
            <w:r w:rsidRPr="00C60B71">
              <w:rPr>
                <w:rFonts w:ascii="Calibri" w:hAnsi="Calibri" w:cs="Calibri"/>
                <w:b/>
                <w:bCs/>
                <w:color w:val="000000"/>
                <w:szCs w:val="20"/>
              </w:rPr>
              <w:t>10%</w:t>
            </w:r>
          </w:p>
        </w:tc>
        <w:tc>
          <w:tcPr>
            <w:tcW w:w="1512" w:type="dxa"/>
            <w:tcBorders>
              <w:top w:val="single" w:sz="4" w:space="0" w:color="auto"/>
              <w:bottom w:val="single" w:sz="4" w:space="0" w:color="auto"/>
            </w:tcBorders>
            <w:shd w:val="clear" w:color="auto" w:fill="F2F2F2" w:themeFill="background1" w:themeFillShade="F2"/>
            <w:vAlign w:val="bottom"/>
          </w:tcPr>
          <w:p w:rsidR="005712E2" w:rsidRPr="00662ECB" w:rsidRDefault="005712E2" w:rsidP="00671D0E">
            <w:pPr>
              <w:ind w:right="367"/>
              <w:jc w:val="right"/>
              <w:cnfStyle w:val="000000000000" w:firstRow="0" w:lastRow="0" w:firstColumn="0" w:lastColumn="0" w:oddVBand="0" w:evenVBand="0" w:oddHBand="0" w:evenHBand="0" w:firstRowFirstColumn="0" w:firstRowLastColumn="0" w:lastRowFirstColumn="0" w:lastRowLastColumn="0"/>
              <w:rPr>
                <w:b/>
                <w:szCs w:val="20"/>
              </w:rPr>
            </w:pPr>
            <w:r w:rsidRPr="00C60B71">
              <w:rPr>
                <w:rFonts w:ascii="Calibri" w:hAnsi="Calibri" w:cs="Calibri"/>
                <w:b/>
                <w:bCs/>
                <w:color w:val="000000"/>
                <w:szCs w:val="20"/>
              </w:rPr>
              <w:t>50%</w:t>
            </w:r>
          </w:p>
        </w:tc>
      </w:tr>
    </w:tbl>
    <w:p w:rsidR="00CB7F61" w:rsidRDefault="00CB7F61" w:rsidP="00CB7F61">
      <w:pPr>
        <w:pStyle w:val="MJAnormal"/>
        <w:rPr>
          <w:rFonts w:asciiTheme="minorHAnsi" w:hAnsiTheme="minorHAnsi"/>
          <w:i/>
          <w:sz w:val="18"/>
          <w:szCs w:val="18"/>
        </w:rPr>
      </w:pPr>
      <w:r w:rsidRPr="000644F3">
        <w:rPr>
          <w:rFonts w:asciiTheme="minorHAnsi" w:hAnsiTheme="minorHAnsi"/>
          <w:i/>
          <w:sz w:val="18"/>
          <w:szCs w:val="18"/>
        </w:rPr>
        <w:t>Source: MJA estimates using information and data on actual expenditures provided by Murrumbidgee Irrigation</w:t>
      </w:r>
      <w:r>
        <w:rPr>
          <w:rFonts w:asciiTheme="minorHAnsi" w:hAnsiTheme="minorHAnsi"/>
          <w:i/>
          <w:sz w:val="18"/>
          <w:szCs w:val="18"/>
        </w:rPr>
        <w:t xml:space="preserve"> and the </w:t>
      </w:r>
      <w:r w:rsidRPr="00732E9F">
        <w:rPr>
          <w:rFonts w:asciiTheme="minorHAnsi" w:hAnsiTheme="minorHAnsi"/>
          <w:i/>
          <w:sz w:val="18"/>
          <w:szCs w:val="18"/>
        </w:rPr>
        <w:t>Department of Agriculture and Water</w:t>
      </w:r>
      <w:r w:rsidRPr="00E213C7">
        <w:rPr>
          <w:rFonts w:asciiTheme="minorHAnsi" w:hAnsiTheme="minorHAnsi"/>
          <w:i/>
          <w:sz w:val="18"/>
          <w:szCs w:val="18"/>
        </w:rPr>
        <w:t>.</w:t>
      </w:r>
    </w:p>
    <w:p w:rsidR="00CB7F61" w:rsidRDefault="00CB7F61" w:rsidP="00583D9E">
      <w:pPr>
        <w:pStyle w:val="MJAheading2"/>
        <w:numPr>
          <w:ilvl w:val="0"/>
          <w:numId w:val="0"/>
        </w:numPr>
      </w:pPr>
      <w:bookmarkStart w:id="220" w:name="_Toc490602114"/>
      <w:bookmarkStart w:id="221" w:name="_Toc490832012"/>
      <w:bookmarkStart w:id="222" w:name="_Toc490602115"/>
      <w:bookmarkStart w:id="223" w:name="_Toc490832013"/>
      <w:bookmarkStart w:id="224" w:name="_Toc490602116"/>
      <w:bookmarkStart w:id="225" w:name="_Toc490832014"/>
      <w:bookmarkStart w:id="226" w:name="_Toc490602120"/>
      <w:bookmarkStart w:id="227" w:name="_Toc490832018"/>
      <w:bookmarkStart w:id="228" w:name="_Toc490602121"/>
      <w:bookmarkStart w:id="229" w:name="_Toc490832019"/>
      <w:bookmarkStart w:id="230" w:name="_Toc490602123"/>
      <w:bookmarkStart w:id="231" w:name="_Toc490832021"/>
      <w:bookmarkStart w:id="232" w:name="_Toc490602124"/>
      <w:bookmarkStart w:id="233" w:name="_Toc490832022"/>
      <w:bookmarkStart w:id="234" w:name="_Toc490602131"/>
      <w:bookmarkStart w:id="235" w:name="_Toc490832029"/>
      <w:bookmarkStart w:id="236" w:name="_Toc490602132"/>
      <w:bookmarkStart w:id="237" w:name="_Toc490832030"/>
      <w:bookmarkStart w:id="238" w:name="_Toc490602133"/>
      <w:bookmarkStart w:id="239" w:name="_Toc490832031"/>
      <w:bookmarkStart w:id="240" w:name="_Toc490602137"/>
      <w:bookmarkStart w:id="241" w:name="_Toc490832035"/>
      <w:bookmarkStart w:id="242" w:name="_Toc490602138"/>
      <w:bookmarkStart w:id="243" w:name="_Toc490832036"/>
      <w:bookmarkStart w:id="244" w:name="_Toc490602139"/>
      <w:bookmarkStart w:id="245" w:name="_Toc490832037"/>
      <w:bookmarkStart w:id="246" w:name="_Toc490602143"/>
      <w:bookmarkStart w:id="247" w:name="_Toc490832041"/>
      <w:bookmarkStart w:id="248" w:name="_Toc490602144"/>
      <w:bookmarkStart w:id="249" w:name="_Toc490832042"/>
      <w:bookmarkStart w:id="250" w:name="_Toc490602145"/>
      <w:bookmarkStart w:id="251" w:name="_Toc490832043"/>
      <w:bookmarkStart w:id="252" w:name="_Toc490602149"/>
      <w:bookmarkStart w:id="253" w:name="_Toc490832047"/>
      <w:bookmarkStart w:id="254" w:name="_Toc490602150"/>
      <w:bookmarkStart w:id="255" w:name="_Toc490832048"/>
      <w:bookmarkStart w:id="256" w:name="_Toc490602151"/>
      <w:bookmarkStart w:id="257" w:name="_Toc490832049"/>
      <w:bookmarkStart w:id="258" w:name="_Toc490602155"/>
      <w:bookmarkStart w:id="259" w:name="_Toc490832053"/>
      <w:bookmarkStart w:id="260" w:name="_Toc490602156"/>
      <w:bookmarkStart w:id="261" w:name="_Toc490832054"/>
      <w:bookmarkStart w:id="262" w:name="_Toc490602157"/>
      <w:bookmarkStart w:id="263" w:name="_Toc490832055"/>
      <w:bookmarkStart w:id="264" w:name="_Toc490602161"/>
      <w:bookmarkStart w:id="265" w:name="_Toc490832059"/>
      <w:bookmarkStart w:id="266" w:name="_Toc490602162"/>
      <w:bookmarkStart w:id="267" w:name="_Toc490832060"/>
      <w:bookmarkStart w:id="268" w:name="_Toc490602163"/>
      <w:bookmarkStart w:id="269" w:name="_Toc490832061"/>
      <w:bookmarkStart w:id="270" w:name="_Toc490602167"/>
      <w:bookmarkStart w:id="271" w:name="_Toc490832065"/>
      <w:bookmarkStart w:id="272" w:name="_Toc490602168"/>
      <w:bookmarkStart w:id="273" w:name="_Toc490832066"/>
      <w:bookmarkStart w:id="274" w:name="_Toc490602169"/>
      <w:bookmarkStart w:id="275" w:name="_Toc490832067"/>
      <w:bookmarkStart w:id="276" w:name="_Toc490602171"/>
      <w:bookmarkStart w:id="277" w:name="_Toc490832069"/>
      <w:bookmarkStart w:id="278" w:name="_Toc490602173"/>
      <w:bookmarkStart w:id="279" w:name="_Toc490832071"/>
      <w:bookmarkStart w:id="280" w:name="_Toc490602174"/>
      <w:bookmarkStart w:id="281" w:name="_Toc490832072"/>
      <w:bookmarkStart w:id="282" w:name="_Toc490602175"/>
      <w:bookmarkStart w:id="283" w:name="_Toc490832073"/>
      <w:bookmarkStart w:id="284" w:name="_Toc490602181"/>
      <w:bookmarkStart w:id="285" w:name="_Toc490832079"/>
      <w:bookmarkStart w:id="286" w:name="_Toc490602182"/>
      <w:bookmarkStart w:id="287" w:name="_Toc490832080"/>
      <w:bookmarkStart w:id="288" w:name="_Toc490602184"/>
      <w:bookmarkStart w:id="289" w:name="_Toc490832082"/>
      <w:bookmarkStart w:id="290" w:name="_Toc490602185"/>
      <w:bookmarkStart w:id="291" w:name="_Toc490832083"/>
      <w:bookmarkStart w:id="292" w:name="_Toc490602192"/>
      <w:bookmarkStart w:id="293" w:name="_Toc490832090"/>
      <w:bookmarkStart w:id="294" w:name="_Toc490602193"/>
      <w:bookmarkStart w:id="295" w:name="_Toc490832091"/>
      <w:bookmarkStart w:id="296" w:name="_Toc490602194"/>
      <w:bookmarkStart w:id="297" w:name="_Toc490832092"/>
      <w:bookmarkStart w:id="298" w:name="_Toc490602198"/>
      <w:bookmarkStart w:id="299" w:name="_Toc490832096"/>
      <w:bookmarkStart w:id="300" w:name="_Toc490602199"/>
      <w:bookmarkStart w:id="301" w:name="_Toc490832097"/>
      <w:bookmarkStart w:id="302" w:name="_Toc490602200"/>
      <w:bookmarkStart w:id="303" w:name="_Toc490832098"/>
      <w:bookmarkStart w:id="304" w:name="_Toc490602204"/>
      <w:bookmarkStart w:id="305" w:name="_Toc490832102"/>
      <w:bookmarkStart w:id="306" w:name="_Toc490602205"/>
      <w:bookmarkStart w:id="307" w:name="_Toc490832103"/>
      <w:bookmarkStart w:id="308" w:name="_Toc490602206"/>
      <w:bookmarkStart w:id="309" w:name="_Toc490832104"/>
      <w:bookmarkStart w:id="310" w:name="_Toc490602210"/>
      <w:bookmarkStart w:id="311" w:name="_Toc490832108"/>
      <w:bookmarkStart w:id="312" w:name="_Toc490602211"/>
      <w:bookmarkStart w:id="313" w:name="_Toc490832109"/>
      <w:bookmarkStart w:id="314" w:name="_Toc490602212"/>
      <w:bookmarkStart w:id="315" w:name="_Toc490832110"/>
      <w:bookmarkStart w:id="316" w:name="_Toc490602216"/>
      <w:bookmarkStart w:id="317" w:name="_Toc490832114"/>
      <w:bookmarkStart w:id="318" w:name="_Toc490602217"/>
      <w:bookmarkStart w:id="319" w:name="_Toc490832115"/>
      <w:bookmarkStart w:id="320" w:name="_Toc490602218"/>
      <w:bookmarkStart w:id="321" w:name="_Toc490832116"/>
      <w:bookmarkStart w:id="322" w:name="_Toc490602222"/>
      <w:bookmarkStart w:id="323" w:name="_Toc490832120"/>
      <w:bookmarkStart w:id="324" w:name="_Toc490602223"/>
      <w:bookmarkStart w:id="325" w:name="_Toc490832121"/>
      <w:bookmarkStart w:id="326" w:name="_Toc490602224"/>
      <w:bookmarkStart w:id="327" w:name="_Toc490832122"/>
      <w:bookmarkStart w:id="328" w:name="_Toc490602228"/>
      <w:bookmarkStart w:id="329" w:name="_Toc490832126"/>
      <w:bookmarkStart w:id="330" w:name="_Toc490602229"/>
      <w:bookmarkStart w:id="331" w:name="_Toc490832127"/>
      <w:bookmarkStart w:id="332" w:name="_Toc490602230"/>
      <w:bookmarkStart w:id="333" w:name="_Toc490832128"/>
      <w:bookmarkStart w:id="334" w:name="_Toc490602232"/>
      <w:bookmarkStart w:id="335" w:name="_Toc490832130"/>
      <w:bookmarkStart w:id="336" w:name="_Toc490602234"/>
      <w:bookmarkStart w:id="337" w:name="_Toc490832132"/>
      <w:bookmarkStart w:id="338" w:name="_Toc490602235"/>
      <w:bookmarkStart w:id="339" w:name="_Toc490832133"/>
      <w:bookmarkStart w:id="340" w:name="_Toc490602236"/>
      <w:bookmarkStart w:id="341" w:name="_Toc490832134"/>
      <w:bookmarkStart w:id="342" w:name="_Toc490602238"/>
      <w:bookmarkStart w:id="343" w:name="_Toc490832136"/>
      <w:bookmarkStart w:id="344" w:name="_Toc490602239"/>
      <w:bookmarkStart w:id="345" w:name="_Toc490832137"/>
      <w:bookmarkStart w:id="346" w:name="_Toc490602240"/>
      <w:bookmarkStart w:id="347" w:name="_Toc490832138"/>
      <w:bookmarkStart w:id="348" w:name="_Toc490602241"/>
      <w:bookmarkStart w:id="349" w:name="_Toc490832139"/>
      <w:bookmarkStart w:id="350" w:name="_Toc490602243"/>
      <w:bookmarkStart w:id="351" w:name="_Toc490832141"/>
      <w:bookmarkStart w:id="352" w:name="_Toc490602244"/>
      <w:bookmarkStart w:id="353" w:name="_Toc490832142"/>
      <w:bookmarkStart w:id="354" w:name="_Toc490602246"/>
      <w:bookmarkStart w:id="355" w:name="_Toc490832144"/>
      <w:bookmarkStart w:id="356" w:name="_Toc490602247"/>
      <w:bookmarkStart w:id="357" w:name="_Toc490832145"/>
      <w:bookmarkStart w:id="358" w:name="_Toc490602254"/>
      <w:bookmarkStart w:id="359" w:name="_Toc490832152"/>
      <w:bookmarkStart w:id="360" w:name="_Toc490602255"/>
      <w:bookmarkStart w:id="361" w:name="_Toc490832153"/>
      <w:bookmarkStart w:id="362" w:name="_Toc490602256"/>
      <w:bookmarkStart w:id="363" w:name="_Toc490832154"/>
      <w:bookmarkStart w:id="364" w:name="_Toc490602260"/>
      <w:bookmarkStart w:id="365" w:name="_Toc490832158"/>
      <w:bookmarkStart w:id="366" w:name="_Toc490602261"/>
      <w:bookmarkStart w:id="367" w:name="_Toc490832159"/>
      <w:bookmarkStart w:id="368" w:name="_Toc490602262"/>
      <w:bookmarkStart w:id="369" w:name="_Toc490832160"/>
      <w:bookmarkStart w:id="370" w:name="_Toc490602266"/>
      <w:bookmarkStart w:id="371" w:name="_Toc490832164"/>
      <w:bookmarkStart w:id="372" w:name="_Toc490602267"/>
      <w:bookmarkStart w:id="373" w:name="_Toc490832165"/>
      <w:bookmarkStart w:id="374" w:name="_Toc490602268"/>
      <w:bookmarkStart w:id="375" w:name="_Toc490832166"/>
      <w:bookmarkStart w:id="376" w:name="_Toc490602272"/>
      <w:bookmarkStart w:id="377" w:name="_Toc490832170"/>
      <w:bookmarkStart w:id="378" w:name="_Toc490602273"/>
      <w:bookmarkStart w:id="379" w:name="_Toc490832171"/>
      <w:bookmarkStart w:id="380" w:name="_Toc490602274"/>
      <w:bookmarkStart w:id="381" w:name="_Toc490832172"/>
      <w:bookmarkStart w:id="382" w:name="_Toc490602278"/>
      <w:bookmarkStart w:id="383" w:name="_Toc490832176"/>
      <w:bookmarkStart w:id="384" w:name="_Toc490602279"/>
      <w:bookmarkStart w:id="385" w:name="_Toc490832177"/>
      <w:bookmarkStart w:id="386" w:name="_Toc490602280"/>
      <w:bookmarkStart w:id="387" w:name="_Toc490832178"/>
      <w:bookmarkStart w:id="388" w:name="_Toc490602284"/>
      <w:bookmarkStart w:id="389" w:name="_Toc490832182"/>
      <w:bookmarkStart w:id="390" w:name="_Toc490602285"/>
      <w:bookmarkStart w:id="391" w:name="_Toc490832183"/>
      <w:bookmarkStart w:id="392" w:name="_Toc490602286"/>
      <w:bookmarkStart w:id="393" w:name="_Toc490832184"/>
      <w:bookmarkStart w:id="394" w:name="_Toc490602290"/>
      <w:bookmarkStart w:id="395" w:name="_Toc490832188"/>
      <w:bookmarkStart w:id="396" w:name="_Toc490602291"/>
      <w:bookmarkStart w:id="397" w:name="_Toc490832189"/>
      <w:bookmarkStart w:id="398" w:name="_Toc490602292"/>
      <w:bookmarkStart w:id="399" w:name="_Toc490832190"/>
      <w:bookmarkStart w:id="400" w:name="_Toc490602294"/>
      <w:bookmarkStart w:id="401" w:name="_Toc490832192"/>
      <w:bookmarkStart w:id="402" w:name="_Toc490602296"/>
      <w:bookmarkStart w:id="403" w:name="_Toc490832194"/>
      <w:bookmarkStart w:id="404" w:name="_Toc490602297"/>
      <w:bookmarkStart w:id="405" w:name="_Toc490832195"/>
      <w:bookmarkStart w:id="406" w:name="_Toc490602298"/>
      <w:bookmarkStart w:id="407" w:name="_Toc490832196"/>
      <w:bookmarkStart w:id="408" w:name="_Toc490602300"/>
      <w:bookmarkStart w:id="409" w:name="_Toc490832198"/>
      <w:bookmarkStart w:id="410" w:name="_Toc490602301"/>
      <w:bookmarkStart w:id="411" w:name="_Toc490832199"/>
      <w:bookmarkStart w:id="412" w:name="_Toc490602305"/>
      <w:bookmarkStart w:id="413" w:name="_Toc490832203"/>
      <w:bookmarkStart w:id="414" w:name="_Toc490602306"/>
      <w:bookmarkStart w:id="415" w:name="_Toc490832204"/>
      <w:bookmarkStart w:id="416" w:name="_Toc490602308"/>
      <w:bookmarkStart w:id="417" w:name="_Toc490832206"/>
      <w:bookmarkStart w:id="418" w:name="_Toc490602309"/>
      <w:bookmarkStart w:id="419" w:name="_Toc490832207"/>
      <w:bookmarkStart w:id="420" w:name="_Toc490602316"/>
      <w:bookmarkStart w:id="421" w:name="_Toc490832214"/>
      <w:bookmarkStart w:id="422" w:name="_Toc490602317"/>
      <w:bookmarkStart w:id="423" w:name="_Toc490832215"/>
      <w:bookmarkStart w:id="424" w:name="_Toc490602318"/>
      <w:bookmarkStart w:id="425" w:name="_Toc490832216"/>
      <w:bookmarkStart w:id="426" w:name="_Toc490602322"/>
      <w:bookmarkStart w:id="427" w:name="_Toc490832220"/>
      <w:bookmarkStart w:id="428" w:name="_Toc490602323"/>
      <w:bookmarkStart w:id="429" w:name="_Toc490832221"/>
      <w:bookmarkStart w:id="430" w:name="_Toc490602324"/>
      <w:bookmarkStart w:id="431" w:name="_Toc490832222"/>
      <w:bookmarkStart w:id="432" w:name="_Toc490602328"/>
      <w:bookmarkStart w:id="433" w:name="_Toc490832226"/>
      <w:bookmarkStart w:id="434" w:name="_Toc490602329"/>
      <w:bookmarkStart w:id="435" w:name="_Toc490832227"/>
      <w:bookmarkStart w:id="436" w:name="_Toc490602330"/>
      <w:bookmarkStart w:id="437" w:name="_Toc490832228"/>
      <w:bookmarkStart w:id="438" w:name="_Toc490602334"/>
      <w:bookmarkStart w:id="439" w:name="_Toc490832232"/>
      <w:bookmarkStart w:id="440" w:name="_Toc490602335"/>
      <w:bookmarkStart w:id="441" w:name="_Toc490832233"/>
      <w:bookmarkStart w:id="442" w:name="_Toc490602336"/>
      <w:bookmarkStart w:id="443" w:name="_Toc490832234"/>
      <w:bookmarkStart w:id="444" w:name="_Toc490602340"/>
      <w:bookmarkStart w:id="445" w:name="_Toc490832238"/>
      <w:bookmarkStart w:id="446" w:name="_Toc490602341"/>
      <w:bookmarkStart w:id="447" w:name="_Toc490832239"/>
      <w:bookmarkStart w:id="448" w:name="_Toc490602342"/>
      <w:bookmarkStart w:id="449" w:name="_Toc490832240"/>
      <w:bookmarkStart w:id="450" w:name="_Toc490602346"/>
      <w:bookmarkStart w:id="451" w:name="_Toc490832244"/>
      <w:bookmarkStart w:id="452" w:name="_Toc490602347"/>
      <w:bookmarkStart w:id="453" w:name="_Toc490832245"/>
      <w:bookmarkStart w:id="454" w:name="_Toc490602348"/>
      <w:bookmarkStart w:id="455" w:name="_Toc490832246"/>
      <w:bookmarkStart w:id="456" w:name="_Toc490602352"/>
      <w:bookmarkStart w:id="457" w:name="_Toc490832250"/>
      <w:bookmarkStart w:id="458" w:name="_Toc490602353"/>
      <w:bookmarkStart w:id="459" w:name="_Toc490832251"/>
      <w:bookmarkStart w:id="460" w:name="_Toc490602354"/>
      <w:bookmarkStart w:id="461" w:name="_Toc490832252"/>
      <w:bookmarkStart w:id="462" w:name="_Toc490602356"/>
      <w:bookmarkStart w:id="463" w:name="_Toc490832254"/>
      <w:bookmarkStart w:id="464" w:name="_Toc490602358"/>
      <w:bookmarkStart w:id="465" w:name="_Toc490832256"/>
      <w:bookmarkStart w:id="466" w:name="_Toc490602359"/>
      <w:bookmarkStart w:id="467" w:name="_Toc490832257"/>
      <w:bookmarkStart w:id="468" w:name="_Toc490602360"/>
      <w:bookmarkStart w:id="469" w:name="_Toc490832258"/>
      <w:bookmarkStart w:id="470" w:name="_Toc490602362"/>
      <w:bookmarkStart w:id="471" w:name="_Toc490832260"/>
      <w:bookmarkStart w:id="472" w:name="_Toc490602366"/>
      <w:bookmarkStart w:id="473" w:name="_Toc490832264"/>
      <w:bookmarkStart w:id="474" w:name="_Toc490602367"/>
      <w:bookmarkStart w:id="475" w:name="_Toc490832265"/>
      <w:bookmarkStart w:id="476" w:name="_Toc490602369"/>
      <w:bookmarkStart w:id="477" w:name="_Toc490832267"/>
      <w:bookmarkStart w:id="478" w:name="_Toc490602370"/>
      <w:bookmarkStart w:id="479" w:name="_Toc490832268"/>
      <w:bookmarkStart w:id="480" w:name="_Toc490602376"/>
      <w:bookmarkStart w:id="481" w:name="_Toc490832274"/>
      <w:bookmarkStart w:id="482" w:name="_Toc490602377"/>
      <w:bookmarkStart w:id="483" w:name="_Toc490832275"/>
      <w:bookmarkStart w:id="484" w:name="_Toc490602378"/>
      <w:bookmarkStart w:id="485" w:name="_Toc490832276"/>
      <w:bookmarkStart w:id="486" w:name="_Toc490602379"/>
      <w:bookmarkStart w:id="487" w:name="_Toc490832277"/>
      <w:bookmarkStart w:id="488" w:name="_Toc490602382"/>
      <w:bookmarkStart w:id="489" w:name="_Toc490832280"/>
      <w:bookmarkStart w:id="490" w:name="_Toc490602383"/>
      <w:bookmarkStart w:id="491" w:name="_Toc490832281"/>
      <w:bookmarkStart w:id="492" w:name="_Toc490602384"/>
      <w:bookmarkStart w:id="493" w:name="_Toc490832282"/>
      <w:bookmarkStart w:id="494" w:name="_Toc490602385"/>
      <w:bookmarkStart w:id="495" w:name="_Toc490832283"/>
      <w:bookmarkStart w:id="496" w:name="_Toc490602388"/>
      <w:bookmarkStart w:id="497" w:name="_Toc490832286"/>
      <w:bookmarkStart w:id="498" w:name="_Toc490602389"/>
      <w:bookmarkStart w:id="499" w:name="_Toc490832287"/>
      <w:bookmarkStart w:id="500" w:name="_Toc490602390"/>
      <w:bookmarkStart w:id="501" w:name="_Toc490832288"/>
      <w:bookmarkStart w:id="502" w:name="_Toc490602391"/>
      <w:bookmarkStart w:id="503" w:name="_Toc490832289"/>
      <w:bookmarkStart w:id="504" w:name="_Toc490602394"/>
      <w:bookmarkStart w:id="505" w:name="_Toc490832292"/>
      <w:bookmarkStart w:id="506" w:name="_Toc490602395"/>
      <w:bookmarkStart w:id="507" w:name="_Toc490832293"/>
      <w:bookmarkStart w:id="508" w:name="_Toc490602396"/>
      <w:bookmarkStart w:id="509" w:name="_Toc490832294"/>
      <w:bookmarkStart w:id="510" w:name="_Toc490602397"/>
      <w:bookmarkStart w:id="511" w:name="_Toc490832295"/>
      <w:bookmarkStart w:id="512" w:name="_Toc490602400"/>
      <w:bookmarkStart w:id="513" w:name="_Toc490832298"/>
      <w:bookmarkStart w:id="514" w:name="_Toc490602401"/>
      <w:bookmarkStart w:id="515" w:name="_Toc490832299"/>
      <w:bookmarkStart w:id="516" w:name="_Toc490602402"/>
      <w:bookmarkStart w:id="517" w:name="_Toc490832300"/>
      <w:bookmarkStart w:id="518" w:name="_Toc490602403"/>
      <w:bookmarkStart w:id="519" w:name="_Toc490832301"/>
      <w:bookmarkStart w:id="520" w:name="_Toc490602406"/>
      <w:bookmarkStart w:id="521" w:name="_Toc490832304"/>
      <w:bookmarkStart w:id="522" w:name="_Toc490602407"/>
      <w:bookmarkStart w:id="523" w:name="_Toc490832305"/>
      <w:bookmarkStart w:id="524" w:name="_Toc490602408"/>
      <w:bookmarkStart w:id="525" w:name="_Toc490832306"/>
      <w:bookmarkStart w:id="526" w:name="_Toc490602409"/>
      <w:bookmarkStart w:id="527" w:name="_Toc490832307"/>
      <w:bookmarkStart w:id="528" w:name="_Toc490602412"/>
      <w:bookmarkStart w:id="529" w:name="_Toc490832310"/>
      <w:bookmarkStart w:id="530" w:name="_Toc490602413"/>
      <w:bookmarkStart w:id="531" w:name="_Toc490832311"/>
      <w:bookmarkStart w:id="532" w:name="_Toc490602414"/>
      <w:bookmarkStart w:id="533" w:name="_Toc490832312"/>
      <w:bookmarkStart w:id="534" w:name="_Toc490602415"/>
      <w:bookmarkStart w:id="535" w:name="_Toc490832313"/>
      <w:bookmarkStart w:id="536" w:name="_Toc490602417"/>
      <w:bookmarkStart w:id="537" w:name="_Toc490832315"/>
      <w:bookmarkStart w:id="538" w:name="_Toc490602419"/>
      <w:bookmarkStart w:id="539" w:name="_Toc490832317"/>
      <w:bookmarkStart w:id="540" w:name="_Toc490602420"/>
      <w:bookmarkStart w:id="541" w:name="_Toc490832318"/>
      <w:bookmarkStart w:id="542" w:name="_Toc490602421"/>
      <w:bookmarkStart w:id="543" w:name="_Toc490832319"/>
      <w:bookmarkStart w:id="544" w:name="_Toc490602427"/>
      <w:bookmarkStart w:id="545" w:name="_Toc490832325"/>
      <w:bookmarkStart w:id="546" w:name="_Toc490602428"/>
      <w:bookmarkStart w:id="547" w:name="_Toc490832326"/>
      <w:bookmarkStart w:id="548" w:name="_Toc490602430"/>
      <w:bookmarkStart w:id="549" w:name="_Toc490832328"/>
      <w:bookmarkStart w:id="550" w:name="_Toc490602431"/>
      <w:bookmarkStart w:id="551" w:name="_Toc490832329"/>
      <w:bookmarkStart w:id="552" w:name="_Toc490602437"/>
      <w:bookmarkStart w:id="553" w:name="_Toc490832335"/>
      <w:bookmarkStart w:id="554" w:name="_Toc490602443"/>
      <w:bookmarkStart w:id="555" w:name="_Toc490832341"/>
      <w:bookmarkStart w:id="556" w:name="_Toc490602449"/>
      <w:bookmarkStart w:id="557" w:name="_Toc490832347"/>
      <w:bookmarkStart w:id="558" w:name="_Toc490602455"/>
      <w:bookmarkStart w:id="559" w:name="_Toc490832353"/>
      <w:bookmarkStart w:id="560" w:name="_Toc490602461"/>
      <w:bookmarkStart w:id="561" w:name="_Toc490832359"/>
      <w:bookmarkStart w:id="562" w:name="_Toc490602467"/>
      <w:bookmarkStart w:id="563" w:name="_Toc490832365"/>
      <w:bookmarkStart w:id="564" w:name="_Toc490602473"/>
      <w:bookmarkStart w:id="565" w:name="_Toc490832371"/>
      <w:bookmarkStart w:id="566" w:name="_Toc490602478"/>
      <w:bookmarkStart w:id="567" w:name="_Toc490832376"/>
      <w:bookmarkStart w:id="568" w:name="_Toc490602480"/>
      <w:bookmarkStart w:id="569" w:name="_Toc490832378"/>
      <w:bookmarkStart w:id="570" w:name="_Toc490602481"/>
      <w:bookmarkStart w:id="571" w:name="_Toc490832379"/>
      <w:bookmarkStart w:id="572" w:name="_Toc490602482"/>
      <w:bookmarkStart w:id="573" w:name="_Toc490832380"/>
      <w:bookmarkStart w:id="574" w:name="_Toc494892292"/>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t>PIIOP on-farm goods and services</w:t>
      </w:r>
      <w:bookmarkEnd w:id="574"/>
    </w:p>
    <w:p w:rsidR="00CB7F61" w:rsidRDefault="00CB7F61" w:rsidP="00CB7F61">
      <w:pPr>
        <w:pStyle w:val="MJAnormal"/>
      </w:pPr>
      <w:r>
        <w:t>The total value of PIIOP on-farm goods and services is $</w:t>
      </w:r>
      <w:r w:rsidR="003A101B">
        <w:t>58.5</w:t>
      </w:r>
      <w:r>
        <w:t xml:space="preserve"> million of which $</w:t>
      </w:r>
      <w:r w:rsidR="000337D9">
        <w:t>36.3</w:t>
      </w:r>
      <w:r>
        <w:t xml:space="preserve"> million (6</w:t>
      </w:r>
      <w:r w:rsidR="000337D9">
        <w:t>2</w:t>
      </w:r>
      <w:r>
        <w:t xml:space="preserve"> per cent of the total) is estimated to be intermediate goods and services within the MIA.  There is a further $1.</w:t>
      </w:r>
      <w:r w:rsidR="000337D9">
        <w:t>7</w:t>
      </w:r>
      <w:r>
        <w:t xml:space="preserve"> million (3 per cent of the total) of intermediate goods and services that has been sourced from outside the MIA but within the MDB.</w:t>
      </w:r>
    </w:p>
    <w:p w:rsidR="005712E2" w:rsidRDefault="005712E2" w:rsidP="00CB7F61">
      <w:pPr>
        <w:pStyle w:val="MJAnormal"/>
      </w:pPr>
    </w:p>
    <w:p w:rsidR="005712E2" w:rsidRDefault="005712E2" w:rsidP="00CB7F61">
      <w:pPr>
        <w:pStyle w:val="MJAnormal"/>
      </w:pPr>
    </w:p>
    <w:p w:rsidR="00574C65" w:rsidRDefault="00574C65" w:rsidP="00CB7F61">
      <w:pPr>
        <w:pStyle w:val="MJAnormal"/>
      </w:pPr>
    </w:p>
    <w:p w:rsidR="005712E2" w:rsidRDefault="005712E2" w:rsidP="00CB7F61">
      <w:pPr>
        <w:pStyle w:val="MJAnormal"/>
      </w:pPr>
    </w:p>
    <w:p w:rsidR="00CB7F61" w:rsidRDefault="00CB7F61" w:rsidP="00CB7F61">
      <w:pPr>
        <w:pStyle w:val="Caption"/>
        <w:spacing w:before="360"/>
      </w:pPr>
      <w:bookmarkStart w:id="575" w:name="_Toc494892456"/>
      <w:r>
        <w:t xml:space="preserve">Table </w:t>
      </w:r>
      <w:fldSimple w:instr=" SEQ Table \* ARABIC ">
        <w:r w:rsidR="002F2E38">
          <w:rPr>
            <w:noProof/>
          </w:rPr>
          <w:t>27</w:t>
        </w:r>
      </w:fldSimple>
      <w:r>
        <w:rPr>
          <w:noProof/>
        </w:rPr>
        <w:t>:</w:t>
      </w:r>
      <w:r>
        <w:t xml:space="preserve"> PIIOP on-farm goods and services (GST Exclusive)</w:t>
      </w:r>
      <w:r w:rsidR="005712E2">
        <w:t xml:space="preserve"> $million</w:t>
      </w:r>
      <w:bookmarkEnd w:id="575"/>
    </w:p>
    <w:tbl>
      <w:tblPr>
        <w:tblStyle w:val="MJATable1"/>
        <w:tblW w:w="8505" w:type="dxa"/>
        <w:tblLayout w:type="fixed"/>
        <w:tblLook w:val="04A0" w:firstRow="1" w:lastRow="0" w:firstColumn="1" w:lastColumn="0" w:noHBand="0" w:noVBand="1"/>
      </w:tblPr>
      <w:tblGrid>
        <w:gridCol w:w="1809"/>
        <w:gridCol w:w="1418"/>
        <w:gridCol w:w="1759"/>
        <w:gridCol w:w="1759"/>
        <w:gridCol w:w="1760"/>
      </w:tblGrid>
      <w:tr w:rsidR="00CB7F61" w:rsidTr="00671D0E">
        <w:trPr>
          <w:cnfStyle w:val="100000000000" w:firstRow="1" w:lastRow="0" w:firstColumn="0" w:lastColumn="0" w:oddVBand="0" w:evenVBand="0" w:oddHBand="0" w:evenHBand="0" w:firstRowFirstColumn="0" w:firstRowLastColumn="0" w:lastRowFirstColumn="0" w:lastRowLastColumn="0"/>
          <w:trHeight w:val="425"/>
          <w:tblHeader/>
        </w:trPr>
        <w:tc>
          <w:tcPr>
            <w:cnfStyle w:val="001000000000" w:firstRow="0" w:lastRow="0" w:firstColumn="1" w:lastColumn="0" w:oddVBand="0" w:evenVBand="0" w:oddHBand="0" w:evenHBand="0" w:firstRowFirstColumn="0" w:firstRowLastColumn="0" w:lastRowFirstColumn="0" w:lastRowLastColumn="0"/>
            <w:tcW w:w="1809" w:type="dxa"/>
            <w:vAlign w:val="top"/>
          </w:tcPr>
          <w:p w:rsidR="00CB7F61" w:rsidRPr="00D04164" w:rsidRDefault="00CB7F61" w:rsidP="00CB7F61">
            <w:pPr>
              <w:rPr>
                <w:bCs/>
                <w:szCs w:val="20"/>
              </w:rPr>
            </w:pPr>
            <w:r w:rsidRPr="00D04164">
              <w:rPr>
                <w:bCs/>
                <w:szCs w:val="20"/>
              </w:rPr>
              <w:t>Type of cost</w:t>
            </w:r>
          </w:p>
        </w:tc>
        <w:tc>
          <w:tcPr>
            <w:tcW w:w="1418" w:type="dxa"/>
            <w:vMerge w:val="restart"/>
            <w:vAlign w:val="top"/>
          </w:tcPr>
          <w:p w:rsidR="00CB7F61" w:rsidRPr="00D04164" w:rsidRDefault="00CB7F61" w:rsidP="00CB7F61">
            <w:pPr>
              <w:cnfStyle w:val="100000000000" w:firstRow="1" w:lastRow="0" w:firstColumn="0" w:lastColumn="0" w:oddVBand="0" w:evenVBand="0" w:oddHBand="0" w:evenHBand="0" w:firstRowFirstColumn="0" w:firstRowLastColumn="0" w:lastRowFirstColumn="0" w:lastRowLastColumn="0"/>
              <w:rPr>
                <w:b w:val="0"/>
                <w:bCs/>
                <w:szCs w:val="20"/>
              </w:rPr>
            </w:pPr>
            <w:r w:rsidRPr="00D04164">
              <w:rPr>
                <w:rFonts w:ascii="Calibri" w:hAnsi="Calibri"/>
                <w:bCs/>
                <w:szCs w:val="20"/>
              </w:rPr>
              <w:t>Total expenditures</w:t>
            </w:r>
          </w:p>
        </w:tc>
        <w:tc>
          <w:tcPr>
            <w:tcW w:w="5278" w:type="dxa"/>
            <w:gridSpan w:val="3"/>
            <w:vAlign w:val="top"/>
          </w:tcPr>
          <w:p w:rsidR="00CB7F61" w:rsidRPr="00D04164" w:rsidRDefault="00CB7F61" w:rsidP="00CB7F61">
            <w:pPr>
              <w:cnfStyle w:val="100000000000" w:firstRow="1" w:lastRow="0" w:firstColumn="0" w:lastColumn="0" w:oddVBand="0" w:evenVBand="0" w:oddHBand="0" w:evenHBand="0" w:firstRowFirstColumn="0" w:firstRowLastColumn="0" w:lastRowFirstColumn="0" w:lastRowLastColumn="0"/>
              <w:rPr>
                <w:bCs/>
                <w:szCs w:val="20"/>
              </w:rPr>
            </w:pPr>
            <w:r>
              <w:rPr>
                <w:bCs/>
                <w:szCs w:val="20"/>
              </w:rPr>
              <w:t>Value of intermediate</w:t>
            </w:r>
            <w:r w:rsidRPr="00D04164">
              <w:rPr>
                <w:bCs/>
                <w:szCs w:val="20"/>
              </w:rPr>
              <w:t xml:space="preserve"> </w:t>
            </w:r>
            <w:r>
              <w:rPr>
                <w:bCs/>
                <w:szCs w:val="20"/>
              </w:rPr>
              <w:t>goods and services inputs</w:t>
            </w:r>
          </w:p>
        </w:tc>
      </w:tr>
      <w:tr w:rsidR="00CB7F61" w:rsidTr="00671D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vAlign w:val="top"/>
          </w:tcPr>
          <w:p w:rsidR="00CB7F61" w:rsidRPr="00D04164" w:rsidRDefault="00CB7F61" w:rsidP="00CB7F61">
            <w:pPr>
              <w:jc w:val="center"/>
              <w:rPr>
                <w:bCs/>
                <w:szCs w:val="20"/>
              </w:rPr>
            </w:pPr>
          </w:p>
        </w:tc>
        <w:tc>
          <w:tcPr>
            <w:tcW w:w="1418" w:type="dxa"/>
            <w:vMerge/>
            <w:vAlign w:val="top"/>
          </w:tcPr>
          <w:p w:rsidR="00CB7F61" w:rsidRPr="00D04164" w:rsidRDefault="00CB7F61" w:rsidP="00CB7F61">
            <w:pPr>
              <w:cnfStyle w:val="100000000000" w:firstRow="1" w:lastRow="0" w:firstColumn="0" w:lastColumn="0" w:oddVBand="0" w:evenVBand="0" w:oddHBand="0" w:evenHBand="0" w:firstRowFirstColumn="0" w:firstRowLastColumn="0" w:lastRowFirstColumn="0" w:lastRowLastColumn="0"/>
              <w:rPr>
                <w:szCs w:val="20"/>
              </w:rPr>
            </w:pPr>
          </w:p>
        </w:tc>
        <w:tc>
          <w:tcPr>
            <w:tcW w:w="1759" w:type="dxa"/>
            <w:vAlign w:val="top"/>
          </w:tcPr>
          <w:p w:rsidR="00CB7F61" w:rsidRPr="00D04164" w:rsidRDefault="00CB7F61" w:rsidP="00CB7F61">
            <w:pPr>
              <w:cnfStyle w:val="100000000000" w:firstRow="1" w:lastRow="0" w:firstColumn="0" w:lastColumn="0" w:oddVBand="0" w:evenVBand="0" w:oddHBand="0" w:evenHBand="0" w:firstRowFirstColumn="0" w:firstRowLastColumn="0" w:lastRowFirstColumn="0" w:lastRowLastColumn="0"/>
              <w:rPr>
                <w:rFonts w:ascii="Calibri" w:hAnsi="Calibri"/>
                <w:b w:val="0"/>
                <w:bCs/>
                <w:szCs w:val="20"/>
              </w:rPr>
            </w:pPr>
            <w:r w:rsidRPr="00D04164">
              <w:rPr>
                <w:rFonts w:ascii="Calibri" w:hAnsi="Calibri"/>
                <w:b w:val="0"/>
                <w:bCs/>
                <w:szCs w:val="20"/>
              </w:rPr>
              <w:t>Within MIA</w:t>
            </w:r>
          </w:p>
        </w:tc>
        <w:tc>
          <w:tcPr>
            <w:tcW w:w="1759" w:type="dxa"/>
            <w:vAlign w:val="top"/>
          </w:tcPr>
          <w:p w:rsidR="00CB7F61" w:rsidRPr="00D04164" w:rsidRDefault="00CB7F61" w:rsidP="00CB7F61">
            <w:pPr>
              <w:cnfStyle w:val="100000000000" w:firstRow="1" w:lastRow="0" w:firstColumn="0" w:lastColumn="0" w:oddVBand="0" w:evenVBand="0" w:oddHBand="0" w:evenHBand="0" w:firstRowFirstColumn="0" w:firstRowLastColumn="0" w:lastRowFirstColumn="0" w:lastRowLastColumn="0"/>
              <w:rPr>
                <w:rFonts w:ascii="Calibri" w:hAnsi="Calibri"/>
                <w:b w:val="0"/>
                <w:bCs/>
                <w:szCs w:val="20"/>
              </w:rPr>
            </w:pPr>
            <w:r w:rsidRPr="00D04164">
              <w:rPr>
                <w:rFonts w:ascii="Calibri" w:hAnsi="Calibri"/>
                <w:b w:val="0"/>
                <w:bCs/>
                <w:szCs w:val="20"/>
              </w:rPr>
              <w:t>Outside MIA but within MDB</w:t>
            </w:r>
          </w:p>
        </w:tc>
        <w:tc>
          <w:tcPr>
            <w:tcW w:w="1760" w:type="dxa"/>
            <w:vAlign w:val="top"/>
          </w:tcPr>
          <w:p w:rsidR="00CB7F61" w:rsidRPr="00D04164" w:rsidRDefault="00CB7F61" w:rsidP="00CB7F61">
            <w:pPr>
              <w:cnfStyle w:val="100000000000" w:firstRow="1" w:lastRow="0" w:firstColumn="0" w:lastColumn="0" w:oddVBand="0" w:evenVBand="0" w:oddHBand="0" w:evenHBand="0" w:firstRowFirstColumn="0" w:firstRowLastColumn="0" w:lastRowFirstColumn="0" w:lastRowLastColumn="0"/>
              <w:rPr>
                <w:rFonts w:ascii="Calibri" w:hAnsi="Calibri"/>
                <w:b w:val="0"/>
                <w:bCs/>
                <w:szCs w:val="20"/>
              </w:rPr>
            </w:pPr>
            <w:r w:rsidRPr="00D04164">
              <w:rPr>
                <w:rFonts w:ascii="Calibri" w:hAnsi="Calibri"/>
                <w:b w:val="0"/>
                <w:bCs/>
                <w:szCs w:val="20"/>
              </w:rPr>
              <w:t>Outside MIA and MDB region</w:t>
            </w:r>
          </w:p>
        </w:tc>
      </w:tr>
      <w:tr w:rsidR="00982D8A" w:rsidTr="00671D0E">
        <w:tc>
          <w:tcPr>
            <w:cnfStyle w:val="001000000000" w:firstRow="0" w:lastRow="0" w:firstColumn="1" w:lastColumn="0" w:oddVBand="0" w:evenVBand="0" w:oddHBand="0" w:evenHBand="0" w:firstRowFirstColumn="0" w:firstRowLastColumn="0" w:lastRowFirstColumn="0" w:lastRowLastColumn="0"/>
            <w:tcW w:w="1809" w:type="dxa"/>
            <w:vAlign w:val="bottom"/>
          </w:tcPr>
          <w:p w:rsidR="00982D8A" w:rsidRPr="00F32490" w:rsidRDefault="00982D8A" w:rsidP="00982D8A">
            <w:pPr>
              <w:rPr>
                <w:rFonts w:ascii="Calibri" w:hAnsi="Calibri"/>
                <w:color w:val="000000"/>
                <w:szCs w:val="20"/>
              </w:rPr>
            </w:pPr>
            <w:r w:rsidRPr="00F32490">
              <w:rPr>
                <w:rFonts w:ascii="Calibri" w:hAnsi="Calibri"/>
                <w:color w:val="000000"/>
                <w:szCs w:val="20"/>
              </w:rPr>
              <w:t>Drips</w:t>
            </w:r>
          </w:p>
        </w:tc>
        <w:tc>
          <w:tcPr>
            <w:tcW w:w="1418"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$29.9</w:t>
            </w:r>
          </w:p>
        </w:tc>
        <w:tc>
          <w:tcPr>
            <w:tcW w:w="1759"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$18.7</w:t>
            </w:r>
          </w:p>
        </w:tc>
        <w:tc>
          <w:tcPr>
            <w:tcW w:w="1759"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c>
          <w:tcPr>
            <w:tcW w:w="1760"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$11.2</w:t>
            </w:r>
          </w:p>
        </w:tc>
      </w:tr>
      <w:tr w:rsidR="00982D8A" w:rsidTr="00671D0E">
        <w:tc>
          <w:tcPr>
            <w:cnfStyle w:val="001000000000" w:firstRow="0" w:lastRow="0" w:firstColumn="1" w:lastColumn="0" w:oddVBand="0" w:evenVBand="0" w:oddHBand="0" w:evenHBand="0" w:firstRowFirstColumn="0" w:firstRowLastColumn="0" w:lastRowFirstColumn="0" w:lastRowLastColumn="0"/>
            <w:tcW w:w="1809" w:type="dxa"/>
            <w:vAlign w:val="bottom"/>
          </w:tcPr>
          <w:p w:rsidR="00982D8A" w:rsidRPr="00F32490" w:rsidRDefault="00982D8A" w:rsidP="00982D8A">
            <w:pPr>
              <w:rPr>
                <w:rFonts w:ascii="Calibri" w:hAnsi="Calibri"/>
                <w:color w:val="000000"/>
                <w:szCs w:val="20"/>
              </w:rPr>
            </w:pPr>
            <w:r w:rsidRPr="00F32490">
              <w:rPr>
                <w:rFonts w:ascii="Calibri" w:hAnsi="Calibri"/>
                <w:color w:val="000000"/>
                <w:szCs w:val="20"/>
              </w:rPr>
              <w:t>Pipes</w:t>
            </w:r>
          </w:p>
        </w:tc>
        <w:tc>
          <w:tcPr>
            <w:tcW w:w="1418"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$1.3</w:t>
            </w:r>
          </w:p>
        </w:tc>
        <w:tc>
          <w:tcPr>
            <w:tcW w:w="1759"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$0.9</w:t>
            </w:r>
          </w:p>
        </w:tc>
        <w:tc>
          <w:tcPr>
            <w:tcW w:w="1759"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$0.1</w:t>
            </w:r>
          </w:p>
        </w:tc>
        <w:tc>
          <w:tcPr>
            <w:tcW w:w="1760"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$0.3</w:t>
            </w:r>
          </w:p>
        </w:tc>
      </w:tr>
      <w:tr w:rsidR="00982D8A" w:rsidTr="00671D0E">
        <w:tc>
          <w:tcPr>
            <w:cnfStyle w:val="001000000000" w:firstRow="0" w:lastRow="0" w:firstColumn="1" w:lastColumn="0" w:oddVBand="0" w:evenVBand="0" w:oddHBand="0" w:evenHBand="0" w:firstRowFirstColumn="0" w:firstRowLastColumn="0" w:lastRowFirstColumn="0" w:lastRowLastColumn="0"/>
            <w:tcW w:w="1809" w:type="dxa"/>
            <w:vAlign w:val="bottom"/>
          </w:tcPr>
          <w:p w:rsidR="00982D8A" w:rsidRPr="00F32490" w:rsidRDefault="00982D8A" w:rsidP="00982D8A">
            <w:pPr>
              <w:rPr>
                <w:rFonts w:ascii="Calibri" w:hAnsi="Calibri"/>
                <w:color w:val="000000"/>
                <w:szCs w:val="20"/>
              </w:rPr>
            </w:pPr>
            <w:r w:rsidRPr="00F32490">
              <w:rPr>
                <w:rFonts w:ascii="Calibri" w:hAnsi="Calibri"/>
                <w:color w:val="000000"/>
                <w:szCs w:val="20"/>
              </w:rPr>
              <w:t>Excavation</w:t>
            </w:r>
          </w:p>
        </w:tc>
        <w:tc>
          <w:tcPr>
            <w:tcW w:w="1418"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$15.5</w:t>
            </w:r>
          </w:p>
        </w:tc>
        <w:tc>
          <w:tcPr>
            <w:tcW w:w="1759"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$11.2</w:t>
            </w:r>
          </w:p>
        </w:tc>
        <w:tc>
          <w:tcPr>
            <w:tcW w:w="1759"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$0.5</w:t>
            </w:r>
          </w:p>
        </w:tc>
        <w:tc>
          <w:tcPr>
            <w:tcW w:w="1760"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$3.8</w:t>
            </w:r>
          </w:p>
        </w:tc>
      </w:tr>
      <w:tr w:rsidR="00982D8A" w:rsidTr="00671D0E">
        <w:tc>
          <w:tcPr>
            <w:cnfStyle w:val="001000000000" w:firstRow="0" w:lastRow="0" w:firstColumn="1" w:lastColumn="0" w:oddVBand="0" w:evenVBand="0" w:oddHBand="0" w:evenHBand="0" w:firstRowFirstColumn="0" w:firstRowLastColumn="0" w:lastRowFirstColumn="0" w:lastRowLastColumn="0"/>
            <w:tcW w:w="1809" w:type="dxa"/>
            <w:vAlign w:val="bottom"/>
          </w:tcPr>
          <w:p w:rsidR="00982D8A" w:rsidRPr="00F32490" w:rsidRDefault="00982D8A" w:rsidP="00982D8A">
            <w:pPr>
              <w:rPr>
                <w:rFonts w:ascii="Calibri" w:hAnsi="Calibri"/>
                <w:color w:val="000000"/>
                <w:szCs w:val="20"/>
              </w:rPr>
            </w:pPr>
            <w:r w:rsidRPr="00F32490">
              <w:rPr>
                <w:rFonts w:ascii="Calibri" w:hAnsi="Calibri"/>
                <w:color w:val="000000"/>
                <w:szCs w:val="20"/>
              </w:rPr>
              <w:t>Pumps</w:t>
            </w:r>
          </w:p>
        </w:tc>
        <w:tc>
          <w:tcPr>
            <w:tcW w:w="1418"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$8.9</w:t>
            </w:r>
          </w:p>
        </w:tc>
        <w:tc>
          <w:tcPr>
            <w:tcW w:w="1759"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$3.8</w:t>
            </w:r>
          </w:p>
        </w:tc>
        <w:tc>
          <w:tcPr>
            <w:tcW w:w="1759"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$1.1</w:t>
            </w:r>
          </w:p>
        </w:tc>
        <w:tc>
          <w:tcPr>
            <w:tcW w:w="1760"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$3.9</w:t>
            </w:r>
          </w:p>
        </w:tc>
      </w:tr>
      <w:tr w:rsidR="00982D8A" w:rsidTr="00671D0E">
        <w:tc>
          <w:tcPr>
            <w:cnfStyle w:val="001000000000" w:firstRow="0" w:lastRow="0" w:firstColumn="1" w:lastColumn="0" w:oddVBand="0" w:evenVBand="0" w:oddHBand="0" w:evenHBand="0" w:firstRowFirstColumn="0" w:firstRowLastColumn="0" w:lastRowFirstColumn="0" w:lastRowLastColumn="0"/>
            <w:tcW w:w="1809" w:type="dxa"/>
            <w:vAlign w:val="bottom"/>
          </w:tcPr>
          <w:p w:rsidR="00982D8A" w:rsidRPr="00F32490" w:rsidRDefault="00982D8A" w:rsidP="00982D8A">
            <w:pPr>
              <w:rPr>
                <w:rFonts w:ascii="Calibri" w:hAnsi="Calibri"/>
                <w:color w:val="000000"/>
                <w:szCs w:val="20"/>
              </w:rPr>
            </w:pPr>
            <w:r w:rsidRPr="00F32490">
              <w:rPr>
                <w:rFonts w:ascii="Calibri" w:hAnsi="Calibri"/>
                <w:color w:val="000000"/>
                <w:szCs w:val="20"/>
              </w:rPr>
              <w:t>Bores</w:t>
            </w:r>
          </w:p>
        </w:tc>
        <w:tc>
          <w:tcPr>
            <w:tcW w:w="1418"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$0.1</w:t>
            </w:r>
          </w:p>
        </w:tc>
        <w:tc>
          <w:tcPr>
            <w:tcW w:w="1759"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c>
          <w:tcPr>
            <w:tcW w:w="1759"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c>
          <w:tcPr>
            <w:tcW w:w="1760"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r>
      <w:tr w:rsidR="00982D8A" w:rsidTr="00671D0E">
        <w:tc>
          <w:tcPr>
            <w:cnfStyle w:val="001000000000" w:firstRow="0" w:lastRow="0" w:firstColumn="1" w:lastColumn="0" w:oddVBand="0" w:evenVBand="0" w:oddHBand="0" w:evenHBand="0" w:firstRowFirstColumn="0" w:firstRowLastColumn="0" w:lastRowFirstColumn="0" w:lastRowLastColumn="0"/>
            <w:tcW w:w="1809" w:type="dxa"/>
            <w:vAlign w:val="bottom"/>
          </w:tcPr>
          <w:p w:rsidR="00982D8A" w:rsidRPr="00F32490" w:rsidRDefault="00982D8A" w:rsidP="00982D8A">
            <w:pPr>
              <w:rPr>
                <w:rFonts w:ascii="Calibri" w:hAnsi="Calibri"/>
                <w:color w:val="000000"/>
                <w:szCs w:val="20"/>
              </w:rPr>
            </w:pPr>
            <w:r w:rsidRPr="00F32490">
              <w:rPr>
                <w:rFonts w:ascii="Calibri" w:hAnsi="Calibri"/>
                <w:color w:val="000000"/>
                <w:szCs w:val="20"/>
              </w:rPr>
              <w:t>Soil moisture monitoring</w:t>
            </w:r>
          </w:p>
        </w:tc>
        <w:tc>
          <w:tcPr>
            <w:tcW w:w="1418"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$2.8</w:t>
            </w:r>
          </w:p>
        </w:tc>
        <w:tc>
          <w:tcPr>
            <w:tcW w:w="1759"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$1.5</w:t>
            </w:r>
          </w:p>
        </w:tc>
        <w:tc>
          <w:tcPr>
            <w:tcW w:w="1759"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c>
          <w:tcPr>
            <w:tcW w:w="1760"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$1.2</w:t>
            </w:r>
          </w:p>
        </w:tc>
      </w:tr>
      <w:tr w:rsidR="00982D8A" w:rsidTr="00671D0E">
        <w:tc>
          <w:tcPr>
            <w:cnfStyle w:val="001000000000" w:firstRow="0" w:lastRow="0" w:firstColumn="1" w:lastColumn="0" w:oddVBand="0" w:evenVBand="0" w:oddHBand="0" w:evenHBand="0" w:firstRowFirstColumn="0" w:firstRowLastColumn="0" w:lastRowFirstColumn="0" w:lastRowLastColumn="0"/>
            <w:tcW w:w="1809" w:type="dxa"/>
            <w:vAlign w:val="bottom"/>
          </w:tcPr>
          <w:p w:rsidR="00982D8A" w:rsidRPr="00F32490" w:rsidRDefault="00982D8A" w:rsidP="00982D8A">
            <w:pPr>
              <w:rPr>
                <w:rFonts w:ascii="Calibri" w:hAnsi="Calibri"/>
                <w:color w:val="000000"/>
                <w:szCs w:val="20"/>
              </w:rPr>
            </w:pPr>
            <w:r w:rsidRPr="00F32490">
              <w:rPr>
                <w:rFonts w:ascii="Calibri" w:hAnsi="Calibri"/>
                <w:color w:val="000000"/>
                <w:szCs w:val="20"/>
              </w:rPr>
              <w:t>Troughs</w:t>
            </w:r>
          </w:p>
        </w:tc>
        <w:tc>
          <w:tcPr>
            <w:tcW w:w="1418"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$0.1</w:t>
            </w:r>
          </w:p>
        </w:tc>
        <w:tc>
          <w:tcPr>
            <w:tcW w:w="1759"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$0.1</w:t>
            </w:r>
          </w:p>
        </w:tc>
        <w:tc>
          <w:tcPr>
            <w:tcW w:w="1759"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c>
          <w:tcPr>
            <w:tcW w:w="1760" w:type="dxa"/>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r>
      <w:tr w:rsidR="00982D8A" w:rsidRPr="00B92D05" w:rsidTr="00671D0E">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shd w:val="clear" w:color="auto" w:fill="F2F2F2" w:themeFill="background1" w:themeFillShade="F2"/>
            <w:vAlign w:val="bottom"/>
          </w:tcPr>
          <w:p w:rsidR="00982D8A" w:rsidRPr="00F32490" w:rsidRDefault="00982D8A" w:rsidP="00982D8A">
            <w:pPr>
              <w:rPr>
                <w:rFonts w:ascii="Calibri" w:hAnsi="Calibri"/>
                <w:b/>
                <w:color w:val="000000"/>
                <w:szCs w:val="20"/>
              </w:rPr>
            </w:pPr>
            <w:r w:rsidRPr="00F32490">
              <w:rPr>
                <w:rFonts w:ascii="Calibri" w:hAnsi="Calibri"/>
                <w:b/>
                <w:color w:val="000000"/>
                <w:szCs w:val="20"/>
              </w:rPr>
              <w:t>Total</w:t>
            </w:r>
          </w:p>
        </w:tc>
        <w:tc>
          <w:tcPr>
            <w:tcW w:w="1418" w:type="dxa"/>
            <w:tcBorders>
              <w:top w:val="single" w:sz="4" w:space="0" w:color="auto"/>
              <w:bottom w:val="single" w:sz="4" w:space="0" w:color="auto"/>
            </w:tcBorders>
            <w:shd w:val="clear" w:color="auto" w:fill="F2F2F2" w:themeFill="background1" w:themeFillShade="F2"/>
            <w:vAlign w:val="bottom"/>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b/>
                <w:color w:val="000000"/>
                <w:szCs w:val="20"/>
              </w:rPr>
              <w:t>$58.5</w:t>
            </w:r>
          </w:p>
        </w:tc>
        <w:tc>
          <w:tcPr>
            <w:tcW w:w="1759" w:type="dxa"/>
            <w:tcBorders>
              <w:top w:val="single" w:sz="4" w:space="0" w:color="auto"/>
              <w:bottom w:val="single" w:sz="4" w:space="0" w:color="auto"/>
            </w:tcBorders>
            <w:shd w:val="clear" w:color="auto" w:fill="F2F2F2" w:themeFill="background1" w:themeFillShade="F2"/>
            <w:vAlign w:val="bottom"/>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b/>
                <w:color w:val="000000"/>
                <w:szCs w:val="20"/>
              </w:rPr>
              <w:t>$36.3</w:t>
            </w:r>
          </w:p>
        </w:tc>
        <w:tc>
          <w:tcPr>
            <w:tcW w:w="1759" w:type="dxa"/>
            <w:tcBorders>
              <w:top w:val="single" w:sz="4" w:space="0" w:color="auto"/>
              <w:bottom w:val="single" w:sz="4" w:space="0" w:color="auto"/>
            </w:tcBorders>
            <w:shd w:val="clear" w:color="auto" w:fill="F2F2F2" w:themeFill="background1" w:themeFillShade="F2"/>
            <w:vAlign w:val="bottom"/>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b/>
                <w:color w:val="000000"/>
                <w:szCs w:val="20"/>
              </w:rPr>
              <w:t>$1.7</w:t>
            </w:r>
          </w:p>
        </w:tc>
        <w:tc>
          <w:tcPr>
            <w:tcW w:w="1760" w:type="dxa"/>
            <w:tcBorders>
              <w:top w:val="single" w:sz="4" w:space="0" w:color="auto"/>
              <w:bottom w:val="single" w:sz="4" w:space="0" w:color="auto"/>
            </w:tcBorders>
            <w:shd w:val="clear" w:color="auto" w:fill="F2F2F2" w:themeFill="background1" w:themeFillShade="F2"/>
            <w:vAlign w:val="bottom"/>
          </w:tcPr>
          <w:p w:rsidR="00982D8A" w:rsidRPr="00A67BEB" w:rsidRDefault="00982D8A"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b/>
                <w:color w:val="000000"/>
                <w:szCs w:val="20"/>
              </w:rPr>
              <w:t>$20.5</w:t>
            </w:r>
          </w:p>
        </w:tc>
      </w:tr>
      <w:tr w:rsidR="00982D8A" w:rsidRPr="00B92D05" w:rsidTr="00671D0E">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shd w:val="clear" w:color="auto" w:fill="F2F2F2" w:themeFill="background1" w:themeFillShade="F2"/>
            <w:vAlign w:val="top"/>
          </w:tcPr>
          <w:p w:rsidR="00982D8A" w:rsidRPr="009B09A5" w:rsidRDefault="00982D8A" w:rsidP="00982D8A">
            <w:pPr>
              <w:rPr>
                <w:b/>
                <w:color w:val="000000"/>
                <w:szCs w:val="20"/>
              </w:rPr>
            </w:pPr>
            <w:r>
              <w:rPr>
                <w:b/>
                <w:color w:val="000000"/>
                <w:szCs w:val="20"/>
              </w:rPr>
              <w:t>% of total</w:t>
            </w:r>
          </w:p>
        </w:tc>
        <w:tc>
          <w:tcPr>
            <w:tcW w:w="1418" w:type="dxa"/>
            <w:tcBorders>
              <w:top w:val="single" w:sz="4" w:space="0" w:color="auto"/>
              <w:bottom w:val="single" w:sz="4" w:space="0" w:color="auto"/>
            </w:tcBorders>
            <w:shd w:val="clear" w:color="auto" w:fill="F2F2F2" w:themeFill="background1" w:themeFillShade="F2"/>
            <w:vAlign w:val="bottom"/>
          </w:tcPr>
          <w:p w:rsidR="00982D8A" w:rsidRPr="00A67BEB" w:rsidRDefault="00982D8A" w:rsidP="00671D0E">
            <w:pPr>
              <w:ind w:right="455"/>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62ECB">
              <w:rPr>
                <w:rFonts w:ascii="Calibri" w:hAnsi="Calibri"/>
                <w:b/>
                <w:bCs/>
                <w:color w:val="000000"/>
                <w:szCs w:val="20"/>
              </w:rPr>
              <w:t>100%</w:t>
            </w:r>
          </w:p>
        </w:tc>
        <w:tc>
          <w:tcPr>
            <w:tcW w:w="1759" w:type="dxa"/>
            <w:tcBorders>
              <w:top w:val="single" w:sz="4" w:space="0" w:color="auto"/>
              <w:bottom w:val="single" w:sz="4" w:space="0" w:color="auto"/>
            </w:tcBorders>
            <w:shd w:val="clear" w:color="auto" w:fill="F2F2F2" w:themeFill="background1" w:themeFillShade="F2"/>
            <w:vAlign w:val="bottom"/>
          </w:tcPr>
          <w:p w:rsidR="00982D8A" w:rsidRPr="00662ECB" w:rsidRDefault="00982D8A" w:rsidP="00671D0E">
            <w:pPr>
              <w:ind w:right="455"/>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C60B71">
              <w:rPr>
                <w:rFonts w:ascii="Calibri" w:hAnsi="Calibri"/>
                <w:b/>
                <w:bCs/>
                <w:color w:val="000000"/>
                <w:szCs w:val="20"/>
              </w:rPr>
              <w:t>62%</w:t>
            </w:r>
          </w:p>
        </w:tc>
        <w:tc>
          <w:tcPr>
            <w:tcW w:w="1759" w:type="dxa"/>
            <w:tcBorders>
              <w:top w:val="single" w:sz="4" w:space="0" w:color="auto"/>
              <w:bottom w:val="single" w:sz="4" w:space="0" w:color="auto"/>
            </w:tcBorders>
            <w:shd w:val="clear" w:color="auto" w:fill="F2F2F2" w:themeFill="background1" w:themeFillShade="F2"/>
            <w:vAlign w:val="bottom"/>
          </w:tcPr>
          <w:p w:rsidR="00982D8A" w:rsidRPr="00662ECB" w:rsidRDefault="00982D8A" w:rsidP="00671D0E">
            <w:pPr>
              <w:ind w:right="455"/>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C60B71">
              <w:rPr>
                <w:rFonts w:ascii="Calibri" w:hAnsi="Calibri"/>
                <w:b/>
                <w:bCs/>
                <w:color w:val="000000"/>
                <w:szCs w:val="20"/>
              </w:rPr>
              <w:t>3%</w:t>
            </w:r>
          </w:p>
        </w:tc>
        <w:tc>
          <w:tcPr>
            <w:tcW w:w="1760" w:type="dxa"/>
            <w:tcBorders>
              <w:top w:val="single" w:sz="4" w:space="0" w:color="auto"/>
              <w:bottom w:val="single" w:sz="4" w:space="0" w:color="auto"/>
            </w:tcBorders>
            <w:shd w:val="clear" w:color="auto" w:fill="F2F2F2" w:themeFill="background1" w:themeFillShade="F2"/>
            <w:vAlign w:val="bottom"/>
          </w:tcPr>
          <w:p w:rsidR="00982D8A" w:rsidRPr="00662ECB" w:rsidRDefault="00982D8A" w:rsidP="00671D0E">
            <w:pPr>
              <w:ind w:right="455"/>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C60B71">
              <w:rPr>
                <w:rFonts w:ascii="Calibri" w:hAnsi="Calibri"/>
                <w:b/>
                <w:bCs/>
                <w:color w:val="000000"/>
                <w:szCs w:val="20"/>
              </w:rPr>
              <w:t>35%</w:t>
            </w:r>
          </w:p>
        </w:tc>
      </w:tr>
    </w:tbl>
    <w:p w:rsidR="00CB7F61" w:rsidRPr="00D91574" w:rsidRDefault="000337D9" w:rsidP="00CB7F61">
      <w:pPr>
        <w:pStyle w:val="MJAnormal"/>
      </w:pPr>
      <w:r w:rsidRPr="000644F3">
        <w:rPr>
          <w:rFonts w:asciiTheme="minorHAnsi" w:hAnsiTheme="minorHAnsi"/>
          <w:i/>
          <w:sz w:val="18"/>
          <w:szCs w:val="18"/>
        </w:rPr>
        <w:t>Source: MJA estimates using information and data on actual expenditures provided by Murrumbidgee Irrigation</w:t>
      </w:r>
      <w:r>
        <w:rPr>
          <w:rFonts w:asciiTheme="minorHAnsi" w:hAnsiTheme="minorHAnsi"/>
          <w:i/>
          <w:sz w:val="18"/>
          <w:szCs w:val="18"/>
        </w:rPr>
        <w:t xml:space="preserve"> and the </w:t>
      </w:r>
      <w:r w:rsidRPr="00732E9F">
        <w:rPr>
          <w:rFonts w:asciiTheme="minorHAnsi" w:hAnsiTheme="minorHAnsi"/>
          <w:i/>
          <w:sz w:val="18"/>
          <w:szCs w:val="18"/>
        </w:rPr>
        <w:t>Department of Agriculture and Water</w:t>
      </w:r>
      <w:r w:rsidRPr="00E213C7">
        <w:rPr>
          <w:rFonts w:asciiTheme="minorHAnsi" w:hAnsiTheme="minorHAnsi"/>
          <w:i/>
          <w:sz w:val="18"/>
          <w:szCs w:val="18"/>
        </w:rPr>
        <w:t>.</w:t>
      </w:r>
    </w:p>
    <w:p w:rsidR="00CB7F61" w:rsidRDefault="00CB7F61" w:rsidP="00583D9E">
      <w:pPr>
        <w:pStyle w:val="MJAheading2"/>
        <w:numPr>
          <w:ilvl w:val="0"/>
          <w:numId w:val="0"/>
        </w:numPr>
      </w:pPr>
      <w:bookmarkStart w:id="576" w:name="_Toc494892293"/>
      <w:r>
        <w:t>OFIEP goods and services</w:t>
      </w:r>
      <w:bookmarkEnd w:id="576"/>
    </w:p>
    <w:p w:rsidR="00CB7F61" w:rsidRDefault="00CB7F61" w:rsidP="00CB7F61">
      <w:pPr>
        <w:pStyle w:val="MJAnormal"/>
      </w:pPr>
      <w:r>
        <w:t>The total value of OFIEP final goods and services is $77.9 million of which $4</w:t>
      </w:r>
      <w:r w:rsidR="00515815">
        <w:t>2.4</w:t>
      </w:r>
      <w:r>
        <w:t xml:space="preserve"> million (5</w:t>
      </w:r>
      <w:r w:rsidR="00515815">
        <w:t>4</w:t>
      </w:r>
      <w:r>
        <w:t xml:space="preserve"> per cent of the total) is estimated to be intermediate goods and services within the MIA.  There is a further $2.</w:t>
      </w:r>
      <w:r w:rsidR="00515815">
        <w:t>1</w:t>
      </w:r>
      <w:r>
        <w:t xml:space="preserve"> million (3 per cent of the total) of intermediate goods and services that has been sourced from outside the MIA but within the MDB.</w:t>
      </w:r>
    </w:p>
    <w:p w:rsidR="00CB7F61" w:rsidRDefault="00CB7F61" w:rsidP="00CB7F61">
      <w:pPr>
        <w:pStyle w:val="Caption"/>
        <w:spacing w:before="360"/>
      </w:pPr>
      <w:bookmarkStart w:id="577" w:name="_Toc494892457"/>
      <w:r>
        <w:t xml:space="preserve">Table </w:t>
      </w:r>
      <w:fldSimple w:instr=" SEQ Table \* ARABIC ">
        <w:r w:rsidR="002F2E38">
          <w:rPr>
            <w:noProof/>
          </w:rPr>
          <w:t>28</w:t>
        </w:r>
      </w:fldSimple>
      <w:r>
        <w:rPr>
          <w:noProof/>
        </w:rPr>
        <w:t>:</w:t>
      </w:r>
      <w:r>
        <w:t xml:space="preserve"> OFIEP All Rounds goods and services (GST Exclusive)</w:t>
      </w:r>
      <w:r w:rsidR="000337D9">
        <w:t xml:space="preserve"> $million</w:t>
      </w:r>
      <w:bookmarkEnd w:id="577"/>
    </w:p>
    <w:tbl>
      <w:tblPr>
        <w:tblStyle w:val="MJATable1"/>
        <w:tblW w:w="8505" w:type="dxa"/>
        <w:tblLayout w:type="fixed"/>
        <w:tblLook w:val="04A0" w:firstRow="1" w:lastRow="0" w:firstColumn="1" w:lastColumn="0" w:noHBand="0" w:noVBand="1"/>
      </w:tblPr>
      <w:tblGrid>
        <w:gridCol w:w="2499"/>
        <w:gridCol w:w="1578"/>
        <w:gridCol w:w="1476"/>
        <w:gridCol w:w="1476"/>
        <w:gridCol w:w="1476"/>
      </w:tblGrid>
      <w:tr w:rsidR="00CB7F61" w:rsidTr="00671D0E">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499" w:type="dxa"/>
            <w:vAlign w:val="top"/>
          </w:tcPr>
          <w:p w:rsidR="00CB7F61" w:rsidRPr="00D04164" w:rsidRDefault="00CB7F61" w:rsidP="00CB7F61">
            <w:pPr>
              <w:rPr>
                <w:bCs/>
                <w:szCs w:val="20"/>
              </w:rPr>
            </w:pPr>
            <w:r w:rsidRPr="00D04164">
              <w:rPr>
                <w:bCs/>
                <w:szCs w:val="20"/>
              </w:rPr>
              <w:t>Type of cost</w:t>
            </w:r>
          </w:p>
        </w:tc>
        <w:tc>
          <w:tcPr>
            <w:tcW w:w="1578" w:type="dxa"/>
            <w:vMerge w:val="restart"/>
            <w:vAlign w:val="top"/>
          </w:tcPr>
          <w:p w:rsidR="00CB7F61" w:rsidRPr="00D04164" w:rsidRDefault="00CB7F61" w:rsidP="00CB7F61">
            <w:pPr>
              <w:cnfStyle w:val="100000000000" w:firstRow="1" w:lastRow="0" w:firstColumn="0" w:lastColumn="0" w:oddVBand="0" w:evenVBand="0" w:oddHBand="0" w:evenHBand="0" w:firstRowFirstColumn="0" w:firstRowLastColumn="0" w:lastRowFirstColumn="0" w:lastRowLastColumn="0"/>
              <w:rPr>
                <w:b w:val="0"/>
                <w:bCs/>
                <w:szCs w:val="20"/>
              </w:rPr>
            </w:pPr>
            <w:r w:rsidRPr="00D04164">
              <w:rPr>
                <w:rFonts w:ascii="Calibri" w:hAnsi="Calibri"/>
                <w:bCs/>
                <w:szCs w:val="20"/>
              </w:rPr>
              <w:t>Total expenditures</w:t>
            </w:r>
          </w:p>
        </w:tc>
        <w:tc>
          <w:tcPr>
            <w:tcW w:w="4428" w:type="dxa"/>
            <w:gridSpan w:val="3"/>
            <w:vAlign w:val="top"/>
          </w:tcPr>
          <w:p w:rsidR="00CB7F61" w:rsidRPr="00D04164" w:rsidRDefault="00CB7F61" w:rsidP="00CB7F61">
            <w:pPr>
              <w:cnfStyle w:val="100000000000" w:firstRow="1" w:lastRow="0" w:firstColumn="0" w:lastColumn="0" w:oddVBand="0" w:evenVBand="0" w:oddHBand="0" w:evenHBand="0" w:firstRowFirstColumn="0" w:firstRowLastColumn="0" w:lastRowFirstColumn="0" w:lastRowLastColumn="0"/>
              <w:rPr>
                <w:bCs/>
                <w:szCs w:val="20"/>
              </w:rPr>
            </w:pPr>
            <w:r>
              <w:rPr>
                <w:bCs/>
                <w:szCs w:val="20"/>
              </w:rPr>
              <w:t>Value of intermediate</w:t>
            </w:r>
            <w:r w:rsidRPr="00D04164">
              <w:rPr>
                <w:bCs/>
                <w:szCs w:val="20"/>
              </w:rPr>
              <w:t xml:space="preserve"> </w:t>
            </w:r>
            <w:r>
              <w:rPr>
                <w:bCs/>
                <w:szCs w:val="20"/>
              </w:rPr>
              <w:t>goods and services inputs</w:t>
            </w:r>
          </w:p>
        </w:tc>
      </w:tr>
      <w:tr w:rsidR="00CB7F61" w:rsidTr="00671D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9" w:type="dxa"/>
            <w:vAlign w:val="top"/>
          </w:tcPr>
          <w:p w:rsidR="00CB7F61" w:rsidRPr="00D04164" w:rsidRDefault="00CB7F61" w:rsidP="00CB7F61">
            <w:pPr>
              <w:jc w:val="center"/>
              <w:rPr>
                <w:bCs/>
                <w:szCs w:val="20"/>
              </w:rPr>
            </w:pPr>
          </w:p>
        </w:tc>
        <w:tc>
          <w:tcPr>
            <w:tcW w:w="1578" w:type="dxa"/>
            <w:vMerge/>
            <w:vAlign w:val="top"/>
          </w:tcPr>
          <w:p w:rsidR="00CB7F61" w:rsidRPr="00D04164" w:rsidRDefault="00CB7F61" w:rsidP="00CB7F61">
            <w:pPr>
              <w:cnfStyle w:val="100000000000" w:firstRow="1" w:lastRow="0" w:firstColumn="0" w:lastColumn="0" w:oddVBand="0" w:evenVBand="0" w:oddHBand="0" w:evenHBand="0" w:firstRowFirstColumn="0" w:firstRowLastColumn="0" w:lastRowFirstColumn="0" w:lastRowLastColumn="0"/>
              <w:rPr>
                <w:szCs w:val="20"/>
              </w:rPr>
            </w:pPr>
          </w:p>
        </w:tc>
        <w:tc>
          <w:tcPr>
            <w:tcW w:w="1476" w:type="dxa"/>
            <w:vAlign w:val="top"/>
          </w:tcPr>
          <w:p w:rsidR="00CB7F61" w:rsidRPr="00D04164" w:rsidRDefault="00CB7F61" w:rsidP="00CB7F61">
            <w:pPr>
              <w:cnfStyle w:val="100000000000" w:firstRow="1" w:lastRow="0" w:firstColumn="0" w:lastColumn="0" w:oddVBand="0" w:evenVBand="0" w:oddHBand="0" w:evenHBand="0" w:firstRowFirstColumn="0" w:firstRowLastColumn="0" w:lastRowFirstColumn="0" w:lastRowLastColumn="0"/>
              <w:rPr>
                <w:rFonts w:ascii="Calibri" w:hAnsi="Calibri"/>
                <w:b w:val="0"/>
                <w:bCs/>
                <w:szCs w:val="20"/>
              </w:rPr>
            </w:pPr>
            <w:r w:rsidRPr="00D04164">
              <w:rPr>
                <w:rFonts w:ascii="Calibri" w:hAnsi="Calibri"/>
                <w:b w:val="0"/>
                <w:bCs/>
                <w:szCs w:val="20"/>
              </w:rPr>
              <w:t>Within MIA</w:t>
            </w:r>
          </w:p>
        </w:tc>
        <w:tc>
          <w:tcPr>
            <w:tcW w:w="1476" w:type="dxa"/>
            <w:vAlign w:val="top"/>
          </w:tcPr>
          <w:p w:rsidR="00CB7F61" w:rsidRPr="00D04164" w:rsidRDefault="00CB7F61" w:rsidP="00CB7F61">
            <w:pPr>
              <w:cnfStyle w:val="100000000000" w:firstRow="1" w:lastRow="0" w:firstColumn="0" w:lastColumn="0" w:oddVBand="0" w:evenVBand="0" w:oddHBand="0" w:evenHBand="0" w:firstRowFirstColumn="0" w:firstRowLastColumn="0" w:lastRowFirstColumn="0" w:lastRowLastColumn="0"/>
              <w:rPr>
                <w:rFonts w:ascii="Calibri" w:hAnsi="Calibri"/>
                <w:b w:val="0"/>
                <w:bCs/>
                <w:szCs w:val="20"/>
              </w:rPr>
            </w:pPr>
            <w:r w:rsidRPr="00D04164">
              <w:rPr>
                <w:rFonts w:ascii="Calibri" w:hAnsi="Calibri"/>
                <w:b w:val="0"/>
                <w:bCs/>
                <w:szCs w:val="20"/>
              </w:rPr>
              <w:t>Outside MIA but within MDB</w:t>
            </w:r>
          </w:p>
        </w:tc>
        <w:tc>
          <w:tcPr>
            <w:tcW w:w="1476" w:type="dxa"/>
            <w:vAlign w:val="top"/>
          </w:tcPr>
          <w:p w:rsidR="00CB7F61" w:rsidRPr="00D04164" w:rsidRDefault="00CB7F61" w:rsidP="00CB7F61">
            <w:pPr>
              <w:cnfStyle w:val="100000000000" w:firstRow="1" w:lastRow="0" w:firstColumn="0" w:lastColumn="0" w:oddVBand="0" w:evenVBand="0" w:oddHBand="0" w:evenHBand="0" w:firstRowFirstColumn="0" w:firstRowLastColumn="0" w:lastRowFirstColumn="0" w:lastRowLastColumn="0"/>
              <w:rPr>
                <w:rFonts w:ascii="Calibri" w:hAnsi="Calibri"/>
                <w:b w:val="0"/>
                <w:bCs/>
                <w:szCs w:val="20"/>
              </w:rPr>
            </w:pPr>
            <w:r w:rsidRPr="00D04164">
              <w:rPr>
                <w:rFonts w:ascii="Calibri" w:hAnsi="Calibri"/>
                <w:b w:val="0"/>
                <w:bCs/>
                <w:szCs w:val="20"/>
              </w:rPr>
              <w:t>Outside MIA and MDB region</w:t>
            </w:r>
          </w:p>
        </w:tc>
      </w:tr>
      <w:tr w:rsidR="00515815" w:rsidTr="00671D0E">
        <w:tc>
          <w:tcPr>
            <w:cnfStyle w:val="001000000000" w:firstRow="0" w:lastRow="0" w:firstColumn="1" w:lastColumn="0" w:oddVBand="0" w:evenVBand="0" w:oddHBand="0" w:evenHBand="0" w:firstRowFirstColumn="0" w:firstRowLastColumn="0" w:lastRowFirstColumn="0" w:lastRowLastColumn="0"/>
            <w:tcW w:w="2499" w:type="dxa"/>
            <w:vAlign w:val="bottom"/>
          </w:tcPr>
          <w:p w:rsidR="00515815" w:rsidRPr="00E24C5C" w:rsidRDefault="00515815" w:rsidP="00515815">
            <w:pPr>
              <w:rPr>
                <w:rFonts w:ascii="Calibri" w:hAnsi="Calibri"/>
                <w:color w:val="000000"/>
                <w:szCs w:val="20"/>
              </w:rPr>
            </w:pPr>
            <w:r w:rsidRPr="00E24C5C">
              <w:rPr>
                <w:rFonts w:ascii="Calibri" w:hAnsi="Calibri"/>
                <w:color w:val="000000"/>
                <w:szCs w:val="20"/>
              </w:rPr>
              <w:t>Planning and design</w:t>
            </w:r>
          </w:p>
        </w:tc>
        <w:tc>
          <w:tcPr>
            <w:tcW w:w="1578"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$2.0</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$1.9</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$0.1</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r>
      <w:tr w:rsidR="00515815" w:rsidTr="00671D0E">
        <w:tc>
          <w:tcPr>
            <w:cnfStyle w:val="001000000000" w:firstRow="0" w:lastRow="0" w:firstColumn="1" w:lastColumn="0" w:oddVBand="0" w:evenVBand="0" w:oddHBand="0" w:evenHBand="0" w:firstRowFirstColumn="0" w:firstRowLastColumn="0" w:lastRowFirstColumn="0" w:lastRowLastColumn="0"/>
            <w:tcW w:w="2499" w:type="dxa"/>
            <w:vAlign w:val="bottom"/>
          </w:tcPr>
          <w:p w:rsidR="00515815" w:rsidRPr="00E24C5C" w:rsidRDefault="00515815" w:rsidP="00515815">
            <w:pPr>
              <w:rPr>
                <w:rFonts w:ascii="Calibri" w:hAnsi="Calibri"/>
                <w:color w:val="000000"/>
                <w:szCs w:val="20"/>
              </w:rPr>
            </w:pPr>
            <w:r w:rsidRPr="00E24C5C">
              <w:rPr>
                <w:rFonts w:ascii="Calibri" w:hAnsi="Calibri"/>
                <w:color w:val="000000"/>
                <w:szCs w:val="20"/>
              </w:rPr>
              <w:t>Landforming</w:t>
            </w:r>
          </w:p>
        </w:tc>
        <w:tc>
          <w:tcPr>
            <w:tcW w:w="1578"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$47.2</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$25.3</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$1.1</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$20.7</w:t>
            </w:r>
          </w:p>
        </w:tc>
      </w:tr>
      <w:tr w:rsidR="00515815" w:rsidTr="00671D0E">
        <w:tc>
          <w:tcPr>
            <w:cnfStyle w:val="001000000000" w:firstRow="0" w:lastRow="0" w:firstColumn="1" w:lastColumn="0" w:oddVBand="0" w:evenVBand="0" w:oddHBand="0" w:evenHBand="0" w:firstRowFirstColumn="0" w:firstRowLastColumn="0" w:lastRowFirstColumn="0" w:lastRowLastColumn="0"/>
            <w:tcW w:w="2499" w:type="dxa"/>
            <w:vAlign w:val="bottom"/>
          </w:tcPr>
          <w:p w:rsidR="00515815" w:rsidRPr="00E24C5C" w:rsidRDefault="00515815" w:rsidP="00515815">
            <w:pPr>
              <w:rPr>
                <w:rFonts w:ascii="Calibri" w:hAnsi="Calibri"/>
                <w:color w:val="000000"/>
                <w:szCs w:val="20"/>
              </w:rPr>
            </w:pPr>
            <w:r w:rsidRPr="00E24C5C">
              <w:rPr>
                <w:rFonts w:ascii="Calibri" w:hAnsi="Calibri"/>
                <w:color w:val="000000"/>
                <w:szCs w:val="20"/>
              </w:rPr>
              <w:t>Pipes and stops</w:t>
            </w:r>
          </w:p>
        </w:tc>
        <w:tc>
          <w:tcPr>
            <w:tcW w:w="1578"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$8.4</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$3.0</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$0.7</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$4.7</w:t>
            </w:r>
          </w:p>
        </w:tc>
      </w:tr>
      <w:tr w:rsidR="00515815" w:rsidTr="00671D0E">
        <w:tc>
          <w:tcPr>
            <w:cnfStyle w:val="001000000000" w:firstRow="0" w:lastRow="0" w:firstColumn="1" w:lastColumn="0" w:oddVBand="0" w:evenVBand="0" w:oddHBand="0" w:evenHBand="0" w:firstRowFirstColumn="0" w:firstRowLastColumn="0" w:lastRowFirstColumn="0" w:lastRowLastColumn="0"/>
            <w:tcW w:w="2499" w:type="dxa"/>
            <w:vAlign w:val="bottom"/>
          </w:tcPr>
          <w:p w:rsidR="00515815" w:rsidRPr="00E24C5C" w:rsidRDefault="00515815" w:rsidP="00515815">
            <w:pPr>
              <w:rPr>
                <w:rFonts w:ascii="Calibri" w:hAnsi="Calibri"/>
                <w:color w:val="000000"/>
                <w:szCs w:val="20"/>
              </w:rPr>
            </w:pPr>
            <w:r w:rsidRPr="00E24C5C">
              <w:rPr>
                <w:rFonts w:ascii="Calibri" w:hAnsi="Calibri"/>
                <w:color w:val="000000"/>
                <w:szCs w:val="20"/>
              </w:rPr>
              <w:t>Pumps</w:t>
            </w:r>
          </w:p>
        </w:tc>
        <w:tc>
          <w:tcPr>
            <w:tcW w:w="1578" w:type="dxa"/>
            <w:vAlign w:val="top"/>
          </w:tcPr>
          <w:p w:rsidR="00515815" w:rsidRPr="00C60B71"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$6.3</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050C38">
              <w:rPr>
                <w:rFonts w:ascii="Calibri" w:hAnsi="Calibri" w:cs="Calibri"/>
                <w:color w:val="000000"/>
                <w:szCs w:val="20"/>
              </w:rPr>
              <w:t>$2.8</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$0.2</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$3.3</w:t>
            </w:r>
          </w:p>
        </w:tc>
      </w:tr>
      <w:tr w:rsidR="00515815" w:rsidTr="00671D0E">
        <w:tc>
          <w:tcPr>
            <w:cnfStyle w:val="001000000000" w:firstRow="0" w:lastRow="0" w:firstColumn="1" w:lastColumn="0" w:oddVBand="0" w:evenVBand="0" w:oddHBand="0" w:evenHBand="0" w:firstRowFirstColumn="0" w:firstRowLastColumn="0" w:lastRowFirstColumn="0" w:lastRowLastColumn="0"/>
            <w:tcW w:w="2499" w:type="dxa"/>
            <w:vAlign w:val="bottom"/>
          </w:tcPr>
          <w:p w:rsidR="00515815" w:rsidRPr="00E24C5C" w:rsidRDefault="00515815" w:rsidP="00515815">
            <w:pPr>
              <w:rPr>
                <w:rFonts w:ascii="Calibri" w:hAnsi="Calibri"/>
                <w:color w:val="000000"/>
                <w:szCs w:val="20"/>
              </w:rPr>
            </w:pPr>
            <w:r w:rsidRPr="00E24C5C">
              <w:rPr>
                <w:rFonts w:ascii="Calibri" w:hAnsi="Calibri"/>
                <w:color w:val="000000"/>
                <w:szCs w:val="20"/>
              </w:rPr>
              <w:t>Earthworks for drains, channels and on-farm storage and pumps</w:t>
            </w:r>
          </w:p>
        </w:tc>
        <w:tc>
          <w:tcPr>
            <w:tcW w:w="1578"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$6.0</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$3.2</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$0.1</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$2.6</w:t>
            </w:r>
          </w:p>
        </w:tc>
      </w:tr>
      <w:tr w:rsidR="00515815" w:rsidTr="00671D0E">
        <w:tc>
          <w:tcPr>
            <w:cnfStyle w:val="001000000000" w:firstRow="0" w:lastRow="0" w:firstColumn="1" w:lastColumn="0" w:oddVBand="0" w:evenVBand="0" w:oddHBand="0" w:evenHBand="0" w:firstRowFirstColumn="0" w:firstRowLastColumn="0" w:lastRowFirstColumn="0" w:lastRowLastColumn="0"/>
            <w:tcW w:w="2499" w:type="dxa"/>
            <w:vAlign w:val="bottom"/>
          </w:tcPr>
          <w:p w:rsidR="00515815" w:rsidRPr="00E24C5C" w:rsidRDefault="00515815" w:rsidP="00515815">
            <w:pPr>
              <w:rPr>
                <w:rFonts w:ascii="Calibri" w:hAnsi="Calibri"/>
                <w:color w:val="000000"/>
                <w:szCs w:val="20"/>
              </w:rPr>
            </w:pPr>
            <w:r w:rsidRPr="00E24C5C">
              <w:rPr>
                <w:rFonts w:ascii="Calibri" w:hAnsi="Calibri"/>
                <w:color w:val="000000"/>
                <w:szCs w:val="20"/>
              </w:rPr>
              <w:t>Travelling irrigator</w:t>
            </w:r>
          </w:p>
        </w:tc>
        <w:tc>
          <w:tcPr>
            <w:tcW w:w="1578"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$0.2</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$0.1</w:t>
            </w:r>
          </w:p>
        </w:tc>
      </w:tr>
      <w:tr w:rsidR="00515815" w:rsidTr="00671D0E">
        <w:tc>
          <w:tcPr>
            <w:cnfStyle w:val="001000000000" w:firstRow="0" w:lastRow="0" w:firstColumn="1" w:lastColumn="0" w:oddVBand="0" w:evenVBand="0" w:oddHBand="0" w:evenHBand="0" w:firstRowFirstColumn="0" w:firstRowLastColumn="0" w:lastRowFirstColumn="0" w:lastRowLastColumn="0"/>
            <w:tcW w:w="2499" w:type="dxa"/>
            <w:vAlign w:val="bottom"/>
          </w:tcPr>
          <w:p w:rsidR="00515815" w:rsidRPr="00E24C5C" w:rsidRDefault="00515815" w:rsidP="00515815">
            <w:pPr>
              <w:rPr>
                <w:rFonts w:ascii="Calibri" w:hAnsi="Calibri"/>
                <w:color w:val="000000"/>
                <w:szCs w:val="20"/>
              </w:rPr>
            </w:pPr>
            <w:r w:rsidRPr="00E24C5C">
              <w:rPr>
                <w:rFonts w:ascii="Calibri" w:hAnsi="Calibri"/>
                <w:color w:val="000000"/>
                <w:szCs w:val="20"/>
              </w:rPr>
              <w:t>Telemetry and control system</w:t>
            </w:r>
          </w:p>
        </w:tc>
        <w:tc>
          <w:tcPr>
            <w:tcW w:w="1578"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$0.3</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$0.1</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$0.2</w:t>
            </w:r>
          </w:p>
        </w:tc>
      </w:tr>
      <w:tr w:rsidR="00515815" w:rsidTr="00671D0E">
        <w:tc>
          <w:tcPr>
            <w:cnfStyle w:val="001000000000" w:firstRow="0" w:lastRow="0" w:firstColumn="1" w:lastColumn="0" w:oddVBand="0" w:evenVBand="0" w:oddHBand="0" w:evenHBand="0" w:firstRowFirstColumn="0" w:firstRowLastColumn="0" w:lastRowFirstColumn="0" w:lastRowLastColumn="0"/>
            <w:tcW w:w="2499" w:type="dxa"/>
            <w:vAlign w:val="bottom"/>
          </w:tcPr>
          <w:p w:rsidR="00515815" w:rsidRPr="00E24C5C" w:rsidRDefault="00515815" w:rsidP="00515815">
            <w:pPr>
              <w:rPr>
                <w:rFonts w:ascii="Calibri" w:hAnsi="Calibri"/>
                <w:color w:val="000000"/>
                <w:szCs w:val="20"/>
              </w:rPr>
            </w:pPr>
            <w:r w:rsidRPr="00E24C5C">
              <w:rPr>
                <w:rFonts w:ascii="Calibri" w:hAnsi="Calibri"/>
                <w:color w:val="000000"/>
                <w:szCs w:val="20"/>
              </w:rPr>
              <w:t>Drip system</w:t>
            </w:r>
          </w:p>
        </w:tc>
        <w:tc>
          <w:tcPr>
            <w:tcW w:w="1578"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$1.8</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$0.5</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$1.3</w:t>
            </w:r>
          </w:p>
        </w:tc>
      </w:tr>
      <w:tr w:rsidR="00515815" w:rsidTr="00671D0E">
        <w:tc>
          <w:tcPr>
            <w:cnfStyle w:val="001000000000" w:firstRow="0" w:lastRow="0" w:firstColumn="1" w:lastColumn="0" w:oddVBand="0" w:evenVBand="0" w:oddHBand="0" w:evenHBand="0" w:firstRowFirstColumn="0" w:firstRowLastColumn="0" w:lastRowFirstColumn="0" w:lastRowLastColumn="0"/>
            <w:tcW w:w="2499" w:type="dxa"/>
            <w:vAlign w:val="bottom"/>
          </w:tcPr>
          <w:p w:rsidR="00515815" w:rsidRPr="00E24C5C" w:rsidRDefault="00515815" w:rsidP="00515815">
            <w:pPr>
              <w:rPr>
                <w:rFonts w:ascii="Calibri" w:hAnsi="Calibri"/>
                <w:color w:val="000000"/>
                <w:szCs w:val="20"/>
              </w:rPr>
            </w:pPr>
            <w:r w:rsidRPr="00E24C5C">
              <w:rPr>
                <w:rFonts w:ascii="Calibri" w:hAnsi="Calibri"/>
                <w:color w:val="000000"/>
                <w:szCs w:val="20"/>
              </w:rPr>
              <w:t>Fertigation and soil moisture monitoring</w:t>
            </w:r>
          </w:p>
        </w:tc>
        <w:tc>
          <w:tcPr>
            <w:tcW w:w="1578"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$0.6</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$0.2</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$0.4</w:t>
            </w:r>
          </w:p>
        </w:tc>
      </w:tr>
      <w:tr w:rsidR="00515815" w:rsidTr="00671D0E">
        <w:tc>
          <w:tcPr>
            <w:cnfStyle w:val="001000000000" w:firstRow="0" w:lastRow="0" w:firstColumn="1" w:lastColumn="0" w:oddVBand="0" w:evenVBand="0" w:oddHBand="0" w:evenHBand="0" w:firstRowFirstColumn="0" w:firstRowLastColumn="0" w:lastRowFirstColumn="0" w:lastRowLastColumn="0"/>
            <w:tcW w:w="2499" w:type="dxa"/>
            <w:vAlign w:val="bottom"/>
          </w:tcPr>
          <w:p w:rsidR="00515815" w:rsidRPr="00E24C5C" w:rsidRDefault="00515815" w:rsidP="00515815">
            <w:pPr>
              <w:rPr>
                <w:rFonts w:ascii="Calibri" w:hAnsi="Calibri"/>
                <w:color w:val="000000"/>
                <w:szCs w:val="20"/>
              </w:rPr>
            </w:pPr>
            <w:r>
              <w:rPr>
                <w:rFonts w:ascii="Calibri" w:hAnsi="Calibri"/>
                <w:color w:val="000000"/>
                <w:szCs w:val="20"/>
              </w:rPr>
              <w:t>A</w:t>
            </w:r>
            <w:r w:rsidRPr="00E24C5C">
              <w:rPr>
                <w:rFonts w:ascii="Calibri" w:hAnsi="Calibri"/>
                <w:color w:val="000000"/>
                <w:szCs w:val="20"/>
              </w:rPr>
              <w:t>dministration</w:t>
            </w:r>
          </w:p>
        </w:tc>
        <w:tc>
          <w:tcPr>
            <w:tcW w:w="1578"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$5.2</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$5.2</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c>
          <w:tcPr>
            <w:tcW w:w="1476" w:type="dxa"/>
            <w:vAlign w:val="top"/>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C60B71">
              <w:rPr>
                <w:rFonts w:ascii="Calibri" w:hAnsi="Calibri" w:cs="Calibri"/>
                <w:color w:val="000000"/>
                <w:szCs w:val="20"/>
              </w:rPr>
              <w:t>$0.0</w:t>
            </w:r>
          </w:p>
        </w:tc>
      </w:tr>
      <w:tr w:rsidR="00515815" w:rsidRPr="00B92D05" w:rsidTr="00671D0E">
        <w:tc>
          <w:tcPr>
            <w:cnfStyle w:val="001000000000" w:firstRow="0" w:lastRow="0" w:firstColumn="1" w:lastColumn="0" w:oddVBand="0" w:evenVBand="0" w:oddHBand="0" w:evenHBand="0" w:firstRowFirstColumn="0" w:firstRowLastColumn="0" w:lastRowFirstColumn="0" w:lastRowLastColumn="0"/>
            <w:tcW w:w="2499" w:type="dxa"/>
            <w:tcBorders>
              <w:top w:val="single" w:sz="4" w:space="0" w:color="auto"/>
              <w:bottom w:val="single" w:sz="4" w:space="0" w:color="auto"/>
            </w:tcBorders>
            <w:shd w:val="clear" w:color="auto" w:fill="F2F2F2" w:themeFill="background1" w:themeFillShade="F2"/>
            <w:vAlign w:val="bottom"/>
          </w:tcPr>
          <w:p w:rsidR="00515815" w:rsidRPr="00662ECB" w:rsidRDefault="00515815" w:rsidP="00515815">
            <w:pPr>
              <w:rPr>
                <w:rFonts w:ascii="Calibri" w:hAnsi="Calibri"/>
                <w:b/>
                <w:color w:val="000000"/>
                <w:szCs w:val="20"/>
              </w:rPr>
            </w:pPr>
            <w:r w:rsidRPr="00662ECB">
              <w:rPr>
                <w:rFonts w:ascii="Calibri" w:hAnsi="Calibri"/>
                <w:b/>
                <w:color w:val="000000"/>
                <w:szCs w:val="20"/>
              </w:rPr>
              <w:t>Total</w:t>
            </w:r>
          </w:p>
        </w:tc>
        <w:tc>
          <w:tcPr>
            <w:tcW w:w="1578" w:type="dxa"/>
            <w:tcBorders>
              <w:top w:val="single" w:sz="4" w:space="0" w:color="auto"/>
              <w:bottom w:val="single" w:sz="4" w:space="0" w:color="auto"/>
            </w:tcBorders>
            <w:shd w:val="clear" w:color="auto" w:fill="F2F2F2" w:themeFill="background1" w:themeFillShade="F2"/>
            <w:vAlign w:val="bottom"/>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b/>
                <w:color w:val="000000"/>
                <w:szCs w:val="20"/>
              </w:rPr>
              <w:t>$77.9</w:t>
            </w:r>
          </w:p>
        </w:tc>
        <w:tc>
          <w:tcPr>
            <w:tcW w:w="1476" w:type="dxa"/>
            <w:tcBorders>
              <w:top w:val="single" w:sz="4" w:space="0" w:color="auto"/>
              <w:bottom w:val="single" w:sz="4" w:space="0" w:color="auto"/>
            </w:tcBorders>
            <w:shd w:val="clear" w:color="auto" w:fill="F2F2F2" w:themeFill="background1" w:themeFillShade="F2"/>
            <w:vAlign w:val="bottom"/>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b/>
                <w:color w:val="000000"/>
                <w:szCs w:val="20"/>
              </w:rPr>
              <w:t>$42.4</w:t>
            </w:r>
          </w:p>
        </w:tc>
        <w:tc>
          <w:tcPr>
            <w:tcW w:w="1476" w:type="dxa"/>
            <w:tcBorders>
              <w:top w:val="single" w:sz="4" w:space="0" w:color="auto"/>
              <w:bottom w:val="single" w:sz="4" w:space="0" w:color="auto"/>
            </w:tcBorders>
            <w:shd w:val="clear" w:color="auto" w:fill="F2F2F2" w:themeFill="background1" w:themeFillShade="F2"/>
            <w:vAlign w:val="bottom"/>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b/>
                <w:color w:val="000000"/>
                <w:szCs w:val="20"/>
              </w:rPr>
              <w:t>$2.1</w:t>
            </w:r>
          </w:p>
        </w:tc>
        <w:tc>
          <w:tcPr>
            <w:tcW w:w="1476" w:type="dxa"/>
            <w:tcBorders>
              <w:top w:val="single" w:sz="4" w:space="0" w:color="auto"/>
              <w:bottom w:val="single" w:sz="4" w:space="0" w:color="auto"/>
            </w:tcBorders>
            <w:shd w:val="clear" w:color="auto" w:fill="F2F2F2" w:themeFill="background1" w:themeFillShade="F2"/>
            <w:vAlign w:val="bottom"/>
          </w:tcPr>
          <w:p w:rsidR="00515815" w:rsidRPr="00A67BEB" w:rsidRDefault="00515815" w:rsidP="00671D0E">
            <w:pPr>
              <w:ind w:right="461"/>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Cs w:val="20"/>
              </w:rPr>
            </w:pPr>
            <w:r w:rsidRPr="00C60B71">
              <w:rPr>
                <w:rFonts w:ascii="Calibri" w:hAnsi="Calibri" w:cs="Calibri"/>
                <w:b/>
                <w:color w:val="000000"/>
                <w:szCs w:val="20"/>
              </w:rPr>
              <w:t>$33.4</w:t>
            </w:r>
          </w:p>
        </w:tc>
      </w:tr>
      <w:tr w:rsidR="00515815" w:rsidRPr="00B92D05" w:rsidTr="00671D0E">
        <w:tc>
          <w:tcPr>
            <w:cnfStyle w:val="001000000000" w:firstRow="0" w:lastRow="0" w:firstColumn="1" w:lastColumn="0" w:oddVBand="0" w:evenVBand="0" w:oddHBand="0" w:evenHBand="0" w:firstRowFirstColumn="0" w:firstRowLastColumn="0" w:lastRowFirstColumn="0" w:lastRowLastColumn="0"/>
            <w:tcW w:w="2499" w:type="dxa"/>
            <w:tcBorders>
              <w:top w:val="single" w:sz="4" w:space="0" w:color="auto"/>
              <w:bottom w:val="single" w:sz="4" w:space="0" w:color="auto"/>
            </w:tcBorders>
            <w:shd w:val="clear" w:color="auto" w:fill="F2F2F2" w:themeFill="background1" w:themeFillShade="F2"/>
            <w:vAlign w:val="top"/>
          </w:tcPr>
          <w:p w:rsidR="00515815" w:rsidRPr="00A67BEB" w:rsidRDefault="00515815" w:rsidP="00515815">
            <w:pPr>
              <w:rPr>
                <w:b/>
                <w:color w:val="000000"/>
                <w:szCs w:val="20"/>
              </w:rPr>
            </w:pPr>
            <w:r w:rsidRPr="00662ECB">
              <w:rPr>
                <w:b/>
                <w:color w:val="000000"/>
                <w:szCs w:val="20"/>
              </w:rPr>
              <w:t>% of total</w:t>
            </w:r>
          </w:p>
        </w:tc>
        <w:tc>
          <w:tcPr>
            <w:tcW w:w="1578" w:type="dxa"/>
            <w:tcBorders>
              <w:top w:val="single" w:sz="4" w:space="0" w:color="auto"/>
              <w:bottom w:val="single" w:sz="4" w:space="0" w:color="auto"/>
            </w:tcBorders>
            <w:shd w:val="clear" w:color="auto" w:fill="F2F2F2" w:themeFill="background1" w:themeFillShade="F2"/>
            <w:vAlign w:val="bottom"/>
          </w:tcPr>
          <w:p w:rsidR="00515815" w:rsidRPr="00C60B71" w:rsidRDefault="00515815" w:rsidP="00671D0E">
            <w:pPr>
              <w:ind w:right="457"/>
              <w:jc w:val="right"/>
              <w:cnfStyle w:val="000000000000" w:firstRow="0" w:lastRow="0" w:firstColumn="0" w:lastColumn="0" w:oddVBand="0" w:evenVBand="0" w:oddHBand="0" w:evenHBand="0" w:firstRowFirstColumn="0" w:firstRowLastColumn="0" w:lastRowFirstColumn="0" w:lastRowLastColumn="0"/>
              <w:rPr>
                <w:b/>
                <w:color w:val="000000"/>
                <w:szCs w:val="20"/>
              </w:rPr>
            </w:pPr>
            <w:r w:rsidRPr="00C60B71">
              <w:rPr>
                <w:b/>
                <w:color w:val="000000"/>
                <w:szCs w:val="20"/>
              </w:rPr>
              <w:t>100%</w:t>
            </w:r>
          </w:p>
        </w:tc>
        <w:tc>
          <w:tcPr>
            <w:tcW w:w="1476" w:type="dxa"/>
            <w:tcBorders>
              <w:top w:val="single" w:sz="4" w:space="0" w:color="auto"/>
              <w:bottom w:val="single" w:sz="4" w:space="0" w:color="auto"/>
            </w:tcBorders>
            <w:shd w:val="clear" w:color="auto" w:fill="F2F2F2" w:themeFill="background1" w:themeFillShade="F2"/>
            <w:vAlign w:val="bottom"/>
          </w:tcPr>
          <w:p w:rsidR="00515815" w:rsidRPr="00A67BEB" w:rsidRDefault="00515815" w:rsidP="00671D0E">
            <w:pPr>
              <w:ind w:right="457"/>
              <w:jc w:val="right"/>
              <w:cnfStyle w:val="000000000000" w:firstRow="0" w:lastRow="0" w:firstColumn="0" w:lastColumn="0" w:oddVBand="0" w:evenVBand="0" w:oddHBand="0" w:evenHBand="0" w:firstRowFirstColumn="0" w:firstRowLastColumn="0" w:lastRowFirstColumn="0" w:lastRowLastColumn="0"/>
              <w:rPr>
                <w:b/>
                <w:color w:val="000000"/>
                <w:szCs w:val="20"/>
              </w:rPr>
            </w:pPr>
            <w:r w:rsidRPr="00050C38">
              <w:rPr>
                <w:rFonts w:ascii="Calibri" w:hAnsi="Calibri" w:cs="Calibri"/>
                <w:b/>
                <w:bCs/>
                <w:color w:val="000000"/>
                <w:szCs w:val="20"/>
              </w:rPr>
              <w:t>54%</w:t>
            </w:r>
          </w:p>
        </w:tc>
        <w:tc>
          <w:tcPr>
            <w:tcW w:w="1476" w:type="dxa"/>
            <w:tcBorders>
              <w:top w:val="single" w:sz="4" w:space="0" w:color="auto"/>
              <w:bottom w:val="single" w:sz="4" w:space="0" w:color="auto"/>
            </w:tcBorders>
            <w:shd w:val="clear" w:color="auto" w:fill="F2F2F2" w:themeFill="background1" w:themeFillShade="F2"/>
            <w:vAlign w:val="bottom"/>
          </w:tcPr>
          <w:p w:rsidR="00515815" w:rsidRPr="00A67BEB" w:rsidRDefault="00515815" w:rsidP="00671D0E">
            <w:pPr>
              <w:ind w:right="457"/>
              <w:jc w:val="right"/>
              <w:cnfStyle w:val="000000000000" w:firstRow="0" w:lastRow="0" w:firstColumn="0" w:lastColumn="0" w:oddVBand="0" w:evenVBand="0" w:oddHBand="0" w:evenHBand="0" w:firstRowFirstColumn="0" w:firstRowLastColumn="0" w:lastRowFirstColumn="0" w:lastRowLastColumn="0"/>
              <w:rPr>
                <w:b/>
                <w:color w:val="000000"/>
                <w:szCs w:val="20"/>
              </w:rPr>
            </w:pPr>
            <w:r w:rsidRPr="00C60B71">
              <w:rPr>
                <w:rFonts w:ascii="Calibri" w:hAnsi="Calibri" w:cs="Calibri"/>
                <w:b/>
                <w:bCs/>
                <w:color w:val="000000"/>
                <w:szCs w:val="20"/>
              </w:rPr>
              <w:t>3%</w:t>
            </w:r>
          </w:p>
        </w:tc>
        <w:tc>
          <w:tcPr>
            <w:tcW w:w="1476" w:type="dxa"/>
            <w:tcBorders>
              <w:top w:val="single" w:sz="4" w:space="0" w:color="auto"/>
              <w:bottom w:val="single" w:sz="4" w:space="0" w:color="auto"/>
            </w:tcBorders>
            <w:shd w:val="clear" w:color="auto" w:fill="F2F2F2" w:themeFill="background1" w:themeFillShade="F2"/>
            <w:vAlign w:val="bottom"/>
          </w:tcPr>
          <w:p w:rsidR="00515815" w:rsidRPr="00A67BEB" w:rsidRDefault="00515815" w:rsidP="00671D0E">
            <w:pPr>
              <w:ind w:right="457"/>
              <w:jc w:val="right"/>
              <w:cnfStyle w:val="000000000000" w:firstRow="0" w:lastRow="0" w:firstColumn="0" w:lastColumn="0" w:oddVBand="0" w:evenVBand="0" w:oddHBand="0" w:evenHBand="0" w:firstRowFirstColumn="0" w:firstRowLastColumn="0" w:lastRowFirstColumn="0" w:lastRowLastColumn="0"/>
              <w:rPr>
                <w:b/>
                <w:color w:val="000000"/>
                <w:szCs w:val="20"/>
              </w:rPr>
            </w:pPr>
            <w:r w:rsidRPr="00C60B71">
              <w:rPr>
                <w:rFonts w:ascii="Calibri" w:hAnsi="Calibri" w:cs="Calibri"/>
                <w:b/>
                <w:bCs/>
                <w:color w:val="000000"/>
                <w:szCs w:val="20"/>
              </w:rPr>
              <w:t>43%</w:t>
            </w:r>
          </w:p>
        </w:tc>
      </w:tr>
    </w:tbl>
    <w:p w:rsidR="00CB7F61" w:rsidRDefault="00CB7F61" w:rsidP="00CB7F61">
      <w:pPr>
        <w:pStyle w:val="MJAnormal"/>
      </w:pPr>
      <w:r w:rsidRPr="00F675D9">
        <w:rPr>
          <w:rFonts w:asciiTheme="minorHAnsi" w:hAnsiTheme="minorHAnsi"/>
          <w:i/>
          <w:sz w:val="18"/>
          <w:szCs w:val="18"/>
        </w:rPr>
        <w:t>Source: MJA estimates</w:t>
      </w:r>
      <w:r>
        <w:rPr>
          <w:rFonts w:asciiTheme="minorHAnsi" w:hAnsiTheme="minorHAnsi"/>
          <w:i/>
          <w:sz w:val="18"/>
          <w:szCs w:val="18"/>
        </w:rPr>
        <w:t xml:space="preserve"> based on data provided by Murrumbidgee Irrigation</w:t>
      </w:r>
      <w:r w:rsidRPr="00732E9F">
        <w:rPr>
          <w:rFonts w:asciiTheme="minorHAnsi" w:hAnsiTheme="minorHAnsi"/>
          <w:i/>
          <w:sz w:val="18"/>
          <w:szCs w:val="18"/>
        </w:rPr>
        <w:t xml:space="preserve"> </w:t>
      </w:r>
      <w:r>
        <w:rPr>
          <w:rFonts w:asciiTheme="minorHAnsi" w:hAnsiTheme="minorHAnsi"/>
          <w:i/>
          <w:sz w:val="18"/>
          <w:szCs w:val="18"/>
        </w:rPr>
        <w:t xml:space="preserve">and </w:t>
      </w:r>
      <w:r w:rsidRPr="00732E9F">
        <w:rPr>
          <w:rFonts w:asciiTheme="minorHAnsi" w:hAnsiTheme="minorHAnsi"/>
          <w:i/>
          <w:sz w:val="18"/>
          <w:szCs w:val="18"/>
        </w:rPr>
        <w:t>Department of Agriculture and Water.</w:t>
      </w:r>
    </w:p>
    <w:p w:rsidR="00CB7F61" w:rsidRDefault="00CB7F61" w:rsidP="00CB7F61">
      <w:pPr>
        <w:pStyle w:val="MJAnormal"/>
      </w:pPr>
    </w:p>
    <w:p w:rsidR="00853002" w:rsidRDefault="00853002" w:rsidP="00B544ED">
      <w:pPr>
        <w:pStyle w:val="MJAnormal"/>
      </w:pPr>
      <w:r>
        <w:br w:type="page"/>
      </w:r>
    </w:p>
    <w:p w:rsidR="00853002" w:rsidRPr="007036D9" w:rsidRDefault="00853002" w:rsidP="00853002">
      <w:pPr>
        <w:pStyle w:val="MJAHeading10"/>
        <w:numPr>
          <w:ilvl w:val="0"/>
          <w:numId w:val="0"/>
        </w:numPr>
        <w:rPr>
          <w:bCs/>
          <w:szCs w:val="20"/>
        </w:rPr>
      </w:pPr>
      <w:bookmarkStart w:id="578" w:name="_Toc494892294"/>
      <w:r>
        <w:t xml:space="preserve">Appendix C: </w:t>
      </w:r>
      <w:r>
        <w:rPr>
          <w:bCs/>
          <w:szCs w:val="20"/>
        </w:rPr>
        <w:t>Annual change in industry value added</w:t>
      </w:r>
      <w:bookmarkEnd w:id="578"/>
    </w:p>
    <w:p w:rsidR="00DA0FE1" w:rsidRDefault="00853002" w:rsidP="00904A2B">
      <w:pPr>
        <w:pStyle w:val="Caption"/>
      </w:pPr>
      <w:bookmarkStart w:id="579" w:name="_Toc494892426"/>
      <w:r>
        <w:t xml:space="preserve">Figure </w:t>
      </w:r>
      <w:fldSimple w:instr=" SEQ Figure \* ARABIC ">
        <w:r w:rsidR="002F2E38">
          <w:rPr>
            <w:noProof/>
          </w:rPr>
          <w:t>12</w:t>
        </w:r>
      </w:fldSimple>
      <w:r>
        <w:t xml:space="preserve"> Change in value added by agricultural industry in MIA (dollars million)</w:t>
      </w:r>
      <w:bookmarkEnd w:id="579"/>
    </w:p>
    <w:p w:rsidR="00853002" w:rsidRDefault="00853002" w:rsidP="00BD12E2">
      <w:pPr>
        <w:pStyle w:val="MJAnormal"/>
      </w:pPr>
      <w:r w:rsidRPr="00853002">
        <w:rPr>
          <w:noProof/>
        </w:rPr>
        <w:drawing>
          <wp:inline distT="0" distB="0" distL="0" distR="0" wp14:anchorId="5376647D" wp14:editId="7FF9E92C">
            <wp:extent cx="5400040" cy="10376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1037633"/>
                    </a:xfrm>
                    <a:prstGeom prst="rect">
                      <a:avLst/>
                    </a:prstGeom>
                    <a:noFill/>
                    <a:ln>
                      <a:noFill/>
                    </a:ln>
                  </pic:spPr>
                </pic:pic>
              </a:graphicData>
            </a:graphic>
          </wp:inline>
        </w:drawing>
      </w:r>
    </w:p>
    <w:p w:rsidR="00853002" w:rsidRPr="003F64C9" w:rsidRDefault="00853002" w:rsidP="00853002">
      <w:pPr>
        <w:pStyle w:val="MJAsource"/>
      </w:pPr>
      <w:r>
        <w:t>Source: VU Term</w:t>
      </w:r>
    </w:p>
    <w:p w:rsidR="00853002" w:rsidRDefault="00853002" w:rsidP="00BD12E2">
      <w:pPr>
        <w:pStyle w:val="MJAnormal"/>
      </w:pPr>
    </w:p>
    <w:p w:rsidR="00853002" w:rsidRDefault="00853002" w:rsidP="00904A2B">
      <w:pPr>
        <w:pStyle w:val="Caption"/>
      </w:pPr>
      <w:bookmarkStart w:id="580" w:name="_Toc494892427"/>
      <w:r>
        <w:t xml:space="preserve">Figure </w:t>
      </w:r>
      <w:fldSimple w:instr=" SEQ Figure \* ARABIC ">
        <w:r w:rsidR="002F2E38">
          <w:rPr>
            <w:noProof/>
          </w:rPr>
          <w:t>13</w:t>
        </w:r>
      </w:fldSimple>
      <w:r>
        <w:t xml:space="preserve"> Change in value added by services and util</w:t>
      </w:r>
      <w:r w:rsidR="00050C38">
        <w:t>it</w:t>
      </w:r>
      <w:r>
        <w:t>y industries in MIA (dollars million)</w:t>
      </w:r>
      <w:bookmarkEnd w:id="580"/>
    </w:p>
    <w:p w:rsidR="00853002" w:rsidRDefault="00853002" w:rsidP="00BD12E2">
      <w:pPr>
        <w:pStyle w:val="MJAnormal"/>
      </w:pPr>
      <w:r w:rsidRPr="00853002">
        <w:rPr>
          <w:noProof/>
        </w:rPr>
        <w:drawing>
          <wp:inline distT="0" distB="0" distL="0" distR="0" wp14:anchorId="31732E0D" wp14:editId="2ABA864F">
            <wp:extent cx="5400040" cy="15303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1530399"/>
                    </a:xfrm>
                    <a:prstGeom prst="rect">
                      <a:avLst/>
                    </a:prstGeom>
                    <a:noFill/>
                    <a:ln>
                      <a:noFill/>
                    </a:ln>
                  </pic:spPr>
                </pic:pic>
              </a:graphicData>
            </a:graphic>
          </wp:inline>
        </w:drawing>
      </w:r>
    </w:p>
    <w:p w:rsidR="00853002" w:rsidRPr="003F64C9" w:rsidRDefault="00853002" w:rsidP="00904A2B">
      <w:pPr>
        <w:pStyle w:val="MJAsource"/>
      </w:pPr>
      <w:r>
        <w:t>Source: VU Term</w:t>
      </w:r>
    </w:p>
    <w:sectPr w:rsidR="00853002" w:rsidRPr="003F64C9" w:rsidSect="00F80890">
      <w:headerReference w:type="even" r:id="rId40"/>
      <w:headerReference w:type="default" r:id="rId41"/>
      <w:footerReference w:type="default" r:id="rId42"/>
      <w:headerReference w:type="first" r:id="rId43"/>
      <w:pgSz w:w="11906" w:h="16838" w:code="9"/>
      <w:pgMar w:top="1701" w:right="1134" w:bottom="1021" w:left="2268" w:header="680" w:footer="113"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D06EA6" w16cid:durableId="1D6A55BD"/>
  <w16cid:commentId w16cid:paraId="724E0D4D" w16cid:durableId="1D6A55BE"/>
  <w16cid:commentId w16cid:paraId="19860928" w16cid:durableId="1D6A55BF"/>
  <w16cid:commentId w16cid:paraId="376A403B" w16cid:durableId="1D6A55C0"/>
  <w16cid:commentId w16cid:paraId="32457799" w16cid:durableId="1D6A55C1"/>
  <w16cid:commentId w16cid:paraId="192C0C5D" w16cid:durableId="1D6A55C2"/>
  <w16cid:commentId w16cid:paraId="0C50B66C" w16cid:durableId="1D6A55C3"/>
  <w16cid:commentId w16cid:paraId="016C9F55" w16cid:durableId="1D6A55C4"/>
  <w16cid:commentId w16cid:paraId="0A52A5DC" w16cid:durableId="1D6A55C5"/>
  <w16cid:commentId w16cid:paraId="44003A33" w16cid:durableId="1D6A55C6"/>
  <w16cid:commentId w16cid:paraId="04C6BE0D" w16cid:durableId="1D6A55C7"/>
  <w16cid:commentId w16cid:paraId="3DFC4E79" w16cid:durableId="1D6A55C8"/>
  <w16cid:commentId w16cid:paraId="3EF2591A" w16cid:durableId="1D6A55C9"/>
  <w16cid:commentId w16cid:paraId="7CE32F1D" w16cid:durableId="1D6A55CA"/>
  <w16cid:commentId w16cid:paraId="38D62F07" w16cid:durableId="1D6A55CB"/>
  <w16cid:commentId w16cid:paraId="06DF0A1F" w16cid:durableId="1D6A55CC"/>
  <w16cid:commentId w16cid:paraId="29B0FFF7" w16cid:durableId="1D6A55CD"/>
  <w16cid:commentId w16cid:paraId="1775FEF4" w16cid:durableId="1D6A55CE"/>
  <w16cid:commentId w16cid:paraId="33058D0B" w16cid:durableId="1D6A55CF"/>
  <w16cid:commentId w16cid:paraId="231D1C9D" w16cid:durableId="1D6A55D0"/>
  <w16cid:commentId w16cid:paraId="6B7C3A13" w16cid:durableId="1D6A55D1"/>
  <w16cid:commentId w16cid:paraId="509B5E1B" w16cid:durableId="1D6A55D2"/>
  <w16cid:commentId w16cid:paraId="10543A07" w16cid:durableId="1D6A62CF"/>
  <w16cid:commentId w16cid:paraId="270E52AD" w16cid:durableId="1D6A55D3"/>
  <w16cid:commentId w16cid:paraId="3238823A" w16cid:durableId="1D6A55D4"/>
  <w16cid:commentId w16cid:paraId="6F1C90A7" w16cid:durableId="1D6A55D5"/>
  <w16cid:commentId w16cid:paraId="35E63CCC" w16cid:durableId="1D6A55D6"/>
  <w16cid:commentId w16cid:paraId="1A787864" w16cid:durableId="1D6A55D7"/>
  <w16cid:commentId w16cid:paraId="1B8BE471" w16cid:durableId="1D6A55D8"/>
  <w16cid:commentId w16cid:paraId="4403BFA9" w16cid:durableId="1D6A55D9"/>
  <w16cid:commentId w16cid:paraId="020C508B" w16cid:durableId="1D6A55DA"/>
  <w16cid:commentId w16cid:paraId="6E10E17F" w16cid:durableId="1D6A55DB"/>
  <w16cid:commentId w16cid:paraId="7583F2E3" w16cid:durableId="1D6A55DC"/>
  <w16cid:commentId w16cid:paraId="17A41A75" w16cid:durableId="1D6A55DD"/>
  <w16cid:commentId w16cid:paraId="037D37DE" w16cid:durableId="1D6A55DE"/>
  <w16cid:commentId w16cid:paraId="1DB12294" w16cid:durableId="1D6A55DF"/>
  <w16cid:commentId w16cid:paraId="72963595" w16cid:durableId="1D6A55E0"/>
  <w16cid:commentId w16cid:paraId="1CC6B3B0" w16cid:durableId="1D6A5B12"/>
  <w16cid:commentId w16cid:paraId="0117282E" w16cid:durableId="1D6A55E1"/>
  <w16cid:commentId w16cid:paraId="2958C145" w16cid:durableId="1D6A5B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406" w:rsidRDefault="003A0406" w:rsidP="00F80890">
      <w:pPr>
        <w:spacing w:after="0" w:line="240" w:lineRule="auto"/>
      </w:pPr>
      <w:r>
        <w:separator/>
      </w:r>
    </w:p>
  </w:endnote>
  <w:endnote w:type="continuationSeparator" w:id="0">
    <w:p w:rsidR="003A0406" w:rsidRDefault="003A0406" w:rsidP="00F80890">
      <w:pPr>
        <w:spacing w:after="0" w:line="240" w:lineRule="auto"/>
      </w:pPr>
      <w:r>
        <w:continuationSeparator/>
      </w:r>
    </w:p>
  </w:endnote>
  <w:endnote w:type="continuationNotice" w:id="1">
    <w:p w:rsidR="003A0406" w:rsidRDefault="003A04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8"/>
      <w:gridCol w:w="2156"/>
    </w:tblGrid>
    <w:tr w:rsidR="00346A79" w:rsidRPr="00F80890" w:rsidTr="00F80890">
      <w:tc>
        <w:tcPr>
          <w:tcW w:w="6487" w:type="dxa"/>
        </w:tcPr>
        <w:p w:rsidR="00346A79" w:rsidRPr="00F80890" w:rsidRDefault="00346A79">
          <w:pPr>
            <w:rPr>
              <w:i/>
              <w:color w:val="A6A6A6" w:themeColor="background1" w:themeShade="A6"/>
            </w:rPr>
          </w:pPr>
          <w:r w:rsidRPr="000A56D6">
            <w:rPr>
              <w:i/>
              <w:noProof/>
              <w:color w:val="A6A6A6" w:themeColor="background1" w:themeShade="A6"/>
            </w:rPr>
            <w:drawing>
              <wp:inline distT="0" distB="0" distL="0" distR="0" wp14:anchorId="3A106783" wp14:editId="225FDD5D">
                <wp:extent cx="1665870" cy="176230"/>
                <wp:effectExtent l="19050" t="0" r="0" b="0"/>
                <wp:docPr id="9"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sden.MARSDENJACOB\Desktop\Marsden Jacob logo 2011_files\image0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5870" cy="176230"/>
                        </a:xfrm>
                        <a:prstGeom prst="rect">
                          <a:avLst/>
                        </a:prstGeom>
                        <a:noFill/>
                        <a:ln>
                          <a:noFill/>
                        </a:ln>
                      </pic:spPr>
                    </pic:pic>
                  </a:graphicData>
                </a:graphic>
              </wp:inline>
            </w:drawing>
          </w:r>
        </w:p>
      </w:tc>
      <w:tc>
        <w:tcPr>
          <w:tcW w:w="2233" w:type="dxa"/>
        </w:tcPr>
        <w:p w:rsidR="00346A79" w:rsidRPr="00F80890" w:rsidRDefault="00346A79" w:rsidP="00F80890">
          <w:pPr>
            <w:jc w:val="right"/>
            <w:rPr>
              <w:i/>
              <w:color w:val="A6A6A6" w:themeColor="background1" w:themeShade="A6"/>
              <w:sz w:val="16"/>
              <w:szCs w:val="16"/>
            </w:rPr>
          </w:pPr>
        </w:p>
      </w:tc>
    </w:tr>
  </w:tbl>
  <w:p w:rsidR="00346A79" w:rsidRDefault="00346A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3"/>
      <w:gridCol w:w="2181"/>
    </w:tblGrid>
    <w:tr w:rsidR="00346A79" w:rsidRPr="00F80890" w:rsidTr="00F80890">
      <w:tc>
        <w:tcPr>
          <w:tcW w:w="6487" w:type="dxa"/>
        </w:tcPr>
        <w:p w:rsidR="00346A79" w:rsidRPr="00F80890" w:rsidRDefault="00346A79">
          <w:pPr>
            <w:rPr>
              <w:i/>
              <w:color w:val="A6A6A6" w:themeColor="background1" w:themeShade="A6"/>
            </w:rPr>
          </w:pPr>
        </w:p>
      </w:tc>
      <w:tc>
        <w:tcPr>
          <w:tcW w:w="2233" w:type="dxa"/>
        </w:tcPr>
        <w:p w:rsidR="00346A79" w:rsidRPr="00F80890" w:rsidRDefault="00346A79" w:rsidP="00F80890">
          <w:pPr>
            <w:jc w:val="right"/>
            <w:rPr>
              <w:i/>
              <w:color w:val="A6A6A6" w:themeColor="background1" w:themeShade="A6"/>
              <w:sz w:val="16"/>
              <w:szCs w:val="16"/>
            </w:rPr>
          </w:pPr>
        </w:p>
      </w:tc>
    </w:tr>
  </w:tbl>
  <w:p w:rsidR="00346A79" w:rsidRDefault="00346A7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2"/>
      <w:gridCol w:w="222"/>
    </w:tblGrid>
    <w:tr w:rsidR="00346A79" w:rsidRPr="00F80890" w:rsidTr="00F80890">
      <w:tc>
        <w:tcPr>
          <w:tcW w:w="6487" w:type="dxa"/>
        </w:tcPr>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276"/>
          </w:tblGrid>
          <w:tr w:rsidR="00346A79" w:rsidRPr="00F80890" w:rsidTr="00426980">
            <w:tc>
              <w:tcPr>
                <w:tcW w:w="6946" w:type="dxa"/>
              </w:tcPr>
              <w:p w:rsidR="00346A79" w:rsidRPr="00F80890" w:rsidRDefault="00346A79" w:rsidP="000D4F20">
                <w:pPr>
                  <w:rPr>
                    <w:i/>
                    <w:color w:val="A6A6A6" w:themeColor="background1" w:themeShade="A6"/>
                    <w:sz w:val="16"/>
                    <w:szCs w:val="16"/>
                  </w:rPr>
                </w:pPr>
                <w:r w:rsidRPr="00F80890">
                  <w:rPr>
                    <w:i/>
                    <w:color w:val="A6A6A6" w:themeColor="background1" w:themeShade="A6"/>
                    <w:sz w:val="16"/>
                    <w:szCs w:val="16"/>
                  </w:rPr>
                  <w:t>Insert Client name</w:t>
                </w:r>
              </w:p>
              <w:p w:rsidR="00346A79" w:rsidRPr="00F80890" w:rsidRDefault="00346A79" w:rsidP="000D4F20">
                <w:pPr>
                  <w:rPr>
                    <w:i/>
                    <w:color w:val="A6A6A6" w:themeColor="background1" w:themeShade="A6"/>
                  </w:rPr>
                </w:pPr>
                <w:r w:rsidRPr="00F80890">
                  <w:rPr>
                    <w:i/>
                    <w:color w:val="A6A6A6" w:themeColor="background1" w:themeShade="A6"/>
                    <w:sz w:val="16"/>
                    <w:szCs w:val="16"/>
                  </w:rPr>
                  <w:t>Use second line for project title</w:t>
                </w:r>
              </w:p>
            </w:tc>
            <w:tc>
              <w:tcPr>
                <w:tcW w:w="1276" w:type="dxa"/>
              </w:tcPr>
              <w:p w:rsidR="00346A79" w:rsidRPr="00F80890" w:rsidRDefault="00346A79" w:rsidP="00426980">
                <w:pPr>
                  <w:jc w:val="right"/>
                  <w:rPr>
                    <w:i/>
                    <w:color w:val="A6A6A6" w:themeColor="background1" w:themeShade="A6"/>
                    <w:sz w:val="16"/>
                    <w:szCs w:val="16"/>
                  </w:rPr>
                </w:pPr>
                <w:r>
                  <w:rPr>
                    <w:i/>
                    <w:color w:val="A6A6A6" w:themeColor="background1" w:themeShade="A6"/>
                    <w:sz w:val="16"/>
                    <w:szCs w:val="16"/>
                  </w:rPr>
                  <w:t>ES.</w:t>
                </w:r>
                <w:r w:rsidRPr="00F80890">
                  <w:rPr>
                    <w:i/>
                    <w:color w:val="A6A6A6" w:themeColor="background1" w:themeShade="A6"/>
                    <w:sz w:val="16"/>
                    <w:szCs w:val="16"/>
                  </w:rPr>
                  <w:fldChar w:fldCharType="begin"/>
                </w:r>
                <w:r w:rsidRPr="00F80890">
                  <w:rPr>
                    <w:i/>
                    <w:color w:val="A6A6A6" w:themeColor="background1" w:themeShade="A6"/>
                    <w:sz w:val="16"/>
                    <w:szCs w:val="16"/>
                  </w:rPr>
                  <w:instrText xml:space="preserve"> PAGE   \* MERGEFORMAT </w:instrText>
                </w:r>
                <w:r w:rsidRPr="00F80890">
                  <w:rPr>
                    <w:i/>
                    <w:color w:val="A6A6A6" w:themeColor="background1" w:themeShade="A6"/>
                    <w:sz w:val="16"/>
                    <w:szCs w:val="16"/>
                  </w:rPr>
                  <w:fldChar w:fldCharType="separate"/>
                </w:r>
                <w:r w:rsidR="00531B74">
                  <w:rPr>
                    <w:i/>
                    <w:noProof/>
                    <w:color w:val="A6A6A6" w:themeColor="background1" w:themeShade="A6"/>
                    <w:sz w:val="16"/>
                    <w:szCs w:val="16"/>
                  </w:rPr>
                  <w:t>iii</w:t>
                </w:r>
                <w:r w:rsidRPr="00F80890">
                  <w:rPr>
                    <w:i/>
                    <w:color w:val="A6A6A6" w:themeColor="background1" w:themeShade="A6"/>
                    <w:sz w:val="16"/>
                    <w:szCs w:val="16"/>
                  </w:rPr>
                  <w:fldChar w:fldCharType="end"/>
                </w:r>
              </w:p>
            </w:tc>
          </w:tr>
        </w:tbl>
        <w:p w:rsidR="00346A79" w:rsidRPr="00F80890" w:rsidRDefault="00346A79">
          <w:pPr>
            <w:rPr>
              <w:i/>
              <w:color w:val="A6A6A6" w:themeColor="background1" w:themeShade="A6"/>
            </w:rPr>
          </w:pPr>
        </w:p>
      </w:tc>
      <w:tc>
        <w:tcPr>
          <w:tcW w:w="2233" w:type="dxa"/>
        </w:tcPr>
        <w:p w:rsidR="00346A79" w:rsidRPr="00F80890" w:rsidRDefault="00346A79" w:rsidP="00F80890">
          <w:pPr>
            <w:jc w:val="right"/>
            <w:rPr>
              <w:i/>
              <w:color w:val="A6A6A6" w:themeColor="background1" w:themeShade="A6"/>
              <w:sz w:val="16"/>
              <w:szCs w:val="16"/>
            </w:rPr>
          </w:pPr>
        </w:p>
      </w:tc>
    </w:tr>
  </w:tbl>
  <w:p w:rsidR="00346A79" w:rsidRDefault="00346A7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8"/>
      <w:gridCol w:w="2176"/>
    </w:tblGrid>
    <w:tr w:rsidR="00346A79" w:rsidRPr="00F80890" w:rsidTr="00F80890">
      <w:tc>
        <w:tcPr>
          <w:tcW w:w="6487" w:type="dxa"/>
        </w:tcPr>
        <w:p w:rsidR="00346A79" w:rsidRPr="00F80890" w:rsidRDefault="00346A79">
          <w:pPr>
            <w:rPr>
              <w:i/>
              <w:color w:val="A6A6A6" w:themeColor="background1" w:themeShade="A6"/>
              <w:sz w:val="16"/>
              <w:szCs w:val="16"/>
            </w:rPr>
          </w:pPr>
          <w:r>
            <w:rPr>
              <w:i/>
              <w:color w:val="A6A6A6" w:themeColor="background1" w:themeShade="A6"/>
              <w:sz w:val="16"/>
              <w:szCs w:val="16"/>
            </w:rPr>
            <w:t>Department of Agriculture and Water Resources</w:t>
          </w:r>
        </w:p>
        <w:p w:rsidR="00346A79" w:rsidRPr="00F80890" w:rsidRDefault="00346A79" w:rsidP="007D54CA">
          <w:pPr>
            <w:rPr>
              <w:i/>
              <w:color w:val="A6A6A6" w:themeColor="background1" w:themeShade="A6"/>
            </w:rPr>
          </w:pPr>
          <w:r>
            <w:rPr>
              <w:i/>
              <w:color w:val="A6A6A6" w:themeColor="background1" w:themeShade="A6"/>
              <w:sz w:val="16"/>
              <w:szCs w:val="16"/>
            </w:rPr>
            <w:t>Economic effects of the Commonwealth water recovery programs in the Murrumbidgee Irrigation Area</w:t>
          </w:r>
        </w:p>
      </w:tc>
      <w:tc>
        <w:tcPr>
          <w:tcW w:w="2233" w:type="dxa"/>
        </w:tcPr>
        <w:p w:rsidR="00346A79" w:rsidRPr="00F80890" w:rsidRDefault="00346A79" w:rsidP="00F80890">
          <w:pPr>
            <w:jc w:val="right"/>
            <w:rPr>
              <w:i/>
              <w:color w:val="A6A6A6" w:themeColor="background1" w:themeShade="A6"/>
              <w:sz w:val="16"/>
              <w:szCs w:val="16"/>
            </w:rPr>
          </w:pPr>
          <w:r w:rsidRPr="00F80890">
            <w:rPr>
              <w:i/>
              <w:color w:val="A6A6A6" w:themeColor="background1" w:themeShade="A6"/>
              <w:sz w:val="16"/>
              <w:szCs w:val="16"/>
            </w:rPr>
            <w:fldChar w:fldCharType="begin"/>
          </w:r>
          <w:r w:rsidRPr="00F80890">
            <w:rPr>
              <w:i/>
              <w:color w:val="A6A6A6" w:themeColor="background1" w:themeShade="A6"/>
              <w:sz w:val="16"/>
              <w:szCs w:val="16"/>
            </w:rPr>
            <w:instrText xml:space="preserve"> PAGE   \* MERGEFORMAT </w:instrText>
          </w:r>
          <w:r w:rsidRPr="00F80890">
            <w:rPr>
              <w:i/>
              <w:color w:val="A6A6A6" w:themeColor="background1" w:themeShade="A6"/>
              <w:sz w:val="16"/>
              <w:szCs w:val="16"/>
            </w:rPr>
            <w:fldChar w:fldCharType="separate"/>
          </w:r>
          <w:r w:rsidR="00531B74">
            <w:rPr>
              <w:i/>
              <w:noProof/>
              <w:color w:val="A6A6A6" w:themeColor="background1" w:themeShade="A6"/>
              <w:sz w:val="16"/>
              <w:szCs w:val="16"/>
            </w:rPr>
            <w:t>13</w:t>
          </w:r>
          <w:r w:rsidRPr="00F80890">
            <w:rPr>
              <w:i/>
              <w:color w:val="A6A6A6" w:themeColor="background1" w:themeShade="A6"/>
              <w:sz w:val="16"/>
              <w:szCs w:val="16"/>
            </w:rPr>
            <w:fldChar w:fldCharType="end"/>
          </w:r>
          <w:r>
            <w:rPr>
              <w:i/>
              <w:color w:val="A6A6A6" w:themeColor="background1" w:themeShade="A6"/>
              <w:sz w:val="16"/>
              <w:szCs w:val="16"/>
            </w:rPr>
            <w:t>.</w:t>
          </w:r>
        </w:p>
      </w:tc>
    </w:tr>
  </w:tbl>
  <w:p w:rsidR="00346A79" w:rsidRDefault="00346A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406" w:rsidRDefault="003A0406" w:rsidP="00F80890">
      <w:pPr>
        <w:spacing w:after="0" w:line="240" w:lineRule="auto"/>
      </w:pPr>
      <w:r>
        <w:separator/>
      </w:r>
    </w:p>
  </w:footnote>
  <w:footnote w:type="continuationSeparator" w:id="0">
    <w:p w:rsidR="003A0406" w:rsidRDefault="003A0406" w:rsidP="00F80890">
      <w:pPr>
        <w:spacing w:after="0" w:line="240" w:lineRule="auto"/>
      </w:pPr>
      <w:r>
        <w:continuationSeparator/>
      </w:r>
    </w:p>
  </w:footnote>
  <w:footnote w:type="continuationNotice" w:id="1">
    <w:p w:rsidR="003A0406" w:rsidRDefault="003A0406">
      <w:pPr>
        <w:spacing w:after="0" w:line="240" w:lineRule="auto"/>
      </w:pPr>
    </w:p>
  </w:footnote>
  <w:footnote w:id="2">
    <w:p w:rsidR="00346A79" w:rsidRDefault="00346A79" w:rsidP="00050C38">
      <w:pPr>
        <w:pStyle w:val="FootnoteText"/>
        <w:tabs>
          <w:tab w:val="clear" w:pos="397"/>
        </w:tabs>
        <w:ind w:left="284" w:hanging="284"/>
      </w:pPr>
      <w:r>
        <w:rPr>
          <w:rStyle w:val="FootnoteReference"/>
        </w:rPr>
        <w:footnoteRef/>
      </w:r>
      <w:r>
        <w:t xml:space="preserve"> </w:t>
      </w:r>
      <w:r>
        <w:tab/>
        <w:t xml:space="preserve">This excludes the longer term gains in value added derived from the extra production due to the return of water savings to farmers under PIIOP and OFIEP. Note however the annual long term regional economic effects include the economic gains from these water savings.  </w:t>
      </w:r>
    </w:p>
  </w:footnote>
  <w:footnote w:id="3">
    <w:p w:rsidR="00346A79" w:rsidRDefault="00346A79" w:rsidP="00050C38">
      <w:pPr>
        <w:pStyle w:val="FootnoteText"/>
        <w:tabs>
          <w:tab w:val="clear" w:pos="397"/>
          <w:tab w:val="left" w:pos="284"/>
        </w:tabs>
        <w:ind w:left="284" w:hanging="284"/>
      </w:pPr>
      <w:r>
        <w:rPr>
          <w:rStyle w:val="FootnoteReference"/>
        </w:rPr>
        <w:footnoteRef/>
      </w:r>
      <w:r>
        <w:t xml:space="preserve"> </w:t>
      </w:r>
      <w:r>
        <w:tab/>
        <w:t>Note in this study we exclude</w:t>
      </w:r>
      <w:r w:rsidRPr="00261C6E">
        <w:t xml:space="preserve"> water recovered through the New South Wales Basin Pipes Project and NSW state programs.</w:t>
      </w:r>
      <w:r>
        <w:t xml:space="preserve"> </w:t>
      </w:r>
    </w:p>
  </w:footnote>
  <w:footnote w:id="4">
    <w:p w:rsidR="00346A79" w:rsidRPr="007917B0" w:rsidRDefault="00346A79" w:rsidP="007917B0">
      <w:pPr>
        <w:rPr>
          <w:rFonts w:ascii="Times New Roman" w:hAnsi="Times New Roman" w:cs="Times New Roman"/>
          <w:sz w:val="18"/>
          <w:szCs w:val="18"/>
        </w:rPr>
      </w:pPr>
      <w:r>
        <w:rPr>
          <w:rStyle w:val="FootnoteReference"/>
        </w:rPr>
        <w:footnoteRef/>
      </w:r>
      <w:r>
        <w:t xml:space="preserve"> </w:t>
      </w:r>
      <w:r w:rsidRPr="007917B0">
        <w:rPr>
          <w:rFonts w:ascii="Times New Roman" w:hAnsi="Times New Roman" w:cs="Times New Roman"/>
          <w:sz w:val="18"/>
          <w:szCs w:val="18"/>
        </w:rPr>
        <w:t>This excludes an additional $37.3 million Commonwealth funding for off-farm works in the MIA under PIIOP Round 3 approved in July 2017.</w:t>
      </w:r>
    </w:p>
    <w:p w:rsidR="00346A79" w:rsidRDefault="00346A79">
      <w:pPr>
        <w:pStyle w:val="FootnoteText"/>
      </w:pPr>
    </w:p>
  </w:footnote>
  <w:footnote w:id="5">
    <w:p w:rsidR="00346A79" w:rsidRDefault="00346A79" w:rsidP="00F20D24">
      <w:pPr>
        <w:pStyle w:val="FootnoteText"/>
        <w:tabs>
          <w:tab w:val="clear" w:pos="397"/>
          <w:tab w:val="left" w:pos="284"/>
          <w:tab w:val="left" w:pos="851"/>
        </w:tabs>
        <w:ind w:left="284" w:hanging="284"/>
      </w:pPr>
      <w:r>
        <w:rPr>
          <w:rStyle w:val="FootnoteReference"/>
        </w:rPr>
        <w:footnoteRef/>
      </w:r>
      <w:r>
        <w:t xml:space="preserve"> </w:t>
      </w:r>
      <w:r>
        <w:tab/>
        <w:t>This includes for example private on farm investment (such as turkey nests) to enable private buffering of short run changes in system delivery timeliness and capacity.</w:t>
      </w:r>
    </w:p>
  </w:footnote>
  <w:footnote w:id="6">
    <w:p w:rsidR="00346A79" w:rsidRDefault="00346A79"/>
    <w:p w:rsidR="00346A79" w:rsidRDefault="00346A79">
      <w:pPr>
        <w:pStyle w:val="FootnoteText"/>
      </w:pPr>
    </w:p>
  </w:footnote>
  <w:footnote w:id="7">
    <w:p w:rsidR="00346A79" w:rsidRDefault="00346A79" w:rsidP="00F20D24">
      <w:pPr>
        <w:pStyle w:val="FootnoteText"/>
        <w:tabs>
          <w:tab w:val="clear" w:pos="397"/>
          <w:tab w:val="left" w:pos="284"/>
        </w:tabs>
        <w:ind w:left="284" w:hanging="284"/>
      </w:pPr>
      <w:r>
        <w:rPr>
          <w:rStyle w:val="FootnoteReference"/>
        </w:rPr>
        <w:footnoteRef/>
      </w:r>
      <w:r>
        <w:t xml:space="preserve"> </w:t>
      </w:r>
      <w:r>
        <w:tab/>
        <w:t xml:space="preserve">Walker C 2013 ‘Bank-less channels save labour’, </w:t>
      </w:r>
      <w:r w:rsidRPr="006E35E1">
        <w:rPr>
          <w:i/>
        </w:rPr>
        <w:t>Productive Water</w:t>
      </w:r>
      <w:r>
        <w:t>, Winter, NSW Irrigators Council.</w:t>
      </w:r>
    </w:p>
  </w:footnote>
  <w:footnote w:id="8">
    <w:p w:rsidR="00346A79" w:rsidRDefault="00346A79" w:rsidP="00F20D24">
      <w:pPr>
        <w:pStyle w:val="FootnoteText"/>
        <w:tabs>
          <w:tab w:val="clear" w:pos="397"/>
          <w:tab w:val="left" w:pos="284"/>
        </w:tabs>
        <w:ind w:left="284" w:hanging="284"/>
      </w:pPr>
      <w:r>
        <w:rPr>
          <w:rStyle w:val="FootnoteReference"/>
        </w:rPr>
        <w:footnoteRef/>
      </w:r>
      <w:r>
        <w:t xml:space="preserve"> </w:t>
      </w:r>
      <w:r>
        <w:tab/>
        <w:t xml:space="preserve">Grabham M 2012 </w:t>
      </w:r>
      <w:r w:rsidRPr="003B4EEF">
        <w:rPr>
          <w:rStyle w:val="MJAnormalChar1"/>
          <w:i/>
        </w:rPr>
        <w:t>Performance evaluation and improvement of bank</w:t>
      </w:r>
      <w:r>
        <w:rPr>
          <w:rStyle w:val="MJAnormalChar1"/>
          <w:i/>
        </w:rPr>
        <w:t>-</w:t>
      </w:r>
      <w:r w:rsidRPr="003B4EEF">
        <w:rPr>
          <w:rStyle w:val="MJAnormalChar1"/>
          <w:i/>
        </w:rPr>
        <w:t xml:space="preserve">less channel surface irrigation systems.  </w:t>
      </w:r>
      <w:r>
        <w:t xml:space="preserve">PhD Dissertation University of Southern Queensland </w:t>
      </w:r>
    </w:p>
  </w:footnote>
  <w:footnote w:id="9">
    <w:p w:rsidR="00346A79" w:rsidRDefault="00346A79" w:rsidP="00F20D24">
      <w:pPr>
        <w:pStyle w:val="FootnoteText"/>
        <w:tabs>
          <w:tab w:val="clear" w:pos="397"/>
          <w:tab w:val="left" w:pos="284"/>
        </w:tabs>
        <w:ind w:left="284" w:hanging="284"/>
      </w:pPr>
      <w:r>
        <w:rPr>
          <w:rStyle w:val="FootnoteReference"/>
        </w:rPr>
        <w:footnoteRef/>
      </w:r>
      <w:r>
        <w:t xml:space="preserve"> </w:t>
      </w:r>
      <w:r>
        <w:tab/>
        <w:t>Cotton Info 2014, Bankless Channels</w:t>
      </w:r>
    </w:p>
    <w:p w:rsidR="00346A79" w:rsidRDefault="00346A79" w:rsidP="00F20D24">
      <w:pPr>
        <w:pStyle w:val="FootnoteText"/>
        <w:tabs>
          <w:tab w:val="clear" w:pos="397"/>
          <w:tab w:val="left" w:pos="284"/>
        </w:tabs>
        <w:ind w:left="284" w:hanging="284"/>
      </w:pPr>
      <w:r>
        <w:tab/>
      </w:r>
      <w:r w:rsidRPr="00C75F34">
        <w:t>http://www.cottoninfo.com.au/sites/default/files/documents/CottonInfo%20bankless%20channels%20case%20study%20-%20March%202014.pdf</w:t>
      </w:r>
    </w:p>
  </w:footnote>
  <w:footnote w:id="10">
    <w:p w:rsidR="00346A79" w:rsidRDefault="00346A79" w:rsidP="00050C38">
      <w:pPr>
        <w:pStyle w:val="FootnoteText"/>
        <w:tabs>
          <w:tab w:val="clear" w:pos="397"/>
          <w:tab w:val="left" w:pos="284"/>
        </w:tabs>
        <w:ind w:left="284" w:hanging="284"/>
      </w:pPr>
      <w:r>
        <w:rPr>
          <w:rStyle w:val="FootnoteReference"/>
        </w:rPr>
        <w:footnoteRef/>
      </w:r>
      <w:r>
        <w:t xml:space="preserve"> </w:t>
      </w:r>
      <w:r>
        <w:tab/>
        <w:t>Note g</w:t>
      </w:r>
      <w:r w:rsidRPr="00061E10">
        <w:t xml:space="preserve">ross margins have a range of limitations in economic analysis — see Douglas Dwyer and Appels </w:t>
      </w:r>
      <w:r>
        <w:t>(</w:t>
      </w:r>
      <w:r w:rsidRPr="00061E10">
        <w:t>2007)</w:t>
      </w:r>
      <w:r>
        <w:t>. In this study, we use them as an average indicative estimate of return only</w:t>
      </w:r>
      <w:r w:rsidRPr="00061E10">
        <w:t xml:space="preserve">.  </w:t>
      </w:r>
    </w:p>
  </w:footnote>
  <w:footnote w:id="11">
    <w:p w:rsidR="00346A79" w:rsidRDefault="00346A79" w:rsidP="00F20D24">
      <w:pPr>
        <w:pStyle w:val="FootnoteText"/>
        <w:tabs>
          <w:tab w:val="clear" w:pos="397"/>
          <w:tab w:val="left" w:pos="284"/>
        </w:tabs>
        <w:ind w:left="284" w:hanging="284"/>
      </w:pPr>
      <w:r>
        <w:rPr>
          <w:rStyle w:val="FootnoteReference"/>
        </w:rPr>
        <w:footnoteRef/>
      </w:r>
      <w:r>
        <w:t xml:space="preserve"> </w:t>
      </w:r>
      <w:r>
        <w:tab/>
      </w:r>
      <w:r w:rsidRPr="000214BF">
        <w:t>http://agriculture.gov.au/water/markets/commonwealth-water-mdb/progress-water-purchases</w:t>
      </w:r>
    </w:p>
  </w:footnote>
  <w:footnote w:id="12">
    <w:p w:rsidR="00346A79" w:rsidRDefault="00346A79" w:rsidP="002479DE">
      <w:pPr>
        <w:pStyle w:val="FootnoteText"/>
      </w:pPr>
      <w:r>
        <w:rPr>
          <w:rStyle w:val="FootnoteReference"/>
        </w:rPr>
        <w:footnoteRef/>
      </w:r>
      <w:r>
        <w:t xml:space="preserve"> </w:t>
      </w:r>
      <w:r>
        <w:tab/>
        <w:t>Arche Consulting 2012, Assessing the socio economic impacts of Sustainable Diversion Limits and Water for the Future Investments: Assessment of short term impacts at a local scale, Final Report, Australian Government Canberra</w:t>
      </w:r>
    </w:p>
  </w:footnote>
  <w:footnote w:id="13">
    <w:p w:rsidR="00346A79" w:rsidRDefault="00346A79">
      <w:pPr>
        <w:pStyle w:val="FootnoteText"/>
      </w:pPr>
      <w:r>
        <w:rPr>
          <w:rStyle w:val="FootnoteReference"/>
        </w:rPr>
        <w:footnoteRef/>
      </w:r>
      <w:r>
        <w:t xml:space="preserve"> In 2016 dollars. Note we exclude reporting impacts in 2010-2012 given the small changes in indicators.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A79" w:rsidRDefault="00346A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A79" w:rsidRDefault="00346A79">
    <w:r w:rsidRPr="00426980">
      <w:rPr>
        <w:noProof/>
      </w:rPr>
      <w:drawing>
        <wp:anchor distT="0" distB="0" distL="114300" distR="114300" simplePos="0" relativeHeight="251665408" behindDoc="0" locked="0" layoutInCell="1" allowOverlap="1" wp14:anchorId="790FE4DA" wp14:editId="71CB714F">
          <wp:simplePos x="0" y="0"/>
          <wp:positionH relativeFrom="column">
            <wp:posOffset>3598545</wp:posOffset>
          </wp:positionH>
          <wp:positionV relativeFrom="paragraph">
            <wp:posOffset>349250</wp:posOffset>
          </wp:positionV>
          <wp:extent cx="1628775" cy="209550"/>
          <wp:effectExtent l="19050" t="0" r="9525" b="0"/>
          <wp:wrapNone/>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1628775" cy="2095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A79" w:rsidRDefault="00346A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A79" w:rsidRDefault="00346A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A79" w:rsidRDefault="00346A79">
    <w:r w:rsidRPr="00426980">
      <w:rPr>
        <w:noProof/>
      </w:rPr>
      <w:drawing>
        <wp:anchor distT="0" distB="0" distL="114300" distR="114300" simplePos="0" relativeHeight="251663360" behindDoc="0" locked="0" layoutInCell="1" allowOverlap="1" wp14:anchorId="2AEDEBD8" wp14:editId="047D9357">
          <wp:simplePos x="0" y="0"/>
          <wp:positionH relativeFrom="column">
            <wp:posOffset>3789045</wp:posOffset>
          </wp:positionH>
          <wp:positionV relativeFrom="paragraph">
            <wp:posOffset>196850</wp:posOffset>
          </wp:positionV>
          <wp:extent cx="1628775" cy="209550"/>
          <wp:effectExtent l="19050" t="0" r="9525" b="0"/>
          <wp:wrapNone/>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1628775" cy="20955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A79" w:rsidRDefault="00346A7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A79" w:rsidRDefault="00346A7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A79" w:rsidRDefault="00346A79" w:rsidP="000A56D6">
    <w:pPr>
      <w:tabs>
        <w:tab w:val="left" w:pos="1770"/>
      </w:tabs>
      <w:jc w:val="right"/>
    </w:pPr>
    <w:r>
      <w:tab/>
    </w:r>
    <w:r w:rsidRPr="000A56D6">
      <w:rPr>
        <w:noProof/>
      </w:rPr>
      <w:drawing>
        <wp:inline distT="0" distB="0" distL="0" distR="0" wp14:anchorId="6CD108A2" wp14:editId="2A45331A">
          <wp:extent cx="1665870" cy="176230"/>
          <wp:effectExtent l="19050" t="0" r="0" b="0"/>
          <wp:docPr id="6"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sden.MARSDENJACOB\Desktop\Marsden Jacob logo 2011_files\image0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5870" cy="17623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A79" w:rsidRDefault="00346A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3E7A"/>
    <w:multiLevelType w:val="hybridMultilevel"/>
    <w:tmpl w:val="FA80869C"/>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E33D9"/>
    <w:multiLevelType w:val="multilevel"/>
    <w:tmpl w:val="A038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A60023"/>
    <w:multiLevelType w:val="multilevel"/>
    <w:tmpl w:val="B658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5A4425"/>
    <w:multiLevelType w:val="multilevel"/>
    <w:tmpl w:val="1D84BA66"/>
    <w:name w:val="MJA"/>
    <w:lvl w:ilvl="0">
      <w:start w:val="1"/>
      <w:numFmt w:val="decimal"/>
      <w:pStyle w:val="MJAheading1"/>
      <w:lvlText w:val="%1."/>
      <w:lvlJc w:val="left"/>
      <w:pPr>
        <w:ind w:left="709" w:hanging="709"/>
      </w:pPr>
      <w:rPr>
        <w:rFonts w:hint="default"/>
      </w:rPr>
    </w:lvl>
    <w:lvl w:ilvl="1">
      <w:start w:val="1"/>
      <w:numFmt w:val="decimal"/>
      <w:pStyle w:val="MJAheading2"/>
      <w:lvlText w:val="%1.%2"/>
      <w:lvlJc w:val="left"/>
      <w:pPr>
        <w:ind w:left="709" w:hanging="709"/>
      </w:pPr>
      <w:rPr>
        <w:rFonts w:hint="default"/>
      </w:rPr>
    </w:lvl>
    <w:lvl w:ilvl="2">
      <w:start w:val="1"/>
      <w:numFmt w:val="decimal"/>
      <w:pStyle w:val="MJAheading3"/>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4" w15:restartNumberingAfterBreak="0">
    <w:nsid w:val="1C603CDB"/>
    <w:multiLevelType w:val="singleLevel"/>
    <w:tmpl w:val="2118E954"/>
    <w:lvl w:ilvl="0">
      <w:start w:val="1"/>
      <w:numFmt w:val="bullet"/>
      <w:lvlText w:val=""/>
      <w:lvlJc w:val="left"/>
      <w:pPr>
        <w:ind w:left="927" w:hanging="360"/>
      </w:pPr>
      <w:rPr>
        <w:rFonts w:ascii="Symbol" w:hAnsi="Symbol" w:hint="default"/>
        <w:color w:val="447C7A"/>
      </w:rPr>
    </w:lvl>
  </w:abstractNum>
  <w:abstractNum w:abstractNumId="5" w15:restartNumberingAfterBreak="0">
    <w:nsid w:val="1D992C01"/>
    <w:multiLevelType w:val="multilevel"/>
    <w:tmpl w:val="B3D47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C345F1"/>
    <w:multiLevelType w:val="singleLevel"/>
    <w:tmpl w:val="235009F2"/>
    <w:lvl w:ilvl="0">
      <w:start w:val="1"/>
      <w:numFmt w:val="bullet"/>
      <w:lvlText w:val=""/>
      <w:lvlJc w:val="left"/>
      <w:pPr>
        <w:ind w:left="360" w:hanging="360"/>
      </w:pPr>
      <w:rPr>
        <w:rFonts w:ascii="Wingdings" w:hAnsi="Wingdings" w:hint="default"/>
        <w:color w:val="31849B"/>
        <w:sz w:val="22"/>
      </w:rPr>
    </w:lvl>
  </w:abstractNum>
  <w:abstractNum w:abstractNumId="7" w15:restartNumberingAfterBreak="0">
    <w:nsid w:val="22A265FC"/>
    <w:multiLevelType w:val="multilevel"/>
    <w:tmpl w:val="3198ECA8"/>
    <w:lvl w:ilvl="0">
      <w:start w:val="1"/>
      <w:numFmt w:val="bullet"/>
      <w:pStyle w:val="ListBullet"/>
      <w:lvlText w:val=""/>
      <w:lvlJc w:val="left"/>
      <w:pPr>
        <w:tabs>
          <w:tab w:val="num" w:pos="360"/>
        </w:tabs>
        <w:ind w:left="360" w:hanging="360"/>
      </w:pPr>
      <w:rPr>
        <w:rFonts w:ascii="Symbol" w:hAnsi="Symbol" w:hint="default"/>
        <w:b w:val="0"/>
        <w:i w:val="0"/>
        <w:sz w:val="22"/>
        <w:szCs w:val="22"/>
      </w:rPr>
    </w:lvl>
    <w:lvl w:ilvl="1">
      <w:start w:val="1"/>
      <w:numFmt w:val="bullet"/>
      <w:lvlText w:val="○"/>
      <w:lvlJc w:val="left"/>
      <w:pPr>
        <w:tabs>
          <w:tab w:val="num" w:pos="720"/>
        </w:tabs>
        <w:ind w:left="720" w:hanging="360"/>
      </w:pPr>
      <w:rPr>
        <w:rFonts w:ascii="Arial" w:hAnsi="Arial" w:cs="Times New Roman" w:hint="default"/>
        <w:b w:val="0"/>
        <w:i w:val="0"/>
        <w:sz w:val="22"/>
        <w:szCs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22F1359C"/>
    <w:multiLevelType w:val="hybridMultilevel"/>
    <w:tmpl w:val="584A8F28"/>
    <w:lvl w:ilvl="0" w:tplc="9AC26A86">
      <w:start w:val="1"/>
      <w:numFmt w:val="bullet"/>
      <w:lvlText w:val=""/>
      <w:lvlJc w:val="left"/>
      <w:pPr>
        <w:tabs>
          <w:tab w:val="num" w:pos="720"/>
        </w:tabs>
        <w:ind w:left="720" w:hanging="360"/>
      </w:pPr>
      <w:rPr>
        <w:rFonts w:ascii="Wingdings" w:hAnsi="Wingdings" w:hint="default"/>
      </w:rPr>
    </w:lvl>
    <w:lvl w:ilvl="1" w:tplc="0F208314">
      <w:start w:val="3387"/>
      <w:numFmt w:val="bullet"/>
      <w:lvlText w:val="−"/>
      <w:lvlJc w:val="left"/>
      <w:pPr>
        <w:tabs>
          <w:tab w:val="num" w:pos="1440"/>
        </w:tabs>
        <w:ind w:left="1440" w:hanging="360"/>
      </w:pPr>
      <w:rPr>
        <w:rFonts w:ascii="Candara" w:hAnsi="Candara" w:hint="default"/>
      </w:rPr>
    </w:lvl>
    <w:lvl w:ilvl="2" w:tplc="2D3CDBF0">
      <w:start w:val="1"/>
      <w:numFmt w:val="bullet"/>
      <w:lvlText w:val=""/>
      <w:lvlJc w:val="left"/>
      <w:pPr>
        <w:tabs>
          <w:tab w:val="num" w:pos="2160"/>
        </w:tabs>
        <w:ind w:left="2160" w:hanging="360"/>
      </w:pPr>
      <w:rPr>
        <w:rFonts w:ascii="Wingdings" w:hAnsi="Wingdings" w:hint="default"/>
      </w:rPr>
    </w:lvl>
    <w:lvl w:ilvl="3" w:tplc="A31CDEEC">
      <w:start w:val="10"/>
      <w:numFmt w:val="bullet"/>
      <w:lvlText w:val=""/>
      <w:lvlJc w:val="left"/>
      <w:pPr>
        <w:ind w:left="2880" w:hanging="360"/>
      </w:pPr>
      <w:rPr>
        <w:rFonts w:ascii="Symbol" w:eastAsiaTheme="minorEastAsia" w:hAnsi="Symbol" w:cstheme="minorBidi" w:hint="default"/>
      </w:rPr>
    </w:lvl>
    <w:lvl w:ilvl="4" w:tplc="9EF6C2A6">
      <w:start w:val="23"/>
      <w:numFmt w:val="bullet"/>
      <w:lvlText w:val="-"/>
      <w:lvlJc w:val="left"/>
      <w:pPr>
        <w:ind w:left="3600" w:hanging="360"/>
      </w:pPr>
      <w:rPr>
        <w:rFonts w:ascii="Calibri" w:eastAsiaTheme="minorEastAsia" w:hAnsi="Calibri" w:cstheme="minorBidi" w:hint="default"/>
      </w:rPr>
    </w:lvl>
    <w:lvl w:ilvl="5" w:tplc="9DBE2836" w:tentative="1">
      <w:start w:val="1"/>
      <w:numFmt w:val="bullet"/>
      <w:lvlText w:val=""/>
      <w:lvlJc w:val="left"/>
      <w:pPr>
        <w:tabs>
          <w:tab w:val="num" w:pos="4320"/>
        </w:tabs>
        <w:ind w:left="4320" w:hanging="360"/>
      </w:pPr>
      <w:rPr>
        <w:rFonts w:ascii="Wingdings" w:hAnsi="Wingdings" w:hint="default"/>
      </w:rPr>
    </w:lvl>
    <w:lvl w:ilvl="6" w:tplc="0DAAA25A" w:tentative="1">
      <w:start w:val="1"/>
      <w:numFmt w:val="bullet"/>
      <w:lvlText w:val=""/>
      <w:lvlJc w:val="left"/>
      <w:pPr>
        <w:tabs>
          <w:tab w:val="num" w:pos="5040"/>
        </w:tabs>
        <w:ind w:left="5040" w:hanging="360"/>
      </w:pPr>
      <w:rPr>
        <w:rFonts w:ascii="Wingdings" w:hAnsi="Wingdings" w:hint="default"/>
      </w:rPr>
    </w:lvl>
    <w:lvl w:ilvl="7" w:tplc="F3BE7858" w:tentative="1">
      <w:start w:val="1"/>
      <w:numFmt w:val="bullet"/>
      <w:lvlText w:val=""/>
      <w:lvlJc w:val="left"/>
      <w:pPr>
        <w:tabs>
          <w:tab w:val="num" w:pos="5760"/>
        </w:tabs>
        <w:ind w:left="5760" w:hanging="360"/>
      </w:pPr>
      <w:rPr>
        <w:rFonts w:ascii="Wingdings" w:hAnsi="Wingdings" w:hint="default"/>
      </w:rPr>
    </w:lvl>
    <w:lvl w:ilvl="8" w:tplc="40AC87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9B20CF"/>
    <w:multiLevelType w:val="hybridMultilevel"/>
    <w:tmpl w:val="AC4ED874"/>
    <w:lvl w:ilvl="0" w:tplc="228828D4">
      <w:start w:val="1"/>
      <w:numFmt w:val="decimal"/>
      <w:pStyle w:val="MJAESnormal"/>
      <w:lvlText w:val="ES.%1."/>
      <w:lvlJc w:val="left"/>
      <w:pPr>
        <w:ind w:left="360" w:hanging="360"/>
      </w:pPr>
      <w:rPr>
        <w:rFonts w:ascii="Times New Roman" w:hAnsi="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5A4F77"/>
    <w:multiLevelType w:val="hybridMultilevel"/>
    <w:tmpl w:val="8A0EAA6E"/>
    <w:lvl w:ilvl="0" w:tplc="2B4099CA">
      <w:start w:val="1"/>
      <w:numFmt w:val="bullet"/>
      <w:pStyle w:val="MJAdashbullet"/>
      <w:lvlText w:val=""/>
      <w:lvlJc w:val="left"/>
      <w:pPr>
        <w:ind w:left="720" w:hanging="360"/>
      </w:pPr>
      <w:rPr>
        <w:rFonts w:ascii="Symbol" w:hAnsi="Symbol" w:hint="default"/>
        <w:color w:val="0093D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4345D1"/>
    <w:multiLevelType w:val="singleLevel"/>
    <w:tmpl w:val="3C02756A"/>
    <w:lvl w:ilvl="0">
      <w:start w:val="1"/>
      <w:numFmt w:val="bullet"/>
      <w:pStyle w:val="MJAbulletnormal"/>
      <w:lvlText w:val=""/>
      <w:lvlJc w:val="left"/>
      <w:pPr>
        <w:ind w:left="1637" w:hanging="360"/>
      </w:pPr>
      <w:rPr>
        <w:rFonts w:ascii="Wingdings" w:hAnsi="Wingdings" w:hint="default"/>
        <w:color w:val="0093D0"/>
      </w:rPr>
    </w:lvl>
  </w:abstractNum>
  <w:abstractNum w:abstractNumId="12" w15:restartNumberingAfterBreak="0">
    <w:nsid w:val="42741C80"/>
    <w:multiLevelType w:val="hybridMultilevel"/>
    <w:tmpl w:val="D8A82DF2"/>
    <w:lvl w:ilvl="0" w:tplc="D93ED8D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6697976"/>
    <w:multiLevelType w:val="multilevel"/>
    <w:tmpl w:val="2CD41E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8F91ACC"/>
    <w:multiLevelType w:val="multilevel"/>
    <w:tmpl w:val="0409001D"/>
    <w:styleLink w:val="NEWMJAListStyle"/>
    <w:lvl w:ilvl="0">
      <w:start w:val="1"/>
      <w:numFmt w:val="bullet"/>
      <w:lvlText w:val=""/>
      <w:lvlJc w:val="left"/>
      <w:pPr>
        <w:ind w:left="360" w:hanging="360"/>
      </w:pPr>
      <w:rPr>
        <w:rFonts w:asciiTheme="minorHAnsi" w:hAnsiTheme="minorHAnsi" w:hint="default"/>
      </w:rPr>
    </w:lvl>
    <w:lvl w:ilvl="1">
      <w:start w:val="1"/>
      <w:numFmt w:val="bullet"/>
      <w:lvlText w:val=""/>
      <w:lvlJc w:val="left"/>
      <w:pPr>
        <w:ind w:left="720" w:hanging="360"/>
      </w:pPr>
      <w:rPr>
        <w:rFonts w:asciiTheme="minorHAnsi" w:hAnsiTheme="minorHAnsi" w:hint="default"/>
      </w:rPr>
    </w:lvl>
    <w:lvl w:ilvl="2">
      <w:start w:val="1"/>
      <w:numFmt w:val="bullet"/>
      <w:lvlText w:val=""/>
      <w:lvlJc w:val="left"/>
      <w:pPr>
        <w:ind w:left="1080" w:hanging="360"/>
      </w:pPr>
      <w:rPr>
        <w:rFonts w:asciiTheme="minorHAnsi" w:hAnsiTheme="minorHAnsi"/>
      </w:rPr>
    </w:lvl>
    <w:lvl w:ilvl="3">
      <w:start w:val="1"/>
      <w:numFmt w:val="bullet"/>
      <w:lvlText w:val=""/>
      <w:lvlJc w:val="left"/>
      <w:pPr>
        <w:ind w:left="1440" w:hanging="360"/>
      </w:pPr>
      <w:rPr>
        <w:rFonts w:asciiTheme="minorHAnsi" w:hAnsiTheme="minorHAns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F03303B"/>
    <w:multiLevelType w:val="hybridMultilevel"/>
    <w:tmpl w:val="15E8DFB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22336B8"/>
    <w:multiLevelType w:val="hybridMultilevel"/>
    <w:tmpl w:val="D20CBEF4"/>
    <w:lvl w:ilvl="0" w:tplc="04090001">
      <w:start w:val="1"/>
      <w:numFmt w:val="bullet"/>
      <w:lvlText w:val=""/>
      <w:lvlJc w:val="left"/>
      <w:pPr>
        <w:ind w:left="1080" w:hanging="360"/>
      </w:pPr>
      <w:rPr>
        <w:rFonts w:ascii="Wingdings" w:hAnsi="Wingdings" w:hint="default"/>
        <w:color w:val="31849B" w:themeColor="accent5" w:themeShade="BF"/>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7087CCA"/>
    <w:multiLevelType w:val="hybridMultilevel"/>
    <w:tmpl w:val="48D231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C5B25A9"/>
    <w:multiLevelType w:val="hybridMultilevel"/>
    <w:tmpl w:val="EAE852C0"/>
    <w:lvl w:ilvl="0" w:tplc="1F04673C">
      <w:start w:val="1"/>
      <w:numFmt w:val="bullet"/>
      <w:lvlText w:val=""/>
      <w:lvlJc w:val="left"/>
      <w:pPr>
        <w:tabs>
          <w:tab w:val="num" w:pos="720"/>
        </w:tabs>
        <w:ind w:left="720" w:hanging="360"/>
      </w:pPr>
      <w:rPr>
        <w:rFonts w:ascii="Wingdings" w:hAnsi="Wingdings" w:hint="default"/>
      </w:rPr>
    </w:lvl>
    <w:lvl w:ilvl="1" w:tplc="BF604466">
      <w:start w:val="3309"/>
      <w:numFmt w:val="bullet"/>
      <w:lvlText w:val="−"/>
      <w:lvlJc w:val="left"/>
      <w:pPr>
        <w:tabs>
          <w:tab w:val="num" w:pos="1440"/>
        </w:tabs>
        <w:ind w:left="1440" w:hanging="360"/>
      </w:pPr>
      <w:rPr>
        <w:rFonts w:ascii="Candara" w:hAnsi="Candara" w:hint="default"/>
      </w:rPr>
    </w:lvl>
    <w:lvl w:ilvl="2" w:tplc="47F4E1C8" w:tentative="1">
      <w:start w:val="1"/>
      <w:numFmt w:val="bullet"/>
      <w:lvlText w:val=""/>
      <w:lvlJc w:val="left"/>
      <w:pPr>
        <w:tabs>
          <w:tab w:val="num" w:pos="2160"/>
        </w:tabs>
        <w:ind w:left="2160" w:hanging="360"/>
      </w:pPr>
      <w:rPr>
        <w:rFonts w:ascii="Wingdings" w:hAnsi="Wingdings" w:hint="default"/>
      </w:rPr>
    </w:lvl>
    <w:lvl w:ilvl="3" w:tplc="48CC08FA" w:tentative="1">
      <w:start w:val="1"/>
      <w:numFmt w:val="bullet"/>
      <w:lvlText w:val=""/>
      <w:lvlJc w:val="left"/>
      <w:pPr>
        <w:tabs>
          <w:tab w:val="num" w:pos="2880"/>
        </w:tabs>
        <w:ind w:left="2880" w:hanging="360"/>
      </w:pPr>
      <w:rPr>
        <w:rFonts w:ascii="Wingdings" w:hAnsi="Wingdings" w:hint="default"/>
      </w:rPr>
    </w:lvl>
    <w:lvl w:ilvl="4" w:tplc="DC16FC88" w:tentative="1">
      <w:start w:val="1"/>
      <w:numFmt w:val="bullet"/>
      <w:lvlText w:val=""/>
      <w:lvlJc w:val="left"/>
      <w:pPr>
        <w:tabs>
          <w:tab w:val="num" w:pos="3600"/>
        </w:tabs>
        <w:ind w:left="3600" w:hanging="360"/>
      </w:pPr>
      <w:rPr>
        <w:rFonts w:ascii="Wingdings" w:hAnsi="Wingdings" w:hint="default"/>
      </w:rPr>
    </w:lvl>
    <w:lvl w:ilvl="5" w:tplc="7EF882F2" w:tentative="1">
      <w:start w:val="1"/>
      <w:numFmt w:val="bullet"/>
      <w:lvlText w:val=""/>
      <w:lvlJc w:val="left"/>
      <w:pPr>
        <w:tabs>
          <w:tab w:val="num" w:pos="4320"/>
        </w:tabs>
        <w:ind w:left="4320" w:hanging="360"/>
      </w:pPr>
      <w:rPr>
        <w:rFonts w:ascii="Wingdings" w:hAnsi="Wingdings" w:hint="default"/>
      </w:rPr>
    </w:lvl>
    <w:lvl w:ilvl="6" w:tplc="F158506A" w:tentative="1">
      <w:start w:val="1"/>
      <w:numFmt w:val="bullet"/>
      <w:lvlText w:val=""/>
      <w:lvlJc w:val="left"/>
      <w:pPr>
        <w:tabs>
          <w:tab w:val="num" w:pos="5040"/>
        </w:tabs>
        <w:ind w:left="5040" w:hanging="360"/>
      </w:pPr>
      <w:rPr>
        <w:rFonts w:ascii="Wingdings" w:hAnsi="Wingdings" w:hint="default"/>
      </w:rPr>
    </w:lvl>
    <w:lvl w:ilvl="7" w:tplc="7B0E632C" w:tentative="1">
      <w:start w:val="1"/>
      <w:numFmt w:val="bullet"/>
      <w:lvlText w:val=""/>
      <w:lvlJc w:val="left"/>
      <w:pPr>
        <w:tabs>
          <w:tab w:val="num" w:pos="5760"/>
        </w:tabs>
        <w:ind w:left="5760" w:hanging="360"/>
      </w:pPr>
      <w:rPr>
        <w:rFonts w:ascii="Wingdings" w:hAnsi="Wingdings" w:hint="default"/>
      </w:rPr>
    </w:lvl>
    <w:lvl w:ilvl="8" w:tplc="1E46ADF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heduleLevel2"/>
      <w:lvlText w:val="%2.%3."/>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20" w15:restartNumberingAfterBreak="0">
    <w:nsid w:val="70B6487C"/>
    <w:multiLevelType w:val="multilevel"/>
    <w:tmpl w:val="10280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A84C9D"/>
    <w:multiLevelType w:val="hybridMultilevel"/>
    <w:tmpl w:val="C78E404A"/>
    <w:lvl w:ilvl="0" w:tplc="A380E5EE">
      <w:start w:val="1"/>
      <w:numFmt w:val="bullet"/>
      <w:lvlText w:val=""/>
      <w:lvlJc w:val="left"/>
      <w:pPr>
        <w:tabs>
          <w:tab w:val="num" w:pos="720"/>
        </w:tabs>
        <w:ind w:left="720" w:hanging="360"/>
      </w:pPr>
      <w:rPr>
        <w:rFonts w:ascii="Wingdings" w:hAnsi="Wingdings" w:hint="default"/>
      </w:rPr>
    </w:lvl>
    <w:lvl w:ilvl="1" w:tplc="A1303BCC" w:tentative="1">
      <w:start w:val="1"/>
      <w:numFmt w:val="bullet"/>
      <w:lvlText w:val=""/>
      <w:lvlJc w:val="left"/>
      <w:pPr>
        <w:tabs>
          <w:tab w:val="num" w:pos="1440"/>
        </w:tabs>
        <w:ind w:left="1440" w:hanging="360"/>
      </w:pPr>
      <w:rPr>
        <w:rFonts w:ascii="Wingdings" w:hAnsi="Wingdings" w:hint="default"/>
      </w:rPr>
    </w:lvl>
    <w:lvl w:ilvl="2" w:tplc="8044264E" w:tentative="1">
      <w:start w:val="1"/>
      <w:numFmt w:val="bullet"/>
      <w:lvlText w:val=""/>
      <w:lvlJc w:val="left"/>
      <w:pPr>
        <w:tabs>
          <w:tab w:val="num" w:pos="2160"/>
        </w:tabs>
        <w:ind w:left="2160" w:hanging="360"/>
      </w:pPr>
      <w:rPr>
        <w:rFonts w:ascii="Wingdings" w:hAnsi="Wingdings" w:hint="default"/>
      </w:rPr>
    </w:lvl>
    <w:lvl w:ilvl="3" w:tplc="DCE0050A" w:tentative="1">
      <w:start w:val="1"/>
      <w:numFmt w:val="bullet"/>
      <w:lvlText w:val=""/>
      <w:lvlJc w:val="left"/>
      <w:pPr>
        <w:tabs>
          <w:tab w:val="num" w:pos="2880"/>
        </w:tabs>
        <w:ind w:left="2880" w:hanging="360"/>
      </w:pPr>
      <w:rPr>
        <w:rFonts w:ascii="Wingdings" w:hAnsi="Wingdings" w:hint="default"/>
      </w:rPr>
    </w:lvl>
    <w:lvl w:ilvl="4" w:tplc="CBDEB99E" w:tentative="1">
      <w:start w:val="1"/>
      <w:numFmt w:val="bullet"/>
      <w:lvlText w:val=""/>
      <w:lvlJc w:val="left"/>
      <w:pPr>
        <w:tabs>
          <w:tab w:val="num" w:pos="3600"/>
        </w:tabs>
        <w:ind w:left="3600" w:hanging="360"/>
      </w:pPr>
      <w:rPr>
        <w:rFonts w:ascii="Wingdings" w:hAnsi="Wingdings" w:hint="default"/>
      </w:rPr>
    </w:lvl>
    <w:lvl w:ilvl="5" w:tplc="5DD65616" w:tentative="1">
      <w:start w:val="1"/>
      <w:numFmt w:val="bullet"/>
      <w:lvlText w:val=""/>
      <w:lvlJc w:val="left"/>
      <w:pPr>
        <w:tabs>
          <w:tab w:val="num" w:pos="4320"/>
        </w:tabs>
        <w:ind w:left="4320" w:hanging="360"/>
      </w:pPr>
      <w:rPr>
        <w:rFonts w:ascii="Wingdings" w:hAnsi="Wingdings" w:hint="default"/>
      </w:rPr>
    </w:lvl>
    <w:lvl w:ilvl="6" w:tplc="F774E2C4" w:tentative="1">
      <w:start w:val="1"/>
      <w:numFmt w:val="bullet"/>
      <w:lvlText w:val=""/>
      <w:lvlJc w:val="left"/>
      <w:pPr>
        <w:tabs>
          <w:tab w:val="num" w:pos="5040"/>
        </w:tabs>
        <w:ind w:left="5040" w:hanging="360"/>
      </w:pPr>
      <w:rPr>
        <w:rFonts w:ascii="Wingdings" w:hAnsi="Wingdings" w:hint="default"/>
      </w:rPr>
    </w:lvl>
    <w:lvl w:ilvl="7" w:tplc="2A8A3FA0" w:tentative="1">
      <w:start w:val="1"/>
      <w:numFmt w:val="bullet"/>
      <w:lvlText w:val=""/>
      <w:lvlJc w:val="left"/>
      <w:pPr>
        <w:tabs>
          <w:tab w:val="num" w:pos="5760"/>
        </w:tabs>
        <w:ind w:left="5760" w:hanging="360"/>
      </w:pPr>
      <w:rPr>
        <w:rFonts w:ascii="Wingdings" w:hAnsi="Wingdings" w:hint="default"/>
      </w:rPr>
    </w:lvl>
    <w:lvl w:ilvl="8" w:tplc="351E4B9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F3D1E64"/>
    <w:multiLevelType w:val="singleLevel"/>
    <w:tmpl w:val="0809000F"/>
    <w:lvl w:ilvl="0">
      <w:start w:val="1"/>
      <w:numFmt w:val="decimal"/>
      <w:lvlText w:val="%1."/>
      <w:lvlJc w:val="left"/>
      <w:pPr>
        <w:tabs>
          <w:tab w:val="num" w:pos="360"/>
        </w:tabs>
        <w:ind w:left="360" w:hanging="360"/>
      </w:pPr>
    </w:lvl>
  </w:abstractNum>
  <w:num w:numId="1">
    <w:abstractNumId w:val="3"/>
  </w:num>
  <w:num w:numId="2">
    <w:abstractNumId w:val="11"/>
  </w:num>
  <w:num w:numId="3">
    <w:abstractNumId w:val="4"/>
  </w:num>
  <w:num w:numId="4">
    <w:abstractNumId w:val="14"/>
  </w:num>
  <w:num w:numId="5">
    <w:abstractNumId w:val="22"/>
  </w:num>
  <w:num w:numId="6">
    <w:abstractNumId w:val="0"/>
  </w:num>
  <w:num w:numId="7">
    <w:abstractNumId w:val="16"/>
  </w:num>
  <w:num w:numId="8">
    <w:abstractNumId w:val="7"/>
  </w:num>
  <w:num w:numId="9">
    <w:abstractNumId w:val="9"/>
  </w:num>
  <w:num w:numId="10">
    <w:abstractNumId w:val="10"/>
  </w:num>
  <w:num w:numId="11">
    <w:abstractNumId w:val="13"/>
  </w:num>
  <w:num w:numId="12">
    <w:abstractNumId w:val="1"/>
  </w:num>
  <w:num w:numId="13">
    <w:abstractNumId w:val="2"/>
  </w:num>
  <w:num w:numId="14">
    <w:abstractNumId w:val="21"/>
  </w:num>
  <w:num w:numId="15">
    <w:abstractNumId w:val="8"/>
  </w:num>
  <w:num w:numId="16">
    <w:abstractNumId w:val="6"/>
  </w:num>
  <w:num w:numId="17">
    <w:abstractNumId w:val="15"/>
  </w:num>
  <w:num w:numId="18">
    <w:abstractNumId w:val="19"/>
  </w:num>
  <w:num w:numId="19">
    <w:abstractNumId w:val="11"/>
  </w:num>
  <w:num w:numId="20">
    <w:abstractNumId w:val="11"/>
  </w:num>
  <w:num w:numId="21">
    <w:abstractNumId w:val="11"/>
  </w:num>
  <w:num w:numId="22">
    <w:abstractNumId w:val="18"/>
  </w:num>
  <w:num w:numId="23">
    <w:abstractNumId w:val="11"/>
  </w:num>
  <w:num w:numId="24">
    <w:abstractNumId w:val="12"/>
  </w:num>
  <w:num w:numId="25">
    <w:abstractNumId w:val="5"/>
  </w:num>
  <w:num w:numId="26">
    <w:abstractNumId w:val="17"/>
  </w:num>
  <w:num w:numId="27">
    <w:abstractNumId w:val="20"/>
  </w:num>
  <w:num w:numId="28">
    <w:abstractNumId w:val="3"/>
  </w:num>
  <w:num w:numId="29">
    <w:abstractNumId w:val="3"/>
  </w:num>
  <w:num w:numId="3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7A8"/>
    <w:rsid w:val="000005DE"/>
    <w:rsid w:val="00007582"/>
    <w:rsid w:val="0001226E"/>
    <w:rsid w:val="00022104"/>
    <w:rsid w:val="00023D91"/>
    <w:rsid w:val="0002454B"/>
    <w:rsid w:val="00025D88"/>
    <w:rsid w:val="0003103D"/>
    <w:rsid w:val="00032A42"/>
    <w:rsid w:val="00032ADB"/>
    <w:rsid w:val="00032BBE"/>
    <w:rsid w:val="000337D9"/>
    <w:rsid w:val="00033EE8"/>
    <w:rsid w:val="00034FDF"/>
    <w:rsid w:val="00037ECD"/>
    <w:rsid w:val="00041DCF"/>
    <w:rsid w:val="00042F25"/>
    <w:rsid w:val="00050C38"/>
    <w:rsid w:val="00055771"/>
    <w:rsid w:val="00057774"/>
    <w:rsid w:val="00061E10"/>
    <w:rsid w:val="00062855"/>
    <w:rsid w:val="000731F8"/>
    <w:rsid w:val="000767EF"/>
    <w:rsid w:val="00084467"/>
    <w:rsid w:val="00093174"/>
    <w:rsid w:val="000958EF"/>
    <w:rsid w:val="000A3BF3"/>
    <w:rsid w:val="000A3EB2"/>
    <w:rsid w:val="000A56D6"/>
    <w:rsid w:val="000A5FE4"/>
    <w:rsid w:val="000A72A7"/>
    <w:rsid w:val="000B0AB5"/>
    <w:rsid w:val="000C1B11"/>
    <w:rsid w:val="000C75F9"/>
    <w:rsid w:val="000D3874"/>
    <w:rsid w:val="000D4CDE"/>
    <w:rsid w:val="000D4F20"/>
    <w:rsid w:val="000D517B"/>
    <w:rsid w:val="000D67C1"/>
    <w:rsid w:val="000E04C3"/>
    <w:rsid w:val="000E4A6F"/>
    <w:rsid w:val="000E4FB4"/>
    <w:rsid w:val="000E740A"/>
    <w:rsid w:val="000F3DC8"/>
    <w:rsid w:val="000F4414"/>
    <w:rsid w:val="000F4733"/>
    <w:rsid w:val="000F568F"/>
    <w:rsid w:val="000F607B"/>
    <w:rsid w:val="000F75E9"/>
    <w:rsid w:val="00102CFC"/>
    <w:rsid w:val="0010303D"/>
    <w:rsid w:val="001046EC"/>
    <w:rsid w:val="001057D5"/>
    <w:rsid w:val="00105F72"/>
    <w:rsid w:val="0010657C"/>
    <w:rsid w:val="0011214A"/>
    <w:rsid w:val="00116820"/>
    <w:rsid w:val="00122E32"/>
    <w:rsid w:val="001237A2"/>
    <w:rsid w:val="00132799"/>
    <w:rsid w:val="00133785"/>
    <w:rsid w:val="00135107"/>
    <w:rsid w:val="0013585B"/>
    <w:rsid w:val="00135B3A"/>
    <w:rsid w:val="00136F31"/>
    <w:rsid w:val="001377D3"/>
    <w:rsid w:val="00141A1F"/>
    <w:rsid w:val="00142FEC"/>
    <w:rsid w:val="00144A42"/>
    <w:rsid w:val="001458AC"/>
    <w:rsid w:val="00154F52"/>
    <w:rsid w:val="00155D09"/>
    <w:rsid w:val="0015745C"/>
    <w:rsid w:val="001607EA"/>
    <w:rsid w:val="00164952"/>
    <w:rsid w:val="001708CB"/>
    <w:rsid w:val="00174251"/>
    <w:rsid w:val="0017440D"/>
    <w:rsid w:val="00174AB7"/>
    <w:rsid w:val="0017784A"/>
    <w:rsid w:val="001803B4"/>
    <w:rsid w:val="001838D1"/>
    <w:rsid w:val="001921F2"/>
    <w:rsid w:val="001961BC"/>
    <w:rsid w:val="001A49F3"/>
    <w:rsid w:val="001A73E8"/>
    <w:rsid w:val="001B1A8A"/>
    <w:rsid w:val="001B1DBD"/>
    <w:rsid w:val="001B7A5D"/>
    <w:rsid w:val="001B7E65"/>
    <w:rsid w:val="001C6DCE"/>
    <w:rsid w:val="001C7346"/>
    <w:rsid w:val="001D0501"/>
    <w:rsid w:val="001D15D6"/>
    <w:rsid w:val="001D2F9A"/>
    <w:rsid w:val="001D399C"/>
    <w:rsid w:val="001D5384"/>
    <w:rsid w:val="001E1D82"/>
    <w:rsid w:val="001E30E7"/>
    <w:rsid w:val="001E3558"/>
    <w:rsid w:val="001E4905"/>
    <w:rsid w:val="001E4C71"/>
    <w:rsid w:val="001E6D34"/>
    <w:rsid w:val="001E7F2B"/>
    <w:rsid w:val="001F3EEE"/>
    <w:rsid w:val="001F460D"/>
    <w:rsid w:val="002045D6"/>
    <w:rsid w:val="00204AD5"/>
    <w:rsid w:val="00204D69"/>
    <w:rsid w:val="0020796D"/>
    <w:rsid w:val="00211560"/>
    <w:rsid w:val="00211C8C"/>
    <w:rsid w:val="00212D8D"/>
    <w:rsid w:val="00221A07"/>
    <w:rsid w:val="00223971"/>
    <w:rsid w:val="00224FC9"/>
    <w:rsid w:val="00226EC3"/>
    <w:rsid w:val="00237E73"/>
    <w:rsid w:val="0024024C"/>
    <w:rsid w:val="00242A5F"/>
    <w:rsid w:val="002479DE"/>
    <w:rsid w:val="00247EC3"/>
    <w:rsid w:val="002515A0"/>
    <w:rsid w:val="0025183D"/>
    <w:rsid w:val="00254F04"/>
    <w:rsid w:val="00261C6E"/>
    <w:rsid w:val="00267CCB"/>
    <w:rsid w:val="0027043E"/>
    <w:rsid w:val="00272A39"/>
    <w:rsid w:val="00274640"/>
    <w:rsid w:val="002756F4"/>
    <w:rsid w:val="00281339"/>
    <w:rsid w:val="00282429"/>
    <w:rsid w:val="0028404B"/>
    <w:rsid w:val="002932A4"/>
    <w:rsid w:val="002953B2"/>
    <w:rsid w:val="002957D6"/>
    <w:rsid w:val="002A12A9"/>
    <w:rsid w:val="002A2CCA"/>
    <w:rsid w:val="002B16B5"/>
    <w:rsid w:val="002B1E02"/>
    <w:rsid w:val="002B2E3D"/>
    <w:rsid w:val="002B3133"/>
    <w:rsid w:val="002B5967"/>
    <w:rsid w:val="002B5C14"/>
    <w:rsid w:val="002B6950"/>
    <w:rsid w:val="002C0815"/>
    <w:rsid w:val="002C16D3"/>
    <w:rsid w:val="002C1F08"/>
    <w:rsid w:val="002C1FC2"/>
    <w:rsid w:val="002C25EC"/>
    <w:rsid w:val="002C439F"/>
    <w:rsid w:val="002C5781"/>
    <w:rsid w:val="002D33A1"/>
    <w:rsid w:val="002E0115"/>
    <w:rsid w:val="002E36FD"/>
    <w:rsid w:val="002E374E"/>
    <w:rsid w:val="002E4ED7"/>
    <w:rsid w:val="002E66EC"/>
    <w:rsid w:val="002F2E38"/>
    <w:rsid w:val="002F769C"/>
    <w:rsid w:val="00301885"/>
    <w:rsid w:val="00311808"/>
    <w:rsid w:val="00311A67"/>
    <w:rsid w:val="00314792"/>
    <w:rsid w:val="00314E7D"/>
    <w:rsid w:val="0031758B"/>
    <w:rsid w:val="0032058B"/>
    <w:rsid w:val="00325084"/>
    <w:rsid w:val="00325A05"/>
    <w:rsid w:val="0034571D"/>
    <w:rsid w:val="00346A79"/>
    <w:rsid w:val="00346BE8"/>
    <w:rsid w:val="00347830"/>
    <w:rsid w:val="003513B0"/>
    <w:rsid w:val="00364088"/>
    <w:rsid w:val="00373647"/>
    <w:rsid w:val="00377326"/>
    <w:rsid w:val="0037780B"/>
    <w:rsid w:val="00384E6F"/>
    <w:rsid w:val="00385502"/>
    <w:rsid w:val="00387D2F"/>
    <w:rsid w:val="00387F15"/>
    <w:rsid w:val="00390232"/>
    <w:rsid w:val="0039066C"/>
    <w:rsid w:val="003A0406"/>
    <w:rsid w:val="003A101B"/>
    <w:rsid w:val="003A28EE"/>
    <w:rsid w:val="003A4503"/>
    <w:rsid w:val="003B2D82"/>
    <w:rsid w:val="003B367A"/>
    <w:rsid w:val="003B6B3A"/>
    <w:rsid w:val="003C16D9"/>
    <w:rsid w:val="003C4A02"/>
    <w:rsid w:val="003D3A9D"/>
    <w:rsid w:val="003E1898"/>
    <w:rsid w:val="003E1D35"/>
    <w:rsid w:val="003E1D38"/>
    <w:rsid w:val="003E1FD0"/>
    <w:rsid w:val="003F390F"/>
    <w:rsid w:val="003F431B"/>
    <w:rsid w:val="003F4C07"/>
    <w:rsid w:val="003F5AFA"/>
    <w:rsid w:val="003F64C9"/>
    <w:rsid w:val="004040ED"/>
    <w:rsid w:val="00405524"/>
    <w:rsid w:val="00405B93"/>
    <w:rsid w:val="004063EC"/>
    <w:rsid w:val="00410478"/>
    <w:rsid w:val="00413A57"/>
    <w:rsid w:val="004166B3"/>
    <w:rsid w:val="0041754E"/>
    <w:rsid w:val="00420F67"/>
    <w:rsid w:val="00421B4A"/>
    <w:rsid w:val="0042453A"/>
    <w:rsid w:val="00425CD7"/>
    <w:rsid w:val="00426036"/>
    <w:rsid w:val="00426980"/>
    <w:rsid w:val="00427F4B"/>
    <w:rsid w:val="004304A0"/>
    <w:rsid w:val="00433BB1"/>
    <w:rsid w:val="0043575F"/>
    <w:rsid w:val="00442AF0"/>
    <w:rsid w:val="0044337A"/>
    <w:rsid w:val="004436EE"/>
    <w:rsid w:val="00443877"/>
    <w:rsid w:val="004449F0"/>
    <w:rsid w:val="00445D8C"/>
    <w:rsid w:val="004462CD"/>
    <w:rsid w:val="0046164B"/>
    <w:rsid w:val="004616F9"/>
    <w:rsid w:val="00462AF0"/>
    <w:rsid w:val="00466A4F"/>
    <w:rsid w:val="0047608A"/>
    <w:rsid w:val="00483B54"/>
    <w:rsid w:val="00484065"/>
    <w:rsid w:val="00485105"/>
    <w:rsid w:val="00486A39"/>
    <w:rsid w:val="0048713D"/>
    <w:rsid w:val="00490CB2"/>
    <w:rsid w:val="004913D5"/>
    <w:rsid w:val="004913F1"/>
    <w:rsid w:val="0049600D"/>
    <w:rsid w:val="004A390E"/>
    <w:rsid w:val="004B248F"/>
    <w:rsid w:val="004B57BE"/>
    <w:rsid w:val="004B7B36"/>
    <w:rsid w:val="004C12A9"/>
    <w:rsid w:val="004C58FF"/>
    <w:rsid w:val="004D4F09"/>
    <w:rsid w:val="004E0B61"/>
    <w:rsid w:val="004E3E93"/>
    <w:rsid w:val="004E5920"/>
    <w:rsid w:val="004E62B2"/>
    <w:rsid w:val="004E6A62"/>
    <w:rsid w:val="004F2333"/>
    <w:rsid w:val="004F3331"/>
    <w:rsid w:val="004F5090"/>
    <w:rsid w:val="004F701B"/>
    <w:rsid w:val="00503469"/>
    <w:rsid w:val="00503633"/>
    <w:rsid w:val="0051000B"/>
    <w:rsid w:val="00515815"/>
    <w:rsid w:val="00516873"/>
    <w:rsid w:val="00516DBF"/>
    <w:rsid w:val="00517F2E"/>
    <w:rsid w:val="00520F45"/>
    <w:rsid w:val="00525682"/>
    <w:rsid w:val="00531B74"/>
    <w:rsid w:val="0054741D"/>
    <w:rsid w:val="005533E1"/>
    <w:rsid w:val="00561914"/>
    <w:rsid w:val="00561BDA"/>
    <w:rsid w:val="00561D1E"/>
    <w:rsid w:val="00562A1C"/>
    <w:rsid w:val="00564E3D"/>
    <w:rsid w:val="0056674C"/>
    <w:rsid w:val="005679C1"/>
    <w:rsid w:val="005712E2"/>
    <w:rsid w:val="00571E5D"/>
    <w:rsid w:val="00573141"/>
    <w:rsid w:val="00573525"/>
    <w:rsid w:val="00574C65"/>
    <w:rsid w:val="00577519"/>
    <w:rsid w:val="00583D9E"/>
    <w:rsid w:val="00584A39"/>
    <w:rsid w:val="00584DB6"/>
    <w:rsid w:val="005904FC"/>
    <w:rsid w:val="00591112"/>
    <w:rsid w:val="00591A92"/>
    <w:rsid w:val="0059324C"/>
    <w:rsid w:val="005A2A63"/>
    <w:rsid w:val="005A3DCA"/>
    <w:rsid w:val="005B5F9C"/>
    <w:rsid w:val="005C4CE6"/>
    <w:rsid w:val="005D2327"/>
    <w:rsid w:val="005D2D4C"/>
    <w:rsid w:val="005D559C"/>
    <w:rsid w:val="005D5975"/>
    <w:rsid w:val="005D7F14"/>
    <w:rsid w:val="005E1B0C"/>
    <w:rsid w:val="005E4E3F"/>
    <w:rsid w:val="005E58E1"/>
    <w:rsid w:val="005F5221"/>
    <w:rsid w:val="005F61C0"/>
    <w:rsid w:val="006024E6"/>
    <w:rsid w:val="00604DE1"/>
    <w:rsid w:val="00605CBF"/>
    <w:rsid w:val="00614F7C"/>
    <w:rsid w:val="006154D3"/>
    <w:rsid w:val="006165E6"/>
    <w:rsid w:val="00620FA8"/>
    <w:rsid w:val="00622C2C"/>
    <w:rsid w:val="00625E83"/>
    <w:rsid w:val="00626AF2"/>
    <w:rsid w:val="00627E39"/>
    <w:rsid w:val="00632728"/>
    <w:rsid w:val="00633718"/>
    <w:rsid w:val="0063511A"/>
    <w:rsid w:val="00635D93"/>
    <w:rsid w:val="00636022"/>
    <w:rsid w:val="006370A8"/>
    <w:rsid w:val="006475BD"/>
    <w:rsid w:val="00650FC5"/>
    <w:rsid w:val="006550D0"/>
    <w:rsid w:val="00655820"/>
    <w:rsid w:val="006563A7"/>
    <w:rsid w:val="006616EE"/>
    <w:rsid w:val="00662ECB"/>
    <w:rsid w:val="00663616"/>
    <w:rsid w:val="00663CF7"/>
    <w:rsid w:val="00667C5C"/>
    <w:rsid w:val="00670F0C"/>
    <w:rsid w:val="00671D0E"/>
    <w:rsid w:val="00674CAB"/>
    <w:rsid w:val="00684D65"/>
    <w:rsid w:val="006907B9"/>
    <w:rsid w:val="00690C73"/>
    <w:rsid w:val="0069400A"/>
    <w:rsid w:val="00695C9A"/>
    <w:rsid w:val="00697FDE"/>
    <w:rsid w:val="006A21C7"/>
    <w:rsid w:val="006A2A8F"/>
    <w:rsid w:val="006A3E57"/>
    <w:rsid w:val="006A7F38"/>
    <w:rsid w:val="006B1AB5"/>
    <w:rsid w:val="006C1394"/>
    <w:rsid w:val="006C1DFD"/>
    <w:rsid w:val="006C1EA9"/>
    <w:rsid w:val="006C3F99"/>
    <w:rsid w:val="006C70C5"/>
    <w:rsid w:val="006D0BD2"/>
    <w:rsid w:val="006D493A"/>
    <w:rsid w:val="006E03A1"/>
    <w:rsid w:val="006E7A2E"/>
    <w:rsid w:val="006F257D"/>
    <w:rsid w:val="006F7102"/>
    <w:rsid w:val="00701D98"/>
    <w:rsid w:val="00702CD2"/>
    <w:rsid w:val="007036D9"/>
    <w:rsid w:val="0070402C"/>
    <w:rsid w:val="00707497"/>
    <w:rsid w:val="00707A6B"/>
    <w:rsid w:val="007101E5"/>
    <w:rsid w:val="00710732"/>
    <w:rsid w:val="00711B0C"/>
    <w:rsid w:val="0071212E"/>
    <w:rsid w:val="00720A48"/>
    <w:rsid w:val="00721A91"/>
    <w:rsid w:val="00730A41"/>
    <w:rsid w:val="00732E9F"/>
    <w:rsid w:val="007335B7"/>
    <w:rsid w:val="00733BE9"/>
    <w:rsid w:val="0073468F"/>
    <w:rsid w:val="007358CA"/>
    <w:rsid w:val="00737624"/>
    <w:rsid w:val="00737CCC"/>
    <w:rsid w:val="00737E7B"/>
    <w:rsid w:val="00741225"/>
    <w:rsid w:val="0074454C"/>
    <w:rsid w:val="00752246"/>
    <w:rsid w:val="007528CC"/>
    <w:rsid w:val="00752B29"/>
    <w:rsid w:val="00754057"/>
    <w:rsid w:val="007548F4"/>
    <w:rsid w:val="00764CC0"/>
    <w:rsid w:val="007663E4"/>
    <w:rsid w:val="007663F1"/>
    <w:rsid w:val="00766A0D"/>
    <w:rsid w:val="0077793F"/>
    <w:rsid w:val="007916DC"/>
    <w:rsid w:val="007917B0"/>
    <w:rsid w:val="00791812"/>
    <w:rsid w:val="007972B0"/>
    <w:rsid w:val="007B1E3A"/>
    <w:rsid w:val="007B2085"/>
    <w:rsid w:val="007B681A"/>
    <w:rsid w:val="007C0D38"/>
    <w:rsid w:val="007C1D5A"/>
    <w:rsid w:val="007C305D"/>
    <w:rsid w:val="007C3409"/>
    <w:rsid w:val="007C440F"/>
    <w:rsid w:val="007D0468"/>
    <w:rsid w:val="007D0CEA"/>
    <w:rsid w:val="007D3AB0"/>
    <w:rsid w:val="007D54CA"/>
    <w:rsid w:val="007F0160"/>
    <w:rsid w:val="007F272A"/>
    <w:rsid w:val="007F2DEA"/>
    <w:rsid w:val="007F4BE2"/>
    <w:rsid w:val="00800BC8"/>
    <w:rsid w:val="00802BCC"/>
    <w:rsid w:val="00803C55"/>
    <w:rsid w:val="008126E7"/>
    <w:rsid w:val="00813D53"/>
    <w:rsid w:val="00817797"/>
    <w:rsid w:val="008237B5"/>
    <w:rsid w:val="008245EC"/>
    <w:rsid w:val="008248DE"/>
    <w:rsid w:val="00825A76"/>
    <w:rsid w:val="0083017E"/>
    <w:rsid w:val="00833A2E"/>
    <w:rsid w:val="00835404"/>
    <w:rsid w:val="00845F04"/>
    <w:rsid w:val="008463AD"/>
    <w:rsid w:val="00847C57"/>
    <w:rsid w:val="00853002"/>
    <w:rsid w:val="00854171"/>
    <w:rsid w:val="00857BA2"/>
    <w:rsid w:val="008602BD"/>
    <w:rsid w:val="008608E1"/>
    <w:rsid w:val="0086167E"/>
    <w:rsid w:val="0086335A"/>
    <w:rsid w:val="00866CDA"/>
    <w:rsid w:val="00867075"/>
    <w:rsid w:val="00867556"/>
    <w:rsid w:val="008705BC"/>
    <w:rsid w:val="00873D29"/>
    <w:rsid w:val="00875B56"/>
    <w:rsid w:val="008770EF"/>
    <w:rsid w:val="008908BF"/>
    <w:rsid w:val="008A1443"/>
    <w:rsid w:val="008A415F"/>
    <w:rsid w:val="008A68AF"/>
    <w:rsid w:val="008B0058"/>
    <w:rsid w:val="008C23EF"/>
    <w:rsid w:val="008C413F"/>
    <w:rsid w:val="008D322C"/>
    <w:rsid w:val="008D649A"/>
    <w:rsid w:val="008E00E3"/>
    <w:rsid w:val="008E00EC"/>
    <w:rsid w:val="008E038B"/>
    <w:rsid w:val="008E2DBC"/>
    <w:rsid w:val="008E3316"/>
    <w:rsid w:val="008E3EB4"/>
    <w:rsid w:val="008F5577"/>
    <w:rsid w:val="00901CB8"/>
    <w:rsid w:val="009043CE"/>
    <w:rsid w:val="009049E1"/>
    <w:rsid w:val="00904A2B"/>
    <w:rsid w:val="00904E01"/>
    <w:rsid w:val="009109D8"/>
    <w:rsid w:val="00910ACE"/>
    <w:rsid w:val="009128AB"/>
    <w:rsid w:val="00913F56"/>
    <w:rsid w:val="00915E92"/>
    <w:rsid w:val="0092155D"/>
    <w:rsid w:val="00921EA6"/>
    <w:rsid w:val="00924FBA"/>
    <w:rsid w:val="00930EED"/>
    <w:rsid w:val="00934F5A"/>
    <w:rsid w:val="009468C0"/>
    <w:rsid w:val="00952DFD"/>
    <w:rsid w:val="00956E6D"/>
    <w:rsid w:val="0095712A"/>
    <w:rsid w:val="0096071D"/>
    <w:rsid w:val="009657BD"/>
    <w:rsid w:val="0096799D"/>
    <w:rsid w:val="00972555"/>
    <w:rsid w:val="00974B9E"/>
    <w:rsid w:val="00974EA1"/>
    <w:rsid w:val="009759FA"/>
    <w:rsid w:val="0097738E"/>
    <w:rsid w:val="009816CC"/>
    <w:rsid w:val="00982D8A"/>
    <w:rsid w:val="0098588A"/>
    <w:rsid w:val="009A03CD"/>
    <w:rsid w:val="009A1975"/>
    <w:rsid w:val="009A19ED"/>
    <w:rsid w:val="009A27B6"/>
    <w:rsid w:val="009A3DEF"/>
    <w:rsid w:val="009A5F69"/>
    <w:rsid w:val="009B09A5"/>
    <w:rsid w:val="009C0F76"/>
    <w:rsid w:val="009C17AA"/>
    <w:rsid w:val="009C1A62"/>
    <w:rsid w:val="009C3271"/>
    <w:rsid w:val="009C3DF5"/>
    <w:rsid w:val="009D3B4F"/>
    <w:rsid w:val="009E1575"/>
    <w:rsid w:val="009E1B36"/>
    <w:rsid w:val="009E283D"/>
    <w:rsid w:val="009E30FC"/>
    <w:rsid w:val="009E5283"/>
    <w:rsid w:val="009E6C29"/>
    <w:rsid w:val="009F0034"/>
    <w:rsid w:val="009F08E0"/>
    <w:rsid w:val="009F36E6"/>
    <w:rsid w:val="009F45C4"/>
    <w:rsid w:val="009F6919"/>
    <w:rsid w:val="009F7E8D"/>
    <w:rsid w:val="00A0316A"/>
    <w:rsid w:val="00A03CA5"/>
    <w:rsid w:val="00A10C49"/>
    <w:rsid w:val="00A1128C"/>
    <w:rsid w:val="00A15052"/>
    <w:rsid w:val="00A25E1D"/>
    <w:rsid w:val="00A262ED"/>
    <w:rsid w:val="00A2742A"/>
    <w:rsid w:val="00A277D1"/>
    <w:rsid w:val="00A40CBF"/>
    <w:rsid w:val="00A4393F"/>
    <w:rsid w:val="00A4467D"/>
    <w:rsid w:val="00A503B9"/>
    <w:rsid w:val="00A57F1E"/>
    <w:rsid w:val="00A6428A"/>
    <w:rsid w:val="00A656B4"/>
    <w:rsid w:val="00A67BEB"/>
    <w:rsid w:val="00A762A8"/>
    <w:rsid w:val="00A76DF0"/>
    <w:rsid w:val="00A8228E"/>
    <w:rsid w:val="00A85757"/>
    <w:rsid w:val="00A85AC3"/>
    <w:rsid w:val="00A90C4A"/>
    <w:rsid w:val="00A922C6"/>
    <w:rsid w:val="00A95AA7"/>
    <w:rsid w:val="00AA05F1"/>
    <w:rsid w:val="00AA1B52"/>
    <w:rsid w:val="00AA3513"/>
    <w:rsid w:val="00AA37E5"/>
    <w:rsid w:val="00AA5E6C"/>
    <w:rsid w:val="00AA7EDC"/>
    <w:rsid w:val="00AB65C5"/>
    <w:rsid w:val="00AB665F"/>
    <w:rsid w:val="00AB6F0C"/>
    <w:rsid w:val="00AC5635"/>
    <w:rsid w:val="00AC6DAC"/>
    <w:rsid w:val="00AC78ED"/>
    <w:rsid w:val="00AD05B9"/>
    <w:rsid w:val="00AD3E36"/>
    <w:rsid w:val="00AD7962"/>
    <w:rsid w:val="00AD7A6C"/>
    <w:rsid w:val="00AE42F5"/>
    <w:rsid w:val="00AE4887"/>
    <w:rsid w:val="00AE7A91"/>
    <w:rsid w:val="00AF031E"/>
    <w:rsid w:val="00AF03BD"/>
    <w:rsid w:val="00AF20DE"/>
    <w:rsid w:val="00AF4A3E"/>
    <w:rsid w:val="00AF7A73"/>
    <w:rsid w:val="00B01CCF"/>
    <w:rsid w:val="00B02D56"/>
    <w:rsid w:val="00B0458B"/>
    <w:rsid w:val="00B0536A"/>
    <w:rsid w:val="00B11587"/>
    <w:rsid w:val="00B15547"/>
    <w:rsid w:val="00B16C23"/>
    <w:rsid w:val="00B213EB"/>
    <w:rsid w:val="00B22377"/>
    <w:rsid w:val="00B2321C"/>
    <w:rsid w:val="00B2322C"/>
    <w:rsid w:val="00B23B15"/>
    <w:rsid w:val="00B255EA"/>
    <w:rsid w:val="00B37B0B"/>
    <w:rsid w:val="00B442AB"/>
    <w:rsid w:val="00B52BF0"/>
    <w:rsid w:val="00B53820"/>
    <w:rsid w:val="00B544ED"/>
    <w:rsid w:val="00B61D1E"/>
    <w:rsid w:val="00B64037"/>
    <w:rsid w:val="00B70305"/>
    <w:rsid w:val="00B76151"/>
    <w:rsid w:val="00B80256"/>
    <w:rsid w:val="00B825BD"/>
    <w:rsid w:val="00B82F76"/>
    <w:rsid w:val="00B84203"/>
    <w:rsid w:val="00B85769"/>
    <w:rsid w:val="00B87B1F"/>
    <w:rsid w:val="00B90F89"/>
    <w:rsid w:val="00B92D05"/>
    <w:rsid w:val="00B93ECF"/>
    <w:rsid w:val="00B973A0"/>
    <w:rsid w:val="00BA4684"/>
    <w:rsid w:val="00BA6A79"/>
    <w:rsid w:val="00BB0803"/>
    <w:rsid w:val="00BB21FD"/>
    <w:rsid w:val="00BB3C43"/>
    <w:rsid w:val="00BB5EBC"/>
    <w:rsid w:val="00BB6B8D"/>
    <w:rsid w:val="00BC2263"/>
    <w:rsid w:val="00BC6090"/>
    <w:rsid w:val="00BD087B"/>
    <w:rsid w:val="00BD12E2"/>
    <w:rsid w:val="00BD5E7A"/>
    <w:rsid w:val="00BD6F07"/>
    <w:rsid w:val="00BE0B40"/>
    <w:rsid w:val="00BE123F"/>
    <w:rsid w:val="00BE15EE"/>
    <w:rsid w:val="00BE317F"/>
    <w:rsid w:val="00BE3ACD"/>
    <w:rsid w:val="00BE3D4C"/>
    <w:rsid w:val="00BE3E4E"/>
    <w:rsid w:val="00BE54A8"/>
    <w:rsid w:val="00BE5696"/>
    <w:rsid w:val="00BE63AF"/>
    <w:rsid w:val="00BE6AA9"/>
    <w:rsid w:val="00BF35EC"/>
    <w:rsid w:val="00BF6028"/>
    <w:rsid w:val="00C03BEC"/>
    <w:rsid w:val="00C03F8D"/>
    <w:rsid w:val="00C05B58"/>
    <w:rsid w:val="00C05BE3"/>
    <w:rsid w:val="00C13DB1"/>
    <w:rsid w:val="00C17359"/>
    <w:rsid w:val="00C20C8E"/>
    <w:rsid w:val="00C22F0C"/>
    <w:rsid w:val="00C233D1"/>
    <w:rsid w:val="00C235DE"/>
    <w:rsid w:val="00C235E5"/>
    <w:rsid w:val="00C27249"/>
    <w:rsid w:val="00C311B5"/>
    <w:rsid w:val="00C33027"/>
    <w:rsid w:val="00C34C1A"/>
    <w:rsid w:val="00C362DF"/>
    <w:rsid w:val="00C37776"/>
    <w:rsid w:val="00C37DD5"/>
    <w:rsid w:val="00C41720"/>
    <w:rsid w:val="00C43263"/>
    <w:rsid w:val="00C43382"/>
    <w:rsid w:val="00C5057E"/>
    <w:rsid w:val="00C51BD0"/>
    <w:rsid w:val="00C54097"/>
    <w:rsid w:val="00C554A1"/>
    <w:rsid w:val="00C56F0D"/>
    <w:rsid w:val="00C60B71"/>
    <w:rsid w:val="00C65E70"/>
    <w:rsid w:val="00C66A65"/>
    <w:rsid w:val="00C74BA4"/>
    <w:rsid w:val="00C7524E"/>
    <w:rsid w:val="00C775F7"/>
    <w:rsid w:val="00C81881"/>
    <w:rsid w:val="00C858F4"/>
    <w:rsid w:val="00C869C3"/>
    <w:rsid w:val="00C93287"/>
    <w:rsid w:val="00C938A6"/>
    <w:rsid w:val="00CA2677"/>
    <w:rsid w:val="00CA3712"/>
    <w:rsid w:val="00CA3D19"/>
    <w:rsid w:val="00CA67BC"/>
    <w:rsid w:val="00CB178E"/>
    <w:rsid w:val="00CB2F6B"/>
    <w:rsid w:val="00CB4D2C"/>
    <w:rsid w:val="00CB7D20"/>
    <w:rsid w:val="00CB7F61"/>
    <w:rsid w:val="00CC2C79"/>
    <w:rsid w:val="00CC421D"/>
    <w:rsid w:val="00CC5E72"/>
    <w:rsid w:val="00CD1BEE"/>
    <w:rsid w:val="00CD4CFF"/>
    <w:rsid w:val="00CE19B6"/>
    <w:rsid w:val="00CE5249"/>
    <w:rsid w:val="00CF00D6"/>
    <w:rsid w:val="00CF1DCC"/>
    <w:rsid w:val="00CF3E8F"/>
    <w:rsid w:val="00CF3EA8"/>
    <w:rsid w:val="00D04164"/>
    <w:rsid w:val="00D13A65"/>
    <w:rsid w:val="00D150F2"/>
    <w:rsid w:val="00D163B7"/>
    <w:rsid w:val="00D1702F"/>
    <w:rsid w:val="00D20F74"/>
    <w:rsid w:val="00D2162A"/>
    <w:rsid w:val="00D22A0C"/>
    <w:rsid w:val="00D32D99"/>
    <w:rsid w:val="00D53643"/>
    <w:rsid w:val="00D72090"/>
    <w:rsid w:val="00D730FC"/>
    <w:rsid w:val="00D75FDB"/>
    <w:rsid w:val="00D77704"/>
    <w:rsid w:val="00D80ED3"/>
    <w:rsid w:val="00D81A41"/>
    <w:rsid w:val="00D8404E"/>
    <w:rsid w:val="00D8578E"/>
    <w:rsid w:val="00D91574"/>
    <w:rsid w:val="00D92179"/>
    <w:rsid w:val="00DA0FE1"/>
    <w:rsid w:val="00DA1A70"/>
    <w:rsid w:val="00DB0D79"/>
    <w:rsid w:val="00DC09FB"/>
    <w:rsid w:val="00DE5390"/>
    <w:rsid w:val="00DE67EB"/>
    <w:rsid w:val="00DF2A09"/>
    <w:rsid w:val="00DF4173"/>
    <w:rsid w:val="00DF4A95"/>
    <w:rsid w:val="00E126B2"/>
    <w:rsid w:val="00E203E2"/>
    <w:rsid w:val="00E21702"/>
    <w:rsid w:val="00E22414"/>
    <w:rsid w:val="00E24C5C"/>
    <w:rsid w:val="00E279BA"/>
    <w:rsid w:val="00E309BC"/>
    <w:rsid w:val="00E36752"/>
    <w:rsid w:val="00E40E73"/>
    <w:rsid w:val="00E55263"/>
    <w:rsid w:val="00E618E1"/>
    <w:rsid w:val="00E63826"/>
    <w:rsid w:val="00E67B5E"/>
    <w:rsid w:val="00E70773"/>
    <w:rsid w:val="00E711AF"/>
    <w:rsid w:val="00E75DA7"/>
    <w:rsid w:val="00E7623F"/>
    <w:rsid w:val="00E804D3"/>
    <w:rsid w:val="00E85370"/>
    <w:rsid w:val="00E972FB"/>
    <w:rsid w:val="00EA48F2"/>
    <w:rsid w:val="00EB3271"/>
    <w:rsid w:val="00EB5120"/>
    <w:rsid w:val="00EB6772"/>
    <w:rsid w:val="00EB7A16"/>
    <w:rsid w:val="00EC048D"/>
    <w:rsid w:val="00EC17A8"/>
    <w:rsid w:val="00EC47A2"/>
    <w:rsid w:val="00EC5946"/>
    <w:rsid w:val="00EC72CE"/>
    <w:rsid w:val="00ED3FA4"/>
    <w:rsid w:val="00EE0EDB"/>
    <w:rsid w:val="00EE2BC6"/>
    <w:rsid w:val="00EE4553"/>
    <w:rsid w:val="00EE6076"/>
    <w:rsid w:val="00EF1943"/>
    <w:rsid w:val="00EF4929"/>
    <w:rsid w:val="00EF5BB8"/>
    <w:rsid w:val="00EF6D85"/>
    <w:rsid w:val="00F0035F"/>
    <w:rsid w:val="00F03F32"/>
    <w:rsid w:val="00F046D5"/>
    <w:rsid w:val="00F068D0"/>
    <w:rsid w:val="00F106E4"/>
    <w:rsid w:val="00F15598"/>
    <w:rsid w:val="00F15A11"/>
    <w:rsid w:val="00F164FF"/>
    <w:rsid w:val="00F20D24"/>
    <w:rsid w:val="00F22142"/>
    <w:rsid w:val="00F22B3E"/>
    <w:rsid w:val="00F26357"/>
    <w:rsid w:val="00F308F7"/>
    <w:rsid w:val="00F32490"/>
    <w:rsid w:val="00F47825"/>
    <w:rsid w:val="00F51DAF"/>
    <w:rsid w:val="00F523FE"/>
    <w:rsid w:val="00F526B2"/>
    <w:rsid w:val="00F617F2"/>
    <w:rsid w:val="00F648CA"/>
    <w:rsid w:val="00F6665E"/>
    <w:rsid w:val="00F675D9"/>
    <w:rsid w:val="00F711AD"/>
    <w:rsid w:val="00F7284D"/>
    <w:rsid w:val="00F728A1"/>
    <w:rsid w:val="00F80890"/>
    <w:rsid w:val="00F81C82"/>
    <w:rsid w:val="00F829FF"/>
    <w:rsid w:val="00F875F6"/>
    <w:rsid w:val="00F9178C"/>
    <w:rsid w:val="00F924AD"/>
    <w:rsid w:val="00F928B3"/>
    <w:rsid w:val="00FA1864"/>
    <w:rsid w:val="00FB3211"/>
    <w:rsid w:val="00FB6021"/>
    <w:rsid w:val="00FC4036"/>
    <w:rsid w:val="00FC419C"/>
    <w:rsid w:val="00FC46AF"/>
    <w:rsid w:val="00FC4F67"/>
    <w:rsid w:val="00FC727D"/>
    <w:rsid w:val="00FD0BB6"/>
    <w:rsid w:val="00FD0F9C"/>
    <w:rsid w:val="00FD131C"/>
    <w:rsid w:val="00FD1A19"/>
    <w:rsid w:val="00FD2776"/>
    <w:rsid w:val="00FD2FA7"/>
    <w:rsid w:val="00FD3BB4"/>
    <w:rsid w:val="00FE25CA"/>
    <w:rsid w:val="00FE2722"/>
    <w:rsid w:val="00FE5D05"/>
    <w:rsid w:val="00FF63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009770C-E7B1-4666-B3A6-FA76E54D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rsid w:val="00F80890"/>
    <w:pPr>
      <w:keepNext/>
      <w:tabs>
        <w:tab w:val="left" w:pos="397"/>
      </w:tabs>
      <w:spacing w:before="240" w:after="60" w:line="240" w:lineRule="auto"/>
      <w:jc w:val="both"/>
      <w:outlineLvl w:val="0"/>
    </w:pPr>
    <w:rPr>
      <w:rFonts w:ascii="Arial" w:eastAsia="Times New Roman" w:hAnsi="Arial" w:cs="Times New Roman"/>
      <w:b/>
      <w:kern w:val="28"/>
      <w:sz w:val="28"/>
      <w:szCs w:val="20"/>
    </w:rPr>
  </w:style>
  <w:style w:type="paragraph" w:styleId="Heading2">
    <w:name w:val="heading 2"/>
    <w:basedOn w:val="Normal"/>
    <w:next w:val="Normal"/>
    <w:link w:val="Heading2Char"/>
    <w:rsid w:val="00F80890"/>
    <w:pPr>
      <w:keepNext/>
      <w:tabs>
        <w:tab w:val="left" w:pos="397"/>
      </w:tabs>
      <w:spacing w:before="120" w:after="120" w:line="240" w:lineRule="auto"/>
      <w:ind w:right="-766"/>
      <w:jc w:val="right"/>
      <w:outlineLvl w:val="1"/>
    </w:pPr>
    <w:rPr>
      <w:rFonts w:ascii="Times New Roman" w:eastAsia="Times New Roman" w:hAnsi="Times New Roman" w:cs="Times New Roman"/>
      <w:b/>
      <w:sz w:val="40"/>
      <w:szCs w:val="20"/>
    </w:rPr>
  </w:style>
  <w:style w:type="paragraph" w:styleId="Heading3">
    <w:name w:val="heading 3"/>
    <w:basedOn w:val="Normal"/>
    <w:next w:val="Normal"/>
    <w:link w:val="Heading3Char"/>
    <w:rsid w:val="00F80890"/>
    <w:pPr>
      <w:keepNext/>
      <w:tabs>
        <w:tab w:val="left" w:pos="397"/>
      </w:tabs>
      <w:spacing w:after="0" w:line="240" w:lineRule="auto"/>
      <w:ind w:right="-766"/>
      <w:jc w:val="right"/>
      <w:outlineLvl w:val="2"/>
    </w:pPr>
    <w:rPr>
      <w:rFonts w:ascii="Times New Roman" w:eastAsia="Times New Roman" w:hAnsi="Times New Roman" w:cs="Times New Roman"/>
      <w:b/>
      <w:sz w:val="32"/>
      <w:szCs w:val="20"/>
    </w:rPr>
  </w:style>
  <w:style w:type="paragraph" w:styleId="Heading4">
    <w:name w:val="heading 4"/>
    <w:basedOn w:val="Normal"/>
    <w:next w:val="Normal"/>
    <w:link w:val="Heading4Char"/>
    <w:rsid w:val="00F80890"/>
    <w:pPr>
      <w:keepNext/>
      <w:tabs>
        <w:tab w:val="left" w:pos="397"/>
      </w:tabs>
      <w:spacing w:after="0" w:line="240" w:lineRule="auto"/>
      <w:ind w:left="176"/>
      <w:jc w:val="both"/>
      <w:outlineLvl w:val="3"/>
    </w:pPr>
    <w:rPr>
      <w:rFonts w:ascii="Times New Roman" w:eastAsia="Times New Roman" w:hAnsi="Times New Roman" w:cs="Times New Roman"/>
      <w:i/>
      <w:sz w:val="24"/>
      <w:szCs w:val="20"/>
      <w:lang w:val="en-US"/>
    </w:rPr>
  </w:style>
  <w:style w:type="paragraph" w:styleId="Heading5">
    <w:name w:val="heading 5"/>
    <w:basedOn w:val="Normal"/>
    <w:next w:val="Normal"/>
    <w:link w:val="Heading5Char"/>
    <w:rsid w:val="00F80890"/>
    <w:pPr>
      <w:keepNext/>
      <w:tabs>
        <w:tab w:val="left" w:pos="397"/>
      </w:tabs>
      <w:spacing w:after="0" w:line="240" w:lineRule="auto"/>
      <w:ind w:left="176"/>
      <w:outlineLvl w:val="4"/>
    </w:pPr>
    <w:rPr>
      <w:rFonts w:ascii="Times New Roman" w:eastAsia="Times New Roman" w:hAnsi="Times New Roman" w:cs="Times New Roman"/>
      <w:i/>
      <w:sz w:val="20"/>
      <w:szCs w:val="20"/>
      <w:lang w:val="en-US"/>
    </w:rPr>
  </w:style>
  <w:style w:type="paragraph" w:styleId="Heading6">
    <w:name w:val="heading 6"/>
    <w:basedOn w:val="Normal"/>
    <w:next w:val="Normal"/>
    <w:link w:val="Heading6Char"/>
    <w:rsid w:val="00F80890"/>
    <w:pPr>
      <w:keepNext/>
      <w:tabs>
        <w:tab w:val="left" w:pos="397"/>
      </w:tabs>
      <w:spacing w:after="120" w:line="240" w:lineRule="auto"/>
      <w:ind w:left="176"/>
      <w:outlineLvl w:val="5"/>
    </w:pPr>
    <w:rPr>
      <w:rFonts w:ascii="Times New Roman" w:eastAsia="Times New Roman" w:hAnsi="Times New Roman" w:cs="Times New Roman"/>
      <w:i/>
      <w:sz w:val="24"/>
      <w:szCs w:val="20"/>
      <w:lang w:val="en-US"/>
    </w:rPr>
  </w:style>
  <w:style w:type="paragraph" w:styleId="Heading7">
    <w:name w:val="heading 7"/>
    <w:basedOn w:val="Normal"/>
    <w:next w:val="Normal"/>
    <w:link w:val="Heading7Char"/>
    <w:rsid w:val="00F80890"/>
    <w:pPr>
      <w:keepNext/>
      <w:spacing w:before="120" w:after="0" w:line="240" w:lineRule="auto"/>
      <w:ind w:left="176"/>
      <w:outlineLvl w:val="6"/>
    </w:pPr>
    <w:rPr>
      <w:rFonts w:ascii="Times New Roman" w:eastAsia="Times New Roman" w:hAnsi="Times New Roman" w:cs="Times New Roman"/>
      <w:i/>
      <w:sz w:val="18"/>
      <w:szCs w:val="20"/>
    </w:rPr>
  </w:style>
  <w:style w:type="paragraph" w:styleId="Heading8">
    <w:name w:val="heading 8"/>
    <w:basedOn w:val="Normal"/>
    <w:next w:val="Normal"/>
    <w:link w:val="Heading8Char"/>
    <w:rsid w:val="00F80890"/>
    <w:pPr>
      <w:keepNext/>
      <w:tabs>
        <w:tab w:val="left" w:pos="397"/>
      </w:tabs>
      <w:spacing w:after="0" w:line="240" w:lineRule="auto"/>
      <w:jc w:val="right"/>
      <w:outlineLvl w:val="7"/>
    </w:pPr>
    <w:rPr>
      <w:rFonts w:ascii="Times New Roman" w:eastAsia="Times New Roman" w:hAnsi="Times New Roman" w:cs="Times New Roman"/>
      <w:b/>
      <w:bCs/>
      <w:sz w:val="36"/>
      <w:szCs w:val="20"/>
    </w:rPr>
  </w:style>
  <w:style w:type="paragraph" w:styleId="Heading9">
    <w:name w:val="heading 9"/>
    <w:basedOn w:val="Normal"/>
    <w:next w:val="Normal"/>
    <w:link w:val="Heading9Char"/>
    <w:rsid w:val="00F80890"/>
    <w:pPr>
      <w:keepNext/>
      <w:tabs>
        <w:tab w:val="left" w:pos="397"/>
      </w:tabs>
      <w:spacing w:after="0" w:line="240" w:lineRule="auto"/>
      <w:jc w:val="right"/>
      <w:outlineLvl w:val="8"/>
    </w:pPr>
    <w:rPr>
      <w:rFonts w:ascii="Times New Roman" w:eastAsia="Times New Roman" w:hAnsi="Times New Roman" w:cs="Times New Roman"/>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D4F20"/>
    <w:pPr>
      <w:spacing w:after="0" w:line="240" w:lineRule="auto"/>
    </w:pPr>
    <w:rPr>
      <w:rFonts w:ascii="Tahoma" w:hAnsi="Tahoma" w:cs="Tahoma"/>
      <w:sz w:val="16"/>
      <w:szCs w:val="16"/>
    </w:rPr>
  </w:style>
  <w:style w:type="paragraph" w:customStyle="1" w:styleId="MJAheading1">
    <w:name w:val="MJA heading 1"/>
    <w:basedOn w:val="MJAnormal"/>
    <w:next w:val="MJAnormal"/>
    <w:link w:val="MJAheading1Char"/>
    <w:rsid w:val="002C25EC"/>
    <w:pPr>
      <w:numPr>
        <w:numId w:val="1"/>
      </w:numPr>
      <w:pBdr>
        <w:bottom w:val="single" w:sz="18" w:space="1" w:color="0093D0"/>
      </w:pBdr>
      <w:tabs>
        <w:tab w:val="left" w:pos="425"/>
        <w:tab w:val="left" w:pos="709"/>
      </w:tabs>
      <w:spacing w:before="0" w:after="360" w:line="240" w:lineRule="auto"/>
    </w:pPr>
    <w:rPr>
      <w:rFonts w:ascii="Corbel" w:hAnsi="Corbel"/>
      <w:color w:val="0093D0"/>
      <w:sz w:val="44"/>
    </w:rPr>
  </w:style>
  <w:style w:type="paragraph" w:customStyle="1" w:styleId="MJAheading2">
    <w:name w:val="MJA heading 2"/>
    <w:basedOn w:val="Normal"/>
    <w:next w:val="MJAnormal"/>
    <w:qFormat/>
    <w:rsid w:val="00061E10"/>
    <w:pPr>
      <w:keepNext/>
      <w:keepLines/>
      <w:numPr>
        <w:ilvl w:val="1"/>
        <w:numId w:val="1"/>
      </w:numPr>
      <w:tabs>
        <w:tab w:val="left" w:pos="709"/>
      </w:tabs>
      <w:spacing w:before="360" w:after="240" w:line="240" w:lineRule="auto"/>
      <w:outlineLvl w:val="1"/>
    </w:pPr>
    <w:rPr>
      <w:rFonts w:ascii="Corbel" w:hAnsi="Corbel"/>
      <w:color w:val="0093D0"/>
      <w:sz w:val="32"/>
    </w:rPr>
  </w:style>
  <w:style w:type="paragraph" w:customStyle="1" w:styleId="MJAheading3">
    <w:name w:val="MJA heading 3"/>
    <w:basedOn w:val="MJAnormal"/>
    <w:next w:val="MJAnormal"/>
    <w:qFormat/>
    <w:rsid w:val="002C25EC"/>
    <w:pPr>
      <w:keepNext/>
      <w:keepLines/>
      <w:numPr>
        <w:ilvl w:val="2"/>
        <w:numId w:val="1"/>
      </w:numPr>
      <w:tabs>
        <w:tab w:val="left" w:pos="709"/>
      </w:tabs>
      <w:spacing w:before="360" w:line="240" w:lineRule="auto"/>
    </w:pPr>
    <w:rPr>
      <w:rFonts w:ascii="Corbel" w:hAnsi="Corbel"/>
      <w:color w:val="0093D0"/>
      <w:sz w:val="24"/>
    </w:rPr>
  </w:style>
  <w:style w:type="paragraph" w:customStyle="1" w:styleId="MJATableRow">
    <w:name w:val="MJA Table Row"/>
    <w:basedOn w:val="Normal"/>
    <w:qFormat/>
    <w:rsid w:val="00F728A1"/>
    <w:pPr>
      <w:spacing w:before="60" w:after="60" w:line="240" w:lineRule="auto"/>
    </w:pPr>
    <w:rPr>
      <w:rFonts w:ascii="Calibri" w:hAnsi="Calibri"/>
      <w:sz w:val="20"/>
    </w:rPr>
  </w:style>
  <w:style w:type="paragraph" w:customStyle="1" w:styleId="MJAsource">
    <w:name w:val="MJA source"/>
    <w:basedOn w:val="Normal"/>
    <w:next w:val="BalloonText"/>
    <w:qFormat/>
    <w:rsid w:val="00426980"/>
    <w:pPr>
      <w:spacing w:before="120" w:after="120" w:line="240" w:lineRule="auto"/>
    </w:pPr>
    <w:rPr>
      <w:rFonts w:ascii="Calibri" w:hAnsi="Calibri"/>
      <w:i/>
      <w:sz w:val="18"/>
    </w:rPr>
  </w:style>
  <w:style w:type="paragraph" w:styleId="Caption">
    <w:name w:val="caption"/>
    <w:basedOn w:val="Normal"/>
    <w:next w:val="Normal"/>
    <w:unhideWhenUsed/>
    <w:qFormat/>
    <w:rsid w:val="008C23EF"/>
    <w:pPr>
      <w:keepNext/>
      <w:spacing w:before="120" w:after="120" w:line="240" w:lineRule="auto"/>
    </w:pPr>
    <w:rPr>
      <w:rFonts w:ascii="Calibri" w:hAnsi="Calibri"/>
      <w:b/>
      <w:bCs/>
      <w:sz w:val="20"/>
      <w:szCs w:val="18"/>
    </w:rPr>
  </w:style>
  <w:style w:type="paragraph" w:styleId="NoSpacing">
    <w:name w:val="No Spacing"/>
    <w:uiPriority w:val="1"/>
    <w:rsid w:val="00FC4036"/>
    <w:pPr>
      <w:spacing w:after="0" w:line="240" w:lineRule="auto"/>
    </w:pPr>
  </w:style>
  <w:style w:type="table" w:styleId="TableGrid">
    <w:name w:val="Table Grid"/>
    <w:basedOn w:val="TableNormal"/>
    <w:uiPriority w:val="59"/>
    <w:rsid w:val="00F80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80890"/>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F80890"/>
    <w:rPr>
      <w:rFonts w:ascii="Times New Roman" w:eastAsia="Times New Roman" w:hAnsi="Times New Roman" w:cs="Times New Roman"/>
      <w:b/>
      <w:sz w:val="40"/>
      <w:szCs w:val="20"/>
    </w:rPr>
  </w:style>
  <w:style w:type="character" w:customStyle="1" w:styleId="Heading3Char">
    <w:name w:val="Heading 3 Char"/>
    <w:basedOn w:val="DefaultParagraphFont"/>
    <w:link w:val="Heading3"/>
    <w:rsid w:val="00F80890"/>
    <w:rPr>
      <w:rFonts w:ascii="Times New Roman" w:eastAsia="Times New Roman" w:hAnsi="Times New Roman" w:cs="Times New Roman"/>
      <w:b/>
      <w:sz w:val="32"/>
      <w:szCs w:val="20"/>
    </w:rPr>
  </w:style>
  <w:style w:type="character" w:customStyle="1" w:styleId="Heading4Char">
    <w:name w:val="Heading 4 Char"/>
    <w:basedOn w:val="DefaultParagraphFont"/>
    <w:link w:val="Heading4"/>
    <w:rsid w:val="00F80890"/>
    <w:rPr>
      <w:rFonts w:ascii="Times New Roman" w:eastAsia="Times New Roman" w:hAnsi="Times New Roman" w:cs="Times New Roman"/>
      <w:i/>
      <w:sz w:val="24"/>
      <w:szCs w:val="20"/>
      <w:lang w:val="en-US"/>
    </w:rPr>
  </w:style>
  <w:style w:type="character" w:customStyle="1" w:styleId="Heading5Char">
    <w:name w:val="Heading 5 Char"/>
    <w:basedOn w:val="DefaultParagraphFont"/>
    <w:link w:val="Heading5"/>
    <w:rsid w:val="00F80890"/>
    <w:rPr>
      <w:rFonts w:ascii="Times New Roman" w:eastAsia="Times New Roman" w:hAnsi="Times New Roman" w:cs="Times New Roman"/>
      <w:i/>
      <w:sz w:val="20"/>
      <w:szCs w:val="20"/>
      <w:lang w:val="en-US"/>
    </w:rPr>
  </w:style>
  <w:style w:type="character" w:customStyle="1" w:styleId="Heading6Char">
    <w:name w:val="Heading 6 Char"/>
    <w:basedOn w:val="DefaultParagraphFont"/>
    <w:link w:val="Heading6"/>
    <w:rsid w:val="00F80890"/>
    <w:rPr>
      <w:rFonts w:ascii="Times New Roman" w:eastAsia="Times New Roman" w:hAnsi="Times New Roman" w:cs="Times New Roman"/>
      <w:i/>
      <w:sz w:val="24"/>
      <w:szCs w:val="20"/>
      <w:lang w:val="en-US"/>
    </w:rPr>
  </w:style>
  <w:style w:type="character" w:customStyle="1" w:styleId="Heading7Char">
    <w:name w:val="Heading 7 Char"/>
    <w:basedOn w:val="DefaultParagraphFont"/>
    <w:link w:val="Heading7"/>
    <w:rsid w:val="00F80890"/>
    <w:rPr>
      <w:rFonts w:ascii="Times New Roman" w:eastAsia="Times New Roman" w:hAnsi="Times New Roman" w:cs="Times New Roman"/>
      <w:i/>
      <w:sz w:val="18"/>
      <w:szCs w:val="20"/>
    </w:rPr>
  </w:style>
  <w:style w:type="character" w:customStyle="1" w:styleId="Heading8Char">
    <w:name w:val="Heading 8 Char"/>
    <w:basedOn w:val="DefaultParagraphFont"/>
    <w:link w:val="Heading8"/>
    <w:rsid w:val="00F80890"/>
    <w:rPr>
      <w:rFonts w:ascii="Times New Roman" w:eastAsia="Times New Roman" w:hAnsi="Times New Roman" w:cs="Times New Roman"/>
      <w:b/>
      <w:bCs/>
      <w:sz w:val="36"/>
      <w:szCs w:val="20"/>
    </w:rPr>
  </w:style>
  <w:style w:type="character" w:customStyle="1" w:styleId="Heading9Char">
    <w:name w:val="Heading 9 Char"/>
    <w:basedOn w:val="DefaultParagraphFont"/>
    <w:link w:val="Heading9"/>
    <w:rsid w:val="00F80890"/>
    <w:rPr>
      <w:rFonts w:ascii="Times New Roman" w:eastAsia="Times New Roman" w:hAnsi="Times New Roman" w:cs="Times New Roman"/>
      <w:b/>
      <w:bCs/>
      <w:sz w:val="32"/>
      <w:szCs w:val="20"/>
    </w:rPr>
  </w:style>
  <w:style w:type="paragraph" w:customStyle="1" w:styleId="MJAESheading">
    <w:name w:val="MJA ES heading"/>
    <w:basedOn w:val="MJAnormal"/>
    <w:next w:val="MJAnormal"/>
    <w:qFormat/>
    <w:rsid w:val="0069400A"/>
    <w:pPr>
      <w:tabs>
        <w:tab w:val="left" w:pos="425"/>
      </w:tabs>
      <w:spacing w:before="360" w:after="240" w:line="240" w:lineRule="auto"/>
      <w:ind w:left="425" w:hanging="425"/>
    </w:pPr>
    <w:rPr>
      <w:rFonts w:ascii="Corbel" w:hAnsi="Corbel"/>
      <w:color w:val="0093D0"/>
      <w:sz w:val="32"/>
    </w:rPr>
  </w:style>
  <w:style w:type="character" w:styleId="PageNumber">
    <w:name w:val="page number"/>
    <w:basedOn w:val="DefaultParagraphFont"/>
    <w:rsid w:val="00F80890"/>
  </w:style>
  <w:style w:type="paragraph" w:customStyle="1" w:styleId="MJAbulletnormal">
    <w:name w:val="MJA bullet normal"/>
    <w:basedOn w:val="Normal"/>
    <w:link w:val="MJAbulletnormalCharChar"/>
    <w:qFormat/>
    <w:rsid w:val="00D8578E"/>
    <w:pPr>
      <w:numPr>
        <w:numId w:val="2"/>
      </w:numPr>
      <w:tabs>
        <w:tab w:val="left" w:pos="567"/>
      </w:tabs>
      <w:spacing w:before="120" w:after="120" w:line="280" w:lineRule="atLeast"/>
      <w:ind w:left="357" w:hanging="357"/>
    </w:pPr>
    <w:rPr>
      <w:rFonts w:ascii="Times New Roman" w:eastAsia="Times New Roman" w:hAnsi="Times New Roman" w:cs="Times New Roman"/>
    </w:rPr>
  </w:style>
  <w:style w:type="paragraph" w:styleId="TOC1">
    <w:name w:val="toc 1"/>
    <w:basedOn w:val="Normal"/>
    <w:next w:val="Normal"/>
    <w:uiPriority w:val="39"/>
    <w:rsid w:val="009C3271"/>
    <w:pPr>
      <w:tabs>
        <w:tab w:val="right" w:leader="dot" w:pos="426"/>
        <w:tab w:val="right" w:leader="dot" w:pos="8222"/>
      </w:tabs>
      <w:spacing w:before="240" w:after="0" w:line="240" w:lineRule="auto"/>
      <w:ind w:left="425" w:hanging="425"/>
      <w:jc w:val="both"/>
    </w:pPr>
    <w:rPr>
      <w:rFonts w:ascii="Corbel" w:eastAsia="Times New Roman" w:hAnsi="Corbel" w:cs="Times New Roman"/>
      <w:b/>
      <w:noProof/>
      <w:sz w:val="20"/>
      <w:szCs w:val="20"/>
    </w:rPr>
  </w:style>
  <w:style w:type="paragraph" w:styleId="TOC2">
    <w:name w:val="toc 2"/>
    <w:basedOn w:val="Normal"/>
    <w:next w:val="Normal"/>
    <w:uiPriority w:val="39"/>
    <w:rsid w:val="009C3271"/>
    <w:pPr>
      <w:tabs>
        <w:tab w:val="left" w:pos="992"/>
        <w:tab w:val="right" w:leader="dot" w:pos="8222"/>
      </w:tabs>
      <w:spacing w:before="60" w:after="0" w:line="240" w:lineRule="auto"/>
      <w:ind w:left="1417" w:hanging="992"/>
    </w:pPr>
    <w:rPr>
      <w:rFonts w:ascii="Corbel" w:eastAsia="Times New Roman" w:hAnsi="Corbel" w:cs="Times New Roman"/>
      <w:noProof/>
      <w:sz w:val="18"/>
      <w:szCs w:val="20"/>
    </w:rPr>
  </w:style>
  <w:style w:type="paragraph" w:styleId="TOC3">
    <w:name w:val="toc 3"/>
    <w:basedOn w:val="Normal"/>
    <w:next w:val="Normal"/>
    <w:uiPriority w:val="39"/>
    <w:rsid w:val="00F80890"/>
    <w:pPr>
      <w:tabs>
        <w:tab w:val="left" w:leader="dot" w:pos="1418"/>
        <w:tab w:val="right" w:leader="dot" w:pos="8222"/>
      </w:tabs>
      <w:spacing w:after="0" w:line="240" w:lineRule="auto"/>
      <w:ind w:left="851"/>
      <w:jc w:val="both"/>
    </w:pPr>
    <w:rPr>
      <w:rFonts w:ascii="Arial" w:eastAsia="Times New Roman" w:hAnsi="Arial" w:cs="Times New Roman"/>
      <w:noProof/>
      <w:sz w:val="18"/>
      <w:szCs w:val="20"/>
    </w:rPr>
  </w:style>
  <w:style w:type="character" w:styleId="FootnoteReference">
    <w:name w:val="footnote reference"/>
    <w:basedOn w:val="DefaultParagraphFont"/>
    <w:semiHidden/>
    <w:rsid w:val="00F80890"/>
    <w:rPr>
      <w:vertAlign w:val="superscript"/>
    </w:rPr>
  </w:style>
  <w:style w:type="paragraph" w:customStyle="1" w:styleId="MJAitalicsheading">
    <w:name w:val="MJA italics heading"/>
    <w:basedOn w:val="MJAnormal"/>
    <w:next w:val="MJAnormal"/>
    <w:qFormat/>
    <w:rsid w:val="008C23EF"/>
    <w:pPr>
      <w:keepNext/>
      <w:keepLines/>
      <w:tabs>
        <w:tab w:val="left" w:pos="397"/>
      </w:tabs>
      <w:spacing w:before="240" w:line="240" w:lineRule="auto"/>
      <w:jc w:val="both"/>
    </w:pPr>
    <w:rPr>
      <w:i/>
    </w:rPr>
  </w:style>
  <w:style w:type="paragraph" w:styleId="FootnoteText">
    <w:name w:val="footnote text"/>
    <w:basedOn w:val="Normal"/>
    <w:link w:val="FootnoteTextChar"/>
    <w:semiHidden/>
    <w:rsid w:val="00F80890"/>
    <w:pPr>
      <w:tabs>
        <w:tab w:val="left" w:pos="397"/>
      </w:tabs>
      <w:spacing w:after="120" w:line="240" w:lineRule="auto"/>
      <w:ind w:left="397" w:hanging="397"/>
      <w:jc w:val="both"/>
    </w:pPr>
    <w:rPr>
      <w:rFonts w:ascii="Times New Roman" w:eastAsia="Times New Roman" w:hAnsi="Times New Roman" w:cs="Times New Roman"/>
      <w:sz w:val="18"/>
      <w:szCs w:val="18"/>
    </w:rPr>
  </w:style>
  <w:style w:type="character" w:customStyle="1" w:styleId="FootnoteTextChar">
    <w:name w:val="Footnote Text Char"/>
    <w:basedOn w:val="DefaultParagraphFont"/>
    <w:link w:val="FootnoteText"/>
    <w:semiHidden/>
    <w:rsid w:val="00F80890"/>
    <w:rPr>
      <w:rFonts w:ascii="Times New Roman" w:eastAsia="Times New Roman" w:hAnsi="Times New Roman" w:cs="Times New Roman"/>
      <w:sz w:val="18"/>
      <w:szCs w:val="18"/>
    </w:rPr>
  </w:style>
  <w:style w:type="paragraph" w:customStyle="1" w:styleId="MJAquote">
    <w:name w:val="MJA quote"/>
    <w:basedOn w:val="Normal"/>
    <w:next w:val="MJAnormal"/>
    <w:qFormat/>
    <w:rsid w:val="003F64C9"/>
    <w:pPr>
      <w:tabs>
        <w:tab w:val="left" w:pos="397"/>
      </w:tabs>
      <w:spacing w:before="120" w:after="120" w:line="280" w:lineRule="atLeast"/>
      <w:ind w:left="567" w:right="567"/>
    </w:pPr>
    <w:rPr>
      <w:rFonts w:ascii="Times New Roman" w:eastAsia="Times New Roman" w:hAnsi="Times New Roman" w:cs="Times New Roman"/>
      <w:i/>
    </w:rPr>
  </w:style>
  <w:style w:type="paragraph" w:customStyle="1" w:styleId="MJAheading4">
    <w:name w:val="MJA heading 4"/>
    <w:basedOn w:val="MJAnormal"/>
    <w:next w:val="MJAnormal"/>
    <w:qFormat/>
    <w:rsid w:val="008C23EF"/>
    <w:pPr>
      <w:keepNext/>
      <w:keepLines/>
      <w:tabs>
        <w:tab w:val="left" w:pos="397"/>
      </w:tabs>
      <w:spacing w:before="360"/>
      <w:jc w:val="both"/>
    </w:pPr>
    <w:rPr>
      <w:rFonts w:ascii="Corbel" w:hAnsi="Corbel"/>
      <w:color w:val="0093D0"/>
      <w:szCs w:val="20"/>
    </w:rPr>
  </w:style>
  <w:style w:type="paragraph" w:styleId="TOC4">
    <w:name w:val="toc 4"/>
    <w:basedOn w:val="Normal"/>
    <w:next w:val="Normal"/>
    <w:autoRedefine/>
    <w:semiHidden/>
    <w:rsid w:val="00F80890"/>
    <w:pPr>
      <w:spacing w:after="0" w:line="240" w:lineRule="auto"/>
      <w:ind w:left="720"/>
      <w:jc w:val="both"/>
    </w:pPr>
    <w:rPr>
      <w:rFonts w:ascii="Times New Roman" w:eastAsia="Times New Roman" w:hAnsi="Times New Roman" w:cs="Times New Roman"/>
      <w:sz w:val="24"/>
      <w:szCs w:val="20"/>
    </w:rPr>
  </w:style>
  <w:style w:type="paragraph" w:styleId="Index1">
    <w:name w:val="index 1"/>
    <w:basedOn w:val="Normal"/>
    <w:next w:val="Normal"/>
    <w:autoRedefine/>
    <w:semiHidden/>
    <w:rsid w:val="00F80890"/>
    <w:pPr>
      <w:spacing w:after="0" w:line="240" w:lineRule="auto"/>
      <w:ind w:left="240" w:hanging="240"/>
      <w:jc w:val="both"/>
    </w:pPr>
    <w:rPr>
      <w:rFonts w:ascii="Times New Roman" w:eastAsia="Times New Roman" w:hAnsi="Times New Roman" w:cs="Times New Roman"/>
      <w:sz w:val="24"/>
      <w:szCs w:val="20"/>
    </w:rPr>
  </w:style>
  <w:style w:type="paragraph" w:styleId="TOC5">
    <w:name w:val="toc 5"/>
    <w:basedOn w:val="Normal"/>
    <w:next w:val="Normal"/>
    <w:autoRedefine/>
    <w:semiHidden/>
    <w:rsid w:val="00F80890"/>
    <w:pPr>
      <w:spacing w:after="0" w:line="240" w:lineRule="auto"/>
      <w:ind w:left="960"/>
      <w:jc w:val="both"/>
    </w:pPr>
    <w:rPr>
      <w:rFonts w:ascii="Times New Roman" w:eastAsia="Times New Roman" w:hAnsi="Times New Roman" w:cs="Times New Roman"/>
      <w:sz w:val="24"/>
      <w:szCs w:val="20"/>
    </w:rPr>
  </w:style>
  <w:style w:type="paragraph" w:styleId="TOC6">
    <w:name w:val="toc 6"/>
    <w:basedOn w:val="Normal"/>
    <w:next w:val="Normal"/>
    <w:autoRedefine/>
    <w:semiHidden/>
    <w:rsid w:val="00F80890"/>
    <w:pPr>
      <w:spacing w:after="0" w:line="240" w:lineRule="auto"/>
      <w:ind w:left="1200"/>
      <w:jc w:val="both"/>
    </w:pPr>
    <w:rPr>
      <w:rFonts w:ascii="Times New Roman" w:eastAsia="Times New Roman" w:hAnsi="Times New Roman" w:cs="Times New Roman"/>
      <w:sz w:val="24"/>
      <w:szCs w:val="20"/>
    </w:rPr>
  </w:style>
  <w:style w:type="paragraph" w:styleId="TOC7">
    <w:name w:val="toc 7"/>
    <w:basedOn w:val="Normal"/>
    <w:next w:val="Normal"/>
    <w:autoRedefine/>
    <w:semiHidden/>
    <w:rsid w:val="00F80890"/>
    <w:pPr>
      <w:spacing w:after="0" w:line="240" w:lineRule="auto"/>
      <w:ind w:left="1440"/>
      <w:jc w:val="both"/>
    </w:pPr>
    <w:rPr>
      <w:rFonts w:ascii="Times New Roman" w:eastAsia="Times New Roman" w:hAnsi="Times New Roman" w:cs="Times New Roman"/>
      <w:sz w:val="24"/>
      <w:szCs w:val="20"/>
    </w:rPr>
  </w:style>
  <w:style w:type="paragraph" w:styleId="TOC8">
    <w:name w:val="toc 8"/>
    <w:basedOn w:val="Normal"/>
    <w:next w:val="Normal"/>
    <w:autoRedefine/>
    <w:semiHidden/>
    <w:rsid w:val="00F80890"/>
    <w:pPr>
      <w:spacing w:after="0" w:line="240" w:lineRule="auto"/>
      <w:ind w:left="1680"/>
      <w:jc w:val="both"/>
    </w:pPr>
    <w:rPr>
      <w:rFonts w:ascii="Times New Roman" w:eastAsia="Times New Roman" w:hAnsi="Times New Roman" w:cs="Times New Roman"/>
      <w:sz w:val="24"/>
      <w:szCs w:val="20"/>
    </w:rPr>
  </w:style>
  <w:style w:type="paragraph" w:styleId="TOC9">
    <w:name w:val="toc 9"/>
    <w:basedOn w:val="Normal"/>
    <w:next w:val="Normal"/>
    <w:autoRedefine/>
    <w:semiHidden/>
    <w:rsid w:val="00F80890"/>
    <w:pPr>
      <w:spacing w:after="0" w:line="240" w:lineRule="auto"/>
      <w:ind w:left="1920"/>
      <w:jc w:val="both"/>
    </w:pPr>
    <w:rPr>
      <w:rFonts w:ascii="Times New Roman" w:eastAsia="Times New Roman" w:hAnsi="Times New Roman" w:cs="Times New Roman"/>
      <w:sz w:val="24"/>
      <w:szCs w:val="20"/>
    </w:rPr>
  </w:style>
  <w:style w:type="character" w:styleId="Hyperlink">
    <w:name w:val="Hyperlink"/>
    <w:basedOn w:val="DefaultParagraphFont"/>
    <w:uiPriority w:val="99"/>
    <w:rsid w:val="00F80890"/>
    <w:rPr>
      <w:color w:val="0000FF"/>
      <w:u w:val="single"/>
    </w:rPr>
  </w:style>
  <w:style w:type="paragraph" w:customStyle="1" w:styleId="MJAbulletsubpara">
    <w:name w:val="MJA bullet sub para"/>
    <w:basedOn w:val="Normal"/>
    <w:next w:val="MJAbulletnormal"/>
    <w:qFormat/>
    <w:rsid w:val="000D4F20"/>
    <w:pPr>
      <w:spacing w:after="120" w:line="280" w:lineRule="atLeast"/>
      <w:ind w:left="397"/>
    </w:pPr>
    <w:rPr>
      <w:rFonts w:ascii="Times New Roman" w:eastAsia="Times New Roman" w:hAnsi="Times New Roman" w:cs="Times New Roman"/>
    </w:rPr>
  </w:style>
  <w:style w:type="paragraph" w:customStyle="1" w:styleId="MJAdashbullet">
    <w:name w:val="MJA dash bullet"/>
    <w:basedOn w:val="Normal"/>
    <w:qFormat/>
    <w:rsid w:val="008C23EF"/>
    <w:pPr>
      <w:numPr>
        <w:numId w:val="10"/>
      </w:numPr>
      <w:tabs>
        <w:tab w:val="left" w:pos="794"/>
      </w:tabs>
      <w:spacing w:after="120" w:line="280" w:lineRule="atLeast"/>
    </w:pPr>
    <w:rPr>
      <w:rFonts w:ascii="Times New Roman" w:eastAsia="Times New Roman" w:hAnsi="Times New Roman" w:cs="Times New Roman"/>
    </w:rPr>
  </w:style>
  <w:style w:type="paragraph" w:customStyle="1" w:styleId="MJAnormal">
    <w:name w:val="MJA normal"/>
    <w:basedOn w:val="Normal"/>
    <w:link w:val="MJAnormalChar1"/>
    <w:qFormat/>
    <w:rsid w:val="003F64C9"/>
    <w:pPr>
      <w:spacing w:before="120" w:after="120" w:line="280" w:lineRule="atLeast"/>
    </w:pPr>
    <w:rPr>
      <w:rFonts w:ascii="Times New Roman" w:eastAsia="Times New Roman" w:hAnsi="Times New Roman" w:cs="Times New Roman"/>
    </w:rPr>
  </w:style>
  <w:style w:type="paragraph" w:styleId="TableofFigures">
    <w:name w:val="table of figures"/>
    <w:aliases w:val="MJA Table of Figures"/>
    <w:basedOn w:val="Normal"/>
    <w:next w:val="Normal"/>
    <w:uiPriority w:val="99"/>
    <w:rsid w:val="00F80890"/>
    <w:pPr>
      <w:spacing w:before="40" w:after="0" w:line="240" w:lineRule="auto"/>
      <w:jc w:val="both"/>
    </w:pPr>
    <w:rPr>
      <w:rFonts w:ascii="Corbel" w:eastAsia="Times New Roman" w:hAnsi="Corbel" w:cs="Times New Roman"/>
      <w:sz w:val="18"/>
      <w:szCs w:val="20"/>
    </w:rPr>
  </w:style>
  <w:style w:type="character" w:customStyle="1" w:styleId="MJAnormalChar1">
    <w:name w:val="MJA normal Char1"/>
    <w:basedOn w:val="DefaultParagraphFont"/>
    <w:link w:val="MJAnormal"/>
    <w:rsid w:val="003F64C9"/>
    <w:rPr>
      <w:rFonts w:ascii="Times New Roman" w:eastAsia="Times New Roman" w:hAnsi="Times New Roman" w:cs="Times New Roman"/>
    </w:rPr>
  </w:style>
  <w:style w:type="character" w:customStyle="1" w:styleId="BalloonTextChar">
    <w:name w:val="Balloon Text Char"/>
    <w:basedOn w:val="DefaultParagraphFont"/>
    <w:link w:val="BalloonText"/>
    <w:semiHidden/>
    <w:rsid w:val="000D4F20"/>
    <w:rPr>
      <w:rFonts w:ascii="Tahoma" w:hAnsi="Tahoma" w:cs="Tahoma"/>
      <w:sz w:val="16"/>
      <w:szCs w:val="16"/>
    </w:rPr>
  </w:style>
  <w:style w:type="numbering" w:customStyle="1" w:styleId="NEWMJAListStyle">
    <w:name w:val="NEW MJA List Style"/>
    <w:rsid w:val="00F80890"/>
    <w:pPr>
      <w:numPr>
        <w:numId w:val="4"/>
      </w:numPr>
    </w:pPr>
  </w:style>
  <w:style w:type="table" w:styleId="TableSimple1">
    <w:name w:val="Table Simple 1"/>
    <w:basedOn w:val="TableNormal"/>
    <w:rsid w:val="00F80890"/>
    <w:pPr>
      <w:tabs>
        <w:tab w:val="left" w:pos="397"/>
      </w:tabs>
      <w:spacing w:after="0" w:line="240" w:lineRule="auto"/>
      <w:jc w:val="both"/>
    </w:pPr>
    <w:rPr>
      <w:rFonts w:ascii="Calibri" w:eastAsia="Times New Roman" w:hAnsi="Calibri" w:cs="Times New Roman"/>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MJAESnormal">
    <w:name w:val="MJA ES normal"/>
    <w:basedOn w:val="MJAnormal"/>
    <w:qFormat/>
    <w:rsid w:val="00136F31"/>
    <w:pPr>
      <w:numPr>
        <w:numId w:val="9"/>
      </w:numPr>
      <w:tabs>
        <w:tab w:val="left" w:pos="709"/>
      </w:tabs>
    </w:pPr>
  </w:style>
  <w:style w:type="paragraph" w:styleId="Revision">
    <w:name w:val="Revision"/>
    <w:hidden/>
    <w:uiPriority w:val="99"/>
    <w:semiHidden/>
    <w:rsid w:val="00F80890"/>
    <w:pPr>
      <w:spacing w:after="0" w:line="240" w:lineRule="auto"/>
    </w:pPr>
    <w:rPr>
      <w:rFonts w:ascii="Times New Roman" w:eastAsia="Times New Roman" w:hAnsi="Times New Roman" w:cs="Times New Roman"/>
      <w:sz w:val="24"/>
      <w:szCs w:val="20"/>
    </w:rPr>
  </w:style>
  <w:style w:type="paragraph" w:customStyle="1" w:styleId="Default">
    <w:name w:val="Default"/>
    <w:rsid w:val="00F80890"/>
    <w:pPr>
      <w:widowControl w:val="0"/>
      <w:autoSpaceDE w:val="0"/>
      <w:autoSpaceDN w:val="0"/>
      <w:adjustRightInd w:val="0"/>
      <w:spacing w:after="0" w:line="240" w:lineRule="auto"/>
    </w:pPr>
    <w:rPr>
      <w:rFonts w:ascii="Arial" w:eastAsia="Times New Roman" w:hAnsi="Arial" w:cs="Arial"/>
      <w:color w:val="000000"/>
      <w:sz w:val="24"/>
      <w:szCs w:val="24"/>
    </w:rPr>
  </w:style>
  <w:style w:type="numbering" w:customStyle="1" w:styleId="List1">
    <w:name w:val="List 1"/>
    <w:autoRedefine/>
    <w:rsid w:val="00F80890"/>
    <w:pPr>
      <w:numPr>
        <w:numId w:val="6"/>
      </w:numPr>
    </w:pPr>
  </w:style>
  <w:style w:type="paragraph" w:styleId="ListBullet">
    <w:name w:val="List Bullet"/>
    <w:basedOn w:val="Normal"/>
    <w:unhideWhenUsed/>
    <w:rsid w:val="00F80890"/>
    <w:pPr>
      <w:numPr>
        <w:numId w:val="8"/>
      </w:numPr>
      <w:spacing w:before="90" w:after="90" w:line="264" w:lineRule="auto"/>
      <w:contextualSpacing/>
    </w:pPr>
    <w:rPr>
      <w:rFonts w:ascii="Verdana" w:eastAsia="Times New Roman" w:hAnsi="Verdana" w:cs="Times"/>
      <w:sz w:val="20"/>
      <w:szCs w:val="20"/>
    </w:rPr>
  </w:style>
  <w:style w:type="paragraph" w:customStyle="1" w:styleId="MJAnotes">
    <w:name w:val="MJA notes"/>
    <w:basedOn w:val="MJAnormal"/>
    <w:next w:val="Normal"/>
    <w:qFormat/>
    <w:rsid w:val="0051000B"/>
    <w:pPr>
      <w:tabs>
        <w:tab w:val="left" w:pos="425"/>
      </w:tabs>
      <w:spacing w:before="0" w:after="60" w:line="240" w:lineRule="auto"/>
      <w:ind w:left="425" w:hanging="425"/>
    </w:pPr>
    <w:rPr>
      <w:rFonts w:ascii="Calibri" w:hAnsi="Calibri"/>
      <w:i/>
      <w:sz w:val="20"/>
    </w:rPr>
  </w:style>
  <w:style w:type="paragraph" w:styleId="Header">
    <w:name w:val="header"/>
    <w:basedOn w:val="Normal"/>
    <w:link w:val="HeaderChar"/>
    <w:unhideWhenUsed/>
    <w:rsid w:val="00F164FF"/>
    <w:pPr>
      <w:tabs>
        <w:tab w:val="center" w:pos="4513"/>
        <w:tab w:val="right" w:pos="9026"/>
      </w:tabs>
      <w:spacing w:after="0" w:line="240" w:lineRule="auto"/>
    </w:pPr>
  </w:style>
  <w:style w:type="character" w:customStyle="1" w:styleId="HeaderChar">
    <w:name w:val="Header Char"/>
    <w:basedOn w:val="DefaultParagraphFont"/>
    <w:link w:val="Header"/>
    <w:rsid w:val="00F164FF"/>
  </w:style>
  <w:style w:type="paragraph" w:styleId="Footer">
    <w:name w:val="footer"/>
    <w:basedOn w:val="Normal"/>
    <w:link w:val="FooterChar"/>
    <w:unhideWhenUsed/>
    <w:rsid w:val="00F164FF"/>
    <w:pPr>
      <w:tabs>
        <w:tab w:val="center" w:pos="4513"/>
        <w:tab w:val="right" w:pos="9026"/>
      </w:tabs>
      <w:spacing w:after="0" w:line="240" w:lineRule="auto"/>
    </w:pPr>
  </w:style>
  <w:style w:type="character" w:customStyle="1" w:styleId="FooterChar">
    <w:name w:val="Footer Char"/>
    <w:basedOn w:val="DefaultParagraphFont"/>
    <w:link w:val="Footer"/>
    <w:rsid w:val="00F164FF"/>
  </w:style>
  <w:style w:type="table" w:customStyle="1" w:styleId="MJATable1">
    <w:name w:val="MJA Table1"/>
    <w:basedOn w:val="TableNormal"/>
    <w:uiPriority w:val="99"/>
    <w:rsid w:val="00525682"/>
    <w:pPr>
      <w:spacing w:before="60" w:after="60" w:line="240" w:lineRule="auto"/>
      <w:jc w:val="center"/>
    </w:pPr>
    <w:rPr>
      <w:sz w:val="20"/>
    </w:rPr>
    <w:tblPr/>
    <w:tcPr>
      <w:shd w:val="clear" w:color="auto" w:fill="auto"/>
      <w:vAlign w:val="center"/>
    </w:tcPr>
    <w:tblStylePr w:type="firstRow">
      <w:rPr>
        <w:b/>
        <w:color w:val="FFFFFF" w:themeColor="background1"/>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paragraph" w:styleId="NormalWeb">
    <w:name w:val="Normal (Web)"/>
    <w:basedOn w:val="Normal"/>
    <w:uiPriority w:val="99"/>
    <w:semiHidden/>
    <w:unhideWhenUsed/>
    <w:rsid w:val="00EC04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C048D"/>
  </w:style>
  <w:style w:type="character" w:customStyle="1" w:styleId="MJAbulletnormalCharChar">
    <w:name w:val="MJA bullet normal Char Char"/>
    <w:basedOn w:val="DefaultParagraphFont"/>
    <w:link w:val="MJAbulletnormal"/>
    <w:locked/>
    <w:rsid w:val="00D8578E"/>
    <w:rPr>
      <w:rFonts w:ascii="Times New Roman" w:eastAsia="Times New Roman" w:hAnsi="Times New Roman" w:cs="Times New Roman"/>
    </w:rPr>
  </w:style>
  <w:style w:type="paragraph" w:customStyle="1" w:styleId="ScheduleHeading">
    <w:name w:val="Schedule Heading"/>
    <w:next w:val="ScheduleLevel1"/>
    <w:rsid w:val="00737CCC"/>
    <w:pPr>
      <w:keepNext/>
      <w:pageBreakBefore/>
      <w:numPr>
        <w:numId w:val="18"/>
      </w:numPr>
      <w:shd w:val="clear" w:color="auto" w:fill="000000"/>
      <w:spacing w:after="140" w:line="280" w:lineRule="atLeast"/>
      <w:outlineLvl w:val="0"/>
    </w:pPr>
    <w:rPr>
      <w:rFonts w:ascii="Arial" w:eastAsia="Times New Roman" w:hAnsi="Arial" w:cs="Arial"/>
      <w:b/>
      <w:caps/>
      <w:sz w:val="20"/>
      <w:szCs w:val="20"/>
      <w:lang w:val="en-US"/>
    </w:rPr>
  </w:style>
  <w:style w:type="paragraph" w:customStyle="1" w:styleId="ScheduleLevel1">
    <w:name w:val="Schedule Level 1"/>
    <w:next w:val="ScheduleLevel2"/>
    <w:rsid w:val="00737CCC"/>
    <w:pPr>
      <w:keepNext/>
      <w:numPr>
        <w:ilvl w:val="1"/>
        <w:numId w:val="18"/>
      </w:numPr>
      <w:pBdr>
        <w:bottom w:val="single" w:sz="2" w:space="1" w:color="auto"/>
      </w:pBdr>
      <w:spacing w:before="200" w:after="0" w:line="280" w:lineRule="atLeast"/>
      <w:outlineLvl w:val="1"/>
    </w:pPr>
    <w:rPr>
      <w:rFonts w:ascii="Arial" w:eastAsia="Times New Roman" w:hAnsi="Arial" w:cs="Arial"/>
      <w:b/>
      <w:lang w:val="en-US"/>
    </w:rPr>
  </w:style>
  <w:style w:type="paragraph" w:customStyle="1" w:styleId="ScheduleLevel2">
    <w:name w:val="Schedule Level 2"/>
    <w:next w:val="ScheduleLevel3"/>
    <w:rsid w:val="00737CCC"/>
    <w:pPr>
      <w:numPr>
        <w:ilvl w:val="2"/>
        <w:numId w:val="18"/>
      </w:numPr>
      <w:spacing w:before="200" w:after="0" w:line="280" w:lineRule="atLeast"/>
      <w:outlineLvl w:val="2"/>
    </w:pPr>
    <w:rPr>
      <w:rFonts w:ascii="Arial" w:eastAsia="Times New Roman" w:hAnsi="Arial" w:cs="Arial"/>
      <w:b/>
      <w:lang w:val="en-US"/>
    </w:rPr>
  </w:style>
  <w:style w:type="paragraph" w:customStyle="1" w:styleId="ScheduleLevel3">
    <w:name w:val="Schedule Level 3"/>
    <w:rsid w:val="00737CCC"/>
    <w:pPr>
      <w:numPr>
        <w:ilvl w:val="3"/>
        <w:numId w:val="18"/>
      </w:numPr>
      <w:spacing w:before="140" w:after="140" w:line="280" w:lineRule="atLeast"/>
    </w:pPr>
    <w:rPr>
      <w:rFonts w:ascii="Arial" w:eastAsia="Times New Roman" w:hAnsi="Arial" w:cs="Arial"/>
      <w:lang w:val="en-US"/>
    </w:rPr>
  </w:style>
  <w:style w:type="paragraph" w:customStyle="1" w:styleId="ScheduleLevel4">
    <w:name w:val="Schedule Level 4"/>
    <w:rsid w:val="00737CCC"/>
    <w:pPr>
      <w:numPr>
        <w:ilvl w:val="4"/>
        <w:numId w:val="18"/>
      </w:numPr>
      <w:spacing w:after="140" w:line="280" w:lineRule="atLeast"/>
    </w:pPr>
    <w:rPr>
      <w:rFonts w:ascii="Arial" w:eastAsia="Times New Roman" w:hAnsi="Arial" w:cs="Arial"/>
      <w:lang w:val="en-US"/>
    </w:rPr>
  </w:style>
  <w:style w:type="paragraph" w:customStyle="1" w:styleId="ScheduleLevel5">
    <w:name w:val="Schedule Level 5"/>
    <w:rsid w:val="00737CCC"/>
    <w:pPr>
      <w:numPr>
        <w:ilvl w:val="5"/>
        <w:numId w:val="18"/>
      </w:numPr>
      <w:spacing w:after="140" w:line="280" w:lineRule="atLeast"/>
    </w:pPr>
    <w:rPr>
      <w:rFonts w:ascii="Arial" w:eastAsia="Times New Roman" w:hAnsi="Arial" w:cs="Arial"/>
      <w:lang w:val="en-US"/>
    </w:rPr>
  </w:style>
  <w:style w:type="paragraph" w:customStyle="1" w:styleId="ScheduleLevel6">
    <w:name w:val="Schedule Level 6"/>
    <w:rsid w:val="00737CCC"/>
    <w:pPr>
      <w:numPr>
        <w:ilvl w:val="6"/>
        <w:numId w:val="18"/>
      </w:numPr>
      <w:spacing w:after="140" w:line="280" w:lineRule="atLeast"/>
    </w:pPr>
    <w:rPr>
      <w:rFonts w:ascii="Arial" w:eastAsia="Times New Roman" w:hAnsi="Arial" w:cs="Arial"/>
      <w:lang w:val="en-US"/>
    </w:rPr>
  </w:style>
  <w:style w:type="paragraph" w:customStyle="1" w:styleId="ScheduleLevel7">
    <w:name w:val="Schedule Level 7"/>
    <w:semiHidden/>
    <w:rsid w:val="00737CCC"/>
    <w:pPr>
      <w:numPr>
        <w:ilvl w:val="7"/>
        <w:numId w:val="18"/>
      </w:numPr>
      <w:spacing w:after="140" w:line="280" w:lineRule="atLeast"/>
    </w:pPr>
    <w:rPr>
      <w:rFonts w:ascii="Arial" w:eastAsia="Times New Roman" w:hAnsi="Arial" w:cs="Arial"/>
      <w:lang w:val="en-US"/>
    </w:rPr>
  </w:style>
  <w:style w:type="paragraph" w:customStyle="1" w:styleId="ScheduleLevel8">
    <w:name w:val="Schedule Level 8"/>
    <w:semiHidden/>
    <w:rsid w:val="00737CCC"/>
    <w:pPr>
      <w:numPr>
        <w:ilvl w:val="8"/>
        <w:numId w:val="18"/>
      </w:numPr>
      <w:spacing w:after="140" w:line="280" w:lineRule="atLeast"/>
    </w:pPr>
    <w:rPr>
      <w:rFonts w:ascii="Arial" w:eastAsia="Times New Roman" w:hAnsi="Arial" w:cs="Arial"/>
      <w:lang w:val="en-US"/>
    </w:rPr>
  </w:style>
  <w:style w:type="paragraph" w:customStyle="1" w:styleId="PartALevel2">
    <w:name w:val="Part A Level 2"/>
    <w:basedOn w:val="ScheduleLevel2"/>
    <w:rsid w:val="00737CCC"/>
    <w:rPr>
      <w:b w:val="0"/>
    </w:rPr>
  </w:style>
  <w:style w:type="character" w:customStyle="1" w:styleId="MJAbulletnormalChar">
    <w:name w:val="MJA bullet normal Char"/>
    <w:basedOn w:val="DefaultParagraphFont"/>
    <w:locked/>
    <w:rsid w:val="004E62B2"/>
    <w:rPr>
      <w:rFonts w:ascii="Times New Roman" w:eastAsia="Times New Roman" w:hAnsi="Times New Roman" w:cs="Times New Roman"/>
      <w:sz w:val="20"/>
      <w:szCs w:val="20"/>
    </w:rPr>
  </w:style>
  <w:style w:type="character" w:styleId="CommentReference">
    <w:name w:val="annotation reference"/>
    <w:basedOn w:val="DefaultParagraphFont"/>
    <w:semiHidden/>
    <w:unhideWhenUsed/>
    <w:rsid w:val="004616F9"/>
    <w:rPr>
      <w:sz w:val="16"/>
      <w:szCs w:val="16"/>
    </w:rPr>
  </w:style>
  <w:style w:type="paragraph" w:styleId="CommentText">
    <w:name w:val="annotation text"/>
    <w:basedOn w:val="Normal"/>
    <w:link w:val="CommentTextChar"/>
    <w:semiHidden/>
    <w:unhideWhenUsed/>
    <w:rsid w:val="004616F9"/>
    <w:pPr>
      <w:spacing w:line="240" w:lineRule="auto"/>
    </w:pPr>
    <w:rPr>
      <w:sz w:val="20"/>
      <w:szCs w:val="20"/>
    </w:rPr>
  </w:style>
  <w:style w:type="character" w:customStyle="1" w:styleId="CommentTextChar">
    <w:name w:val="Comment Text Char"/>
    <w:basedOn w:val="DefaultParagraphFont"/>
    <w:link w:val="CommentText"/>
    <w:semiHidden/>
    <w:rsid w:val="004616F9"/>
    <w:rPr>
      <w:sz w:val="20"/>
      <w:szCs w:val="20"/>
    </w:rPr>
  </w:style>
  <w:style w:type="paragraph" w:styleId="CommentSubject">
    <w:name w:val="annotation subject"/>
    <w:basedOn w:val="CommentText"/>
    <w:next w:val="CommentText"/>
    <w:link w:val="CommentSubjectChar"/>
    <w:semiHidden/>
    <w:unhideWhenUsed/>
    <w:rsid w:val="004616F9"/>
    <w:rPr>
      <w:b/>
      <w:bCs/>
    </w:rPr>
  </w:style>
  <w:style w:type="character" w:customStyle="1" w:styleId="CommentSubjectChar">
    <w:name w:val="Comment Subject Char"/>
    <w:basedOn w:val="CommentTextChar"/>
    <w:link w:val="CommentSubject"/>
    <w:semiHidden/>
    <w:rsid w:val="004616F9"/>
    <w:rPr>
      <w:b/>
      <w:bCs/>
      <w:sz w:val="20"/>
      <w:szCs w:val="20"/>
    </w:rPr>
  </w:style>
  <w:style w:type="paragraph" w:customStyle="1" w:styleId="MJAHeading10">
    <w:name w:val="MJA Heading 1"/>
    <w:basedOn w:val="MJAheading1"/>
    <w:link w:val="MJAHeading1Char0"/>
    <w:qFormat/>
    <w:rsid w:val="00061E10"/>
    <w:pPr>
      <w:outlineLvl w:val="0"/>
    </w:pPr>
  </w:style>
  <w:style w:type="character" w:customStyle="1" w:styleId="MJAheading1Char">
    <w:name w:val="MJA heading 1 Char"/>
    <w:basedOn w:val="MJAnormalChar1"/>
    <w:link w:val="MJAheading1"/>
    <w:rsid w:val="00061E10"/>
    <w:rPr>
      <w:rFonts w:ascii="Corbel" w:eastAsia="Times New Roman" w:hAnsi="Corbel" w:cs="Times New Roman"/>
      <w:color w:val="0093D0"/>
      <w:sz w:val="44"/>
    </w:rPr>
  </w:style>
  <w:style w:type="character" w:customStyle="1" w:styleId="MJAHeading1Char0">
    <w:name w:val="MJA Heading 1 Char"/>
    <w:basedOn w:val="MJAheading1Char"/>
    <w:link w:val="MJAHeading10"/>
    <w:rsid w:val="00061E10"/>
    <w:rPr>
      <w:rFonts w:ascii="Corbel" w:eastAsia="Times New Roman" w:hAnsi="Corbel" w:cs="Times New Roman"/>
      <w:color w:val="0093D0"/>
      <w:sz w:val="44"/>
    </w:rPr>
  </w:style>
  <w:style w:type="paragraph" w:styleId="ListParagraph">
    <w:name w:val="List Paragraph"/>
    <w:basedOn w:val="Normal"/>
    <w:uiPriority w:val="34"/>
    <w:rsid w:val="00791812"/>
    <w:pPr>
      <w:ind w:left="720"/>
      <w:contextualSpacing/>
    </w:pPr>
  </w:style>
  <w:style w:type="character" w:styleId="FollowedHyperlink">
    <w:name w:val="FollowedHyperlink"/>
    <w:basedOn w:val="DefaultParagraphFont"/>
    <w:semiHidden/>
    <w:unhideWhenUsed/>
    <w:rsid w:val="00625E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6772">
      <w:bodyDiv w:val="1"/>
      <w:marLeft w:val="0"/>
      <w:marRight w:val="0"/>
      <w:marTop w:val="0"/>
      <w:marBottom w:val="0"/>
      <w:divBdr>
        <w:top w:val="none" w:sz="0" w:space="0" w:color="auto"/>
        <w:left w:val="none" w:sz="0" w:space="0" w:color="auto"/>
        <w:bottom w:val="none" w:sz="0" w:space="0" w:color="auto"/>
        <w:right w:val="none" w:sz="0" w:space="0" w:color="auto"/>
      </w:divBdr>
    </w:div>
    <w:div w:id="100147925">
      <w:bodyDiv w:val="1"/>
      <w:marLeft w:val="0"/>
      <w:marRight w:val="0"/>
      <w:marTop w:val="0"/>
      <w:marBottom w:val="0"/>
      <w:divBdr>
        <w:top w:val="none" w:sz="0" w:space="0" w:color="auto"/>
        <w:left w:val="none" w:sz="0" w:space="0" w:color="auto"/>
        <w:bottom w:val="none" w:sz="0" w:space="0" w:color="auto"/>
        <w:right w:val="none" w:sz="0" w:space="0" w:color="auto"/>
      </w:divBdr>
    </w:div>
    <w:div w:id="178206945">
      <w:bodyDiv w:val="1"/>
      <w:marLeft w:val="0"/>
      <w:marRight w:val="0"/>
      <w:marTop w:val="0"/>
      <w:marBottom w:val="0"/>
      <w:divBdr>
        <w:top w:val="none" w:sz="0" w:space="0" w:color="auto"/>
        <w:left w:val="none" w:sz="0" w:space="0" w:color="auto"/>
        <w:bottom w:val="none" w:sz="0" w:space="0" w:color="auto"/>
        <w:right w:val="none" w:sz="0" w:space="0" w:color="auto"/>
      </w:divBdr>
    </w:div>
    <w:div w:id="228656718">
      <w:bodyDiv w:val="1"/>
      <w:marLeft w:val="0"/>
      <w:marRight w:val="0"/>
      <w:marTop w:val="0"/>
      <w:marBottom w:val="0"/>
      <w:divBdr>
        <w:top w:val="none" w:sz="0" w:space="0" w:color="auto"/>
        <w:left w:val="none" w:sz="0" w:space="0" w:color="auto"/>
        <w:bottom w:val="none" w:sz="0" w:space="0" w:color="auto"/>
        <w:right w:val="none" w:sz="0" w:space="0" w:color="auto"/>
      </w:divBdr>
    </w:div>
    <w:div w:id="240723099">
      <w:bodyDiv w:val="1"/>
      <w:marLeft w:val="0"/>
      <w:marRight w:val="0"/>
      <w:marTop w:val="0"/>
      <w:marBottom w:val="0"/>
      <w:divBdr>
        <w:top w:val="none" w:sz="0" w:space="0" w:color="auto"/>
        <w:left w:val="none" w:sz="0" w:space="0" w:color="auto"/>
        <w:bottom w:val="none" w:sz="0" w:space="0" w:color="auto"/>
        <w:right w:val="none" w:sz="0" w:space="0" w:color="auto"/>
      </w:divBdr>
    </w:div>
    <w:div w:id="246499446">
      <w:bodyDiv w:val="1"/>
      <w:marLeft w:val="0"/>
      <w:marRight w:val="0"/>
      <w:marTop w:val="0"/>
      <w:marBottom w:val="0"/>
      <w:divBdr>
        <w:top w:val="none" w:sz="0" w:space="0" w:color="auto"/>
        <w:left w:val="none" w:sz="0" w:space="0" w:color="auto"/>
        <w:bottom w:val="none" w:sz="0" w:space="0" w:color="auto"/>
        <w:right w:val="none" w:sz="0" w:space="0" w:color="auto"/>
      </w:divBdr>
    </w:div>
    <w:div w:id="322660168">
      <w:bodyDiv w:val="1"/>
      <w:marLeft w:val="0"/>
      <w:marRight w:val="0"/>
      <w:marTop w:val="0"/>
      <w:marBottom w:val="0"/>
      <w:divBdr>
        <w:top w:val="none" w:sz="0" w:space="0" w:color="auto"/>
        <w:left w:val="none" w:sz="0" w:space="0" w:color="auto"/>
        <w:bottom w:val="none" w:sz="0" w:space="0" w:color="auto"/>
        <w:right w:val="none" w:sz="0" w:space="0" w:color="auto"/>
      </w:divBdr>
    </w:div>
    <w:div w:id="332874581">
      <w:bodyDiv w:val="1"/>
      <w:marLeft w:val="0"/>
      <w:marRight w:val="0"/>
      <w:marTop w:val="0"/>
      <w:marBottom w:val="0"/>
      <w:divBdr>
        <w:top w:val="none" w:sz="0" w:space="0" w:color="auto"/>
        <w:left w:val="none" w:sz="0" w:space="0" w:color="auto"/>
        <w:bottom w:val="none" w:sz="0" w:space="0" w:color="auto"/>
        <w:right w:val="none" w:sz="0" w:space="0" w:color="auto"/>
      </w:divBdr>
    </w:div>
    <w:div w:id="342976977">
      <w:bodyDiv w:val="1"/>
      <w:marLeft w:val="0"/>
      <w:marRight w:val="0"/>
      <w:marTop w:val="0"/>
      <w:marBottom w:val="0"/>
      <w:divBdr>
        <w:top w:val="none" w:sz="0" w:space="0" w:color="auto"/>
        <w:left w:val="none" w:sz="0" w:space="0" w:color="auto"/>
        <w:bottom w:val="none" w:sz="0" w:space="0" w:color="auto"/>
        <w:right w:val="none" w:sz="0" w:space="0" w:color="auto"/>
      </w:divBdr>
    </w:div>
    <w:div w:id="438912187">
      <w:bodyDiv w:val="1"/>
      <w:marLeft w:val="0"/>
      <w:marRight w:val="0"/>
      <w:marTop w:val="0"/>
      <w:marBottom w:val="0"/>
      <w:divBdr>
        <w:top w:val="none" w:sz="0" w:space="0" w:color="auto"/>
        <w:left w:val="none" w:sz="0" w:space="0" w:color="auto"/>
        <w:bottom w:val="none" w:sz="0" w:space="0" w:color="auto"/>
        <w:right w:val="none" w:sz="0" w:space="0" w:color="auto"/>
      </w:divBdr>
    </w:div>
    <w:div w:id="444622361">
      <w:bodyDiv w:val="1"/>
      <w:marLeft w:val="0"/>
      <w:marRight w:val="0"/>
      <w:marTop w:val="0"/>
      <w:marBottom w:val="0"/>
      <w:divBdr>
        <w:top w:val="none" w:sz="0" w:space="0" w:color="auto"/>
        <w:left w:val="none" w:sz="0" w:space="0" w:color="auto"/>
        <w:bottom w:val="none" w:sz="0" w:space="0" w:color="auto"/>
        <w:right w:val="none" w:sz="0" w:space="0" w:color="auto"/>
      </w:divBdr>
    </w:div>
    <w:div w:id="481312339">
      <w:bodyDiv w:val="1"/>
      <w:marLeft w:val="0"/>
      <w:marRight w:val="0"/>
      <w:marTop w:val="0"/>
      <w:marBottom w:val="0"/>
      <w:divBdr>
        <w:top w:val="none" w:sz="0" w:space="0" w:color="auto"/>
        <w:left w:val="none" w:sz="0" w:space="0" w:color="auto"/>
        <w:bottom w:val="none" w:sz="0" w:space="0" w:color="auto"/>
        <w:right w:val="none" w:sz="0" w:space="0" w:color="auto"/>
      </w:divBdr>
    </w:div>
    <w:div w:id="486440858">
      <w:bodyDiv w:val="1"/>
      <w:marLeft w:val="0"/>
      <w:marRight w:val="0"/>
      <w:marTop w:val="0"/>
      <w:marBottom w:val="0"/>
      <w:divBdr>
        <w:top w:val="none" w:sz="0" w:space="0" w:color="auto"/>
        <w:left w:val="none" w:sz="0" w:space="0" w:color="auto"/>
        <w:bottom w:val="none" w:sz="0" w:space="0" w:color="auto"/>
        <w:right w:val="none" w:sz="0" w:space="0" w:color="auto"/>
      </w:divBdr>
    </w:div>
    <w:div w:id="492644879">
      <w:bodyDiv w:val="1"/>
      <w:marLeft w:val="0"/>
      <w:marRight w:val="0"/>
      <w:marTop w:val="0"/>
      <w:marBottom w:val="0"/>
      <w:divBdr>
        <w:top w:val="none" w:sz="0" w:space="0" w:color="auto"/>
        <w:left w:val="none" w:sz="0" w:space="0" w:color="auto"/>
        <w:bottom w:val="none" w:sz="0" w:space="0" w:color="auto"/>
        <w:right w:val="none" w:sz="0" w:space="0" w:color="auto"/>
      </w:divBdr>
    </w:div>
    <w:div w:id="513690423">
      <w:bodyDiv w:val="1"/>
      <w:marLeft w:val="0"/>
      <w:marRight w:val="0"/>
      <w:marTop w:val="0"/>
      <w:marBottom w:val="0"/>
      <w:divBdr>
        <w:top w:val="none" w:sz="0" w:space="0" w:color="auto"/>
        <w:left w:val="none" w:sz="0" w:space="0" w:color="auto"/>
        <w:bottom w:val="none" w:sz="0" w:space="0" w:color="auto"/>
        <w:right w:val="none" w:sz="0" w:space="0" w:color="auto"/>
      </w:divBdr>
    </w:div>
    <w:div w:id="560560640">
      <w:bodyDiv w:val="1"/>
      <w:marLeft w:val="0"/>
      <w:marRight w:val="0"/>
      <w:marTop w:val="0"/>
      <w:marBottom w:val="0"/>
      <w:divBdr>
        <w:top w:val="none" w:sz="0" w:space="0" w:color="auto"/>
        <w:left w:val="none" w:sz="0" w:space="0" w:color="auto"/>
        <w:bottom w:val="none" w:sz="0" w:space="0" w:color="auto"/>
        <w:right w:val="none" w:sz="0" w:space="0" w:color="auto"/>
      </w:divBdr>
    </w:div>
    <w:div w:id="621810575">
      <w:bodyDiv w:val="1"/>
      <w:marLeft w:val="0"/>
      <w:marRight w:val="0"/>
      <w:marTop w:val="0"/>
      <w:marBottom w:val="0"/>
      <w:divBdr>
        <w:top w:val="none" w:sz="0" w:space="0" w:color="auto"/>
        <w:left w:val="none" w:sz="0" w:space="0" w:color="auto"/>
        <w:bottom w:val="none" w:sz="0" w:space="0" w:color="auto"/>
        <w:right w:val="none" w:sz="0" w:space="0" w:color="auto"/>
      </w:divBdr>
    </w:div>
    <w:div w:id="664019730">
      <w:bodyDiv w:val="1"/>
      <w:marLeft w:val="0"/>
      <w:marRight w:val="0"/>
      <w:marTop w:val="0"/>
      <w:marBottom w:val="0"/>
      <w:divBdr>
        <w:top w:val="none" w:sz="0" w:space="0" w:color="auto"/>
        <w:left w:val="none" w:sz="0" w:space="0" w:color="auto"/>
        <w:bottom w:val="none" w:sz="0" w:space="0" w:color="auto"/>
        <w:right w:val="none" w:sz="0" w:space="0" w:color="auto"/>
      </w:divBdr>
    </w:div>
    <w:div w:id="730691281">
      <w:bodyDiv w:val="1"/>
      <w:marLeft w:val="0"/>
      <w:marRight w:val="0"/>
      <w:marTop w:val="0"/>
      <w:marBottom w:val="0"/>
      <w:divBdr>
        <w:top w:val="none" w:sz="0" w:space="0" w:color="auto"/>
        <w:left w:val="none" w:sz="0" w:space="0" w:color="auto"/>
        <w:bottom w:val="none" w:sz="0" w:space="0" w:color="auto"/>
        <w:right w:val="none" w:sz="0" w:space="0" w:color="auto"/>
      </w:divBdr>
    </w:div>
    <w:div w:id="780301559">
      <w:bodyDiv w:val="1"/>
      <w:marLeft w:val="0"/>
      <w:marRight w:val="0"/>
      <w:marTop w:val="0"/>
      <w:marBottom w:val="0"/>
      <w:divBdr>
        <w:top w:val="none" w:sz="0" w:space="0" w:color="auto"/>
        <w:left w:val="none" w:sz="0" w:space="0" w:color="auto"/>
        <w:bottom w:val="none" w:sz="0" w:space="0" w:color="auto"/>
        <w:right w:val="none" w:sz="0" w:space="0" w:color="auto"/>
      </w:divBdr>
    </w:div>
    <w:div w:id="802036754">
      <w:bodyDiv w:val="1"/>
      <w:marLeft w:val="0"/>
      <w:marRight w:val="0"/>
      <w:marTop w:val="0"/>
      <w:marBottom w:val="0"/>
      <w:divBdr>
        <w:top w:val="none" w:sz="0" w:space="0" w:color="auto"/>
        <w:left w:val="none" w:sz="0" w:space="0" w:color="auto"/>
        <w:bottom w:val="none" w:sz="0" w:space="0" w:color="auto"/>
        <w:right w:val="none" w:sz="0" w:space="0" w:color="auto"/>
      </w:divBdr>
    </w:div>
    <w:div w:id="814840296">
      <w:bodyDiv w:val="1"/>
      <w:marLeft w:val="0"/>
      <w:marRight w:val="0"/>
      <w:marTop w:val="0"/>
      <w:marBottom w:val="0"/>
      <w:divBdr>
        <w:top w:val="none" w:sz="0" w:space="0" w:color="auto"/>
        <w:left w:val="none" w:sz="0" w:space="0" w:color="auto"/>
        <w:bottom w:val="none" w:sz="0" w:space="0" w:color="auto"/>
        <w:right w:val="none" w:sz="0" w:space="0" w:color="auto"/>
      </w:divBdr>
    </w:div>
    <w:div w:id="815027458">
      <w:bodyDiv w:val="1"/>
      <w:marLeft w:val="0"/>
      <w:marRight w:val="0"/>
      <w:marTop w:val="0"/>
      <w:marBottom w:val="0"/>
      <w:divBdr>
        <w:top w:val="none" w:sz="0" w:space="0" w:color="auto"/>
        <w:left w:val="none" w:sz="0" w:space="0" w:color="auto"/>
        <w:bottom w:val="none" w:sz="0" w:space="0" w:color="auto"/>
        <w:right w:val="none" w:sz="0" w:space="0" w:color="auto"/>
      </w:divBdr>
    </w:div>
    <w:div w:id="846288747">
      <w:bodyDiv w:val="1"/>
      <w:marLeft w:val="0"/>
      <w:marRight w:val="0"/>
      <w:marTop w:val="0"/>
      <w:marBottom w:val="0"/>
      <w:divBdr>
        <w:top w:val="none" w:sz="0" w:space="0" w:color="auto"/>
        <w:left w:val="none" w:sz="0" w:space="0" w:color="auto"/>
        <w:bottom w:val="none" w:sz="0" w:space="0" w:color="auto"/>
        <w:right w:val="none" w:sz="0" w:space="0" w:color="auto"/>
      </w:divBdr>
    </w:div>
    <w:div w:id="857812591">
      <w:bodyDiv w:val="1"/>
      <w:marLeft w:val="0"/>
      <w:marRight w:val="0"/>
      <w:marTop w:val="0"/>
      <w:marBottom w:val="0"/>
      <w:divBdr>
        <w:top w:val="none" w:sz="0" w:space="0" w:color="auto"/>
        <w:left w:val="none" w:sz="0" w:space="0" w:color="auto"/>
        <w:bottom w:val="none" w:sz="0" w:space="0" w:color="auto"/>
        <w:right w:val="none" w:sz="0" w:space="0" w:color="auto"/>
      </w:divBdr>
    </w:div>
    <w:div w:id="872351292">
      <w:bodyDiv w:val="1"/>
      <w:marLeft w:val="0"/>
      <w:marRight w:val="0"/>
      <w:marTop w:val="0"/>
      <w:marBottom w:val="0"/>
      <w:divBdr>
        <w:top w:val="none" w:sz="0" w:space="0" w:color="auto"/>
        <w:left w:val="none" w:sz="0" w:space="0" w:color="auto"/>
        <w:bottom w:val="none" w:sz="0" w:space="0" w:color="auto"/>
        <w:right w:val="none" w:sz="0" w:space="0" w:color="auto"/>
      </w:divBdr>
    </w:div>
    <w:div w:id="881401713">
      <w:bodyDiv w:val="1"/>
      <w:marLeft w:val="0"/>
      <w:marRight w:val="0"/>
      <w:marTop w:val="0"/>
      <w:marBottom w:val="0"/>
      <w:divBdr>
        <w:top w:val="none" w:sz="0" w:space="0" w:color="auto"/>
        <w:left w:val="none" w:sz="0" w:space="0" w:color="auto"/>
        <w:bottom w:val="none" w:sz="0" w:space="0" w:color="auto"/>
        <w:right w:val="none" w:sz="0" w:space="0" w:color="auto"/>
      </w:divBdr>
    </w:div>
    <w:div w:id="902986099">
      <w:bodyDiv w:val="1"/>
      <w:marLeft w:val="0"/>
      <w:marRight w:val="0"/>
      <w:marTop w:val="0"/>
      <w:marBottom w:val="0"/>
      <w:divBdr>
        <w:top w:val="none" w:sz="0" w:space="0" w:color="auto"/>
        <w:left w:val="none" w:sz="0" w:space="0" w:color="auto"/>
        <w:bottom w:val="none" w:sz="0" w:space="0" w:color="auto"/>
        <w:right w:val="none" w:sz="0" w:space="0" w:color="auto"/>
      </w:divBdr>
    </w:div>
    <w:div w:id="972754631">
      <w:bodyDiv w:val="1"/>
      <w:marLeft w:val="0"/>
      <w:marRight w:val="0"/>
      <w:marTop w:val="0"/>
      <w:marBottom w:val="0"/>
      <w:divBdr>
        <w:top w:val="none" w:sz="0" w:space="0" w:color="auto"/>
        <w:left w:val="none" w:sz="0" w:space="0" w:color="auto"/>
        <w:bottom w:val="none" w:sz="0" w:space="0" w:color="auto"/>
        <w:right w:val="none" w:sz="0" w:space="0" w:color="auto"/>
      </w:divBdr>
    </w:div>
    <w:div w:id="983924420">
      <w:bodyDiv w:val="1"/>
      <w:marLeft w:val="0"/>
      <w:marRight w:val="0"/>
      <w:marTop w:val="0"/>
      <w:marBottom w:val="0"/>
      <w:divBdr>
        <w:top w:val="none" w:sz="0" w:space="0" w:color="auto"/>
        <w:left w:val="none" w:sz="0" w:space="0" w:color="auto"/>
        <w:bottom w:val="none" w:sz="0" w:space="0" w:color="auto"/>
        <w:right w:val="none" w:sz="0" w:space="0" w:color="auto"/>
      </w:divBdr>
    </w:div>
    <w:div w:id="990913221">
      <w:bodyDiv w:val="1"/>
      <w:marLeft w:val="0"/>
      <w:marRight w:val="0"/>
      <w:marTop w:val="0"/>
      <w:marBottom w:val="0"/>
      <w:divBdr>
        <w:top w:val="none" w:sz="0" w:space="0" w:color="auto"/>
        <w:left w:val="none" w:sz="0" w:space="0" w:color="auto"/>
        <w:bottom w:val="none" w:sz="0" w:space="0" w:color="auto"/>
        <w:right w:val="none" w:sz="0" w:space="0" w:color="auto"/>
      </w:divBdr>
    </w:div>
    <w:div w:id="1005354071">
      <w:bodyDiv w:val="1"/>
      <w:marLeft w:val="0"/>
      <w:marRight w:val="0"/>
      <w:marTop w:val="0"/>
      <w:marBottom w:val="0"/>
      <w:divBdr>
        <w:top w:val="none" w:sz="0" w:space="0" w:color="auto"/>
        <w:left w:val="none" w:sz="0" w:space="0" w:color="auto"/>
        <w:bottom w:val="none" w:sz="0" w:space="0" w:color="auto"/>
        <w:right w:val="none" w:sz="0" w:space="0" w:color="auto"/>
      </w:divBdr>
    </w:div>
    <w:div w:id="1017930939">
      <w:bodyDiv w:val="1"/>
      <w:marLeft w:val="0"/>
      <w:marRight w:val="0"/>
      <w:marTop w:val="0"/>
      <w:marBottom w:val="0"/>
      <w:divBdr>
        <w:top w:val="none" w:sz="0" w:space="0" w:color="auto"/>
        <w:left w:val="none" w:sz="0" w:space="0" w:color="auto"/>
        <w:bottom w:val="none" w:sz="0" w:space="0" w:color="auto"/>
        <w:right w:val="none" w:sz="0" w:space="0" w:color="auto"/>
      </w:divBdr>
    </w:div>
    <w:div w:id="1039861183">
      <w:bodyDiv w:val="1"/>
      <w:marLeft w:val="0"/>
      <w:marRight w:val="0"/>
      <w:marTop w:val="0"/>
      <w:marBottom w:val="0"/>
      <w:divBdr>
        <w:top w:val="none" w:sz="0" w:space="0" w:color="auto"/>
        <w:left w:val="none" w:sz="0" w:space="0" w:color="auto"/>
        <w:bottom w:val="none" w:sz="0" w:space="0" w:color="auto"/>
        <w:right w:val="none" w:sz="0" w:space="0" w:color="auto"/>
      </w:divBdr>
    </w:div>
    <w:div w:id="1044209448">
      <w:bodyDiv w:val="1"/>
      <w:marLeft w:val="0"/>
      <w:marRight w:val="0"/>
      <w:marTop w:val="0"/>
      <w:marBottom w:val="0"/>
      <w:divBdr>
        <w:top w:val="none" w:sz="0" w:space="0" w:color="auto"/>
        <w:left w:val="none" w:sz="0" w:space="0" w:color="auto"/>
        <w:bottom w:val="none" w:sz="0" w:space="0" w:color="auto"/>
        <w:right w:val="none" w:sz="0" w:space="0" w:color="auto"/>
      </w:divBdr>
    </w:div>
    <w:div w:id="1056314859">
      <w:bodyDiv w:val="1"/>
      <w:marLeft w:val="0"/>
      <w:marRight w:val="0"/>
      <w:marTop w:val="0"/>
      <w:marBottom w:val="0"/>
      <w:divBdr>
        <w:top w:val="none" w:sz="0" w:space="0" w:color="auto"/>
        <w:left w:val="none" w:sz="0" w:space="0" w:color="auto"/>
        <w:bottom w:val="none" w:sz="0" w:space="0" w:color="auto"/>
        <w:right w:val="none" w:sz="0" w:space="0" w:color="auto"/>
      </w:divBdr>
    </w:div>
    <w:div w:id="1121458907">
      <w:bodyDiv w:val="1"/>
      <w:marLeft w:val="0"/>
      <w:marRight w:val="0"/>
      <w:marTop w:val="0"/>
      <w:marBottom w:val="0"/>
      <w:divBdr>
        <w:top w:val="none" w:sz="0" w:space="0" w:color="auto"/>
        <w:left w:val="none" w:sz="0" w:space="0" w:color="auto"/>
        <w:bottom w:val="none" w:sz="0" w:space="0" w:color="auto"/>
        <w:right w:val="none" w:sz="0" w:space="0" w:color="auto"/>
      </w:divBdr>
    </w:div>
    <w:div w:id="1147208344">
      <w:bodyDiv w:val="1"/>
      <w:marLeft w:val="0"/>
      <w:marRight w:val="0"/>
      <w:marTop w:val="0"/>
      <w:marBottom w:val="0"/>
      <w:divBdr>
        <w:top w:val="none" w:sz="0" w:space="0" w:color="auto"/>
        <w:left w:val="none" w:sz="0" w:space="0" w:color="auto"/>
        <w:bottom w:val="none" w:sz="0" w:space="0" w:color="auto"/>
        <w:right w:val="none" w:sz="0" w:space="0" w:color="auto"/>
      </w:divBdr>
    </w:div>
    <w:div w:id="1158230674">
      <w:bodyDiv w:val="1"/>
      <w:marLeft w:val="0"/>
      <w:marRight w:val="0"/>
      <w:marTop w:val="0"/>
      <w:marBottom w:val="0"/>
      <w:divBdr>
        <w:top w:val="none" w:sz="0" w:space="0" w:color="auto"/>
        <w:left w:val="none" w:sz="0" w:space="0" w:color="auto"/>
        <w:bottom w:val="none" w:sz="0" w:space="0" w:color="auto"/>
        <w:right w:val="none" w:sz="0" w:space="0" w:color="auto"/>
      </w:divBdr>
      <w:divsChild>
        <w:div w:id="252207685">
          <w:marLeft w:val="907"/>
          <w:marRight w:val="0"/>
          <w:marTop w:val="96"/>
          <w:marBottom w:val="0"/>
          <w:divBdr>
            <w:top w:val="none" w:sz="0" w:space="0" w:color="auto"/>
            <w:left w:val="none" w:sz="0" w:space="0" w:color="auto"/>
            <w:bottom w:val="none" w:sz="0" w:space="0" w:color="auto"/>
            <w:right w:val="none" w:sz="0" w:space="0" w:color="auto"/>
          </w:divBdr>
        </w:div>
        <w:div w:id="299388764">
          <w:marLeft w:val="907"/>
          <w:marRight w:val="0"/>
          <w:marTop w:val="96"/>
          <w:marBottom w:val="0"/>
          <w:divBdr>
            <w:top w:val="none" w:sz="0" w:space="0" w:color="auto"/>
            <w:left w:val="none" w:sz="0" w:space="0" w:color="auto"/>
            <w:bottom w:val="none" w:sz="0" w:space="0" w:color="auto"/>
            <w:right w:val="none" w:sz="0" w:space="0" w:color="auto"/>
          </w:divBdr>
        </w:div>
        <w:div w:id="484932690">
          <w:marLeft w:val="907"/>
          <w:marRight w:val="0"/>
          <w:marTop w:val="96"/>
          <w:marBottom w:val="0"/>
          <w:divBdr>
            <w:top w:val="none" w:sz="0" w:space="0" w:color="auto"/>
            <w:left w:val="none" w:sz="0" w:space="0" w:color="auto"/>
            <w:bottom w:val="none" w:sz="0" w:space="0" w:color="auto"/>
            <w:right w:val="none" w:sz="0" w:space="0" w:color="auto"/>
          </w:divBdr>
        </w:div>
        <w:div w:id="936595743">
          <w:marLeft w:val="907"/>
          <w:marRight w:val="0"/>
          <w:marTop w:val="96"/>
          <w:marBottom w:val="0"/>
          <w:divBdr>
            <w:top w:val="none" w:sz="0" w:space="0" w:color="auto"/>
            <w:left w:val="none" w:sz="0" w:space="0" w:color="auto"/>
            <w:bottom w:val="none" w:sz="0" w:space="0" w:color="auto"/>
            <w:right w:val="none" w:sz="0" w:space="0" w:color="auto"/>
          </w:divBdr>
        </w:div>
        <w:div w:id="1002975575">
          <w:marLeft w:val="432"/>
          <w:marRight w:val="0"/>
          <w:marTop w:val="106"/>
          <w:marBottom w:val="0"/>
          <w:divBdr>
            <w:top w:val="none" w:sz="0" w:space="0" w:color="auto"/>
            <w:left w:val="none" w:sz="0" w:space="0" w:color="auto"/>
            <w:bottom w:val="none" w:sz="0" w:space="0" w:color="auto"/>
            <w:right w:val="none" w:sz="0" w:space="0" w:color="auto"/>
          </w:divBdr>
        </w:div>
        <w:div w:id="1580170266">
          <w:marLeft w:val="432"/>
          <w:marRight w:val="0"/>
          <w:marTop w:val="106"/>
          <w:marBottom w:val="0"/>
          <w:divBdr>
            <w:top w:val="none" w:sz="0" w:space="0" w:color="auto"/>
            <w:left w:val="none" w:sz="0" w:space="0" w:color="auto"/>
            <w:bottom w:val="none" w:sz="0" w:space="0" w:color="auto"/>
            <w:right w:val="none" w:sz="0" w:space="0" w:color="auto"/>
          </w:divBdr>
        </w:div>
      </w:divsChild>
    </w:div>
    <w:div w:id="1174537569">
      <w:bodyDiv w:val="1"/>
      <w:marLeft w:val="0"/>
      <w:marRight w:val="0"/>
      <w:marTop w:val="0"/>
      <w:marBottom w:val="0"/>
      <w:divBdr>
        <w:top w:val="none" w:sz="0" w:space="0" w:color="auto"/>
        <w:left w:val="none" w:sz="0" w:space="0" w:color="auto"/>
        <w:bottom w:val="none" w:sz="0" w:space="0" w:color="auto"/>
        <w:right w:val="none" w:sz="0" w:space="0" w:color="auto"/>
      </w:divBdr>
    </w:div>
    <w:div w:id="1201548306">
      <w:bodyDiv w:val="1"/>
      <w:marLeft w:val="0"/>
      <w:marRight w:val="0"/>
      <w:marTop w:val="0"/>
      <w:marBottom w:val="0"/>
      <w:divBdr>
        <w:top w:val="none" w:sz="0" w:space="0" w:color="auto"/>
        <w:left w:val="none" w:sz="0" w:space="0" w:color="auto"/>
        <w:bottom w:val="none" w:sz="0" w:space="0" w:color="auto"/>
        <w:right w:val="none" w:sz="0" w:space="0" w:color="auto"/>
      </w:divBdr>
    </w:div>
    <w:div w:id="1222668741">
      <w:bodyDiv w:val="1"/>
      <w:marLeft w:val="0"/>
      <w:marRight w:val="0"/>
      <w:marTop w:val="0"/>
      <w:marBottom w:val="0"/>
      <w:divBdr>
        <w:top w:val="none" w:sz="0" w:space="0" w:color="auto"/>
        <w:left w:val="none" w:sz="0" w:space="0" w:color="auto"/>
        <w:bottom w:val="none" w:sz="0" w:space="0" w:color="auto"/>
        <w:right w:val="none" w:sz="0" w:space="0" w:color="auto"/>
      </w:divBdr>
    </w:div>
    <w:div w:id="1235779117">
      <w:bodyDiv w:val="1"/>
      <w:marLeft w:val="0"/>
      <w:marRight w:val="0"/>
      <w:marTop w:val="0"/>
      <w:marBottom w:val="0"/>
      <w:divBdr>
        <w:top w:val="none" w:sz="0" w:space="0" w:color="auto"/>
        <w:left w:val="none" w:sz="0" w:space="0" w:color="auto"/>
        <w:bottom w:val="none" w:sz="0" w:space="0" w:color="auto"/>
        <w:right w:val="none" w:sz="0" w:space="0" w:color="auto"/>
      </w:divBdr>
    </w:div>
    <w:div w:id="1255238991">
      <w:bodyDiv w:val="1"/>
      <w:marLeft w:val="0"/>
      <w:marRight w:val="0"/>
      <w:marTop w:val="0"/>
      <w:marBottom w:val="0"/>
      <w:divBdr>
        <w:top w:val="none" w:sz="0" w:space="0" w:color="auto"/>
        <w:left w:val="none" w:sz="0" w:space="0" w:color="auto"/>
        <w:bottom w:val="none" w:sz="0" w:space="0" w:color="auto"/>
        <w:right w:val="none" w:sz="0" w:space="0" w:color="auto"/>
      </w:divBdr>
    </w:div>
    <w:div w:id="1256550881">
      <w:bodyDiv w:val="1"/>
      <w:marLeft w:val="0"/>
      <w:marRight w:val="0"/>
      <w:marTop w:val="0"/>
      <w:marBottom w:val="0"/>
      <w:divBdr>
        <w:top w:val="none" w:sz="0" w:space="0" w:color="auto"/>
        <w:left w:val="none" w:sz="0" w:space="0" w:color="auto"/>
        <w:bottom w:val="none" w:sz="0" w:space="0" w:color="auto"/>
        <w:right w:val="none" w:sz="0" w:space="0" w:color="auto"/>
      </w:divBdr>
    </w:div>
    <w:div w:id="1268197431">
      <w:bodyDiv w:val="1"/>
      <w:marLeft w:val="0"/>
      <w:marRight w:val="0"/>
      <w:marTop w:val="0"/>
      <w:marBottom w:val="0"/>
      <w:divBdr>
        <w:top w:val="none" w:sz="0" w:space="0" w:color="auto"/>
        <w:left w:val="none" w:sz="0" w:space="0" w:color="auto"/>
        <w:bottom w:val="none" w:sz="0" w:space="0" w:color="auto"/>
        <w:right w:val="none" w:sz="0" w:space="0" w:color="auto"/>
      </w:divBdr>
    </w:div>
    <w:div w:id="1314993838">
      <w:bodyDiv w:val="1"/>
      <w:marLeft w:val="0"/>
      <w:marRight w:val="0"/>
      <w:marTop w:val="0"/>
      <w:marBottom w:val="0"/>
      <w:divBdr>
        <w:top w:val="none" w:sz="0" w:space="0" w:color="auto"/>
        <w:left w:val="none" w:sz="0" w:space="0" w:color="auto"/>
        <w:bottom w:val="none" w:sz="0" w:space="0" w:color="auto"/>
        <w:right w:val="none" w:sz="0" w:space="0" w:color="auto"/>
      </w:divBdr>
    </w:div>
    <w:div w:id="1451314694">
      <w:bodyDiv w:val="1"/>
      <w:marLeft w:val="0"/>
      <w:marRight w:val="0"/>
      <w:marTop w:val="0"/>
      <w:marBottom w:val="0"/>
      <w:divBdr>
        <w:top w:val="none" w:sz="0" w:space="0" w:color="auto"/>
        <w:left w:val="none" w:sz="0" w:space="0" w:color="auto"/>
        <w:bottom w:val="none" w:sz="0" w:space="0" w:color="auto"/>
        <w:right w:val="none" w:sz="0" w:space="0" w:color="auto"/>
      </w:divBdr>
    </w:div>
    <w:div w:id="1458445797">
      <w:bodyDiv w:val="1"/>
      <w:marLeft w:val="0"/>
      <w:marRight w:val="0"/>
      <w:marTop w:val="0"/>
      <w:marBottom w:val="0"/>
      <w:divBdr>
        <w:top w:val="none" w:sz="0" w:space="0" w:color="auto"/>
        <w:left w:val="none" w:sz="0" w:space="0" w:color="auto"/>
        <w:bottom w:val="none" w:sz="0" w:space="0" w:color="auto"/>
        <w:right w:val="none" w:sz="0" w:space="0" w:color="auto"/>
      </w:divBdr>
    </w:div>
    <w:div w:id="1488017347">
      <w:bodyDiv w:val="1"/>
      <w:marLeft w:val="0"/>
      <w:marRight w:val="0"/>
      <w:marTop w:val="0"/>
      <w:marBottom w:val="0"/>
      <w:divBdr>
        <w:top w:val="none" w:sz="0" w:space="0" w:color="auto"/>
        <w:left w:val="none" w:sz="0" w:space="0" w:color="auto"/>
        <w:bottom w:val="none" w:sz="0" w:space="0" w:color="auto"/>
        <w:right w:val="none" w:sz="0" w:space="0" w:color="auto"/>
      </w:divBdr>
    </w:div>
    <w:div w:id="1510753187">
      <w:bodyDiv w:val="1"/>
      <w:marLeft w:val="0"/>
      <w:marRight w:val="0"/>
      <w:marTop w:val="0"/>
      <w:marBottom w:val="0"/>
      <w:divBdr>
        <w:top w:val="none" w:sz="0" w:space="0" w:color="auto"/>
        <w:left w:val="none" w:sz="0" w:space="0" w:color="auto"/>
        <w:bottom w:val="none" w:sz="0" w:space="0" w:color="auto"/>
        <w:right w:val="none" w:sz="0" w:space="0" w:color="auto"/>
      </w:divBdr>
    </w:div>
    <w:div w:id="1539976749">
      <w:bodyDiv w:val="1"/>
      <w:marLeft w:val="0"/>
      <w:marRight w:val="0"/>
      <w:marTop w:val="0"/>
      <w:marBottom w:val="0"/>
      <w:divBdr>
        <w:top w:val="none" w:sz="0" w:space="0" w:color="auto"/>
        <w:left w:val="none" w:sz="0" w:space="0" w:color="auto"/>
        <w:bottom w:val="none" w:sz="0" w:space="0" w:color="auto"/>
        <w:right w:val="none" w:sz="0" w:space="0" w:color="auto"/>
      </w:divBdr>
    </w:div>
    <w:div w:id="1555576299">
      <w:bodyDiv w:val="1"/>
      <w:marLeft w:val="0"/>
      <w:marRight w:val="0"/>
      <w:marTop w:val="0"/>
      <w:marBottom w:val="0"/>
      <w:divBdr>
        <w:top w:val="none" w:sz="0" w:space="0" w:color="auto"/>
        <w:left w:val="none" w:sz="0" w:space="0" w:color="auto"/>
        <w:bottom w:val="none" w:sz="0" w:space="0" w:color="auto"/>
        <w:right w:val="none" w:sz="0" w:space="0" w:color="auto"/>
      </w:divBdr>
    </w:div>
    <w:div w:id="1570656965">
      <w:bodyDiv w:val="1"/>
      <w:marLeft w:val="0"/>
      <w:marRight w:val="0"/>
      <w:marTop w:val="0"/>
      <w:marBottom w:val="0"/>
      <w:divBdr>
        <w:top w:val="none" w:sz="0" w:space="0" w:color="auto"/>
        <w:left w:val="none" w:sz="0" w:space="0" w:color="auto"/>
        <w:bottom w:val="none" w:sz="0" w:space="0" w:color="auto"/>
        <w:right w:val="none" w:sz="0" w:space="0" w:color="auto"/>
      </w:divBdr>
    </w:div>
    <w:div w:id="1580286629">
      <w:bodyDiv w:val="1"/>
      <w:marLeft w:val="0"/>
      <w:marRight w:val="0"/>
      <w:marTop w:val="0"/>
      <w:marBottom w:val="0"/>
      <w:divBdr>
        <w:top w:val="none" w:sz="0" w:space="0" w:color="auto"/>
        <w:left w:val="none" w:sz="0" w:space="0" w:color="auto"/>
        <w:bottom w:val="none" w:sz="0" w:space="0" w:color="auto"/>
        <w:right w:val="none" w:sz="0" w:space="0" w:color="auto"/>
      </w:divBdr>
    </w:div>
    <w:div w:id="1587179937">
      <w:bodyDiv w:val="1"/>
      <w:marLeft w:val="0"/>
      <w:marRight w:val="0"/>
      <w:marTop w:val="0"/>
      <w:marBottom w:val="0"/>
      <w:divBdr>
        <w:top w:val="none" w:sz="0" w:space="0" w:color="auto"/>
        <w:left w:val="none" w:sz="0" w:space="0" w:color="auto"/>
        <w:bottom w:val="none" w:sz="0" w:space="0" w:color="auto"/>
        <w:right w:val="none" w:sz="0" w:space="0" w:color="auto"/>
      </w:divBdr>
    </w:div>
    <w:div w:id="1588925683">
      <w:bodyDiv w:val="1"/>
      <w:marLeft w:val="0"/>
      <w:marRight w:val="0"/>
      <w:marTop w:val="0"/>
      <w:marBottom w:val="0"/>
      <w:divBdr>
        <w:top w:val="none" w:sz="0" w:space="0" w:color="auto"/>
        <w:left w:val="none" w:sz="0" w:space="0" w:color="auto"/>
        <w:bottom w:val="none" w:sz="0" w:space="0" w:color="auto"/>
        <w:right w:val="none" w:sz="0" w:space="0" w:color="auto"/>
      </w:divBdr>
      <w:divsChild>
        <w:div w:id="1250430649">
          <w:marLeft w:val="432"/>
          <w:marRight w:val="0"/>
          <w:marTop w:val="72"/>
          <w:marBottom w:val="0"/>
          <w:divBdr>
            <w:top w:val="none" w:sz="0" w:space="0" w:color="auto"/>
            <w:left w:val="none" w:sz="0" w:space="0" w:color="auto"/>
            <w:bottom w:val="none" w:sz="0" w:space="0" w:color="auto"/>
            <w:right w:val="none" w:sz="0" w:space="0" w:color="auto"/>
          </w:divBdr>
        </w:div>
      </w:divsChild>
    </w:div>
    <w:div w:id="1660112662">
      <w:bodyDiv w:val="1"/>
      <w:marLeft w:val="0"/>
      <w:marRight w:val="0"/>
      <w:marTop w:val="0"/>
      <w:marBottom w:val="0"/>
      <w:divBdr>
        <w:top w:val="none" w:sz="0" w:space="0" w:color="auto"/>
        <w:left w:val="none" w:sz="0" w:space="0" w:color="auto"/>
        <w:bottom w:val="none" w:sz="0" w:space="0" w:color="auto"/>
        <w:right w:val="none" w:sz="0" w:space="0" w:color="auto"/>
      </w:divBdr>
    </w:div>
    <w:div w:id="1685129218">
      <w:bodyDiv w:val="1"/>
      <w:marLeft w:val="0"/>
      <w:marRight w:val="0"/>
      <w:marTop w:val="0"/>
      <w:marBottom w:val="0"/>
      <w:divBdr>
        <w:top w:val="none" w:sz="0" w:space="0" w:color="auto"/>
        <w:left w:val="none" w:sz="0" w:space="0" w:color="auto"/>
        <w:bottom w:val="none" w:sz="0" w:space="0" w:color="auto"/>
        <w:right w:val="none" w:sz="0" w:space="0" w:color="auto"/>
      </w:divBdr>
    </w:div>
    <w:div w:id="1690912257">
      <w:bodyDiv w:val="1"/>
      <w:marLeft w:val="0"/>
      <w:marRight w:val="0"/>
      <w:marTop w:val="0"/>
      <w:marBottom w:val="0"/>
      <w:divBdr>
        <w:top w:val="none" w:sz="0" w:space="0" w:color="auto"/>
        <w:left w:val="none" w:sz="0" w:space="0" w:color="auto"/>
        <w:bottom w:val="none" w:sz="0" w:space="0" w:color="auto"/>
        <w:right w:val="none" w:sz="0" w:space="0" w:color="auto"/>
      </w:divBdr>
    </w:div>
    <w:div w:id="1746489284">
      <w:bodyDiv w:val="1"/>
      <w:marLeft w:val="0"/>
      <w:marRight w:val="0"/>
      <w:marTop w:val="0"/>
      <w:marBottom w:val="0"/>
      <w:divBdr>
        <w:top w:val="none" w:sz="0" w:space="0" w:color="auto"/>
        <w:left w:val="none" w:sz="0" w:space="0" w:color="auto"/>
        <w:bottom w:val="none" w:sz="0" w:space="0" w:color="auto"/>
        <w:right w:val="none" w:sz="0" w:space="0" w:color="auto"/>
      </w:divBdr>
    </w:div>
    <w:div w:id="1752654044">
      <w:bodyDiv w:val="1"/>
      <w:marLeft w:val="0"/>
      <w:marRight w:val="0"/>
      <w:marTop w:val="0"/>
      <w:marBottom w:val="0"/>
      <w:divBdr>
        <w:top w:val="none" w:sz="0" w:space="0" w:color="auto"/>
        <w:left w:val="none" w:sz="0" w:space="0" w:color="auto"/>
        <w:bottom w:val="none" w:sz="0" w:space="0" w:color="auto"/>
        <w:right w:val="none" w:sz="0" w:space="0" w:color="auto"/>
      </w:divBdr>
    </w:div>
    <w:div w:id="1791631860">
      <w:bodyDiv w:val="1"/>
      <w:marLeft w:val="0"/>
      <w:marRight w:val="0"/>
      <w:marTop w:val="0"/>
      <w:marBottom w:val="0"/>
      <w:divBdr>
        <w:top w:val="none" w:sz="0" w:space="0" w:color="auto"/>
        <w:left w:val="none" w:sz="0" w:space="0" w:color="auto"/>
        <w:bottom w:val="none" w:sz="0" w:space="0" w:color="auto"/>
        <w:right w:val="none" w:sz="0" w:space="0" w:color="auto"/>
      </w:divBdr>
    </w:div>
    <w:div w:id="1797291154">
      <w:bodyDiv w:val="1"/>
      <w:marLeft w:val="0"/>
      <w:marRight w:val="0"/>
      <w:marTop w:val="0"/>
      <w:marBottom w:val="0"/>
      <w:divBdr>
        <w:top w:val="none" w:sz="0" w:space="0" w:color="auto"/>
        <w:left w:val="none" w:sz="0" w:space="0" w:color="auto"/>
        <w:bottom w:val="none" w:sz="0" w:space="0" w:color="auto"/>
        <w:right w:val="none" w:sz="0" w:space="0" w:color="auto"/>
      </w:divBdr>
    </w:div>
    <w:div w:id="1798058887">
      <w:bodyDiv w:val="1"/>
      <w:marLeft w:val="0"/>
      <w:marRight w:val="0"/>
      <w:marTop w:val="0"/>
      <w:marBottom w:val="0"/>
      <w:divBdr>
        <w:top w:val="none" w:sz="0" w:space="0" w:color="auto"/>
        <w:left w:val="none" w:sz="0" w:space="0" w:color="auto"/>
        <w:bottom w:val="none" w:sz="0" w:space="0" w:color="auto"/>
        <w:right w:val="none" w:sz="0" w:space="0" w:color="auto"/>
      </w:divBdr>
    </w:div>
    <w:div w:id="1902330159">
      <w:bodyDiv w:val="1"/>
      <w:marLeft w:val="0"/>
      <w:marRight w:val="0"/>
      <w:marTop w:val="0"/>
      <w:marBottom w:val="0"/>
      <w:divBdr>
        <w:top w:val="none" w:sz="0" w:space="0" w:color="auto"/>
        <w:left w:val="none" w:sz="0" w:space="0" w:color="auto"/>
        <w:bottom w:val="none" w:sz="0" w:space="0" w:color="auto"/>
        <w:right w:val="none" w:sz="0" w:space="0" w:color="auto"/>
      </w:divBdr>
    </w:div>
    <w:div w:id="2034837393">
      <w:bodyDiv w:val="1"/>
      <w:marLeft w:val="0"/>
      <w:marRight w:val="0"/>
      <w:marTop w:val="0"/>
      <w:marBottom w:val="0"/>
      <w:divBdr>
        <w:top w:val="none" w:sz="0" w:space="0" w:color="auto"/>
        <w:left w:val="none" w:sz="0" w:space="0" w:color="auto"/>
        <w:bottom w:val="none" w:sz="0" w:space="0" w:color="auto"/>
        <w:right w:val="none" w:sz="0" w:space="0" w:color="auto"/>
      </w:divBdr>
    </w:div>
    <w:div w:id="2059892666">
      <w:bodyDiv w:val="1"/>
      <w:marLeft w:val="0"/>
      <w:marRight w:val="0"/>
      <w:marTop w:val="0"/>
      <w:marBottom w:val="0"/>
      <w:divBdr>
        <w:top w:val="none" w:sz="0" w:space="0" w:color="auto"/>
        <w:left w:val="none" w:sz="0" w:space="0" w:color="auto"/>
        <w:bottom w:val="none" w:sz="0" w:space="0" w:color="auto"/>
        <w:right w:val="none" w:sz="0" w:space="0" w:color="auto"/>
      </w:divBdr>
    </w:div>
    <w:div w:id="2092774699">
      <w:bodyDiv w:val="1"/>
      <w:marLeft w:val="0"/>
      <w:marRight w:val="0"/>
      <w:marTop w:val="0"/>
      <w:marBottom w:val="0"/>
      <w:divBdr>
        <w:top w:val="none" w:sz="0" w:space="0" w:color="auto"/>
        <w:left w:val="none" w:sz="0" w:space="0" w:color="auto"/>
        <w:bottom w:val="none" w:sz="0" w:space="0" w:color="auto"/>
        <w:right w:val="none" w:sz="0" w:space="0" w:color="auto"/>
      </w:divBdr>
    </w:div>
    <w:div w:id="212064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8.emf"/><Relationship Id="rId39"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yperlink" Target="https://www.mdba.gov.au/kid/files/1716-ModellingTheEconomicEffectsOfTheMDBPlan.pdf" TargetMode="External"/><Relationship Id="rId42" Type="http://schemas.openxmlformats.org/officeDocument/2006/relationships/footer" Target="footer4.xml"/><Relationship Id="rId50"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www.mirrigation.com.au/About-Us/Company-Overview" TargetMode="External"/><Relationship Id="rId33" Type="http://schemas.openxmlformats.org/officeDocument/2006/relationships/image" Target="media/image14.png"/><Relationship Id="rId38"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www.pc.gov.au/inquiries/completed/murray-darling-water-recovery/submissions/subdr082.pdf" TargetMode="Externa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http://www.aip.com.au/pricing/facts/Facts_About_the_Australian_Retail_Fuels_Market_and_Prices.htm" TargetMode="External"/><Relationship Id="rId36" Type="http://schemas.openxmlformats.org/officeDocument/2006/relationships/hyperlink" Target="http://mvcitrus.org.au/mvcb/wp-content/uploads/2012/08/Managing-Citrus-Orchards-with-less-Water-FINAL.pdf"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2.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hyperlink" Target="http://mvwi.com.au/items/577/MVWI%20%20Riverina%20WUE%20Report%202012-13.pdf" TargetMode="External"/><Relationship Id="rId43" Type="http://schemas.openxmlformats.org/officeDocument/2006/relationships/header" Target="header9.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dwyer\Dropbox\MJA%20Resources\40%20-%20Proposal%20&amp;%20Project%20Management\10%20-%20Report%20&amp;%20Proposal%20templates\30%20-%20Report%20templates\MJA%202014%20report%20and%20propos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15A98-BFC2-4D7D-A849-CCC0286CDD29}"/>
</file>

<file path=customXml/itemProps2.xml><?xml version="1.0" encoding="utf-8"?>
<ds:datastoreItem xmlns:ds="http://schemas.openxmlformats.org/officeDocument/2006/customXml" ds:itemID="{A9E87720-65B0-429B-BB12-287751E15E78}"/>
</file>

<file path=customXml/itemProps3.xml><?xml version="1.0" encoding="utf-8"?>
<ds:datastoreItem xmlns:ds="http://schemas.openxmlformats.org/officeDocument/2006/customXml" ds:itemID="{D4E33FDB-A049-4C55-BD70-1180C7032658}"/>
</file>

<file path=customXml/itemProps4.xml><?xml version="1.0" encoding="utf-8"?>
<ds:datastoreItem xmlns:ds="http://schemas.openxmlformats.org/officeDocument/2006/customXml" ds:itemID="{83060C68-5ABC-49C3-99C4-6A59BA43B38D}"/>
</file>

<file path=docProps/app.xml><?xml version="1.0" encoding="utf-8"?>
<Properties xmlns="http://schemas.openxmlformats.org/officeDocument/2006/extended-properties" xmlns:vt="http://schemas.openxmlformats.org/officeDocument/2006/docPropsVTypes">
  <Template>MJA 2014 report and proposal template</Template>
  <TotalTime>5</TotalTime>
  <Pages>61</Pages>
  <Words>15854</Words>
  <Characters>90372</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Gavan Dwyer</dc:creator>
  <cp:lastModifiedBy>Waring, Adrian</cp:lastModifiedBy>
  <cp:revision>5</cp:revision>
  <cp:lastPrinted>2017-05-23T03:02:00Z</cp:lastPrinted>
  <dcterms:created xsi:type="dcterms:W3CDTF">2017-10-04T06:41:00Z</dcterms:created>
  <dcterms:modified xsi:type="dcterms:W3CDTF">2017-11-21T03:25:00Z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