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E5" w:rsidRPr="00AA4A3E" w:rsidRDefault="003E7FE5" w:rsidP="00F34006">
      <w:pPr>
        <w:pStyle w:val="Caption"/>
        <w:spacing w:before="200" w:after="120"/>
        <w:jc w:val="left"/>
        <w:rPr>
          <w:rFonts w:ascii="Calibri" w:hAnsi="Calibri"/>
          <w:b w:val="0"/>
          <w:bCs w:val="0"/>
          <w:sz w:val="33"/>
          <w:szCs w:val="33"/>
        </w:rPr>
      </w:pPr>
      <w:r w:rsidRPr="00AA4A3E">
        <w:rPr>
          <w:rFonts w:ascii="Calibri" w:hAnsi="Calibri"/>
          <w:b w:val="0"/>
          <w:sz w:val="33"/>
          <w:szCs w:val="33"/>
        </w:rPr>
        <w:t>SA MURRAY-DARLING BASIN ENVIRONMENTAL WORKS AND MEASURES FEASIBILITY PROGRAM</w:t>
      </w:r>
      <w:r w:rsidR="00566E83">
        <w:rPr>
          <w:rFonts w:ascii="Calibri" w:hAnsi="Calibri"/>
          <w:b w:val="0"/>
          <w:sz w:val="33"/>
          <w:szCs w:val="33"/>
        </w:rPr>
        <w:t xml:space="preserve"> (EWMFP)</w:t>
      </w:r>
      <w:r w:rsidR="00312BD7" w:rsidRPr="00AA4A3E">
        <w:rPr>
          <w:rFonts w:ascii="Calibri" w:hAnsi="Calibri"/>
          <w:b w:val="0"/>
          <w:sz w:val="33"/>
          <w:szCs w:val="33"/>
        </w:rPr>
        <w:t xml:space="preserve"> </w:t>
      </w:r>
      <w:r w:rsidR="00AA4A3E">
        <w:rPr>
          <w:rFonts w:ascii="Calibri" w:hAnsi="Calibri"/>
          <w:b w:val="0"/>
          <w:sz w:val="33"/>
          <w:szCs w:val="33"/>
        </w:rPr>
        <w:t>–</w:t>
      </w:r>
      <w:r w:rsidR="009B166D" w:rsidRPr="00AA4A3E">
        <w:rPr>
          <w:rFonts w:ascii="Calibri" w:hAnsi="Calibri"/>
          <w:b w:val="0"/>
          <w:sz w:val="33"/>
          <w:szCs w:val="33"/>
        </w:rPr>
        <w:t xml:space="preserve"> STATE</w:t>
      </w:r>
      <w:r w:rsidR="00AA4A3E">
        <w:rPr>
          <w:rFonts w:ascii="Calibri" w:hAnsi="Calibri"/>
          <w:b w:val="0"/>
          <w:sz w:val="33"/>
          <w:szCs w:val="33"/>
        </w:rPr>
        <w:t>-LED COMMUNITY COMPONENT</w:t>
      </w:r>
    </w:p>
    <w:p w:rsidR="00306CF0" w:rsidRDefault="00306CF0" w:rsidP="00F34006">
      <w:pPr>
        <w:pStyle w:val="ListParagraph"/>
        <w:spacing w:after="60" w:line="240" w:lineRule="auto"/>
        <w:ind w:left="0"/>
        <w:rPr>
          <w:color w:val="auto"/>
        </w:rPr>
      </w:pPr>
      <w:bookmarkStart w:id="0" w:name="_Toc372709131"/>
      <w:bookmarkStart w:id="1" w:name="_Toc388327762"/>
      <w:bookmarkStart w:id="2" w:name="_Toc388850109"/>
      <w:bookmarkStart w:id="3" w:name="_Toc388850197"/>
      <w:bookmarkStart w:id="4" w:name="_Toc388850265"/>
      <w:bookmarkStart w:id="5" w:name="_Toc391796301"/>
    </w:p>
    <w:p w:rsidR="00306CF0" w:rsidRDefault="00306CF0" w:rsidP="00F34006">
      <w:pPr>
        <w:pStyle w:val="ListParagraph"/>
        <w:spacing w:after="60" w:line="240" w:lineRule="auto"/>
        <w:ind w:left="0"/>
        <w:rPr>
          <w:color w:val="auto"/>
        </w:rPr>
      </w:pPr>
      <w:r>
        <w:rPr>
          <w:color w:val="auto"/>
        </w:rPr>
        <w:t>Project Commencement Date:</w:t>
      </w:r>
      <w:r>
        <w:rPr>
          <w:color w:val="auto"/>
        </w:rPr>
        <w:tab/>
      </w:r>
      <w:r w:rsidR="00F34006">
        <w:rPr>
          <w:color w:val="auto"/>
        </w:rPr>
        <w:tab/>
      </w:r>
      <w:r w:rsidR="00475731">
        <w:rPr>
          <w:color w:val="auto"/>
        </w:rPr>
        <w:t>15 September</w:t>
      </w:r>
      <w:r w:rsidR="002509AE">
        <w:rPr>
          <w:color w:val="auto"/>
        </w:rPr>
        <w:t xml:space="preserve"> 2011</w:t>
      </w:r>
    </w:p>
    <w:p w:rsidR="00754C46" w:rsidRDefault="00754C46" w:rsidP="00F34006">
      <w:pPr>
        <w:pStyle w:val="ListParagraph"/>
        <w:spacing w:after="60" w:line="240" w:lineRule="auto"/>
        <w:ind w:left="0"/>
        <w:rPr>
          <w:color w:val="auto"/>
        </w:rPr>
      </w:pPr>
    </w:p>
    <w:p w:rsidR="00754C46" w:rsidRDefault="00306CF0" w:rsidP="00F34006">
      <w:pPr>
        <w:pStyle w:val="ListParagraph"/>
        <w:spacing w:after="60" w:line="240" w:lineRule="auto"/>
        <w:ind w:left="0"/>
        <w:rPr>
          <w:color w:val="auto"/>
        </w:rPr>
      </w:pPr>
      <w:r>
        <w:rPr>
          <w:color w:val="auto"/>
        </w:rPr>
        <w:t>Project Completion Date:</w:t>
      </w:r>
      <w:r>
        <w:rPr>
          <w:color w:val="auto"/>
        </w:rPr>
        <w:tab/>
      </w:r>
      <w:r>
        <w:rPr>
          <w:color w:val="auto"/>
        </w:rPr>
        <w:tab/>
        <w:t>29 March 2013</w:t>
      </w:r>
    </w:p>
    <w:p w:rsidR="00754C46" w:rsidRDefault="00754C46" w:rsidP="00F34006">
      <w:pPr>
        <w:pStyle w:val="ListParagraph"/>
        <w:spacing w:after="60" w:line="240" w:lineRule="auto"/>
        <w:ind w:left="0"/>
        <w:rPr>
          <w:color w:val="auto"/>
        </w:rPr>
      </w:pPr>
    </w:p>
    <w:p w:rsidR="00E063FE" w:rsidRDefault="00306CF0" w:rsidP="00F34006">
      <w:pPr>
        <w:pStyle w:val="ListParagraph"/>
        <w:spacing w:after="60" w:line="240" w:lineRule="auto"/>
        <w:ind w:left="0"/>
        <w:rPr>
          <w:color w:val="auto"/>
        </w:rPr>
      </w:pPr>
      <w:r>
        <w:rPr>
          <w:color w:val="auto"/>
        </w:rPr>
        <w:t xml:space="preserve">This final Project Report </w:t>
      </w:r>
      <w:bookmarkStart w:id="6" w:name="_GoBack"/>
      <w:bookmarkEnd w:id="6"/>
      <w:r>
        <w:rPr>
          <w:color w:val="auto"/>
        </w:rPr>
        <w:t xml:space="preserve">has been prepared in accordance with Section 19 of the Project Agreement </w:t>
      </w:r>
      <w:r w:rsidR="005C39B9">
        <w:rPr>
          <w:color w:val="auto"/>
        </w:rPr>
        <w:t xml:space="preserve">for the South Australian Murray-Darling Basin Environmental Works and Measures Feasibility Program Intergovernmental Agreement of Federal Financial Relations </w:t>
      </w:r>
      <w:r w:rsidRPr="00475731">
        <w:rPr>
          <w:color w:val="auto"/>
        </w:rPr>
        <w:t xml:space="preserve">dated 15 September 2011. </w:t>
      </w:r>
    </w:p>
    <w:p w:rsidR="00FD5085" w:rsidRPr="007A06BF" w:rsidRDefault="00FD5085" w:rsidP="005C39B9">
      <w:pPr>
        <w:pStyle w:val="ListParagraph"/>
        <w:spacing w:before="120" w:after="120" w:line="240" w:lineRule="auto"/>
        <w:ind w:left="0"/>
        <w:rPr>
          <w:b/>
          <w:color w:val="00B0F0"/>
          <w:sz w:val="28"/>
          <w:szCs w:val="28"/>
        </w:rPr>
      </w:pPr>
      <w:r w:rsidRPr="007A06BF">
        <w:rPr>
          <w:b/>
          <w:color w:val="00B0F0"/>
          <w:sz w:val="28"/>
          <w:szCs w:val="28"/>
        </w:rPr>
        <w:t xml:space="preserve">STATED PROJECT </w:t>
      </w:r>
      <w:r w:rsidR="002509AE" w:rsidRPr="007A06BF">
        <w:rPr>
          <w:b/>
          <w:color w:val="00B0F0"/>
          <w:sz w:val="28"/>
          <w:szCs w:val="28"/>
        </w:rPr>
        <w:t>OBJECTIVES</w:t>
      </w:r>
      <w:r w:rsidRPr="007A06BF">
        <w:rPr>
          <w:b/>
          <w:color w:val="00B0F0"/>
          <w:sz w:val="28"/>
          <w:szCs w:val="28"/>
        </w:rPr>
        <w:t xml:space="preserve"> AND </w:t>
      </w:r>
      <w:r w:rsidR="002509AE" w:rsidRPr="007A06BF">
        <w:rPr>
          <w:b/>
          <w:color w:val="00B0F0"/>
          <w:sz w:val="28"/>
          <w:szCs w:val="28"/>
        </w:rPr>
        <w:t>OUT</w:t>
      </w:r>
      <w:r w:rsidR="00C31D34" w:rsidRPr="007A06BF">
        <w:rPr>
          <w:b/>
          <w:color w:val="00B0F0"/>
          <w:sz w:val="28"/>
          <w:szCs w:val="28"/>
        </w:rPr>
        <w:t>PUTS</w:t>
      </w:r>
    </w:p>
    <w:p w:rsidR="002509AE" w:rsidRDefault="002509AE" w:rsidP="00F34006">
      <w:pPr>
        <w:pStyle w:val="ListParagraph"/>
        <w:spacing w:after="60" w:line="240" w:lineRule="auto"/>
        <w:ind w:left="0"/>
        <w:rPr>
          <w:color w:val="auto"/>
        </w:rPr>
      </w:pPr>
      <w:r>
        <w:rPr>
          <w:color w:val="auto"/>
        </w:rPr>
        <w:t xml:space="preserve">The overall objectives of the </w:t>
      </w:r>
      <w:r w:rsidR="00AB5190">
        <w:rPr>
          <w:color w:val="auto"/>
        </w:rPr>
        <w:t>Environmental Works and Measures Feasibility Program State-led Community Component (</w:t>
      </w:r>
      <w:r>
        <w:rPr>
          <w:color w:val="auto"/>
        </w:rPr>
        <w:t>EWMFP SLLCC</w:t>
      </w:r>
      <w:r w:rsidR="00AB5190">
        <w:rPr>
          <w:color w:val="auto"/>
        </w:rPr>
        <w:t>)</w:t>
      </w:r>
      <w:r>
        <w:rPr>
          <w:color w:val="auto"/>
        </w:rPr>
        <w:t xml:space="preserve"> was to deliver a State-led community engagement and communication process to identify and undertake pre-feasibility assessment of community based proposals for en</w:t>
      </w:r>
      <w:r w:rsidR="005C39B9">
        <w:rPr>
          <w:color w:val="auto"/>
        </w:rPr>
        <w:t>vironmental works and measures.</w:t>
      </w:r>
    </w:p>
    <w:p w:rsidR="003A0CC1" w:rsidRPr="007A06BF" w:rsidRDefault="00F34006" w:rsidP="005C39B9">
      <w:pPr>
        <w:pStyle w:val="ListParagraph"/>
        <w:spacing w:before="120" w:after="120" w:line="240" w:lineRule="auto"/>
        <w:ind w:left="0"/>
        <w:rPr>
          <w:b/>
          <w:color w:val="00B0F0"/>
          <w:sz w:val="28"/>
          <w:szCs w:val="28"/>
        </w:rPr>
      </w:pPr>
      <w:r>
        <w:rPr>
          <w:b/>
          <w:color w:val="00B0F0"/>
          <w:sz w:val="28"/>
          <w:szCs w:val="28"/>
        </w:rPr>
        <w:t xml:space="preserve">EVALUATION OF THE </w:t>
      </w:r>
      <w:r w:rsidR="009E62D5" w:rsidRPr="007A06BF">
        <w:rPr>
          <w:b/>
          <w:color w:val="00B0F0"/>
          <w:sz w:val="28"/>
          <w:szCs w:val="28"/>
        </w:rPr>
        <w:t xml:space="preserve">PROJECT </w:t>
      </w:r>
      <w:r w:rsidR="003A0CC1" w:rsidRPr="007A06BF">
        <w:rPr>
          <w:b/>
          <w:color w:val="00B0F0"/>
          <w:sz w:val="28"/>
          <w:szCs w:val="28"/>
        </w:rPr>
        <w:t>AGAINST STATED OBJECTIVES</w:t>
      </w:r>
    </w:p>
    <w:p w:rsidR="00C31D34" w:rsidRPr="007A06BF" w:rsidRDefault="003A0CC1" w:rsidP="005C39B9">
      <w:pPr>
        <w:pStyle w:val="ListParagraph"/>
        <w:spacing w:before="120" w:after="120" w:line="240" w:lineRule="auto"/>
        <w:ind w:left="0"/>
        <w:rPr>
          <w:b/>
          <w:color w:val="00B0F0"/>
          <w:sz w:val="24"/>
          <w:szCs w:val="24"/>
        </w:rPr>
      </w:pPr>
      <w:r w:rsidRPr="007A06BF">
        <w:rPr>
          <w:b/>
          <w:color w:val="00B0F0"/>
          <w:sz w:val="24"/>
          <w:szCs w:val="24"/>
        </w:rPr>
        <w:t>Identification and prioritisation of community ideas</w:t>
      </w:r>
    </w:p>
    <w:p w:rsidR="001214C9" w:rsidRDefault="0016302B" w:rsidP="005C39B9">
      <w:pPr>
        <w:pStyle w:val="ListParagraph"/>
        <w:spacing w:after="120" w:line="240" w:lineRule="auto"/>
        <w:ind w:left="0"/>
        <w:rPr>
          <w:color w:val="auto"/>
        </w:rPr>
      </w:pPr>
      <w:r>
        <w:rPr>
          <w:color w:val="auto"/>
        </w:rPr>
        <w:t xml:space="preserve">The Department </w:t>
      </w:r>
      <w:r w:rsidR="000B7E10">
        <w:rPr>
          <w:color w:val="auto"/>
        </w:rPr>
        <w:t xml:space="preserve">of Environment, Water and Natural Resources (DEWNR) </w:t>
      </w:r>
      <w:r>
        <w:rPr>
          <w:color w:val="auto"/>
        </w:rPr>
        <w:t xml:space="preserve">entered into an agreement with the South Australian Murray-Darling Basin Natural Management </w:t>
      </w:r>
      <w:r w:rsidR="001214C9">
        <w:rPr>
          <w:color w:val="auto"/>
        </w:rPr>
        <w:t xml:space="preserve">Board (the Board) </w:t>
      </w:r>
      <w:r w:rsidR="000B7E10">
        <w:rPr>
          <w:color w:val="auto"/>
        </w:rPr>
        <w:t xml:space="preserve">in December 2011 </w:t>
      </w:r>
      <w:r>
        <w:rPr>
          <w:color w:val="auto"/>
        </w:rPr>
        <w:t>to manage the expression of interest process for community ideas, including the</w:t>
      </w:r>
      <w:r w:rsidR="00AB5190">
        <w:rPr>
          <w:color w:val="auto"/>
        </w:rPr>
        <w:t xml:space="preserve"> delivery of a prioritised list,</w:t>
      </w:r>
      <w:r>
        <w:rPr>
          <w:color w:val="auto"/>
        </w:rPr>
        <w:t xml:space="preserve"> communications and community engagement strategy.</w:t>
      </w:r>
      <w:r w:rsidR="00CF2617">
        <w:rPr>
          <w:color w:val="auto"/>
        </w:rPr>
        <w:t xml:space="preserve"> </w:t>
      </w:r>
      <w:r>
        <w:rPr>
          <w:color w:val="auto"/>
        </w:rPr>
        <w:t>A Project Management Committee</w:t>
      </w:r>
      <w:r w:rsidR="001214C9">
        <w:rPr>
          <w:color w:val="auto"/>
        </w:rPr>
        <w:t xml:space="preserve"> (PMC)</w:t>
      </w:r>
      <w:r>
        <w:rPr>
          <w:color w:val="auto"/>
        </w:rPr>
        <w:t xml:space="preserve"> was</w:t>
      </w:r>
      <w:r w:rsidR="001214C9">
        <w:rPr>
          <w:color w:val="auto"/>
        </w:rPr>
        <w:t xml:space="preserve"> also </w:t>
      </w:r>
      <w:r>
        <w:rPr>
          <w:color w:val="auto"/>
        </w:rPr>
        <w:t xml:space="preserve">formed </w:t>
      </w:r>
      <w:r w:rsidR="000B7E10">
        <w:rPr>
          <w:color w:val="auto"/>
        </w:rPr>
        <w:t xml:space="preserve">in December 2011, </w:t>
      </w:r>
      <w:r>
        <w:rPr>
          <w:color w:val="auto"/>
        </w:rPr>
        <w:t>consisting</w:t>
      </w:r>
      <w:r w:rsidR="001214C9">
        <w:rPr>
          <w:color w:val="auto"/>
        </w:rPr>
        <w:t xml:space="preserve"> of </w:t>
      </w:r>
      <w:r w:rsidR="000B7E10">
        <w:rPr>
          <w:color w:val="auto"/>
        </w:rPr>
        <w:t>DEWNR</w:t>
      </w:r>
      <w:r w:rsidR="001214C9">
        <w:rPr>
          <w:color w:val="auto"/>
        </w:rPr>
        <w:t xml:space="preserve"> staff and representatives of the Board. The purpose of the PMC was to provide strategic direction on the Project’s implementation and</w:t>
      </w:r>
      <w:r w:rsidR="001214C9" w:rsidRPr="003E7FE5">
        <w:rPr>
          <w:color w:val="auto"/>
        </w:rPr>
        <w:t xml:space="preserve"> </w:t>
      </w:r>
      <w:r w:rsidR="001214C9">
        <w:rPr>
          <w:color w:val="auto"/>
        </w:rPr>
        <w:t>p</w:t>
      </w:r>
      <w:r w:rsidR="001214C9" w:rsidRPr="003E7FE5">
        <w:rPr>
          <w:color w:val="auto"/>
        </w:rPr>
        <w:t xml:space="preserve">rovide advice on planning, operational delivery and general </w:t>
      </w:r>
      <w:r w:rsidR="001214C9">
        <w:rPr>
          <w:color w:val="auto"/>
        </w:rPr>
        <w:t>p</w:t>
      </w:r>
      <w:r w:rsidR="001214C9" w:rsidRPr="003E7FE5">
        <w:rPr>
          <w:color w:val="auto"/>
        </w:rPr>
        <w:t xml:space="preserve">roject matters to the </w:t>
      </w:r>
      <w:r w:rsidR="001214C9">
        <w:rPr>
          <w:color w:val="auto"/>
        </w:rPr>
        <w:t>Service Provider</w:t>
      </w:r>
      <w:r w:rsidR="001214C9" w:rsidRPr="003E7FE5">
        <w:rPr>
          <w:color w:val="auto"/>
        </w:rPr>
        <w:t>.</w:t>
      </w:r>
    </w:p>
    <w:p w:rsidR="00062237" w:rsidRDefault="001214C9" w:rsidP="005C39B9">
      <w:pPr>
        <w:pStyle w:val="ListParagraph"/>
        <w:spacing w:after="120" w:line="240" w:lineRule="auto"/>
        <w:ind w:left="0"/>
        <w:rPr>
          <w:color w:val="auto"/>
        </w:rPr>
      </w:pPr>
      <w:r>
        <w:rPr>
          <w:color w:val="auto"/>
        </w:rPr>
        <w:t>DEWNR in conjunction with the Board developed the assessment and prioritisation criteria</w:t>
      </w:r>
      <w:r w:rsidR="00D63085">
        <w:rPr>
          <w:color w:val="auto"/>
        </w:rPr>
        <w:t xml:space="preserve"> </w:t>
      </w:r>
      <w:r w:rsidR="00D63085" w:rsidRPr="00AD66D6">
        <w:rPr>
          <w:color w:val="auto"/>
        </w:rPr>
        <w:t xml:space="preserve">(see Attachment </w:t>
      </w:r>
      <w:r w:rsidR="000D4275">
        <w:rPr>
          <w:color w:val="auto"/>
        </w:rPr>
        <w:t>9.</w:t>
      </w:r>
      <w:r w:rsidR="00D63085" w:rsidRPr="00AD66D6">
        <w:rPr>
          <w:color w:val="auto"/>
        </w:rPr>
        <w:t>1)</w:t>
      </w:r>
      <w:r w:rsidRPr="00AD66D6">
        <w:rPr>
          <w:color w:val="auto"/>
        </w:rPr>
        <w:t>,</w:t>
      </w:r>
      <w:r>
        <w:rPr>
          <w:color w:val="auto"/>
        </w:rPr>
        <w:t xml:space="preserve"> proposal format and detail of project progress.</w:t>
      </w:r>
      <w:r w:rsidR="000B7E10">
        <w:rPr>
          <w:color w:val="auto"/>
        </w:rPr>
        <w:t xml:space="preserve"> </w:t>
      </w:r>
      <w:r w:rsidR="00CF2617">
        <w:rPr>
          <w:color w:val="auto"/>
        </w:rPr>
        <w:t>A Community Engagement Strategy was finalised on 31 May 2012</w:t>
      </w:r>
      <w:r w:rsidR="0020063F">
        <w:rPr>
          <w:color w:val="auto"/>
        </w:rPr>
        <w:t>.</w:t>
      </w:r>
    </w:p>
    <w:p w:rsidR="00062237" w:rsidRDefault="00062237" w:rsidP="005C39B9">
      <w:pPr>
        <w:pStyle w:val="ListParagraph"/>
        <w:spacing w:after="120" w:line="240" w:lineRule="auto"/>
        <w:ind w:left="0"/>
        <w:rPr>
          <w:color w:val="auto"/>
        </w:rPr>
      </w:pPr>
      <w:r>
        <w:rPr>
          <w:color w:val="auto"/>
        </w:rPr>
        <w:t xml:space="preserve">In February 2012 the Board </w:t>
      </w:r>
      <w:r w:rsidR="002F03E9">
        <w:rPr>
          <w:color w:val="auto"/>
        </w:rPr>
        <w:t xml:space="preserve">invited </w:t>
      </w:r>
      <w:r>
        <w:rPr>
          <w:color w:val="auto"/>
        </w:rPr>
        <w:t>expressions of interest f</w:t>
      </w:r>
      <w:r w:rsidR="002F03E9">
        <w:rPr>
          <w:color w:val="auto"/>
        </w:rPr>
        <w:t>rom the community calling f</w:t>
      </w:r>
      <w:r>
        <w:rPr>
          <w:color w:val="auto"/>
        </w:rPr>
        <w:t>or “community ideas for localised solutions” to help achieve the environmental objectives of the Murray-Darling Basin Plan, and potentially save water or use water more efficiently.</w:t>
      </w:r>
      <w:r w:rsidR="002F03E9">
        <w:rPr>
          <w:color w:val="auto"/>
        </w:rPr>
        <w:t xml:space="preserve"> </w:t>
      </w:r>
      <w:r w:rsidR="002F03E9" w:rsidRPr="002F03E9">
        <w:rPr>
          <w:color w:val="auto"/>
        </w:rPr>
        <w:t>A comprehensive promotional campaign</w:t>
      </w:r>
      <w:r w:rsidR="008A5872">
        <w:rPr>
          <w:color w:val="auto"/>
        </w:rPr>
        <w:t xml:space="preserve"> was carried out</w:t>
      </w:r>
      <w:r w:rsidR="002F03E9">
        <w:rPr>
          <w:color w:val="auto"/>
        </w:rPr>
        <w:t xml:space="preserve">. </w:t>
      </w:r>
      <w:r>
        <w:rPr>
          <w:color w:val="auto"/>
        </w:rPr>
        <w:t xml:space="preserve">An overwhelming response to the call resulted in 107 expressions of interest for community ideas being </w:t>
      </w:r>
      <w:r w:rsidR="002F03E9">
        <w:rPr>
          <w:color w:val="auto"/>
        </w:rPr>
        <w:t>submitted by the community</w:t>
      </w:r>
      <w:r w:rsidR="008F3D0F">
        <w:rPr>
          <w:color w:val="auto"/>
        </w:rPr>
        <w:t xml:space="preserve"> in March 2012</w:t>
      </w:r>
      <w:r>
        <w:rPr>
          <w:color w:val="auto"/>
        </w:rPr>
        <w:t>.</w:t>
      </w:r>
    </w:p>
    <w:p w:rsidR="002F03E9" w:rsidRPr="004E2BBD" w:rsidRDefault="002F03E9" w:rsidP="005C39B9">
      <w:pPr>
        <w:pStyle w:val="ListParagraph"/>
        <w:spacing w:after="120" w:line="240" w:lineRule="auto"/>
        <w:ind w:left="0"/>
        <w:rPr>
          <w:rFonts w:cs="Arial"/>
          <w:color w:val="auto"/>
        </w:rPr>
      </w:pPr>
      <w:r>
        <w:rPr>
          <w:color w:val="auto"/>
        </w:rPr>
        <w:t xml:space="preserve">All 107 expression of interest were reviewed </w:t>
      </w:r>
      <w:r w:rsidR="000B7E10">
        <w:rPr>
          <w:color w:val="auto"/>
        </w:rPr>
        <w:t xml:space="preserve">internally by DEWNR </w:t>
      </w:r>
      <w:r>
        <w:rPr>
          <w:color w:val="auto"/>
        </w:rPr>
        <w:t>against the requ</w:t>
      </w:r>
      <w:r w:rsidR="004E2BBD">
        <w:rPr>
          <w:color w:val="auto"/>
        </w:rPr>
        <w:t>irements of the funding program. Some of the ideas were already funded through existing initiatives or grant programs, while some did not meet the objecti</w:t>
      </w:r>
      <w:r w:rsidR="007A06BF">
        <w:rPr>
          <w:color w:val="auto"/>
        </w:rPr>
        <w:t>ves of this particular program.</w:t>
      </w:r>
    </w:p>
    <w:p w:rsidR="008F3D0F" w:rsidRDefault="008F3D0F" w:rsidP="005C39B9">
      <w:pPr>
        <w:pStyle w:val="ListParagraph"/>
        <w:spacing w:after="120" w:line="240" w:lineRule="auto"/>
        <w:ind w:left="0"/>
        <w:rPr>
          <w:color w:val="auto"/>
        </w:rPr>
      </w:pPr>
      <w:r w:rsidRPr="00E92EE6">
        <w:rPr>
          <w:color w:val="auto"/>
        </w:rPr>
        <w:t xml:space="preserve">DEWNR prioritised a </w:t>
      </w:r>
      <w:r w:rsidR="00DE6894" w:rsidRPr="00E92EE6">
        <w:rPr>
          <w:color w:val="auto"/>
        </w:rPr>
        <w:t xml:space="preserve">total of 75 proposals </w:t>
      </w:r>
      <w:r w:rsidRPr="00E92EE6">
        <w:rPr>
          <w:color w:val="auto"/>
        </w:rPr>
        <w:t xml:space="preserve">in July 2012 that were in scope </w:t>
      </w:r>
      <w:r w:rsidR="00DE6894" w:rsidRPr="00E92EE6">
        <w:rPr>
          <w:color w:val="auto"/>
        </w:rPr>
        <w:t>(A</w:t>
      </w:r>
      <w:r w:rsidR="00475731" w:rsidRPr="00E92EE6">
        <w:rPr>
          <w:color w:val="auto"/>
        </w:rPr>
        <w:t>ttachment</w:t>
      </w:r>
      <w:r w:rsidR="00D63085" w:rsidRPr="00E92EE6">
        <w:rPr>
          <w:color w:val="auto"/>
        </w:rPr>
        <w:t xml:space="preserve"> </w:t>
      </w:r>
      <w:r w:rsidR="000D4275">
        <w:rPr>
          <w:color w:val="auto"/>
        </w:rPr>
        <w:t>9.</w:t>
      </w:r>
      <w:r w:rsidR="008A5872">
        <w:rPr>
          <w:color w:val="auto"/>
        </w:rPr>
        <w:t>2</w:t>
      </w:r>
      <w:r w:rsidR="00DE6894" w:rsidRPr="00E92EE6">
        <w:rPr>
          <w:color w:val="auto"/>
        </w:rPr>
        <w:t>)</w:t>
      </w:r>
      <w:r w:rsidR="005C39B9">
        <w:rPr>
          <w:color w:val="auto"/>
        </w:rPr>
        <w:t xml:space="preserve">. These proposals would </w:t>
      </w:r>
      <w:r w:rsidRPr="00E92EE6">
        <w:rPr>
          <w:color w:val="auto"/>
        </w:rPr>
        <w:t>require further refining to determine distinct packages in terms of geographic location or similar project deliverables / outcomes / benefits.</w:t>
      </w:r>
    </w:p>
    <w:p w:rsidR="003A0CC1" w:rsidRPr="007A06BF" w:rsidRDefault="003A0CC1" w:rsidP="005C39B9">
      <w:pPr>
        <w:pStyle w:val="ListParagraph"/>
        <w:spacing w:before="120" w:after="120" w:line="240" w:lineRule="auto"/>
        <w:ind w:left="0"/>
        <w:rPr>
          <w:b/>
          <w:color w:val="00B0F0"/>
          <w:sz w:val="24"/>
          <w:szCs w:val="24"/>
        </w:rPr>
      </w:pPr>
      <w:r w:rsidRPr="007A06BF">
        <w:rPr>
          <w:b/>
          <w:color w:val="00B0F0"/>
          <w:sz w:val="24"/>
          <w:szCs w:val="24"/>
        </w:rPr>
        <w:lastRenderedPageBreak/>
        <w:t>Short-listing of the community identified sub-projects for pre-feasibility assessment including their potential for SDL offsets, in accordance with the project management plan for the State-led community engagement process.</w:t>
      </w:r>
    </w:p>
    <w:p w:rsidR="005C39B9" w:rsidRDefault="008F3D0F" w:rsidP="005C39B9">
      <w:pPr>
        <w:pStyle w:val="ListParagraph"/>
        <w:spacing w:after="120" w:line="240" w:lineRule="auto"/>
        <w:ind w:left="0"/>
        <w:rPr>
          <w:color w:val="auto"/>
        </w:rPr>
      </w:pPr>
      <w:r>
        <w:rPr>
          <w:color w:val="auto"/>
        </w:rPr>
        <w:t xml:space="preserve">The PMC reviewed the 75 proposals and endorsed </w:t>
      </w:r>
      <w:r w:rsidR="008245A9">
        <w:rPr>
          <w:color w:val="auto"/>
        </w:rPr>
        <w:t xml:space="preserve">25 </w:t>
      </w:r>
      <w:r>
        <w:rPr>
          <w:color w:val="auto"/>
        </w:rPr>
        <w:t>proposals to proceed to the next phase of community engagement</w:t>
      </w:r>
      <w:r w:rsidR="008245A9">
        <w:rPr>
          <w:color w:val="auto"/>
        </w:rPr>
        <w:t xml:space="preserve">. </w:t>
      </w:r>
      <w:r w:rsidR="008245A9" w:rsidRPr="008245A9">
        <w:rPr>
          <w:color w:val="auto"/>
        </w:rPr>
        <w:t>Expressions of Interest that were similar and/or had complementary activities were also grouped. Following this assessment process, the 25 ideas for projects that ranked most highly against these criteria were categorised as ‘short-</w:t>
      </w:r>
      <w:proofErr w:type="gramStart"/>
      <w:r w:rsidR="008245A9" w:rsidRPr="00E92EE6">
        <w:rPr>
          <w:color w:val="auto"/>
        </w:rPr>
        <w:t>listed’</w:t>
      </w:r>
      <w:r w:rsidR="00475731" w:rsidRPr="00E92EE6">
        <w:rPr>
          <w:color w:val="auto"/>
        </w:rPr>
        <w:t>(</w:t>
      </w:r>
      <w:proofErr w:type="gramEnd"/>
      <w:r w:rsidR="00D63085" w:rsidRPr="00E92EE6">
        <w:rPr>
          <w:color w:val="auto"/>
        </w:rPr>
        <w:t xml:space="preserve">see Attachment </w:t>
      </w:r>
      <w:r w:rsidR="000D4275">
        <w:rPr>
          <w:color w:val="auto"/>
        </w:rPr>
        <w:t>9.3</w:t>
      </w:r>
      <w:r w:rsidR="00475731" w:rsidRPr="00E92EE6">
        <w:rPr>
          <w:color w:val="auto"/>
        </w:rPr>
        <w:t>)</w:t>
      </w:r>
      <w:r w:rsidR="008245A9" w:rsidRPr="00E92EE6">
        <w:rPr>
          <w:color w:val="auto"/>
        </w:rPr>
        <w:t>. Ideas were grouped into two regions – ‘Above Lock 1’ and ‘Below Lock 1’ (A = Above Lock 1; B = Below Lock 1).</w:t>
      </w:r>
    </w:p>
    <w:p w:rsidR="008245A9" w:rsidRDefault="008245A9" w:rsidP="005C39B9">
      <w:pPr>
        <w:pStyle w:val="ListParagraph"/>
        <w:spacing w:after="120" w:line="240" w:lineRule="auto"/>
        <w:ind w:left="0"/>
        <w:rPr>
          <w:color w:val="auto"/>
        </w:rPr>
      </w:pPr>
      <w:r w:rsidRPr="00E92EE6">
        <w:rPr>
          <w:color w:val="auto"/>
        </w:rPr>
        <w:t xml:space="preserve">The Community were then updated on the progress of the expression of interest assessment process and invited to community </w:t>
      </w:r>
      <w:r w:rsidR="007A06BF" w:rsidRPr="00E92EE6">
        <w:rPr>
          <w:color w:val="auto"/>
        </w:rPr>
        <w:t>workshops</w:t>
      </w:r>
      <w:r w:rsidRPr="00E92EE6">
        <w:rPr>
          <w:color w:val="auto"/>
        </w:rPr>
        <w:t xml:space="preserve"> (see A</w:t>
      </w:r>
      <w:r w:rsidR="00475731" w:rsidRPr="00E92EE6">
        <w:rPr>
          <w:color w:val="auto"/>
        </w:rPr>
        <w:t xml:space="preserve">ttachment </w:t>
      </w:r>
      <w:r w:rsidR="005C39B9">
        <w:rPr>
          <w:color w:val="auto"/>
        </w:rPr>
        <w:t>9.</w:t>
      </w:r>
      <w:r w:rsidR="008A5872">
        <w:rPr>
          <w:color w:val="auto"/>
        </w:rPr>
        <w:t>4</w:t>
      </w:r>
      <w:r w:rsidRPr="00E92EE6">
        <w:rPr>
          <w:color w:val="auto"/>
        </w:rPr>
        <w:t>).</w:t>
      </w:r>
      <w:r w:rsidR="00BE5B28" w:rsidRPr="00E92EE6">
        <w:rPr>
          <w:color w:val="auto"/>
        </w:rPr>
        <w:t xml:space="preserve"> In addition to the emails and letters sent to over 700 stakeho</w:t>
      </w:r>
      <w:r w:rsidR="003859F1" w:rsidRPr="00E92EE6">
        <w:rPr>
          <w:color w:val="auto"/>
        </w:rPr>
        <w:t>l</w:t>
      </w:r>
      <w:r w:rsidR="00BE5B28" w:rsidRPr="00E92EE6">
        <w:rPr>
          <w:color w:val="auto"/>
        </w:rPr>
        <w:t xml:space="preserve">ders, the Board advertised in Regional Newspapers and forwarded media releases which were published </w:t>
      </w:r>
      <w:r w:rsidR="00AB5190" w:rsidRPr="00E92EE6">
        <w:rPr>
          <w:color w:val="auto"/>
        </w:rPr>
        <w:t xml:space="preserve">across the </w:t>
      </w:r>
      <w:proofErr w:type="gramStart"/>
      <w:r w:rsidR="00AB5190" w:rsidRPr="00E92EE6">
        <w:rPr>
          <w:color w:val="auto"/>
        </w:rPr>
        <w:t>region</w:t>
      </w:r>
      <w:r w:rsidR="00BE5B28" w:rsidRPr="00E92EE6">
        <w:rPr>
          <w:color w:val="auto"/>
        </w:rPr>
        <w:t>(</w:t>
      </w:r>
      <w:proofErr w:type="gramEnd"/>
      <w:r w:rsidR="00BE5B28" w:rsidRPr="00E92EE6">
        <w:rPr>
          <w:color w:val="auto"/>
        </w:rPr>
        <w:t>see A</w:t>
      </w:r>
      <w:r w:rsidR="00D63085" w:rsidRPr="00E92EE6">
        <w:rPr>
          <w:color w:val="auto"/>
        </w:rPr>
        <w:t xml:space="preserve">ttachment </w:t>
      </w:r>
      <w:r w:rsidR="005C39B9">
        <w:rPr>
          <w:color w:val="auto"/>
        </w:rPr>
        <w:t>9.</w:t>
      </w:r>
      <w:r w:rsidR="008A5872">
        <w:rPr>
          <w:color w:val="auto"/>
        </w:rPr>
        <w:t>5</w:t>
      </w:r>
      <w:r w:rsidR="00BE5B28" w:rsidRPr="00E92EE6">
        <w:rPr>
          <w:color w:val="auto"/>
        </w:rPr>
        <w:t>).</w:t>
      </w:r>
    </w:p>
    <w:p w:rsidR="00BE5B28" w:rsidRDefault="00BE5B28" w:rsidP="005C39B9">
      <w:pPr>
        <w:pStyle w:val="ListParagraph"/>
        <w:spacing w:after="120" w:line="240" w:lineRule="auto"/>
        <w:ind w:left="0"/>
        <w:rPr>
          <w:color w:val="auto"/>
        </w:rPr>
      </w:pPr>
      <w:r>
        <w:rPr>
          <w:color w:val="auto"/>
        </w:rPr>
        <w:t>A series of workshops w</w:t>
      </w:r>
      <w:r w:rsidR="007A06BF">
        <w:rPr>
          <w:color w:val="auto"/>
        </w:rPr>
        <w:t>ere</w:t>
      </w:r>
      <w:r>
        <w:rPr>
          <w:color w:val="auto"/>
        </w:rPr>
        <w:t xml:space="preserve"> held </w:t>
      </w:r>
      <w:r w:rsidR="007A06BF">
        <w:rPr>
          <w:color w:val="auto"/>
        </w:rPr>
        <w:t>in</w:t>
      </w:r>
      <w:r>
        <w:rPr>
          <w:color w:val="auto"/>
        </w:rPr>
        <w:t xml:space="preserve"> Berri, Mannum and Goolwa</w:t>
      </w:r>
      <w:r w:rsidR="007B526E">
        <w:rPr>
          <w:color w:val="auto"/>
        </w:rPr>
        <w:t xml:space="preserve"> in June 2012, where the community </w:t>
      </w:r>
      <w:r w:rsidR="007A06BF">
        <w:rPr>
          <w:color w:val="auto"/>
        </w:rPr>
        <w:t xml:space="preserve">reviewed the proposals and prioritised </w:t>
      </w:r>
      <w:r w:rsidR="007B526E">
        <w:rPr>
          <w:color w:val="auto"/>
        </w:rPr>
        <w:t xml:space="preserve">11 proposals </w:t>
      </w:r>
      <w:r w:rsidR="007A06BF">
        <w:rPr>
          <w:color w:val="auto"/>
        </w:rPr>
        <w:t>to proceed to pre-feasibility assessment (</w:t>
      </w:r>
      <w:r w:rsidR="007A06BF" w:rsidRPr="00AD66D6">
        <w:rPr>
          <w:color w:val="auto"/>
        </w:rPr>
        <w:t>see Attachment</w:t>
      </w:r>
      <w:r w:rsidR="00D63085">
        <w:rPr>
          <w:color w:val="auto"/>
        </w:rPr>
        <w:t xml:space="preserve"> </w:t>
      </w:r>
      <w:r w:rsidR="005C39B9">
        <w:rPr>
          <w:color w:val="auto"/>
        </w:rPr>
        <w:t>9.</w:t>
      </w:r>
      <w:r w:rsidR="008A5872">
        <w:rPr>
          <w:color w:val="auto"/>
        </w:rPr>
        <w:t>6</w:t>
      </w:r>
      <w:r w:rsidR="007A06BF">
        <w:rPr>
          <w:color w:val="auto"/>
        </w:rPr>
        <w:t>)</w:t>
      </w:r>
      <w:r w:rsidR="007B526E">
        <w:rPr>
          <w:color w:val="auto"/>
        </w:rPr>
        <w:t xml:space="preserve">. </w:t>
      </w:r>
      <w:r>
        <w:rPr>
          <w:color w:val="auto"/>
        </w:rPr>
        <w:t>The 11 ideas</w:t>
      </w:r>
      <w:r w:rsidR="003859F1">
        <w:rPr>
          <w:color w:val="auto"/>
        </w:rPr>
        <w:t xml:space="preserve"> </w:t>
      </w:r>
      <w:r>
        <w:rPr>
          <w:color w:val="auto"/>
        </w:rPr>
        <w:t xml:space="preserve">were then further developed by the Community in </w:t>
      </w:r>
      <w:r w:rsidR="00AB5190">
        <w:rPr>
          <w:color w:val="auto"/>
        </w:rPr>
        <w:t>a second workshop</w:t>
      </w:r>
      <w:r>
        <w:rPr>
          <w:color w:val="auto"/>
        </w:rPr>
        <w:t xml:space="preserve"> with assistance from DEWNR technical </w:t>
      </w:r>
      <w:r w:rsidRPr="00E92EE6">
        <w:rPr>
          <w:color w:val="auto"/>
        </w:rPr>
        <w:t xml:space="preserve">staff (see Attachment </w:t>
      </w:r>
      <w:r w:rsidR="005C39B9">
        <w:rPr>
          <w:color w:val="auto"/>
        </w:rPr>
        <w:t>9.</w:t>
      </w:r>
      <w:r w:rsidR="008A5872">
        <w:rPr>
          <w:color w:val="auto"/>
        </w:rPr>
        <w:t>7</w:t>
      </w:r>
      <w:r w:rsidRPr="00E92EE6">
        <w:rPr>
          <w:color w:val="auto"/>
        </w:rPr>
        <w:t>).</w:t>
      </w:r>
      <w:r w:rsidR="007B526E" w:rsidRPr="00E92EE6">
        <w:rPr>
          <w:color w:val="auto"/>
        </w:rPr>
        <w:t xml:space="preserve"> Both</w:t>
      </w:r>
      <w:r w:rsidR="007B526E">
        <w:rPr>
          <w:color w:val="auto"/>
        </w:rPr>
        <w:t xml:space="preserve"> workshops were well attended and achieved tangible outcomes.</w:t>
      </w:r>
    </w:p>
    <w:p w:rsidR="003A0CC1" w:rsidRPr="007A06BF" w:rsidRDefault="003A0CC1" w:rsidP="005C39B9">
      <w:pPr>
        <w:pStyle w:val="ListParagraph"/>
        <w:spacing w:before="120" w:after="120" w:line="240" w:lineRule="auto"/>
        <w:ind w:left="0"/>
        <w:rPr>
          <w:b/>
          <w:color w:val="00B0F0"/>
          <w:sz w:val="24"/>
          <w:szCs w:val="24"/>
        </w:rPr>
      </w:pPr>
      <w:proofErr w:type="gramStart"/>
      <w:r w:rsidRPr="007A06BF">
        <w:rPr>
          <w:b/>
          <w:color w:val="00B0F0"/>
          <w:sz w:val="24"/>
          <w:szCs w:val="24"/>
        </w:rPr>
        <w:t>Pre-feasibility assessment for sub-projects shortlisted through the community engagement process, and acceptance of final report.</w:t>
      </w:r>
      <w:proofErr w:type="gramEnd"/>
    </w:p>
    <w:p w:rsidR="003A0CC1" w:rsidRDefault="00AB5190" w:rsidP="005C39B9">
      <w:pPr>
        <w:pStyle w:val="ListParagraph"/>
        <w:spacing w:after="120" w:line="240" w:lineRule="auto"/>
        <w:ind w:left="0"/>
        <w:rPr>
          <w:color w:val="auto"/>
        </w:rPr>
      </w:pPr>
      <w:r>
        <w:rPr>
          <w:color w:val="auto"/>
        </w:rPr>
        <w:t>A</w:t>
      </w:r>
      <w:r w:rsidR="00EA4FC5">
        <w:rPr>
          <w:color w:val="auto"/>
        </w:rPr>
        <w:t xml:space="preserve">n Expert Panel </w:t>
      </w:r>
      <w:r>
        <w:rPr>
          <w:color w:val="auto"/>
        </w:rPr>
        <w:t>was</w:t>
      </w:r>
      <w:r w:rsidR="00EA4FC5">
        <w:rPr>
          <w:color w:val="auto"/>
        </w:rPr>
        <w:t xml:space="preserve"> formed consisting of </w:t>
      </w:r>
      <w:r w:rsidR="003859F1">
        <w:rPr>
          <w:color w:val="auto"/>
        </w:rPr>
        <w:t xml:space="preserve">DEWNR </w:t>
      </w:r>
      <w:r w:rsidR="00EA4FC5">
        <w:rPr>
          <w:color w:val="auto"/>
        </w:rPr>
        <w:t xml:space="preserve">staff and representatives of SA Water and EPA. </w:t>
      </w:r>
      <w:r>
        <w:rPr>
          <w:color w:val="auto"/>
        </w:rPr>
        <w:t xml:space="preserve">A series of </w:t>
      </w:r>
      <w:r w:rsidR="003859F1">
        <w:rPr>
          <w:color w:val="auto"/>
        </w:rPr>
        <w:t xml:space="preserve">Expert Panel Workshops </w:t>
      </w:r>
      <w:r w:rsidR="00EA4FC5">
        <w:rPr>
          <w:color w:val="auto"/>
        </w:rPr>
        <w:t xml:space="preserve">were held </w:t>
      </w:r>
      <w:r w:rsidR="003859F1">
        <w:rPr>
          <w:color w:val="auto"/>
        </w:rPr>
        <w:t xml:space="preserve">in August and September 2012 to </w:t>
      </w:r>
      <w:r w:rsidR="00EA4FC5">
        <w:rPr>
          <w:color w:val="auto"/>
        </w:rPr>
        <w:t xml:space="preserve">further </w:t>
      </w:r>
      <w:r w:rsidR="003859F1">
        <w:rPr>
          <w:color w:val="auto"/>
        </w:rPr>
        <w:t xml:space="preserve">assess </w:t>
      </w:r>
      <w:r w:rsidR="00EA4FC5">
        <w:rPr>
          <w:color w:val="auto"/>
        </w:rPr>
        <w:t xml:space="preserve">the technical veracity of </w:t>
      </w:r>
      <w:r w:rsidR="003859F1">
        <w:rPr>
          <w:color w:val="auto"/>
        </w:rPr>
        <w:t xml:space="preserve">each of the 11 </w:t>
      </w:r>
      <w:r w:rsidR="00EA4FC5">
        <w:rPr>
          <w:color w:val="auto"/>
        </w:rPr>
        <w:t xml:space="preserve">ideas </w:t>
      </w:r>
      <w:r w:rsidR="007A06BF">
        <w:rPr>
          <w:color w:val="auto"/>
        </w:rPr>
        <w:t xml:space="preserve">prioritised and </w:t>
      </w:r>
      <w:r w:rsidR="00EA4FC5">
        <w:rPr>
          <w:color w:val="auto"/>
        </w:rPr>
        <w:t xml:space="preserve">developed by the community. Findings from the Expert Panel Workshops were considered by the PMC who decided to progress </w:t>
      </w:r>
      <w:r w:rsidR="005C39B9">
        <w:rPr>
          <w:color w:val="auto"/>
        </w:rPr>
        <w:t>eight</w:t>
      </w:r>
      <w:r w:rsidR="00EA4FC5">
        <w:rPr>
          <w:color w:val="auto"/>
        </w:rPr>
        <w:t xml:space="preserve"> of the 11 idea</w:t>
      </w:r>
      <w:r w:rsidR="00325F57">
        <w:rPr>
          <w:color w:val="auto"/>
        </w:rPr>
        <w:t xml:space="preserve">s to pre-feasibility </w:t>
      </w:r>
      <w:r w:rsidR="00325F57" w:rsidRPr="00E92EE6">
        <w:rPr>
          <w:color w:val="auto"/>
        </w:rPr>
        <w:t>assessment</w:t>
      </w:r>
      <w:r w:rsidR="007A06BF" w:rsidRPr="00E92EE6">
        <w:rPr>
          <w:color w:val="auto"/>
        </w:rPr>
        <w:t xml:space="preserve"> (see Attachment </w:t>
      </w:r>
      <w:r w:rsidR="005C39B9">
        <w:rPr>
          <w:color w:val="auto"/>
        </w:rPr>
        <w:t>9.</w:t>
      </w:r>
      <w:r w:rsidR="008A5872">
        <w:rPr>
          <w:color w:val="auto"/>
        </w:rPr>
        <w:t>8</w:t>
      </w:r>
      <w:r w:rsidR="007A06BF" w:rsidRPr="00E92EE6">
        <w:rPr>
          <w:color w:val="auto"/>
        </w:rPr>
        <w:t>)</w:t>
      </w:r>
      <w:r w:rsidR="00325F57" w:rsidRPr="00E92EE6">
        <w:rPr>
          <w:color w:val="auto"/>
        </w:rPr>
        <w:t>.</w:t>
      </w:r>
    </w:p>
    <w:p w:rsidR="00EA4FC5" w:rsidRDefault="00EA4FC5" w:rsidP="005C39B9">
      <w:pPr>
        <w:pStyle w:val="ListParagraph"/>
        <w:spacing w:after="120" w:line="240" w:lineRule="auto"/>
        <w:ind w:left="0"/>
        <w:rPr>
          <w:color w:val="auto"/>
        </w:rPr>
      </w:pPr>
      <w:r>
        <w:rPr>
          <w:color w:val="auto"/>
        </w:rPr>
        <w:t>Through the development of the pre-feasibility assessment</w:t>
      </w:r>
      <w:r w:rsidR="005C39B9">
        <w:rPr>
          <w:color w:val="auto"/>
        </w:rPr>
        <w:t>,</w:t>
      </w:r>
      <w:r>
        <w:rPr>
          <w:color w:val="auto"/>
        </w:rPr>
        <w:t xml:space="preserve"> the following two proposals wer</w:t>
      </w:r>
      <w:r w:rsidR="00F34006">
        <w:rPr>
          <w:color w:val="auto"/>
        </w:rPr>
        <w:t xml:space="preserve">e not progressed due to </w:t>
      </w:r>
      <w:r w:rsidR="00234D8D">
        <w:rPr>
          <w:color w:val="auto"/>
        </w:rPr>
        <w:t xml:space="preserve">potential </w:t>
      </w:r>
      <w:r w:rsidR="00F7671F">
        <w:rPr>
          <w:color w:val="auto"/>
        </w:rPr>
        <w:t>funding opportunities through other programs</w:t>
      </w:r>
      <w:r w:rsidR="00F34006">
        <w:rPr>
          <w:color w:val="auto"/>
        </w:rPr>
        <w:t>:</w:t>
      </w:r>
    </w:p>
    <w:p w:rsidR="00F34006" w:rsidRDefault="00F34006" w:rsidP="005C39B9">
      <w:pPr>
        <w:pStyle w:val="ListParagraph"/>
        <w:numPr>
          <w:ilvl w:val="0"/>
          <w:numId w:val="37"/>
        </w:numPr>
        <w:spacing w:after="120" w:line="240" w:lineRule="auto"/>
        <w:rPr>
          <w:color w:val="auto"/>
        </w:rPr>
      </w:pPr>
      <w:r>
        <w:rPr>
          <w:color w:val="auto"/>
        </w:rPr>
        <w:t>Lower Murray Irrigation Swamps</w:t>
      </w:r>
    </w:p>
    <w:p w:rsidR="00F34006" w:rsidRDefault="00F7671F" w:rsidP="005C39B9">
      <w:pPr>
        <w:pStyle w:val="ListParagraph"/>
        <w:numPr>
          <w:ilvl w:val="0"/>
          <w:numId w:val="37"/>
        </w:numPr>
        <w:spacing w:after="120" w:line="240" w:lineRule="auto"/>
        <w:rPr>
          <w:color w:val="auto"/>
        </w:rPr>
      </w:pPr>
      <w:r>
        <w:rPr>
          <w:color w:val="auto"/>
        </w:rPr>
        <w:t xml:space="preserve">Upgrade of </w:t>
      </w:r>
      <w:r w:rsidR="00F34006">
        <w:rPr>
          <w:color w:val="auto"/>
        </w:rPr>
        <w:t>Goolwa Barrages</w:t>
      </w:r>
    </w:p>
    <w:p w:rsidR="00EA4FC5" w:rsidRDefault="00EA4FC5" w:rsidP="005C39B9">
      <w:pPr>
        <w:pStyle w:val="ListParagraph"/>
        <w:spacing w:after="120" w:line="240" w:lineRule="auto"/>
        <w:ind w:left="0"/>
        <w:rPr>
          <w:color w:val="auto"/>
        </w:rPr>
      </w:pPr>
      <w:r>
        <w:rPr>
          <w:color w:val="auto"/>
        </w:rPr>
        <w:t xml:space="preserve">The </w:t>
      </w:r>
      <w:r w:rsidR="00F7671F">
        <w:rPr>
          <w:color w:val="auto"/>
        </w:rPr>
        <w:t>six</w:t>
      </w:r>
      <w:r>
        <w:rPr>
          <w:color w:val="auto"/>
        </w:rPr>
        <w:t xml:space="preserve"> ideas </w:t>
      </w:r>
      <w:r w:rsidR="00AB5190">
        <w:rPr>
          <w:color w:val="auto"/>
        </w:rPr>
        <w:t xml:space="preserve">recommended as preferred projects for future investment priorities </w:t>
      </w:r>
      <w:r>
        <w:rPr>
          <w:color w:val="auto"/>
        </w:rPr>
        <w:t>are detailed below:</w:t>
      </w:r>
    </w:p>
    <w:p w:rsidR="00EA4FC5" w:rsidRPr="007A06BF" w:rsidRDefault="00EA4FC5" w:rsidP="005C39B9">
      <w:pPr>
        <w:pStyle w:val="Heading2"/>
        <w:spacing w:before="120" w:after="120" w:line="240" w:lineRule="auto"/>
        <w:rPr>
          <w:color w:val="00B0F0"/>
          <w:sz w:val="24"/>
          <w:szCs w:val="24"/>
        </w:rPr>
      </w:pPr>
      <w:bookmarkStart w:id="7" w:name="_Toc351636894"/>
      <w:r w:rsidRPr="007A06BF">
        <w:rPr>
          <w:color w:val="00B0F0"/>
          <w:sz w:val="24"/>
          <w:szCs w:val="24"/>
        </w:rPr>
        <w:t xml:space="preserve">Teringie, </w:t>
      </w:r>
      <w:proofErr w:type="spellStart"/>
      <w:r w:rsidRPr="007A06BF">
        <w:rPr>
          <w:color w:val="00B0F0"/>
          <w:sz w:val="24"/>
          <w:szCs w:val="24"/>
        </w:rPr>
        <w:t>Waltowa</w:t>
      </w:r>
      <w:proofErr w:type="spellEnd"/>
      <w:r w:rsidRPr="007A06BF">
        <w:rPr>
          <w:color w:val="00B0F0"/>
          <w:sz w:val="24"/>
          <w:szCs w:val="24"/>
        </w:rPr>
        <w:t xml:space="preserve"> and </w:t>
      </w:r>
      <w:proofErr w:type="spellStart"/>
      <w:r w:rsidRPr="007A06BF">
        <w:rPr>
          <w:color w:val="00B0F0"/>
          <w:sz w:val="24"/>
          <w:szCs w:val="24"/>
        </w:rPr>
        <w:t>Tolderol</w:t>
      </w:r>
      <w:proofErr w:type="spellEnd"/>
      <w:r w:rsidRPr="007A06BF">
        <w:rPr>
          <w:color w:val="00B0F0"/>
          <w:sz w:val="24"/>
          <w:szCs w:val="24"/>
        </w:rPr>
        <w:t xml:space="preserve"> Wetlands</w:t>
      </w:r>
      <w:bookmarkEnd w:id="7"/>
    </w:p>
    <w:p w:rsidR="00EA4FC5" w:rsidRPr="00EA4FC5" w:rsidRDefault="00EA4FC5" w:rsidP="005C39B9">
      <w:pPr>
        <w:spacing w:after="120" w:line="240" w:lineRule="auto"/>
        <w:rPr>
          <w:color w:val="auto"/>
          <w:szCs w:val="20"/>
        </w:rPr>
      </w:pPr>
      <w:r w:rsidRPr="00EA4FC5">
        <w:rPr>
          <w:color w:val="auto"/>
          <w:szCs w:val="20"/>
        </w:rPr>
        <w:t xml:space="preserve">These three wetlands are located within the Living Murray Lower Lakes, Coorong and Murray Mouth (LLCMM) Icon Site and The Coorong and Lakes Alexandrina and Albert (CLAA) </w:t>
      </w:r>
      <w:proofErr w:type="spellStart"/>
      <w:r w:rsidRPr="00EA4FC5">
        <w:rPr>
          <w:color w:val="auto"/>
          <w:szCs w:val="20"/>
        </w:rPr>
        <w:t>Ramsar</w:t>
      </w:r>
      <w:proofErr w:type="spellEnd"/>
      <w:r w:rsidRPr="00EA4FC5">
        <w:rPr>
          <w:color w:val="auto"/>
          <w:szCs w:val="20"/>
        </w:rPr>
        <w:t xml:space="preserve"> site, which is also subject to international migratory bird agreements (i.e. Japan-Australia Migratory Bird Agreement (JAMBA), China-Australia Migratory Bird Agreement (CAMBA) and Republic of Korea-Australia Migratory Bird Agreement (ROKAMBA)). While works and measures at the Teringie, </w:t>
      </w:r>
      <w:proofErr w:type="spellStart"/>
      <w:r w:rsidRPr="00EA4FC5">
        <w:rPr>
          <w:color w:val="auto"/>
          <w:szCs w:val="20"/>
        </w:rPr>
        <w:t>Waltowa</w:t>
      </w:r>
      <w:proofErr w:type="spellEnd"/>
      <w:r w:rsidRPr="00EA4FC5">
        <w:rPr>
          <w:color w:val="auto"/>
          <w:szCs w:val="20"/>
        </w:rPr>
        <w:t xml:space="preserve"> and </w:t>
      </w:r>
      <w:proofErr w:type="spellStart"/>
      <w:r w:rsidRPr="00EA4FC5">
        <w:rPr>
          <w:color w:val="auto"/>
          <w:szCs w:val="20"/>
        </w:rPr>
        <w:t>Tolderol</w:t>
      </w:r>
      <w:proofErr w:type="spellEnd"/>
      <w:r w:rsidRPr="00EA4FC5">
        <w:rPr>
          <w:color w:val="auto"/>
          <w:szCs w:val="20"/>
        </w:rPr>
        <w:t xml:space="preserve"> wetlands can enhance the outcomes from existing projects </w:t>
      </w:r>
      <w:r w:rsidRPr="00F34006">
        <w:rPr>
          <w:color w:val="auto"/>
          <w:szCs w:val="20"/>
        </w:rPr>
        <w:t>in South Australia, they will also contribute to achieving the management objectives and outcomes of the Basin Plan</w:t>
      </w:r>
      <w:r w:rsidRPr="00EA4FC5">
        <w:rPr>
          <w:color w:val="auto"/>
          <w:szCs w:val="20"/>
        </w:rPr>
        <w:t xml:space="preserve">. Project proposal outcomes are also consistent with the objectives of the MDBA Native Fish Strategy, the Living Murray </w:t>
      </w:r>
      <w:r w:rsidR="008C7BB7">
        <w:rPr>
          <w:color w:val="auto"/>
          <w:szCs w:val="20"/>
        </w:rPr>
        <w:t xml:space="preserve">Lower Lakes Coorong and Murray Mouth (LLCMM) </w:t>
      </w:r>
      <w:r w:rsidRPr="00EA4FC5">
        <w:rPr>
          <w:color w:val="auto"/>
          <w:szCs w:val="20"/>
        </w:rPr>
        <w:t xml:space="preserve">Icon Site Environmental Water Management Plan and CLAA </w:t>
      </w:r>
      <w:proofErr w:type="spellStart"/>
      <w:r w:rsidRPr="00EA4FC5">
        <w:rPr>
          <w:color w:val="auto"/>
          <w:szCs w:val="20"/>
        </w:rPr>
        <w:t>Ramsar</w:t>
      </w:r>
      <w:proofErr w:type="spellEnd"/>
      <w:r w:rsidRPr="00EA4FC5">
        <w:rPr>
          <w:color w:val="auto"/>
          <w:szCs w:val="20"/>
        </w:rPr>
        <w:t xml:space="preserve"> objectives.</w:t>
      </w:r>
    </w:p>
    <w:p w:rsidR="00EA4FC5" w:rsidRPr="00EA4FC5" w:rsidRDefault="00EA4FC5" w:rsidP="005C39B9">
      <w:pPr>
        <w:spacing w:after="120" w:line="240" w:lineRule="auto"/>
        <w:rPr>
          <w:color w:val="auto"/>
          <w:szCs w:val="20"/>
        </w:rPr>
      </w:pPr>
      <w:r w:rsidRPr="00EA4FC5">
        <w:rPr>
          <w:color w:val="auto"/>
          <w:szCs w:val="20"/>
        </w:rPr>
        <w:t xml:space="preserve">In particular, these wetland restoration proposals aim to improve the diversity and abundance of native aquatic and fringing vegetation and assist in restoring and maintaining bird diversity and habitat for other species, including frogs, through improved hydrological connectivity. </w:t>
      </w:r>
    </w:p>
    <w:p w:rsidR="00EA4FC5" w:rsidRDefault="00EA4FC5" w:rsidP="005C39B9">
      <w:pPr>
        <w:spacing w:after="120" w:line="240" w:lineRule="auto"/>
        <w:rPr>
          <w:color w:val="auto"/>
          <w:szCs w:val="20"/>
        </w:rPr>
      </w:pPr>
      <w:r w:rsidRPr="00EA4FC5">
        <w:rPr>
          <w:color w:val="auto"/>
          <w:szCs w:val="20"/>
        </w:rPr>
        <w:t xml:space="preserve">These wetlands all have a special significance to the traditional owners of the area, the </w:t>
      </w:r>
      <w:proofErr w:type="spellStart"/>
      <w:r w:rsidRPr="00EA4FC5">
        <w:rPr>
          <w:color w:val="auto"/>
          <w:szCs w:val="20"/>
        </w:rPr>
        <w:t>Ngarrindjeri</w:t>
      </w:r>
      <w:proofErr w:type="spellEnd"/>
      <w:r w:rsidRPr="00EA4FC5">
        <w:rPr>
          <w:color w:val="auto"/>
          <w:szCs w:val="20"/>
        </w:rPr>
        <w:t>, who have indicated strong support for the proposals. The proposals have been shortlisted through rigorous community consultation, expert panel assessment and are strongly supported by local communities.</w:t>
      </w:r>
    </w:p>
    <w:p w:rsidR="00EA4FC5" w:rsidRPr="007A06BF" w:rsidRDefault="00EA4FC5" w:rsidP="005C39B9">
      <w:pPr>
        <w:pStyle w:val="Heading2"/>
        <w:spacing w:before="120" w:after="120" w:line="240" w:lineRule="auto"/>
        <w:rPr>
          <w:color w:val="00B0F0"/>
          <w:sz w:val="24"/>
          <w:szCs w:val="24"/>
        </w:rPr>
      </w:pPr>
      <w:bookmarkStart w:id="8" w:name="_Toc351636895"/>
      <w:r w:rsidRPr="007A06BF">
        <w:rPr>
          <w:color w:val="00B0F0"/>
          <w:sz w:val="24"/>
          <w:szCs w:val="24"/>
        </w:rPr>
        <w:t>Hindmarsh Islands Wetlands</w:t>
      </w:r>
      <w:bookmarkEnd w:id="8"/>
    </w:p>
    <w:p w:rsidR="00EA4FC5" w:rsidRPr="00EA4FC5" w:rsidRDefault="00EA4FC5" w:rsidP="005C39B9">
      <w:pPr>
        <w:spacing w:after="120" w:line="240" w:lineRule="auto"/>
        <w:rPr>
          <w:color w:val="auto"/>
          <w:szCs w:val="20"/>
        </w:rPr>
      </w:pPr>
      <w:r w:rsidRPr="00EA4FC5">
        <w:rPr>
          <w:color w:val="auto"/>
          <w:szCs w:val="20"/>
        </w:rPr>
        <w:t xml:space="preserve">Hindmarsh Island is located within the Living Murray LLCMM Icon Site and the CLAA </w:t>
      </w:r>
      <w:proofErr w:type="spellStart"/>
      <w:r w:rsidRPr="00EA4FC5">
        <w:rPr>
          <w:color w:val="auto"/>
          <w:szCs w:val="20"/>
        </w:rPr>
        <w:t>Ramsar</w:t>
      </w:r>
      <w:proofErr w:type="spellEnd"/>
      <w:r w:rsidRPr="00EA4FC5">
        <w:rPr>
          <w:color w:val="auto"/>
          <w:szCs w:val="20"/>
        </w:rPr>
        <w:t xml:space="preserve"> site, which is also subject to international migratory bird agreements (i.e. JAMBA, CAMBA AND ROKAMBA). In a recent assessment undertaken by the University of Adelaide, Hindmarsh Island was rated the highest priority for on-ground works, based on the predicted improvements in ecological condition. In the LLCMM Icon Site Environmental Water Management Plan review, the Hindmarsh Island wetland and channel complex supported the highest range of aquatic habitats and the highest diversity of native fish.</w:t>
      </w:r>
    </w:p>
    <w:p w:rsidR="00EA4FC5" w:rsidRDefault="00EA4FC5" w:rsidP="005C39B9">
      <w:pPr>
        <w:spacing w:after="120" w:line="240" w:lineRule="auto"/>
        <w:rPr>
          <w:color w:val="auto"/>
          <w:szCs w:val="20"/>
        </w:rPr>
      </w:pPr>
      <w:r w:rsidRPr="00EA4FC5">
        <w:rPr>
          <w:color w:val="auto"/>
          <w:szCs w:val="20"/>
        </w:rPr>
        <w:t xml:space="preserve">Reconnecting wetlands on Hindmarsh Island has the potential to improve the quality and abundance of vegetation and to improve wader habitat and fish breeding habitat. The proposal is strongly supported by the </w:t>
      </w:r>
      <w:proofErr w:type="spellStart"/>
      <w:r w:rsidRPr="00EA4FC5">
        <w:rPr>
          <w:color w:val="auto"/>
          <w:szCs w:val="20"/>
        </w:rPr>
        <w:t>Ngarrindjeri</w:t>
      </w:r>
      <w:proofErr w:type="spellEnd"/>
      <w:r w:rsidRPr="00EA4FC5">
        <w:rPr>
          <w:color w:val="auto"/>
          <w:szCs w:val="20"/>
        </w:rPr>
        <w:t xml:space="preserve"> and local communities. While works and measures at the Hindmarsh Island wetlands can enhance the outcomes from existing projects in South Australia, they would also contribute to achieving the management objectives and outcomes of the Basin Plan. Project proposal outcomes are also consistent with the objectives of the MDBA Native Fish Strategy, Living Murray Icon Site Environmental Water Management Plan and CLAA </w:t>
      </w:r>
      <w:proofErr w:type="spellStart"/>
      <w:r w:rsidRPr="00EA4FC5">
        <w:rPr>
          <w:color w:val="auto"/>
          <w:szCs w:val="20"/>
        </w:rPr>
        <w:t>Ramsar</w:t>
      </w:r>
      <w:proofErr w:type="spellEnd"/>
      <w:r w:rsidRPr="00EA4FC5">
        <w:rPr>
          <w:color w:val="auto"/>
          <w:szCs w:val="20"/>
        </w:rPr>
        <w:t xml:space="preserve"> objectives.</w:t>
      </w:r>
    </w:p>
    <w:p w:rsidR="00EA4FC5" w:rsidRPr="007A06BF" w:rsidRDefault="00EA4FC5" w:rsidP="005C39B9">
      <w:pPr>
        <w:pStyle w:val="Heading2"/>
        <w:spacing w:before="120" w:after="120" w:line="240" w:lineRule="auto"/>
        <w:rPr>
          <w:color w:val="00B0F0"/>
          <w:sz w:val="24"/>
          <w:szCs w:val="24"/>
        </w:rPr>
      </w:pPr>
      <w:bookmarkStart w:id="9" w:name="_Toc351636896"/>
      <w:r w:rsidRPr="007A06BF">
        <w:rPr>
          <w:color w:val="00B0F0"/>
          <w:sz w:val="24"/>
          <w:szCs w:val="24"/>
        </w:rPr>
        <w:t>Bookmark Creek</w:t>
      </w:r>
      <w:bookmarkEnd w:id="9"/>
    </w:p>
    <w:p w:rsidR="00EA4FC5" w:rsidRPr="00EA4FC5" w:rsidRDefault="00EA4FC5" w:rsidP="005C39B9">
      <w:pPr>
        <w:spacing w:after="120" w:line="240" w:lineRule="auto"/>
        <w:rPr>
          <w:color w:val="auto"/>
          <w:szCs w:val="20"/>
        </w:rPr>
      </w:pPr>
      <w:r w:rsidRPr="00EA4FC5">
        <w:rPr>
          <w:color w:val="auto"/>
          <w:szCs w:val="20"/>
        </w:rPr>
        <w:t xml:space="preserve">Bookmark Creek and wetland, located along the western side of Renmark, has been identified as one of the few sites in the Murray-Darling Basin that is able to provide a range of flowing habitats for a number of large bodied </w:t>
      </w:r>
      <w:r w:rsidRPr="008C7BB7">
        <w:rPr>
          <w:color w:val="auto"/>
          <w:szCs w:val="20"/>
        </w:rPr>
        <w:t>fish (</w:t>
      </w:r>
      <w:proofErr w:type="spellStart"/>
      <w:r w:rsidRPr="008C7BB7">
        <w:rPr>
          <w:color w:val="auto"/>
          <w:szCs w:val="20"/>
        </w:rPr>
        <w:t>Mallen</w:t>
      </w:r>
      <w:proofErr w:type="spellEnd"/>
      <w:r w:rsidRPr="008C7BB7">
        <w:rPr>
          <w:color w:val="auto"/>
          <w:szCs w:val="20"/>
        </w:rPr>
        <w:t>-Cooper 2012</w:t>
      </w:r>
      <w:r w:rsidR="008C7BB7">
        <w:rPr>
          <w:color w:val="auto"/>
          <w:szCs w:val="20"/>
        </w:rPr>
        <w:t>*</w:t>
      </w:r>
      <w:r w:rsidR="008C7BB7" w:rsidRPr="008C7BB7">
        <w:rPr>
          <w:color w:val="auto"/>
          <w:szCs w:val="20"/>
          <w:vertAlign w:val="superscript"/>
        </w:rPr>
        <w:t>1</w:t>
      </w:r>
      <w:r w:rsidRPr="008C7BB7">
        <w:rPr>
          <w:color w:val="auto"/>
          <w:szCs w:val="20"/>
        </w:rPr>
        <w:t>).</w:t>
      </w:r>
      <w:r w:rsidRPr="00EA4FC5">
        <w:rPr>
          <w:color w:val="auto"/>
          <w:szCs w:val="20"/>
        </w:rPr>
        <w:t xml:space="preserve"> Bookmark Creek and wetland has major potential for successful rehabilitation of aquatic habitats and recovery of native fish populations largely due to an upstream and downstream head difference of three metres, which can be used to create flowing water habitat.</w:t>
      </w:r>
    </w:p>
    <w:p w:rsidR="00EA4FC5" w:rsidRDefault="00EA4FC5" w:rsidP="005C39B9">
      <w:pPr>
        <w:spacing w:after="120" w:line="240" w:lineRule="auto"/>
        <w:rPr>
          <w:color w:val="auto"/>
          <w:szCs w:val="20"/>
        </w:rPr>
      </w:pPr>
      <w:r w:rsidRPr="00EA4FC5">
        <w:rPr>
          <w:color w:val="auto"/>
          <w:szCs w:val="20"/>
        </w:rPr>
        <w:t>The Bookmark Creek and wetland proposal would enhance regional ecological values by complementing projects at other sites such as the Chowilla and Pike floodplains. While works and measures at Bookmark Creek can enhance the outcomes from existing projects in South Australia, they would also contribute to achieving the management objectives and outcomes of the Basin Plan. The site is highly visible to the local community and visitors and is strongly supported by the local community.</w:t>
      </w:r>
    </w:p>
    <w:p w:rsidR="00EA4FC5" w:rsidRPr="007A06BF" w:rsidRDefault="00EA4FC5" w:rsidP="005C39B9">
      <w:pPr>
        <w:pStyle w:val="Heading2"/>
        <w:spacing w:before="120" w:after="120" w:line="240" w:lineRule="auto"/>
        <w:rPr>
          <w:color w:val="00B0F0"/>
          <w:sz w:val="24"/>
          <w:szCs w:val="24"/>
        </w:rPr>
      </w:pPr>
      <w:bookmarkStart w:id="10" w:name="_Toc351636897"/>
      <w:r w:rsidRPr="007A06BF">
        <w:rPr>
          <w:color w:val="00B0F0"/>
          <w:sz w:val="24"/>
          <w:szCs w:val="24"/>
        </w:rPr>
        <w:t>Martin Bend</w:t>
      </w:r>
      <w:bookmarkEnd w:id="10"/>
    </w:p>
    <w:p w:rsidR="00EA4FC5" w:rsidRPr="00EA4FC5" w:rsidRDefault="00EA4FC5" w:rsidP="005C39B9">
      <w:pPr>
        <w:spacing w:after="120" w:line="240" w:lineRule="auto"/>
        <w:rPr>
          <w:color w:val="auto"/>
          <w:szCs w:val="20"/>
        </w:rPr>
      </w:pPr>
      <w:r w:rsidRPr="008C7BB7">
        <w:rPr>
          <w:color w:val="auto"/>
          <w:szCs w:val="20"/>
        </w:rPr>
        <w:t>Martin Bend wetland was identified in the Wetlands Atlas of the South Australian Murray Valley (Jensen et. al. 1996</w:t>
      </w:r>
      <w:r w:rsidR="008C7BB7">
        <w:rPr>
          <w:color w:val="auto"/>
          <w:szCs w:val="20"/>
        </w:rPr>
        <w:t>*</w:t>
      </w:r>
      <w:r w:rsidR="008C7BB7" w:rsidRPr="008C7BB7">
        <w:rPr>
          <w:color w:val="auto"/>
          <w:szCs w:val="20"/>
          <w:vertAlign w:val="superscript"/>
        </w:rPr>
        <w:t>2</w:t>
      </w:r>
      <w:r w:rsidRPr="008C7BB7">
        <w:rPr>
          <w:color w:val="auto"/>
          <w:szCs w:val="20"/>
        </w:rPr>
        <w:t xml:space="preserve">) as a wetland of ‘high priority for management’. The Martin Bend wetland proposal would enhance the ecological aims of programs such as </w:t>
      </w:r>
      <w:proofErr w:type="spellStart"/>
      <w:r w:rsidRPr="008C7BB7">
        <w:rPr>
          <w:color w:val="auto"/>
          <w:szCs w:val="20"/>
        </w:rPr>
        <w:t>Riverine</w:t>
      </w:r>
      <w:proofErr w:type="spellEnd"/>
      <w:r w:rsidRPr="008C7BB7">
        <w:rPr>
          <w:color w:val="auto"/>
          <w:szCs w:val="20"/>
        </w:rPr>
        <w:t xml:space="preserve"> Recovery to improve</w:t>
      </w:r>
      <w:r w:rsidRPr="00EA4FC5">
        <w:rPr>
          <w:color w:val="auto"/>
          <w:szCs w:val="20"/>
        </w:rPr>
        <w:t xml:space="preserve"> wetland health and function. While works and measures at Martin Bend can enhance the outcomes from existing projects in South Australia, they would also contribute to achieving the management objectives and outcomes of the Basin Plan. Subject to feasibility assessment, the proposal has the potential to substitute some environmental water with stormwater. </w:t>
      </w:r>
    </w:p>
    <w:p w:rsidR="00EA4FC5" w:rsidRPr="00EA4FC5" w:rsidRDefault="00EA4FC5" w:rsidP="005C39B9">
      <w:pPr>
        <w:spacing w:after="120" w:line="240" w:lineRule="auto"/>
        <w:rPr>
          <w:color w:val="auto"/>
          <w:szCs w:val="20"/>
        </w:rPr>
      </w:pPr>
      <w:r w:rsidRPr="00EA4FC5">
        <w:rPr>
          <w:color w:val="auto"/>
          <w:szCs w:val="20"/>
        </w:rPr>
        <w:t>Martin Bend is a very visible site of high visitation and has the potential to provide a demonstration site for wetland management involving multiple stakeholders. The proposal is strongly supported by the local community.</w:t>
      </w:r>
    </w:p>
    <w:p w:rsidR="0020063F" w:rsidRPr="007A06BF" w:rsidRDefault="0020063F" w:rsidP="005C39B9">
      <w:pPr>
        <w:pStyle w:val="ListParagraph"/>
        <w:spacing w:after="120" w:line="240" w:lineRule="auto"/>
        <w:ind w:left="0"/>
        <w:rPr>
          <w:b/>
          <w:color w:val="00B0F0"/>
          <w:sz w:val="28"/>
          <w:szCs w:val="28"/>
        </w:rPr>
      </w:pPr>
      <w:r w:rsidRPr="007A06BF">
        <w:rPr>
          <w:b/>
          <w:color w:val="00B0F0"/>
          <w:sz w:val="28"/>
          <w:szCs w:val="28"/>
        </w:rPr>
        <w:t>EVALUATION OF PROJECT</w:t>
      </w:r>
    </w:p>
    <w:p w:rsidR="00491CA4" w:rsidRPr="00491CA4" w:rsidRDefault="006A7ADB" w:rsidP="005C39B9">
      <w:pPr>
        <w:pStyle w:val="ListParagraph"/>
        <w:spacing w:after="120" w:line="240" w:lineRule="auto"/>
        <w:ind w:left="0"/>
        <w:rPr>
          <w:color w:val="auto"/>
        </w:rPr>
      </w:pPr>
      <w:r>
        <w:rPr>
          <w:color w:val="auto"/>
        </w:rPr>
        <w:t xml:space="preserve">The EWMFP State-led Community Component Project has </w:t>
      </w:r>
      <w:r w:rsidR="00491CA4">
        <w:rPr>
          <w:color w:val="auto"/>
        </w:rPr>
        <w:t>met all mile</w:t>
      </w:r>
      <w:r w:rsidR="005C39B9">
        <w:rPr>
          <w:color w:val="auto"/>
        </w:rPr>
        <w:t>stones in the Project Agreement</w:t>
      </w:r>
      <w:r w:rsidR="00491CA4">
        <w:rPr>
          <w:color w:val="auto"/>
        </w:rPr>
        <w:t xml:space="preserve">. DEWNR gratefully acknowledges the valuable contributions from the South Australian River Murray Regional Community, </w:t>
      </w:r>
      <w:r w:rsidR="00491CA4" w:rsidRPr="00491CA4">
        <w:rPr>
          <w:color w:val="auto"/>
        </w:rPr>
        <w:t>including the many individuals and various local groups and organisations for their generous involvement and enthusiasm to enable the community ideas to be captured and prioritised and equally as important to share local knowledge in the development of proposals.</w:t>
      </w:r>
    </w:p>
    <w:p w:rsidR="0020063F" w:rsidRPr="00F34006" w:rsidRDefault="00F34006" w:rsidP="005C39B9">
      <w:pPr>
        <w:pStyle w:val="ListParagraph"/>
        <w:spacing w:before="120" w:after="120" w:line="240" w:lineRule="auto"/>
        <w:ind w:left="0"/>
        <w:rPr>
          <w:b/>
          <w:color w:val="00B0F0"/>
          <w:sz w:val="28"/>
          <w:szCs w:val="28"/>
        </w:rPr>
      </w:pPr>
      <w:r w:rsidRPr="00F34006">
        <w:rPr>
          <w:b/>
          <w:color w:val="00B0F0"/>
          <w:sz w:val="28"/>
          <w:szCs w:val="28"/>
        </w:rPr>
        <w:t>LESSONS LEARNT AND DIFFICULTIES/RISKS ENCOUNTERED</w:t>
      </w:r>
    </w:p>
    <w:p w:rsidR="00491CA4" w:rsidRDefault="00491CA4" w:rsidP="005C39B9">
      <w:pPr>
        <w:pStyle w:val="ListParagraph"/>
        <w:tabs>
          <w:tab w:val="left" w:pos="2141"/>
        </w:tabs>
        <w:spacing w:after="120" w:line="240" w:lineRule="auto"/>
        <w:ind w:left="0"/>
        <w:rPr>
          <w:color w:val="auto"/>
        </w:rPr>
      </w:pPr>
      <w:r w:rsidRPr="00402F17">
        <w:rPr>
          <w:color w:val="auto"/>
        </w:rPr>
        <w:t>The project progressed well throughout all phases where thoughtful planning</w:t>
      </w:r>
      <w:r w:rsidR="00402F17" w:rsidRPr="00402F17">
        <w:rPr>
          <w:color w:val="auto"/>
        </w:rPr>
        <w:t xml:space="preserve"> and </w:t>
      </w:r>
      <w:r w:rsidRPr="00402F17">
        <w:rPr>
          <w:color w:val="auto"/>
        </w:rPr>
        <w:t xml:space="preserve">collaboration </w:t>
      </w:r>
      <w:r w:rsidR="00402F17" w:rsidRPr="00402F17">
        <w:rPr>
          <w:color w:val="auto"/>
        </w:rPr>
        <w:t>between</w:t>
      </w:r>
      <w:r w:rsidRPr="00402F17">
        <w:rPr>
          <w:color w:val="auto"/>
        </w:rPr>
        <w:t xml:space="preserve"> Government </w:t>
      </w:r>
      <w:r w:rsidR="005C39B9">
        <w:rPr>
          <w:color w:val="auto"/>
        </w:rPr>
        <w:t>d</w:t>
      </w:r>
      <w:r w:rsidRPr="00402F17">
        <w:rPr>
          <w:color w:val="auto"/>
        </w:rPr>
        <w:t xml:space="preserve">epartments </w:t>
      </w:r>
      <w:r w:rsidR="00402F17" w:rsidRPr="00402F17">
        <w:rPr>
          <w:color w:val="auto"/>
        </w:rPr>
        <w:t xml:space="preserve">and </w:t>
      </w:r>
      <w:r w:rsidRPr="00402F17">
        <w:rPr>
          <w:color w:val="auto"/>
        </w:rPr>
        <w:t xml:space="preserve">many individuals and various local groups and organisations within the SA River Murray regional community </w:t>
      </w:r>
      <w:r w:rsidR="00402F17" w:rsidRPr="00402F17">
        <w:rPr>
          <w:color w:val="auto"/>
        </w:rPr>
        <w:t xml:space="preserve">resulted in the successful production of the </w:t>
      </w:r>
      <w:r w:rsidRPr="00402F17">
        <w:rPr>
          <w:color w:val="auto"/>
        </w:rPr>
        <w:t>SAMDB EWMFP SLLC Pre-feasibility Report.</w:t>
      </w:r>
    </w:p>
    <w:p w:rsidR="00402F17" w:rsidRDefault="00325F57" w:rsidP="005C39B9">
      <w:pPr>
        <w:spacing w:after="120" w:line="240" w:lineRule="auto"/>
        <w:rPr>
          <w:color w:val="auto"/>
        </w:rPr>
      </w:pPr>
      <w:r w:rsidRPr="00325F57">
        <w:rPr>
          <w:color w:val="auto"/>
        </w:rPr>
        <w:t>Despite widespread ‘consultation fatigue’ within the SA Murray-Darling Basin, people participated in the process of prioritising community ideas with goodwill and optimism. There is a risk this community support could be lost through failure to communicate the outcomes of the next stages in this project, which may contribute to cynicism about management of the Basin.</w:t>
      </w:r>
      <w:r>
        <w:rPr>
          <w:color w:val="auto"/>
        </w:rPr>
        <w:t xml:space="preserve"> </w:t>
      </w:r>
      <w:r w:rsidR="00402F17">
        <w:rPr>
          <w:color w:val="auto"/>
        </w:rPr>
        <w:t>DEWNR has prepared a suite of communications products for the final phase of the project to be released once the final report is accepted, which will include:</w:t>
      </w:r>
    </w:p>
    <w:p w:rsidR="00402F17" w:rsidRPr="002A44A4" w:rsidRDefault="00402F17" w:rsidP="005C39B9">
      <w:pPr>
        <w:pStyle w:val="ListParagraph"/>
        <w:numPr>
          <w:ilvl w:val="0"/>
          <w:numId w:val="27"/>
        </w:numPr>
        <w:spacing w:after="120" w:line="240" w:lineRule="auto"/>
        <w:rPr>
          <w:color w:val="auto"/>
        </w:rPr>
      </w:pPr>
      <w:r w:rsidRPr="002A44A4">
        <w:rPr>
          <w:color w:val="auto"/>
        </w:rPr>
        <w:t>EWMFP Stat</w:t>
      </w:r>
      <w:r w:rsidR="005C39B9">
        <w:rPr>
          <w:color w:val="auto"/>
        </w:rPr>
        <w:t>e-led Community Component w</w:t>
      </w:r>
      <w:r w:rsidRPr="002A44A4">
        <w:rPr>
          <w:color w:val="auto"/>
        </w:rPr>
        <w:t>eb page</w:t>
      </w:r>
      <w:r>
        <w:rPr>
          <w:color w:val="auto"/>
        </w:rPr>
        <w:t>;</w:t>
      </w:r>
    </w:p>
    <w:p w:rsidR="00402F17" w:rsidRPr="002A44A4" w:rsidRDefault="00402F17" w:rsidP="005C39B9">
      <w:pPr>
        <w:pStyle w:val="ListParagraph"/>
        <w:numPr>
          <w:ilvl w:val="0"/>
          <w:numId w:val="27"/>
        </w:numPr>
        <w:spacing w:after="120" w:line="240" w:lineRule="auto"/>
        <w:rPr>
          <w:color w:val="auto"/>
        </w:rPr>
      </w:pPr>
      <w:r w:rsidRPr="002A44A4">
        <w:rPr>
          <w:color w:val="auto"/>
        </w:rPr>
        <w:t xml:space="preserve">Frequently </w:t>
      </w:r>
      <w:r w:rsidR="005C39B9">
        <w:rPr>
          <w:color w:val="auto"/>
        </w:rPr>
        <w:t>a</w:t>
      </w:r>
      <w:r w:rsidRPr="002A44A4">
        <w:rPr>
          <w:color w:val="auto"/>
        </w:rPr>
        <w:t xml:space="preserve">sked </w:t>
      </w:r>
      <w:r w:rsidR="005C39B9">
        <w:rPr>
          <w:color w:val="auto"/>
        </w:rPr>
        <w:t>q</w:t>
      </w:r>
      <w:r w:rsidRPr="002A44A4">
        <w:rPr>
          <w:color w:val="auto"/>
        </w:rPr>
        <w:t>uestions information sheet</w:t>
      </w:r>
      <w:r>
        <w:rPr>
          <w:color w:val="auto"/>
        </w:rPr>
        <w:t>;</w:t>
      </w:r>
    </w:p>
    <w:p w:rsidR="00402F17" w:rsidRPr="002A44A4" w:rsidRDefault="00402F17" w:rsidP="005C39B9">
      <w:pPr>
        <w:pStyle w:val="ListParagraph"/>
        <w:numPr>
          <w:ilvl w:val="0"/>
          <w:numId w:val="27"/>
        </w:numPr>
        <w:spacing w:after="120" w:line="240" w:lineRule="auto"/>
        <w:rPr>
          <w:color w:val="auto"/>
        </w:rPr>
      </w:pPr>
      <w:r w:rsidRPr="002A44A4">
        <w:rPr>
          <w:color w:val="auto"/>
        </w:rPr>
        <w:t>Final letter to stakeholders to be disseminated by email and post in April 2013</w:t>
      </w:r>
      <w:r w:rsidR="00AB5190">
        <w:rPr>
          <w:color w:val="auto"/>
        </w:rPr>
        <w:t>; and</w:t>
      </w:r>
    </w:p>
    <w:p w:rsidR="00402F17" w:rsidRPr="002A44A4" w:rsidRDefault="00402F17" w:rsidP="005C39B9">
      <w:pPr>
        <w:pStyle w:val="ListParagraph"/>
        <w:numPr>
          <w:ilvl w:val="0"/>
          <w:numId w:val="27"/>
        </w:numPr>
        <w:spacing w:after="120" w:line="240" w:lineRule="auto"/>
        <w:rPr>
          <w:color w:val="auto"/>
        </w:rPr>
      </w:pPr>
      <w:r w:rsidRPr="002A44A4">
        <w:rPr>
          <w:color w:val="auto"/>
        </w:rPr>
        <w:t>Media release</w:t>
      </w:r>
      <w:r w:rsidR="00AB5190">
        <w:rPr>
          <w:color w:val="auto"/>
        </w:rPr>
        <w:t>.</w:t>
      </w:r>
    </w:p>
    <w:p w:rsidR="00325F57" w:rsidRPr="00325F57" w:rsidRDefault="00325F57" w:rsidP="005C39B9">
      <w:pPr>
        <w:pStyle w:val="ListParagraph"/>
        <w:tabs>
          <w:tab w:val="left" w:pos="2141"/>
        </w:tabs>
        <w:spacing w:after="120" w:line="240" w:lineRule="auto"/>
        <w:ind w:left="0"/>
        <w:rPr>
          <w:color w:val="auto"/>
        </w:rPr>
      </w:pPr>
      <w:r w:rsidRPr="00325F57">
        <w:rPr>
          <w:color w:val="auto"/>
        </w:rPr>
        <w:t>The MDB is a complex policy environment. There are many instances of multiple agencies and/or programs operating in the same geographic area with similar aims and objectives. However, during this project it was not evident that adequate systems are in place for sharing information about the status of projects or governance structures like committees within Government departments. It was often challenging and time consuming to reconcile the different ‘pieces of the puzzle’ about a particular site or project idea across different agencies</w:t>
      </w:r>
      <w:r>
        <w:rPr>
          <w:color w:val="auto"/>
        </w:rPr>
        <w:t>. Consideration is being given to ways to enable better sharing of information within and across Government agencies</w:t>
      </w:r>
      <w:r w:rsidR="005C39B9">
        <w:rPr>
          <w:color w:val="auto"/>
        </w:rPr>
        <w:t>.</w:t>
      </w:r>
    </w:p>
    <w:bookmarkEnd w:id="0"/>
    <w:bookmarkEnd w:id="1"/>
    <w:bookmarkEnd w:id="2"/>
    <w:bookmarkEnd w:id="3"/>
    <w:bookmarkEnd w:id="4"/>
    <w:bookmarkEnd w:id="5"/>
    <w:p w:rsidR="002A44A4" w:rsidRDefault="002A44A4" w:rsidP="005C39B9">
      <w:pPr>
        <w:pStyle w:val="Text"/>
        <w:spacing w:after="120"/>
        <w:rPr>
          <w:b/>
          <w:color w:val="00B0F0"/>
        </w:rPr>
      </w:pPr>
      <w:r>
        <w:rPr>
          <w:b/>
          <w:color w:val="00B0F0"/>
        </w:rPr>
        <w:t>Attachment</w:t>
      </w:r>
      <w:r w:rsidR="007A06BF">
        <w:rPr>
          <w:b/>
          <w:color w:val="00B0F0"/>
        </w:rPr>
        <w:t>s</w:t>
      </w:r>
    </w:p>
    <w:p w:rsidR="00AB5190" w:rsidRDefault="00685B35" w:rsidP="005C39B9">
      <w:pPr>
        <w:pStyle w:val="Text"/>
        <w:spacing w:after="120"/>
      </w:pPr>
      <w:r w:rsidRPr="00685B35">
        <w:rPr>
          <w:b/>
        </w:rPr>
        <w:t>9.1</w:t>
      </w:r>
      <w:r>
        <w:tab/>
      </w:r>
      <w:r w:rsidR="00AD66D6">
        <w:t xml:space="preserve">Expression </w:t>
      </w:r>
      <w:r>
        <w:t>of Interest Assessment Criteria</w:t>
      </w:r>
    </w:p>
    <w:p w:rsidR="00AD66D6" w:rsidRDefault="00685B35" w:rsidP="005C39B9">
      <w:pPr>
        <w:pStyle w:val="Text"/>
        <w:spacing w:after="120"/>
      </w:pPr>
      <w:r w:rsidRPr="00685B35">
        <w:rPr>
          <w:b/>
        </w:rPr>
        <w:t>9.2</w:t>
      </w:r>
      <w:r>
        <w:tab/>
      </w:r>
      <w:r w:rsidR="007D6F81">
        <w:t>75 Prioritised Proposals</w:t>
      </w:r>
    </w:p>
    <w:p w:rsidR="007D6F81" w:rsidRDefault="00685B35" w:rsidP="005C39B9">
      <w:pPr>
        <w:pStyle w:val="Text"/>
        <w:spacing w:after="120"/>
      </w:pPr>
      <w:r w:rsidRPr="00685B35">
        <w:rPr>
          <w:b/>
        </w:rPr>
        <w:t>9.3</w:t>
      </w:r>
      <w:r>
        <w:tab/>
      </w:r>
      <w:r w:rsidR="007D6F81">
        <w:t>Project Ideas Above</w:t>
      </w:r>
      <w:r>
        <w:t xml:space="preserve"> and Below </w:t>
      </w:r>
      <w:r w:rsidR="007D6F81">
        <w:t>Lock 1</w:t>
      </w:r>
    </w:p>
    <w:p w:rsidR="00685B35" w:rsidRDefault="00685B35" w:rsidP="005C39B9">
      <w:pPr>
        <w:pStyle w:val="Text"/>
        <w:spacing w:after="120"/>
      </w:pPr>
      <w:r w:rsidRPr="00685B35">
        <w:rPr>
          <w:b/>
        </w:rPr>
        <w:t>9.4</w:t>
      </w:r>
      <w:r>
        <w:tab/>
      </w:r>
      <w:r w:rsidR="007D6F81">
        <w:t>Invitations to Community Workshops</w:t>
      </w:r>
    </w:p>
    <w:p w:rsidR="007D6F81" w:rsidRDefault="00685B35" w:rsidP="005C39B9">
      <w:pPr>
        <w:pStyle w:val="Text"/>
        <w:spacing w:after="120"/>
      </w:pPr>
      <w:r w:rsidRPr="00685B35">
        <w:rPr>
          <w:b/>
        </w:rPr>
        <w:t>9.5</w:t>
      </w:r>
      <w:r>
        <w:tab/>
      </w:r>
      <w:r w:rsidR="007D6F81">
        <w:t>Communications a</w:t>
      </w:r>
      <w:r>
        <w:t>nd Media</w:t>
      </w:r>
    </w:p>
    <w:p w:rsidR="007D6F81" w:rsidRDefault="00685B35" w:rsidP="005C39B9">
      <w:pPr>
        <w:pStyle w:val="Text"/>
        <w:spacing w:after="120"/>
      </w:pPr>
      <w:r w:rsidRPr="00685B35">
        <w:rPr>
          <w:b/>
        </w:rPr>
        <w:t>9.6</w:t>
      </w:r>
      <w:r>
        <w:tab/>
        <w:t xml:space="preserve">Listing of 11 </w:t>
      </w:r>
      <w:r w:rsidR="007D6F81">
        <w:t>Community Identified Sub-projects</w:t>
      </w:r>
    </w:p>
    <w:p w:rsidR="007D6F81" w:rsidRDefault="00685B35" w:rsidP="005C39B9">
      <w:pPr>
        <w:pStyle w:val="Text"/>
        <w:spacing w:after="120"/>
      </w:pPr>
      <w:r w:rsidRPr="00685B35">
        <w:rPr>
          <w:b/>
        </w:rPr>
        <w:t>9.7</w:t>
      </w:r>
      <w:r>
        <w:tab/>
        <w:t>11 I</w:t>
      </w:r>
      <w:r w:rsidR="007D6F81">
        <w:t xml:space="preserve">deas Prioritised and Developed </w:t>
      </w:r>
      <w:r>
        <w:t xml:space="preserve">by </w:t>
      </w:r>
      <w:r w:rsidR="007D6F81">
        <w:t>Community</w:t>
      </w:r>
    </w:p>
    <w:p w:rsidR="007D6F81" w:rsidRPr="00AD66D6" w:rsidRDefault="00F57598" w:rsidP="005C39B9">
      <w:pPr>
        <w:pStyle w:val="Text"/>
        <w:spacing w:after="120"/>
      </w:pPr>
      <w:r>
        <w:rPr>
          <w:b/>
        </w:rPr>
        <w:t>9.8</w:t>
      </w:r>
      <w:r w:rsidR="00685B35">
        <w:tab/>
      </w:r>
      <w:r w:rsidR="007D6F81">
        <w:t>Communication</w:t>
      </w:r>
      <w:r w:rsidR="00685B35">
        <w:t xml:space="preserve"> November 2012</w:t>
      </w:r>
    </w:p>
    <w:p w:rsidR="00AB5190" w:rsidRDefault="00AB5190" w:rsidP="005C39B9">
      <w:pPr>
        <w:pStyle w:val="Text"/>
        <w:spacing w:after="120"/>
      </w:pPr>
    </w:p>
    <w:p w:rsidR="00AB5190" w:rsidRDefault="00AB5190" w:rsidP="005C39B9">
      <w:pPr>
        <w:pStyle w:val="Text"/>
        <w:spacing w:after="120"/>
      </w:pPr>
      <w:r w:rsidRPr="00AB5190">
        <w:rPr>
          <w:b/>
          <w:color w:val="00B0F0"/>
        </w:rPr>
        <w:t>References</w:t>
      </w:r>
    </w:p>
    <w:p w:rsidR="00AB5190" w:rsidRDefault="00AB5190" w:rsidP="005C39B9">
      <w:pPr>
        <w:pStyle w:val="Text"/>
        <w:numPr>
          <w:ilvl w:val="0"/>
          <w:numId w:val="38"/>
        </w:numPr>
        <w:spacing w:after="120"/>
      </w:pPr>
      <w:r>
        <w:t>Potential for Rehabilitation of Native Fish Populations in Bookmark Creek,</w:t>
      </w:r>
      <w:r w:rsidR="00685B35">
        <w:t xml:space="preserve"> </w:t>
      </w:r>
      <w:r>
        <w:t>Dr M</w:t>
      </w:r>
      <w:r w:rsidR="00685B35">
        <w:t xml:space="preserve"> </w:t>
      </w:r>
      <w:proofErr w:type="spellStart"/>
      <w:r>
        <w:t>Mallen</w:t>
      </w:r>
      <w:proofErr w:type="spellEnd"/>
      <w:r>
        <w:t>-Cooper 2012.</w:t>
      </w:r>
    </w:p>
    <w:p w:rsidR="00AB5190" w:rsidRPr="00FB4BEB" w:rsidRDefault="00AB5190" w:rsidP="005C39B9">
      <w:pPr>
        <w:pStyle w:val="Default"/>
        <w:numPr>
          <w:ilvl w:val="0"/>
          <w:numId w:val="38"/>
        </w:numPr>
        <w:spacing w:after="120"/>
      </w:pPr>
      <w:r w:rsidRPr="00EA4FC5">
        <w:rPr>
          <w:rFonts w:ascii="Calibri" w:hAnsi="Calibri"/>
          <w:color w:val="auto"/>
          <w:sz w:val="22"/>
          <w:szCs w:val="20"/>
        </w:rPr>
        <w:t xml:space="preserve">Wetlands Atlas of the South Australian Murray Valley </w:t>
      </w:r>
      <w:r w:rsidRPr="00AB5190">
        <w:rPr>
          <w:rFonts w:ascii="Calibri" w:hAnsi="Calibri"/>
          <w:color w:val="auto"/>
          <w:sz w:val="22"/>
          <w:szCs w:val="20"/>
        </w:rPr>
        <w:t>(Jensen et. al. 1996)</w:t>
      </w:r>
    </w:p>
    <w:sectPr w:rsidR="00AB5190" w:rsidRPr="00FB4BEB" w:rsidSect="00DF7979">
      <w:headerReference w:type="default" r:id="rId7"/>
      <w:footerReference w:type="default" r:id="rId8"/>
      <w:pgSz w:w="11906" w:h="16838"/>
      <w:pgMar w:top="1985" w:right="707" w:bottom="1985" w:left="993"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75" w:rsidRDefault="000D4275" w:rsidP="00A01435">
      <w:pPr>
        <w:spacing w:after="0" w:line="240" w:lineRule="auto"/>
      </w:pPr>
      <w:r>
        <w:separator/>
      </w:r>
    </w:p>
  </w:endnote>
  <w:endnote w:type="continuationSeparator" w:id="0">
    <w:p w:rsidR="000D4275" w:rsidRDefault="000D4275" w:rsidP="00A01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75" w:rsidRDefault="000D4275" w:rsidP="00F81DB1">
    <w:pPr>
      <w:pStyle w:val="Footer"/>
      <w:tabs>
        <w:tab w:val="clear" w:pos="4513"/>
        <w:tab w:val="clear" w:pos="9026"/>
        <w:tab w:val="left" w:pos="2104"/>
      </w:tabs>
    </w:pPr>
    <w:r w:rsidRPr="004679D9">
      <w:rPr>
        <w:noProof/>
        <w:lang w:eastAsia="en-AU"/>
      </w:rPr>
      <w:drawing>
        <wp:anchor distT="0" distB="0" distL="114300" distR="114300" simplePos="0" relativeHeight="251659264" behindDoc="1" locked="0" layoutInCell="1" allowOverlap="1">
          <wp:simplePos x="0" y="0"/>
          <wp:positionH relativeFrom="column">
            <wp:posOffset>-649605</wp:posOffset>
          </wp:positionH>
          <wp:positionV relativeFrom="paragraph">
            <wp:posOffset>-280715</wp:posOffset>
          </wp:positionV>
          <wp:extent cx="7605663" cy="1077006"/>
          <wp:effectExtent l="19050" t="0" r="0" b="0"/>
          <wp:wrapNone/>
          <wp:docPr id="2" name="Picture 3" descr="Report_temp_follow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ort_temp_following.gif"/>
                  <pic:cNvPicPr>
                    <a:picLocks noChangeAspect="1" noChangeArrowheads="1"/>
                  </pic:cNvPicPr>
                </pic:nvPicPr>
                <pic:blipFill>
                  <a:blip r:embed="rId1"/>
                  <a:srcRect/>
                  <a:stretch>
                    <a:fillRect/>
                  </a:stretch>
                </pic:blipFill>
                <pic:spPr bwMode="auto">
                  <a:xfrm>
                    <a:off x="0" y="0"/>
                    <a:ext cx="7631359" cy="1080645"/>
                  </a:xfrm>
                  <a:prstGeom prst="rect">
                    <a:avLst/>
                  </a:prstGeom>
                  <a:noFill/>
                  <a:ln w="9525">
                    <a:noFill/>
                    <a:miter lim="800000"/>
                    <a:headEnd/>
                    <a:tailEnd/>
                  </a:ln>
                </pic:spPr>
              </pic:pic>
            </a:graphicData>
          </a:graphic>
        </wp:anchor>
      </w:drawing>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75" w:rsidRDefault="000D4275" w:rsidP="00A01435">
      <w:pPr>
        <w:spacing w:after="0" w:line="240" w:lineRule="auto"/>
      </w:pPr>
      <w:r>
        <w:separator/>
      </w:r>
    </w:p>
  </w:footnote>
  <w:footnote w:type="continuationSeparator" w:id="0">
    <w:p w:rsidR="000D4275" w:rsidRDefault="000D4275" w:rsidP="00A014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75" w:rsidRPr="00A25A02" w:rsidRDefault="000D4275" w:rsidP="00A25A02">
    <w:pPr>
      <w:pStyle w:val="Title"/>
    </w:pPr>
    <w:r>
      <w:t>FINAL project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2F6"/>
    <w:multiLevelType w:val="hybridMultilevel"/>
    <w:tmpl w:val="26725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761208"/>
    <w:multiLevelType w:val="hybridMultilevel"/>
    <w:tmpl w:val="FA563AB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70A395F"/>
    <w:multiLevelType w:val="hybridMultilevel"/>
    <w:tmpl w:val="472EFD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8962197"/>
    <w:multiLevelType w:val="hybridMultilevel"/>
    <w:tmpl w:val="9A4A7606"/>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BB42D4A"/>
    <w:multiLevelType w:val="hybridMultilevel"/>
    <w:tmpl w:val="6204AB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2174C5"/>
    <w:multiLevelType w:val="hybridMultilevel"/>
    <w:tmpl w:val="30081F0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6">
    <w:nsid w:val="10C76465"/>
    <w:multiLevelType w:val="hybridMultilevel"/>
    <w:tmpl w:val="54361494"/>
    <w:lvl w:ilvl="0" w:tplc="A9D6EA0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1441D8F"/>
    <w:multiLevelType w:val="hybridMultilevel"/>
    <w:tmpl w:val="141E4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6C5A60"/>
    <w:multiLevelType w:val="hybridMultilevel"/>
    <w:tmpl w:val="BE7E8132"/>
    <w:lvl w:ilvl="0" w:tplc="0C090001">
      <w:start w:val="1"/>
      <w:numFmt w:val="bullet"/>
      <w:lvlText w:val=""/>
      <w:lvlJc w:val="left"/>
      <w:pPr>
        <w:ind w:left="1470" w:hanging="360"/>
      </w:pPr>
      <w:rPr>
        <w:rFonts w:ascii="Symbol" w:hAnsi="Symbol" w:hint="default"/>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abstractNum w:abstractNumId="9">
    <w:nsid w:val="237B5A12"/>
    <w:multiLevelType w:val="hybridMultilevel"/>
    <w:tmpl w:val="57B2B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1E2F80"/>
    <w:multiLevelType w:val="hybridMultilevel"/>
    <w:tmpl w:val="72860684"/>
    <w:lvl w:ilvl="0" w:tplc="1990FDF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9EF00B7"/>
    <w:multiLevelType w:val="hybridMultilevel"/>
    <w:tmpl w:val="A24A5D7E"/>
    <w:lvl w:ilvl="0" w:tplc="18AE11AA">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A57F4D"/>
    <w:multiLevelType w:val="hybridMultilevel"/>
    <w:tmpl w:val="02D60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DB132C"/>
    <w:multiLevelType w:val="hybridMultilevel"/>
    <w:tmpl w:val="77A8DB8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340" w:hanging="36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1772F3"/>
    <w:multiLevelType w:val="hybridMultilevel"/>
    <w:tmpl w:val="97A87FE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340" w:hanging="36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7C11A0"/>
    <w:multiLevelType w:val="hybridMultilevel"/>
    <w:tmpl w:val="CCF671F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340" w:hanging="36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F20FB8"/>
    <w:multiLevelType w:val="hybridMultilevel"/>
    <w:tmpl w:val="7CB0FA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D7F6A1F"/>
    <w:multiLevelType w:val="hybridMultilevel"/>
    <w:tmpl w:val="D030565A"/>
    <w:lvl w:ilvl="0" w:tplc="0C090001">
      <w:start w:val="1"/>
      <w:numFmt w:val="bullet"/>
      <w:lvlText w:val=""/>
      <w:lvlJc w:val="left"/>
      <w:pPr>
        <w:ind w:left="80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EE10CD"/>
    <w:multiLevelType w:val="hybridMultilevel"/>
    <w:tmpl w:val="6E84326E"/>
    <w:lvl w:ilvl="0" w:tplc="CAC4754A">
      <w:start w:val="1"/>
      <w:numFmt w:val="bullet"/>
      <w:lvlText w:val=""/>
      <w:lvlJc w:val="left"/>
      <w:pPr>
        <w:ind w:left="1080" w:hanging="360"/>
      </w:pPr>
      <w:rPr>
        <w:rFonts w:ascii="Symbol" w:hAnsi="Symbol" w:hint="default"/>
      </w:rPr>
    </w:lvl>
    <w:lvl w:ilvl="1" w:tplc="6B0AEB24"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9461E9"/>
    <w:multiLevelType w:val="hybridMultilevel"/>
    <w:tmpl w:val="DD14CF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FBE1118"/>
    <w:multiLevelType w:val="hybridMultilevel"/>
    <w:tmpl w:val="132E4880"/>
    <w:lvl w:ilvl="0" w:tplc="04090005">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AE42E6"/>
    <w:multiLevelType w:val="multilevel"/>
    <w:tmpl w:val="7CC032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E7A66E1"/>
    <w:multiLevelType w:val="hybridMultilevel"/>
    <w:tmpl w:val="2D72EE9A"/>
    <w:lvl w:ilvl="0" w:tplc="CAC4754A">
      <w:start w:val="1"/>
      <w:numFmt w:val="bullet"/>
      <w:lvlText w:val=""/>
      <w:lvlJc w:val="left"/>
      <w:pPr>
        <w:ind w:left="1080" w:hanging="360"/>
      </w:pPr>
      <w:rPr>
        <w:rFonts w:ascii="Wingdings" w:hAnsi="Wingdings" w:hint="default"/>
      </w:rPr>
    </w:lvl>
    <w:lvl w:ilvl="1" w:tplc="6B0AEB24">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EF713C8"/>
    <w:multiLevelType w:val="hybridMultilevel"/>
    <w:tmpl w:val="9E8A7F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54E47510"/>
    <w:multiLevelType w:val="hybridMultilevel"/>
    <w:tmpl w:val="66DCA5DA"/>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C24189"/>
    <w:multiLevelType w:val="hybridMultilevel"/>
    <w:tmpl w:val="E5FC95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6CA3C3C"/>
    <w:multiLevelType w:val="hybridMultilevel"/>
    <w:tmpl w:val="3306F996"/>
    <w:lvl w:ilvl="0" w:tplc="0C090001">
      <w:start w:val="1"/>
      <w:numFmt w:val="decimal"/>
      <w:lvlText w:val="%1."/>
      <w:lvlJc w:val="left"/>
      <w:pPr>
        <w:ind w:left="720" w:hanging="360"/>
      </w:pPr>
      <w:rPr>
        <w:rFonts w:cs="Times New Roman"/>
      </w:rPr>
    </w:lvl>
    <w:lvl w:ilvl="1" w:tplc="0C090003" w:tentative="1">
      <w:start w:val="1"/>
      <w:numFmt w:val="lowerLetter"/>
      <w:lvlText w:val="%2."/>
      <w:lvlJc w:val="left"/>
      <w:pPr>
        <w:ind w:left="1440" w:hanging="360"/>
      </w:pPr>
      <w:rPr>
        <w:rFonts w:cs="Times New Roman"/>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27">
    <w:nsid w:val="57A946AE"/>
    <w:multiLevelType w:val="hybridMultilevel"/>
    <w:tmpl w:val="96B08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CE42DD"/>
    <w:multiLevelType w:val="hybridMultilevel"/>
    <w:tmpl w:val="C9487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0457265"/>
    <w:multiLevelType w:val="hybridMultilevel"/>
    <w:tmpl w:val="E53A6428"/>
    <w:lvl w:ilvl="0" w:tplc="E4F05818">
      <w:start w:val="1"/>
      <w:numFmt w:val="decimal"/>
      <w:lvlText w:val="%1."/>
      <w:lvlJc w:val="left"/>
      <w:pPr>
        <w:ind w:left="360" w:hanging="360"/>
      </w:pPr>
      <w:rPr>
        <w:rFonts w:asciiTheme="minorHAnsi" w:hAnsiTheme="minorHAnsi"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116429E"/>
    <w:multiLevelType w:val="hybridMultilevel"/>
    <w:tmpl w:val="ACDCEB1C"/>
    <w:lvl w:ilvl="0" w:tplc="0C090001">
      <w:start w:val="1"/>
      <w:numFmt w:val="bullet"/>
      <w:lvlText w:val=""/>
      <w:lvlJc w:val="left"/>
      <w:pPr>
        <w:ind w:left="404" w:hanging="360"/>
      </w:pPr>
      <w:rPr>
        <w:rFonts w:ascii="Symbol" w:hAnsi="Symbol" w:hint="default"/>
      </w:rPr>
    </w:lvl>
    <w:lvl w:ilvl="1" w:tplc="0C090003" w:tentative="1">
      <w:start w:val="1"/>
      <w:numFmt w:val="bullet"/>
      <w:lvlText w:val="o"/>
      <w:lvlJc w:val="left"/>
      <w:pPr>
        <w:ind w:left="1124" w:hanging="360"/>
      </w:pPr>
      <w:rPr>
        <w:rFonts w:ascii="Courier New" w:hAnsi="Courier New" w:cs="Courier New" w:hint="default"/>
      </w:rPr>
    </w:lvl>
    <w:lvl w:ilvl="2" w:tplc="0C090005" w:tentative="1">
      <w:start w:val="1"/>
      <w:numFmt w:val="bullet"/>
      <w:lvlText w:val=""/>
      <w:lvlJc w:val="left"/>
      <w:pPr>
        <w:ind w:left="1844" w:hanging="360"/>
      </w:pPr>
      <w:rPr>
        <w:rFonts w:ascii="Wingdings" w:hAnsi="Wingdings" w:hint="default"/>
      </w:rPr>
    </w:lvl>
    <w:lvl w:ilvl="3" w:tplc="0C090001" w:tentative="1">
      <w:start w:val="1"/>
      <w:numFmt w:val="bullet"/>
      <w:lvlText w:val=""/>
      <w:lvlJc w:val="left"/>
      <w:pPr>
        <w:ind w:left="2564" w:hanging="360"/>
      </w:pPr>
      <w:rPr>
        <w:rFonts w:ascii="Symbol" w:hAnsi="Symbol" w:hint="default"/>
      </w:rPr>
    </w:lvl>
    <w:lvl w:ilvl="4" w:tplc="0C090003" w:tentative="1">
      <w:start w:val="1"/>
      <w:numFmt w:val="bullet"/>
      <w:lvlText w:val="o"/>
      <w:lvlJc w:val="left"/>
      <w:pPr>
        <w:ind w:left="3284" w:hanging="360"/>
      </w:pPr>
      <w:rPr>
        <w:rFonts w:ascii="Courier New" w:hAnsi="Courier New" w:cs="Courier New" w:hint="default"/>
      </w:rPr>
    </w:lvl>
    <w:lvl w:ilvl="5" w:tplc="0C090005" w:tentative="1">
      <w:start w:val="1"/>
      <w:numFmt w:val="bullet"/>
      <w:lvlText w:val=""/>
      <w:lvlJc w:val="left"/>
      <w:pPr>
        <w:ind w:left="4004" w:hanging="360"/>
      </w:pPr>
      <w:rPr>
        <w:rFonts w:ascii="Wingdings" w:hAnsi="Wingdings" w:hint="default"/>
      </w:rPr>
    </w:lvl>
    <w:lvl w:ilvl="6" w:tplc="0C090001" w:tentative="1">
      <w:start w:val="1"/>
      <w:numFmt w:val="bullet"/>
      <w:lvlText w:val=""/>
      <w:lvlJc w:val="left"/>
      <w:pPr>
        <w:ind w:left="4724" w:hanging="360"/>
      </w:pPr>
      <w:rPr>
        <w:rFonts w:ascii="Symbol" w:hAnsi="Symbol" w:hint="default"/>
      </w:rPr>
    </w:lvl>
    <w:lvl w:ilvl="7" w:tplc="0C090003" w:tentative="1">
      <w:start w:val="1"/>
      <w:numFmt w:val="bullet"/>
      <w:lvlText w:val="o"/>
      <w:lvlJc w:val="left"/>
      <w:pPr>
        <w:ind w:left="5444" w:hanging="360"/>
      </w:pPr>
      <w:rPr>
        <w:rFonts w:ascii="Courier New" w:hAnsi="Courier New" w:cs="Courier New" w:hint="default"/>
      </w:rPr>
    </w:lvl>
    <w:lvl w:ilvl="8" w:tplc="0C090005" w:tentative="1">
      <w:start w:val="1"/>
      <w:numFmt w:val="bullet"/>
      <w:lvlText w:val=""/>
      <w:lvlJc w:val="left"/>
      <w:pPr>
        <w:ind w:left="6164" w:hanging="360"/>
      </w:pPr>
      <w:rPr>
        <w:rFonts w:ascii="Wingdings" w:hAnsi="Wingdings" w:hint="default"/>
      </w:rPr>
    </w:lvl>
  </w:abstractNum>
  <w:abstractNum w:abstractNumId="31">
    <w:nsid w:val="62A76A9E"/>
    <w:multiLevelType w:val="hybridMultilevel"/>
    <w:tmpl w:val="8CCE5A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63B40A3"/>
    <w:multiLevelType w:val="hybridMultilevel"/>
    <w:tmpl w:val="C1C65DB2"/>
    <w:lvl w:ilvl="0" w:tplc="0C090001">
      <w:start w:val="1"/>
      <w:numFmt w:val="bullet"/>
      <w:lvlText w:val=""/>
      <w:lvlJc w:val="left"/>
      <w:pPr>
        <w:ind w:left="1208" w:hanging="360"/>
      </w:pPr>
      <w:rPr>
        <w:rFonts w:ascii="Symbol" w:hAnsi="Symbol" w:hint="default"/>
      </w:rPr>
    </w:lvl>
    <w:lvl w:ilvl="1" w:tplc="0C090003" w:tentative="1">
      <w:start w:val="1"/>
      <w:numFmt w:val="bullet"/>
      <w:lvlText w:val="o"/>
      <w:lvlJc w:val="left"/>
      <w:pPr>
        <w:ind w:left="1928" w:hanging="360"/>
      </w:pPr>
      <w:rPr>
        <w:rFonts w:ascii="Courier New" w:hAnsi="Courier New" w:cs="Courier New" w:hint="default"/>
      </w:rPr>
    </w:lvl>
    <w:lvl w:ilvl="2" w:tplc="0C090005" w:tentative="1">
      <w:start w:val="1"/>
      <w:numFmt w:val="bullet"/>
      <w:lvlText w:val=""/>
      <w:lvlJc w:val="left"/>
      <w:pPr>
        <w:ind w:left="2648" w:hanging="360"/>
      </w:pPr>
      <w:rPr>
        <w:rFonts w:ascii="Wingdings" w:hAnsi="Wingdings" w:hint="default"/>
      </w:rPr>
    </w:lvl>
    <w:lvl w:ilvl="3" w:tplc="0C090001" w:tentative="1">
      <w:start w:val="1"/>
      <w:numFmt w:val="bullet"/>
      <w:lvlText w:val=""/>
      <w:lvlJc w:val="left"/>
      <w:pPr>
        <w:ind w:left="3368" w:hanging="360"/>
      </w:pPr>
      <w:rPr>
        <w:rFonts w:ascii="Symbol" w:hAnsi="Symbol" w:hint="default"/>
      </w:rPr>
    </w:lvl>
    <w:lvl w:ilvl="4" w:tplc="0C090003" w:tentative="1">
      <w:start w:val="1"/>
      <w:numFmt w:val="bullet"/>
      <w:lvlText w:val="o"/>
      <w:lvlJc w:val="left"/>
      <w:pPr>
        <w:ind w:left="4088" w:hanging="360"/>
      </w:pPr>
      <w:rPr>
        <w:rFonts w:ascii="Courier New" w:hAnsi="Courier New" w:cs="Courier New" w:hint="default"/>
      </w:rPr>
    </w:lvl>
    <w:lvl w:ilvl="5" w:tplc="0C090005" w:tentative="1">
      <w:start w:val="1"/>
      <w:numFmt w:val="bullet"/>
      <w:lvlText w:val=""/>
      <w:lvlJc w:val="left"/>
      <w:pPr>
        <w:ind w:left="4808" w:hanging="360"/>
      </w:pPr>
      <w:rPr>
        <w:rFonts w:ascii="Wingdings" w:hAnsi="Wingdings" w:hint="default"/>
      </w:rPr>
    </w:lvl>
    <w:lvl w:ilvl="6" w:tplc="0C090001" w:tentative="1">
      <w:start w:val="1"/>
      <w:numFmt w:val="bullet"/>
      <w:lvlText w:val=""/>
      <w:lvlJc w:val="left"/>
      <w:pPr>
        <w:ind w:left="5528" w:hanging="360"/>
      </w:pPr>
      <w:rPr>
        <w:rFonts w:ascii="Symbol" w:hAnsi="Symbol" w:hint="default"/>
      </w:rPr>
    </w:lvl>
    <w:lvl w:ilvl="7" w:tplc="0C090003" w:tentative="1">
      <w:start w:val="1"/>
      <w:numFmt w:val="bullet"/>
      <w:lvlText w:val="o"/>
      <w:lvlJc w:val="left"/>
      <w:pPr>
        <w:ind w:left="6248" w:hanging="360"/>
      </w:pPr>
      <w:rPr>
        <w:rFonts w:ascii="Courier New" w:hAnsi="Courier New" w:cs="Courier New" w:hint="default"/>
      </w:rPr>
    </w:lvl>
    <w:lvl w:ilvl="8" w:tplc="0C090005" w:tentative="1">
      <w:start w:val="1"/>
      <w:numFmt w:val="bullet"/>
      <w:lvlText w:val=""/>
      <w:lvlJc w:val="left"/>
      <w:pPr>
        <w:ind w:left="6968" w:hanging="360"/>
      </w:pPr>
      <w:rPr>
        <w:rFonts w:ascii="Wingdings" w:hAnsi="Wingdings" w:hint="default"/>
      </w:rPr>
    </w:lvl>
  </w:abstractNum>
  <w:abstractNum w:abstractNumId="33">
    <w:nsid w:val="6783522B"/>
    <w:multiLevelType w:val="hybridMultilevel"/>
    <w:tmpl w:val="E59AF2D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9053811"/>
    <w:multiLevelType w:val="hybridMultilevel"/>
    <w:tmpl w:val="32601D22"/>
    <w:lvl w:ilvl="0" w:tplc="0C090001">
      <w:start w:val="1"/>
      <w:numFmt w:val="decimal"/>
      <w:lvlText w:val="%1."/>
      <w:lvlJc w:val="left"/>
      <w:pPr>
        <w:ind w:left="720" w:hanging="360"/>
      </w:pPr>
      <w:rPr>
        <w:rFonts w:cs="Times New Roman"/>
      </w:rPr>
    </w:lvl>
    <w:lvl w:ilvl="1" w:tplc="0C090003" w:tentative="1">
      <w:start w:val="1"/>
      <w:numFmt w:val="lowerLetter"/>
      <w:lvlText w:val="%2."/>
      <w:lvlJc w:val="left"/>
      <w:pPr>
        <w:ind w:left="1440" w:hanging="360"/>
      </w:pPr>
      <w:rPr>
        <w:rFonts w:cs="Times New Roman"/>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35">
    <w:nsid w:val="6A58024C"/>
    <w:multiLevelType w:val="hybridMultilevel"/>
    <w:tmpl w:val="75A26A8E"/>
    <w:lvl w:ilvl="0" w:tplc="0C09000F">
      <w:start w:val="1"/>
      <w:numFmt w:val="bullet"/>
      <w:lvlText w:val=""/>
      <w:lvlJc w:val="left"/>
      <w:pPr>
        <w:ind w:left="1440" w:hanging="360"/>
      </w:pPr>
      <w:rPr>
        <w:rFonts w:ascii="Wingdings" w:hAnsi="Wingdings" w:hint="default"/>
      </w:rPr>
    </w:lvl>
    <w:lvl w:ilvl="1" w:tplc="0C090019">
      <w:start w:val="1"/>
      <w:numFmt w:val="bullet"/>
      <w:lvlText w:val="o"/>
      <w:lvlJc w:val="left"/>
      <w:pPr>
        <w:ind w:left="2160" w:hanging="360"/>
      </w:pPr>
      <w:rPr>
        <w:rFonts w:ascii="Courier New" w:hAnsi="Courier New" w:cs="Courier New" w:hint="default"/>
      </w:rPr>
    </w:lvl>
    <w:lvl w:ilvl="2" w:tplc="0C09001B" w:tentative="1">
      <w:start w:val="1"/>
      <w:numFmt w:val="bullet"/>
      <w:lvlText w:val=""/>
      <w:lvlJc w:val="left"/>
      <w:pPr>
        <w:ind w:left="2880" w:hanging="360"/>
      </w:pPr>
      <w:rPr>
        <w:rFonts w:ascii="Wingdings" w:hAnsi="Wingdings" w:hint="default"/>
      </w:rPr>
    </w:lvl>
    <w:lvl w:ilvl="3" w:tplc="0C09000F" w:tentative="1">
      <w:start w:val="1"/>
      <w:numFmt w:val="bullet"/>
      <w:lvlText w:val=""/>
      <w:lvlJc w:val="left"/>
      <w:pPr>
        <w:ind w:left="3600" w:hanging="360"/>
      </w:pPr>
      <w:rPr>
        <w:rFonts w:ascii="Symbol" w:hAnsi="Symbol" w:hint="default"/>
      </w:rPr>
    </w:lvl>
    <w:lvl w:ilvl="4" w:tplc="0C090019" w:tentative="1">
      <w:start w:val="1"/>
      <w:numFmt w:val="bullet"/>
      <w:lvlText w:val="o"/>
      <w:lvlJc w:val="left"/>
      <w:pPr>
        <w:ind w:left="4320" w:hanging="360"/>
      </w:pPr>
      <w:rPr>
        <w:rFonts w:ascii="Courier New" w:hAnsi="Courier New" w:cs="Courier New" w:hint="default"/>
      </w:rPr>
    </w:lvl>
    <w:lvl w:ilvl="5" w:tplc="0C09001B" w:tentative="1">
      <w:start w:val="1"/>
      <w:numFmt w:val="bullet"/>
      <w:lvlText w:val=""/>
      <w:lvlJc w:val="left"/>
      <w:pPr>
        <w:ind w:left="5040" w:hanging="360"/>
      </w:pPr>
      <w:rPr>
        <w:rFonts w:ascii="Wingdings" w:hAnsi="Wingdings" w:hint="default"/>
      </w:rPr>
    </w:lvl>
    <w:lvl w:ilvl="6" w:tplc="0C09000F" w:tentative="1">
      <w:start w:val="1"/>
      <w:numFmt w:val="bullet"/>
      <w:lvlText w:val=""/>
      <w:lvlJc w:val="left"/>
      <w:pPr>
        <w:ind w:left="5760" w:hanging="360"/>
      </w:pPr>
      <w:rPr>
        <w:rFonts w:ascii="Symbol" w:hAnsi="Symbol" w:hint="default"/>
      </w:rPr>
    </w:lvl>
    <w:lvl w:ilvl="7" w:tplc="0C090019" w:tentative="1">
      <w:start w:val="1"/>
      <w:numFmt w:val="bullet"/>
      <w:lvlText w:val="o"/>
      <w:lvlJc w:val="left"/>
      <w:pPr>
        <w:ind w:left="6480" w:hanging="360"/>
      </w:pPr>
      <w:rPr>
        <w:rFonts w:ascii="Courier New" w:hAnsi="Courier New" w:cs="Courier New" w:hint="default"/>
      </w:rPr>
    </w:lvl>
    <w:lvl w:ilvl="8" w:tplc="0C09001B" w:tentative="1">
      <w:start w:val="1"/>
      <w:numFmt w:val="bullet"/>
      <w:lvlText w:val=""/>
      <w:lvlJc w:val="left"/>
      <w:pPr>
        <w:ind w:left="7200" w:hanging="360"/>
      </w:pPr>
      <w:rPr>
        <w:rFonts w:ascii="Wingdings" w:hAnsi="Wingdings" w:hint="default"/>
      </w:rPr>
    </w:lvl>
  </w:abstractNum>
  <w:abstractNum w:abstractNumId="36">
    <w:nsid w:val="6C863236"/>
    <w:multiLevelType w:val="hybridMultilevel"/>
    <w:tmpl w:val="026C3914"/>
    <w:lvl w:ilvl="0" w:tplc="0C09000F">
      <w:start w:val="1"/>
      <w:numFmt w:val="bullet"/>
      <w:lvlText w:val=""/>
      <w:lvlJc w:val="left"/>
      <w:pPr>
        <w:ind w:left="1440" w:hanging="360"/>
      </w:pPr>
      <w:rPr>
        <w:rFonts w:ascii="Symbol" w:hAnsi="Symbol" w:hint="default"/>
      </w:rPr>
    </w:lvl>
    <w:lvl w:ilvl="1" w:tplc="0C090019" w:tentative="1">
      <w:start w:val="1"/>
      <w:numFmt w:val="bullet"/>
      <w:lvlText w:val="o"/>
      <w:lvlJc w:val="left"/>
      <w:pPr>
        <w:ind w:left="2160" w:hanging="360"/>
      </w:pPr>
      <w:rPr>
        <w:rFonts w:ascii="Courier New" w:hAnsi="Courier New" w:cs="Courier New" w:hint="default"/>
      </w:rPr>
    </w:lvl>
    <w:lvl w:ilvl="2" w:tplc="0C09001B" w:tentative="1">
      <w:start w:val="1"/>
      <w:numFmt w:val="bullet"/>
      <w:lvlText w:val=""/>
      <w:lvlJc w:val="left"/>
      <w:pPr>
        <w:ind w:left="2880" w:hanging="360"/>
      </w:pPr>
      <w:rPr>
        <w:rFonts w:ascii="Wingdings" w:hAnsi="Wingdings" w:hint="default"/>
      </w:rPr>
    </w:lvl>
    <w:lvl w:ilvl="3" w:tplc="0C09000F" w:tentative="1">
      <w:start w:val="1"/>
      <w:numFmt w:val="bullet"/>
      <w:lvlText w:val=""/>
      <w:lvlJc w:val="left"/>
      <w:pPr>
        <w:ind w:left="3600" w:hanging="360"/>
      </w:pPr>
      <w:rPr>
        <w:rFonts w:ascii="Symbol" w:hAnsi="Symbol" w:hint="default"/>
      </w:rPr>
    </w:lvl>
    <w:lvl w:ilvl="4" w:tplc="0C090019" w:tentative="1">
      <w:start w:val="1"/>
      <w:numFmt w:val="bullet"/>
      <w:lvlText w:val="o"/>
      <w:lvlJc w:val="left"/>
      <w:pPr>
        <w:ind w:left="4320" w:hanging="360"/>
      </w:pPr>
      <w:rPr>
        <w:rFonts w:ascii="Courier New" w:hAnsi="Courier New" w:cs="Courier New" w:hint="default"/>
      </w:rPr>
    </w:lvl>
    <w:lvl w:ilvl="5" w:tplc="0C09001B" w:tentative="1">
      <w:start w:val="1"/>
      <w:numFmt w:val="bullet"/>
      <w:lvlText w:val=""/>
      <w:lvlJc w:val="left"/>
      <w:pPr>
        <w:ind w:left="5040" w:hanging="360"/>
      </w:pPr>
      <w:rPr>
        <w:rFonts w:ascii="Wingdings" w:hAnsi="Wingdings" w:hint="default"/>
      </w:rPr>
    </w:lvl>
    <w:lvl w:ilvl="6" w:tplc="0C09000F" w:tentative="1">
      <w:start w:val="1"/>
      <w:numFmt w:val="bullet"/>
      <w:lvlText w:val=""/>
      <w:lvlJc w:val="left"/>
      <w:pPr>
        <w:ind w:left="5760" w:hanging="360"/>
      </w:pPr>
      <w:rPr>
        <w:rFonts w:ascii="Symbol" w:hAnsi="Symbol" w:hint="default"/>
      </w:rPr>
    </w:lvl>
    <w:lvl w:ilvl="7" w:tplc="0C090019" w:tentative="1">
      <w:start w:val="1"/>
      <w:numFmt w:val="bullet"/>
      <w:lvlText w:val="o"/>
      <w:lvlJc w:val="left"/>
      <w:pPr>
        <w:ind w:left="6480" w:hanging="360"/>
      </w:pPr>
      <w:rPr>
        <w:rFonts w:ascii="Courier New" w:hAnsi="Courier New" w:cs="Courier New" w:hint="default"/>
      </w:rPr>
    </w:lvl>
    <w:lvl w:ilvl="8" w:tplc="0C09001B" w:tentative="1">
      <w:start w:val="1"/>
      <w:numFmt w:val="bullet"/>
      <w:lvlText w:val=""/>
      <w:lvlJc w:val="left"/>
      <w:pPr>
        <w:ind w:left="7200" w:hanging="360"/>
      </w:pPr>
      <w:rPr>
        <w:rFonts w:ascii="Wingdings" w:hAnsi="Wingdings" w:hint="default"/>
      </w:rPr>
    </w:lvl>
  </w:abstractNum>
  <w:abstractNum w:abstractNumId="37">
    <w:nsid w:val="6EE2347C"/>
    <w:multiLevelType w:val="hybridMultilevel"/>
    <w:tmpl w:val="27403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F2A7980"/>
    <w:multiLevelType w:val="hybridMultilevel"/>
    <w:tmpl w:val="EA9E4E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6FC76BB6"/>
    <w:multiLevelType w:val="hybridMultilevel"/>
    <w:tmpl w:val="E30A8466"/>
    <w:lvl w:ilvl="0" w:tplc="04090005">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0">
    <w:nsid w:val="72B67C7A"/>
    <w:multiLevelType w:val="hybridMultilevel"/>
    <w:tmpl w:val="5B74C942"/>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1">
    <w:nsid w:val="7CCC6B0A"/>
    <w:multiLevelType w:val="hybridMultilevel"/>
    <w:tmpl w:val="77B2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8"/>
  </w:num>
  <w:num w:numId="4">
    <w:abstractNumId w:val="20"/>
  </w:num>
  <w:num w:numId="5">
    <w:abstractNumId w:val="36"/>
  </w:num>
  <w:num w:numId="6">
    <w:abstractNumId w:val="39"/>
  </w:num>
  <w:num w:numId="7">
    <w:abstractNumId w:val="30"/>
  </w:num>
  <w:num w:numId="8">
    <w:abstractNumId w:val="15"/>
  </w:num>
  <w:num w:numId="9">
    <w:abstractNumId w:val="13"/>
  </w:num>
  <w:num w:numId="10">
    <w:abstractNumId w:val="12"/>
  </w:num>
  <w:num w:numId="11">
    <w:abstractNumId w:val="9"/>
  </w:num>
  <w:num w:numId="12">
    <w:abstractNumId w:val="6"/>
  </w:num>
  <w:num w:numId="13">
    <w:abstractNumId w:val="11"/>
  </w:num>
  <w:num w:numId="14">
    <w:abstractNumId w:val="40"/>
  </w:num>
  <w:num w:numId="15">
    <w:abstractNumId w:val="34"/>
  </w:num>
  <w:num w:numId="16">
    <w:abstractNumId w:val="33"/>
  </w:num>
  <w:num w:numId="17">
    <w:abstractNumId w:val="26"/>
  </w:num>
  <w:num w:numId="18">
    <w:abstractNumId w:val="4"/>
  </w:num>
  <w:num w:numId="19">
    <w:abstractNumId w:val="35"/>
  </w:num>
  <w:num w:numId="20">
    <w:abstractNumId w:val="22"/>
  </w:num>
  <w:num w:numId="21">
    <w:abstractNumId w:val="5"/>
  </w:num>
  <w:num w:numId="22">
    <w:abstractNumId w:val="23"/>
  </w:num>
  <w:num w:numId="23">
    <w:abstractNumId w:val="7"/>
  </w:num>
  <w:num w:numId="24">
    <w:abstractNumId w:val="18"/>
  </w:num>
  <w:num w:numId="25">
    <w:abstractNumId w:val="16"/>
  </w:num>
  <w:num w:numId="26">
    <w:abstractNumId w:val="38"/>
  </w:num>
  <w:num w:numId="27">
    <w:abstractNumId w:val="0"/>
  </w:num>
  <w:num w:numId="28">
    <w:abstractNumId w:val="25"/>
  </w:num>
  <w:num w:numId="29">
    <w:abstractNumId w:val="32"/>
  </w:num>
  <w:num w:numId="30">
    <w:abstractNumId w:val="3"/>
  </w:num>
  <w:num w:numId="31">
    <w:abstractNumId w:val="1"/>
  </w:num>
  <w:num w:numId="32">
    <w:abstractNumId w:val="17"/>
  </w:num>
  <w:num w:numId="33">
    <w:abstractNumId w:val="19"/>
  </w:num>
  <w:num w:numId="34">
    <w:abstractNumId w:val="2"/>
  </w:num>
  <w:num w:numId="35">
    <w:abstractNumId w:val="28"/>
  </w:num>
  <w:num w:numId="36">
    <w:abstractNumId w:val="27"/>
  </w:num>
  <w:num w:numId="37">
    <w:abstractNumId w:val="37"/>
  </w:num>
  <w:num w:numId="38">
    <w:abstractNumId w:val="29"/>
  </w:num>
  <w:num w:numId="39">
    <w:abstractNumId w:val="31"/>
  </w:num>
  <w:num w:numId="40">
    <w:abstractNumId w:val="21"/>
  </w:num>
  <w:num w:numId="41">
    <w:abstractNumId w:val="41"/>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rsids>
    <w:rsidRoot w:val="0012313D"/>
    <w:rsid w:val="0000647B"/>
    <w:rsid w:val="00006583"/>
    <w:rsid w:val="000211CB"/>
    <w:rsid w:val="00022033"/>
    <w:rsid w:val="00024A88"/>
    <w:rsid w:val="00025716"/>
    <w:rsid w:val="000376A3"/>
    <w:rsid w:val="000560C5"/>
    <w:rsid w:val="00062237"/>
    <w:rsid w:val="00067B4C"/>
    <w:rsid w:val="0007387F"/>
    <w:rsid w:val="00087D4A"/>
    <w:rsid w:val="000B7E10"/>
    <w:rsid w:val="000C5613"/>
    <w:rsid w:val="000C6975"/>
    <w:rsid w:val="000D3187"/>
    <w:rsid w:val="000D4275"/>
    <w:rsid w:val="000F2FD2"/>
    <w:rsid w:val="001044A8"/>
    <w:rsid w:val="001214C9"/>
    <w:rsid w:val="0012313D"/>
    <w:rsid w:val="00155FB9"/>
    <w:rsid w:val="0016302B"/>
    <w:rsid w:val="001807BE"/>
    <w:rsid w:val="001964D9"/>
    <w:rsid w:val="001B2116"/>
    <w:rsid w:val="001C6AE3"/>
    <w:rsid w:val="001D1E4F"/>
    <w:rsid w:val="0020063F"/>
    <w:rsid w:val="00210A6F"/>
    <w:rsid w:val="00211D49"/>
    <w:rsid w:val="00214A5D"/>
    <w:rsid w:val="0022340D"/>
    <w:rsid w:val="002320F9"/>
    <w:rsid w:val="00234D8D"/>
    <w:rsid w:val="0024031F"/>
    <w:rsid w:val="00242960"/>
    <w:rsid w:val="002509AA"/>
    <w:rsid w:val="002509AE"/>
    <w:rsid w:val="00251969"/>
    <w:rsid w:val="002706A4"/>
    <w:rsid w:val="00283CA7"/>
    <w:rsid w:val="002A0621"/>
    <w:rsid w:val="002A3E62"/>
    <w:rsid w:val="002A44A4"/>
    <w:rsid w:val="002A705F"/>
    <w:rsid w:val="002C09D5"/>
    <w:rsid w:val="002E6E36"/>
    <w:rsid w:val="002F03E9"/>
    <w:rsid w:val="00302B97"/>
    <w:rsid w:val="0030311B"/>
    <w:rsid w:val="00306CF0"/>
    <w:rsid w:val="00312BD7"/>
    <w:rsid w:val="0031560E"/>
    <w:rsid w:val="00323F7A"/>
    <w:rsid w:val="00325F57"/>
    <w:rsid w:val="00366821"/>
    <w:rsid w:val="0037514F"/>
    <w:rsid w:val="00384938"/>
    <w:rsid w:val="003859F1"/>
    <w:rsid w:val="00386FA2"/>
    <w:rsid w:val="003A0CC1"/>
    <w:rsid w:val="003C5429"/>
    <w:rsid w:val="003E7FE5"/>
    <w:rsid w:val="00402F17"/>
    <w:rsid w:val="00420502"/>
    <w:rsid w:val="004679D9"/>
    <w:rsid w:val="00475731"/>
    <w:rsid w:val="00483E29"/>
    <w:rsid w:val="00491CA4"/>
    <w:rsid w:val="004C6EBD"/>
    <w:rsid w:val="004E2BBD"/>
    <w:rsid w:val="005035A9"/>
    <w:rsid w:val="005144A3"/>
    <w:rsid w:val="005277F9"/>
    <w:rsid w:val="00566E83"/>
    <w:rsid w:val="005729C1"/>
    <w:rsid w:val="00573FAD"/>
    <w:rsid w:val="00593AC2"/>
    <w:rsid w:val="005A095E"/>
    <w:rsid w:val="005B4F49"/>
    <w:rsid w:val="005B675C"/>
    <w:rsid w:val="005C39B9"/>
    <w:rsid w:val="005D2E97"/>
    <w:rsid w:val="00624239"/>
    <w:rsid w:val="00626309"/>
    <w:rsid w:val="00654DC1"/>
    <w:rsid w:val="006707DD"/>
    <w:rsid w:val="00675D1D"/>
    <w:rsid w:val="00685B35"/>
    <w:rsid w:val="006A7ADB"/>
    <w:rsid w:val="006B24C3"/>
    <w:rsid w:val="006C4F4E"/>
    <w:rsid w:val="006D5F14"/>
    <w:rsid w:val="006E14B9"/>
    <w:rsid w:val="007039E1"/>
    <w:rsid w:val="0072502D"/>
    <w:rsid w:val="00732AA4"/>
    <w:rsid w:val="00743F6C"/>
    <w:rsid w:val="00754C46"/>
    <w:rsid w:val="007570EF"/>
    <w:rsid w:val="00763319"/>
    <w:rsid w:val="007810DB"/>
    <w:rsid w:val="00794771"/>
    <w:rsid w:val="007A06BF"/>
    <w:rsid w:val="007B526E"/>
    <w:rsid w:val="007B571C"/>
    <w:rsid w:val="007D12E7"/>
    <w:rsid w:val="007D6F81"/>
    <w:rsid w:val="007E2651"/>
    <w:rsid w:val="007E2A1E"/>
    <w:rsid w:val="007F4E95"/>
    <w:rsid w:val="00822FDE"/>
    <w:rsid w:val="008245A9"/>
    <w:rsid w:val="008249BA"/>
    <w:rsid w:val="00827A7D"/>
    <w:rsid w:val="0083415E"/>
    <w:rsid w:val="00860326"/>
    <w:rsid w:val="00862591"/>
    <w:rsid w:val="008700D3"/>
    <w:rsid w:val="00872E7D"/>
    <w:rsid w:val="008850C2"/>
    <w:rsid w:val="008A5872"/>
    <w:rsid w:val="008C521F"/>
    <w:rsid w:val="008C7BB7"/>
    <w:rsid w:val="008D2835"/>
    <w:rsid w:val="008D5267"/>
    <w:rsid w:val="008F3D0F"/>
    <w:rsid w:val="00905411"/>
    <w:rsid w:val="00913F7F"/>
    <w:rsid w:val="009353B2"/>
    <w:rsid w:val="009544A3"/>
    <w:rsid w:val="009552F2"/>
    <w:rsid w:val="009573A9"/>
    <w:rsid w:val="00966BA1"/>
    <w:rsid w:val="009755A2"/>
    <w:rsid w:val="009B166D"/>
    <w:rsid w:val="009D603A"/>
    <w:rsid w:val="009E62D5"/>
    <w:rsid w:val="00A00DBA"/>
    <w:rsid w:val="00A01435"/>
    <w:rsid w:val="00A02C3A"/>
    <w:rsid w:val="00A25A02"/>
    <w:rsid w:val="00A47AE1"/>
    <w:rsid w:val="00A80813"/>
    <w:rsid w:val="00A93E6F"/>
    <w:rsid w:val="00AA4A3E"/>
    <w:rsid w:val="00AA7128"/>
    <w:rsid w:val="00AB5190"/>
    <w:rsid w:val="00AD5DAC"/>
    <w:rsid w:val="00AD66D6"/>
    <w:rsid w:val="00B014A2"/>
    <w:rsid w:val="00B106FA"/>
    <w:rsid w:val="00B33929"/>
    <w:rsid w:val="00B40390"/>
    <w:rsid w:val="00B444EA"/>
    <w:rsid w:val="00B5096F"/>
    <w:rsid w:val="00B84047"/>
    <w:rsid w:val="00BC5331"/>
    <w:rsid w:val="00BD1291"/>
    <w:rsid w:val="00BD1704"/>
    <w:rsid w:val="00BE5B28"/>
    <w:rsid w:val="00BF6D90"/>
    <w:rsid w:val="00BF7750"/>
    <w:rsid w:val="00BF7BE5"/>
    <w:rsid w:val="00C231D2"/>
    <w:rsid w:val="00C31D34"/>
    <w:rsid w:val="00C34996"/>
    <w:rsid w:val="00C36E81"/>
    <w:rsid w:val="00C566D7"/>
    <w:rsid w:val="00C70B04"/>
    <w:rsid w:val="00C82820"/>
    <w:rsid w:val="00C82CC7"/>
    <w:rsid w:val="00C850E0"/>
    <w:rsid w:val="00C91859"/>
    <w:rsid w:val="00C91AC2"/>
    <w:rsid w:val="00CF2617"/>
    <w:rsid w:val="00D14DB3"/>
    <w:rsid w:val="00D24209"/>
    <w:rsid w:val="00D27BF1"/>
    <w:rsid w:val="00D439E8"/>
    <w:rsid w:val="00D52645"/>
    <w:rsid w:val="00D63085"/>
    <w:rsid w:val="00D82BBF"/>
    <w:rsid w:val="00DB1291"/>
    <w:rsid w:val="00DB5E9C"/>
    <w:rsid w:val="00DD1FEA"/>
    <w:rsid w:val="00DE6894"/>
    <w:rsid w:val="00DF7979"/>
    <w:rsid w:val="00E0370D"/>
    <w:rsid w:val="00E063FE"/>
    <w:rsid w:val="00E10E96"/>
    <w:rsid w:val="00E145E2"/>
    <w:rsid w:val="00E2694E"/>
    <w:rsid w:val="00E35E80"/>
    <w:rsid w:val="00E364B8"/>
    <w:rsid w:val="00E42AB0"/>
    <w:rsid w:val="00E8385C"/>
    <w:rsid w:val="00E92EE6"/>
    <w:rsid w:val="00E94B83"/>
    <w:rsid w:val="00E9735C"/>
    <w:rsid w:val="00EA4FC5"/>
    <w:rsid w:val="00EB4478"/>
    <w:rsid w:val="00EC7003"/>
    <w:rsid w:val="00EE1671"/>
    <w:rsid w:val="00F34006"/>
    <w:rsid w:val="00F47700"/>
    <w:rsid w:val="00F57598"/>
    <w:rsid w:val="00F7671F"/>
    <w:rsid w:val="00F81DB1"/>
    <w:rsid w:val="00FB4BEB"/>
    <w:rsid w:val="00FD3D4A"/>
    <w:rsid w:val="00FD5085"/>
    <w:rsid w:val="00FD7C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77F9"/>
    <w:pPr>
      <w:spacing w:after="200" w:line="276" w:lineRule="auto"/>
    </w:pPr>
    <w:rPr>
      <w:color w:val="7F7F7F" w:themeColor="text1" w:themeTint="80"/>
      <w:sz w:val="22"/>
      <w:szCs w:val="22"/>
      <w:lang w:eastAsia="en-US"/>
    </w:rPr>
  </w:style>
  <w:style w:type="paragraph" w:styleId="Heading1">
    <w:name w:val="heading 1"/>
    <w:basedOn w:val="Normal"/>
    <w:next w:val="Normal"/>
    <w:link w:val="Heading1Char"/>
    <w:uiPriority w:val="9"/>
    <w:qFormat/>
    <w:rsid w:val="006C4F4E"/>
    <w:pPr>
      <w:keepNext/>
      <w:keepLines/>
      <w:spacing w:before="240" w:after="0"/>
      <w:outlineLvl w:val="0"/>
    </w:pPr>
    <w:rPr>
      <w:rFonts w:asciiTheme="minorHAnsi" w:eastAsiaTheme="majorEastAsia" w:hAnsiTheme="minorHAnsi" w:cstheme="majorBidi"/>
      <w:b/>
      <w:bCs/>
      <w:color w:val="00ADEF"/>
      <w:sz w:val="32"/>
      <w:szCs w:val="28"/>
    </w:rPr>
  </w:style>
  <w:style w:type="paragraph" w:styleId="Heading2">
    <w:name w:val="heading 2"/>
    <w:basedOn w:val="Normal"/>
    <w:next w:val="Normal"/>
    <w:link w:val="Heading2Char"/>
    <w:uiPriority w:val="9"/>
    <w:unhideWhenUsed/>
    <w:qFormat/>
    <w:rsid w:val="00DD1FEA"/>
    <w:pPr>
      <w:keepNext/>
      <w:spacing w:before="360" w:after="180"/>
      <w:outlineLvl w:val="1"/>
    </w:pPr>
    <w:rPr>
      <w:rFonts w:asciiTheme="minorHAnsi" w:eastAsia="Times New Roman" w:hAnsiTheme="minorHAnsi"/>
      <w:b/>
      <w:bCs/>
      <w:iCs/>
      <w:sz w:val="28"/>
      <w:szCs w:val="28"/>
    </w:rPr>
  </w:style>
  <w:style w:type="paragraph" w:styleId="Heading3">
    <w:name w:val="heading 3"/>
    <w:basedOn w:val="Normal"/>
    <w:next w:val="Normal"/>
    <w:link w:val="Heading3Char"/>
    <w:uiPriority w:val="9"/>
    <w:unhideWhenUsed/>
    <w:qFormat/>
    <w:rsid w:val="00DD1FEA"/>
    <w:pPr>
      <w:keepNext/>
      <w:keepLines/>
      <w:spacing w:before="320" w:after="120"/>
      <w:outlineLvl w:val="2"/>
    </w:pPr>
    <w:rPr>
      <w:rFonts w:asciiTheme="minorHAnsi" w:eastAsiaTheme="majorEastAsia" w:hAnsiTheme="minorHAnsi" w:cstheme="majorBidi"/>
      <w:b/>
      <w:bCs/>
      <w:color w:val="808080" w:themeColor="background1" w:themeShade="80"/>
      <w:sz w:val="24"/>
    </w:rPr>
  </w:style>
  <w:style w:type="paragraph" w:styleId="Heading4">
    <w:name w:val="heading 4"/>
    <w:basedOn w:val="Normal"/>
    <w:next w:val="Normal"/>
    <w:link w:val="Heading4Char"/>
    <w:uiPriority w:val="9"/>
    <w:unhideWhenUsed/>
    <w:qFormat/>
    <w:rsid w:val="00BC5331"/>
    <w:pPr>
      <w:keepNext/>
      <w:keepLines/>
      <w:spacing w:before="200" w:after="0"/>
      <w:outlineLvl w:val="3"/>
    </w:pPr>
    <w:rPr>
      <w:rFonts w:asciiTheme="minorHAnsi" w:eastAsiaTheme="majorEastAsia" w:hAnsiTheme="minorHAnsi" w:cstheme="majorBidi"/>
      <w:b/>
      <w:bCs/>
      <w:iCs/>
      <w:color w:val="00ADEF"/>
    </w:rPr>
  </w:style>
  <w:style w:type="paragraph" w:styleId="Heading5">
    <w:name w:val="heading 5"/>
    <w:basedOn w:val="Normal"/>
    <w:next w:val="Normal"/>
    <w:link w:val="Heading5Char"/>
    <w:uiPriority w:val="9"/>
    <w:unhideWhenUsed/>
    <w:qFormat/>
    <w:rsid w:val="00BC5331"/>
    <w:pPr>
      <w:keepNext/>
      <w:keepLines/>
      <w:spacing w:before="200" w:after="0"/>
      <w:outlineLvl w:val="4"/>
    </w:pPr>
    <w:rPr>
      <w:rFonts w:asciiTheme="minorHAnsi" w:eastAsiaTheme="majorEastAsia" w:hAnsiTheme="minorHAnsi" w:cstheme="majorBidi"/>
      <w:b/>
    </w:rPr>
  </w:style>
  <w:style w:type="paragraph" w:styleId="Heading6">
    <w:name w:val="heading 6"/>
    <w:basedOn w:val="Normal"/>
    <w:next w:val="Normal"/>
    <w:link w:val="Heading6Char"/>
    <w:uiPriority w:val="9"/>
    <w:semiHidden/>
    <w:unhideWhenUsed/>
    <w:qFormat/>
    <w:rsid w:val="00BC5331"/>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85C"/>
    <w:pPr>
      <w:ind w:left="720"/>
    </w:pPr>
  </w:style>
  <w:style w:type="character" w:customStyle="1" w:styleId="Heading2Char">
    <w:name w:val="Heading 2 Char"/>
    <w:basedOn w:val="DefaultParagraphFont"/>
    <w:link w:val="Heading2"/>
    <w:uiPriority w:val="9"/>
    <w:rsid w:val="00DD1FEA"/>
    <w:rPr>
      <w:rFonts w:asciiTheme="minorHAnsi" w:eastAsia="Times New Roman" w:hAnsiTheme="minorHAnsi"/>
      <w:b/>
      <w:bCs/>
      <w:iCs/>
      <w:color w:val="7F7F7F" w:themeColor="text1" w:themeTint="80"/>
      <w:sz w:val="28"/>
      <w:szCs w:val="28"/>
      <w:lang w:eastAsia="en-US"/>
    </w:rPr>
  </w:style>
  <w:style w:type="paragraph" w:styleId="Header">
    <w:name w:val="header"/>
    <w:basedOn w:val="Normal"/>
    <w:link w:val="HeaderChar"/>
    <w:uiPriority w:val="99"/>
    <w:unhideWhenUsed/>
    <w:rsid w:val="00A01435"/>
    <w:pPr>
      <w:tabs>
        <w:tab w:val="center" w:pos="4513"/>
        <w:tab w:val="right" w:pos="9026"/>
      </w:tabs>
    </w:pPr>
  </w:style>
  <w:style w:type="character" w:customStyle="1" w:styleId="HeaderChar">
    <w:name w:val="Header Char"/>
    <w:basedOn w:val="DefaultParagraphFont"/>
    <w:link w:val="Header"/>
    <w:uiPriority w:val="99"/>
    <w:rsid w:val="00A01435"/>
  </w:style>
  <w:style w:type="paragraph" w:styleId="Footer">
    <w:name w:val="footer"/>
    <w:basedOn w:val="Normal"/>
    <w:link w:val="FooterChar"/>
    <w:uiPriority w:val="99"/>
    <w:unhideWhenUsed/>
    <w:rsid w:val="00A01435"/>
    <w:pPr>
      <w:tabs>
        <w:tab w:val="center" w:pos="4513"/>
        <w:tab w:val="right" w:pos="9026"/>
      </w:tabs>
    </w:pPr>
  </w:style>
  <w:style w:type="character" w:customStyle="1" w:styleId="FooterChar">
    <w:name w:val="Footer Char"/>
    <w:basedOn w:val="DefaultParagraphFont"/>
    <w:link w:val="Footer"/>
    <w:uiPriority w:val="99"/>
    <w:rsid w:val="00A01435"/>
  </w:style>
  <w:style w:type="paragraph" w:styleId="BalloonText">
    <w:name w:val="Balloon Text"/>
    <w:basedOn w:val="Normal"/>
    <w:link w:val="BalloonTextChar"/>
    <w:uiPriority w:val="99"/>
    <w:semiHidden/>
    <w:unhideWhenUsed/>
    <w:rsid w:val="00A01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435"/>
    <w:rPr>
      <w:rFonts w:ascii="Tahoma" w:hAnsi="Tahoma" w:cs="Tahoma"/>
      <w:sz w:val="16"/>
      <w:szCs w:val="16"/>
    </w:rPr>
  </w:style>
  <w:style w:type="paragraph" w:styleId="Title">
    <w:name w:val="Title"/>
    <w:basedOn w:val="Normal"/>
    <w:next w:val="Normal"/>
    <w:link w:val="TitleChar"/>
    <w:uiPriority w:val="10"/>
    <w:qFormat/>
    <w:rsid w:val="006C4F4E"/>
    <w:pPr>
      <w:pageBreakBefore/>
      <w:pBdr>
        <w:top w:val="single" w:sz="48" w:space="0" w:color="00AEEF"/>
        <w:bottom w:val="single" w:sz="48" w:space="0" w:color="00AEEF"/>
      </w:pBdr>
      <w:spacing w:after="0" w:line="216" w:lineRule="auto"/>
      <w:contextualSpacing/>
    </w:pPr>
    <w:rPr>
      <w:rFonts w:eastAsia="Times New Roman"/>
      <w:b/>
      <w:caps/>
      <w:color w:val="00ADEF"/>
      <w:spacing w:val="5"/>
      <w:kern w:val="28"/>
      <w:sz w:val="72"/>
      <w:szCs w:val="52"/>
    </w:rPr>
  </w:style>
  <w:style w:type="character" w:customStyle="1" w:styleId="TitleChar">
    <w:name w:val="Title Char"/>
    <w:basedOn w:val="DefaultParagraphFont"/>
    <w:link w:val="Title"/>
    <w:uiPriority w:val="10"/>
    <w:rsid w:val="006C4F4E"/>
    <w:rPr>
      <w:rFonts w:eastAsia="Times New Roman"/>
      <w:b/>
      <w:caps/>
      <w:color w:val="00ADEF"/>
      <w:spacing w:val="5"/>
      <w:kern w:val="28"/>
      <w:sz w:val="72"/>
      <w:szCs w:val="52"/>
      <w:lang w:eastAsia="en-US"/>
    </w:rPr>
  </w:style>
  <w:style w:type="character" w:customStyle="1" w:styleId="Heading1Char">
    <w:name w:val="Heading 1 Char"/>
    <w:basedOn w:val="DefaultParagraphFont"/>
    <w:link w:val="Heading1"/>
    <w:uiPriority w:val="9"/>
    <w:rsid w:val="006C4F4E"/>
    <w:rPr>
      <w:rFonts w:asciiTheme="minorHAnsi" w:eastAsiaTheme="majorEastAsia" w:hAnsiTheme="minorHAnsi" w:cstheme="majorBidi"/>
      <w:b/>
      <w:bCs/>
      <w:color w:val="00ADEF"/>
      <w:sz w:val="32"/>
      <w:szCs w:val="28"/>
      <w:lang w:eastAsia="en-US"/>
    </w:rPr>
  </w:style>
  <w:style w:type="paragraph" w:customStyle="1" w:styleId="Style1">
    <w:name w:val="Style1"/>
    <w:basedOn w:val="Heading1"/>
    <w:rsid w:val="006C4F4E"/>
    <w:pPr>
      <w:spacing w:before="600" w:after="120"/>
    </w:pPr>
  </w:style>
  <w:style w:type="character" w:customStyle="1" w:styleId="Heading3Char">
    <w:name w:val="Heading 3 Char"/>
    <w:basedOn w:val="DefaultParagraphFont"/>
    <w:link w:val="Heading3"/>
    <w:uiPriority w:val="9"/>
    <w:rsid w:val="00DD1FEA"/>
    <w:rPr>
      <w:rFonts w:asciiTheme="minorHAnsi" w:eastAsiaTheme="majorEastAsia" w:hAnsiTheme="minorHAnsi" w:cstheme="majorBidi"/>
      <w:b/>
      <w:bCs/>
      <w:color w:val="808080" w:themeColor="background1" w:themeShade="80"/>
      <w:sz w:val="24"/>
      <w:szCs w:val="22"/>
      <w:lang w:eastAsia="en-US"/>
    </w:rPr>
  </w:style>
  <w:style w:type="paragraph" w:styleId="Subtitle">
    <w:name w:val="Subtitle"/>
    <w:basedOn w:val="Normal"/>
    <w:next w:val="Normal"/>
    <w:link w:val="SubtitleChar"/>
    <w:uiPriority w:val="11"/>
    <w:qFormat/>
    <w:rsid w:val="006C4F4E"/>
    <w:pPr>
      <w:numPr>
        <w:ilvl w:val="1"/>
      </w:numPr>
    </w:pPr>
    <w:rPr>
      <w:rFonts w:asciiTheme="minorHAnsi" w:eastAsiaTheme="majorEastAsia" w:hAnsiTheme="minorHAnsi" w:cstheme="majorBidi"/>
      <w:i/>
      <w:iCs/>
      <w:spacing w:val="15"/>
      <w:sz w:val="20"/>
      <w:szCs w:val="24"/>
    </w:rPr>
  </w:style>
  <w:style w:type="character" w:customStyle="1" w:styleId="SubtitleChar">
    <w:name w:val="Subtitle Char"/>
    <w:basedOn w:val="DefaultParagraphFont"/>
    <w:link w:val="Subtitle"/>
    <w:uiPriority w:val="11"/>
    <w:rsid w:val="006C4F4E"/>
    <w:rPr>
      <w:rFonts w:asciiTheme="minorHAnsi" w:eastAsiaTheme="majorEastAsia" w:hAnsiTheme="minorHAnsi" w:cstheme="majorBidi"/>
      <w:i/>
      <w:iCs/>
      <w:color w:val="7F7F7F" w:themeColor="text1" w:themeTint="80"/>
      <w:spacing w:val="15"/>
      <w:szCs w:val="24"/>
      <w:lang w:eastAsia="en-US"/>
    </w:rPr>
  </w:style>
  <w:style w:type="paragraph" w:styleId="Quote">
    <w:name w:val="Quote"/>
    <w:basedOn w:val="Normal"/>
    <w:next w:val="Normal"/>
    <w:link w:val="QuoteChar"/>
    <w:uiPriority w:val="29"/>
    <w:qFormat/>
    <w:rsid w:val="006C4F4E"/>
    <w:pPr>
      <w:spacing w:before="120"/>
      <w:ind w:left="720"/>
    </w:pPr>
    <w:rPr>
      <w:i/>
      <w:iCs/>
      <w:color w:val="8CC63F"/>
      <w:sz w:val="24"/>
    </w:rPr>
  </w:style>
  <w:style w:type="character" w:customStyle="1" w:styleId="QuoteChar">
    <w:name w:val="Quote Char"/>
    <w:basedOn w:val="DefaultParagraphFont"/>
    <w:link w:val="Quote"/>
    <w:uiPriority w:val="29"/>
    <w:rsid w:val="006C4F4E"/>
    <w:rPr>
      <w:i/>
      <w:iCs/>
      <w:color w:val="8CC63F"/>
      <w:sz w:val="24"/>
      <w:szCs w:val="22"/>
      <w:lang w:eastAsia="en-US"/>
    </w:rPr>
  </w:style>
  <w:style w:type="character" w:styleId="Emphasis">
    <w:name w:val="Emphasis"/>
    <w:basedOn w:val="DefaultParagraphFont"/>
    <w:uiPriority w:val="20"/>
    <w:qFormat/>
    <w:rsid w:val="00A25A02"/>
    <w:rPr>
      <w:i/>
      <w:iCs/>
      <w:color w:val="7E72B5"/>
    </w:rPr>
  </w:style>
  <w:style w:type="character" w:styleId="SubtleReference">
    <w:name w:val="Subtle Reference"/>
    <w:basedOn w:val="DefaultParagraphFont"/>
    <w:uiPriority w:val="31"/>
    <w:qFormat/>
    <w:rsid w:val="00A25A02"/>
    <w:rPr>
      <w:smallCaps/>
      <w:color w:val="00A88E"/>
      <w:u w:val="single"/>
    </w:rPr>
  </w:style>
  <w:style w:type="table" w:styleId="TableGrid">
    <w:name w:val="Table Grid"/>
    <w:basedOn w:val="TableNormal"/>
    <w:uiPriority w:val="59"/>
    <w:rsid w:val="00D242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5">
    <w:name w:val="Light List Accent 5"/>
    <w:basedOn w:val="TableNormal"/>
    <w:uiPriority w:val="61"/>
    <w:rsid w:val="00D2420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4Char">
    <w:name w:val="Heading 4 Char"/>
    <w:basedOn w:val="DefaultParagraphFont"/>
    <w:link w:val="Heading4"/>
    <w:uiPriority w:val="9"/>
    <w:rsid w:val="00BC5331"/>
    <w:rPr>
      <w:rFonts w:asciiTheme="minorHAnsi" w:eastAsiaTheme="majorEastAsia" w:hAnsiTheme="minorHAnsi" w:cstheme="majorBidi"/>
      <w:b/>
      <w:bCs/>
      <w:iCs/>
      <w:color w:val="00ADEF"/>
      <w:sz w:val="22"/>
      <w:szCs w:val="22"/>
      <w:lang w:eastAsia="en-US"/>
    </w:rPr>
  </w:style>
  <w:style w:type="character" w:customStyle="1" w:styleId="Heading5Char">
    <w:name w:val="Heading 5 Char"/>
    <w:basedOn w:val="DefaultParagraphFont"/>
    <w:link w:val="Heading5"/>
    <w:uiPriority w:val="9"/>
    <w:rsid w:val="00BC5331"/>
    <w:rPr>
      <w:rFonts w:asciiTheme="minorHAnsi" w:eastAsiaTheme="majorEastAsia" w:hAnsiTheme="minorHAnsi" w:cstheme="majorBidi"/>
      <w:b/>
      <w:color w:val="7F7F7F" w:themeColor="text1" w:themeTint="80"/>
      <w:sz w:val="22"/>
      <w:szCs w:val="22"/>
      <w:lang w:eastAsia="en-US"/>
    </w:rPr>
  </w:style>
  <w:style w:type="character" w:customStyle="1" w:styleId="Heading6Char">
    <w:name w:val="Heading 6 Char"/>
    <w:basedOn w:val="DefaultParagraphFont"/>
    <w:link w:val="Heading6"/>
    <w:uiPriority w:val="9"/>
    <w:semiHidden/>
    <w:rsid w:val="00BC5331"/>
    <w:rPr>
      <w:rFonts w:asciiTheme="majorHAnsi" w:eastAsiaTheme="majorEastAsia" w:hAnsiTheme="majorHAnsi" w:cstheme="majorBidi"/>
      <w:i/>
      <w:iCs/>
      <w:color w:val="7F7F7F" w:themeColor="text1" w:themeTint="80"/>
      <w:sz w:val="22"/>
      <w:szCs w:val="22"/>
      <w:lang w:eastAsia="en-US"/>
    </w:rPr>
  </w:style>
  <w:style w:type="paragraph" w:styleId="Caption">
    <w:name w:val="caption"/>
    <w:basedOn w:val="Normal"/>
    <w:next w:val="Normal"/>
    <w:qFormat/>
    <w:rsid w:val="003E7FE5"/>
    <w:pPr>
      <w:pBdr>
        <w:top w:val="single" w:sz="12" w:space="15" w:color="auto"/>
        <w:bottom w:val="single" w:sz="12" w:space="15" w:color="auto"/>
      </w:pBdr>
      <w:spacing w:before="240" w:after="240" w:line="240" w:lineRule="auto"/>
      <w:jc w:val="center"/>
    </w:pPr>
    <w:rPr>
      <w:rFonts w:ascii="Times New Roman" w:eastAsia="Times New Roman" w:hAnsi="Times New Roman"/>
      <w:b/>
      <w:bCs/>
      <w:color w:val="auto"/>
      <w:sz w:val="44"/>
      <w:szCs w:val="44"/>
    </w:rPr>
  </w:style>
  <w:style w:type="paragraph" w:customStyle="1" w:styleId="NormalItalics">
    <w:name w:val="NormalItalics"/>
    <w:basedOn w:val="Normal"/>
    <w:rsid w:val="003E7FE5"/>
    <w:pPr>
      <w:spacing w:before="120" w:after="240" w:line="240" w:lineRule="auto"/>
      <w:ind w:left="720"/>
    </w:pPr>
    <w:rPr>
      <w:rFonts w:ascii="Times New Roman" w:eastAsia="Times New Roman" w:hAnsi="Times New Roman"/>
      <w:i/>
      <w:iCs/>
      <w:color w:val="auto"/>
      <w:sz w:val="24"/>
      <w:szCs w:val="24"/>
    </w:rPr>
  </w:style>
  <w:style w:type="paragraph" w:styleId="BodyTextIndent">
    <w:name w:val="Body Text Indent"/>
    <w:basedOn w:val="Normal"/>
    <w:link w:val="BodyTextIndentChar"/>
    <w:semiHidden/>
    <w:rsid w:val="003E7FE5"/>
    <w:pPr>
      <w:autoSpaceDE w:val="0"/>
      <w:autoSpaceDN w:val="0"/>
      <w:adjustRightInd w:val="0"/>
      <w:spacing w:after="0" w:line="240" w:lineRule="auto"/>
      <w:ind w:left="720"/>
    </w:pPr>
    <w:rPr>
      <w:rFonts w:eastAsia="Cambria"/>
      <w:color w:val="auto"/>
      <w:lang w:val="en-US"/>
    </w:rPr>
  </w:style>
  <w:style w:type="character" w:customStyle="1" w:styleId="BodyTextIndentChar">
    <w:name w:val="Body Text Indent Char"/>
    <w:basedOn w:val="DefaultParagraphFont"/>
    <w:link w:val="BodyTextIndent"/>
    <w:semiHidden/>
    <w:rsid w:val="003E7FE5"/>
    <w:rPr>
      <w:rFonts w:eastAsia="Cambria"/>
      <w:sz w:val="22"/>
      <w:szCs w:val="22"/>
      <w:lang w:val="en-US" w:eastAsia="en-US"/>
    </w:rPr>
  </w:style>
  <w:style w:type="paragraph" w:styleId="BodyTextIndent3">
    <w:name w:val="Body Text Indent 3"/>
    <w:basedOn w:val="Normal"/>
    <w:link w:val="BodyTextIndent3Char"/>
    <w:semiHidden/>
    <w:rsid w:val="003E7FE5"/>
    <w:pPr>
      <w:autoSpaceDE w:val="0"/>
      <w:autoSpaceDN w:val="0"/>
      <w:adjustRightInd w:val="0"/>
      <w:spacing w:after="240" w:line="240" w:lineRule="auto"/>
      <w:ind w:left="1077"/>
    </w:pPr>
    <w:rPr>
      <w:rFonts w:eastAsia="Cambria"/>
      <w:color w:val="000000"/>
      <w:lang w:val="en-US"/>
    </w:rPr>
  </w:style>
  <w:style w:type="character" w:customStyle="1" w:styleId="BodyTextIndent3Char">
    <w:name w:val="Body Text Indent 3 Char"/>
    <w:basedOn w:val="DefaultParagraphFont"/>
    <w:link w:val="BodyTextIndent3"/>
    <w:semiHidden/>
    <w:rsid w:val="003E7FE5"/>
    <w:rPr>
      <w:rFonts w:eastAsia="Cambria"/>
      <w:color w:val="000000"/>
      <w:sz w:val="22"/>
      <w:szCs w:val="22"/>
      <w:lang w:val="en-US" w:eastAsia="en-US"/>
    </w:rPr>
  </w:style>
  <w:style w:type="paragraph" w:customStyle="1" w:styleId="Text">
    <w:name w:val="Text"/>
    <w:basedOn w:val="Normal"/>
    <w:rsid w:val="00283CA7"/>
    <w:pPr>
      <w:spacing w:before="120" w:after="0" w:line="240" w:lineRule="exact"/>
    </w:pPr>
    <w:rPr>
      <w:rFonts w:eastAsia="Times New Roman" w:cs="Arial"/>
      <w:color w:val="auto"/>
      <w:szCs w:val="20"/>
    </w:rPr>
  </w:style>
  <w:style w:type="character" w:styleId="CommentReference">
    <w:name w:val="annotation reference"/>
    <w:basedOn w:val="DefaultParagraphFont"/>
    <w:uiPriority w:val="99"/>
    <w:semiHidden/>
    <w:unhideWhenUsed/>
    <w:rsid w:val="00E42AB0"/>
    <w:rPr>
      <w:sz w:val="16"/>
      <w:szCs w:val="16"/>
    </w:rPr>
  </w:style>
  <w:style w:type="paragraph" w:styleId="CommentText">
    <w:name w:val="annotation text"/>
    <w:basedOn w:val="Normal"/>
    <w:link w:val="CommentTextChar"/>
    <w:uiPriority w:val="99"/>
    <w:semiHidden/>
    <w:unhideWhenUsed/>
    <w:rsid w:val="00E42AB0"/>
    <w:pPr>
      <w:spacing w:line="240" w:lineRule="auto"/>
    </w:pPr>
    <w:rPr>
      <w:sz w:val="20"/>
      <w:szCs w:val="20"/>
    </w:rPr>
  </w:style>
  <w:style w:type="character" w:customStyle="1" w:styleId="CommentTextChar">
    <w:name w:val="Comment Text Char"/>
    <w:basedOn w:val="DefaultParagraphFont"/>
    <w:link w:val="CommentText"/>
    <w:uiPriority w:val="99"/>
    <w:semiHidden/>
    <w:rsid w:val="00E42AB0"/>
    <w:rPr>
      <w:color w:val="7F7F7F" w:themeColor="text1" w:themeTint="80"/>
      <w:lang w:eastAsia="en-US"/>
    </w:rPr>
  </w:style>
  <w:style w:type="paragraph" w:styleId="CommentSubject">
    <w:name w:val="annotation subject"/>
    <w:basedOn w:val="CommentText"/>
    <w:next w:val="CommentText"/>
    <w:link w:val="CommentSubjectChar"/>
    <w:uiPriority w:val="99"/>
    <w:semiHidden/>
    <w:unhideWhenUsed/>
    <w:rsid w:val="00E42AB0"/>
    <w:rPr>
      <w:b/>
      <w:bCs/>
    </w:rPr>
  </w:style>
  <w:style w:type="character" w:customStyle="1" w:styleId="CommentSubjectChar">
    <w:name w:val="Comment Subject Char"/>
    <w:basedOn w:val="CommentTextChar"/>
    <w:link w:val="CommentSubject"/>
    <w:uiPriority w:val="99"/>
    <w:semiHidden/>
    <w:rsid w:val="00E42AB0"/>
    <w:rPr>
      <w:b/>
      <w:bCs/>
      <w:color w:val="7F7F7F" w:themeColor="text1" w:themeTint="80"/>
      <w:lang w:eastAsia="en-US"/>
    </w:rPr>
  </w:style>
  <w:style w:type="paragraph" w:styleId="DocumentMap">
    <w:name w:val="Document Map"/>
    <w:basedOn w:val="Normal"/>
    <w:link w:val="DocumentMapChar"/>
    <w:uiPriority w:val="99"/>
    <w:semiHidden/>
    <w:unhideWhenUsed/>
    <w:rsid w:val="00B4039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0390"/>
    <w:rPr>
      <w:rFonts w:ascii="Tahoma" w:hAnsi="Tahoma" w:cs="Tahoma"/>
      <w:color w:val="7F7F7F" w:themeColor="text1" w:themeTint="80"/>
      <w:sz w:val="16"/>
      <w:szCs w:val="16"/>
      <w:lang w:eastAsia="en-US"/>
    </w:rPr>
  </w:style>
  <w:style w:type="paragraph" w:styleId="FootnoteText">
    <w:name w:val="footnote text"/>
    <w:basedOn w:val="Normal"/>
    <w:link w:val="FootnoteTextChar"/>
    <w:unhideWhenUsed/>
    <w:rsid w:val="003C5429"/>
    <w:pPr>
      <w:suppressAutoHyphens/>
      <w:spacing w:after="0" w:line="240" w:lineRule="auto"/>
    </w:pPr>
    <w:rPr>
      <w:rFonts w:cs="Calibri"/>
      <w:color w:val="auto"/>
      <w:sz w:val="20"/>
      <w:szCs w:val="20"/>
      <w:lang w:eastAsia="ar-SA"/>
    </w:rPr>
  </w:style>
  <w:style w:type="character" w:customStyle="1" w:styleId="FootnoteTextChar">
    <w:name w:val="Footnote Text Char"/>
    <w:basedOn w:val="DefaultParagraphFont"/>
    <w:link w:val="FootnoteText"/>
    <w:rsid w:val="003C5429"/>
    <w:rPr>
      <w:rFonts w:cs="Calibri"/>
      <w:lang w:eastAsia="ar-SA"/>
    </w:rPr>
  </w:style>
  <w:style w:type="character" w:styleId="FootnoteReference">
    <w:name w:val="footnote reference"/>
    <w:basedOn w:val="DefaultParagraphFont"/>
    <w:unhideWhenUsed/>
    <w:rsid w:val="003C5429"/>
    <w:rPr>
      <w:vertAlign w:val="superscript"/>
    </w:rPr>
  </w:style>
  <w:style w:type="paragraph" w:styleId="BodyText">
    <w:name w:val="Body Text"/>
    <w:basedOn w:val="Normal"/>
    <w:link w:val="BodyTextChar"/>
    <w:rsid w:val="00BE5B28"/>
    <w:pPr>
      <w:suppressAutoHyphens/>
      <w:spacing w:after="120" w:line="240" w:lineRule="auto"/>
    </w:pPr>
    <w:rPr>
      <w:rFonts w:eastAsia="SimSun"/>
      <w:color w:val="auto"/>
      <w:lang w:eastAsia="zh-CN"/>
    </w:rPr>
  </w:style>
  <w:style w:type="character" w:customStyle="1" w:styleId="BodyTextChar">
    <w:name w:val="Body Text Char"/>
    <w:basedOn w:val="DefaultParagraphFont"/>
    <w:link w:val="BodyText"/>
    <w:rsid w:val="00BE5B28"/>
    <w:rPr>
      <w:rFonts w:eastAsia="SimSun"/>
      <w:sz w:val="22"/>
      <w:szCs w:val="22"/>
      <w:lang w:eastAsia="zh-CN"/>
    </w:rPr>
  </w:style>
  <w:style w:type="paragraph" w:customStyle="1" w:styleId="Default">
    <w:name w:val="Default"/>
    <w:rsid w:val="00AB519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2420066">
      <w:bodyDiv w:val="1"/>
      <w:marLeft w:val="0"/>
      <w:marRight w:val="0"/>
      <w:marTop w:val="0"/>
      <w:marBottom w:val="0"/>
      <w:divBdr>
        <w:top w:val="none" w:sz="0" w:space="0" w:color="auto"/>
        <w:left w:val="none" w:sz="0" w:space="0" w:color="auto"/>
        <w:bottom w:val="none" w:sz="0" w:space="0" w:color="auto"/>
        <w:right w:val="none" w:sz="0" w:space="0" w:color="auto"/>
      </w:divBdr>
    </w:div>
    <w:div w:id="17266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4801B6D-5136-4C7E-8718-A1B343009353}"/>
</file>

<file path=customXml/itemProps2.xml><?xml version="1.0" encoding="utf-8"?>
<ds:datastoreItem xmlns:ds="http://schemas.openxmlformats.org/officeDocument/2006/customXml" ds:itemID="{9092AD84-BBCF-4DF2-9B0C-E9927AE41898}"/>
</file>

<file path=customXml/itemProps3.xml><?xml version="1.0" encoding="utf-8"?>
<ds:datastoreItem xmlns:ds="http://schemas.openxmlformats.org/officeDocument/2006/customXml" ds:itemID="{232691E2-2020-4628-88F6-C9107E68CE77}"/>
</file>

<file path=docProps/app.xml><?xml version="1.0" encoding="utf-8"?>
<Properties xmlns="http://schemas.openxmlformats.org/officeDocument/2006/extended-properties" xmlns:vt="http://schemas.openxmlformats.org/officeDocument/2006/docPropsVTypes">
  <Template>Normal</Template>
  <TotalTime>0</TotalTime>
  <Pages>4</Pages>
  <Words>1896</Words>
  <Characters>10809</Characters>
  <Application>Microsoft Office Word</Application>
  <DocSecurity>0</DocSecurity>
  <Lines>90</Lines>
  <Paragraphs>25</Paragraphs>
  <ScaleCrop>false</ScaleCrop>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Australia Murray-Darling Basin Environmental Works and Measures Feasibility Program - State-led community component: Final report</dc:title>
  <dc:creator/>
  <cp:lastModifiedBy/>
  <cp:revision>1</cp:revision>
  <dcterms:created xsi:type="dcterms:W3CDTF">2013-12-03T02:40:00Z</dcterms:created>
  <dcterms:modified xsi:type="dcterms:W3CDTF">2013-12-03T02:40:00Z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