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C7" w:rsidRPr="00317FC2" w:rsidRDefault="00B401E5" w:rsidP="00317FC2">
      <w:pPr>
        <w:pBdr>
          <w:top w:val="single" w:sz="24" w:space="1" w:color="auto"/>
          <w:bottom w:val="single" w:sz="24" w:space="1" w:color="auto"/>
        </w:pBdr>
        <w:rPr>
          <w:b/>
          <w:sz w:val="96"/>
          <w:szCs w:val="96"/>
        </w:rPr>
      </w:pPr>
      <w:r>
        <w:rPr>
          <w:b/>
          <w:sz w:val="96"/>
          <w:szCs w:val="96"/>
        </w:rPr>
        <w:t>Final R</w:t>
      </w:r>
      <w:r w:rsidR="00763ABD" w:rsidRPr="00317FC2">
        <w:rPr>
          <w:b/>
          <w:sz w:val="96"/>
          <w:szCs w:val="96"/>
        </w:rPr>
        <w:t>eport</w:t>
      </w:r>
    </w:p>
    <w:p w:rsidR="00317FC2" w:rsidRPr="00763ABD" w:rsidRDefault="00763ABD">
      <w:pPr>
        <w:rPr>
          <w:b/>
          <w:sz w:val="44"/>
        </w:rPr>
      </w:pPr>
      <w:r w:rsidRPr="00763ABD">
        <w:rPr>
          <w:b/>
          <w:sz w:val="44"/>
        </w:rPr>
        <w:t>South Australian Murray-Darling Basin Environmental Works and Measures Feasibility Program</w:t>
      </w:r>
    </w:p>
    <w:p w:rsidR="00763ABD" w:rsidRPr="00763ABD" w:rsidRDefault="00763ABD">
      <w:pPr>
        <w:rPr>
          <w:b/>
          <w:sz w:val="44"/>
        </w:rPr>
      </w:pPr>
      <w:r w:rsidRPr="00763ABD">
        <w:rPr>
          <w:b/>
          <w:sz w:val="44"/>
        </w:rPr>
        <w:t>State Sub-Projects</w:t>
      </w:r>
    </w:p>
    <w:p w:rsidR="00763ABD" w:rsidRPr="00763ABD" w:rsidRDefault="00763ABD">
      <w:pPr>
        <w:rPr>
          <w:b/>
          <w:sz w:val="44"/>
        </w:rPr>
      </w:pPr>
    </w:p>
    <w:p w:rsidR="00763ABD" w:rsidRPr="00317FC2" w:rsidRDefault="00763ABD">
      <w:pPr>
        <w:rPr>
          <w:b/>
          <w:sz w:val="52"/>
          <w:szCs w:val="52"/>
        </w:rPr>
      </w:pPr>
      <w:r w:rsidRPr="00317FC2">
        <w:rPr>
          <w:b/>
          <w:sz w:val="52"/>
          <w:szCs w:val="52"/>
        </w:rPr>
        <w:t>Volume 1: Delivery of State Sub-Projects</w:t>
      </w:r>
    </w:p>
    <w:p w:rsidR="00763ABD" w:rsidRPr="00763ABD" w:rsidRDefault="00763ABD">
      <w:pPr>
        <w:rPr>
          <w:b/>
          <w:sz w:val="44"/>
        </w:rPr>
      </w:pPr>
    </w:p>
    <w:p w:rsidR="00763ABD" w:rsidRPr="00763ABD" w:rsidRDefault="00763ABD">
      <w:pPr>
        <w:rPr>
          <w:b/>
          <w:sz w:val="44"/>
        </w:rPr>
      </w:pPr>
      <w:r w:rsidRPr="00763ABD">
        <w:rPr>
          <w:b/>
          <w:sz w:val="44"/>
        </w:rPr>
        <w:t>Department of Environment, Water and Natural Resources</w:t>
      </w:r>
    </w:p>
    <w:p w:rsidR="00763ABD" w:rsidRPr="00763ABD" w:rsidRDefault="00763ABD">
      <w:pPr>
        <w:rPr>
          <w:b/>
          <w:sz w:val="44"/>
        </w:rPr>
      </w:pPr>
    </w:p>
    <w:p w:rsidR="00317FC2" w:rsidRDefault="00057A9C" w:rsidP="00317FC2">
      <w:pPr>
        <w:rPr>
          <w:b/>
          <w:sz w:val="32"/>
        </w:rPr>
      </w:pPr>
      <w:r>
        <w:rPr>
          <w:b/>
          <w:sz w:val="32"/>
        </w:rPr>
        <w:t>2</w:t>
      </w:r>
      <w:r w:rsidR="00763ABD" w:rsidRPr="00763ABD">
        <w:rPr>
          <w:b/>
          <w:sz w:val="32"/>
        </w:rPr>
        <w:t xml:space="preserve">8 March 2013 </w:t>
      </w:r>
    </w:p>
    <w:p w:rsidR="00763ABD" w:rsidRDefault="00763ABD"/>
    <w:p w:rsidR="00E95FB5" w:rsidRDefault="00E95FB5"/>
    <w:p w:rsidR="00E95FB5" w:rsidRDefault="00E95FB5"/>
    <w:p w:rsidR="00E95FB5" w:rsidRPr="00763ABD" w:rsidRDefault="001C3C9D">
      <w:pPr>
        <w:rPr>
          <w:b/>
          <w:sz w:val="32"/>
        </w:rPr>
      </w:pPr>
      <w:r>
        <w:rPr>
          <w:noProof/>
          <w:lang w:eastAsia="en-AU"/>
        </w:rPr>
        <w:drawing>
          <wp:anchor distT="0" distB="0" distL="114300" distR="114300" simplePos="0" relativeHeight="251657216" behindDoc="0" locked="0" layoutInCell="1" allowOverlap="1">
            <wp:simplePos x="562514" y="7582619"/>
            <wp:positionH relativeFrom="margin">
              <wp:align>right</wp:align>
            </wp:positionH>
            <wp:positionV relativeFrom="margin">
              <wp:align>bottom</wp:align>
            </wp:positionV>
            <wp:extent cx="1930520" cy="1509623"/>
            <wp:effectExtent l="19050" t="0" r="0" b="0"/>
            <wp:wrapSquare wrapText="bothSides"/>
            <wp:docPr id="6" name="Picture 7" descr="http://ishare.env.sa.gov.au/Business/Communications_and_Media/SiteAssets/SitePages/Branding%20guidelines%20and%20templates/DEWNR%20Logo%20Black%20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hare.env.sa.gov.au/Business/Communications_and_Media/SiteAssets/SitePages/Branding%20guidelines%20and%20templates/DEWNR%20Logo%20Black%20Vertical.jpg"/>
                    <pic:cNvPicPr>
                      <a:picLocks noChangeAspect="1" noChangeArrowheads="1"/>
                    </pic:cNvPicPr>
                  </pic:nvPicPr>
                  <pic:blipFill>
                    <a:blip r:embed="rId7" cstate="print"/>
                    <a:srcRect/>
                    <a:stretch>
                      <a:fillRect/>
                    </a:stretch>
                  </pic:blipFill>
                  <pic:spPr bwMode="auto">
                    <a:xfrm>
                      <a:off x="0" y="0"/>
                      <a:ext cx="1930520" cy="1509623"/>
                    </a:xfrm>
                    <a:prstGeom prst="rect">
                      <a:avLst/>
                    </a:prstGeom>
                    <a:noFill/>
                    <a:ln w="9525">
                      <a:noFill/>
                      <a:miter lim="800000"/>
                      <a:headEnd/>
                      <a:tailEnd/>
                    </a:ln>
                  </pic:spPr>
                </pic:pic>
              </a:graphicData>
            </a:graphic>
          </wp:anchor>
        </w:drawing>
      </w:r>
    </w:p>
    <w:p w:rsidR="00763ABD" w:rsidRDefault="00763ABD">
      <w:pPr>
        <w:rPr>
          <w:b/>
          <w:sz w:val="44"/>
        </w:rPr>
      </w:pPr>
      <w:r>
        <w:rPr>
          <w:b/>
          <w:sz w:val="44"/>
        </w:rPr>
        <w:br w:type="page"/>
      </w:r>
    </w:p>
    <w:sdt>
      <w:sdtPr>
        <w:rPr>
          <w:rFonts w:asciiTheme="minorHAnsi" w:eastAsiaTheme="minorHAnsi" w:hAnsiTheme="minorHAnsi" w:cstheme="minorBidi"/>
          <w:b w:val="0"/>
          <w:bCs w:val="0"/>
          <w:sz w:val="22"/>
          <w:szCs w:val="22"/>
          <w:lang w:val="en-AU"/>
        </w:rPr>
        <w:id w:val="11296313"/>
        <w:docPartObj>
          <w:docPartGallery w:val="Table of Contents"/>
          <w:docPartUnique/>
        </w:docPartObj>
      </w:sdtPr>
      <w:sdtContent>
        <w:p w:rsidR="00E6674E" w:rsidRDefault="00E6674E">
          <w:pPr>
            <w:pStyle w:val="TOCHeading"/>
          </w:pPr>
          <w:r w:rsidRPr="00317FC2">
            <w:rPr>
              <w:rStyle w:val="Heading1Char"/>
            </w:rPr>
            <w:t>Contents</w:t>
          </w:r>
        </w:p>
        <w:p w:rsidR="00CF4046" w:rsidRDefault="00B21F0D">
          <w:pPr>
            <w:pStyle w:val="TOC1"/>
            <w:tabs>
              <w:tab w:val="right" w:leader="dot" w:pos="10338"/>
            </w:tabs>
            <w:rPr>
              <w:rFonts w:eastAsiaTheme="minorEastAsia"/>
              <w:noProof/>
              <w:lang w:val="en-US"/>
            </w:rPr>
          </w:pPr>
          <w:r>
            <w:fldChar w:fldCharType="begin"/>
          </w:r>
          <w:r w:rsidR="00E6674E">
            <w:instrText xml:space="preserve"> TOC \o "1-3" \h \z \u </w:instrText>
          </w:r>
          <w:r>
            <w:fldChar w:fldCharType="separate"/>
          </w:r>
          <w:hyperlink w:anchor="_Toc351120187" w:history="1">
            <w:r w:rsidR="00CF4046" w:rsidRPr="001D6B9B">
              <w:rPr>
                <w:rStyle w:val="Hyperlink"/>
                <w:noProof/>
              </w:rPr>
              <w:t>INTRODUCTION</w:t>
            </w:r>
            <w:r w:rsidR="00CF4046">
              <w:rPr>
                <w:noProof/>
                <w:webHidden/>
              </w:rPr>
              <w:tab/>
            </w:r>
            <w:r>
              <w:rPr>
                <w:noProof/>
                <w:webHidden/>
              </w:rPr>
              <w:fldChar w:fldCharType="begin"/>
            </w:r>
            <w:r w:rsidR="00CF4046">
              <w:rPr>
                <w:noProof/>
                <w:webHidden/>
              </w:rPr>
              <w:instrText xml:space="preserve"> PAGEREF _Toc351120187 \h </w:instrText>
            </w:r>
            <w:r>
              <w:rPr>
                <w:noProof/>
                <w:webHidden/>
              </w:rPr>
            </w:r>
            <w:r>
              <w:rPr>
                <w:noProof/>
                <w:webHidden/>
              </w:rPr>
              <w:fldChar w:fldCharType="separate"/>
            </w:r>
            <w:r w:rsidR="009240F4">
              <w:rPr>
                <w:noProof/>
                <w:webHidden/>
              </w:rPr>
              <w:t>3</w:t>
            </w:r>
            <w:r>
              <w:rPr>
                <w:noProof/>
                <w:webHidden/>
              </w:rPr>
              <w:fldChar w:fldCharType="end"/>
            </w:r>
          </w:hyperlink>
        </w:p>
        <w:p w:rsidR="00CF4046" w:rsidRDefault="00B21F0D">
          <w:pPr>
            <w:pStyle w:val="TOC2"/>
            <w:tabs>
              <w:tab w:val="right" w:leader="dot" w:pos="10338"/>
            </w:tabs>
            <w:rPr>
              <w:rFonts w:eastAsiaTheme="minorEastAsia"/>
              <w:noProof/>
              <w:lang w:val="en-US"/>
            </w:rPr>
          </w:pPr>
          <w:hyperlink w:anchor="_Toc351120188" w:history="1">
            <w:r w:rsidR="00CF4046" w:rsidRPr="001D6B9B">
              <w:rPr>
                <w:rStyle w:val="Hyperlink"/>
                <w:noProof/>
              </w:rPr>
              <w:t>Background to the EWMFP</w:t>
            </w:r>
            <w:r w:rsidR="00CF4046">
              <w:rPr>
                <w:noProof/>
                <w:webHidden/>
              </w:rPr>
              <w:tab/>
            </w:r>
            <w:r>
              <w:rPr>
                <w:noProof/>
                <w:webHidden/>
              </w:rPr>
              <w:fldChar w:fldCharType="begin"/>
            </w:r>
            <w:r w:rsidR="00CF4046">
              <w:rPr>
                <w:noProof/>
                <w:webHidden/>
              </w:rPr>
              <w:instrText xml:space="preserve"> PAGEREF _Toc351120188 \h </w:instrText>
            </w:r>
            <w:r>
              <w:rPr>
                <w:noProof/>
                <w:webHidden/>
              </w:rPr>
            </w:r>
            <w:r>
              <w:rPr>
                <w:noProof/>
                <w:webHidden/>
              </w:rPr>
              <w:fldChar w:fldCharType="separate"/>
            </w:r>
            <w:r w:rsidR="009240F4">
              <w:rPr>
                <w:noProof/>
                <w:webHidden/>
              </w:rPr>
              <w:t>3</w:t>
            </w:r>
            <w:r>
              <w:rPr>
                <w:noProof/>
                <w:webHidden/>
              </w:rPr>
              <w:fldChar w:fldCharType="end"/>
            </w:r>
          </w:hyperlink>
        </w:p>
        <w:p w:rsidR="00CF4046" w:rsidRDefault="00B21F0D">
          <w:pPr>
            <w:pStyle w:val="TOC2"/>
            <w:tabs>
              <w:tab w:val="right" w:leader="dot" w:pos="10338"/>
            </w:tabs>
            <w:rPr>
              <w:rFonts w:eastAsiaTheme="minorEastAsia"/>
              <w:noProof/>
              <w:lang w:val="en-US"/>
            </w:rPr>
          </w:pPr>
          <w:hyperlink w:anchor="_Toc351120189" w:history="1">
            <w:r w:rsidR="00CF4046" w:rsidRPr="001D6B9B">
              <w:rPr>
                <w:rStyle w:val="Hyperlink"/>
                <w:noProof/>
              </w:rPr>
              <w:t>Objectives of this Report</w:t>
            </w:r>
            <w:r w:rsidR="00CF4046">
              <w:rPr>
                <w:noProof/>
                <w:webHidden/>
              </w:rPr>
              <w:tab/>
            </w:r>
            <w:r>
              <w:rPr>
                <w:noProof/>
                <w:webHidden/>
              </w:rPr>
              <w:fldChar w:fldCharType="begin"/>
            </w:r>
            <w:r w:rsidR="00CF4046">
              <w:rPr>
                <w:noProof/>
                <w:webHidden/>
              </w:rPr>
              <w:instrText xml:space="preserve"> PAGEREF _Toc351120189 \h </w:instrText>
            </w:r>
            <w:r>
              <w:rPr>
                <w:noProof/>
                <w:webHidden/>
              </w:rPr>
            </w:r>
            <w:r>
              <w:rPr>
                <w:noProof/>
                <w:webHidden/>
              </w:rPr>
              <w:fldChar w:fldCharType="separate"/>
            </w:r>
            <w:r w:rsidR="009240F4">
              <w:rPr>
                <w:noProof/>
                <w:webHidden/>
              </w:rPr>
              <w:t>5</w:t>
            </w:r>
            <w:r>
              <w:rPr>
                <w:noProof/>
                <w:webHidden/>
              </w:rPr>
              <w:fldChar w:fldCharType="end"/>
            </w:r>
          </w:hyperlink>
        </w:p>
        <w:p w:rsidR="00CF4046" w:rsidRDefault="00B21F0D">
          <w:pPr>
            <w:pStyle w:val="TOC2"/>
            <w:tabs>
              <w:tab w:val="right" w:leader="dot" w:pos="10338"/>
            </w:tabs>
            <w:rPr>
              <w:rFonts w:eastAsiaTheme="minorEastAsia"/>
              <w:noProof/>
              <w:lang w:val="en-US"/>
            </w:rPr>
          </w:pPr>
          <w:hyperlink w:anchor="_Toc351120190" w:history="1">
            <w:r w:rsidR="00CF4046" w:rsidRPr="001D6B9B">
              <w:rPr>
                <w:rStyle w:val="Hyperlink"/>
                <w:noProof/>
                <w:lang w:eastAsia="ar-SA"/>
              </w:rPr>
              <w:t>Structure of this Report</w:t>
            </w:r>
            <w:r w:rsidR="00CF4046">
              <w:rPr>
                <w:noProof/>
                <w:webHidden/>
              </w:rPr>
              <w:tab/>
            </w:r>
            <w:r>
              <w:rPr>
                <w:noProof/>
                <w:webHidden/>
              </w:rPr>
              <w:fldChar w:fldCharType="begin"/>
            </w:r>
            <w:r w:rsidR="00CF4046">
              <w:rPr>
                <w:noProof/>
                <w:webHidden/>
              </w:rPr>
              <w:instrText xml:space="preserve"> PAGEREF _Toc351120190 \h </w:instrText>
            </w:r>
            <w:r>
              <w:rPr>
                <w:noProof/>
                <w:webHidden/>
              </w:rPr>
            </w:r>
            <w:r>
              <w:rPr>
                <w:noProof/>
                <w:webHidden/>
              </w:rPr>
              <w:fldChar w:fldCharType="separate"/>
            </w:r>
            <w:r w:rsidR="009240F4">
              <w:rPr>
                <w:noProof/>
                <w:webHidden/>
              </w:rPr>
              <w:t>5</w:t>
            </w:r>
            <w:r>
              <w:rPr>
                <w:noProof/>
                <w:webHidden/>
              </w:rPr>
              <w:fldChar w:fldCharType="end"/>
            </w:r>
          </w:hyperlink>
        </w:p>
        <w:p w:rsidR="00CF4046" w:rsidRDefault="00B21F0D">
          <w:pPr>
            <w:pStyle w:val="TOC2"/>
            <w:tabs>
              <w:tab w:val="right" w:leader="dot" w:pos="10338"/>
            </w:tabs>
            <w:rPr>
              <w:rFonts w:eastAsiaTheme="minorEastAsia"/>
              <w:noProof/>
              <w:lang w:val="en-US"/>
            </w:rPr>
          </w:pPr>
          <w:hyperlink w:anchor="_Toc351120191" w:history="1">
            <w:r w:rsidR="00CF4046" w:rsidRPr="001D6B9B">
              <w:rPr>
                <w:rStyle w:val="Hyperlink"/>
                <w:noProof/>
                <w:lang w:eastAsia="ar-SA"/>
              </w:rPr>
              <w:t>Evaluation of Project</w:t>
            </w:r>
            <w:r w:rsidR="00CF4046">
              <w:rPr>
                <w:noProof/>
                <w:webHidden/>
              </w:rPr>
              <w:tab/>
            </w:r>
            <w:r>
              <w:rPr>
                <w:noProof/>
                <w:webHidden/>
              </w:rPr>
              <w:fldChar w:fldCharType="begin"/>
            </w:r>
            <w:r w:rsidR="00CF4046">
              <w:rPr>
                <w:noProof/>
                <w:webHidden/>
              </w:rPr>
              <w:instrText xml:space="preserve"> PAGEREF _Toc351120191 \h </w:instrText>
            </w:r>
            <w:r>
              <w:rPr>
                <w:noProof/>
                <w:webHidden/>
              </w:rPr>
            </w:r>
            <w:r>
              <w:rPr>
                <w:noProof/>
                <w:webHidden/>
              </w:rPr>
              <w:fldChar w:fldCharType="separate"/>
            </w:r>
            <w:r w:rsidR="009240F4">
              <w:rPr>
                <w:noProof/>
                <w:webHidden/>
              </w:rPr>
              <w:t>5</w:t>
            </w:r>
            <w:r>
              <w:rPr>
                <w:noProof/>
                <w:webHidden/>
              </w:rPr>
              <w:fldChar w:fldCharType="end"/>
            </w:r>
          </w:hyperlink>
        </w:p>
        <w:p w:rsidR="00CF4046" w:rsidRDefault="00B21F0D">
          <w:pPr>
            <w:pStyle w:val="TOC2"/>
            <w:tabs>
              <w:tab w:val="right" w:leader="dot" w:pos="10338"/>
            </w:tabs>
            <w:rPr>
              <w:rFonts w:eastAsiaTheme="minorEastAsia"/>
              <w:noProof/>
              <w:lang w:val="en-US"/>
            </w:rPr>
          </w:pPr>
          <w:hyperlink w:anchor="_Toc351120192" w:history="1">
            <w:r w:rsidR="00CF4046" w:rsidRPr="001D6B9B">
              <w:rPr>
                <w:rStyle w:val="Hyperlink"/>
                <w:noProof/>
              </w:rPr>
              <w:t>Achievement of Milestones</w:t>
            </w:r>
            <w:r w:rsidR="00CF4046">
              <w:rPr>
                <w:noProof/>
                <w:webHidden/>
              </w:rPr>
              <w:tab/>
            </w:r>
            <w:r>
              <w:rPr>
                <w:noProof/>
                <w:webHidden/>
              </w:rPr>
              <w:fldChar w:fldCharType="begin"/>
            </w:r>
            <w:r w:rsidR="00CF4046">
              <w:rPr>
                <w:noProof/>
                <w:webHidden/>
              </w:rPr>
              <w:instrText xml:space="preserve"> PAGEREF _Toc351120192 \h </w:instrText>
            </w:r>
            <w:r>
              <w:rPr>
                <w:noProof/>
                <w:webHidden/>
              </w:rPr>
            </w:r>
            <w:r>
              <w:rPr>
                <w:noProof/>
                <w:webHidden/>
              </w:rPr>
              <w:fldChar w:fldCharType="separate"/>
            </w:r>
            <w:r w:rsidR="009240F4">
              <w:rPr>
                <w:noProof/>
                <w:webHidden/>
              </w:rPr>
              <w:t>6</w:t>
            </w:r>
            <w:r>
              <w:rPr>
                <w:noProof/>
                <w:webHidden/>
              </w:rPr>
              <w:fldChar w:fldCharType="end"/>
            </w:r>
          </w:hyperlink>
        </w:p>
        <w:p w:rsidR="00CF4046" w:rsidRDefault="00B21F0D">
          <w:pPr>
            <w:pStyle w:val="TOC2"/>
            <w:tabs>
              <w:tab w:val="right" w:leader="dot" w:pos="10338"/>
            </w:tabs>
            <w:rPr>
              <w:rFonts w:eastAsiaTheme="minorEastAsia"/>
              <w:noProof/>
              <w:lang w:val="en-US"/>
            </w:rPr>
          </w:pPr>
          <w:hyperlink w:anchor="_Toc351120193" w:history="1">
            <w:r w:rsidR="00CF4046" w:rsidRPr="001D6B9B">
              <w:rPr>
                <w:rStyle w:val="Hyperlink"/>
                <w:noProof/>
                <w:lang w:eastAsia="ar-SA"/>
              </w:rPr>
              <w:t>Other matters relating to the Project</w:t>
            </w:r>
            <w:r w:rsidR="00CF4046">
              <w:rPr>
                <w:noProof/>
                <w:webHidden/>
              </w:rPr>
              <w:tab/>
            </w:r>
            <w:r>
              <w:rPr>
                <w:noProof/>
                <w:webHidden/>
              </w:rPr>
              <w:fldChar w:fldCharType="begin"/>
            </w:r>
            <w:r w:rsidR="00CF4046">
              <w:rPr>
                <w:noProof/>
                <w:webHidden/>
              </w:rPr>
              <w:instrText xml:space="preserve"> PAGEREF _Toc351120193 \h </w:instrText>
            </w:r>
            <w:r>
              <w:rPr>
                <w:noProof/>
                <w:webHidden/>
              </w:rPr>
            </w:r>
            <w:r>
              <w:rPr>
                <w:noProof/>
                <w:webHidden/>
              </w:rPr>
              <w:fldChar w:fldCharType="separate"/>
            </w:r>
            <w:r w:rsidR="009240F4">
              <w:rPr>
                <w:noProof/>
                <w:webHidden/>
              </w:rPr>
              <w:t>6</w:t>
            </w:r>
            <w:r>
              <w:rPr>
                <w:noProof/>
                <w:webHidden/>
              </w:rPr>
              <w:fldChar w:fldCharType="end"/>
            </w:r>
          </w:hyperlink>
        </w:p>
        <w:p w:rsidR="00CF4046" w:rsidRDefault="00B21F0D">
          <w:pPr>
            <w:pStyle w:val="TOC1"/>
            <w:tabs>
              <w:tab w:val="right" w:leader="dot" w:pos="10338"/>
            </w:tabs>
            <w:rPr>
              <w:rFonts w:eastAsiaTheme="minorEastAsia"/>
              <w:noProof/>
              <w:lang w:val="en-US"/>
            </w:rPr>
          </w:pPr>
          <w:hyperlink w:anchor="_Toc351120194" w:history="1">
            <w:r w:rsidR="00CF4046" w:rsidRPr="001D6B9B">
              <w:rPr>
                <w:rStyle w:val="Hyperlink"/>
                <w:noProof/>
              </w:rPr>
              <w:t>SUMMARY AND CONCLUSIONS</w:t>
            </w:r>
            <w:r w:rsidR="00CF4046">
              <w:rPr>
                <w:noProof/>
                <w:webHidden/>
              </w:rPr>
              <w:tab/>
            </w:r>
            <w:r>
              <w:rPr>
                <w:noProof/>
                <w:webHidden/>
              </w:rPr>
              <w:fldChar w:fldCharType="begin"/>
            </w:r>
            <w:r w:rsidR="00CF4046">
              <w:rPr>
                <w:noProof/>
                <w:webHidden/>
              </w:rPr>
              <w:instrText xml:space="preserve"> PAGEREF _Toc351120194 \h </w:instrText>
            </w:r>
            <w:r>
              <w:rPr>
                <w:noProof/>
                <w:webHidden/>
              </w:rPr>
            </w:r>
            <w:r>
              <w:rPr>
                <w:noProof/>
                <w:webHidden/>
              </w:rPr>
              <w:fldChar w:fldCharType="separate"/>
            </w:r>
            <w:r w:rsidR="009240F4">
              <w:rPr>
                <w:noProof/>
                <w:webHidden/>
              </w:rPr>
              <w:t>14</w:t>
            </w:r>
            <w:r>
              <w:rPr>
                <w:noProof/>
                <w:webHidden/>
              </w:rPr>
              <w:fldChar w:fldCharType="end"/>
            </w:r>
          </w:hyperlink>
        </w:p>
        <w:p w:rsidR="00CF4046" w:rsidRDefault="00B21F0D">
          <w:pPr>
            <w:pStyle w:val="TOC1"/>
            <w:tabs>
              <w:tab w:val="right" w:leader="dot" w:pos="10338"/>
            </w:tabs>
            <w:rPr>
              <w:rFonts w:eastAsiaTheme="minorEastAsia"/>
              <w:noProof/>
              <w:lang w:val="en-US"/>
            </w:rPr>
          </w:pPr>
          <w:hyperlink w:anchor="_Toc351120195" w:history="1">
            <w:r w:rsidR="00CF4046" w:rsidRPr="001D6B9B">
              <w:rPr>
                <w:rStyle w:val="Hyperlink"/>
                <w:noProof/>
              </w:rPr>
              <w:t>REFERENCES</w:t>
            </w:r>
            <w:r w:rsidR="00CF4046">
              <w:rPr>
                <w:noProof/>
                <w:webHidden/>
              </w:rPr>
              <w:tab/>
            </w:r>
            <w:r>
              <w:rPr>
                <w:noProof/>
                <w:webHidden/>
              </w:rPr>
              <w:fldChar w:fldCharType="begin"/>
            </w:r>
            <w:r w:rsidR="00CF4046">
              <w:rPr>
                <w:noProof/>
                <w:webHidden/>
              </w:rPr>
              <w:instrText xml:space="preserve"> PAGEREF _Toc351120195 \h </w:instrText>
            </w:r>
            <w:r>
              <w:rPr>
                <w:noProof/>
                <w:webHidden/>
              </w:rPr>
            </w:r>
            <w:r>
              <w:rPr>
                <w:noProof/>
                <w:webHidden/>
              </w:rPr>
              <w:fldChar w:fldCharType="separate"/>
            </w:r>
            <w:r w:rsidR="009240F4">
              <w:rPr>
                <w:noProof/>
                <w:webHidden/>
              </w:rPr>
              <w:t>14</w:t>
            </w:r>
            <w:r>
              <w:rPr>
                <w:noProof/>
                <w:webHidden/>
              </w:rPr>
              <w:fldChar w:fldCharType="end"/>
            </w:r>
          </w:hyperlink>
        </w:p>
        <w:p w:rsidR="00E6674E" w:rsidRDefault="00B21F0D">
          <w:r>
            <w:fldChar w:fldCharType="end"/>
          </w:r>
        </w:p>
      </w:sdtContent>
    </w:sdt>
    <w:sdt>
      <w:sdtPr>
        <w:id w:val="14125393"/>
        <w:docPartObj>
          <w:docPartGallery w:val="Watermarks"/>
        </w:docPartObj>
      </w:sdtPr>
      <w:sdtContent>
        <w:p w:rsidR="00EE7400" w:rsidRPr="006758DA" w:rsidRDefault="00B21F0D" w:rsidP="006758DA">
          <w:pPr>
            <w:pStyle w:val="BodyText"/>
          </w:pPr>
        </w:p>
      </w:sdtContent>
    </w:sdt>
    <w:p w:rsidR="006758DA" w:rsidRPr="006758DA" w:rsidRDefault="006758DA" w:rsidP="006758DA">
      <w:pPr>
        <w:pStyle w:val="BodyText"/>
      </w:pPr>
    </w:p>
    <w:p w:rsidR="006758DA" w:rsidRPr="006758DA" w:rsidRDefault="006758DA" w:rsidP="006758DA"/>
    <w:p w:rsidR="00763ABD" w:rsidRDefault="00763ABD"/>
    <w:p w:rsidR="00244FE1" w:rsidRDefault="00244FE1">
      <w:r>
        <w:br w:type="page"/>
      </w:r>
    </w:p>
    <w:p w:rsidR="00763ABD" w:rsidRDefault="00174882" w:rsidP="006758DA">
      <w:pPr>
        <w:pStyle w:val="Heading1"/>
      </w:pPr>
      <w:bookmarkStart w:id="0" w:name="_Toc351120187"/>
      <w:r>
        <w:t>INTRODUCTION</w:t>
      </w:r>
      <w:bookmarkEnd w:id="0"/>
    </w:p>
    <w:p w:rsidR="006758DA" w:rsidRDefault="006758DA" w:rsidP="006758DA">
      <w:pPr>
        <w:pStyle w:val="BodyText"/>
      </w:pPr>
      <w:r w:rsidRPr="006758DA">
        <w:t>The River Murray is Australia’s longest river and forms part of the Murray-Darling Basin (MDB) river system which drains most of inland Victoria, New South Wales and southern Queensland. Overall the MDB catchment area forms one seventh of Australia’s land mass and contains arguably the most significant agricultural production areas in Australia. The catchment area of the MDB is a highly variable system and it is predicted that this variability will increase as a consequence of climate change.</w:t>
      </w:r>
    </w:p>
    <w:p w:rsidR="006758DA" w:rsidRDefault="006758DA" w:rsidP="006758DA">
      <w:pPr>
        <w:pStyle w:val="BodyText"/>
      </w:pPr>
      <w:r>
        <w:t>The River Murray is a highly regulated river system with a series of</w:t>
      </w:r>
      <w:r w:rsidRPr="001E2CA9">
        <w:t xml:space="preserve"> storages, locks</w:t>
      </w:r>
      <w:r>
        <w:t xml:space="preserve">, </w:t>
      </w:r>
      <w:r w:rsidRPr="001E2CA9">
        <w:t>weirs</w:t>
      </w:r>
      <w:r>
        <w:t xml:space="preserve"> and barrages which were</w:t>
      </w:r>
      <w:r w:rsidRPr="001E2CA9">
        <w:t xml:space="preserve"> </w:t>
      </w:r>
      <w:r>
        <w:t>constructed in the 1920</w:t>
      </w:r>
      <w:r w:rsidRPr="001E2CA9">
        <w:t>s and 1930s</w:t>
      </w:r>
      <w:r>
        <w:t xml:space="preserve">.  These structures were originally installed to </w:t>
      </w:r>
      <w:r w:rsidRPr="00F36B18">
        <w:t xml:space="preserve">assist navigation, and to aid the extraction of fresh water for domestic and </w:t>
      </w:r>
      <w:r>
        <w:t>agricultural purposes</w:t>
      </w:r>
      <w:r w:rsidRPr="00F36B18">
        <w:t>.</w:t>
      </w:r>
    </w:p>
    <w:p w:rsidR="006758DA" w:rsidRDefault="006758DA" w:rsidP="006758DA">
      <w:pPr>
        <w:pStyle w:val="BodyText"/>
      </w:pPr>
      <w:r>
        <w:t>The regulation of the Rivers of the MDB has enabled a thriving irrigation industry to develop, with over a third of Australia’s food supply and 39% of Australia’s agricultural income generated within the Basin. Further, the River Murray underpins the potable water supply for metropolitan Adelaide and numerous regional centres.</w:t>
      </w:r>
      <w:r w:rsidRPr="00317703">
        <w:t xml:space="preserve"> </w:t>
      </w:r>
      <w:r>
        <w:t>However, the regulation of the Basin has resulted in significant ecological</w:t>
      </w:r>
      <w:r w:rsidRPr="001E2CA9">
        <w:t xml:space="preserve"> changes to the </w:t>
      </w:r>
      <w:r>
        <w:t>MDB. Under natural circumstances the flow in the river would be highly variable and include regular periods of wetting and drying of the floodplain. This lack of natural variability has deleterious effects on the floodplain ecosystem, which contains a large amount and diversity of biota and provides important refuges for species.</w:t>
      </w:r>
    </w:p>
    <w:p w:rsidR="006758DA" w:rsidRDefault="006758DA" w:rsidP="006758DA">
      <w:pPr>
        <w:pStyle w:val="BodyText"/>
      </w:pPr>
      <w:r>
        <w:t xml:space="preserve">The recent drought took parts of the River Murray in South Australia to the brink of collapse (DEWNR 2012). Legacies of the drought still remain and include the need for further work related to managing acidification, riverbank collapse, </w:t>
      </w:r>
      <w:proofErr w:type="gramStart"/>
      <w:r>
        <w:t>levee</w:t>
      </w:r>
      <w:proofErr w:type="gramEnd"/>
      <w:r>
        <w:t xml:space="preserve"> bank cracking and to enable recovery in the Lower Lakes and Coorong. These years of drought provided insight into a future with reduced rainfall and the impacts of climate change. It is essential that more environmental water is returned to the River Murray to ensure the ongoing health of the ecosystem and a future for those who rely on the MDB.</w:t>
      </w:r>
    </w:p>
    <w:p w:rsidR="006758DA" w:rsidRDefault="006758DA" w:rsidP="006758DA">
      <w:pPr>
        <w:pStyle w:val="BodyText"/>
        <w:rPr>
          <w:lang w:eastAsia="en-AU"/>
        </w:rPr>
      </w:pPr>
      <w:r w:rsidRPr="001E2CA9">
        <w:t>The River Murray is essential to the economic, social, cultural and environmental well being of South Australians. It is now being increasingly recognised that a healthy</w:t>
      </w:r>
      <w:r>
        <w:t xml:space="preserve">, functional and productive </w:t>
      </w:r>
      <w:proofErr w:type="spellStart"/>
      <w:r>
        <w:t>riverine</w:t>
      </w:r>
      <w:proofErr w:type="spellEnd"/>
      <w:r>
        <w:t xml:space="preserve"> environment is critical for the overall health and condition of the main water course.</w:t>
      </w:r>
      <w:r w:rsidRPr="001E2CA9">
        <w:t xml:space="preserve"> </w:t>
      </w:r>
      <w:r>
        <w:rPr>
          <w:lang w:eastAsia="en-AU"/>
        </w:rPr>
        <w:t>The health and functioning of the floodplain is an indicator of the health of the entire River system. As the impacts of climate change become more evident the need to effectively manage and ensure the health of floodplains along the River Murray will become increasingly important as they play a critical role in ensuring the resilience of the River and its ability to recover from periods of low flow.</w:t>
      </w:r>
    </w:p>
    <w:p w:rsidR="006758DA" w:rsidRDefault="006758DA" w:rsidP="00317FC2">
      <w:pPr>
        <w:pStyle w:val="Heading2"/>
      </w:pPr>
      <w:bookmarkStart w:id="1" w:name="_Toc351120188"/>
      <w:r>
        <w:t xml:space="preserve">Background to the </w:t>
      </w:r>
      <w:r w:rsidR="00057A9C">
        <w:t>Environmental Works and Measures Feasibility Program (</w:t>
      </w:r>
      <w:r>
        <w:t>EWMFP</w:t>
      </w:r>
      <w:bookmarkEnd w:id="1"/>
      <w:r w:rsidR="00057A9C">
        <w:t>)</w:t>
      </w:r>
    </w:p>
    <w:p w:rsidR="006758DA" w:rsidRDefault="006758DA" w:rsidP="006758DA">
      <w:pPr>
        <w:pStyle w:val="BodyText"/>
        <w:rPr>
          <w:lang w:eastAsia="en-AU"/>
        </w:rPr>
      </w:pPr>
      <w:r>
        <w:rPr>
          <w:lang w:eastAsia="en-AU"/>
        </w:rPr>
        <w:t>In response to the increasing recognition of the conflicting demands for water in the MDB, the Commonwealth Government developed a water reform package that included the establishment of the MDB Authority (MDBA) under a new Commonwealth Water Act (</w:t>
      </w:r>
      <w:r w:rsidRPr="00BC5A9D">
        <w:rPr>
          <w:i/>
          <w:lang w:eastAsia="en-AU"/>
        </w:rPr>
        <w:t>Water Act 2007</w:t>
      </w:r>
      <w:r>
        <w:rPr>
          <w:lang w:eastAsia="en-AU"/>
        </w:rPr>
        <w:t>).</w:t>
      </w:r>
      <w:r w:rsidRPr="006018F2">
        <w:rPr>
          <w:lang w:eastAsia="en-AU"/>
        </w:rPr>
        <w:t xml:space="preserve"> </w:t>
      </w:r>
      <w:r>
        <w:rPr>
          <w:lang w:eastAsia="en-AU"/>
        </w:rPr>
        <w:t>The MDBA has developed</w:t>
      </w:r>
      <w:r w:rsidRPr="00B80D38">
        <w:rPr>
          <w:lang w:eastAsia="en-AU"/>
        </w:rPr>
        <w:t xml:space="preserve"> a </w:t>
      </w:r>
      <w:r>
        <w:rPr>
          <w:lang w:eastAsia="en-AU"/>
        </w:rPr>
        <w:t>MDB</w:t>
      </w:r>
      <w:r w:rsidRPr="00B80D38">
        <w:rPr>
          <w:lang w:eastAsia="en-AU"/>
        </w:rPr>
        <w:t xml:space="preserve"> Plan </w:t>
      </w:r>
      <w:r>
        <w:rPr>
          <w:lang w:eastAsia="en-AU"/>
        </w:rPr>
        <w:t xml:space="preserve">(‘Basin Plan’) </w:t>
      </w:r>
      <w:r w:rsidRPr="00B80D38">
        <w:rPr>
          <w:lang w:eastAsia="en-AU"/>
        </w:rPr>
        <w:t xml:space="preserve">that </w:t>
      </w:r>
      <w:r>
        <w:rPr>
          <w:lang w:eastAsia="en-AU"/>
        </w:rPr>
        <w:t>aims to better balance</w:t>
      </w:r>
      <w:r w:rsidRPr="00B80D38">
        <w:rPr>
          <w:lang w:eastAsia="en-AU"/>
        </w:rPr>
        <w:t xml:space="preserve"> extractions and water use demands against the actual and future pr</w:t>
      </w:r>
      <w:r>
        <w:rPr>
          <w:lang w:eastAsia="en-AU"/>
        </w:rPr>
        <w:t>edicted supply.</w:t>
      </w:r>
    </w:p>
    <w:p w:rsidR="006758DA" w:rsidRDefault="006758DA" w:rsidP="006758DA">
      <w:pPr>
        <w:pStyle w:val="BodyText"/>
        <w:rPr>
          <w:lang w:eastAsia="en-AU"/>
        </w:rPr>
      </w:pPr>
      <w:r>
        <w:rPr>
          <w:lang w:eastAsia="en-AU"/>
        </w:rPr>
        <w:t xml:space="preserve">The proposed Basin Plan was released for public consultation in November 2011 and was adopted in November 2012. The Basin Plan recognises that current allocation of the water resources in the Basin cannot deliver a sustainably managed Basin and is the mechanism under the </w:t>
      </w:r>
      <w:r w:rsidRPr="001252D4">
        <w:rPr>
          <w:i/>
          <w:lang w:eastAsia="en-AU"/>
        </w:rPr>
        <w:t>Water Act 2007 (</w:t>
      </w:r>
      <w:proofErr w:type="spellStart"/>
      <w:r w:rsidRPr="001252D4">
        <w:rPr>
          <w:i/>
          <w:lang w:eastAsia="en-AU"/>
        </w:rPr>
        <w:t>Cth</w:t>
      </w:r>
      <w:proofErr w:type="spellEnd"/>
      <w:r w:rsidRPr="001252D4">
        <w:rPr>
          <w:i/>
          <w:lang w:eastAsia="en-AU"/>
        </w:rPr>
        <w:t xml:space="preserve">) </w:t>
      </w:r>
      <w:r>
        <w:rPr>
          <w:lang w:eastAsia="en-AU"/>
        </w:rPr>
        <w:t>to implement a new sustainable diversion limits (SDLs) across the basin to allow for the integrated management of the Basin.</w:t>
      </w:r>
    </w:p>
    <w:p w:rsidR="006758DA" w:rsidRPr="006758DA" w:rsidRDefault="006758DA" w:rsidP="006758DA">
      <w:pPr>
        <w:pStyle w:val="BodyText"/>
      </w:pPr>
      <w:r>
        <w:rPr>
          <w:lang w:eastAsia="en-AU"/>
        </w:rPr>
        <w:t>The Basin Plan recognises the importance of healthy floodplains in outcome 2(c):</w:t>
      </w:r>
    </w:p>
    <w:p w:rsidR="006758DA" w:rsidRPr="006758DA" w:rsidRDefault="006758DA" w:rsidP="006758DA">
      <w:pPr>
        <w:pStyle w:val="Quote"/>
      </w:pPr>
      <w:r w:rsidRPr="006758DA">
        <w:t>“The outcome for the Basin Plan as a whole is a healthy and working Murray</w:t>
      </w:r>
      <w:r w:rsidRPr="006758DA">
        <w:noBreakHyphen/>
      </w:r>
      <w:proofErr w:type="spellStart"/>
      <w:r w:rsidRPr="006758DA">
        <w:t>Darling</w:t>
      </w:r>
      <w:proofErr w:type="spellEnd"/>
      <w:r w:rsidRPr="006758DA">
        <w:t xml:space="preserve"> Basin that includes</w:t>
      </w:r>
      <w:proofErr w:type="gramStart"/>
      <w:r w:rsidRPr="006758DA">
        <w:t>:...</w:t>
      </w:r>
      <w:proofErr w:type="gramEnd"/>
    </w:p>
    <w:p w:rsidR="006758DA" w:rsidRDefault="006758DA" w:rsidP="006758DA">
      <w:pPr>
        <w:pStyle w:val="Quote"/>
      </w:pPr>
      <w:r w:rsidRPr="006758DA">
        <w:t xml:space="preserve"> (c) </w:t>
      </w:r>
      <w:proofErr w:type="gramStart"/>
      <w:r w:rsidRPr="006758DA">
        <w:t>healthy</w:t>
      </w:r>
      <w:proofErr w:type="gramEnd"/>
      <w:r w:rsidRPr="006758DA">
        <w:t xml:space="preserve"> and resilient ecosystems with rivers and creeks regularly connected to their floodplains and, ultimately, the ocean.”</w:t>
      </w:r>
      <w:r w:rsidRPr="008948A8">
        <w:rPr>
          <w:rStyle w:val="FootnoteReference"/>
        </w:rPr>
        <w:footnoteReference w:id="1"/>
      </w:r>
    </w:p>
    <w:p w:rsidR="006758DA" w:rsidRDefault="006758DA" w:rsidP="006758DA">
      <w:pPr>
        <w:pStyle w:val="BodyText"/>
        <w:rPr>
          <w:lang w:eastAsia="en-AU"/>
        </w:rPr>
      </w:pPr>
      <w:r>
        <w:rPr>
          <w:lang w:eastAsia="en-AU"/>
        </w:rPr>
        <w:t>The proposed Basin Plan included an environmental water recovery target of 2</w:t>
      </w:r>
      <w:r w:rsidR="00ED6488">
        <w:rPr>
          <w:lang w:eastAsia="en-AU"/>
        </w:rPr>
        <w:t>,</w:t>
      </w:r>
      <w:r>
        <w:rPr>
          <w:lang w:eastAsia="en-AU"/>
        </w:rPr>
        <w:t xml:space="preserve">750 </w:t>
      </w:r>
      <w:proofErr w:type="spellStart"/>
      <w:r>
        <w:rPr>
          <w:lang w:eastAsia="en-AU"/>
        </w:rPr>
        <w:t>Gigalitres</w:t>
      </w:r>
      <w:proofErr w:type="spellEnd"/>
      <w:r>
        <w:rPr>
          <w:lang w:eastAsia="en-AU"/>
        </w:rPr>
        <w:t xml:space="preserve"> per year (GL/year) which will result in a reduction</w:t>
      </w:r>
      <w:r w:rsidR="00EC0E1F">
        <w:rPr>
          <w:lang w:eastAsia="en-AU"/>
        </w:rPr>
        <w:t xml:space="preserve"> in</w:t>
      </w:r>
      <w:r>
        <w:rPr>
          <w:lang w:eastAsia="en-AU"/>
        </w:rPr>
        <w:t xml:space="preserve"> long-term average diversions for consumptive purposes across the Basin. Recently, this water recovery target has been refined to 3</w:t>
      </w:r>
      <w:r w:rsidR="00ED6488">
        <w:rPr>
          <w:lang w:eastAsia="en-AU"/>
        </w:rPr>
        <w:t>,</w:t>
      </w:r>
      <w:r>
        <w:rPr>
          <w:lang w:eastAsia="en-AU"/>
        </w:rPr>
        <w:t>200 GL/year. The Basin Plan aims also to increase the efficiency of water use through a range of proposed works and measures.</w:t>
      </w:r>
    </w:p>
    <w:p w:rsidR="006758DA" w:rsidRDefault="00EC0E1F" w:rsidP="006758DA">
      <w:pPr>
        <w:pStyle w:val="BodyText"/>
      </w:pPr>
      <w:r>
        <w:t>The Environmental Works and Measures Feasibility Program (EWMFP) is an initiative</w:t>
      </w:r>
      <w:r w:rsidR="00057A9C">
        <w:t xml:space="preserve"> </w:t>
      </w:r>
      <w:r>
        <w:t xml:space="preserve">to improve environmental water management in the South Australian MDB. </w:t>
      </w:r>
      <w:r w:rsidR="001E1FF8">
        <w:t>The South Australian Government has been successful in securing funding of $1.8 million from the Australian Government</w:t>
      </w:r>
      <w:r>
        <w:t xml:space="preserve"> for this program,</w:t>
      </w:r>
      <w:r w:rsidR="001E1FF8">
        <w:t xml:space="preserve"> to implement two streams of feasibility investigation.</w:t>
      </w:r>
    </w:p>
    <w:p w:rsidR="001E1FF8" w:rsidRDefault="001E1FF8" w:rsidP="006758DA">
      <w:pPr>
        <w:pStyle w:val="BodyText"/>
      </w:pPr>
      <w:r>
        <w:t>Stream 1 involves the completion of four feasibility studies with a view to providing environmental benefits using less water, or greater environmental benefits using the same water, and offsets for SDLs that will be imposed under the Basin Plan. South Australia’s suite of sub-projects developed under the EWMFP each address an aspect of river and floodplain health.</w:t>
      </w:r>
    </w:p>
    <w:p w:rsidR="001E1FF8" w:rsidRDefault="001E1FF8" w:rsidP="001E1FF8">
      <w:pPr>
        <w:pStyle w:val="ListParagraph"/>
      </w:pPr>
      <w:r>
        <w:t>Pike floodplain regulator – regulator to allow targeted application of water to the Pike floodplain to simulate larger flood events using less water.</w:t>
      </w:r>
    </w:p>
    <w:p w:rsidR="001E1FF8" w:rsidRDefault="001E1FF8" w:rsidP="001E1FF8">
      <w:pPr>
        <w:pStyle w:val="ListParagraph"/>
      </w:pPr>
      <w:proofErr w:type="spellStart"/>
      <w:r>
        <w:t>Katfish</w:t>
      </w:r>
      <w:proofErr w:type="spellEnd"/>
      <w:r>
        <w:t xml:space="preserve"> Reach regulator – regulator to allow targeted application of water to the </w:t>
      </w:r>
      <w:proofErr w:type="spellStart"/>
      <w:r>
        <w:t>Katfish</w:t>
      </w:r>
      <w:proofErr w:type="spellEnd"/>
      <w:r>
        <w:t xml:space="preserve"> Reach (</w:t>
      </w:r>
      <w:proofErr w:type="spellStart"/>
      <w:r>
        <w:t>Katarapko</w:t>
      </w:r>
      <w:proofErr w:type="spellEnd"/>
      <w:r>
        <w:t>/</w:t>
      </w:r>
      <w:proofErr w:type="spellStart"/>
      <w:r>
        <w:t>Eckerts</w:t>
      </w:r>
      <w:proofErr w:type="spellEnd"/>
      <w:r>
        <w:t xml:space="preserve"> Creek) floodplain to simulate larger flood events using less water.</w:t>
      </w:r>
    </w:p>
    <w:p w:rsidR="001E1FF8" w:rsidRDefault="001E1FF8" w:rsidP="001E1FF8">
      <w:pPr>
        <w:pStyle w:val="ListParagraph"/>
      </w:pPr>
      <w:r>
        <w:t>Eastern</w:t>
      </w:r>
      <w:r w:rsidR="008948A8">
        <w:t xml:space="preserve"> Mount Lofty Ranges Low Flow By-P</w:t>
      </w:r>
      <w:r>
        <w:t>asses – low flow bypasses allow low flows to remain in the channel rather than divert into dams, thus increasing the length of time that the watercourses flow and reducing disconnectedness between upper and lower river reaches.</w:t>
      </w:r>
    </w:p>
    <w:p w:rsidR="001E1FF8" w:rsidRDefault="001E1FF8" w:rsidP="001E1FF8">
      <w:pPr>
        <w:pStyle w:val="ListParagraph"/>
      </w:pPr>
      <w:r>
        <w:t>Implications for Environmental Water Delivery – this project considers the risks associated with increased flows on infrastructure, local communities and the environment.</w:t>
      </w:r>
    </w:p>
    <w:p w:rsidR="001E1FF8" w:rsidRDefault="001E1FF8" w:rsidP="006758DA">
      <w:pPr>
        <w:pStyle w:val="BodyText"/>
      </w:pPr>
      <w:r>
        <w:t>Together these four projects are important for South Australia as they increase the environmental benefit per unit of water used as well as address the need to use water more efficiently to meet SDL targets. The following four volumes of this report discuss these projects in greater detail.</w:t>
      </w:r>
    </w:p>
    <w:p w:rsidR="001E1FF8" w:rsidRDefault="001E1FF8" w:rsidP="006758DA">
      <w:pPr>
        <w:pStyle w:val="BodyText"/>
      </w:pPr>
      <w:r w:rsidRPr="00E2527B">
        <w:t xml:space="preserve">Stream 2 was undertaken to gather project ideas from the community and conduct </w:t>
      </w:r>
      <w:r w:rsidR="00317FC2">
        <w:t>reviews and the pre-feasibility</w:t>
      </w:r>
      <w:r w:rsidRPr="00E2527B">
        <w:t xml:space="preserve"> work to test these ideas. </w:t>
      </w:r>
      <w:r>
        <w:t>This project will be reported upon separately.</w:t>
      </w:r>
    </w:p>
    <w:p w:rsidR="00244FE1" w:rsidRDefault="00244FE1" w:rsidP="006758DA">
      <w:pPr>
        <w:pStyle w:val="BodyText"/>
      </w:pPr>
    </w:p>
    <w:p w:rsidR="001E1FF8" w:rsidRDefault="001E1FF8" w:rsidP="00317FC2">
      <w:pPr>
        <w:pStyle w:val="Heading2"/>
      </w:pPr>
      <w:bookmarkStart w:id="2" w:name="_Toc351120189"/>
      <w:r>
        <w:t>Objectives of this Report</w:t>
      </w:r>
      <w:bookmarkEnd w:id="2"/>
    </w:p>
    <w:p w:rsidR="001E1FF8" w:rsidRDefault="001E1FF8" w:rsidP="001E1FF8">
      <w:pPr>
        <w:pStyle w:val="BodyText"/>
      </w:pPr>
      <w:r>
        <w:t>In accordance with the Funding Agreement</w:t>
      </w:r>
      <w:r w:rsidR="008948A8">
        <w:t xml:space="preserve"> with the Department of </w:t>
      </w:r>
      <w:r w:rsidR="00996711">
        <w:t>Sustainability</w:t>
      </w:r>
      <w:r w:rsidR="008948A8">
        <w:t>, Environment, Water, Populations and Communities (</w:t>
      </w:r>
      <w:proofErr w:type="spellStart"/>
      <w:r w:rsidR="008948A8">
        <w:t>SEWPaC</w:t>
      </w:r>
      <w:proofErr w:type="spellEnd"/>
      <w:r w:rsidR="008948A8">
        <w:t>)</w:t>
      </w:r>
      <w:r>
        <w:t xml:space="preserve"> this report seeks to:</w:t>
      </w:r>
    </w:p>
    <w:p w:rsidR="001E1FF8" w:rsidRPr="001E1FF8" w:rsidRDefault="001E1FF8" w:rsidP="001E1FF8">
      <w:pPr>
        <w:pStyle w:val="ListParagraph"/>
      </w:pPr>
      <w:r w:rsidRPr="001E1FF8">
        <w:t>Describe the conduct, benefits and outcomes of the Project(s);</w:t>
      </w:r>
    </w:p>
    <w:p w:rsidR="001E1FF8" w:rsidRPr="001E1FF8" w:rsidRDefault="001E1FF8" w:rsidP="001E1FF8">
      <w:pPr>
        <w:pStyle w:val="ListParagraph"/>
      </w:pPr>
      <w:r w:rsidRPr="001E1FF8">
        <w:t>Evaluate the Project, including assessing the extent to which the project milestones have been achieved and why any aspect was not achieved; and</w:t>
      </w:r>
    </w:p>
    <w:p w:rsidR="001E1FF8" w:rsidRPr="001E1FF8" w:rsidRDefault="001E1FF8" w:rsidP="001E1FF8">
      <w:pPr>
        <w:pStyle w:val="ListParagraph"/>
      </w:pPr>
      <w:r w:rsidRPr="001E1FF8">
        <w:t>Include a discussion of any other matters relating to the Project, limited to the minimum necessary for the affective assessment of performance, which the Commonwealth notifies the State should be included in the final project report at least 60 days before it is due.</w:t>
      </w:r>
    </w:p>
    <w:p w:rsidR="006758DA" w:rsidRDefault="001E1FF8" w:rsidP="00317FC2">
      <w:pPr>
        <w:pStyle w:val="Heading2"/>
        <w:rPr>
          <w:lang w:eastAsia="ar-SA"/>
        </w:rPr>
      </w:pPr>
      <w:bookmarkStart w:id="3" w:name="_Toc351120190"/>
      <w:r>
        <w:rPr>
          <w:lang w:eastAsia="ar-SA"/>
        </w:rPr>
        <w:t>Structure of this Report</w:t>
      </w:r>
      <w:bookmarkEnd w:id="3"/>
    </w:p>
    <w:p w:rsidR="001E1FF8" w:rsidRDefault="001E1FF8" w:rsidP="001E1FF8">
      <w:pPr>
        <w:pStyle w:val="BodyText"/>
        <w:rPr>
          <w:lang w:eastAsia="ar-SA"/>
        </w:rPr>
      </w:pPr>
      <w:r>
        <w:rPr>
          <w:lang w:eastAsia="ar-SA"/>
        </w:rPr>
        <w:t xml:space="preserve">This final report is written in five (5) volumes as </w:t>
      </w:r>
      <w:r w:rsidRPr="00E6674E">
        <w:t xml:space="preserve">shown in </w:t>
      </w:r>
      <w:fldSimple w:instr=" REF _Ref350427677  \* MERGEFORMAT ">
        <w:r w:rsidR="00B401E5">
          <w:t>Figure 1</w:t>
        </w:r>
      </w:fldSimple>
      <w:r>
        <w:rPr>
          <w:lang w:eastAsia="ar-SA"/>
        </w:rPr>
        <w:t>.</w:t>
      </w:r>
    </w:p>
    <w:p w:rsidR="001E1FF8" w:rsidRDefault="001E1FF8" w:rsidP="001E1FF8">
      <w:pPr>
        <w:pStyle w:val="ListParagraph"/>
        <w:rPr>
          <w:lang w:eastAsia="ar-SA"/>
        </w:rPr>
      </w:pPr>
      <w:r>
        <w:rPr>
          <w:lang w:eastAsia="ar-SA"/>
        </w:rPr>
        <w:t xml:space="preserve">Volume One (this volume) </w:t>
      </w:r>
      <w:r>
        <w:t xml:space="preserve">introduces the </w:t>
      </w:r>
      <w:r w:rsidR="000D3113">
        <w:t>EWMFP</w:t>
      </w:r>
      <w:r>
        <w:t xml:space="preserve"> and assesses achievement of the milestones and other matters relating to the project as a whole (second and third objectives above).</w:t>
      </w:r>
    </w:p>
    <w:p w:rsidR="001E1FF8" w:rsidRDefault="001E1FF8" w:rsidP="001E1FF8">
      <w:pPr>
        <w:pStyle w:val="BodyText"/>
      </w:pPr>
      <w:r>
        <w:t>The following four volumes discuss each subproject individually, including the conduct, benefits and outcomes of each project (first objective above).</w:t>
      </w:r>
    </w:p>
    <w:p w:rsidR="001E1FF8" w:rsidRPr="001E1FF8" w:rsidRDefault="001E1FF8" w:rsidP="001E1FF8">
      <w:pPr>
        <w:pStyle w:val="ListParagraph"/>
      </w:pPr>
      <w:r w:rsidRPr="001E1FF8">
        <w:t xml:space="preserve">Volume Two discusses the Pike Floodplain </w:t>
      </w:r>
      <w:r w:rsidR="00517149">
        <w:t>SDL</w:t>
      </w:r>
      <w:r w:rsidRPr="001E1FF8">
        <w:t xml:space="preserve"> Feasibility Investigation;</w:t>
      </w:r>
    </w:p>
    <w:p w:rsidR="001E1FF8" w:rsidRPr="001E1FF8" w:rsidRDefault="001E1FF8" w:rsidP="001E1FF8">
      <w:pPr>
        <w:pStyle w:val="ListParagraph"/>
      </w:pPr>
      <w:r w:rsidRPr="001E1FF8">
        <w:t xml:space="preserve">Volume Three discusses the </w:t>
      </w:r>
      <w:proofErr w:type="spellStart"/>
      <w:r w:rsidRPr="001E1FF8">
        <w:t>Katarapko</w:t>
      </w:r>
      <w:proofErr w:type="spellEnd"/>
      <w:r w:rsidRPr="001E1FF8">
        <w:t xml:space="preserve"> Floodplain </w:t>
      </w:r>
      <w:r w:rsidR="00517149">
        <w:t>SDL</w:t>
      </w:r>
      <w:r w:rsidRPr="001E1FF8">
        <w:t xml:space="preserve"> Feasibility Investigation;</w:t>
      </w:r>
    </w:p>
    <w:p w:rsidR="001E1FF8" w:rsidRPr="001E1FF8" w:rsidRDefault="001E1FF8" w:rsidP="001E1FF8">
      <w:pPr>
        <w:pStyle w:val="ListParagraph"/>
      </w:pPr>
      <w:r w:rsidRPr="001E1FF8">
        <w:t xml:space="preserve">Volume Four discusses the Eastern </w:t>
      </w:r>
      <w:r w:rsidR="00517149">
        <w:t>Mount Lofty Ranges Low Flow By-P</w:t>
      </w:r>
      <w:r w:rsidRPr="001E1FF8">
        <w:t xml:space="preserve">asses </w:t>
      </w:r>
      <w:r w:rsidR="00517149">
        <w:t>SDL</w:t>
      </w:r>
      <w:r w:rsidRPr="001E1FF8">
        <w:t xml:space="preserve"> Feasibility Investigation; and</w:t>
      </w:r>
    </w:p>
    <w:p w:rsidR="001E1FF8" w:rsidRPr="001E1FF8" w:rsidRDefault="001E1FF8" w:rsidP="001E1FF8">
      <w:pPr>
        <w:pStyle w:val="ListParagraph"/>
      </w:pPr>
      <w:r w:rsidRPr="001E1FF8">
        <w:t>Volume Five discusses the Implications for Environmental Water Delivery Feasibility Investigation.</w:t>
      </w:r>
    </w:p>
    <w:p w:rsidR="001E1FF8" w:rsidRDefault="001E1FF8" w:rsidP="00317FC2">
      <w:pPr>
        <w:pStyle w:val="Heading2"/>
        <w:rPr>
          <w:lang w:eastAsia="ar-SA"/>
        </w:rPr>
      </w:pPr>
      <w:bookmarkStart w:id="4" w:name="_Toc351120191"/>
      <w:r>
        <w:rPr>
          <w:lang w:eastAsia="ar-SA"/>
        </w:rPr>
        <w:t xml:space="preserve">Evaluation of </w:t>
      </w:r>
      <w:bookmarkEnd w:id="4"/>
      <w:r w:rsidR="00791398">
        <w:rPr>
          <w:lang w:eastAsia="ar-SA"/>
        </w:rPr>
        <w:t>the EWMFP</w:t>
      </w:r>
    </w:p>
    <w:p w:rsidR="001E1FF8" w:rsidRDefault="00791398" w:rsidP="001E1FF8">
      <w:pPr>
        <w:pStyle w:val="BodyText"/>
      </w:pPr>
      <w:r>
        <w:t>The</w:t>
      </w:r>
      <w:r w:rsidR="001E1FF8">
        <w:t xml:space="preserve"> </w:t>
      </w:r>
      <w:r>
        <w:t>EWMFP</w:t>
      </w:r>
      <w:r w:rsidR="001E1FF8">
        <w:t xml:space="preserve"> has been executed with careful integration with other existing programs to maximise efficiency in investigations and work. Further, the</w:t>
      </w:r>
      <w:r>
        <w:t xml:space="preserve"> EWMFP</w:t>
      </w:r>
      <w:r w:rsidR="001E1FF8">
        <w:t xml:space="preserve"> </w:t>
      </w:r>
      <w:r>
        <w:t>project</w:t>
      </w:r>
      <w:r w:rsidR="001E1FF8">
        <w:t xml:space="preserve"> team has been cognisant of the ongoing negotiations during the development of the Basin Plan for the MDB.</w:t>
      </w:r>
    </w:p>
    <w:p w:rsidR="001E1FF8" w:rsidRDefault="001E1FF8" w:rsidP="001E1FF8">
      <w:pPr>
        <w:pStyle w:val="BodyText"/>
      </w:pPr>
      <w:r>
        <w:t xml:space="preserve">Efficiencies have been found by seeking to integrate this program with works already underway from other programs. The River Murray floodplain represents a complex physical environment as well as a complex operating and policy environment. As many investigations and assessments are underway in parallel in the study regions, this project has integrated this work to maximise efficiencies and prevent duplication of effort. In this way positive outcomes have been achieved for both </w:t>
      </w:r>
      <w:r w:rsidR="00791398">
        <w:t>the EWMFP and the other programs</w:t>
      </w:r>
      <w:r>
        <w:t xml:space="preserve"> in less time than would be required to undertake works and assessments separately. </w:t>
      </w:r>
    </w:p>
    <w:p w:rsidR="001E1FF8" w:rsidRDefault="001E1FF8" w:rsidP="00317FC2">
      <w:pPr>
        <w:pStyle w:val="Heading2"/>
      </w:pPr>
      <w:bookmarkStart w:id="5" w:name="_Toc349633728"/>
      <w:bookmarkStart w:id="6" w:name="_Toc351120192"/>
      <w:r>
        <w:t>Achievement of Milestones</w:t>
      </w:r>
      <w:bookmarkEnd w:id="5"/>
      <w:bookmarkEnd w:id="6"/>
    </w:p>
    <w:p w:rsidR="001E1FF8" w:rsidRPr="00E6674E" w:rsidRDefault="001E1FF8" w:rsidP="00E6674E">
      <w:pPr>
        <w:pStyle w:val="BodyText"/>
      </w:pPr>
      <w:r w:rsidRPr="00E6674E">
        <w:t>The milestones for the EWMFP as agreed in the funding schedule are outlined in</w:t>
      </w:r>
      <w:r w:rsidR="00E6674E" w:rsidRPr="00E6674E">
        <w:t xml:space="preserve"> </w:t>
      </w:r>
      <w:fldSimple w:instr=" REF _Ref350427716  \* MERGEFORMAT ">
        <w:r w:rsidR="00B401E5" w:rsidRPr="00785EF8">
          <w:t xml:space="preserve">Table </w:t>
        </w:r>
        <w:r w:rsidR="00B401E5">
          <w:t>1</w:t>
        </w:r>
      </w:fldSimple>
      <w:r w:rsidRPr="00E6674E">
        <w:t xml:space="preserve">. </w:t>
      </w:r>
      <w:r w:rsidR="00791398">
        <w:t>This table</w:t>
      </w:r>
      <w:r w:rsidR="00E6674E" w:rsidRPr="00E6674E">
        <w:t xml:space="preserve"> </w:t>
      </w:r>
      <w:r w:rsidRPr="00E6674E">
        <w:t>also outlines the extent to which the milestones have been met.</w:t>
      </w:r>
    </w:p>
    <w:p w:rsidR="001E1FF8" w:rsidRPr="00E6674E" w:rsidRDefault="00B21F0D" w:rsidP="00E6674E">
      <w:pPr>
        <w:pStyle w:val="BodyText"/>
      </w:pPr>
      <w:fldSimple w:instr=" REF _Ref350427754  \* MERGEFORMAT ">
        <w:r w:rsidR="00B401E5" w:rsidRPr="00785EF8">
          <w:t xml:space="preserve">Table </w:t>
        </w:r>
        <w:r w:rsidR="00B401E5">
          <w:t>2</w:t>
        </w:r>
      </w:fldSimple>
      <w:r w:rsidR="001E1FF8" w:rsidRPr="00E6674E">
        <w:t xml:space="preserve"> outline</w:t>
      </w:r>
      <w:r w:rsidR="00E6674E" w:rsidRPr="00E6674E">
        <w:t>s</w:t>
      </w:r>
      <w:r w:rsidR="001E1FF8" w:rsidRPr="00E6674E">
        <w:t xml:space="preserve"> the tasks undertaken to deliver outputs from the Outline </w:t>
      </w:r>
      <w:r w:rsidR="00E6674E" w:rsidRPr="00E6674E">
        <w:t xml:space="preserve">Project Plans EWMFP and </w:t>
      </w:r>
      <w:fldSimple w:instr=" REF _Ref341093966  \* MERGEFORMAT ">
        <w:r w:rsidR="00B401E5" w:rsidRPr="00785EF8">
          <w:t xml:space="preserve">Figure </w:t>
        </w:r>
        <w:r w:rsidR="00B401E5">
          <w:t>2</w:t>
        </w:r>
      </w:fldSimple>
      <w:r w:rsidR="001E1FF8" w:rsidRPr="00E6674E">
        <w:t xml:space="preserve"> outlines the overview of EWMFP governance and deliverables.</w:t>
      </w:r>
    </w:p>
    <w:p w:rsidR="001E1FF8" w:rsidRPr="001E1FF8" w:rsidRDefault="001E1FF8" w:rsidP="00317FC2">
      <w:pPr>
        <w:pStyle w:val="Heading2"/>
        <w:rPr>
          <w:lang w:eastAsia="ar-SA"/>
        </w:rPr>
      </w:pPr>
      <w:bookmarkStart w:id="7" w:name="_Toc351120193"/>
      <w:r>
        <w:rPr>
          <w:lang w:eastAsia="ar-SA"/>
        </w:rPr>
        <w:t>Other matters relating to the Project</w:t>
      </w:r>
      <w:bookmarkEnd w:id="7"/>
    </w:p>
    <w:p w:rsidR="00763ABD" w:rsidRDefault="001E1FF8" w:rsidP="008948A8">
      <w:pPr>
        <w:pStyle w:val="BodyText"/>
      </w:pPr>
      <w:r>
        <w:t>No other matters were raised by the Commonwealth for inclusion in this report.</w:t>
      </w:r>
    </w:p>
    <w:p w:rsidR="001E1FF8" w:rsidRDefault="001E1FF8"/>
    <w:p w:rsidR="00C86D0F" w:rsidRDefault="00C86D0F">
      <w:pPr>
        <w:sectPr w:rsidR="00C86D0F" w:rsidSect="00E95FB5">
          <w:footerReference w:type="default" r:id="rId8"/>
          <w:pgSz w:w="11906" w:h="16838"/>
          <w:pgMar w:top="993" w:right="707" w:bottom="1440" w:left="851" w:header="708" w:footer="708" w:gutter="0"/>
          <w:cols w:space="708"/>
          <w:titlePg/>
          <w:docGrid w:linePitch="360"/>
        </w:sectPr>
      </w:pPr>
    </w:p>
    <w:p w:rsidR="001E1FF8" w:rsidRDefault="00C86D0F">
      <w:r w:rsidRPr="00C86D0F">
        <w:rPr>
          <w:noProof/>
          <w:lang w:eastAsia="en-AU"/>
        </w:rPr>
        <w:drawing>
          <wp:inline distT="0" distB="0" distL="0" distR="0">
            <wp:extent cx="8401050" cy="5623560"/>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12" cy="6316091"/>
                      <a:chOff x="395536" y="26621"/>
                      <a:chExt cx="8208912" cy="6316091"/>
                    </a:xfrm>
                  </a:grpSpPr>
                  <a:grpSp>
                    <a:nvGrpSpPr>
                      <a:cNvPr id="33" name="Group 32"/>
                      <a:cNvGrpSpPr/>
                    </a:nvGrpSpPr>
                    <a:grpSpPr>
                      <a:xfrm>
                        <a:off x="395536" y="26621"/>
                        <a:ext cx="8208912" cy="6316091"/>
                        <a:chOff x="395536" y="26621"/>
                        <a:chExt cx="8208912" cy="6316091"/>
                      </a:xfrm>
                    </a:grpSpPr>
                    <a:sp>
                      <a:nvSpPr>
                        <a:cNvPr id="22" name="TextBox 21"/>
                        <a:cNvSpPr txBox="1"/>
                      </a:nvSpPr>
                      <a:spPr>
                        <a:xfrm>
                          <a:off x="1043608" y="1268760"/>
                          <a:ext cx="6696744" cy="338554"/>
                        </a:xfrm>
                        <a:prstGeom prst="rect">
                          <a:avLst/>
                        </a:prstGeom>
                        <a:solidFill>
                          <a:schemeClr val="bg1">
                            <a:lumMod val="85000"/>
                            <a:alpha val="75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600" dirty="0" smtClean="0"/>
                              <a:t>Outline Project Plans</a:t>
                            </a:r>
                            <a:endParaRPr lang="en-AU" sz="1600" dirty="0"/>
                          </a:p>
                        </a:txBody>
                        <a:useSpRect/>
                      </a:txSp>
                    </a:sp>
                    <a:sp>
                      <a:nvSpPr>
                        <a:cNvPr id="8" name="Oval 7"/>
                        <a:cNvSpPr/>
                      </a:nvSpPr>
                      <a:spPr>
                        <a:xfrm>
                          <a:off x="539552" y="2564904"/>
                          <a:ext cx="1584176" cy="1512168"/>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err="1" smtClean="0">
                                <a:solidFill>
                                  <a:schemeClr val="tx1"/>
                                </a:solidFill>
                              </a:rPr>
                              <a:t>Katfish</a:t>
                            </a:r>
                            <a:r>
                              <a:rPr lang="en-AU" sz="1050" dirty="0" smtClean="0">
                                <a:solidFill>
                                  <a:schemeClr val="tx1"/>
                                </a:solidFill>
                              </a:rPr>
                              <a:t> Reach EWMFP Technical Reporting and </a:t>
                            </a:r>
                            <a:r>
                              <a:rPr lang="en-AU" sz="1050" i="1" dirty="0" smtClean="0">
                                <a:solidFill>
                                  <a:schemeClr val="tx1"/>
                                </a:solidFill>
                              </a:rPr>
                              <a:t>Body of Knowledge</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2555776" y="2564904"/>
                          <a:ext cx="1584176" cy="1512168"/>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Pike Floodplain EWMFP Technical Reporting and </a:t>
                            </a:r>
                            <a:r>
                              <a:rPr lang="en-AU" sz="1050" i="1" dirty="0" smtClean="0">
                                <a:solidFill>
                                  <a:schemeClr val="tx1"/>
                                </a:solidFill>
                              </a:rPr>
                              <a:t>Body of Knowledge</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4644008" y="2636912"/>
                          <a:ext cx="1584176" cy="1512168"/>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Low Flow By-Passes EWMFP Technical Reporting and </a:t>
                            </a:r>
                            <a:r>
                              <a:rPr lang="en-AU" sz="1050" i="1" dirty="0" smtClean="0">
                                <a:solidFill>
                                  <a:schemeClr val="tx1"/>
                                </a:solidFill>
                              </a:rPr>
                              <a:t>Body of Knowledge</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Oval 10"/>
                        <a:cNvSpPr/>
                      </a:nvSpPr>
                      <a:spPr>
                        <a:xfrm>
                          <a:off x="6804248" y="2636912"/>
                          <a:ext cx="1584176" cy="1512168"/>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Environmental Water Delivery EWMFP Technical Reporting and </a:t>
                            </a:r>
                            <a:r>
                              <a:rPr lang="en-AU" sz="1050" i="1" dirty="0" smtClean="0">
                                <a:solidFill>
                                  <a:schemeClr val="tx1"/>
                                </a:solidFill>
                              </a:rPr>
                              <a:t>Body of Knowledge</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2483768" y="26621"/>
                          <a:ext cx="3888432" cy="954107"/>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2800" dirty="0" smtClean="0"/>
                              <a:t>EWMFP Project Agreement</a:t>
                            </a:r>
                            <a:endParaRPr lang="en-AU" sz="2800" dirty="0"/>
                          </a:p>
                        </a:txBody>
                        <a:useSpRect/>
                      </a:txSp>
                    </a:sp>
                    <a:sp>
                      <a:nvSpPr>
                        <a:cNvPr id="13" name="TextBox 12"/>
                        <a:cNvSpPr txBox="1"/>
                      </a:nvSpPr>
                      <a:spPr>
                        <a:xfrm>
                          <a:off x="395536" y="1556792"/>
                          <a:ext cx="1872208" cy="600164"/>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100" b="1" i="1" dirty="0" smtClean="0"/>
                              <a:t>Pike Floodplain Sustainable Diversion Limit Feasibility Investigation</a:t>
                            </a:r>
                            <a:endParaRPr lang="en-AU" sz="1100" b="1" i="1" dirty="0"/>
                          </a:p>
                        </a:txBody>
                        <a:useSpRect/>
                      </a:txSp>
                    </a:sp>
                    <a:sp>
                      <a:nvSpPr>
                        <a:cNvPr id="14" name="TextBox 13"/>
                        <a:cNvSpPr txBox="1"/>
                      </a:nvSpPr>
                      <a:spPr>
                        <a:xfrm>
                          <a:off x="2411760" y="1556792"/>
                          <a:ext cx="1872208" cy="600164"/>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100" b="1" i="1" dirty="0" err="1" smtClean="0"/>
                              <a:t>Katarapko</a:t>
                            </a:r>
                            <a:r>
                              <a:rPr lang="en-AU" sz="1100" b="1" i="1" dirty="0" smtClean="0"/>
                              <a:t> Floodplain Sustainable Diversion Limit Feasibility Investigation</a:t>
                            </a:r>
                            <a:endParaRPr lang="en-AU" sz="1100" b="1" i="1" dirty="0"/>
                          </a:p>
                        </a:txBody>
                        <a:useSpRect/>
                      </a:txSp>
                    </a:sp>
                    <a:sp>
                      <a:nvSpPr>
                        <a:cNvPr id="15" name="TextBox 14"/>
                        <a:cNvSpPr txBox="1"/>
                      </a:nvSpPr>
                      <a:spPr>
                        <a:xfrm>
                          <a:off x="4499992" y="1556792"/>
                          <a:ext cx="1872208" cy="600164"/>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100" b="1" i="1" dirty="0" smtClean="0"/>
                              <a:t>EMLR Low Flow By-Passes Sustainable Diversion Limit Feasibility Investigation</a:t>
                            </a:r>
                            <a:endParaRPr lang="en-AU" sz="1100" b="1" i="1" dirty="0"/>
                          </a:p>
                        </a:txBody>
                        <a:useSpRect/>
                      </a:txSp>
                    </a:sp>
                    <a:sp>
                      <a:nvSpPr>
                        <a:cNvPr id="16" name="TextBox 15"/>
                        <a:cNvSpPr txBox="1"/>
                      </a:nvSpPr>
                      <a:spPr>
                        <a:xfrm>
                          <a:off x="6588224" y="1556792"/>
                          <a:ext cx="2016224" cy="600164"/>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100" b="1" i="1" dirty="0" smtClean="0"/>
                              <a:t>Implications for Environmental Water Delivery Feasibility Investigation</a:t>
                            </a:r>
                            <a:endParaRPr lang="en-AU" sz="1100" b="1" i="1" dirty="0"/>
                          </a:p>
                        </a:txBody>
                        <a:useSpRect/>
                      </a:txSp>
                    </a:sp>
                    <a:sp>
                      <a:nvSpPr>
                        <a:cNvPr id="17" name="TextBox 16"/>
                        <a:cNvSpPr txBox="1"/>
                      </a:nvSpPr>
                      <a:spPr>
                        <a:xfrm>
                          <a:off x="3347864" y="4509120"/>
                          <a:ext cx="2016224" cy="461665"/>
                        </a:xfrm>
                        <a:prstGeom prst="rect">
                          <a:avLst/>
                        </a:prstGeom>
                        <a:solidFill>
                          <a:schemeClr val="bg1">
                            <a:lumMod val="85000"/>
                          </a:schemeClr>
                        </a:solid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200" b="1" i="1" dirty="0" smtClean="0"/>
                              <a:t>EWMFP Final Report Volume 1- Program Delivery </a:t>
                            </a:r>
                            <a:endParaRPr lang="en-AU" sz="1200" b="1" i="1" dirty="0"/>
                          </a:p>
                        </a:txBody>
                        <a:useSpRect/>
                      </a:txSp>
                    </a:sp>
                    <a:sp>
                      <a:nvSpPr>
                        <a:cNvPr id="18" name="TextBox 17"/>
                        <a:cNvSpPr txBox="1"/>
                      </a:nvSpPr>
                      <a:spPr>
                        <a:xfrm>
                          <a:off x="395536" y="5373216"/>
                          <a:ext cx="1872208" cy="969496"/>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200" b="1" i="1" dirty="0" smtClean="0"/>
                              <a:t>EWMFP Final Report Volume 2</a:t>
                            </a:r>
                          </a:p>
                          <a:p>
                            <a:pPr algn="ctr"/>
                            <a:r>
                              <a:rPr lang="en-AU" sz="1100" b="1" i="1" dirty="0" smtClean="0"/>
                              <a:t>Pike Floodplain Sustainable Diversion Limit Feasibility Investigation</a:t>
                            </a:r>
                            <a:endParaRPr lang="en-AU" sz="1100" b="1" i="1" dirty="0"/>
                          </a:p>
                        </a:txBody>
                        <a:useSpRect/>
                      </a:txSp>
                    </a:sp>
                    <a:sp>
                      <a:nvSpPr>
                        <a:cNvPr id="19" name="TextBox 18"/>
                        <a:cNvSpPr txBox="1"/>
                      </a:nvSpPr>
                      <a:spPr>
                        <a:xfrm>
                          <a:off x="2411760" y="5373216"/>
                          <a:ext cx="1872208" cy="969496"/>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200" b="1" i="1" dirty="0" smtClean="0"/>
                              <a:t>EWMFP Final Report Volume 3</a:t>
                            </a:r>
                          </a:p>
                          <a:p>
                            <a:pPr algn="ctr"/>
                            <a:r>
                              <a:rPr lang="en-AU" sz="1100" b="1" i="1" dirty="0" err="1" smtClean="0"/>
                              <a:t>Katarapko</a:t>
                            </a:r>
                            <a:r>
                              <a:rPr lang="en-AU" sz="1100" b="1" i="1" dirty="0" smtClean="0"/>
                              <a:t> Floodplain Sustainable Diversion Limit Feasibility Investigation</a:t>
                            </a:r>
                            <a:endParaRPr lang="en-AU" sz="1100" b="1" i="1" dirty="0"/>
                          </a:p>
                        </a:txBody>
                        <a:useSpRect/>
                      </a:txSp>
                    </a:sp>
                    <a:sp>
                      <a:nvSpPr>
                        <a:cNvPr id="20" name="TextBox 19"/>
                        <a:cNvSpPr txBox="1"/>
                      </a:nvSpPr>
                      <a:spPr>
                        <a:xfrm>
                          <a:off x="4499992" y="5373216"/>
                          <a:ext cx="1872208" cy="969496"/>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200" b="1" i="1" dirty="0" smtClean="0"/>
                              <a:t>EWMFP Final Report Volume 4</a:t>
                            </a:r>
                          </a:p>
                          <a:p>
                            <a:pPr algn="ctr"/>
                            <a:r>
                              <a:rPr lang="en-AU" sz="1100" b="1" i="1" dirty="0" smtClean="0"/>
                              <a:t>EMLR LFB Sustainable Diversion Limit Feasibility Investigation</a:t>
                            </a:r>
                            <a:endParaRPr lang="en-AU" sz="1100" b="1" i="1" dirty="0"/>
                          </a:p>
                        </a:txBody>
                        <a:useSpRect/>
                      </a:txSp>
                    </a:sp>
                    <a:sp>
                      <a:nvSpPr>
                        <a:cNvPr id="21" name="TextBox 20"/>
                        <a:cNvSpPr txBox="1"/>
                      </a:nvSpPr>
                      <a:spPr>
                        <a:xfrm>
                          <a:off x="6588224" y="5373216"/>
                          <a:ext cx="2016224" cy="969496"/>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200" b="1" i="1" dirty="0" smtClean="0"/>
                              <a:t>EWMFP Final Report Volume 5</a:t>
                            </a:r>
                          </a:p>
                          <a:p>
                            <a:pPr algn="ctr"/>
                            <a:r>
                              <a:rPr lang="en-AU" sz="1100" b="1" i="1" dirty="0" smtClean="0"/>
                              <a:t>Implications for Environmental Water Delivery Feasibility Investigation</a:t>
                            </a:r>
                            <a:endParaRPr lang="en-AU" sz="1100" b="1" i="1" dirty="0"/>
                          </a:p>
                        </a:txBody>
                        <a:useSpRect/>
                      </a:txSp>
                    </a:sp>
                    <a:cxnSp>
                      <a:nvCxnSpPr>
                        <a:cNvPr id="24" name="Shape 23"/>
                        <a:cNvCxnSpPr>
                          <a:stCxn id="12" idx="2"/>
                          <a:endCxn id="13" idx="0"/>
                        </a:cNvCxnSpPr>
                      </a:nvCxnSpPr>
                      <a:spPr>
                        <a:xfrm rot="5400000">
                          <a:off x="2591780" y="-279412"/>
                          <a:ext cx="576064" cy="3096344"/>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6" name="Shape 23"/>
                        <a:cNvCxnSpPr>
                          <a:stCxn id="12" idx="2"/>
                          <a:endCxn id="14" idx="0"/>
                        </a:cNvCxnSpPr>
                      </a:nvCxnSpPr>
                      <a:spPr>
                        <a:xfrm rot="5400000">
                          <a:off x="3599892" y="728700"/>
                          <a:ext cx="576064" cy="1080120"/>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Shape 23"/>
                        <a:cNvCxnSpPr>
                          <a:stCxn id="12" idx="2"/>
                          <a:endCxn id="15" idx="0"/>
                        </a:cNvCxnSpPr>
                      </a:nvCxnSpPr>
                      <a:spPr>
                        <a:xfrm rot="16200000" flipH="1">
                          <a:off x="4644008" y="764704"/>
                          <a:ext cx="576064" cy="1008112"/>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8" name="Shape 23"/>
                        <a:cNvCxnSpPr>
                          <a:stCxn id="12" idx="2"/>
                          <a:endCxn id="16" idx="0"/>
                        </a:cNvCxnSpPr>
                      </a:nvCxnSpPr>
                      <a:spPr>
                        <a:xfrm rot="16200000" flipH="1">
                          <a:off x="5724128" y="-315416"/>
                          <a:ext cx="576064" cy="3168352"/>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5" name="Shape 23"/>
                        <a:cNvCxnSpPr>
                          <a:stCxn id="8" idx="4"/>
                          <a:endCxn id="17" idx="1"/>
                        </a:cNvCxnSpPr>
                      </a:nvCxnSpPr>
                      <a:spPr>
                        <a:xfrm rot="16200000" flipH="1">
                          <a:off x="2008312" y="3400400"/>
                          <a:ext cx="662881" cy="2016224"/>
                        </a:xfrm>
                        <a:prstGeom prst="bentConnector2">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Shape 23"/>
                        <a:cNvCxnSpPr>
                          <a:stCxn id="9" idx="4"/>
                          <a:endCxn id="17" idx="0"/>
                        </a:cNvCxnSpPr>
                      </a:nvCxnSpPr>
                      <a:spPr>
                        <a:xfrm rot="16200000" flipH="1">
                          <a:off x="3635896" y="3789040"/>
                          <a:ext cx="432048" cy="1008112"/>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2" name="Shape 23"/>
                        <a:cNvCxnSpPr>
                          <a:stCxn id="10" idx="4"/>
                          <a:endCxn id="17" idx="0"/>
                        </a:cNvCxnSpPr>
                      </a:nvCxnSpPr>
                      <a:spPr>
                        <a:xfrm rot="5400000">
                          <a:off x="4716016" y="3789040"/>
                          <a:ext cx="360040" cy="1080120"/>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hape 23"/>
                        <a:cNvCxnSpPr>
                          <a:stCxn id="11" idx="4"/>
                          <a:endCxn id="17" idx="3"/>
                        </a:cNvCxnSpPr>
                      </a:nvCxnSpPr>
                      <a:spPr>
                        <a:xfrm rot="5400000">
                          <a:off x="6184776" y="3328392"/>
                          <a:ext cx="590873" cy="2232248"/>
                        </a:xfrm>
                        <a:prstGeom prst="bentConnector2">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2" name="Shape 23"/>
                        <a:cNvCxnSpPr>
                          <a:stCxn id="17" idx="2"/>
                          <a:endCxn id="18" idx="0"/>
                        </a:cNvCxnSpPr>
                      </a:nvCxnSpPr>
                      <a:spPr>
                        <a:xfrm rot="5400000">
                          <a:off x="2642593" y="3659832"/>
                          <a:ext cx="402431" cy="3024336"/>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3" name="Shape 23"/>
                        <a:cNvCxnSpPr>
                          <a:stCxn id="17" idx="2"/>
                          <a:endCxn id="20" idx="0"/>
                        </a:cNvCxnSpPr>
                      </a:nvCxnSpPr>
                      <a:spPr>
                        <a:xfrm rot="16200000" flipH="1">
                          <a:off x="4694821" y="4631940"/>
                          <a:ext cx="402431" cy="1080120"/>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hape 23"/>
                        <a:cNvCxnSpPr>
                          <a:stCxn id="17" idx="2"/>
                          <a:endCxn id="19" idx="0"/>
                        </a:cNvCxnSpPr>
                      </a:nvCxnSpPr>
                      <a:spPr>
                        <a:xfrm rot="5400000">
                          <a:off x="3650705" y="4667944"/>
                          <a:ext cx="402431" cy="1008112"/>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5" name="Shape 23"/>
                        <a:cNvCxnSpPr>
                          <a:stCxn id="17" idx="2"/>
                          <a:endCxn id="21" idx="0"/>
                        </a:cNvCxnSpPr>
                      </a:nvCxnSpPr>
                      <a:spPr>
                        <a:xfrm rot="16200000" flipH="1">
                          <a:off x="5774941" y="3551820"/>
                          <a:ext cx="402431" cy="3240360"/>
                        </a:xfrm>
                        <a:prstGeom prst="bentConnector3">
                          <a:avLst>
                            <a:gd name="adj1" fmla="val 50000"/>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7" name="Straight Arrow Connector 66"/>
                        <a:cNvCxnSpPr>
                          <a:stCxn id="13" idx="2"/>
                          <a:endCxn id="8" idx="0"/>
                        </a:cNvCxnSpPr>
                      </a:nvCxnSpPr>
                      <a:spPr>
                        <a:xfrm>
                          <a:off x="1331640" y="2156956"/>
                          <a:ext cx="0" cy="407948"/>
                        </a:xfrm>
                        <a:prstGeom prst="straightConnector1">
                          <a:avLst/>
                        </a:prstGeom>
                        <a:ln w="476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15" idx="2"/>
                          <a:endCxn id="10" idx="0"/>
                        </a:cNvCxnSpPr>
                      </a:nvCxnSpPr>
                      <a:spPr>
                        <a:xfrm>
                          <a:off x="5436096" y="2156956"/>
                          <a:ext cx="0" cy="479956"/>
                        </a:xfrm>
                        <a:prstGeom prst="straightConnector1">
                          <a:avLst/>
                        </a:prstGeom>
                        <a:ln w="476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14" idx="2"/>
                          <a:endCxn id="9" idx="0"/>
                        </a:cNvCxnSpPr>
                      </a:nvCxnSpPr>
                      <a:spPr>
                        <a:xfrm>
                          <a:off x="3347864" y="2156956"/>
                          <a:ext cx="0" cy="407948"/>
                        </a:xfrm>
                        <a:prstGeom prst="straightConnector1">
                          <a:avLst/>
                        </a:prstGeom>
                        <a:ln w="476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16" idx="2"/>
                          <a:endCxn id="11" idx="0"/>
                        </a:cNvCxnSpPr>
                      </a:nvCxnSpPr>
                      <a:spPr>
                        <a:xfrm>
                          <a:off x="7596336" y="2156956"/>
                          <a:ext cx="0" cy="479956"/>
                        </a:xfrm>
                        <a:prstGeom prst="straightConnector1">
                          <a:avLst/>
                        </a:prstGeom>
                        <a:ln w="47625">
                          <a:solidFill>
                            <a:schemeClr val="tx1"/>
                          </a:solidFill>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C86D0F" w:rsidRDefault="00C86D0F" w:rsidP="00317FC2">
      <w:pPr>
        <w:pStyle w:val="Caption"/>
      </w:pPr>
      <w:bookmarkStart w:id="8" w:name="_Ref350427677"/>
      <w:r>
        <w:t xml:space="preserve">Figure </w:t>
      </w:r>
      <w:fldSimple w:instr=" SEQ Figure \* ARABIC ">
        <w:r w:rsidR="00B401E5">
          <w:rPr>
            <w:noProof/>
          </w:rPr>
          <w:t>1</w:t>
        </w:r>
      </w:fldSimple>
      <w:bookmarkEnd w:id="8"/>
      <w:r>
        <w:t>: EWMFP overview and structure of reports</w:t>
      </w:r>
    </w:p>
    <w:p w:rsidR="00E6674E" w:rsidRPr="00785EF8" w:rsidRDefault="00E6674E" w:rsidP="00317FC2">
      <w:pPr>
        <w:pStyle w:val="Caption"/>
      </w:pPr>
      <w:bookmarkStart w:id="9" w:name="_Ref350427716"/>
      <w:r w:rsidRPr="00785EF8">
        <w:t xml:space="preserve">Table </w:t>
      </w:r>
      <w:fldSimple w:instr=" SEQ Table \* ARABIC ">
        <w:r w:rsidR="00B401E5">
          <w:rPr>
            <w:noProof/>
          </w:rPr>
          <w:t>1</w:t>
        </w:r>
      </w:fldSimple>
      <w:bookmarkEnd w:id="9"/>
      <w:r w:rsidRPr="00785EF8">
        <w:t xml:space="preserve">: Milestones for </w:t>
      </w:r>
      <w:r w:rsidRPr="00317FC2">
        <w:t>EWMFP</w:t>
      </w:r>
    </w:p>
    <w:tbl>
      <w:tblPr>
        <w:tblStyle w:val="TableGrid"/>
        <w:tblW w:w="14600" w:type="dxa"/>
        <w:tblInd w:w="-459" w:type="dxa"/>
        <w:tblLook w:val="04A0"/>
      </w:tblPr>
      <w:tblGrid>
        <w:gridCol w:w="1701"/>
        <w:gridCol w:w="3827"/>
        <w:gridCol w:w="1417"/>
        <w:gridCol w:w="1418"/>
        <w:gridCol w:w="6237"/>
      </w:tblGrid>
      <w:tr w:rsidR="00E6674E" w:rsidTr="00317FC2">
        <w:tc>
          <w:tcPr>
            <w:tcW w:w="1701" w:type="dxa"/>
          </w:tcPr>
          <w:p w:rsidR="00E6674E" w:rsidRDefault="00E6674E" w:rsidP="00317FC2">
            <w:r>
              <w:t>Output</w:t>
            </w:r>
          </w:p>
        </w:tc>
        <w:tc>
          <w:tcPr>
            <w:tcW w:w="3827" w:type="dxa"/>
          </w:tcPr>
          <w:p w:rsidR="00E6674E" w:rsidRDefault="00E6674E" w:rsidP="00317FC2">
            <w:r>
              <w:t>Milestones</w:t>
            </w:r>
          </w:p>
        </w:tc>
        <w:tc>
          <w:tcPr>
            <w:tcW w:w="1417" w:type="dxa"/>
          </w:tcPr>
          <w:p w:rsidR="00E6674E" w:rsidRDefault="00E6674E" w:rsidP="00317FC2">
            <w:r>
              <w:t>Date milestone report due</w:t>
            </w:r>
          </w:p>
        </w:tc>
        <w:tc>
          <w:tcPr>
            <w:tcW w:w="1418" w:type="dxa"/>
          </w:tcPr>
          <w:p w:rsidR="00E6674E" w:rsidRPr="007D2EE4" w:rsidRDefault="00E6674E" w:rsidP="00317FC2">
            <w:r w:rsidRPr="007D2EE4">
              <w:t>Date milestone delivered</w:t>
            </w:r>
          </w:p>
        </w:tc>
        <w:tc>
          <w:tcPr>
            <w:tcW w:w="6237" w:type="dxa"/>
          </w:tcPr>
          <w:p w:rsidR="00E6674E" w:rsidRPr="007D2EE4" w:rsidRDefault="00E6674E" w:rsidP="00317FC2">
            <w:r w:rsidRPr="007D2EE4">
              <w:t>Notes</w:t>
            </w:r>
          </w:p>
        </w:tc>
      </w:tr>
      <w:tr w:rsidR="00E6674E" w:rsidTr="00317FC2">
        <w:tc>
          <w:tcPr>
            <w:tcW w:w="1701" w:type="dxa"/>
            <w:vMerge w:val="restart"/>
          </w:tcPr>
          <w:p w:rsidR="00E6674E" w:rsidRDefault="00E6674E" w:rsidP="00317FC2">
            <w:r>
              <w:t>The delivery of feasibility investigations, including the costs, risks and benefits, of sustainable diversion limit offset environmental works and measures sub-projects</w:t>
            </w:r>
          </w:p>
        </w:tc>
        <w:tc>
          <w:tcPr>
            <w:tcW w:w="3827" w:type="dxa"/>
          </w:tcPr>
          <w:p w:rsidR="00E6674E" w:rsidRDefault="00E6674E" w:rsidP="00317FC2">
            <w:r>
              <w:t>Acceptance of project management plans for the State sub-projects</w:t>
            </w:r>
          </w:p>
        </w:tc>
        <w:tc>
          <w:tcPr>
            <w:tcW w:w="1417" w:type="dxa"/>
          </w:tcPr>
          <w:p w:rsidR="00E6674E" w:rsidRDefault="00E6674E" w:rsidP="00317FC2">
            <w:r>
              <w:t>13 September 2011</w:t>
            </w:r>
          </w:p>
        </w:tc>
        <w:tc>
          <w:tcPr>
            <w:tcW w:w="1418" w:type="dxa"/>
          </w:tcPr>
          <w:p w:rsidR="00E6674E" w:rsidRDefault="00E6674E" w:rsidP="00317FC2">
            <w:r>
              <w:t>15 September 2011</w:t>
            </w:r>
          </w:p>
        </w:tc>
        <w:tc>
          <w:tcPr>
            <w:tcW w:w="6237" w:type="dxa"/>
          </w:tcPr>
          <w:p w:rsidR="00E6674E" w:rsidRDefault="00E6674E" w:rsidP="00317FC2">
            <w:r>
              <w:t xml:space="preserve">First three outline project plans submitted to </w:t>
            </w:r>
            <w:proofErr w:type="spellStart"/>
            <w:r>
              <w:t>SEWPaC</w:t>
            </w:r>
            <w:proofErr w:type="spellEnd"/>
            <w:r>
              <w:t xml:space="preserve"> (Craig Bradley, A/Assistant Secretary) 15 September 2011. Additional outline project plan submitted 2 November 2011.</w:t>
            </w:r>
          </w:p>
        </w:tc>
      </w:tr>
      <w:tr w:rsidR="00E6674E" w:rsidTr="00317FC2">
        <w:tc>
          <w:tcPr>
            <w:tcW w:w="1701" w:type="dxa"/>
            <w:vMerge/>
          </w:tcPr>
          <w:p w:rsidR="00E6674E" w:rsidRDefault="00E6674E" w:rsidP="00317FC2"/>
        </w:tc>
        <w:tc>
          <w:tcPr>
            <w:tcW w:w="3827" w:type="dxa"/>
          </w:tcPr>
          <w:p w:rsidR="00E6674E" w:rsidRDefault="00E6674E" w:rsidP="00317FC2">
            <w:r>
              <w:t>Engagement of project team and procurement of staff/consultants to deliver the Project</w:t>
            </w:r>
          </w:p>
        </w:tc>
        <w:tc>
          <w:tcPr>
            <w:tcW w:w="1417" w:type="dxa"/>
          </w:tcPr>
          <w:p w:rsidR="00E6674E" w:rsidRDefault="00E6674E" w:rsidP="00317FC2">
            <w:r>
              <w:t>30 November 2011</w:t>
            </w:r>
          </w:p>
        </w:tc>
        <w:tc>
          <w:tcPr>
            <w:tcW w:w="1418" w:type="dxa"/>
          </w:tcPr>
          <w:p w:rsidR="00E6674E" w:rsidRDefault="00E6674E" w:rsidP="00317FC2">
            <w:r>
              <w:t>22 November 2011</w:t>
            </w:r>
          </w:p>
        </w:tc>
        <w:tc>
          <w:tcPr>
            <w:tcW w:w="6237" w:type="dxa"/>
          </w:tcPr>
          <w:p w:rsidR="00E6674E" w:rsidRDefault="00E6674E" w:rsidP="00317FC2">
            <w:r>
              <w:t>The Department of Environment, Water and Natural Resources (DEWNR)</w:t>
            </w:r>
            <w:r>
              <w:rPr>
                <w:rStyle w:val="FootnoteReference"/>
              </w:rPr>
              <w:footnoteReference w:id="2"/>
            </w:r>
            <w:r>
              <w:t xml:space="preserve"> engaged an Acting Project Manager on 22 November 2011 to begin the job of delivering the project. Due to unforeseen delays in the process of engaging project staff, the role of project manager and project officer was filled in early 2012. Consultants have been procured throughout the life of the project to undertake tasks as they arose and enable to project to progress smoothly.</w:t>
            </w:r>
          </w:p>
        </w:tc>
      </w:tr>
      <w:tr w:rsidR="00E6674E" w:rsidTr="00317FC2">
        <w:tc>
          <w:tcPr>
            <w:tcW w:w="1701" w:type="dxa"/>
            <w:vMerge/>
          </w:tcPr>
          <w:p w:rsidR="00E6674E" w:rsidRDefault="00E6674E" w:rsidP="00317FC2"/>
        </w:tc>
        <w:tc>
          <w:tcPr>
            <w:tcW w:w="3827" w:type="dxa"/>
          </w:tcPr>
          <w:p w:rsidR="00E6674E" w:rsidRDefault="00E6674E" w:rsidP="00317FC2">
            <w:r>
              <w:t xml:space="preserve">Completion of the State sub-projects: </w:t>
            </w:r>
          </w:p>
          <w:p w:rsidR="00E6674E" w:rsidRDefault="00E6674E" w:rsidP="00244FE1">
            <w:pPr>
              <w:pStyle w:val="Listtable"/>
            </w:pPr>
            <w:r>
              <w:t xml:space="preserve">investigations completed as per the project management plans; </w:t>
            </w:r>
          </w:p>
          <w:p w:rsidR="00E6674E" w:rsidRDefault="00E6674E" w:rsidP="00244FE1">
            <w:pPr>
              <w:pStyle w:val="Listtable"/>
            </w:pPr>
            <w:r>
              <w:t xml:space="preserve">information provided to assist determination of potential SDL offsets; and </w:t>
            </w:r>
          </w:p>
          <w:p w:rsidR="00E6674E" w:rsidRDefault="00E6674E" w:rsidP="00244FE1">
            <w:pPr>
              <w:pStyle w:val="Listtable"/>
            </w:pPr>
            <w:r>
              <w:t>acceptance of final report</w:t>
            </w:r>
          </w:p>
        </w:tc>
        <w:tc>
          <w:tcPr>
            <w:tcW w:w="1417" w:type="dxa"/>
          </w:tcPr>
          <w:p w:rsidR="00E6674E" w:rsidRDefault="00E6674E" w:rsidP="00317FC2">
            <w:r>
              <w:t>31 December 2012 (extended to 29 March 2013)</w:t>
            </w:r>
          </w:p>
        </w:tc>
        <w:tc>
          <w:tcPr>
            <w:tcW w:w="1418" w:type="dxa"/>
          </w:tcPr>
          <w:p w:rsidR="00E6674E" w:rsidRDefault="00B401E5" w:rsidP="00317FC2">
            <w:r>
              <w:t>28 March 2013</w:t>
            </w:r>
          </w:p>
        </w:tc>
        <w:tc>
          <w:tcPr>
            <w:tcW w:w="6237" w:type="dxa"/>
          </w:tcPr>
          <w:p w:rsidR="00E6674E" w:rsidRDefault="00E6674E" w:rsidP="00317FC2">
            <w:r>
              <w:t>These projects are discussed in Volumes 2-5 of this report</w:t>
            </w:r>
          </w:p>
        </w:tc>
      </w:tr>
    </w:tbl>
    <w:p w:rsidR="00317FC2" w:rsidRDefault="00317FC2" w:rsidP="00317FC2">
      <w:pPr>
        <w:pStyle w:val="Caption"/>
      </w:pPr>
    </w:p>
    <w:p w:rsidR="00317FC2" w:rsidRDefault="00317FC2" w:rsidP="00317FC2">
      <w:pPr>
        <w:pStyle w:val="BodyText"/>
        <w:rPr>
          <w:rFonts w:ascii="Calibri" w:eastAsia="Calibri" w:hAnsi="Calibri" w:cs="Times New Roman"/>
          <w:color w:val="1F497D"/>
        </w:rPr>
      </w:pPr>
      <w:r>
        <w:br w:type="page"/>
      </w:r>
    </w:p>
    <w:p w:rsidR="00E6674E" w:rsidRPr="00785EF8" w:rsidRDefault="00E6674E" w:rsidP="00317FC2">
      <w:pPr>
        <w:pStyle w:val="Caption"/>
      </w:pPr>
      <w:bookmarkStart w:id="10" w:name="_Ref350427754"/>
      <w:r w:rsidRPr="00785EF8">
        <w:t xml:space="preserve">Table </w:t>
      </w:r>
      <w:fldSimple w:instr=" SEQ Table \* ARABIC ">
        <w:r w:rsidR="00B401E5">
          <w:rPr>
            <w:noProof/>
          </w:rPr>
          <w:t>2</w:t>
        </w:r>
      </w:fldSimple>
      <w:bookmarkEnd w:id="10"/>
      <w:r w:rsidRPr="00785EF8">
        <w:t>: Outline of tasks undertaken to deliver outputs from the Outline Project Plans EWMFP</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306"/>
        <w:gridCol w:w="3750"/>
        <w:gridCol w:w="65"/>
        <w:gridCol w:w="5670"/>
      </w:tblGrid>
      <w:tr w:rsidR="00E6674E" w:rsidRPr="00244FE1" w:rsidTr="00317FC2">
        <w:tc>
          <w:tcPr>
            <w:tcW w:w="1668" w:type="dxa"/>
          </w:tcPr>
          <w:p w:rsidR="00E6674E" w:rsidRPr="00244FE1" w:rsidRDefault="00E6674E" w:rsidP="00317FC2">
            <w:r w:rsidRPr="00244FE1">
              <w:t>Output</w:t>
            </w:r>
          </w:p>
        </w:tc>
        <w:tc>
          <w:tcPr>
            <w:tcW w:w="3306" w:type="dxa"/>
          </w:tcPr>
          <w:p w:rsidR="00E6674E" w:rsidRPr="00244FE1" w:rsidRDefault="00E6674E" w:rsidP="00317FC2">
            <w:r w:rsidRPr="00244FE1">
              <w:t>Milestones</w:t>
            </w:r>
          </w:p>
        </w:tc>
        <w:tc>
          <w:tcPr>
            <w:tcW w:w="3750" w:type="dxa"/>
          </w:tcPr>
          <w:p w:rsidR="00E6674E" w:rsidRPr="00244FE1" w:rsidRDefault="00E6674E" w:rsidP="00317FC2">
            <w:r w:rsidRPr="00244FE1">
              <w:t>Outputs</w:t>
            </w:r>
          </w:p>
        </w:tc>
        <w:tc>
          <w:tcPr>
            <w:tcW w:w="5735" w:type="dxa"/>
            <w:gridSpan w:val="2"/>
          </w:tcPr>
          <w:p w:rsidR="00E6674E" w:rsidRPr="00244FE1" w:rsidRDefault="00E6674E" w:rsidP="00317FC2">
            <w:r w:rsidRPr="00244FE1">
              <w:t>Tasks undertaken to deliver outputs</w:t>
            </w:r>
          </w:p>
        </w:tc>
      </w:tr>
      <w:tr w:rsidR="00E6674E" w:rsidRPr="00244FE1" w:rsidTr="00317FC2">
        <w:tc>
          <w:tcPr>
            <w:tcW w:w="1668" w:type="dxa"/>
            <w:vMerge w:val="restart"/>
          </w:tcPr>
          <w:p w:rsidR="00E6674E" w:rsidRPr="00244FE1" w:rsidRDefault="00E6674E" w:rsidP="001C16B0">
            <w:r w:rsidRPr="00244FE1">
              <w:t>The delivery of feasibility investigations, including the costs, risks and benefits, of sustainable diversion limit offset environmental works and measures sub-projects</w:t>
            </w:r>
          </w:p>
        </w:tc>
        <w:tc>
          <w:tcPr>
            <w:tcW w:w="3306" w:type="dxa"/>
            <w:vMerge w:val="restart"/>
            <w:shd w:val="clear" w:color="auto" w:fill="D9D9D9" w:themeFill="background1" w:themeFillShade="D9"/>
          </w:tcPr>
          <w:p w:rsidR="00E6674E" w:rsidRPr="00244FE1" w:rsidRDefault="00E6674E" w:rsidP="00317FC2">
            <w:r w:rsidRPr="00244FE1">
              <w:t>Milestone 1:</w:t>
            </w:r>
          </w:p>
          <w:p w:rsidR="00E6674E" w:rsidRPr="00244FE1" w:rsidRDefault="00E6674E" w:rsidP="00317FC2">
            <w:r w:rsidRPr="00244FE1">
              <w:t>Acceptance of project management plans for the State sub-projects</w:t>
            </w:r>
          </w:p>
        </w:tc>
        <w:tc>
          <w:tcPr>
            <w:tcW w:w="3750" w:type="dxa"/>
            <w:shd w:val="clear" w:color="auto" w:fill="D9D9D9" w:themeFill="background1" w:themeFillShade="D9"/>
          </w:tcPr>
          <w:p w:rsidR="00E6674E" w:rsidRPr="00244FE1" w:rsidRDefault="00E6674E" w:rsidP="00317FC2">
            <w:r w:rsidRPr="00244FE1">
              <w:t>Outline Project Plan – Pike floodplain</w:t>
            </w:r>
          </w:p>
          <w:p w:rsidR="00E6674E" w:rsidRPr="00244FE1" w:rsidRDefault="00E6674E" w:rsidP="001C16B0">
            <w:pPr>
              <w:pStyle w:val="Listtable"/>
            </w:pPr>
            <w:r w:rsidRPr="00244FE1">
              <w:t>Salinity Risk Assessment for Pike Environmental Regulators;</w:t>
            </w:r>
          </w:p>
          <w:p w:rsidR="00E6674E" w:rsidRPr="00244FE1" w:rsidRDefault="00E6674E" w:rsidP="001C16B0">
            <w:pPr>
              <w:pStyle w:val="Listtable"/>
            </w:pPr>
            <w:r w:rsidRPr="00244FE1">
              <w:t>Ecological Risk Assessment for Pike Environmental Regulators; and</w:t>
            </w:r>
          </w:p>
          <w:p w:rsidR="00E6674E" w:rsidRPr="00244FE1" w:rsidRDefault="00E6674E" w:rsidP="001C16B0">
            <w:pPr>
              <w:pStyle w:val="Listtable"/>
            </w:pPr>
            <w:r w:rsidRPr="00244FE1">
              <w:t>Operational Plan for Pike Environmental Regulators.</w:t>
            </w:r>
          </w:p>
          <w:p w:rsidR="00E6674E" w:rsidRPr="00244FE1" w:rsidRDefault="00E6674E" w:rsidP="00317FC2"/>
        </w:tc>
        <w:tc>
          <w:tcPr>
            <w:tcW w:w="5735" w:type="dxa"/>
            <w:gridSpan w:val="2"/>
            <w:shd w:val="clear" w:color="auto" w:fill="D9D9D9" w:themeFill="background1" w:themeFillShade="D9"/>
          </w:tcPr>
          <w:p w:rsidR="00E6674E" w:rsidRPr="00244FE1" w:rsidRDefault="00E6674E" w:rsidP="00317FC2">
            <w:r w:rsidRPr="00244FE1">
              <w:t>Salinity Risk Assessment Expert Panel</w:t>
            </w:r>
          </w:p>
          <w:p w:rsidR="00E6674E" w:rsidRPr="00244FE1" w:rsidRDefault="00E6674E" w:rsidP="001C16B0">
            <w:pPr>
              <w:pStyle w:val="Listtable"/>
            </w:pPr>
            <w:r w:rsidRPr="00244FE1">
              <w:t>Collate existing data and analyse</w:t>
            </w:r>
          </w:p>
          <w:p w:rsidR="00E6674E" w:rsidRPr="00244FE1" w:rsidRDefault="00E6674E" w:rsidP="001C16B0">
            <w:pPr>
              <w:pStyle w:val="Listtable"/>
            </w:pPr>
            <w:r w:rsidRPr="00244FE1">
              <w:t>Formulate methodology</w:t>
            </w:r>
          </w:p>
          <w:p w:rsidR="00E6674E" w:rsidRPr="00244FE1" w:rsidRDefault="00E6674E" w:rsidP="001C16B0">
            <w:pPr>
              <w:pStyle w:val="Listtable"/>
            </w:pPr>
            <w:r w:rsidRPr="00244FE1">
              <w:t>Undertake assessment</w:t>
            </w:r>
          </w:p>
          <w:p w:rsidR="00E6674E" w:rsidRPr="00244FE1" w:rsidRDefault="00E6674E" w:rsidP="001C16B0">
            <w:pPr>
              <w:pStyle w:val="Listtable"/>
            </w:pPr>
            <w:r w:rsidRPr="00244FE1">
              <w:t>Prepare report</w:t>
            </w:r>
          </w:p>
          <w:p w:rsidR="00E6674E" w:rsidRPr="00244FE1" w:rsidRDefault="00E6674E" w:rsidP="00317FC2">
            <w:r w:rsidRPr="00244FE1">
              <w:t>Ecological Risk Assessment Expert Panel</w:t>
            </w:r>
          </w:p>
          <w:p w:rsidR="00E6674E" w:rsidRPr="00244FE1" w:rsidRDefault="00E6674E" w:rsidP="001C16B0">
            <w:pPr>
              <w:pStyle w:val="Listtable"/>
            </w:pPr>
            <w:r w:rsidRPr="00244FE1">
              <w:t>Literature review and review of previous management actions</w:t>
            </w:r>
          </w:p>
          <w:p w:rsidR="00E6674E" w:rsidRPr="00244FE1" w:rsidRDefault="00E6674E" w:rsidP="001C16B0">
            <w:pPr>
              <w:pStyle w:val="Listtable"/>
            </w:pPr>
            <w:r w:rsidRPr="00244FE1">
              <w:t>Analyse existing data</w:t>
            </w:r>
          </w:p>
          <w:p w:rsidR="00E6674E" w:rsidRPr="00244FE1" w:rsidRDefault="00E6674E" w:rsidP="001C16B0">
            <w:pPr>
              <w:pStyle w:val="Listtable"/>
            </w:pPr>
            <w:r w:rsidRPr="00244FE1">
              <w:t>Undertake assessment</w:t>
            </w:r>
          </w:p>
          <w:p w:rsidR="00E6674E" w:rsidRPr="00244FE1" w:rsidRDefault="00E6674E" w:rsidP="001C16B0">
            <w:pPr>
              <w:pStyle w:val="Listtable"/>
            </w:pPr>
            <w:r w:rsidRPr="00244FE1">
              <w:t>Prepare report</w:t>
            </w:r>
          </w:p>
          <w:p w:rsidR="00E6674E" w:rsidRPr="00244FE1" w:rsidRDefault="00E6674E" w:rsidP="00317FC2">
            <w:r w:rsidRPr="00244FE1">
              <w:t>Operational Plan</w:t>
            </w:r>
          </w:p>
          <w:p w:rsidR="00E6674E" w:rsidRPr="00244FE1" w:rsidRDefault="00E6674E" w:rsidP="001C16B0">
            <w:pPr>
              <w:pStyle w:val="Listtable"/>
            </w:pPr>
            <w:r w:rsidRPr="00244FE1">
              <w:t>Undertake assessment of existing conditions</w:t>
            </w:r>
          </w:p>
          <w:p w:rsidR="00E6674E" w:rsidRPr="00244FE1" w:rsidRDefault="00E6674E" w:rsidP="001C16B0">
            <w:pPr>
              <w:pStyle w:val="Listtable"/>
            </w:pPr>
            <w:r w:rsidRPr="00244FE1">
              <w:t>Prepare Monitoring Strategy</w:t>
            </w:r>
          </w:p>
          <w:p w:rsidR="00E6674E" w:rsidRPr="00244FE1" w:rsidRDefault="00E6674E" w:rsidP="001C16B0">
            <w:pPr>
              <w:pStyle w:val="Listtable"/>
            </w:pPr>
            <w:r w:rsidRPr="00244FE1">
              <w:t>Consult with relevant experienced personnel</w:t>
            </w:r>
          </w:p>
          <w:p w:rsidR="00E6674E" w:rsidRPr="00244FE1" w:rsidRDefault="00E6674E" w:rsidP="001C16B0">
            <w:pPr>
              <w:pStyle w:val="Listtable"/>
            </w:pPr>
            <w:r w:rsidRPr="00244FE1">
              <w:t>Prepare preliminary report</w:t>
            </w:r>
          </w:p>
        </w:tc>
      </w:tr>
      <w:tr w:rsidR="00E6674E" w:rsidRPr="00244FE1" w:rsidTr="00317FC2">
        <w:tc>
          <w:tcPr>
            <w:tcW w:w="1668" w:type="dxa"/>
            <w:vMerge/>
          </w:tcPr>
          <w:p w:rsidR="00E6674E" w:rsidRPr="00244FE1" w:rsidRDefault="00E6674E" w:rsidP="00317FC2"/>
        </w:tc>
        <w:tc>
          <w:tcPr>
            <w:tcW w:w="3306" w:type="dxa"/>
            <w:vMerge/>
            <w:shd w:val="clear" w:color="auto" w:fill="D9D9D9" w:themeFill="background1" w:themeFillShade="D9"/>
          </w:tcPr>
          <w:p w:rsidR="00E6674E" w:rsidRPr="00244FE1" w:rsidRDefault="00E6674E" w:rsidP="00317FC2"/>
        </w:tc>
        <w:tc>
          <w:tcPr>
            <w:tcW w:w="3750" w:type="dxa"/>
            <w:shd w:val="clear" w:color="auto" w:fill="D9D9D9" w:themeFill="background1" w:themeFillShade="D9"/>
          </w:tcPr>
          <w:p w:rsidR="00E6674E" w:rsidRPr="00244FE1" w:rsidRDefault="00E6674E" w:rsidP="00317FC2">
            <w:r w:rsidRPr="00244FE1">
              <w:t xml:space="preserve">Outline Project Plan – </w:t>
            </w:r>
            <w:proofErr w:type="spellStart"/>
            <w:r w:rsidRPr="00244FE1">
              <w:t>Katfish</w:t>
            </w:r>
            <w:proofErr w:type="spellEnd"/>
            <w:r w:rsidRPr="00244FE1">
              <w:t xml:space="preserve"> floodplain</w:t>
            </w:r>
          </w:p>
          <w:p w:rsidR="00E6674E" w:rsidRPr="00244FE1" w:rsidRDefault="00E6674E" w:rsidP="001C16B0">
            <w:pPr>
              <w:pStyle w:val="Listtable"/>
            </w:pPr>
            <w:r w:rsidRPr="00244FE1">
              <w:t xml:space="preserve">Salinity Risk Assessment for </w:t>
            </w:r>
            <w:proofErr w:type="spellStart"/>
            <w:r w:rsidRPr="00244FE1">
              <w:t>Katarapko</w:t>
            </w:r>
            <w:proofErr w:type="spellEnd"/>
            <w:r w:rsidRPr="00244FE1">
              <w:t xml:space="preserve"> Environmental Regulators;</w:t>
            </w:r>
          </w:p>
          <w:p w:rsidR="00E6674E" w:rsidRPr="00244FE1" w:rsidRDefault="00E6674E" w:rsidP="001C16B0">
            <w:pPr>
              <w:pStyle w:val="Listtable"/>
            </w:pPr>
            <w:r w:rsidRPr="00244FE1">
              <w:t xml:space="preserve">Ecological Risk Assessment for </w:t>
            </w:r>
            <w:proofErr w:type="spellStart"/>
            <w:r w:rsidRPr="00244FE1">
              <w:t>Katarapko</w:t>
            </w:r>
            <w:proofErr w:type="spellEnd"/>
            <w:r w:rsidRPr="00244FE1">
              <w:t xml:space="preserve"> Environmental Regulators; and</w:t>
            </w:r>
          </w:p>
          <w:p w:rsidR="00E6674E" w:rsidRPr="00244FE1" w:rsidRDefault="00E6674E" w:rsidP="001C16B0">
            <w:pPr>
              <w:pStyle w:val="Listtable"/>
            </w:pPr>
            <w:r w:rsidRPr="00244FE1">
              <w:t xml:space="preserve">Operational Plan for </w:t>
            </w:r>
            <w:proofErr w:type="spellStart"/>
            <w:r w:rsidRPr="00244FE1">
              <w:t>Katarapko</w:t>
            </w:r>
            <w:proofErr w:type="spellEnd"/>
            <w:r w:rsidRPr="00244FE1">
              <w:t xml:space="preserve"> Environmental Regulators.</w:t>
            </w:r>
          </w:p>
          <w:p w:rsidR="00E6674E" w:rsidRPr="00244FE1" w:rsidRDefault="00E6674E" w:rsidP="00317FC2">
            <w:pPr>
              <w:ind w:left="360" w:hanging="360"/>
            </w:pPr>
          </w:p>
        </w:tc>
        <w:tc>
          <w:tcPr>
            <w:tcW w:w="5735" w:type="dxa"/>
            <w:gridSpan w:val="2"/>
            <w:shd w:val="clear" w:color="auto" w:fill="D9D9D9" w:themeFill="background1" w:themeFillShade="D9"/>
          </w:tcPr>
          <w:p w:rsidR="00E6674E" w:rsidRPr="00244FE1" w:rsidRDefault="00E6674E" w:rsidP="00317FC2">
            <w:r w:rsidRPr="00244FE1">
              <w:t>Salinity Risk Assessment Expert Panel</w:t>
            </w:r>
          </w:p>
          <w:p w:rsidR="00E6674E" w:rsidRPr="00244FE1" w:rsidRDefault="00E6674E" w:rsidP="001C16B0">
            <w:pPr>
              <w:pStyle w:val="Listtable"/>
            </w:pPr>
            <w:r w:rsidRPr="00244FE1">
              <w:t>Collate existing data and analyse</w:t>
            </w:r>
          </w:p>
          <w:p w:rsidR="00E6674E" w:rsidRPr="00244FE1" w:rsidRDefault="00E6674E" w:rsidP="001C16B0">
            <w:pPr>
              <w:pStyle w:val="Listtable"/>
            </w:pPr>
            <w:r w:rsidRPr="00244FE1">
              <w:t>Formulate methodology</w:t>
            </w:r>
          </w:p>
          <w:p w:rsidR="00E6674E" w:rsidRPr="00244FE1" w:rsidRDefault="00E6674E" w:rsidP="001C16B0">
            <w:pPr>
              <w:pStyle w:val="Listtable"/>
            </w:pPr>
            <w:r w:rsidRPr="00244FE1">
              <w:t>Undertake assessment</w:t>
            </w:r>
          </w:p>
          <w:p w:rsidR="00E6674E" w:rsidRPr="00244FE1" w:rsidRDefault="00E6674E" w:rsidP="001C16B0">
            <w:pPr>
              <w:pStyle w:val="Listtable"/>
            </w:pPr>
            <w:r w:rsidRPr="00244FE1">
              <w:t>Prepare report</w:t>
            </w:r>
          </w:p>
          <w:p w:rsidR="00E6674E" w:rsidRPr="00244FE1" w:rsidRDefault="00E6674E" w:rsidP="00317FC2">
            <w:r w:rsidRPr="00244FE1">
              <w:t>Ecological Risk Assessment Expert Panel</w:t>
            </w:r>
          </w:p>
          <w:p w:rsidR="00E6674E" w:rsidRPr="00244FE1" w:rsidRDefault="00E6674E" w:rsidP="001C16B0">
            <w:pPr>
              <w:pStyle w:val="Listtable"/>
            </w:pPr>
            <w:r w:rsidRPr="00244FE1">
              <w:t>Literature review and review of previous management actions</w:t>
            </w:r>
          </w:p>
          <w:p w:rsidR="00E6674E" w:rsidRPr="00244FE1" w:rsidRDefault="00E6674E" w:rsidP="001C16B0">
            <w:pPr>
              <w:pStyle w:val="Listtable"/>
            </w:pPr>
            <w:r w:rsidRPr="00244FE1">
              <w:t>Analyse existing data</w:t>
            </w:r>
          </w:p>
          <w:p w:rsidR="00E6674E" w:rsidRPr="00244FE1" w:rsidRDefault="00E6674E" w:rsidP="001C16B0">
            <w:pPr>
              <w:pStyle w:val="Listtable"/>
            </w:pPr>
            <w:r w:rsidRPr="00244FE1">
              <w:t>Undertake assessment</w:t>
            </w:r>
          </w:p>
          <w:p w:rsidR="00E6674E" w:rsidRPr="00244FE1" w:rsidRDefault="00E6674E" w:rsidP="001C16B0">
            <w:pPr>
              <w:pStyle w:val="Listtable"/>
            </w:pPr>
            <w:r w:rsidRPr="00244FE1">
              <w:t>Prepare report</w:t>
            </w:r>
          </w:p>
          <w:p w:rsidR="00E6674E" w:rsidRPr="00244FE1" w:rsidRDefault="00E6674E" w:rsidP="00317FC2">
            <w:r w:rsidRPr="00244FE1">
              <w:t>Operational Plan</w:t>
            </w:r>
          </w:p>
          <w:p w:rsidR="00E6674E" w:rsidRPr="00244FE1" w:rsidRDefault="00E6674E" w:rsidP="001C16B0">
            <w:pPr>
              <w:pStyle w:val="Listtable"/>
            </w:pPr>
            <w:r w:rsidRPr="00244FE1">
              <w:t>Undertake assessment of existing conditions</w:t>
            </w:r>
          </w:p>
          <w:p w:rsidR="00E6674E" w:rsidRPr="00244FE1" w:rsidRDefault="00E6674E" w:rsidP="001C16B0">
            <w:pPr>
              <w:pStyle w:val="Listtable"/>
            </w:pPr>
            <w:r w:rsidRPr="00244FE1">
              <w:t>Prepare Monitoring Strategy</w:t>
            </w:r>
          </w:p>
          <w:p w:rsidR="00E6674E" w:rsidRPr="00244FE1" w:rsidRDefault="00E6674E" w:rsidP="001C16B0">
            <w:pPr>
              <w:pStyle w:val="Listtable"/>
            </w:pPr>
            <w:r w:rsidRPr="00244FE1">
              <w:t>Consult with relevant experienced personnel</w:t>
            </w:r>
          </w:p>
          <w:p w:rsidR="00E6674E" w:rsidRPr="00244FE1" w:rsidRDefault="00E6674E" w:rsidP="00317FC2">
            <w:r w:rsidRPr="00244FE1">
              <w:t>Prepare preliminary report</w:t>
            </w:r>
          </w:p>
        </w:tc>
      </w:tr>
      <w:tr w:rsidR="00E6674E" w:rsidRPr="00244FE1" w:rsidTr="00317FC2">
        <w:tc>
          <w:tcPr>
            <w:tcW w:w="1668" w:type="dxa"/>
            <w:vMerge/>
          </w:tcPr>
          <w:p w:rsidR="00E6674E" w:rsidRPr="00244FE1" w:rsidRDefault="00E6674E" w:rsidP="00317FC2"/>
        </w:tc>
        <w:tc>
          <w:tcPr>
            <w:tcW w:w="3306" w:type="dxa"/>
            <w:vMerge/>
            <w:shd w:val="clear" w:color="auto" w:fill="D9D9D9" w:themeFill="background1" w:themeFillShade="D9"/>
          </w:tcPr>
          <w:p w:rsidR="00E6674E" w:rsidRPr="00244FE1" w:rsidRDefault="00E6674E" w:rsidP="00317FC2"/>
        </w:tc>
        <w:tc>
          <w:tcPr>
            <w:tcW w:w="3750" w:type="dxa"/>
            <w:shd w:val="clear" w:color="auto" w:fill="D9D9D9" w:themeFill="background1" w:themeFillShade="D9"/>
          </w:tcPr>
          <w:p w:rsidR="00E6674E" w:rsidRPr="00244FE1" w:rsidRDefault="00E6674E" w:rsidP="00317FC2">
            <w:r w:rsidRPr="00244FE1">
              <w:t>Outline Project Plan – Eastern Mount Lofty Ranges</w:t>
            </w:r>
          </w:p>
          <w:p w:rsidR="00E6674E" w:rsidRPr="00244FE1" w:rsidRDefault="00E6674E" w:rsidP="001C16B0">
            <w:pPr>
              <w:pStyle w:val="Listtable"/>
            </w:pPr>
            <w:r w:rsidRPr="00244FE1">
              <w:t>Technical reports;</w:t>
            </w:r>
          </w:p>
          <w:p w:rsidR="00E6674E" w:rsidRPr="00244FE1" w:rsidRDefault="00E6674E" w:rsidP="001C16B0">
            <w:pPr>
              <w:pStyle w:val="Listtable"/>
            </w:pPr>
            <w:r w:rsidRPr="00244FE1">
              <w:t>Concept designs; and</w:t>
            </w:r>
          </w:p>
          <w:p w:rsidR="00E6674E" w:rsidRPr="00244FE1" w:rsidRDefault="00E6674E" w:rsidP="001C16B0">
            <w:pPr>
              <w:pStyle w:val="Listtable"/>
            </w:pPr>
            <w:r w:rsidRPr="00244FE1">
              <w:t>Installation of demonstration LFB at targeted sites.</w:t>
            </w:r>
          </w:p>
        </w:tc>
        <w:tc>
          <w:tcPr>
            <w:tcW w:w="5735" w:type="dxa"/>
            <w:gridSpan w:val="2"/>
            <w:shd w:val="clear" w:color="auto" w:fill="D9D9D9" w:themeFill="background1" w:themeFillShade="D9"/>
          </w:tcPr>
          <w:p w:rsidR="00E6674E" w:rsidRPr="00244FE1" w:rsidRDefault="00E6674E" w:rsidP="00317FC2">
            <w:r w:rsidRPr="00244FE1">
              <w:t>Technical reports</w:t>
            </w:r>
          </w:p>
          <w:p w:rsidR="00E6674E" w:rsidRPr="00244FE1" w:rsidRDefault="00E6674E" w:rsidP="001C16B0">
            <w:pPr>
              <w:pStyle w:val="Listtable"/>
            </w:pPr>
            <w:r w:rsidRPr="00244FE1">
              <w:t>Design methodology for priority placement of low flow releases (LFR) using existing environmental risk framework</w:t>
            </w:r>
          </w:p>
          <w:p w:rsidR="00E6674E" w:rsidRPr="00244FE1" w:rsidRDefault="00E6674E" w:rsidP="001C16B0">
            <w:pPr>
              <w:pStyle w:val="Listtable"/>
            </w:pPr>
            <w:r w:rsidRPr="00244FE1">
              <w:t>Design scenarios for strategic placement of LFR</w:t>
            </w:r>
          </w:p>
          <w:p w:rsidR="00E6674E" w:rsidRPr="00244FE1" w:rsidRDefault="00E6674E" w:rsidP="001C16B0">
            <w:pPr>
              <w:pStyle w:val="Listtable"/>
            </w:pPr>
            <w:r w:rsidRPr="00244FE1">
              <w:t>Determine metrics for assessment of scenario options</w:t>
            </w:r>
          </w:p>
          <w:p w:rsidR="00E6674E" w:rsidRPr="00244FE1" w:rsidRDefault="00E6674E" w:rsidP="001C16B0">
            <w:pPr>
              <w:pStyle w:val="Listtable"/>
            </w:pPr>
            <w:r w:rsidRPr="00244FE1">
              <w:t>Build hydrologic model and analyse scenarios</w:t>
            </w:r>
          </w:p>
          <w:p w:rsidR="00E6674E" w:rsidRPr="00244FE1" w:rsidRDefault="00E6674E" w:rsidP="001C16B0">
            <w:pPr>
              <w:pStyle w:val="Listtable"/>
            </w:pPr>
            <w:r w:rsidRPr="00244FE1">
              <w:t>Analyse model results</w:t>
            </w:r>
          </w:p>
          <w:p w:rsidR="00E6674E" w:rsidRPr="00244FE1" w:rsidRDefault="00E6674E" w:rsidP="001C16B0">
            <w:pPr>
              <w:pStyle w:val="Listtable"/>
            </w:pPr>
            <w:r w:rsidRPr="00244FE1">
              <w:t>Calculate return flows</w:t>
            </w:r>
          </w:p>
        </w:tc>
      </w:tr>
      <w:tr w:rsidR="00E6674E" w:rsidRPr="00244FE1" w:rsidTr="00317FC2">
        <w:tc>
          <w:tcPr>
            <w:tcW w:w="1668" w:type="dxa"/>
            <w:vMerge/>
          </w:tcPr>
          <w:p w:rsidR="00E6674E" w:rsidRPr="00244FE1" w:rsidRDefault="00E6674E" w:rsidP="00317FC2"/>
        </w:tc>
        <w:tc>
          <w:tcPr>
            <w:tcW w:w="3306" w:type="dxa"/>
            <w:vMerge/>
            <w:shd w:val="clear" w:color="auto" w:fill="D9D9D9" w:themeFill="background1" w:themeFillShade="D9"/>
          </w:tcPr>
          <w:p w:rsidR="00E6674E" w:rsidRPr="00244FE1" w:rsidRDefault="00E6674E" w:rsidP="00317FC2"/>
        </w:tc>
        <w:tc>
          <w:tcPr>
            <w:tcW w:w="3750" w:type="dxa"/>
            <w:shd w:val="clear" w:color="auto" w:fill="D9D9D9" w:themeFill="background1" w:themeFillShade="D9"/>
          </w:tcPr>
          <w:p w:rsidR="00E6674E" w:rsidRPr="00244FE1" w:rsidRDefault="00E6674E" w:rsidP="00317FC2">
            <w:r w:rsidRPr="00244FE1">
              <w:t>Outline Project Plan – Implications of environmental water delivery</w:t>
            </w:r>
          </w:p>
          <w:p w:rsidR="00E6674E" w:rsidRPr="00244FE1" w:rsidRDefault="00E6674E" w:rsidP="001C16B0">
            <w:pPr>
              <w:pStyle w:val="Listtable"/>
            </w:pPr>
            <w:r w:rsidRPr="00244FE1">
              <w:t>Risk Assessment Report – loss volumes, areas inundated, impacts; and</w:t>
            </w:r>
          </w:p>
          <w:p w:rsidR="00E6674E" w:rsidRPr="00244FE1" w:rsidRDefault="00E6674E" w:rsidP="001C16B0">
            <w:pPr>
              <w:pStyle w:val="Listtable"/>
            </w:pPr>
            <w:r w:rsidRPr="00244FE1">
              <w:t>Condition Assessment and price/quantity report for River Murray Levee Bank remediation.</w:t>
            </w:r>
          </w:p>
        </w:tc>
        <w:tc>
          <w:tcPr>
            <w:tcW w:w="5735" w:type="dxa"/>
            <w:gridSpan w:val="2"/>
            <w:shd w:val="clear" w:color="auto" w:fill="D9D9D9" w:themeFill="background1" w:themeFillShade="D9"/>
          </w:tcPr>
          <w:p w:rsidR="00E6674E" w:rsidRPr="00244FE1" w:rsidRDefault="00E6674E" w:rsidP="00317FC2">
            <w:r w:rsidRPr="00244FE1">
              <w:t>Environmental Flows Risk Assessment</w:t>
            </w:r>
          </w:p>
          <w:p w:rsidR="00E6674E" w:rsidRPr="00244FE1" w:rsidRDefault="00E6674E" w:rsidP="001C16B0">
            <w:pPr>
              <w:pStyle w:val="Listtable"/>
            </w:pPr>
            <w:r w:rsidRPr="00244FE1">
              <w:t>Assessment of potential evaporation and seepage water losses and water losses due to levee bank failure, number of assets (land parcels, community titles, roads and sewage infrastructure) that may be a risk of inundation and assessment of water quality risks upon flood recession</w:t>
            </w:r>
          </w:p>
          <w:p w:rsidR="00E6674E" w:rsidRPr="00244FE1" w:rsidRDefault="00E6674E" w:rsidP="001C16B0">
            <w:pPr>
              <w:pStyle w:val="Listtable"/>
            </w:pPr>
            <w:r w:rsidRPr="00244FE1">
              <w:t>Review existing legal advice relating to augmenting natural flows and impacts on third parties</w:t>
            </w:r>
          </w:p>
          <w:p w:rsidR="00E6674E" w:rsidRPr="00244FE1" w:rsidRDefault="00E6674E" w:rsidP="00317FC2">
            <w:r w:rsidRPr="00244FE1">
              <w:t>Condition assessment of levee banks</w:t>
            </w:r>
          </w:p>
          <w:p w:rsidR="00E6674E" w:rsidRPr="00244FE1" w:rsidRDefault="00E6674E" w:rsidP="001C16B0">
            <w:pPr>
              <w:pStyle w:val="Listtable"/>
            </w:pPr>
            <w:r w:rsidRPr="00244FE1">
              <w:t>Review of existing data and information relating to levee banks condition and calculation of potential remediation costs</w:t>
            </w:r>
          </w:p>
        </w:tc>
      </w:tr>
      <w:tr w:rsidR="00E6674E" w:rsidRPr="00244FE1" w:rsidTr="00317FC2">
        <w:tc>
          <w:tcPr>
            <w:tcW w:w="1668" w:type="dxa"/>
            <w:vMerge/>
          </w:tcPr>
          <w:p w:rsidR="00E6674E" w:rsidRPr="00244FE1" w:rsidRDefault="00E6674E" w:rsidP="00317FC2"/>
        </w:tc>
        <w:tc>
          <w:tcPr>
            <w:tcW w:w="3306" w:type="dxa"/>
            <w:vMerge w:val="restart"/>
            <w:shd w:val="clear" w:color="auto" w:fill="BFBFBF" w:themeFill="background1" w:themeFillShade="BF"/>
          </w:tcPr>
          <w:p w:rsidR="00E6674E" w:rsidRPr="00244FE1" w:rsidRDefault="00E6674E" w:rsidP="00317FC2">
            <w:r w:rsidRPr="00244FE1">
              <w:t>Milestone 2:</w:t>
            </w:r>
          </w:p>
          <w:p w:rsidR="00E6674E" w:rsidRPr="00244FE1" w:rsidRDefault="00E6674E" w:rsidP="00317FC2">
            <w:r w:rsidRPr="00244FE1">
              <w:t>Engagement of project team and procurement of staff/consultants to deliver the Project</w:t>
            </w:r>
          </w:p>
        </w:tc>
        <w:tc>
          <w:tcPr>
            <w:tcW w:w="9485" w:type="dxa"/>
            <w:gridSpan w:val="3"/>
            <w:shd w:val="clear" w:color="auto" w:fill="BFBFBF" w:themeFill="background1" w:themeFillShade="BF"/>
          </w:tcPr>
          <w:p w:rsidR="00E6674E" w:rsidRPr="00244FE1" w:rsidRDefault="00E6674E" w:rsidP="00317FC2">
            <w:pPr>
              <w:rPr>
                <w:b/>
              </w:rPr>
            </w:pPr>
            <w:r w:rsidRPr="00244FE1">
              <w:rPr>
                <w:b/>
              </w:rPr>
              <w:t>Project Team: DEWNR</w:t>
            </w:r>
          </w:p>
          <w:p w:rsidR="00E6674E" w:rsidRPr="00244FE1" w:rsidRDefault="00E6674E" w:rsidP="00317FC2">
            <w:pPr>
              <w:ind w:firstLine="305"/>
            </w:pPr>
            <w:r w:rsidRPr="00244FE1">
              <w:t>Dan Croucher (Project Director) [in-kind]</w:t>
            </w:r>
          </w:p>
          <w:p w:rsidR="00E6674E" w:rsidRPr="00244FE1" w:rsidRDefault="00E6674E" w:rsidP="00317FC2">
            <w:pPr>
              <w:ind w:firstLine="305"/>
            </w:pPr>
            <w:r w:rsidRPr="00244FE1">
              <w:t>Susan Lee (Project Manager) 0.5FTE</w:t>
            </w:r>
          </w:p>
          <w:p w:rsidR="00E6674E" w:rsidRPr="00244FE1" w:rsidRDefault="00E6674E" w:rsidP="00317FC2">
            <w:pPr>
              <w:ind w:firstLine="305"/>
            </w:pPr>
            <w:r w:rsidRPr="00244FE1">
              <w:t>Whendee Young (Project Manager) 0.4FTE</w:t>
            </w:r>
          </w:p>
          <w:p w:rsidR="00E6674E" w:rsidRPr="00244FE1" w:rsidRDefault="00E6674E" w:rsidP="00317FC2">
            <w:pPr>
              <w:ind w:firstLine="305"/>
            </w:pPr>
            <w:r w:rsidRPr="00244FE1">
              <w:t>Jana Bradley (Project Officer: EWD) 0.5FTE</w:t>
            </w:r>
          </w:p>
          <w:p w:rsidR="00E6674E" w:rsidRPr="00244FE1" w:rsidRDefault="00E6674E" w:rsidP="00317FC2">
            <w:pPr>
              <w:ind w:firstLine="305"/>
            </w:pPr>
            <w:r w:rsidRPr="00244FE1">
              <w:t>Tahnee Sutton (Admin Officer) 0.25 FTE</w:t>
            </w:r>
          </w:p>
        </w:tc>
      </w:tr>
      <w:tr w:rsidR="00E6674E" w:rsidRPr="00244FE1" w:rsidTr="00317FC2">
        <w:tc>
          <w:tcPr>
            <w:tcW w:w="1668" w:type="dxa"/>
            <w:vMerge/>
          </w:tcPr>
          <w:p w:rsidR="00E6674E" w:rsidRPr="00244FE1" w:rsidRDefault="00E6674E" w:rsidP="00317FC2"/>
        </w:tc>
        <w:tc>
          <w:tcPr>
            <w:tcW w:w="3306" w:type="dxa"/>
            <w:vMerge/>
            <w:shd w:val="clear" w:color="auto" w:fill="BFBFBF" w:themeFill="background1" w:themeFillShade="BF"/>
          </w:tcPr>
          <w:p w:rsidR="00E6674E" w:rsidRPr="00244FE1" w:rsidRDefault="00E6674E" w:rsidP="00317FC2"/>
        </w:tc>
        <w:tc>
          <w:tcPr>
            <w:tcW w:w="3815" w:type="dxa"/>
            <w:gridSpan w:val="2"/>
            <w:shd w:val="clear" w:color="auto" w:fill="BFBFBF" w:themeFill="background1" w:themeFillShade="BF"/>
          </w:tcPr>
          <w:p w:rsidR="00E6674E" w:rsidRPr="00244FE1" w:rsidRDefault="00E6674E" w:rsidP="00317FC2">
            <w:pPr>
              <w:rPr>
                <w:b/>
              </w:rPr>
            </w:pPr>
            <w:r w:rsidRPr="00244FE1">
              <w:rPr>
                <w:b/>
              </w:rPr>
              <w:t>Other DEWNR Staff – in-kind contributions</w:t>
            </w:r>
          </w:p>
          <w:p w:rsidR="00E6674E" w:rsidRPr="00244FE1" w:rsidRDefault="00E6674E" w:rsidP="00317FC2">
            <w:r w:rsidRPr="00244FE1">
              <w:t xml:space="preserve">Chris Morony, Andrew Johnson, Mandy </w:t>
            </w:r>
            <w:proofErr w:type="spellStart"/>
            <w:r w:rsidRPr="00244FE1">
              <w:t>Rossetto</w:t>
            </w:r>
            <w:proofErr w:type="spellEnd"/>
            <w:r w:rsidRPr="00244FE1">
              <w:t xml:space="preserve">, Julia Grant, Andrew Beal, Josh Kaplan, Brad Hollis, Mike Harper, Benita Dillon, Lara Suitor, Mardi van </w:t>
            </w:r>
            <w:proofErr w:type="spellStart"/>
            <w:r w:rsidRPr="00244FE1">
              <w:t>der</w:t>
            </w:r>
            <w:proofErr w:type="spellEnd"/>
            <w:r w:rsidRPr="00244FE1">
              <w:t xml:space="preserve"> </w:t>
            </w:r>
            <w:proofErr w:type="spellStart"/>
            <w:r w:rsidRPr="00244FE1">
              <w:t>Wielen</w:t>
            </w:r>
            <w:proofErr w:type="spellEnd"/>
            <w:r w:rsidRPr="00244FE1">
              <w:t>, Simon Sherriff, Mike Fuller, Martin Stokes, Andrew Moll, Adam West, Di Favier, Matt Gibbs</w:t>
            </w:r>
          </w:p>
        </w:tc>
        <w:tc>
          <w:tcPr>
            <w:tcW w:w="5670" w:type="dxa"/>
            <w:shd w:val="clear" w:color="auto" w:fill="BFBFBF" w:themeFill="background1" w:themeFillShade="BF"/>
          </w:tcPr>
          <w:p w:rsidR="00E6674E" w:rsidRPr="00244FE1" w:rsidRDefault="00E6674E" w:rsidP="00317FC2">
            <w:pPr>
              <w:rPr>
                <w:b/>
              </w:rPr>
            </w:pPr>
            <w:r w:rsidRPr="00244FE1">
              <w:rPr>
                <w:b/>
              </w:rPr>
              <w:t xml:space="preserve">Committees </w:t>
            </w:r>
          </w:p>
          <w:p w:rsidR="00E6674E" w:rsidRPr="00244FE1" w:rsidRDefault="00E6674E" w:rsidP="00317FC2">
            <w:pPr>
              <w:ind w:firstLine="305"/>
            </w:pPr>
            <w:r w:rsidRPr="00244FE1">
              <w:t>EWMFP Steering Committee</w:t>
            </w:r>
          </w:p>
          <w:p w:rsidR="00E6674E" w:rsidRPr="00244FE1" w:rsidRDefault="00E6674E" w:rsidP="00317FC2">
            <w:pPr>
              <w:ind w:firstLine="305"/>
            </w:pPr>
            <w:r w:rsidRPr="00244FE1">
              <w:t xml:space="preserve">Pike and </w:t>
            </w:r>
            <w:proofErr w:type="spellStart"/>
            <w:r w:rsidRPr="00244FE1">
              <w:t>Katfish</w:t>
            </w:r>
            <w:proofErr w:type="spellEnd"/>
            <w:r w:rsidRPr="00244FE1">
              <w:t xml:space="preserve"> EWMFP Steering Committee</w:t>
            </w:r>
          </w:p>
          <w:p w:rsidR="00E6674E" w:rsidRPr="00244FE1" w:rsidRDefault="00E6674E" w:rsidP="00317FC2">
            <w:pPr>
              <w:ind w:firstLine="305"/>
            </w:pPr>
            <w:r w:rsidRPr="00244FE1">
              <w:t>Environmental Water Delivery Reference Group</w:t>
            </w:r>
          </w:p>
          <w:p w:rsidR="00E6674E" w:rsidRPr="00244FE1" w:rsidRDefault="00E6674E" w:rsidP="00317FC2">
            <w:pPr>
              <w:ind w:firstLine="305"/>
            </w:pPr>
            <w:r w:rsidRPr="00244FE1">
              <w:t>Sustainable Diversion Limit Offset Working Group</w:t>
            </w:r>
          </w:p>
          <w:p w:rsidR="00E6674E" w:rsidRPr="00244FE1" w:rsidRDefault="00E6674E" w:rsidP="00317FC2">
            <w:pPr>
              <w:ind w:firstLine="305"/>
            </w:pPr>
            <w:r w:rsidRPr="00244FE1">
              <w:t xml:space="preserve">In addition, many departmental staff </w:t>
            </w:r>
            <w:proofErr w:type="gramStart"/>
            <w:r w:rsidRPr="00244FE1">
              <w:t>were</w:t>
            </w:r>
            <w:proofErr w:type="gramEnd"/>
            <w:r w:rsidRPr="00244FE1">
              <w:t xml:space="preserve"> involved in the Salinity Risk Assessment Expert Panel for the Pike and </w:t>
            </w:r>
            <w:proofErr w:type="spellStart"/>
            <w:r w:rsidRPr="00244FE1">
              <w:t>Katfish</w:t>
            </w:r>
            <w:proofErr w:type="spellEnd"/>
            <w:r w:rsidRPr="00244FE1">
              <w:t xml:space="preserve"> projects, as discussed in Volumes 2 and 3.</w:t>
            </w:r>
          </w:p>
        </w:tc>
      </w:tr>
      <w:tr w:rsidR="00E6674E" w:rsidRPr="00244FE1" w:rsidTr="00317FC2">
        <w:tc>
          <w:tcPr>
            <w:tcW w:w="1668" w:type="dxa"/>
            <w:vMerge w:val="restart"/>
          </w:tcPr>
          <w:p w:rsidR="00E6674E" w:rsidRPr="00244FE1" w:rsidRDefault="00E6674E" w:rsidP="00317FC2"/>
        </w:tc>
        <w:tc>
          <w:tcPr>
            <w:tcW w:w="3306" w:type="dxa"/>
            <w:shd w:val="clear" w:color="auto" w:fill="BFBFBF" w:themeFill="background1" w:themeFillShade="BF"/>
          </w:tcPr>
          <w:p w:rsidR="00E6674E" w:rsidRPr="00244FE1" w:rsidRDefault="00E6674E" w:rsidP="00317FC2"/>
        </w:tc>
        <w:tc>
          <w:tcPr>
            <w:tcW w:w="9485" w:type="dxa"/>
            <w:gridSpan w:val="3"/>
            <w:shd w:val="clear" w:color="auto" w:fill="BFBFBF" w:themeFill="background1" w:themeFillShade="BF"/>
          </w:tcPr>
          <w:p w:rsidR="00E6674E" w:rsidRPr="00244FE1" w:rsidRDefault="00E6674E" w:rsidP="00317FC2">
            <w:pPr>
              <w:spacing w:after="0"/>
              <w:rPr>
                <w:b/>
              </w:rPr>
            </w:pPr>
            <w:r w:rsidRPr="00244FE1">
              <w:rPr>
                <w:b/>
              </w:rPr>
              <w:t>Consultants</w:t>
            </w:r>
          </w:p>
          <w:p w:rsidR="00E6674E" w:rsidRPr="00244FE1" w:rsidRDefault="00E6674E" w:rsidP="00317FC2">
            <w:pPr>
              <w:spacing w:after="0"/>
              <w:ind w:left="305"/>
            </w:pPr>
            <w:r w:rsidRPr="00244FE1">
              <w:t>AECOM</w:t>
            </w:r>
          </w:p>
          <w:p w:rsidR="00E6674E" w:rsidRPr="00244FE1" w:rsidRDefault="00E6674E" w:rsidP="00317FC2">
            <w:pPr>
              <w:spacing w:after="0"/>
              <w:ind w:left="305"/>
            </w:pPr>
            <w:proofErr w:type="spellStart"/>
            <w:r w:rsidRPr="00244FE1">
              <w:t>Aquenta</w:t>
            </w:r>
            <w:proofErr w:type="spellEnd"/>
            <w:r w:rsidRPr="00244FE1">
              <w:t xml:space="preserve"> </w:t>
            </w:r>
          </w:p>
          <w:p w:rsidR="00E6674E" w:rsidRPr="00244FE1" w:rsidRDefault="00E6674E" w:rsidP="00317FC2">
            <w:pPr>
              <w:spacing w:after="0"/>
              <w:ind w:left="305"/>
            </w:pPr>
            <w:r w:rsidRPr="00244FE1">
              <w:t>Australian Water Environments</w:t>
            </w:r>
          </w:p>
          <w:p w:rsidR="00E6674E" w:rsidRPr="00244FE1" w:rsidRDefault="00E6674E" w:rsidP="00317FC2">
            <w:pPr>
              <w:spacing w:after="0"/>
              <w:ind w:left="305"/>
            </w:pPr>
            <w:r w:rsidRPr="00244FE1">
              <w:t>Catchment Management Consulting</w:t>
            </w:r>
          </w:p>
          <w:p w:rsidR="00E6674E" w:rsidRPr="00244FE1" w:rsidRDefault="00E6674E" w:rsidP="00317FC2">
            <w:pPr>
              <w:spacing w:after="0"/>
              <w:ind w:left="305"/>
            </w:pPr>
            <w:proofErr w:type="spellStart"/>
            <w:r w:rsidRPr="00244FE1">
              <w:t>Consilius</w:t>
            </w:r>
            <w:proofErr w:type="spellEnd"/>
          </w:p>
          <w:p w:rsidR="00E6674E" w:rsidRPr="00244FE1" w:rsidRDefault="00E6674E" w:rsidP="00317FC2">
            <w:pPr>
              <w:spacing w:after="0"/>
              <w:ind w:left="305"/>
            </w:pPr>
            <w:r w:rsidRPr="00244FE1">
              <w:t>MBH</w:t>
            </w:r>
          </w:p>
          <w:p w:rsidR="00E6674E" w:rsidRPr="00244FE1" w:rsidRDefault="00E6674E" w:rsidP="00317FC2">
            <w:pPr>
              <w:spacing w:after="0"/>
              <w:ind w:left="305"/>
            </w:pPr>
            <w:r w:rsidRPr="00244FE1">
              <w:t xml:space="preserve">SA Water Corporation </w:t>
            </w:r>
          </w:p>
          <w:p w:rsidR="00E6674E" w:rsidRPr="00244FE1" w:rsidRDefault="00E6674E" w:rsidP="00317FC2">
            <w:pPr>
              <w:spacing w:after="0"/>
              <w:ind w:left="305"/>
            </w:pPr>
            <w:r w:rsidRPr="00244FE1">
              <w:t>The University of Adelaide</w:t>
            </w:r>
          </w:p>
          <w:p w:rsidR="00E6674E" w:rsidRPr="00244FE1" w:rsidRDefault="00E6674E" w:rsidP="00317FC2">
            <w:pPr>
              <w:spacing w:after="0"/>
              <w:ind w:firstLine="305"/>
              <w:rPr>
                <w:b/>
              </w:rPr>
            </w:pPr>
            <w:r w:rsidRPr="00244FE1">
              <w:t>Water Technology</w:t>
            </w:r>
          </w:p>
        </w:tc>
      </w:tr>
      <w:tr w:rsidR="00E6674E" w:rsidRPr="00244FE1" w:rsidTr="00317FC2">
        <w:tc>
          <w:tcPr>
            <w:tcW w:w="1668" w:type="dxa"/>
            <w:vMerge/>
          </w:tcPr>
          <w:p w:rsidR="00E6674E" w:rsidRPr="00244FE1" w:rsidRDefault="00E6674E" w:rsidP="00317FC2"/>
        </w:tc>
        <w:tc>
          <w:tcPr>
            <w:tcW w:w="3306" w:type="dxa"/>
            <w:shd w:val="clear" w:color="auto" w:fill="A6A6A6" w:themeFill="background1" w:themeFillShade="A6"/>
          </w:tcPr>
          <w:p w:rsidR="00E6674E" w:rsidRPr="00244FE1" w:rsidRDefault="00E6674E" w:rsidP="00317FC2">
            <w:r w:rsidRPr="00244FE1">
              <w:t>Milestone 3:</w:t>
            </w:r>
          </w:p>
          <w:p w:rsidR="00E6674E" w:rsidRPr="00244FE1" w:rsidRDefault="00E6674E" w:rsidP="00317FC2">
            <w:r w:rsidRPr="00244FE1">
              <w:t xml:space="preserve">Completion of the State sub-projects: </w:t>
            </w:r>
          </w:p>
          <w:p w:rsidR="00E6674E" w:rsidRPr="00244FE1" w:rsidRDefault="00E6674E" w:rsidP="001C16B0">
            <w:pPr>
              <w:pStyle w:val="Listtable"/>
            </w:pPr>
            <w:r w:rsidRPr="00244FE1">
              <w:t xml:space="preserve">investigations completed as per the project management plans; </w:t>
            </w:r>
          </w:p>
          <w:p w:rsidR="00E6674E" w:rsidRPr="00244FE1" w:rsidRDefault="00E6674E" w:rsidP="001C16B0">
            <w:pPr>
              <w:pStyle w:val="Listtable"/>
            </w:pPr>
            <w:r w:rsidRPr="00244FE1">
              <w:t xml:space="preserve">information provided to assist determination of potential SDL offsets; and </w:t>
            </w:r>
          </w:p>
          <w:p w:rsidR="00E6674E" w:rsidRPr="00244FE1" w:rsidRDefault="00E6674E" w:rsidP="001C16B0">
            <w:pPr>
              <w:pStyle w:val="Listtable"/>
            </w:pPr>
            <w:r w:rsidRPr="00244FE1">
              <w:t>acceptance of final report</w:t>
            </w:r>
          </w:p>
        </w:tc>
        <w:tc>
          <w:tcPr>
            <w:tcW w:w="9485" w:type="dxa"/>
            <w:gridSpan w:val="3"/>
            <w:shd w:val="clear" w:color="auto" w:fill="A6A6A6" w:themeFill="background1" w:themeFillShade="A6"/>
          </w:tcPr>
          <w:p w:rsidR="00E6674E" w:rsidRPr="00244FE1" w:rsidRDefault="00E6674E" w:rsidP="00317FC2">
            <w:r w:rsidRPr="00244FE1">
              <w:t>These projects are discussed in Volumes 2-5 of this report</w:t>
            </w:r>
          </w:p>
        </w:tc>
      </w:tr>
    </w:tbl>
    <w:p w:rsidR="00E6674E" w:rsidRDefault="00E6674E" w:rsidP="00E6674E"/>
    <w:p w:rsidR="00E6674E" w:rsidRDefault="00E6674E" w:rsidP="00E6674E">
      <w:pPr>
        <w:spacing w:after="0"/>
      </w:pPr>
      <w:r>
        <w:br w:type="page"/>
      </w:r>
    </w:p>
    <w:p w:rsidR="00E6674E" w:rsidRDefault="00E6674E" w:rsidP="00E6674E">
      <w:pPr>
        <w:spacing w:after="0"/>
      </w:pPr>
      <w:r w:rsidRPr="00AB08AA">
        <w:rPr>
          <w:noProof/>
          <w:lang w:eastAsia="en-AU"/>
        </w:rPr>
        <w:drawing>
          <wp:inline distT="0" distB="0" distL="0" distR="0">
            <wp:extent cx="8071945" cy="5344511"/>
            <wp:effectExtent l="19050" t="0" r="5255"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64488" cy="6689388"/>
                      <a:chOff x="35496" y="51980"/>
                      <a:chExt cx="8964488" cy="6689388"/>
                    </a:xfrm>
                  </a:grpSpPr>
                  <a:grpSp>
                    <a:nvGrpSpPr>
                      <a:cNvPr id="42" name="Group 41"/>
                      <a:cNvGrpSpPr/>
                    </a:nvGrpSpPr>
                    <a:grpSpPr>
                      <a:xfrm>
                        <a:off x="35496" y="51980"/>
                        <a:ext cx="8964488" cy="6689388"/>
                        <a:chOff x="35496" y="51980"/>
                        <a:chExt cx="8964488" cy="6689388"/>
                      </a:xfrm>
                    </a:grpSpPr>
                    <a:sp>
                      <a:nvSpPr>
                        <a:cNvPr id="40" name="Oval 39"/>
                        <a:cNvSpPr/>
                      </a:nvSpPr>
                      <a:spPr>
                        <a:xfrm>
                          <a:off x="1835696" y="5157192"/>
                          <a:ext cx="1224136" cy="100811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ounded Rectangle 18"/>
                        <a:cNvSpPr/>
                      </a:nvSpPr>
                      <a:spPr>
                        <a:xfrm>
                          <a:off x="35496" y="2636912"/>
                          <a:ext cx="8964488" cy="2376264"/>
                        </a:xfrm>
                        <a:prstGeom prst="roundRect">
                          <a:avLst/>
                        </a:prstGeom>
                        <a:solidFill>
                          <a:schemeClr val="bg1">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18188" y="3140968"/>
                          <a:ext cx="3275856" cy="1224136"/>
                        </a:xfrm>
                        <a:prstGeom prst="rect">
                          <a:avLst/>
                        </a:prstGeom>
                        <a:solidFill>
                          <a:schemeClr val="accent1">
                            <a:alpha val="32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79512" y="3356992"/>
                          <a:ext cx="936104" cy="432048"/>
                        </a:xfrm>
                        <a:prstGeom prst="rect">
                          <a:avLst/>
                        </a:prstGeom>
                        <a:solidFill>
                          <a:schemeClr val="accent1">
                            <a:lumMod val="40000"/>
                            <a:lumOff val="6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Salinity Risk assessment</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1187624" y="3356992"/>
                          <a:ext cx="1032041" cy="432048"/>
                        </a:xfrm>
                        <a:prstGeom prst="rect">
                          <a:avLst/>
                        </a:prstGeom>
                        <a:solidFill>
                          <a:schemeClr val="accent1">
                            <a:lumMod val="40000"/>
                            <a:lumOff val="6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Ecological risk assessments</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2267744" y="3356992"/>
                          <a:ext cx="864095" cy="432048"/>
                        </a:xfrm>
                        <a:prstGeom prst="rect">
                          <a:avLst/>
                        </a:prstGeom>
                        <a:solidFill>
                          <a:schemeClr val="accent1">
                            <a:lumMod val="40000"/>
                            <a:lumOff val="6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Operational plan</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267744" y="3861048"/>
                          <a:ext cx="864096" cy="360040"/>
                        </a:xfrm>
                        <a:prstGeom prst="rect">
                          <a:avLst/>
                        </a:prstGeom>
                        <a:solidFill>
                          <a:schemeClr val="accent1">
                            <a:lumMod val="40000"/>
                            <a:lumOff val="6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Operations manual</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7668344" y="4509120"/>
                          <a:ext cx="936104" cy="432048"/>
                        </a:xfrm>
                        <a:prstGeom prst="rect">
                          <a:avLst/>
                        </a:prstGeom>
                        <a:solidFill>
                          <a:schemeClr val="accent6">
                            <a:lumMod val="60000"/>
                            <a:lumOff val="40000"/>
                          </a:schemeClr>
                        </a:solidFill>
                        <a:ln>
                          <a:solidFill>
                            <a:schemeClr val="accent6">
                              <a:lumMod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SDL assessment</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Oval 11"/>
                        <a:cNvSpPr/>
                      </a:nvSpPr>
                      <a:spPr>
                        <a:xfrm>
                          <a:off x="3707904" y="51980"/>
                          <a:ext cx="1152128" cy="936104"/>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EWMFP</a:t>
                            </a:r>
                          </a:p>
                          <a:p>
                            <a:pPr algn="ctr"/>
                            <a:r>
                              <a:rPr lang="en-AU" sz="1050" dirty="0" smtClean="0">
                                <a:solidFill>
                                  <a:schemeClr val="tx1"/>
                                </a:solidFill>
                              </a:rPr>
                              <a:t>Steering Committee</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3501116" y="3140968"/>
                          <a:ext cx="1584176" cy="1224136"/>
                        </a:xfrm>
                        <a:prstGeom prst="rect">
                          <a:avLst/>
                        </a:prstGeom>
                        <a:solidFill>
                          <a:schemeClr val="accent3">
                            <a:lumMod val="60000"/>
                            <a:lumOff val="40000"/>
                          </a:schemeClr>
                        </a:solidFill>
                        <a:ln>
                          <a:solidFill>
                            <a:schemeClr val="accent3">
                              <a:lumMod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3707904" y="3212976"/>
                          <a:ext cx="1080120" cy="504056"/>
                        </a:xfrm>
                        <a:prstGeom prst="rect">
                          <a:avLst/>
                        </a:prstGeom>
                        <a:solidFill>
                          <a:schemeClr val="accent3">
                            <a:lumMod val="60000"/>
                            <a:lumOff val="40000"/>
                          </a:schemeClr>
                        </a:solidFill>
                        <a:ln>
                          <a:solidFill>
                            <a:schemeClr val="accent3">
                              <a:lumMod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Strategic Location Assessment</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3707904" y="3789040"/>
                          <a:ext cx="1080120" cy="504056"/>
                        </a:xfrm>
                        <a:prstGeom prst="rect">
                          <a:avLst/>
                        </a:prstGeom>
                        <a:solidFill>
                          <a:schemeClr val="accent3">
                            <a:lumMod val="60000"/>
                            <a:lumOff val="40000"/>
                          </a:schemeClr>
                        </a:solidFill>
                        <a:ln>
                          <a:solidFill>
                            <a:schemeClr val="accent3">
                              <a:lumMod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Priority Placement Assessment</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5292080" y="3140968"/>
                          <a:ext cx="3275856" cy="1224136"/>
                        </a:xfrm>
                        <a:prstGeom prst="rect">
                          <a:avLst/>
                        </a:prstGeom>
                        <a:solidFill>
                          <a:schemeClr val="accent4">
                            <a:lumMod val="60000"/>
                            <a:lumOff val="40000"/>
                            <a:alpha val="32000"/>
                          </a:schemeClr>
                        </a:solidFill>
                        <a:ln>
                          <a:solidFill>
                            <a:schemeClr val="accent4">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5652120" y="3573016"/>
                          <a:ext cx="864095" cy="432048"/>
                        </a:xfrm>
                        <a:prstGeom prst="rect">
                          <a:avLst/>
                        </a:prstGeom>
                        <a:solidFill>
                          <a:schemeClr val="accent4">
                            <a:lumMod val="75000"/>
                            <a:alpha val="55000"/>
                          </a:schemeClr>
                        </a:solidFill>
                        <a:ln>
                          <a:solidFill>
                            <a:schemeClr val="accent4">
                              <a:lumMod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Risk Assessment</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7380312" y="3573016"/>
                          <a:ext cx="864095" cy="432048"/>
                        </a:xfrm>
                        <a:prstGeom prst="rect">
                          <a:avLst/>
                        </a:prstGeom>
                        <a:solidFill>
                          <a:schemeClr val="accent4">
                            <a:lumMod val="75000"/>
                            <a:alpha val="55000"/>
                          </a:schemeClr>
                        </a:solidFill>
                        <a:ln>
                          <a:solidFill>
                            <a:schemeClr val="accent4">
                              <a:lumMod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solidFill>
                              </a:rPr>
                              <a:t>Condition Assessment</a:t>
                            </a:r>
                            <a:endParaRPr lang="en-AU"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Oval 22"/>
                        <a:cNvSpPr/>
                      </a:nvSpPr>
                      <a:spPr>
                        <a:xfrm>
                          <a:off x="179512" y="5157192"/>
                          <a:ext cx="1224136" cy="100811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Salinity Assessment Expert Panel</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Oval 23"/>
                        <a:cNvSpPr/>
                      </a:nvSpPr>
                      <a:spPr>
                        <a:xfrm>
                          <a:off x="3707904" y="5085184"/>
                          <a:ext cx="1224136" cy="100811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MLR Low Flow Releases Steering Committee</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 name="Shape 25"/>
                        <a:cNvCxnSpPr>
                          <a:stCxn id="10" idx="2"/>
                        </a:cNvCxnSpPr>
                      </a:nvCxnSpPr>
                      <a:spPr>
                        <a:xfrm rot="16200000" flipH="1">
                          <a:off x="4555300" y="1565920"/>
                          <a:ext cx="360040" cy="5958408"/>
                        </a:xfrm>
                        <a:prstGeom prst="bentConnector2">
                          <a:avLst/>
                        </a:prstGeom>
                        <a:ln w="25400">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28" name="Shape 27"/>
                        <a:cNvCxnSpPr>
                          <a:stCxn id="13" idx="2"/>
                          <a:endCxn id="9" idx="1"/>
                        </a:cNvCxnSpPr>
                      </a:nvCxnSpPr>
                      <a:spPr>
                        <a:xfrm rot="16200000" flipH="1">
                          <a:off x="5800754" y="2857554"/>
                          <a:ext cx="360040" cy="3375140"/>
                        </a:xfrm>
                        <a:prstGeom prst="bentConnector2">
                          <a:avLst/>
                        </a:prstGeom>
                        <a:ln w="25400">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30" name="Shape 29"/>
                        <a:cNvCxnSpPr>
                          <a:stCxn id="17" idx="2"/>
                          <a:endCxn id="9" idx="1"/>
                        </a:cNvCxnSpPr>
                      </a:nvCxnSpPr>
                      <a:spPr>
                        <a:xfrm rot="16200000" flipH="1">
                          <a:off x="7119156" y="4175956"/>
                          <a:ext cx="360040" cy="738336"/>
                        </a:xfrm>
                        <a:prstGeom prst="bentConnector2">
                          <a:avLst/>
                        </a:prstGeom>
                        <a:ln w="25400">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32" name="Octagon 31"/>
                        <a:cNvSpPr/>
                      </a:nvSpPr>
                      <a:spPr>
                        <a:xfrm>
                          <a:off x="827584" y="6237312"/>
                          <a:ext cx="576064" cy="504056"/>
                        </a:xfrm>
                        <a:prstGeom prst="octagon">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lumMod val="95000"/>
                                    <a:lumOff val="5000"/>
                                  </a:schemeClr>
                                </a:solidFill>
                              </a:rPr>
                              <a:t>CMC</a:t>
                            </a:r>
                            <a:endParaRPr lang="en-AU" sz="1000" dirty="0">
                              <a:solidFill>
                                <a:schemeClr val="tx1">
                                  <a:lumMod val="95000"/>
                                  <a:lumOff val="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Octagon 32"/>
                        <a:cNvSpPr/>
                      </a:nvSpPr>
                      <a:spPr>
                        <a:xfrm>
                          <a:off x="107504" y="6237312"/>
                          <a:ext cx="648072" cy="504056"/>
                        </a:xfrm>
                        <a:prstGeom prst="octagon">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a:solidFill>
                                  <a:schemeClr val="tx1">
                                    <a:lumMod val="95000"/>
                                    <a:lumOff val="5000"/>
                                  </a:schemeClr>
                                </a:solidFill>
                              </a:rPr>
                              <a:t>AWE</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251520" y="1484784"/>
                          <a:ext cx="1224136" cy="100811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Pike &amp; </a:t>
                            </a:r>
                            <a:r>
                              <a:rPr lang="en-AU" sz="1050" dirty="0" err="1" smtClean="0">
                                <a:solidFill>
                                  <a:schemeClr val="tx1"/>
                                </a:solidFill>
                              </a:rPr>
                              <a:t>Katfish</a:t>
                            </a:r>
                            <a:r>
                              <a:rPr lang="en-AU" sz="1050" dirty="0" smtClean="0">
                                <a:solidFill>
                                  <a:schemeClr val="tx1"/>
                                </a:solidFill>
                              </a:rPr>
                              <a:t> EWMFP Steering Committee</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7666464" y="5661248"/>
                          <a:ext cx="936104" cy="936104"/>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SDL Offset Working Group</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ounded Rectangle 36"/>
                        <a:cNvSpPr/>
                      </a:nvSpPr>
                      <a:spPr>
                        <a:xfrm>
                          <a:off x="3635896" y="1340768"/>
                          <a:ext cx="1296144" cy="432048"/>
                        </a:xfrm>
                        <a:prstGeom prst="roundRect">
                          <a:avLst/>
                        </a:prstGeom>
                        <a:solidFill>
                          <a:schemeClr val="accent2">
                            <a:lumMod val="75000"/>
                            <a:alpha val="42000"/>
                          </a:schemeClr>
                        </a:solidFill>
                        <a:ln w="285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400" dirty="0" smtClean="0">
                                <a:solidFill>
                                  <a:schemeClr val="tx1">
                                    <a:lumMod val="95000"/>
                                    <a:lumOff val="5000"/>
                                  </a:schemeClr>
                                </a:solidFill>
                              </a:rPr>
                              <a:t>EWMFP Project Team</a:t>
                            </a:r>
                            <a:endParaRPr lang="en-AU" sz="1400" dirty="0">
                              <a:solidFill>
                                <a:schemeClr val="tx1">
                                  <a:lumMod val="95000"/>
                                  <a:lumOff val="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ctagon 37"/>
                        <a:cNvSpPr/>
                      </a:nvSpPr>
                      <a:spPr>
                        <a:xfrm>
                          <a:off x="3707904" y="6237312"/>
                          <a:ext cx="1224136" cy="504056"/>
                        </a:xfrm>
                        <a:prstGeom prst="octagon">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00" dirty="0" smtClean="0">
                                <a:solidFill>
                                  <a:schemeClr val="tx1">
                                    <a:lumMod val="95000"/>
                                    <a:lumOff val="5000"/>
                                  </a:schemeClr>
                                </a:solidFill>
                              </a:rPr>
                              <a:t>LFR Technical Advisory Panel</a:t>
                            </a:r>
                            <a:endParaRPr lang="en-AU" sz="1000" dirty="0">
                              <a:solidFill>
                                <a:schemeClr val="tx1">
                                  <a:lumMod val="95000"/>
                                  <a:lumOff val="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1475656" y="5157192"/>
                          <a:ext cx="1224136" cy="1008112"/>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Ecological Risk Assessment Technical Review Panels- RRP</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Elbow Connector 40"/>
                        <a:cNvCxnSpPr>
                          <a:stCxn id="37" idx="2"/>
                          <a:endCxn id="34" idx="6"/>
                        </a:cNvCxnSpPr>
                      </a:nvCxnSpPr>
                      <a:spPr>
                        <a:xfrm rot="5400000">
                          <a:off x="2771800" y="476672"/>
                          <a:ext cx="216024" cy="2808312"/>
                        </a:xfrm>
                        <a:prstGeom prst="bentConnector2">
                          <a:avLst/>
                        </a:prstGeom>
                        <a:ln w="222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4" name="Elbow Connector 40"/>
                        <a:cNvCxnSpPr>
                          <a:stCxn id="37" idx="2"/>
                          <a:endCxn id="10" idx="0"/>
                        </a:cNvCxnSpPr>
                      </a:nvCxnSpPr>
                      <a:spPr>
                        <a:xfrm rot="5400000">
                          <a:off x="2335966" y="1192966"/>
                          <a:ext cx="1368152" cy="2527852"/>
                        </a:xfrm>
                        <a:prstGeom prst="bentConnector3">
                          <a:avLst>
                            <a:gd name="adj1" fmla="val 50000"/>
                          </a:avLst>
                        </a:prstGeom>
                        <a:ln w="22225">
                          <a:solidFill>
                            <a:schemeClr val="tx1"/>
                          </a:solidFill>
                        </a:ln>
                      </a:spPr>
                      <a:style>
                        <a:lnRef idx="1">
                          <a:schemeClr val="accent1"/>
                        </a:lnRef>
                        <a:fillRef idx="0">
                          <a:schemeClr val="accent1"/>
                        </a:fillRef>
                        <a:effectRef idx="0">
                          <a:schemeClr val="accent1"/>
                        </a:effectRef>
                        <a:fontRef idx="minor">
                          <a:schemeClr val="tx1"/>
                        </a:fontRef>
                      </a:style>
                    </a:cxnSp>
                    <a:sp>
                      <a:nvSpPr>
                        <a:cNvPr id="51" name="Oval 50"/>
                        <a:cNvSpPr/>
                      </a:nvSpPr>
                      <a:spPr>
                        <a:xfrm>
                          <a:off x="7524328" y="1484784"/>
                          <a:ext cx="1224136" cy="1008112"/>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AU" sz="1050" dirty="0" smtClean="0">
                                <a:solidFill>
                                  <a:schemeClr val="tx1"/>
                                </a:solidFill>
                              </a:rPr>
                              <a:t>EWD Reference Group</a:t>
                            </a:r>
                            <a:endParaRPr lang="en-AU" sz="105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Elbow Connector 40"/>
                        <a:cNvCxnSpPr>
                          <a:stCxn id="37" idx="2"/>
                          <a:endCxn id="51" idx="2"/>
                        </a:cNvCxnSpPr>
                      </a:nvCxnSpPr>
                      <a:spPr>
                        <a:xfrm rot="16200000" flipH="1">
                          <a:off x="5796136" y="260648"/>
                          <a:ext cx="216024" cy="3240360"/>
                        </a:xfrm>
                        <a:prstGeom prst="bentConnector2">
                          <a:avLst/>
                        </a:prstGeom>
                        <a:ln w="222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3" name="Elbow Connector 40"/>
                        <a:cNvCxnSpPr>
                          <a:stCxn id="37" idx="2"/>
                          <a:endCxn id="13" idx="0"/>
                        </a:cNvCxnSpPr>
                      </a:nvCxnSpPr>
                      <a:spPr>
                        <a:xfrm rot="16200000" flipH="1">
                          <a:off x="3604510" y="2452274"/>
                          <a:ext cx="1368152" cy="9236"/>
                        </a:xfrm>
                        <a:prstGeom prst="bentConnector3">
                          <a:avLst>
                            <a:gd name="adj1" fmla="val 50000"/>
                          </a:avLst>
                        </a:prstGeom>
                        <a:ln w="222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4" name="Elbow Connector 40"/>
                        <a:cNvCxnSpPr/>
                      </a:nvCxnSpPr>
                      <a:spPr>
                        <a:xfrm rot="16200000" flipH="1">
                          <a:off x="4886908" y="1169876"/>
                          <a:ext cx="1368152" cy="2574032"/>
                        </a:xfrm>
                        <a:prstGeom prst="bentConnector3">
                          <a:avLst>
                            <a:gd name="adj1" fmla="val 50000"/>
                          </a:avLst>
                        </a:prstGeom>
                        <a:ln w="22225">
                          <a:solidFill>
                            <a:schemeClr val="tx1"/>
                          </a:solidFill>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3131840" y="2708920"/>
                          <a:ext cx="2376264" cy="369332"/>
                        </a:xfrm>
                        <a:prstGeom prst="rect">
                          <a:avLst/>
                        </a:prstGeom>
                        <a:solidFill>
                          <a:schemeClr val="bg1"/>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dirty="0" smtClean="0"/>
                              <a:t>OUTCOMES</a:t>
                            </a:r>
                            <a:endParaRPr lang="en-AU" dirty="0"/>
                          </a:p>
                        </a:txBody>
                        <a:useSpRect/>
                      </a:txSp>
                    </a:sp>
                    <a:cxnSp>
                      <a:nvCxnSpPr>
                        <a:cNvPr id="67" name="Straight Arrow Connector 66"/>
                        <a:cNvCxnSpPr>
                          <a:stCxn id="37" idx="0"/>
                          <a:endCxn id="12" idx="4"/>
                        </a:cNvCxnSpPr>
                      </a:nvCxnSpPr>
                      <a:spPr>
                        <a:xfrm flipV="1">
                          <a:off x="4283968" y="988084"/>
                          <a:ext cx="0" cy="352684"/>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9" name="Elbow Connector 68"/>
                        <a:cNvCxnSpPr>
                          <a:stCxn id="36" idx="0"/>
                          <a:endCxn id="9" idx="2"/>
                        </a:cNvCxnSpPr>
                      </a:nvCxnSpPr>
                      <a:spPr>
                        <a:xfrm rot="5400000" flipH="1" flipV="1">
                          <a:off x="7775416" y="5300268"/>
                          <a:ext cx="720080" cy="1880"/>
                        </a:xfrm>
                        <a:prstGeom prst="bentConnector3">
                          <a:avLst>
                            <a:gd name="adj1" fmla="val 50000"/>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948A8" w:rsidRDefault="008948A8" w:rsidP="00E6674E">
      <w:pPr>
        <w:spacing w:after="0"/>
      </w:pPr>
    </w:p>
    <w:p w:rsidR="008948A8" w:rsidRPr="00785EF8" w:rsidRDefault="008948A8" w:rsidP="008948A8">
      <w:pPr>
        <w:pStyle w:val="Caption"/>
      </w:pPr>
      <w:bookmarkStart w:id="11" w:name="_Ref341093966"/>
      <w:r w:rsidRPr="00785EF8">
        <w:t xml:space="preserve">Figure </w:t>
      </w:r>
      <w:fldSimple w:instr=" SEQ Figure \* ARABIC ">
        <w:r w:rsidR="00B401E5">
          <w:rPr>
            <w:noProof/>
          </w:rPr>
          <w:t>2</w:t>
        </w:r>
      </w:fldSimple>
      <w:bookmarkEnd w:id="11"/>
      <w:r w:rsidRPr="00785EF8">
        <w:t xml:space="preserve">: </w:t>
      </w:r>
      <w:r w:rsidRPr="00317FC2">
        <w:t>Overview</w:t>
      </w:r>
      <w:r w:rsidRPr="00785EF8">
        <w:t xml:space="preserve"> of EWMFP governance and deliverables</w:t>
      </w:r>
    </w:p>
    <w:p w:rsidR="008948A8" w:rsidRPr="008948A8" w:rsidRDefault="008948A8" w:rsidP="008948A8">
      <w:pPr>
        <w:rPr>
          <w:sz w:val="18"/>
          <w:szCs w:val="18"/>
        </w:rPr>
        <w:sectPr w:rsidR="008948A8" w:rsidRPr="008948A8" w:rsidSect="00743600">
          <w:pgSz w:w="16838" w:h="11906" w:orient="landscape"/>
          <w:pgMar w:top="851" w:right="1440" w:bottom="709" w:left="1440" w:header="708" w:footer="708" w:gutter="0"/>
          <w:cols w:space="708"/>
          <w:docGrid w:linePitch="360"/>
        </w:sectPr>
      </w:pPr>
      <w:r w:rsidRPr="008948A8">
        <w:rPr>
          <w:sz w:val="18"/>
          <w:szCs w:val="18"/>
        </w:rPr>
        <w:t>Note: AWE=Australian Water Environments; CMC=Catchment Management Consulting; RRP=</w:t>
      </w:r>
      <w:proofErr w:type="spellStart"/>
      <w:r w:rsidRPr="008948A8">
        <w:rPr>
          <w:sz w:val="18"/>
          <w:szCs w:val="18"/>
        </w:rPr>
        <w:t>Riverine</w:t>
      </w:r>
      <w:proofErr w:type="spellEnd"/>
      <w:r w:rsidRPr="008948A8">
        <w:rPr>
          <w:sz w:val="18"/>
          <w:szCs w:val="18"/>
        </w:rPr>
        <w:t xml:space="preserve"> Recovery Program; EWD=Environmental Water Delivery. </w:t>
      </w:r>
    </w:p>
    <w:p w:rsidR="00E6674E" w:rsidRDefault="00174882" w:rsidP="00E6674E">
      <w:pPr>
        <w:pStyle w:val="Heading1"/>
      </w:pPr>
      <w:bookmarkStart w:id="12" w:name="_Toc351120194"/>
      <w:r>
        <w:t>SUMMARY AND CONCLUSIONS</w:t>
      </w:r>
      <w:bookmarkEnd w:id="12"/>
    </w:p>
    <w:p w:rsidR="00E6674E" w:rsidRDefault="00E6674E" w:rsidP="00E6674E">
      <w:pPr>
        <w:pStyle w:val="BodyText"/>
      </w:pPr>
      <w:r w:rsidRPr="007D2EE4">
        <w:t>The EWMFP as a whole has been successfully executed. In addition to the achievement of the milestones outlined above, the project has established effective working groups and technical expertise to enable a smooth transition to the next phase (</w:t>
      </w:r>
      <w:r>
        <w:t xml:space="preserve">detailed design and </w:t>
      </w:r>
      <w:r w:rsidRPr="007D2EE4">
        <w:t>on ground works) in the event that the pro</w:t>
      </w:r>
      <w:r>
        <w:t>jects progress to the next phase</w:t>
      </w:r>
      <w:r w:rsidRPr="007D2EE4">
        <w:t xml:space="preserve"> and funding is secured.</w:t>
      </w:r>
    </w:p>
    <w:p w:rsidR="00E6674E" w:rsidRDefault="00174882" w:rsidP="00E6674E">
      <w:pPr>
        <w:pStyle w:val="Heading1"/>
      </w:pPr>
      <w:bookmarkStart w:id="13" w:name="_Toc351120195"/>
      <w:r>
        <w:t>REFERENCES</w:t>
      </w:r>
      <w:bookmarkEnd w:id="13"/>
    </w:p>
    <w:p w:rsidR="00E6674E" w:rsidRDefault="00E6674E" w:rsidP="001C16B0">
      <w:pPr>
        <w:spacing w:before="120" w:after="120"/>
        <w:ind w:left="720" w:hanging="720"/>
      </w:pPr>
      <w:r>
        <w:t>Department of Environment, Water and Natural Resources</w:t>
      </w:r>
      <w:r w:rsidR="001C16B0">
        <w:t xml:space="preserve"> (DEWNR)</w:t>
      </w:r>
      <w:r>
        <w:t xml:space="preserve"> 2012, </w:t>
      </w:r>
      <w:r w:rsidRPr="001C16B0">
        <w:rPr>
          <w:i/>
        </w:rPr>
        <w:t>2012-13 Annual Environmental Watering Plan for the SA River Murray</w:t>
      </w:r>
      <w:r>
        <w:t>, DEWNR, Adelaide</w:t>
      </w:r>
    </w:p>
    <w:p w:rsidR="00E6674E" w:rsidRDefault="00E6674E" w:rsidP="001C16B0">
      <w:pPr>
        <w:spacing w:before="120" w:after="120"/>
        <w:ind w:left="720" w:hanging="720"/>
      </w:pPr>
      <w:r>
        <w:t xml:space="preserve">Murray-Darling Basin Authority </w:t>
      </w:r>
      <w:r w:rsidR="001C16B0">
        <w:t xml:space="preserve">(MDBA) </w:t>
      </w:r>
      <w:r>
        <w:t xml:space="preserve">2012, </w:t>
      </w:r>
      <w:r w:rsidRPr="001C16B0">
        <w:rPr>
          <w:i/>
        </w:rPr>
        <w:t>Basin Plan</w:t>
      </w:r>
      <w:r>
        <w:t>, MDBA, Canberra</w:t>
      </w:r>
    </w:p>
    <w:p w:rsidR="00E6674E" w:rsidRPr="00E6674E" w:rsidRDefault="00E6674E" w:rsidP="00B75D0E"/>
    <w:sectPr w:rsidR="00E6674E" w:rsidRPr="00E6674E" w:rsidSect="00E6674E">
      <w:pgSz w:w="11906" w:h="16838"/>
      <w:pgMar w:top="1440" w:right="1135"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1F" w:rsidRDefault="00EC0E1F" w:rsidP="006758DA">
      <w:pPr>
        <w:spacing w:after="0" w:line="240" w:lineRule="auto"/>
      </w:pPr>
      <w:r>
        <w:separator/>
      </w:r>
    </w:p>
  </w:endnote>
  <w:endnote w:type="continuationSeparator" w:id="0">
    <w:p w:rsidR="00EC0E1F" w:rsidRDefault="00EC0E1F" w:rsidP="00675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1F" w:rsidRDefault="00EC0E1F" w:rsidP="00E95FB5">
    <w:pPr>
      <w:pStyle w:val="FootnoteText"/>
      <w:pBdr>
        <w:top w:val="single" w:sz="8" w:space="1" w:color="auto"/>
      </w:pBdr>
    </w:pPr>
    <w:r>
      <w:t>Environmental Works and Measures Feasibility Program Final Report</w:t>
    </w:r>
  </w:p>
  <w:p w:rsidR="00EC0E1F" w:rsidRDefault="00EC0E1F" w:rsidP="00E95FB5">
    <w:pPr>
      <w:pStyle w:val="FootnoteText"/>
      <w:pBdr>
        <w:top w:val="single" w:sz="8" w:space="1" w:color="auto"/>
      </w:pBdr>
    </w:pPr>
    <w:r>
      <w:t>Volume 1: Delivery of the State Sub-Projects</w:t>
    </w:r>
    <w:r>
      <w:tab/>
    </w:r>
    <w:r>
      <w:ptab w:relativeTo="margin" w:alignment="right" w:leader="none"/>
    </w:r>
    <w:r w:rsidRPr="00BE57E0">
      <w:t xml:space="preserve"> </w:t>
    </w:r>
    <w:r>
      <w:t xml:space="preserve">Page | </w:t>
    </w:r>
    <w:fldSimple w:instr=" PAGE   \* MERGEFORMAT ">
      <w:r w:rsidR="0018038E">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1F" w:rsidRDefault="00EC0E1F" w:rsidP="006758DA">
      <w:pPr>
        <w:spacing w:after="0" w:line="240" w:lineRule="auto"/>
      </w:pPr>
      <w:r>
        <w:separator/>
      </w:r>
    </w:p>
  </w:footnote>
  <w:footnote w:type="continuationSeparator" w:id="0">
    <w:p w:rsidR="00EC0E1F" w:rsidRDefault="00EC0E1F" w:rsidP="006758DA">
      <w:pPr>
        <w:spacing w:after="0" w:line="240" w:lineRule="auto"/>
      </w:pPr>
      <w:r>
        <w:continuationSeparator/>
      </w:r>
    </w:p>
  </w:footnote>
  <w:footnote w:id="1">
    <w:p w:rsidR="00EC0E1F" w:rsidRDefault="00EC0E1F" w:rsidP="006758DA">
      <w:pPr>
        <w:pStyle w:val="FootnoteText"/>
      </w:pPr>
      <w:r>
        <w:rPr>
          <w:rStyle w:val="FootnoteReference"/>
        </w:rPr>
        <w:footnoteRef/>
      </w:r>
      <w:r>
        <w:t xml:space="preserve"> Murray-Darling Basin Authority (May 2012), </w:t>
      </w:r>
      <w:r w:rsidRPr="0046773B">
        <w:t>Proposed Basin Plan</w:t>
      </w:r>
      <w:r>
        <w:t>—Revised Draft: pp 22.</w:t>
      </w:r>
    </w:p>
  </w:footnote>
  <w:footnote w:id="2">
    <w:p w:rsidR="00EC0E1F" w:rsidRDefault="00EC0E1F" w:rsidP="00E6674E">
      <w:pPr>
        <w:pStyle w:val="FootnoteText"/>
      </w:pPr>
      <w:r>
        <w:rPr>
          <w:rStyle w:val="FootnoteReference"/>
        </w:rPr>
        <w:footnoteRef/>
      </w:r>
      <w:r>
        <w:t xml:space="preserve"> On 1 July the Department for Water (DFW) merged with the Department of Environment and Natural Resources (DENR) to form the Department of Environment, Water and Natural Resources (DEWNR). To avoid confusion, the new department name (DEWNR) is used throughout this report except in the reference list where reports were specifically prepared for a previous department.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F748B"/>
    <w:multiLevelType w:val="hybridMultilevel"/>
    <w:tmpl w:val="C61A7BA8"/>
    <w:lvl w:ilvl="0" w:tplc="4C1C4AEE">
      <w:start w:val="1"/>
      <w:numFmt w:val="bullet"/>
      <w:pStyle w:val="ListParagraph"/>
      <w:lvlText w:val=""/>
      <w:lvlJc w:val="left"/>
      <w:pPr>
        <w:ind w:left="360" w:hanging="360"/>
      </w:pPr>
      <w:rPr>
        <w:rFonts w:ascii="Symbol" w:hAnsi="Symbol" w:hint="default"/>
      </w:rPr>
    </w:lvl>
    <w:lvl w:ilvl="1" w:tplc="6B0AEB24">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1EA695C"/>
    <w:multiLevelType w:val="hybridMultilevel"/>
    <w:tmpl w:val="EAF8E0FC"/>
    <w:lvl w:ilvl="0" w:tplc="CAB2BF36">
      <w:start w:val="1"/>
      <w:numFmt w:val="bullet"/>
      <w:pStyle w:val="Listtable"/>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AC6170"/>
    <w:multiLevelType w:val="hybridMultilevel"/>
    <w:tmpl w:val="A24A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763ABD"/>
    <w:rsid w:val="00057A9C"/>
    <w:rsid w:val="000D17E9"/>
    <w:rsid w:val="000D3113"/>
    <w:rsid w:val="00161530"/>
    <w:rsid w:val="00174882"/>
    <w:rsid w:val="0018038E"/>
    <w:rsid w:val="001924FA"/>
    <w:rsid w:val="00193D42"/>
    <w:rsid w:val="001C16B0"/>
    <w:rsid w:val="001C3C9D"/>
    <w:rsid w:val="001E1FF8"/>
    <w:rsid w:val="0021494B"/>
    <w:rsid w:val="00244FE1"/>
    <w:rsid w:val="00284BC7"/>
    <w:rsid w:val="00317FC2"/>
    <w:rsid w:val="003F5AAA"/>
    <w:rsid w:val="00517149"/>
    <w:rsid w:val="006758DA"/>
    <w:rsid w:val="00715554"/>
    <w:rsid w:val="007270F4"/>
    <w:rsid w:val="00743600"/>
    <w:rsid w:val="00763ABD"/>
    <w:rsid w:val="0077478C"/>
    <w:rsid w:val="00791398"/>
    <w:rsid w:val="008948A8"/>
    <w:rsid w:val="009240F4"/>
    <w:rsid w:val="00975405"/>
    <w:rsid w:val="00996711"/>
    <w:rsid w:val="00AD4B8C"/>
    <w:rsid w:val="00B21F0D"/>
    <w:rsid w:val="00B401E5"/>
    <w:rsid w:val="00B75D0E"/>
    <w:rsid w:val="00BE57E0"/>
    <w:rsid w:val="00C86D0F"/>
    <w:rsid w:val="00CF4046"/>
    <w:rsid w:val="00D35FF6"/>
    <w:rsid w:val="00DD2957"/>
    <w:rsid w:val="00E6674E"/>
    <w:rsid w:val="00E95FB5"/>
    <w:rsid w:val="00EC0E1F"/>
    <w:rsid w:val="00ED6488"/>
    <w:rsid w:val="00EE7400"/>
    <w:rsid w:val="00F725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E1"/>
  </w:style>
  <w:style w:type="paragraph" w:styleId="Heading1">
    <w:name w:val="heading 1"/>
    <w:basedOn w:val="Normal"/>
    <w:next w:val="BodyText"/>
    <w:link w:val="Heading1Char"/>
    <w:uiPriority w:val="9"/>
    <w:qFormat/>
    <w:rsid w:val="00E95FB5"/>
    <w:pPr>
      <w:keepNext/>
      <w:keepLines/>
      <w:spacing w:before="480" w:after="24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E95FB5"/>
    <w:pPr>
      <w:keepNext/>
      <w:keepLines/>
      <w:spacing w:before="360" w:after="24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FB5"/>
    <w:rPr>
      <w:rFonts w:asciiTheme="majorHAnsi" w:eastAsiaTheme="majorEastAsia" w:hAnsiTheme="majorHAnsi" w:cstheme="majorBidi"/>
      <w:b/>
      <w:bCs/>
      <w:sz w:val="32"/>
      <w:szCs w:val="28"/>
    </w:rPr>
  </w:style>
  <w:style w:type="paragraph" w:styleId="Quote">
    <w:name w:val="Quote"/>
    <w:basedOn w:val="Normal"/>
    <w:next w:val="BodyText"/>
    <w:link w:val="QuoteChar"/>
    <w:uiPriority w:val="29"/>
    <w:qFormat/>
    <w:rsid w:val="006758DA"/>
    <w:pPr>
      <w:suppressAutoHyphens/>
      <w:spacing w:after="120" w:line="240" w:lineRule="auto"/>
      <w:ind w:left="170" w:right="170"/>
    </w:pPr>
    <w:rPr>
      <w:rFonts w:ascii="Calibri" w:eastAsia="Calibri" w:hAnsi="Calibri" w:cs="Calibri"/>
      <w:i/>
      <w:iCs/>
      <w:color w:val="000000"/>
      <w:lang w:eastAsia="ar-SA"/>
    </w:rPr>
  </w:style>
  <w:style w:type="paragraph" w:styleId="BodyText">
    <w:name w:val="Body Text"/>
    <w:basedOn w:val="Normal"/>
    <w:link w:val="BodyTextChar"/>
    <w:uiPriority w:val="99"/>
    <w:unhideWhenUsed/>
    <w:rsid w:val="00B75D0E"/>
    <w:pPr>
      <w:spacing w:after="240"/>
      <w:jc w:val="both"/>
    </w:pPr>
    <w:rPr>
      <w:sz w:val="24"/>
      <w:szCs w:val="24"/>
    </w:rPr>
  </w:style>
  <w:style w:type="character" w:customStyle="1" w:styleId="BodyTextChar">
    <w:name w:val="Body Text Char"/>
    <w:basedOn w:val="DefaultParagraphFont"/>
    <w:link w:val="BodyText"/>
    <w:uiPriority w:val="99"/>
    <w:rsid w:val="00B75D0E"/>
    <w:rPr>
      <w:sz w:val="24"/>
      <w:szCs w:val="24"/>
    </w:rPr>
  </w:style>
  <w:style w:type="character" w:customStyle="1" w:styleId="QuoteChar">
    <w:name w:val="Quote Char"/>
    <w:basedOn w:val="DefaultParagraphFont"/>
    <w:link w:val="Quote"/>
    <w:uiPriority w:val="29"/>
    <w:rsid w:val="006758DA"/>
    <w:rPr>
      <w:rFonts w:ascii="Calibri" w:eastAsia="Calibri" w:hAnsi="Calibri" w:cs="Calibri"/>
      <w:i/>
      <w:iCs/>
      <w:color w:val="000000"/>
      <w:lang w:eastAsia="ar-SA"/>
    </w:rPr>
  </w:style>
  <w:style w:type="paragraph" w:styleId="FootnoteText">
    <w:name w:val="footnote text"/>
    <w:basedOn w:val="Normal"/>
    <w:link w:val="FootnoteTextChar"/>
    <w:unhideWhenUsed/>
    <w:rsid w:val="006758DA"/>
    <w:pPr>
      <w:suppressAutoHyphens/>
      <w:spacing w:after="0" w:line="240" w:lineRule="auto"/>
    </w:pPr>
    <w:rPr>
      <w:rFonts w:ascii="Calibri" w:eastAsia="Calibri" w:hAnsi="Calibri" w:cs="Calibri"/>
      <w:sz w:val="20"/>
      <w:szCs w:val="20"/>
      <w:lang w:eastAsia="ar-SA"/>
    </w:rPr>
  </w:style>
  <w:style w:type="character" w:customStyle="1" w:styleId="FootnoteTextChar">
    <w:name w:val="Footnote Text Char"/>
    <w:basedOn w:val="DefaultParagraphFont"/>
    <w:link w:val="FootnoteText"/>
    <w:rsid w:val="006758DA"/>
    <w:rPr>
      <w:rFonts w:ascii="Calibri" w:eastAsia="Calibri" w:hAnsi="Calibri" w:cs="Calibri"/>
      <w:sz w:val="20"/>
      <w:szCs w:val="20"/>
      <w:lang w:eastAsia="ar-SA"/>
    </w:rPr>
  </w:style>
  <w:style w:type="character" w:styleId="FootnoteReference">
    <w:name w:val="footnote reference"/>
    <w:basedOn w:val="DefaultParagraphFont"/>
    <w:unhideWhenUsed/>
    <w:rsid w:val="006758DA"/>
    <w:rPr>
      <w:vertAlign w:val="superscript"/>
    </w:rPr>
  </w:style>
  <w:style w:type="paragraph" w:styleId="ListParagraph">
    <w:name w:val="List Paragraph"/>
    <w:basedOn w:val="Normal"/>
    <w:uiPriority w:val="34"/>
    <w:qFormat/>
    <w:rsid w:val="008948A8"/>
    <w:pPr>
      <w:numPr>
        <w:numId w:val="1"/>
      </w:numPr>
      <w:spacing w:before="120" w:after="120" w:line="240" w:lineRule="auto"/>
      <w:ind w:left="357" w:hanging="357"/>
    </w:pPr>
    <w:rPr>
      <w:rFonts w:ascii="Calibri" w:eastAsia="Calibri" w:hAnsi="Calibri" w:cs="Times New Roman"/>
      <w:sz w:val="24"/>
    </w:rPr>
  </w:style>
  <w:style w:type="paragraph" w:styleId="BalloonText">
    <w:name w:val="Balloon Text"/>
    <w:basedOn w:val="Normal"/>
    <w:link w:val="BalloonTextChar"/>
    <w:uiPriority w:val="99"/>
    <w:semiHidden/>
    <w:unhideWhenUsed/>
    <w:rsid w:val="001E1FF8"/>
    <w:pPr>
      <w:spacing w:before="120" w:after="0" w:line="240" w:lineRule="auto"/>
    </w:pPr>
    <w:rPr>
      <w:rFonts w:ascii="Tahoma" w:eastAsia="Calibri" w:hAnsi="Tahoma" w:cs="Tahoma"/>
      <w:color w:val="505050"/>
      <w:sz w:val="16"/>
      <w:szCs w:val="16"/>
    </w:rPr>
  </w:style>
  <w:style w:type="character" w:customStyle="1" w:styleId="BalloonTextChar">
    <w:name w:val="Balloon Text Char"/>
    <w:basedOn w:val="DefaultParagraphFont"/>
    <w:link w:val="BalloonText"/>
    <w:uiPriority w:val="99"/>
    <w:semiHidden/>
    <w:rsid w:val="001E1FF8"/>
    <w:rPr>
      <w:rFonts w:ascii="Tahoma" w:eastAsia="Calibri" w:hAnsi="Tahoma" w:cs="Tahoma"/>
      <w:color w:val="505050"/>
      <w:sz w:val="16"/>
      <w:szCs w:val="16"/>
    </w:rPr>
  </w:style>
  <w:style w:type="character" w:customStyle="1" w:styleId="Heading2Char">
    <w:name w:val="Heading 2 Char"/>
    <w:basedOn w:val="DefaultParagraphFont"/>
    <w:link w:val="Heading2"/>
    <w:uiPriority w:val="9"/>
    <w:rsid w:val="00E95FB5"/>
    <w:rPr>
      <w:rFonts w:asciiTheme="majorHAnsi" w:eastAsiaTheme="majorEastAsia" w:hAnsiTheme="majorHAnsi" w:cstheme="majorBidi"/>
      <w:b/>
      <w:bCs/>
      <w:sz w:val="26"/>
      <w:szCs w:val="26"/>
    </w:rPr>
  </w:style>
  <w:style w:type="paragraph" w:styleId="Caption">
    <w:name w:val="caption"/>
    <w:basedOn w:val="Normal"/>
    <w:next w:val="BodyText"/>
    <w:uiPriority w:val="35"/>
    <w:unhideWhenUsed/>
    <w:qFormat/>
    <w:rsid w:val="00E95FB5"/>
    <w:pPr>
      <w:spacing w:line="240" w:lineRule="auto"/>
    </w:pPr>
    <w:rPr>
      <w:rFonts w:ascii="Calibri" w:eastAsia="Calibri" w:hAnsi="Calibri" w:cs="Times New Roman"/>
      <w:b/>
      <w:bCs/>
      <w:szCs w:val="24"/>
    </w:rPr>
  </w:style>
  <w:style w:type="table" w:styleId="TableGrid">
    <w:name w:val="Table Grid"/>
    <w:basedOn w:val="TableNormal"/>
    <w:uiPriority w:val="59"/>
    <w:rsid w:val="00E6674E"/>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E6674E"/>
    <w:pPr>
      <w:outlineLvl w:val="9"/>
    </w:pPr>
    <w:rPr>
      <w:sz w:val="28"/>
      <w:lang w:val="en-US"/>
    </w:rPr>
  </w:style>
  <w:style w:type="paragraph" w:styleId="TOC1">
    <w:name w:val="toc 1"/>
    <w:basedOn w:val="Normal"/>
    <w:next w:val="Normal"/>
    <w:autoRedefine/>
    <w:uiPriority w:val="39"/>
    <w:unhideWhenUsed/>
    <w:rsid w:val="00E6674E"/>
    <w:pPr>
      <w:spacing w:after="100"/>
    </w:pPr>
  </w:style>
  <w:style w:type="character" w:styleId="Hyperlink">
    <w:name w:val="Hyperlink"/>
    <w:basedOn w:val="DefaultParagraphFont"/>
    <w:uiPriority w:val="99"/>
    <w:unhideWhenUsed/>
    <w:rsid w:val="00E6674E"/>
    <w:rPr>
      <w:color w:val="0000FF" w:themeColor="hyperlink"/>
      <w:u w:val="single"/>
    </w:rPr>
  </w:style>
  <w:style w:type="paragraph" w:customStyle="1" w:styleId="Listtable">
    <w:name w:val="List table"/>
    <w:basedOn w:val="ListParagraph"/>
    <w:qFormat/>
    <w:rsid w:val="00244FE1"/>
    <w:pPr>
      <w:numPr>
        <w:numId w:val="3"/>
      </w:numPr>
    </w:pPr>
    <w:rPr>
      <w:sz w:val="22"/>
    </w:rPr>
  </w:style>
  <w:style w:type="paragraph" w:styleId="Header">
    <w:name w:val="header"/>
    <w:basedOn w:val="Normal"/>
    <w:link w:val="HeaderChar"/>
    <w:uiPriority w:val="99"/>
    <w:semiHidden/>
    <w:unhideWhenUsed/>
    <w:rsid w:val="00B75D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5D0E"/>
  </w:style>
  <w:style w:type="paragraph" w:styleId="Footer">
    <w:name w:val="footer"/>
    <w:basedOn w:val="Normal"/>
    <w:link w:val="FooterChar"/>
    <w:uiPriority w:val="99"/>
    <w:semiHidden/>
    <w:unhideWhenUsed/>
    <w:rsid w:val="00B75D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5D0E"/>
  </w:style>
  <w:style w:type="paragraph" w:styleId="TOC2">
    <w:name w:val="toc 2"/>
    <w:basedOn w:val="Normal"/>
    <w:next w:val="Normal"/>
    <w:autoRedefine/>
    <w:uiPriority w:val="39"/>
    <w:unhideWhenUsed/>
    <w:rsid w:val="00244FE1"/>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AB29445-DF84-406B-AA65-0744D78E1FDC}"/>
</file>

<file path=customXml/itemProps2.xml><?xml version="1.0" encoding="utf-8"?>
<ds:datastoreItem xmlns:ds="http://schemas.openxmlformats.org/officeDocument/2006/customXml" ds:itemID="{3B34200D-F2F1-48C6-9416-5A953A6F04EE}"/>
</file>

<file path=customXml/itemProps3.xml><?xml version="1.0" encoding="utf-8"?>
<ds:datastoreItem xmlns:ds="http://schemas.openxmlformats.org/officeDocument/2006/customXml" ds:itemID="{5A629B84-66D4-4ADC-84D2-D471E7352BF3}"/>
</file>

<file path=docProps/app.xml><?xml version="1.0" encoding="utf-8"?>
<Properties xmlns="http://schemas.openxmlformats.org/officeDocument/2006/extended-properties" xmlns:vt="http://schemas.openxmlformats.org/officeDocument/2006/docPropsVTypes">
  <Template>Normal</Template>
  <TotalTime>0</TotalTime>
  <Pages>14</Pages>
  <Words>2588</Words>
  <Characters>14754</Characters>
  <Application>Microsoft Office Word</Application>
  <DocSecurity>0</DocSecurity>
  <Lines>122</Lines>
  <Paragraphs>34</Paragraphs>
  <ScaleCrop>false</ScaleCrop>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Australian Murray-Darling Basin Environmental Works and Measures Feasibility Program - State sub-projects: Final report</dc:title>
  <dc:creator/>
  <cp:lastModifiedBy/>
  <cp:revision>1</cp:revision>
  <dcterms:created xsi:type="dcterms:W3CDTF">2013-12-03T02:42:00Z</dcterms:created>
  <dcterms:modified xsi:type="dcterms:W3CDTF">2013-12-03T02:42:00Z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