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CF8" w:rsidRPr="00AD45E5" w:rsidRDefault="008C7CF8" w:rsidP="008C7CF8">
      <w:pPr>
        <w:rPr>
          <w:rFonts w:ascii="Arial" w:hAnsi="Arial" w:cs="Arial"/>
        </w:rPr>
      </w:pPr>
      <w:bookmarkStart w:id="0" w:name="_Toc415508835"/>
      <w:bookmarkStart w:id="1" w:name="_GoBack"/>
      <w:bookmarkEnd w:id="1"/>
      <w:r w:rsidRPr="00AD45E5">
        <w:rPr>
          <w:rFonts w:ascii="Arial" w:hAnsi="Arial" w:cs="Arial"/>
          <w:noProof/>
        </w:rPr>
        <w:drawing>
          <wp:inline distT="0" distB="0" distL="0" distR="0" wp14:anchorId="01CF32EE" wp14:editId="04E18CA9">
            <wp:extent cx="3419475" cy="1057275"/>
            <wp:effectExtent l="0" t="0" r="9525" b="9525"/>
            <wp:docPr id="1" name="Picture 1" descr="ACCC-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C-logo-B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1057275"/>
                    </a:xfrm>
                    <a:prstGeom prst="rect">
                      <a:avLst/>
                    </a:prstGeom>
                    <a:noFill/>
                    <a:ln>
                      <a:noFill/>
                    </a:ln>
                  </pic:spPr>
                </pic:pic>
              </a:graphicData>
            </a:graphic>
          </wp:inline>
        </w:drawing>
      </w:r>
      <w:bookmarkEnd w:id="0"/>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AD45E5" w:rsidRDefault="008C7CF8" w:rsidP="008C7CF8">
      <w:pPr>
        <w:rPr>
          <w:rFonts w:ascii="Arial" w:hAnsi="Arial" w:cs="Arial"/>
        </w:rPr>
      </w:pPr>
    </w:p>
    <w:p w:rsidR="008C7CF8" w:rsidRPr="00CF0A6C" w:rsidRDefault="008C7CF8" w:rsidP="008C7CF8">
      <w:pPr>
        <w:pStyle w:val="Title"/>
        <w:jc w:val="center"/>
      </w:pPr>
      <w:bookmarkStart w:id="2" w:name="_Toc415559650"/>
      <w:bookmarkStart w:id="3" w:name="_Toc417285674"/>
      <w:bookmarkStart w:id="4" w:name="_Toc417465056"/>
      <w:bookmarkStart w:id="5" w:name="_Toc417465263"/>
      <w:bookmarkStart w:id="6" w:name="_Toc417469424"/>
      <w:bookmarkStart w:id="7" w:name="_Toc417482192"/>
      <w:bookmarkStart w:id="8" w:name="_Toc418500436"/>
      <w:r w:rsidRPr="00CF0A6C">
        <w:t xml:space="preserve">Review of </w:t>
      </w:r>
      <w:r w:rsidR="004D72CA">
        <w:t xml:space="preserve">the </w:t>
      </w:r>
      <w:r w:rsidRPr="00CF0A6C">
        <w:t>Water Charge Rules</w:t>
      </w:r>
      <w:bookmarkEnd w:id="2"/>
      <w:bookmarkEnd w:id="3"/>
      <w:bookmarkEnd w:id="4"/>
      <w:bookmarkEnd w:id="5"/>
      <w:bookmarkEnd w:id="6"/>
      <w:bookmarkEnd w:id="7"/>
      <w:bookmarkEnd w:id="8"/>
    </w:p>
    <w:p w:rsidR="008C7CF8" w:rsidRPr="00CF0A6C" w:rsidRDefault="00D34726" w:rsidP="008C7CF8">
      <w:pPr>
        <w:pStyle w:val="Title"/>
        <w:jc w:val="center"/>
      </w:pPr>
      <w:r>
        <w:t xml:space="preserve">Final </w:t>
      </w:r>
      <w:r w:rsidR="008C7CF8">
        <w:t>Advice</w:t>
      </w:r>
    </w:p>
    <w:p w:rsidR="008C7CF8" w:rsidRPr="00712728" w:rsidRDefault="00EC7CE2" w:rsidP="008C7CF8">
      <w:pPr>
        <w:jc w:val="center"/>
        <w:rPr>
          <w:rFonts w:ascii="Arial" w:hAnsi="Arial" w:cs="Arial"/>
        </w:rPr>
      </w:pPr>
      <w:r>
        <w:rPr>
          <w:rFonts w:ascii="Arial" w:hAnsi="Arial" w:cs="Arial"/>
        </w:rPr>
        <w:t>September</w:t>
      </w:r>
      <w:r w:rsidR="0077784F">
        <w:rPr>
          <w:rFonts w:ascii="Arial" w:hAnsi="Arial" w:cs="Arial"/>
        </w:rPr>
        <w:t xml:space="preserve"> </w:t>
      </w:r>
      <w:r w:rsidR="00216E7A">
        <w:rPr>
          <w:rFonts w:ascii="Arial" w:hAnsi="Arial" w:cs="Arial"/>
        </w:rPr>
        <w:t>2016</w:t>
      </w:r>
    </w:p>
    <w:p w:rsidR="008C7CF8" w:rsidRPr="00712728" w:rsidRDefault="008C7CF8" w:rsidP="008C7CF8">
      <w:pPr>
        <w:rPr>
          <w:rFonts w:ascii="Arial" w:hAnsi="Arial" w:cs="Arial"/>
        </w:rPr>
      </w:pPr>
    </w:p>
    <w:p w:rsidR="008C7CF8" w:rsidRPr="00712728" w:rsidRDefault="008C7CF8" w:rsidP="008C7CF8">
      <w:pPr>
        <w:rPr>
          <w:rFonts w:ascii="Arial" w:hAnsi="Arial" w:cs="Arial"/>
        </w:rPr>
      </w:pPr>
      <w:bookmarkStart w:id="9" w:name="OLE_LINK3"/>
    </w:p>
    <w:p w:rsidR="008C7CF8" w:rsidRPr="00AD45E5" w:rsidRDefault="008C7CF8" w:rsidP="008C7CF8">
      <w:pPr>
        <w:rPr>
          <w:rFonts w:ascii="Arial" w:hAnsi="Arial" w:cs="Arial"/>
          <w:b/>
        </w:rPr>
        <w:sectPr w:rsidR="008C7CF8" w:rsidRPr="00AD45E5" w:rsidSect="004E219A">
          <w:headerReference w:type="default" r:id="rId12"/>
          <w:pgSz w:w="11907" w:h="16839" w:code="9"/>
          <w:pgMar w:top="1440" w:right="1440" w:bottom="1440" w:left="1440" w:header="720" w:footer="1009" w:gutter="0"/>
          <w:pgNumType w:start="1"/>
          <w:cols w:space="720"/>
          <w:docGrid w:linePitch="326"/>
        </w:sectPr>
      </w:pPr>
    </w:p>
    <w:bookmarkEnd w:id="9"/>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sz w:val="30"/>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Default="008C7CF8" w:rsidP="008C7CF8">
      <w:pPr>
        <w:rPr>
          <w:rFonts w:ascii="Arial" w:hAnsi="Arial" w:cs="Arial"/>
        </w:rPr>
      </w:pPr>
    </w:p>
    <w:p w:rsidR="008C7CF8" w:rsidRPr="00AD45E5" w:rsidRDefault="008C7CF8" w:rsidP="008C7CF8">
      <w:pPr>
        <w:rPr>
          <w:rFonts w:ascii="Arial" w:hAnsi="Arial" w:cs="Arial"/>
        </w:rPr>
      </w:pPr>
      <w:r w:rsidRPr="00AD45E5">
        <w:rPr>
          <w:rFonts w:ascii="Arial" w:hAnsi="Arial" w:cs="Arial"/>
        </w:rPr>
        <w:t>Australian Competition and Consumer Commission</w:t>
      </w:r>
      <w:r w:rsidRPr="00AD45E5">
        <w:rPr>
          <w:rFonts w:ascii="Arial" w:hAnsi="Arial" w:cs="Arial"/>
        </w:rPr>
        <w:br/>
        <w:t>23 Marcus Clarke Street, Canberra, Australian Capital Territory, 2601</w:t>
      </w:r>
    </w:p>
    <w:p w:rsidR="008C7CF8" w:rsidRPr="00AD45E5" w:rsidRDefault="008C7CF8" w:rsidP="008C7CF8">
      <w:pPr>
        <w:rPr>
          <w:rFonts w:ascii="Arial" w:hAnsi="Arial" w:cs="Arial"/>
          <w:b/>
          <w:color w:val="E36C0A"/>
        </w:rPr>
      </w:pPr>
      <w:r w:rsidRPr="00AD45E5">
        <w:rPr>
          <w:rFonts w:ascii="Arial" w:hAnsi="Arial" w:cs="Arial"/>
        </w:rPr>
        <w:t xml:space="preserve">First published by the ACCC </w:t>
      </w:r>
      <w:r w:rsidR="00216E7A">
        <w:rPr>
          <w:rFonts w:ascii="Arial" w:hAnsi="Arial" w:cs="Arial"/>
        </w:rPr>
        <w:t>2016</w:t>
      </w:r>
    </w:p>
    <w:p w:rsidR="008C7CF8" w:rsidRPr="00AD45E5" w:rsidRDefault="008C7CF8" w:rsidP="008C7CF8">
      <w:pPr>
        <w:rPr>
          <w:rFonts w:ascii="Arial" w:hAnsi="Arial" w:cs="Arial"/>
        </w:rPr>
      </w:pPr>
      <w:r w:rsidRPr="00AD45E5">
        <w:rPr>
          <w:rFonts w:ascii="Arial" w:hAnsi="Arial" w:cs="Arial"/>
        </w:rPr>
        <w:t>© Commonwealth of Australia 20</w:t>
      </w:r>
      <w:r>
        <w:rPr>
          <w:rFonts w:ascii="Arial" w:hAnsi="Arial" w:cs="Arial"/>
        </w:rPr>
        <w:t>1</w:t>
      </w:r>
      <w:r w:rsidR="00216E7A">
        <w:rPr>
          <w:rFonts w:ascii="Arial" w:hAnsi="Arial" w:cs="Arial"/>
        </w:rPr>
        <w:t>6</w:t>
      </w:r>
    </w:p>
    <w:p w:rsidR="008C7CF8" w:rsidRPr="00AD45E5" w:rsidRDefault="008C7CF8" w:rsidP="008C7CF8">
      <w:pPr>
        <w:rPr>
          <w:rFonts w:ascii="Arial" w:hAnsi="Arial" w:cs="Arial"/>
        </w:rPr>
      </w:pPr>
      <w:r w:rsidRPr="00AD45E5">
        <w:rPr>
          <w:rFonts w:ascii="Arial" w:hAnsi="Arial" w:cs="Arial"/>
        </w:rPr>
        <w:t xml:space="preserve">This work is copyright. Apart from any use permitted by the </w:t>
      </w:r>
      <w:r w:rsidRPr="00AD45E5">
        <w:rPr>
          <w:rFonts w:ascii="Arial" w:hAnsi="Arial" w:cs="Arial"/>
          <w:i/>
        </w:rPr>
        <w:t>Copyright Act 1968</w:t>
      </w:r>
      <w:r w:rsidRPr="00AD45E5">
        <w:rPr>
          <w:rFonts w:ascii="Arial" w:hAnsi="Arial" w:cs="Arial"/>
        </w:rPr>
        <w:t xml:space="preserve">, no part may be reproduced without prior written permission from the Commonwealth available through the Australian Competition and Consumer Commission. Requests and inquiries concerning reproduction and rights should be addressed to the Director </w:t>
      </w:r>
      <w:r>
        <w:rPr>
          <w:rFonts w:ascii="Arial" w:hAnsi="Arial" w:cs="Arial"/>
        </w:rPr>
        <w:t>Corporate Communications</w:t>
      </w:r>
      <w:r w:rsidRPr="00AD45E5">
        <w:rPr>
          <w:rFonts w:ascii="Arial" w:hAnsi="Arial" w:cs="Arial"/>
        </w:rPr>
        <w:t>, Australian Competition and Consumer Commission, GPO Box 3131, Canberra</w:t>
      </w:r>
      <w:r w:rsidR="00C6733C">
        <w:rPr>
          <w:rFonts w:ascii="Arial" w:hAnsi="Arial" w:cs="Arial"/>
        </w:rPr>
        <w:t xml:space="preserve"> </w:t>
      </w:r>
      <w:r w:rsidRPr="00AD45E5">
        <w:rPr>
          <w:rFonts w:ascii="Arial" w:hAnsi="Arial" w:cs="Arial"/>
        </w:rPr>
        <w:t>ACT</w:t>
      </w:r>
      <w:r w:rsidR="00C6733C">
        <w:rPr>
          <w:rFonts w:ascii="Arial" w:hAnsi="Arial" w:cs="Arial"/>
        </w:rPr>
        <w:t xml:space="preserve"> </w:t>
      </w:r>
      <w:r w:rsidRPr="00AD45E5">
        <w:rPr>
          <w:rFonts w:ascii="Arial" w:hAnsi="Arial" w:cs="Arial"/>
        </w:rPr>
        <w:t>2601 or by email to publishing.unit@accc.gov.au.</w:t>
      </w:r>
    </w:p>
    <w:p w:rsidR="008C7CF8" w:rsidRDefault="008C7CF8" w:rsidP="008C7CF8">
      <w:pPr>
        <w:rPr>
          <w:rFonts w:ascii="Arial" w:hAnsi="Arial" w:cs="Arial"/>
        </w:rPr>
      </w:pPr>
    </w:p>
    <w:p w:rsidR="008C7CF8" w:rsidRPr="00AD45E5" w:rsidRDefault="008C7CF8" w:rsidP="008C7CF8">
      <w:pPr>
        <w:rPr>
          <w:rFonts w:ascii="Arial" w:hAnsi="Arial" w:cs="Arial"/>
        </w:rPr>
      </w:pPr>
      <w:r w:rsidRPr="00AA587E">
        <w:rPr>
          <w:rFonts w:ascii="Arial" w:hAnsi="Arial" w:cs="Arial"/>
        </w:rPr>
        <w:t>www.accc.gov.au</w:t>
      </w:r>
    </w:p>
    <w:p w:rsidR="008C7CF8" w:rsidRDefault="008C7CF8">
      <w:pPr>
        <w:rPr>
          <w:rFonts w:eastAsiaTheme="majorEastAsia" w:cs="Times New Roman"/>
          <w:color w:val="17365D" w:themeColor="text2" w:themeShade="BF"/>
          <w:spacing w:val="5"/>
          <w:kern w:val="28"/>
          <w:sz w:val="52"/>
          <w:szCs w:val="52"/>
        </w:rPr>
      </w:pPr>
      <w:r>
        <w:rPr>
          <w:rFonts w:cs="Times New Roman"/>
        </w:rPr>
        <w:br w:type="page"/>
      </w:r>
    </w:p>
    <w:p w:rsidR="00650444" w:rsidRDefault="00650444" w:rsidP="00650444">
      <w:pPr>
        <w:pStyle w:val="Heading1"/>
        <w:numPr>
          <w:ilvl w:val="0"/>
          <w:numId w:val="0"/>
        </w:numPr>
        <w:ind w:left="431" w:hanging="431"/>
      </w:pPr>
      <w:bookmarkStart w:id="10" w:name="_Toc432780106"/>
      <w:bookmarkStart w:id="11" w:name="_Toc436122254"/>
      <w:bookmarkStart w:id="12" w:name="_Toc436122749"/>
      <w:bookmarkStart w:id="13" w:name="_Toc436124104"/>
      <w:bookmarkStart w:id="14" w:name="_Toc456785762"/>
      <w:r>
        <w:t>Contents</w:t>
      </w:r>
    </w:p>
    <w:p w:rsidR="00906F9F" w:rsidRDefault="00416407">
      <w:pPr>
        <w:pStyle w:val="TOC1"/>
        <w:tabs>
          <w:tab w:val="right" w:leader="dot" w:pos="9017"/>
        </w:tabs>
        <w:rPr>
          <w:rFonts w:asciiTheme="minorHAnsi" w:hAnsiTheme="minorHAnsi"/>
          <w:b w:val="0"/>
          <w:bCs w:val="0"/>
          <w:noProof/>
          <w:sz w:val="22"/>
          <w:szCs w:val="22"/>
        </w:rPr>
      </w:pPr>
      <w:r>
        <w:rPr>
          <w:rFonts w:cs="Times New Roman"/>
        </w:rPr>
        <w:fldChar w:fldCharType="begin"/>
      </w:r>
      <w:r>
        <w:rPr>
          <w:rFonts w:cs="Times New Roman"/>
        </w:rPr>
        <w:instrText xml:space="preserve"> TOC \o "1-3" \h \z \u </w:instrText>
      </w:r>
      <w:r>
        <w:rPr>
          <w:rFonts w:cs="Times New Roman"/>
        </w:rPr>
        <w:fldChar w:fldCharType="separate"/>
      </w:r>
      <w:hyperlink w:anchor="_Toc461630671" w:history="1">
        <w:r w:rsidR="00906F9F" w:rsidRPr="006B174A">
          <w:rPr>
            <w:rStyle w:val="Hyperlink"/>
            <w:noProof/>
          </w:rPr>
          <w:t>Glossary</w:t>
        </w:r>
        <w:r w:rsidR="00906F9F">
          <w:rPr>
            <w:noProof/>
            <w:webHidden/>
          </w:rPr>
          <w:tab/>
        </w:r>
        <w:r w:rsidR="00906F9F">
          <w:rPr>
            <w:noProof/>
            <w:webHidden/>
          </w:rPr>
          <w:fldChar w:fldCharType="begin"/>
        </w:r>
        <w:r w:rsidR="00906F9F">
          <w:rPr>
            <w:noProof/>
            <w:webHidden/>
          </w:rPr>
          <w:instrText xml:space="preserve"> PAGEREF _Toc461630671 \h </w:instrText>
        </w:r>
        <w:r w:rsidR="00906F9F">
          <w:rPr>
            <w:noProof/>
            <w:webHidden/>
          </w:rPr>
        </w:r>
        <w:r w:rsidR="00906F9F">
          <w:rPr>
            <w:noProof/>
            <w:webHidden/>
          </w:rPr>
          <w:fldChar w:fldCharType="separate"/>
        </w:r>
        <w:r w:rsidR="00BD218B">
          <w:rPr>
            <w:noProof/>
            <w:webHidden/>
          </w:rPr>
          <w:t>vi</w:t>
        </w:r>
        <w:r w:rsidR="00906F9F">
          <w:rPr>
            <w:noProof/>
            <w:webHidden/>
          </w:rPr>
          <w:fldChar w:fldCharType="end"/>
        </w:r>
      </w:hyperlink>
    </w:p>
    <w:p w:rsidR="00906F9F" w:rsidRDefault="00F23D23">
      <w:pPr>
        <w:pStyle w:val="TOC1"/>
        <w:tabs>
          <w:tab w:val="right" w:leader="dot" w:pos="9017"/>
        </w:tabs>
        <w:rPr>
          <w:rFonts w:asciiTheme="minorHAnsi" w:hAnsiTheme="minorHAnsi"/>
          <w:b w:val="0"/>
          <w:bCs w:val="0"/>
          <w:noProof/>
          <w:sz w:val="22"/>
          <w:szCs w:val="22"/>
        </w:rPr>
      </w:pPr>
      <w:hyperlink w:anchor="_Toc461630672" w:history="1">
        <w:r w:rsidR="00906F9F" w:rsidRPr="006B174A">
          <w:rPr>
            <w:rStyle w:val="Hyperlink"/>
            <w:rFonts w:cs="Times New Roman"/>
            <w:noProof/>
          </w:rPr>
          <w:t>Abbreviations</w:t>
        </w:r>
        <w:r w:rsidR="00906F9F">
          <w:rPr>
            <w:noProof/>
            <w:webHidden/>
          </w:rPr>
          <w:tab/>
        </w:r>
        <w:r w:rsidR="00906F9F">
          <w:rPr>
            <w:noProof/>
            <w:webHidden/>
          </w:rPr>
          <w:fldChar w:fldCharType="begin"/>
        </w:r>
        <w:r w:rsidR="00906F9F">
          <w:rPr>
            <w:noProof/>
            <w:webHidden/>
          </w:rPr>
          <w:instrText xml:space="preserve"> PAGEREF _Toc461630672 \h </w:instrText>
        </w:r>
        <w:r w:rsidR="00906F9F">
          <w:rPr>
            <w:noProof/>
            <w:webHidden/>
          </w:rPr>
        </w:r>
        <w:r w:rsidR="00906F9F">
          <w:rPr>
            <w:noProof/>
            <w:webHidden/>
          </w:rPr>
          <w:fldChar w:fldCharType="separate"/>
        </w:r>
        <w:r w:rsidR="00BD218B">
          <w:rPr>
            <w:noProof/>
            <w:webHidden/>
          </w:rPr>
          <w:t>viii</w:t>
        </w:r>
        <w:r w:rsidR="00906F9F">
          <w:rPr>
            <w:noProof/>
            <w:webHidden/>
          </w:rPr>
          <w:fldChar w:fldCharType="end"/>
        </w:r>
      </w:hyperlink>
    </w:p>
    <w:p w:rsidR="00906F9F" w:rsidRDefault="00F23D23">
      <w:pPr>
        <w:pStyle w:val="TOC1"/>
        <w:tabs>
          <w:tab w:val="right" w:leader="dot" w:pos="9017"/>
        </w:tabs>
        <w:rPr>
          <w:rFonts w:asciiTheme="minorHAnsi" w:hAnsiTheme="minorHAnsi"/>
          <w:b w:val="0"/>
          <w:bCs w:val="0"/>
          <w:noProof/>
          <w:sz w:val="22"/>
          <w:szCs w:val="22"/>
        </w:rPr>
      </w:pPr>
      <w:hyperlink w:anchor="_Toc461630673" w:history="1">
        <w:r w:rsidR="00906F9F" w:rsidRPr="006B174A">
          <w:rPr>
            <w:rStyle w:val="Hyperlink"/>
            <w:rFonts w:cs="Times New Roman"/>
            <w:noProof/>
          </w:rPr>
          <w:t>Summary</w:t>
        </w:r>
        <w:r w:rsidR="00906F9F">
          <w:rPr>
            <w:noProof/>
            <w:webHidden/>
          </w:rPr>
          <w:tab/>
        </w:r>
        <w:r w:rsidR="00906F9F">
          <w:rPr>
            <w:noProof/>
            <w:webHidden/>
          </w:rPr>
          <w:fldChar w:fldCharType="begin"/>
        </w:r>
        <w:r w:rsidR="00906F9F">
          <w:rPr>
            <w:noProof/>
            <w:webHidden/>
          </w:rPr>
          <w:instrText xml:space="preserve"> PAGEREF _Toc461630673 \h </w:instrText>
        </w:r>
        <w:r w:rsidR="00906F9F">
          <w:rPr>
            <w:noProof/>
            <w:webHidden/>
          </w:rPr>
        </w:r>
        <w:r w:rsidR="00906F9F">
          <w:rPr>
            <w:noProof/>
            <w:webHidden/>
          </w:rPr>
          <w:fldChar w:fldCharType="separate"/>
        </w:r>
        <w:r w:rsidR="00BD218B">
          <w:rPr>
            <w:noProof/>
            <w:webHidden/>
          </w:rPr>
          <w:t>xi</w:t>
        </w:r>
        <w:r w:rsidR="00906F9F">
          <w:rPr>
            <w:noProof/>
            <w:webHidden/>
          </w:rPr>
          <w:fldChar w:fldCharType="end"/>
        </w:r>
      </w:hyperlink>
    </w:p>
    <w:p w:rsidR="00906F9F" w:rsidRDefault="00F23D23">
      <w:pPr>
        <w:pStyle w:val="TOC2"/>
        <w:tabs>
          <w:tab w:val="right" w:leader="dot" w:pos="9017"/>
        </w:tabs>
        <w:rPr>
          <w:b w:val="0"/>
          <w:bCs w:val="0"/>
          <w:noProof/>
          <w:sz w:val="22"/>
        </w:rPr>
      </w:pPr>
      <w:hyperlink w:anchor="_Toc461630674" w:history="1">
        <w:r w:rsidR="00906F9F" w:rsidRPr="006B174A">
          <w:rPr>
            <w:rStyle w:val="Hyperlink"/>
            <w:noProof/>
          </w:rPr>
          <w:t>Overview of the ACCC’s Final Advice</w:t>
        </w:r>
        <w:r w:rsidR="00906F9F">
          <w:rPr>
            <w:noProof/>
            <w:webHidden/>
          </w:rPr>
          <w:tab/>
        </w:r>
        <w:r w:rsidR="00906F9F">
          <w:rPr>
            <w:noProof/>
            <w:webHidden/>
          </w:rPr>
          <w:fldChar w:fldCharType="begin"/>
        </w:r>
        <w:r w:rsidR="00906F9F">
          <w:rPr>
            <w:noProof/>
            <w:webHidden/>
          </w:rPr>
          <w:instrText xml:space="preserve"> PAGEREF _Toc461630674 \h </w:instrText>
        </w:r>
        <w:r w:rsidR="00906F9F">
          <w:rPr>
            <w:noProof/>
            <w:webHidden/>
          </w:rPr>
        </w:r>
        <w:r w:rsidR="00906F9F">
          <w:rPr>
            <w:noProof/>
            <w:webHidden/>
          </w:rPr>
          <w:fldChar w:fldCharType="separate"/>
        </w:r>
        <w:r w:rsidR="00BD218B">
          <w:rPr>
            <w:noProof/>
            <w:webHidden/>
          </w:rPr>
          <w:t>xi</w:t>
        </w:r>
        <w:r w:rsidR="00906F9F">
          <w:rPr>
            <w:noProof/>
            <w:webHidden/>
          </w:rPr>
          <w:fldChar w:fldCharType="end"/>
        </w:r>
      </w:hyperlink>
    </w:p>
    <w:p w:rsidR="00906F9F" w:rsidRDefault="00F23D23">
      <w:pPr>
        <w:pStyle w:val="TOC2"/>
        <w:tabs>
          <w:tab w:val="right" w:leader="dot" w:pos="9017"/>
        </w:tabs>
        <w:rPr>
          <w:b w:val="0"/>
          <w:bCs w:val="0"/>
          <w:noProof/>
          <w:sz w:val="22"/>
        </w:rPr>
      </w:pPr>
      <w:hyperlink w:anchor="_Toc461630675" w:history="1">
        <w:r w:rsidR="00906F9F" w:rsidRPr="006B174A">
          <w:rPr>
            <w:rStyle w:val="Hyperlink"/>
            <w:noProof/>
          </w:rPr>
          <w:t>Development of the Final Advice</w:t>
        </w:r>
        <w:r w:rsidR="00906F9F">
          <w:rPr>
            <w:noProof/>
            <w:webHidden/>
          </w:rPr>
          <w:tab/>
        </w:r>
        <w:r w:rsidR="00906F9F">
          <w:rPr>
            <w:noProof/>
            <w:webHidden/>
          </w:rPr>
          <w:fldChar w:fldCharType="begin"/>
        </w:r>
        <w:r w:rsidR="00906F9F">
          <w:rPr>
            <w:noProof/>
            <w:webHidden/>
          </w:rPr>
          <w:instrText xml:space="preserve"> PAGEREF _Toc461630675 \h </w:instrText>
        </w:r>
        <w:r w:rsidR="00906F9F">
          <w:rPr>
            <w:noProof/>
            <w:webHidden/>
          </w:rPr>
        </w:r>
        <w:r w:rsidR="00906F9F">
          <w:rPr>
            <w:noProof/>
            <w:webHidden/>
          </w:rPr>
          <w:fldChar w:fldCharType="separate"/>
        </w:r>
        <w:r w:rsidR="00BD218B">
          <w:rPr>
            <w:noProof/>
            <w:webHidden/>
          </w:rPr>
          <w:t>xvii</w:t>
        </w:r>
        <w:r w:rsidR="00906F9F">
          <w:rPr>
            <w:noProof/>
            <w:webHidden/>
          </w:rPr>
          <w:fldChar w:fldCharType="end"/>
        </w:r>
      </w:hyperlink>
    </w:p>
    <w:p w:rsidR="00906F9F" w:rsidRDefault="00F23D23">
      <w:pPr>
        <w:pStyle w:val="TOC1"/>
        <w:tabs>
          <w:tab w:val="right" w:leader="dot" w:pos="9017"/>
        </w:tabs>
        <w:rPr>
          <w:rFonts w:asciiTheme="minorHAnsi" w:hAnsiTheme="minorHAnsi"/>
          <w:b w:val="0"/>
          <w:bCs w:val="0"/>
          <w:noProof/>
          <w:sz w:val="22"/>
          <w:szCs w:val="22"/>
        </w:rPr>
      </w:pPr>
      <w:hyperlink w:anchor="_Toc461630676" w:history="1">
        <w:r w:rsidR="00906F9F" w:rsidRPr="006B174A">
          <w:rPr>
            <w:rStyle w:val="Hyperlink"/>
            <w:noProof/>
          </w:rPr>
          <w:t>ACCC rule advice and recommendations</w:t>
        </w:r>
        <w:r w:rsidR="00906F9F">
          <w:rPr>
            <w:noProof/>
            <w:webHidden/>
          </w:rPr>
          <w:tab/>
        </w:r>
        <w:r w:rsidR="00906F9F">
          <w:rPr>
            <w:noProof/>
            <w:webHidden/>
          </w:rPr>
          <w:fldChar w:fldCharType="begin"/>
        </w:r>
        <w:r w:rsidR="00906F9F">
          <w:rPr>
            <w:noProof/>
            <w:webHidden/>
          </w:rPr>
          <w:instrText xml:space="preserve"> PAGEREF _Toc461630676 \h </w:instrText>
        </w:r>
        <w:r w:rsidR="00906F9F">
          <w:rPr>
            <w:noProof/>
            <w:webHidden/>
          </w:rPr>
        </w:r>
        <w:r w:rsidR="00906F9F">
          <w:rPr>
            <w:noProof/>
            <w:webHidden/>
          </w:rPr>
          <w:fldChar w:fldCharType="separate"/>
        </w:r>
        <w:r w:rsidR="00BD218B">
          <w:rPr>
            <w:noProof/>
            <w:webHidden/>
          </w:rPr>
          <w:t>xx</w:t>
        </w:r>
        <w:r w:rsidR="00906F9F">
          <w:rPr>
            <w:noProof/>
            <w:webHidden/>
          </w:rPr>
          <w:fldChar w:fldCharType="end"/>
        </w:r>
      </w:hyperlink>
    </w:p>
    <w:p w:rsidR="00906F9F" w:rsidRDefault="00F23D23">
      <w:pPr>
        <w:pStyle w:val="TOC2"/>
        <w:tabs>
          <w:tab w:val="right" w:leader="dot" w:pos="9017"/>
        </w:tabs>
        <w:rPr>
          <w:b w:val="0"/>
          <w:bCs w:val="0"/>
          <w:noProof/>
          <w:sz w:val="22"/>
        </w:rPr>
      </w:pPr>
      <w:hyperlink w:anchor="_Toc461630677" w:history="1">
        <w:r w:rsidR="00906F9F" w:rsidRPr="006B174A">
          <w:rPr>
            <w:rStyle w:val="Hyperlink"/>
            <w:noProof/>
          </w:rPr>
          <w:t>Rule advice</w:t>
        </w:r>
        <w:r w:rsidR="00906F9F">
          <w:rPr>
            <w:noProof/>
            <w:webHidden/>
          </w:rPr>
          <w:tab/>
        </w:r>
        <w:r w:rsidR="00906F9F">
          <w:rPr>
            <w:noProof/>
            <w:webHidden/>
          </w:rPr>
          <w:fldChar w:fldCharType="begin"/>
        </w:r>
        <w:r w:rsidR="00906F9F">
          <w:rPr>
            <w:noProof/>
            <w:webHidden/>
          </w:rPr>
          <w:instrText xml:space="preserve"> PAGEREF _Toc461630677 \h </w:instrText>
        </w:r>
        <w:r w:rsidR="00906F9F">
          <w:rPr>
            <w:noProof/>
            <w:webHidden/>
          </w:rPr>
        </w:r>
        <w:r w:rsidR="00906F9F">
          <w:rPr>
            <w:noProof/>
            <w:webHidden/>
          </w:rPr>
          <w:fldChar w:fldCharType="separate"/>
        </w:r>
        <w:r w:rsidR="00BD218B">
          <w:rPr>
            <w:noProof/>
            <w:webHidden/>
          </w:rPr>
          <w:t>xx</w:t>
        </w:r>
        <w:r w:rsidR="00906F9F">
          <w:rPr>
            <w:noProof/>
            <w:webHidden/>
          </w:rPr>
          <w:fldChar w:fldCharType="end"/>
        </w:r>
      </w:hyperlink>
    </w:p>
    <w:p w:rsidR="00906F9F" w:rsidRDefault="00F23D23">
      <w:pPr>
        <w:pStyle w:val="TOC2"/>
        <w:tabs>
          <w:tab w:val="right" w:leader="dot" w:pos="9017"/>
        </w:tabs>
        <w:rPr>
          <w:b w:val="0"/>
          <w:bCs w:val="0"/>
          <w:noProof/>
          <w:sz w:val="22"/>
        </w:rPr>
      </w:pPr>
      <w:hyperlink w:anchor="_Toc461630678" w:history="1">
        <w:r w:rsidR="00906F9F" w:rsidRPr="006B174A">
          <w:rPr>
            <w:rStyle w:val="Hyperlink"/>
            <w:noProof/>
          </w:rPr>
          <w:t>ACCC Recommendations</w:t>
        </w:r>
        <w:r w:rsidR="00906F9F">
          <w:rPr>
            <w:noProof/>
            <w:webHidden/>
          </w:rPr>
          <w:tab/>
        </w:r>
        <w:r w:rsidR="00906F9F">
          <w:rPr>
            <w:noProof/>
            <w:webHidden/>
          </w:rPr>
          <w:fldChar w:fldCharType="begin"/>
        </w:r>
        <w:r w:rsidR="00906F9F">
          <w:rPr>
            <w:noProof/>
            <w:webHidden/>
          </w:rPr>
          <w:instrText xml:space="preserve"> PAGEREF _Toc461630678 \h </w:instrText>
        </w:r>
        <w:r w:rsidR="00906F9F">
          <w:rPr>
            <w:noProof/>
            <w:webHidden/>
          </w:rPr>
        </w:r>
        <w:r w:rsidR="00906F9F">
          <w:rPr>
            <w:noProof/>
            <w:webHidden/>
          </w:rPr>
          <w:fldChar w:fldCharType="separate"/>
        </w:r>
        <w:r w:rsidR="00BD218B">
          <w:rPr>
            <w:noProof/>
            <w:webHidden/>
          </w:rPr>
          <w:t>xlix</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679" w:history="1">
        <w:r w:rsidR="00906F9F" w:rsidRPr="006B174A">
          <w:rPr>
            <w:rStyle w:val="Hyperlink"/>
            <w:rFonts w:cs="Times New Roman"/>
            <w:noProof/>
          </w:rPr>
          <w:t>1</w:t>
        </w:r>
        <w:r w:rsidR="00906F9F">
          <w:rPr>
            <w:rFonts w:asciiTheme="minorHAnsi" w:hAnsiTheme="minorHAnsi"/>
            <w:b w:val="0"/>
            <w:bCs w:val="0"/>
            <w:noProof/>
            <w:sz w:val="22"/>
            <w:szCs w:val="22"/>
          </w:rPr>
          <w:tab/>
        </w:r>
        <w:r w:rsidR="00906F9F" w:rsidRPr="006B174A">
          <w:rPr>
            <w:rStyle w:val="Hyperlink"/>
            <w:rFonts w:cs="Times New Roman"/>
            <w:noProof/>
          </w:rPr>
          <w:t>Introduction</w:t>
        </w:r>
        <w:r w:rsidR="00906F9F">
          <w:rPr>
            <w:noProof/>
            <w:webHidden/>
          </w:rPr>
          <w:tab/>
        </w:r>
        <w:r w:rsidR="00906F9F">
          <w:rPr>
            <w:noProof/>
            <w:webHidden/>
          </w:rPr>
          <w:fldChar w:fldCharType="begin"/>
        </w:r>
        <w:r w:rsidR="00906F9F">
          <w:rPr>
            <w:noProof/>
            <w:webHidden/>
          </w:rPr>
          <w:instrText xml:space="preserve"> PAGEREF _Toc461630679 \h </w:instrText>
        </w:r>
        <w:r w:rsidR="00906F9F">
          <w:rPr>
            <w:noProof/>
            <w:webHidden/>
          </w:rPr>
        </w:r>
        <w:r w:rsidR="00906F9F">
          <w:rPr>
            <w:noProof/>
            <w:webHidden/>
          </w:rPr>
          <w:fldChar w:fldCharType="separate"/>
        </w:r>
        <w:r w:rsidR="00BD218B">
          <w:rPr>
            <w:noProof/>
            <w:webHidden/>
          </w:rPr>
          <w:t>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80" w:history="1">
        <w:r w:rsidR="00906F9F" w:rsidRPr="006B174A">
          <w:rPr>
            <w:rStyle w:val="Hyperlink"/>
            <w:noProof/>
          </w:rPr>
          <w:t>1.1</w:t>
        </w:r>
        <w:r w:rsidR="00906F9F">
          <w:rPr>
            <w:b w:val="0"/>
            <w:bCs w:val="0"/>
            <w:noProof/>
            <w:sz w:val="22"/>
          </w:rPr>
          <w:tab/>
        </w:r>
        <w:r w:rsidR="00906F9F" w:rsidRPr="006B174A">
          <w:rPr>
            <w:rStyle w:val="Hyperlink"/>
            <w:noProof/>
          </w:rPr>
          <w:t>Terms of reference</w:t>
        </w:r>
        <w:r w:rsidR="00906F9F">
          <w:rPr>
            <w:noProof/>
            <w:webHidden/>
          </w:rPr>
          <w:tab/>
        </w:r>
        <w:r w:rsidR="00906F9F">
          <w:rPr>
            <w:noProof/>
            <w:webHidden/>
          </w:rPr>
          <w:fldChar w:fldCharType="begin"/>
        </w:r>
        <w:r w:rsidR="00906F9F">
          <w:rPr>
            <w:noProof/>
            <w:webHidden/>
          </w:rPr>
          <w:instrText xml:space="preserve"> PAGEREF _Toc461630680 \h </w:instrText>
        </w:r>
        <w:r w:rsidR="00906F9F">
          <w:rPr>
            <w:noProof/>
            <w:webHidden/>
          </w:rPr>
        </w:r>
        <w:r w:rsidR="00906F9F">
          <w:rPr>
            <w:noProof/>
            <w:webHidden/>
          </w:rPr>
          <w:fldChar w:fldCharType="separate"/>
        </w:r>
        <w:r w:rsidR="00BD218B">
          <w:rPr>
            <w:noProof/>
            <w:webHidden/>
          </w:rPr>
          <w:t>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81" w:history="1">
        <w:r w:rsidR="00906F9F" w:rsidRPr="006B174A">
          <w:rPr>
            <w:rStyle w:val="Hyperlink"/>
            <w:noProof/>
          </w:rPr>
          <w:t>1.2</w:t>
        </w:r>
        <w:r w:rsidR="00906F9F">
          <w:rPr>
            <w:b w:val="0"/>
            <w:bCs w:val="0"/>
            <w:noProof/>
            <w:sz w:val="22"/>
          </w:rPr>
          <w:tab/>
        </w:r>
        <w:r w:rsidR="00906F9F" w:rsidRPr="006B174A">
          <w:rPr>
            <w:rStyle w:val="Hyperlink"/>
            <w:noProof/>
          </w:rPr>
          <w:t>Consultation process and timeline</w:t>
        </w:r>
        <w:r w:rsidR="00906F9F">
          <w:rPr>
            <w:noProof/>
            <w:webHidden/>
          </w:rPr>
          <w:tab/>
        </w:r>
        <w:r w:rsidR="00906F9F">
          <w:rPr>
            <w:noProof/>
            <w:webHidden/>
          </w:rPr>
          <w:fldChar w:fldCharType="begin"/>
        </w:r>
        <w:r w:rsidR="00906F9F">
          <w:rPr>
            <w:noProof/>
            <w:webHidden/>
          </w:rPr>
          <w:instrText xml:space="preserve"> PAGEREF _Toc461630681 \h </w:instrText>
        </w:r>
        <w:r w:rsidR="00906F9F">
          <w:rPr>
            <w:noProof/>
            <w:webHidden/>
          </w:rPr>
        </w:r>
        <w:r w:rsidR="00906F9F">
          <w:rPr>
            <w:noProof/>
            <w:webHidden/>
          </w:rPr>
          <w:fldChar w:fldCharType="separate"/>
        </w:r>
        <w:r w:rsidR="00BD218B">
          <w:rPr>
            <w:noProof/>
            <w:webHidden/>
          </w:rPr>
          <w:t>3</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82" w:history="1">
        <w:r w:rsidR="00906F9F" w:rsidRPr="006B174A">
          <w:rPr>
            <w:rStyle w:val="Hyperlink"/>
            <w:noProof/>
          </w:rPr>
          <w:t>1.3</w:t>
        </w:r>
        <w:r w:rsidR="00906F9F">
          <w:rPr>
            <w:b w:val="0"/>
            <w:bCs w:val="0"/>
            <w:noProof/>
            <w:sz w:val="22"/>
          </w:rPr>
          <w:tab/>
        </w:r>
        <w:r w:rsidR="00906F9F" w:rsidRPr="006B174A">
          <w:rPr>
            <w:rStyle w:val="Hyperlink"/>
            <w:noProof/>
          </w:rPr>
          <w:t>Structure of the Final Advice</w:t>
        </w:r>
        <w:r w:rsidR="00906F9F">
          <w:rPr>
            <w:noProof/>
            <w:webHidden/>
          </w:rPr>
          <w:tab/>
        </w:r>
        <w:r w:rsidR="00906F9F">
          <w:rPr>
            <w:noProof/>
            <w:webHidden/>
          </w:rPr>
          <w:fldChar w:fldCharType="begin"/>
        </w:r>
        <w:r w:rsidR="00906F9F">
          <w:rPr>
            <w:noProof/>
            <w:webHidden/>
          </w:rPr>
          <w:instrText xml:space="preserve"> PAGEREF _Toc461630682 \h </w:instrText>
        </w:r>
        <w:r w:rsidR="00906F9F">
          <w:rPr>
            <w:noProof/>
            <w:webHidden/>
          </w:rPr>
        </w:r>
        <w:r w:rsidR="00906F9F">
          <w:rPr>
            <w:noProof/>
            <w:webHidden/>
          </w:rPr>
          <w:fldChar w:fldCharType="separate"/>
        </w:r>
        <w:r w:rsidR="00BD218B">
          <w:rPr>
            <w:noProof/>
            <w:webHidden/>
          </w:rPr>
          <w:t>4</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683" w:history="1">
        <w:r w:rsidR="00906F9F" w:rsidRPr="006B174A">
          <w:rPr>
            <w:rStyle w:val="Hyperlink"/>
            <w:rFonts w:cs="Times New Roman"/>
            <w:noProof/>
          </w:rPr>
          <w:t>2</w:t>
        </w:r>
        <w:r w:rsidR="00906F9F">
          <w:rPr>
            <w:rFonts w:asciiTheme="minorHAnsi" w:hAnsiTheme="minorHAnsi"/>
            <w:b w:val="0"/>
            <w:bCs w:val="0"/>
            <w:noProof/>
            <w:sz w:val="22"/>
            <w:szCs w:val="22"/>
          </w:rPr>
          <w:tab/>
        </w:r>
        <w:r w:rsidR="00906F9F" w:rsidRPr="006B174A">
          <w:rPr>
            <w:rStyle w:val="Hyperlink"/>
            <w:rFonts w:cs="Times New Roman"/>
            <w:noProof/>
          </w:rPr>
          <w:t>Water charging arrangements</w:t>
        </w:r>
        <w:r w:rsidR="00906F9F">
          <w:rPr>
            <w:noProof/>
            <w:webHidden/>
          </w:rPr>
          <w:tab/>
        </w:r>
        <w:r w:rsidR="00906F9F">
          <w:rPr>
            <w:noProof/>
            <w:webHidden/>
          </w:rPr>
          <w:fldChar w:fldCharType="begin"/>
        </w:r>
        <w:r w:rsidR="00906F9F">
          <w:rPr>
            <w:noProof/>
            <w:webHidden/>
          </w:rPr>
          <w:instrText xml:space="preserve"> PAGEREF _Toc461630683 \h </w:instrText>
        </w:r>
        <w:r w:rsidR="00906F9F">
          <w:rPr>
            <w:noProof/>
            <w:webHidden/>
          </w:rPr>
        </w:r>
        <w:r w:rsidR="00906F9F">
          <w:rPr>
            <w:noProof/>
            <w:webHidden/>
          </w:rPr>
          <w:fldChar w:fldCharType="separate"/>
        </w:r>
        <w:r w:rsidR="00BD218B">
          <w:rPr>
            <w:noProof/>
            <w:webHidden/>
          </w:rPr>
          <w:t>6</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84" w:history="1">
        <w:r w:rsidR="00906F9F" w:rsidRPr="006B174A">
          <w:rPr>
            <w:rStyle w:val="Hyperlink"/>
            <w:noProof/>
          </w:rPr>
          <w:t>2.1</w:t>
        </w:r>
        <w:r w:rsidR="00906F9F">
          <w:rPr>
            <w:b w:val="0"/>
            <w:bCs w:val="0"/>
            <w:noProof/>
            <w:sz w:val="22"/>
          </w:rPr>
          <w:tab/>
        </w:r>
        <w:r w:rsidR="00906F9F" w:rsidRPr="006B174A">
          <w:rPr>
            <w:rStyle w:val="Hyperlink"/>
            <w:noProof/>
          </w:rPr>
          <w:t>Rural water supply chain participants</w:t>
        </w:r>
        <w:r w:rsidR="00906F9F">
          <w:rPr>
            <w:noProof/>
            <w:webHidden/>
          </w:rPr>
          <w:tab/>
        </w:r>
        <w:r w:rsidR="00906F9F">
          <w:rPr>
            <w:noProof/>
            <w:webHidden/>
          </w:rPr>
          <w:fldChar w:fldCharType="begin"/>
        </w:r>
        <w:r w:rsidR="00906F9F">
          <w:rPr>
            <w:noProof/>
            <w:webHidden/>
          </w:rPr>
          <w:instrText xml:space="preserve"> PAGEREF _Toc461630684 \h </w:instrText>
        </w:r>
        <w:r w:rsidR="00906F9F">
          <w:rPr>
            <w:noProof/>
            <w:webHidden/>
          </w:rPr>
        </w:r>
        <w:r w:rsidR="00906F9F">
          <w:rPr>
            <w:noProof/>
            <w:webHidden/>
          </w:rPr>
          <w:fldChar w:fldCharType="separate"/>
        </w:r>
        <w:r w:rsidR="00BD218B">
          <w:rPr>
            <w:noProof/>
            <w:webHidden/>
          </w:rPr>
          <w:t>6</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85" w:history="1">
        <w:r w:rsidR="00906F9F" w:rsidRPr="006B174A">
          <w:rPr>
            <w:rStyle w:val="Hyperlink"/>
            <w:noProof/>
          </w:rPr>
          <w:t>2.2</w:t>
        </w:r>
        <w:r w:rsidR="00906F9F">
          <w:rPr>
            <w:b w:val="0"/>
            <w:bCs w:val="0"/>
            <w:noProof/>
            <w:sz w:val="22"/>
          </w:rPr>
          <w:tab/>
        </w:r>
        <w:r w:rsidR="00906F9F" w:rsidRPr="006B174A">
          <w:rPr>
            <w:rStyle w:val="Hyperlink"/>
            <w:noProof/>
          </w:rPr>
          <w:t>Types of tradeable water rights</w:t>
        </w:r>
        <w:r w:rsidR="00906F9F">
          <w:rPr>
            <w:noProof/>
            <w:webHidden/>
          </w:rPr>
          <w:tab/>
        </w:r>
        <w:r w:rsidR="00906F9F">
          <w:rPr>
            <w:noProof/>
            <w:webHidden/>
          </w:rPr>
          <w:fldChar w:fldCharType="begin"/>
        </w:r>
        <w:r w:rsidR="00906F9F">
          <w:rPr>
            <w:noProof/>
            <w:webHidden/>
          </w:rPr>
          <w:instrText xml:space="preserve"> PAGEREF _Toc461630685 \h </w:instrText>
        </w:r>
        <w:r w:rsidR="00906F9F">
          <w:rPr>
            <w:noProof/>
            <w:webHidden/>
          </w:rPr>
        </w:r>
        <w:r w:rsidR="00906F9F">
          <w:rPr>
            <w:noProof/>
            <w:webHidden/>
          </w:rPr>
          <w:fldChar w:fldCharType="separate"/>
        </w:r>
        <w:r w:rsidR="00BD218B">
          <w:rPr>
            <w:noProof/>
            <w:webHidden/>
          </w:rPr>
          <w:t>8</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686" w:history="1">
        <w:r w:rsidR="00906F9F" w:rsidRPr="006B174A">
          <w:rPr>
            <w:rStyle w:val="Hyperlink"/>
            <w:noProof/>
          </w:rPr>
          <w:t>2.2.1</w:t>
        </w:r>
        <w:r w:rsidR="00906F9F">
          <w:rPr>
            <w:rFonts w:asciiTheme="minorHAnsi" w:hAnsiTheme="minorHAnsi" w:cstheme="minorBidi"/>
            <w:noProof/>
            <w:szCs w:val="22"/>
          </w:rPr>
          <w:tab/>
        </w:r>
        <w:r w:rsidR="00906F9F" w:rsidRPr="006B174A">
          <w:rPr>
            <w:rStyle w:val="Hyperlink"/>
            <w:noProof/>
          </w:rPr>
          <w:t>Water access rights</w:t>
        </w:r>
        <w:r w:rsidR="00906F9F">
          <w:rPr>
            <w:noProof/>
            <w:webHidden/>
          </w:rPr>
          <w:tab/>
        </w:r>
        <w:r w:rsidR="00906F9F">
          <w:rPr>
            <w:noProof/>
            <w:webHidden/>
          </w:rPr>
          <w:fldChar w:fldCharType="begin"/>
        </w:r>
        <w:r w:rsidR="00906F9F">
          <w:rPr>
            <w:noProof/>
            <w:webHidden/>
          </w:rPr>
          <w:instrText xml:space="preserve"> PAGEREF _Toc461630686 \h </w:instrText>
        </w:r>
        <w:r w:rsidR="00906F9F">
          <w:rPr>
            <w:noProof/>
            <w:webHidden/>
          </w:rPr>
        </w:r>
        <w:r w:rsidR="00906F9F">
          <w:rPr>
            <w:noProof/>
            <w:webHidden/>
          </w:rPr>
          <w:fldChar w:fldCharType="separate"/>
        </w:r>
        <w:r w:rsidR="00BD218B">
          <w:rPr>
            <w:noProof/>
            <w:webHidden/>
          </w:rPr>
          <w:t>9</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687" w:history="1">
        <w:r w:rsidR="00906F9F" w:rsidRPr="006B174A">
          <w:rPr>
            <w:rStyle w:val="Hyperlink"/>
            <w:noProof/>
          </w:rPr>
          <w:t>2.2.2</w:t>
        </w:r>
        <w:r w:rsidR="00906F9F">
          <w:rPr>
            <w:rFonts w:asciiTheme="minorHAnsi" w:hAnsiTheme="minorHAnsi" w:cstheme="minorBidi"/>
            <w:noProof/>
            <w:szCs w:val="22"/>
          </w:rPr>
          <w:tab/>
        </w:r>
        <w:r w:rsidR="00906F9F" w:rsidRPr="006B174A">
          <w:rPr>
            <w:rStyle w:val="Hyperlink"/>
            <w:noProof/>
          </w:rPr>
          <w:t>Irrigation rights and transformation</w:t>
        </w:r>
        <w:r w:rsidR="00906F9F">
          <w:rPr>
            <w:noProof/>
            <w:webHidden/>
          </w:rPr>
          <w:tab/>
        </w:r>
        <w:r w:rsidR="00906F9F">
          <w:rPr>
            <w:noProof/>
            <w:webHidden/>
          </w:rPr>
          <w:fldChar w:fldCharType="begin"/>
        </w:r>
        <w:r w:rsidR="00906F9F">
          <w:rPr>
            <w:noProof/>
            <w:webHidden/>
          </w:rPr>
          <w:instrText xml:space="preserve"> PAGEREF _Toc461630687 \h </w:instrText>
        </w:r>
        <w:r w:rsidR="00906F9F">
          <w:rPr>
            <w:noProof/>
            <w:webHidden/>
          </w:rPr>
        </w:r>
        <w:r w:rsidR="00906F9F">
          <w:rPr>
            <w:noProof/>
            <w:webHidden/>
          </w:rPr>
          <w:fldChar w:fldCharType="separate"/>
        </w:r>
        <w:r w:rsidR="00BD218B">
          <w:rPr>
            <w:noProof/>
            <w:webHidden/>
          </w:rPr>
          <w:t>10</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688" w:history="1">
        <w:r w:rsidR="00906F9F" w:rsidRPr="006B174A">
          <w:rPr>
            <w:rStyle w:val="Hyperlink"/>
            <w:noProof/>
          </w:rPr>
          <w:t>2.2.3</w:t>
        </w:r>
        <w:r w:rsidR="00906F9F">
          <w:rPr>
            <w:rFonts w:asciiTheme="minorHAnsi" w:hAnsiTheme="minorHAnsi" w:cstheme="minorBidi"/>
            <w:noProof/>
            <w:szCs w:val="22"/>
          </w:rPr>
          <w:tab/>
        </w:r>
        <w:r w:rsidR="00906F9F" w:rsidRPr="006B174A">
          <w:rPr>
            <w:rStyle w:val="Hyperlink"/>
            <w:noProof/>
          </w:rPr>
          <w:t>Water delivery rights and termination</w:t>
        </w:r>
        <w:r w:rsidR="00906F9F">
          <w:rPr>
            <w:noProof/>
            <w:webHidden/>
          </w:rPr>
          <w:tab/>
        </w:r>
        <w:r w:rsidR="00906F9F">
          <w:rPr>
            <w:noProof/>
            <w:webHidden/>
          </w:rPr>
          <w:fldChar w:fldCharType="begin"/>
        </w:r>
        <w:r w:rsidR="00906F9F">
          <w:rPr>
            <w:noProof/>
            <w:webHidden/>
          </w:rPr>
          <w:instrText xml:space="preserve"> PAGEREF _Toc461630688 \h </w:instrText>
        </w:r>
        <w:r w:rsidR="00906F9F">
          <w:rPr>
            <w:noProof/>
            <w:webHidden/>
          </w:rPr>
        </w:r>
        <w:r w:rsidR="00906F9F">
          <w:rPr>
            <w:noProof/>
            <w:webHidden/>
          </w:rPr>
          <w:fldChar w:fldCharType="separate"/>
        </w:r>
        <w:r w:rsidR="00BD218B">
          <w:rPr>
            <w:noProof/>
            <w:webHidden/>
          </w:rPr>
          <w:t>11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89" w:history="1">
        <w:r w:rsidR="00906F9F" w:rsidRPr="006B174A">
          <w:rPr>
            <w:rStyle w:val="Hyperlink"/>
            <w:noProof/>
          </w:rPr>
          <w:t>2.3</w:t>
        </w:r>
        <w:r w:rsidR="00906F9F">
          <w:rPr>
            <w:b w:val="0"/>
            <w:bCs w:val="0"/>
            <w:noProof/>
            <w:sz w:val="22"/>
          </w:rPr>
          <w:tab/>
        </w:r>
        <w:r w:rsidR="00906F9F" w:rsidRPr="006B174A">
          <w:rPr>
            <w:rStyle w:val="Hyperlink"/>
            <w:noProof/>
          </w:rPr>
          <w:t>Types of regulated water charges</w:t>
        </w:r>
        <w:r w:rsidR="00906F9F">
          <w:rPr>
            <w:noProof/>
            <w:webHidden/>
          </w:rPr>
          <w:tab/>
        </w:r>
        <w:r w:rsidR="00906F9F">
          <w:rPr>
            <w:noProof/>
            <w:webHidden/>
          </w:rPr>
          <w:fldChar w:fldCharType="begin"/>
        </w:r>
        <w:r w:rsidR="00906F9F">
          <w:rPr>
            <w:noProof/>
            <w:webHidden/>
          </w:rPr>
          <w:instrText xml:space="preserve"> PAGEREF _Toc461630689 \h </w:instrText>
        </w:r>
        <w:r w:rsidR="00906F9F">
          <w:rPr>
            <w:noProof/>
            <w:webHidden/>
          </w:rPr>
        </w:r>
        <w:r w:rsidR="00906F9F">
          <w:rPr>
            <w:noProof/>
            <w:webHidden/>
          </w:rPr>
          <w:fldChar w:fldCharType="separate"/>
        </w:r>
        <w:r w:rsidR="00BD218B">
          <w:rPr>
            <w:noProof/>
            <w:webHidden/>
          </w:rPr>
          <w:t>12</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690" w:history="1">
        <w:r w:rsidR="00906F9F" w:rsidRPr="006B174A">
          <w:rPr>
            <w:rStyle w:val="Hyperlink"/>
            <w:noProof/>
          </w:rPr>
          <w:t>2.3.1</w:t>
        </w:r>
        <w:r w:rsidR="00906F9F">
          <w:rPr>
            <w:rFonts w:asciiTheme="minorHAnsi" w:hAnsiTheme="minorHAnsi" w:cstheme="minorBidi"/>
            <w:noProof/>
            <w:szCs w:val="22"/>
          </w:rPr>
          <w:tab/>
        </w:r>
        <w:r w:rsidR="00906F9F" w:rsidRPr="006B174A">
          <w:rPr>
            <w:rStyle w:val="Hyperlink"/>
            <w:noProof/>
          </w:rPr>
          <w:t>Planning and management charges</w:t>
        </w:r>
        <w:r w:rsidR="00906F9F">
          <w:rPr>
            <w:noProof/>
            <w:webHidden/>
          </w:rPr>
          <w:tab/>
        </w:r>
        <w:r w:rsidR="00906F9F">
          <w:rPr>
            <w:noProof/>
            <w:webHidden/>
          </w:rPr>
          <w:fldChar w:fldCharType="begin"/>
        </w:r>
        <w:r w:rsidR="00906F9F">
          <w:rPr>
            <w:noProof/>
            <w:webHidden/>
          </w:rPr>
          <w:instrText xml:space="preserve"> PAGEREF _Toc461630690 \h </w:instrText>
        </w:r>
        <w:r w:rsidR="00906F9F">
          <w:rPr>
            <w:noProof/>
            <w:webHidden/>
          </w:rPr>
        </w:r>
        <w:r w:rsidR="00906F9F">
          <w:rPr>
            <w:noProof/>
            <w:webHidden/>
          </w:rPr>
          <w:fldChar w:fldCharType="separate"/>
        </w:r>
        <w:r w:rsidR="00BD218B">
          <w:rPr>
            <w:noProof/>
            <w:webHidden/>
          </w:rPr>
          <w:t>13</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691" w:history="1">
        <w:r w:rsidR="00906F9F" w:rsidRPr="006B174A">
          <w:rPr>
            <w:rStyle w:val="Hyperlink"/>
            <w:noProof/>
          </w:rPr>
          <w:t>2.3.2</w:t>
        </w:r>
        <w:r w:rsidR="00906F9F">
          <w:rPr>
            <w:rFonts w:asciiTheme="minorHAnsi" w:hAnsiTheme="minorHAnsi" w:cstheme="minorBidi"/>
            <w:noProof/>
            <w:szCs w:val="22"/>
          </w:rPr>
          <w:tab/>
        </w:r>
        <w:r w:rsidR="00906F9F" w:rsidRPr="006B174A">
          <w:rPr>
            <w:rStyle w:val="Hyperlink"/>
            <w:noProof/>
          </w:rPr>
          <w:t>Infrastructure charges</w:t>
        </w:r>
        <w:r w:rsidR="00906F9F">
          <w:rPr>
            <w:noProof/>
            <w:webHidden/>
          </w:rPr>
          <w:tab/>
        </w:r>
        <w:r w:rsidR="00906F9F">
          <w:rPr>
            <w:noProof/>
            <w:webHidden/>
          </w:rPr>
          <w:fldChar w:fldCharType="begin"/>
        </w:r>
        <w:r w:rsidR="00906F9F">
          <w:rPr>
            <w:noProof/>
            <w:webHidden/>
          </w:rPr>
          <w:instrText xml:space="preserve"> PAGEREF _Toc461630691 \h </w:instrText>
        </w:r>
        <w:r w:rsidR="00906F9F">
          <w:rPr>
            <w:noProof/>
            <w:webHidden/>
          </w:rPr>
        </w:r>
        <w:r w:rsidR="00906F9F">
          <w:rPr>
            <w:noProof/>
            <w:webHidden/>
          </w:rPr>
          <w:fldChar w:fldCharType="separate"/>
        </w:r>
        <w:r w:rsidR="00BD218B">
          <w:rPr>
            <w:noProof/>
            <w:webHidden/>
          </w:rPr>
          <w:t>13</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692" w:history="1">
        <w:r w:rsidR="00906F9F" w:rsidRPr="006B174A">
          <w:rPr>
            <w:rStyle w:val="Hyperlink"/>
            <w:noProof/>
          </w:rPr>
          <w:t>2.3.3</w:t>
        </w:r>
        <w:r w:rsidR="00906F9F">
          <w:rPr>
            <w:rFonts w:asciiTheme="minorHAnsi" w:hAnsiTheme="minorHAnsi" w:cstheme="minorBidi"/>
            <w:noProof/>
            <w:szCs w:val="22"/>
          </w:rPr>
          <w:tab/>
        </w:r>
        <w:r w:rsidR="00906F9F" w:rsidRPr="006B174A">
          <w:rPr>
            <w:rStyle w:val="Hyperlink"/>
            <w:noProof/>
          </w:rPr>
          <w:t>Termination fees</w:t>
        </w:r>
        <w:r w:rsidR="00906F9F">
          <w:rPr>
            <w:noProof/>
            <w:webHidden/>
          </w:rPr>
          <w:tab/>
        </w:r>
        <w:r w:rsidR="00906F9F">
          <w:rPr>
            <w:noProof/>
            <w:webHidden/>
          </w:rPr>
          <w:fldChar w:fldCharType="begin"/>
        </w:r>
        <w:r w:rsidR="00906F9F">
          <w:rPr>
            <w:noProof/>
            <w:webHidden/>
          </w:rPr>
          <w:instrText xml:space="preserve"> PAGEREF _Toc461630692 \h </w:instrText>
        </w:r>
        <w:r w:rsidR="00906F9F">
          <w:rPr>
            <w:noProof/>
            <w:webHidden/>
          </w:rPr>
        </w:r>
        <w:r w:rsidR="00906F9F">
          <w:rPr>
            <w:noProof/>
            <w:webHidden/>
          </w:rPr>
          <w:fldChar w:fldCharType="separate"/>
        </w:r>
        <w:r w:rsidR="00BD218B">
          <w:rPr>
            <w:noProof/>
            <w:webHidden/>
          </w:rPr>
          <w:t>14</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93" w:history="1">
        <w:r w:rsidR="00906F9F" w:rsidRPr="006B174A">
          <w:rPr>
            <w:rStyle w:val="Hyperlink"/>
            <w:noProof/>
          </w:rPr>
          <w:t>2.4</w:t>
        </w:r>
        <w:r w:rsidR="00906F9F">
          <w:rPr>
            <w:b w:val="0"/>
            <w:bCs w:val="0"/>
            <w:noProof/>
            <w:sz w:val="22"/>
          </w:rPr>
          <w:tab/>
        </w:r>
        <w:r w:rsidR="00906F9F" w:rsidRPr="006B174A">
          <w:rPr>
            <w:rStyle w:val="Hyperlink"/>
            <w:noProof/>
          </w:rPr>
          <w:t>Summary of water charging arrangements</w:t>
        </w:r>
        <w:r w:rsidR="00906F9F">
          <w:rPr>
            <w:noProof/>
            <w:webHidden/>
          </w:rPr>
          <w:tab/>
        </w:r>
        <w:r w:rsidR="00906F9F">
          <w:rPr>
            <w:noProof/>
            <w:webHidden/>
          </w:rPr>
          <w:fldChar w:fldCharType="begin"/>
        </w:r>
        <w:r w:rsidR="00906F9F">
          <w:rPr>
            <w:noProof/>
            <w:webHidden/>
          </w:rPr>
          <w:instrText xml:space="preserve"> PAGEREF _Toc461630693 \h </w:instrText>
        </w:r>
        <w:r w:rsidR="00906F9F">
          <w:rPr>
            <w:noProof/>
            <w:webHidden/>
          </w:rPr>
        </w:r>
        <w:r w:rsidR="00906F9F">
          <w:rPr>
            <w:noProof/>
            <w:webHidden/>
          </w:rPr>
          <w:fldChar w:fldCharType="separate"/>
        </w:r>
        <w:r w:rsidR="00BD218B">
          <w:rPr>
            <w:noProof/>
            <w:webHidden/>
          </w:rPr>
          <w:t>15</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694" w:history="1">
        <w:r w:rsidR="00906F9F" w:rsidRPr="006B174A">
          <w:rPr>
            <w:rStyle w:val="Hyperlink"/>
            <w:rFonts w:cs="Times New Roman"/>
            <w:noProof/>
          </w:rPr>
          <w:t>3</w:t>
        </w:r>
        <w:r w:rsidR="00906F9F">
          <w:rPr>
            <w:rFonts w:asciiTheme="minorHAnsi" w:hAnsiTheme="minorHAnsi"/>
            <w:b w:val="0"/>
            <w:bCs w:val="0"/>
            <w:noProof/>
            <w:sz w:val="22"/>
            <w:szCs w:val="22"/>
          </w:rPr>
          <w:tab/>
        </w:r>
        <w:r w:rsidR="00906F9F" w:rsidRPr="006B174A">
          <w:rPr>
            <w:rStyle w:val="Hyperlink"/>
            <w:rFonts w:cs="Times New Roman"/>
            <w:noProof/>
          </w:rPr>
          <w:t>Legislative framework</w:t>
        </w:r>
        <w:r w:rsidR="00906F9F">
          <w:rPr>
            <w:noProof/>
            <w:webHidden/>
          </w:rPr>
          <w:tab/>
        </w:r>
        <w:r w:rsidR="00906F9F">
          <w:rPr>
            <w:noProof/>
            <w:webHidden/>
          </w:rPr>
          <w:fldChar w:fldCharType="begin"/>
        </w:r>
        <w:r w:rsidR="00906F9F">
          <w:rPr>
            <w:noProof/>
            <w:webHidden/>
          </w:rPr>
          <w:instrText xml:space="preserve"> PAGEREF _Toc461630694 \h </w:instrText>
        </w:r>
        <w:r w:rsidR="00906F9F">
          <w:rPr>
            <w:noProof/>
            <w:webHidden/>
          </w:rPr>
        </w:r>
        <w:r w:rsidR="00906F9F">
          <w:rPr>
            <w:noProof/>
            <w:webHidden/>
          </w:rPr>
          <w:fldChar w:fldCharType="separate"/>
        </w:r>
        <w:r w:rsidR="00BD218B">
          <w:rPr>
            <w:noProof/>
            <w:webHidden/>
          </w:rPr>
          <w:t>16</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95" w:history="1">
        <w:r w:rsidR="00906F9F" w:rsidRPr="006B174A">
          <w:rPr>
            <w:rStyle w:val="Hyperlink"/>
            <w:noProof/>
          </w:rPr>
          <w:t>3.1</w:t>
        </w:r>
        <w:r w:rsidR="00906F9F">
          <w:rPr>
            <w:b w:val="0"/>
            <w:bCs w:val="0"/>
            <w:noProof/>
            <w:sz w:val="22"/>
          </w:rPr>
          <w:tab/>
        </w:r>
        <w:r w:rsidR="00906F9F" w:rsidRPr="006B174A">
          <w:rPr>
            <w:rStyle w:val="Hyperlink"/>
            <w:noProof/>
          </w:rPr>
          <w:t>Development of the water charge rules</w:t>
        </w:r>
        <w:r w:rsidR="00906F9F">
          <w:rPr>
            <w:noProof/>
            <w:webHidden/>
          </w:rPr>
          <w:tab/>
        </w:r>
        <w:r w:rsidR="00906F9F">
          <w:rPr>
            <w:noProof/>
            <w:webHidden/>
          </w:rPr>
          <w:fldChar w:fldCharType="begin"/>
        </w:r>
        <w:r w:rsidR="00906F9F">
          <w:rPr>
            <w:noProof/>
            <w:webHidden/>
          </w:rPr>
          <w:instrText xml:space="preserve"> PAGEREF _Toc461630695 \h </w:instrText>
        </w:r>
        <w:r w:rsidR="00906F9F">
          <w:rPr>
            <w:noProof/>
            <w:webHidden/>
          </w:rPr>
        </w:r>
        <w:r w:rsidR="00906F9F">
          <w:rPr>
            <w:noProof/>
            <w:webHidden/>
          </w:rPr>
          <w:fldChar w:fldCharType="separate"/>
        </w:r>
        <w:r w:rsidR="00BD218B">
          <w:rPr>
            <w:noProof/>
            <w:webHidden/>
          </w:rPr>
          <w:t>16</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96" w:history="1">
        <w:r w:rsidR="00906F9F" w:rsidRPr="006B174A">
          <w:rPr>
            <w:rStyle w:val="Hyperlink"/>
            <w:noProof/>
          </w:rPr>
          <w:t>3.2</w:t>
        </w:r>
        <w:r w:rsidR="00906F9F">
          <w:rPr>
            <w:b w:val="0"/>
            <w:bCs w:val="0"/>
            <w:noProof/>
            <w:sz w:val="22"/>
          </w:rPr>
          <w:tab/>
        </w:r>
        <w:r w:rsidR="00906F9F" w:rsidRPr="006B174A">
          <w:rPr>
            <w:rStyle w:val="Hyperlink"/>
            <w:noProof/>
          </w:rPr>
          <w:t>Water Act Review recommendations and conclusions</w:t>
        </w:r>
        <w:r w:rsidR="00906F9F">
          <w:rPr>
            <w:noProof/>
            <w:webHidden/>
          </w:rPr>
          <w:tab/>
        </w:r>
        <w:r w:rsidR="00906F9F">
          <w:rPr>
            <w:noProof/>
            <w:webHidden/>
          </w:rPr>
          <w:fldChar w:fldCharType="begin"/>
        </w:r>
        <w:r w:rsidR="00906F9F">
          <w:rPr>
            <w:noProof/>
            <w:webHidden/>
          </w:rPr>
          <w:instrText xml:space="preserve"> PAGEREF _Toc461630696 \h </w:instrText>
        </w:r>
        <w:r w:rsidR="00906F9F">
          <w:rPr>
            <w:noProof/>
            <w:webHidden/>
          </w:rPr>
        </w:r>
        <w:r w:rsidR="00906F9F">
          <w:rPr>
            <w:noProof/>
            <w:webHidden/>
          </w:rPr>
          <w:fldChar w:fldCharType="separate"/>
        </w:r>
        <w:r w:rsidR="00BD218B">
          <w:rPr>
            <w:noProof/>
            <w:webHidden/>
          </w:rPr>
          <w:t>16</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697" w:history="1">
        <w:r w:rsidR="00906F9F" w:rsidRPr="006B174A">
          <w:rPr>
            <w:rStyle w:val="Hyperlink"/>
            <w:rFonts w:cs="Times New Roman"/>
            <w:noProof/>
          </w:rPr>
          <w:t>4</w:t>
        </w:r>
        <w:r w:rsidR="00906F9F">
          <w:rPr>
            <w:rFonts w:asciiTheme="minorHAnsi" w:hAnsiTheme="minorHAnsi"/>
            <w:b w:val="0"/>
            <w:bCs w:val="0"/>
            <w:noProof/>
            <w:sz w:val="22"/>
            <w:szCs w:val="22"/>
          </w:rPr>
          <w:tab/>
        </w:r>
        <w:r w:rsidR="00906F9F" w:rsidRPr="006B174A">
          <w:rPr>
            <w:rStyle w:val="Hyperlink"/>
            <w:rFonts w:cs="Times New Roman"/>
            <w:noProof/>
          </w:rPr>
          <w:t>General matters</w:t>
        </w:r>
        <w:r w:rsidR="00906F9F">
          <w:rPr>
            <w:noProof/>
            <w:webHidden/>
          </w:rPr>
          <w:tab/>
        </w:r>
        <w:r w:rsidR="00906F9F">
          <w:rPr>
            <w:noProof/>
            <w:webHidden/>
          </w:rPr>
          <w:fldChar w:fldCharType="begin"/>
        </w:r>
        <w:r w:rsidR="00906F9F">
          <w:rPr>
            <w:noProof/>
            <w:webHidden/>
          </w:rPr>
          <w:instrText xml:space="preserve"> PAGEREF _Toc461630697 \h </w:instrText>
        </w:r>
        <w:r w:rsidR="00906F9F">
          <w:rPr>
            <w:noProof/>
            <w:webHidden/>
          </w:rPr>
        </w:r>
        <w:r w:rsidR="00906F9F">
          <w:rPr>
            <w:noProof/>
            <w:webHidden/>
          </w:rPr>
          <w:fldChar w:fldCharType="separate"/>
        </w:r>
        <w:r w:rsidR="00BD218B">
          <w:rPr>
            <w:noProof/>
            <w:webHidden/>
          </w:rPr>
          <w:t>19</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98" w:history="1">
        <w:r w:rsidR="00906F9F" w:rsidRPr="006B174A">
          <w:rPr>
            <w:rStyle w:val="Hyperlink"/>
            <w:noProof/>
          </w:rPr>
          <w:t>4.1</w:t>
        </w:r>
        <w:r w:rsidR="00906F9F">
          <w:rPr>
            <w:b w:val="0"/>
            <w:bCs w:val="0"/>
            <w:noProof/>
            <w:sz w:val="22"/>
          </w:rPr>
          <w:tab/>
        </w:r>
        <w:r w:rsidR="00906F9F" w:rsidRPr="006B174A">
          <w:rPr>
            <w:rStyle w:val="Hyperlink"/>
            <w:noProof/>
          </w:rPr>
          <w:t>Opportunities to reduce cost to industry and governments</w:t>
        </w:r>
        <w:r w:rsidR="00906F9F">
          <w:rPr>
            <w:noProof/>
            <w:webHidden/>
          </w:rPr>
          <w:tab/>
        </w:r>
        <w:r w:rsidR="00906F9F">
          <w:rPr>
            <w:noProof/>
            <w:webHidden/>
          </w:rPr>
          <w:fldChar w:fldCharType="begin"/>
        </w:r>
        <w:r w:rsidR="00906F9F">
          <w:rPr>
            <w:noProof/>
            <w:webHidden/>
          </w:rPr>
          <w:instrText xml:space="preserve"> PAGEREF _Toc461630698 \h </w:instrText>
        </w:r>
        <w:r w:rsidR="00906F9F">
          <w:rPr>
            <w:noProof/>
            <w:webHidden/>
          </w:rPr>
        </w:r>
        <w:r w:rsidR="00906F9F">
          <w:rPr>
            <w:noProof/>
            <w:webHidden/>
          </w:rPr>
          <w:fldChar w:fldCharType="separate"/>
        </w:r>
        <w:r w:rsidR="00BD218B">
          <w:rPr>
            <w:noProof/>
            <w:webHidden/>
          </w:rPr>
          <w:t>19</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699" w:history="1">
        <w:r w:rsidR="00906F9F" w:rsidRPr="006B174A">
          <w:rPr>
            <w:rStyle w:val="Hyperlink"/>
            <w:noProof/>
          </w:rPr>
          <w:t>4.2</w:t>
        </w:r>
        <w:r w:rsidR="00906F9F">
          <w:rPr>
            <w:b w:val="0"/>
            <w:bCs w:val="0"/>
            <w:noProof/>
            <w:sz w:val="22"/>
          </w:rPr>
          <w:tab/>
        </w:r>
        <w:r w:rsidR="00906F9F" w:rsidRPr="006B174A">
          <w:rPr>
            <w:rStyle w:val="Hyperlink"/>
            <w:noProof/>
          </w:rPr>
          <w:t>The Basin Water Charging Objectives and Principles</w:t>
        </w:r>
        <w:r w:rsidR="00906F9F">
          <w:rPr>
            <w:noProof/>
            <w:webHidden/>
          </w:rPr>
          <w:tab/>
        </w:r>
        <w:r w:rsidR="00906F9F">
          <w:rPr>
            <w:noProof/>
            <w:webHidden/>
          </w:rPr>
          <w:fldChar w:fldCharType="begin"/>
        </w:r>
        <w:r w:rsidR="00906F9F">
          <w:rPr>
            <w:noProof/>
            <w:webHidden/>
          </w:rPr>
          <w:instrText xml:space="preserve"> PAGEREF _Toc461630699 \h </w:instrText>
        </w:r>
        <w:r w:rsidR="00906F9F">
          <w:rPr>
            <w:noProof/>
            <w:webHidden/>
          </w:rPr>
        </w:r>
        <w:r w:rsidR="00906F9F">
          <w:rPr>
            <w:noProof/>
            <w:webHidden/>
          </w:rPr>
          <w:fldChar w:fldCharType="separate"/>
        </w:r>
        <w:r w:rsidR="00BD218B">
          <w:rPr>
            <w:noProof/>
            <w:webHidden/>
          </w:rPr>
          <w:t>21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00" w:history="1">
        <w:r w:rsidR="00906F9F" w:rsidRPr="006B174A">
          <w:rPr>
            <w:rStyle w:val="Hyperlink"/>
            <w:noProof/>
          </w:rPr>
          <w:t>4.3</w:t>
        </w:r>
        <w:r w:rsidR="00906F9F">
          <w:rPr>
            <w:b w:val="0"/>
            <w:bCs w:val="0"/>
            <w:noProof/>
            <w:sz w:val="22"/>
          </w:rPr>
          <w:tab/>
        </w:r>
        <w:r w:rsidR="00906F9F" w:rsidRPr="006B174A">
          <w:rPr>
            <w:rStyle w:val="Hyperlink"/>
            <w:noProof/>
          </w:rPr>
          <w:t>Drafting amendments to improve clarity</w:t>
        </w:r>
        <w:r w:rsidR="00906F9F">
          <w:rPr>
            <w:noProof/>
            <w:webHidden/>
          </w:rPr>
          <w:tab/>
        </w:r>
        <w:r w:rsidR="00906F9F">
          <w:rPr>
            <w:noProof/>
            <w:webHidden/>
          </w:rPr>
          <w:fldChar w:fldCharType="begin"/>
        </w:r>
        <w:r w:rsidR="00906F9F">
          <w:rPr>
            <w:noProof/>
            <w:webHidden/>
          </w:rPr>
          <w:instrText xml:space="preserve"> PAGEREF _Toc461630700 \h </w:instrText>
        </w:r>
        <w:r w:rsidR="00906F9F">
          <w:rPr>
            <w:noProof/>
            <w:webHidden/>
          </w:rPr>
        </w:r>
        <w:r w:rsidR="00906F9F">
          <w:rPr>
            <w:noProof/>
            <w:webHidden/>
          </w:rPr>
          <w:fldChar w:fldCharType="separate"/>
        </w:r>
        <w:r w:rsidR="00BD218B">
          <w:rPr>
            <w:noProof/>
            <w:webHidden/>
          </w:rPr>
          <w:t>27</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01" w:history="1">
        <w:r w:rsidR="00906F9F" w:rsidRPr="006B174A">
          <w:rPr>
            <w:rStyle w:val="Hyperlink"/>
            <w:noProof/>
          </w:rPr>
          <w:t>4.3.1</w:t>
        </w:r>
        <w:r w:rsidR="00906F9F">
          <w:rPr>
            <w:rFonts w:asciiTheme="minorHAnsi" w:hAnsiTheme="minorHAnsi" w:cstheme="minorBidi"/>
            <w:noProof/>
            <w:szCs w:val="22"/>
          </w:rPr>
          <w:tab/>
        </w:r>
        <w:r w:rsidR="00906F9F" w:rsidRPr="006B174A">
          <w:rPr>
            <w:rStyle w:val="Hyperlink"/>
            <w:noProof/>
          </w:rPr>
          <w:t>Combining the water charge rules and water market rules</w:t>
        </w:r>
        <w:r w:rsidR="00906F9F">
          <w:rPr>
            <w:noProof/>
            <w:webHidden/>
          </w:rPr>
          <w:tab/>
        </w:r>
        <w:r w:rsidR="00906F9F">
          <w:rPr>
            <w:noProof/>
            <w:webHidden/>
          </w:rPr>
          <w:fldChar w:fldCharType="begin"/>
        </w:r>
        <w:r w:rsidR="00906F9F">
          <w:rPr>
            <w:noProof/>
            <w:webHidden/>
          </w:rPr>
          <w:instrText xml:space="preserve"> PAGEREF _Toc461630701 \h </w:instrText>
        </w:r>
        <w:r w:rsidR="00906F9F">
          <w:rPr>
            <w:noProof/>
            <w:webHidden/>
          </w:rPr>
        </w:r>
        <w:r w:rsidR="00906F9F">
          <w:rPr>
            <w:noProof/>
            <w:webHidden/>
          </w:rPr>
          <w:fldChar w:fldCharType="separate"/>
        </w:r>
        <w:r w:rsidR="00BD218B">
          <w:rPr>
            <w:noProof/>
            <w:webHidden/>
          </w:rPr>
          <w:t>27</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02" w:history="1">
        <w:r w:rsidR="00906F9F" w:rsidRPr="006B174A">
          <w:rPr>
            <w:rStyle w:val="Hyperlink"/>
            <w:noProof/>
          </w:rPr>
          <w:t>4.4</w:t>
        </w:r>
        <w:r w:rsidR="00906F9F">
          <w:rPr>
            <w:b w:val="0"/>
            <w:bCs w:val="0"/>
            <w:noProof/>
            <w:sz w:val="22"/>
          </w:rPr>
          <w:tab/>
        </w:r>
        <w:r w:rsidR="00906F9F" w:rsidRPr="006B174A">
          <w:rPr>
            <w:rStyle w:val="Hyperlink"/>
            <w:noProof/>
          </w:rPr>
          <w:t>ACCC guidance material and ACCC WCIR pricing principles</w:t>
        </w:r>
        <w:r w:rsidR="00906F9F">
          <w:rPr>
            <w:noProof/>
            <w:webHidden/>
          </w:rPr>
          <w:tab/>
        </w:r>
        <w:r w:rsidR="00906F9F">
          <w:rPr>
            <w:noProof/>
            <w:webHidden/>
          </w:rPr>
          <w:fldChar w:fldCharType="begin"/>
        </w:r>
        <w:r w:rsidR="00906F9F">
          <w:rPr>
            <w:noProof/>
            <w:webHidden/>
          </w:rPr>
          <w:instrText xml:space="preserve"> PAGEREF _Toc461630702 \h </w:instrText>
        </w:r>
        <w:r w:rsidR="00906F9F">
          <w:rPr>
            <w:noProof/>
            <w:webHidden/>
          </w:rPr>
        </w:r>
        <w:r w:rsidR="00906F9F">
          <w:rPr>
            <w:noProof/>
            <w:webHidden/>
          </w:rPr>
          <w:fldChar w:fldCharType="separate"/>
        </w:r>
        <w:r w:rsidR="00BD218B">
          <w:rPr>
            <w:noProof/>
            <w:webHidden/>
          </w:rPr>
          <w:t>31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03" w:history="1">
        <w:r w:rsidR="00906F9F" w:rsidRPr="006B174A">
          <w:rPr>
            <w:rStyle w:val="Hyperlink"/>
            <w:noProof/>
          </w:rPr>
          <w:t>4.5</w:t>
        </w:r>
        <w:r w:rsidR="00906F9F">
          <w:rPr>
            <w:b w:val="0"/>
            <w:bCs w:val="0"/>
            <w:noProof/>
            <w:sz w:val="22"/>
          </w:rPr>
          <w:tab/>
        </w:r>
        <w:r w:rsidR="00906F9F" w:rsidRPr="006B174A">
          <w:rPr>
            <w:rStyle w:val="Hyperlink"/>
            <w:noProof/>
          </w:rPr>
          <w:t>Enforcement and compliance approach</w:t>
        </w:r>
        <w:r w:rsidR="00906F9F">
          <w:rPr>
            <w:noProof/>
            <w:webHidden/>
          </w:rPr>
          <w:tab/>
        </w:r>
        <w:r w:rsidR="00906F9F">
          <w:rPr>
            <w:noProof/>
            <w:webHidden/>
          </w:rPr>
          <w:fldChar w:fldCharType="begin"/>
        </w:r>
        <w:r w:rsidR="00906F9F">
          <w:rPr>
            <w:noProof/>
            <w:webHidden/>
          </w:rPr>
          <w:instrText xml:space="preserve"> PAGEREF _Toc461630703 \h </w:instrText>
        </w:r>
        <w:r w:rsidR="00906F9F">
          <w:rPr>
            <w:noProof/>
            <w:webHidden/>
          </w:rPr>
        </w:r>
        <w:r w:rsidR="00906F9F">
          <w:rPr>
            <w:noProof/>
            <w:webHidden/>
          </w:rPr>
          <w:fldChar w:fldCharType="separate"/>
        </w:r>
        <w:r w:rsidR="00BD218B">
          <w:rPr>
            <w:noProof/>
            <w:webHidden/>
          </w:rPr>
          <w:t>33</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04" w:history="1">
        <w:r w:rsidR="00906F9F" w:rsidRPr="006B174A">
          <w:rPr>
            <w:rStyle w:val="Hyperlink"/>
            <w:noProof/>
          </w:rPr>
          <w:t>4.6</w:t>
        </w:r>
        <w:r w:rsidR="00906F9F">
          <w:rPr>
            <w:b w:val="0"/>
            <w:bCs w:val="0"/>
            <w:noProof/>
            <w:sz w:val="22"/>
          </w:rPr>
          <w:tab/>
        </w:r>
        <w:r w:rsidR="00906F9F" w:rsidRPr="006B174A">
          <w:rPr>
            <w:rStyle w:val="Hyperlink"/>
            <w:noProof/>
          </w:rPr>
          <w:t>Future reviews of the water charge rules</w:t>
        </w:r>
        <w:r w:rsidR="00906F9F">
          <w:rPr>
            <w:noProof/>
            <w:webHidden/>
          </w:rPr>
          <w:tab/>
        </w:r>
        <w:r w:rsidR="00906F9F">
          <w:rPr>
            <w:noProof/>
            <w:webHidden/>
          </w:rPr>
          <w:fldChar w:fldCharType="begin"/>
        </w:r>
        <w:r w:rsidR="00906F9F">
          <w:rPr>
            <w:noProof/>
            <w:webHidden/>
          </w:rPr>
          <w:instrText xml:space="preserve"> PAGEREF _Toc461630704 \h </w:instrText>
        </w:r>
        <w:r w:rsidR="00906F9F">
          <w:rPr>
            <w:noProof/>
            <w:webHidden/>
          </w:rPr>
        </w:r>
        <w:r w:rsidR="00906F9F">
          <w:rPr>
            <w:noProof/>
            <w:webHidden/>
          </w:rPr>
          <w:fldChar w:fldCharType="separate"/>
        </w:r>
        <w:r w:rsidR="00BD218B">
          <w:rPr>
            <w:noProof/>
            <w:webHidden/>
          </w:rPr>
          <w:t>37</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05" w:history="1">
        <w:r w:rsidR="00906F9F" w:rsidRPr="006B174A">
          <w:rPr>
            <w:rStyle w:val="Hyperlink"/>
            <w:noProof/>
          </w:rPr>
          <w:t>4.7</w:t>
        </w:r>
        <w:r w:rsidR="00906F9F">
          <w:rPr>
            <w:b w:val="0"/>
            <w:bCs w:val="0"/>
            <w:noProof/>
            <w:sz w:val="22"/>
          </w:rPr>
          <w:tab/>
        </w:r>
        <w:r w:rsidR="00906F9F" w:rsidRPr="006B174A">
          <w:rPr>
            <w:rStyle w:val="Hyperlink"/>
            <w:noProof/>
          </w:rPr>
          <w:t>Timing of rule amendments</w:t>
        </w:r>
        <w:r w:rsidR="00906F9F">
          <w:rPr>
            <w:noProof/>
            <w:webHidden/>
          </w:rPr>
          <w:tab/>
        </w:r>
        <w:r w:rsidR="00906F9F">
          <w:rPr>
            <w:noProof/>
            <w:webHidden/>
          </w:rPr>
          <w:fldChar w:fldCharType="begin"/>
        </w:r>
        <w:r w:rsidR="00906F9F">
          <w:rPr>
            <w:noProof/>
            <w:webHidden/>
          </w:rPr>
          <w:instrText xml:space="preserve"> PAGEREF _Toc461630705 \h </w:instrText>
        </w:r>
        <w:r w:rsidR="00906F9F">
          <w:rPr>
            <w:noProof/>
            <w:webHidden/>
          </w:rPr>
        </w:r>
        <w:r w:rsidR="00906F9F">
          <w:rPr>
            <w:noProof/>
            <w:webHidden/>
          </w:rPr>
          <w:fldChar w:fldCharType="separate"/>
        </w:r>
        <w:r w:rsidR="00BD218B">
          <w:rPr>
            <w:noProof/>
            <w:webHidden/>
          </w:rPr>
          <w:t>38</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706" w:history="1">
        <w:r w:rsidR="00906F9F" w:rsidRPr="006B174A">
          <w:rPr>
            <w:rStyle w:val="Hyperlink"/>
            <w:rFonts w:cs="Times New Roman"/>
            <w:noProof/>
          </w:rPr>
          <w:t>5</w:t>
        </w:r>
        <w:r w:rsidR="00906F9F">
          <w:rPr>
            <w:rFonts w:asciiTheme="minorHAnsi" w:hAnsiTheme="minorHAnsi"/>
            <w:b w:val="0"/>
            <w:bCs w:val="0"/>
            <w:noProof/>
            <w:sz w:val="22"/>
            <w:szCs w:val="22"/>
          </w:rPr>
          <w:tab/>
        </w:r>
        <w:r w:rsidR="00906F9F" w:rsidRPr="006B174A">
          <w:rPr>
            <w:rStyle w:val="Hyperlink"/>
            <w:rFonts w:cs="Times New Roman"/>
            <w:noProof/>
          </w:rPr>
          <w:t>Water Charge (Infrastructure) Rules 2010</w:t>
        </w:r>
        <w:r w:rsidR="00906F9F">
          <w:rPr>
            <w:noProof/>
            <w:webHidden/>
          </w:rPr>
          <w:tab/>
        </w:r>
        <w:r w:rsidR="00906F9F">
          <w:rPr>
            <w:noProof/>
            <w:webHidden/>
          </w:rPr>
          <w:fldChar w:fldCharType="begin"/>
        </w:r>
        <w:r w:rsidR="00906F9F">
          <w:rPr>
            <w:noProof/>
            <w:webHidden/>
          </w:rPr>
          <w:instrText xml:space="preserve"> PAGEREF _Toc461630706 \h </w:instrText>
        </w:r>
        <w:r w:rsidR="00906F9F">
          <w:rPr>
            <w:noProof/>
            <w:webHidden/>
          </w:rPr>
        </w:r>
        <w:r w:rsidR="00906F9F">
          <w:rPr>
            <w:noProof/>
            <w:webHidden/>
          </w:rPr>
          <w:fldChar w:fldCharType="separate"/>
        </w:r>
        <w:r w:rsidR="00BD218B">
          <w:rPr>
            <w:noProof/>
            <w:webHidden/>
          </w:rPr>
          <w:t>41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07" w:history="1">
        <w:r w:rsidR="00906F9F" w:rsidRPr="006B174A">
          <w:rPr>
            <w:rStyle w:val="Hyperlink"/>
            <w:noProof/>
          </w:rPr>
          <w:t>5.1</w:t>
        </w:r>
        <w:r w:rsidR="00906F9F">
          <w:rPr>
            <w:b w:val="0"/>
            <w:bCs w:val="0"/>
            <w:noProof/>
            <w:sz w:val="22"/>
          </w:rPr>
          <w:tab/>
        </w:r>
        <w:r w:rsidR="00906F9F" w:rsidRPr="006B174A">
          <w:rPr>
            <w:rStyle w:val="Hyperlink"/>
            <w:noProof/>
          </w:rPr>
          <w:t>Rationale for the WCIR and operator ownership arrangements</w:t>
        </w:r>
        <w:r w:rsidR="00906F9F">
          <w:rPr>
            <w:noProof/>
            <w:webHidden/>
          </w:rPr>
          <w:tab/>
        </w:r>
        <w:r w:rsidR="00906F9F">
          <w:rPr>
            <w:noProof/>
            <w:webHidden/>
          </w:rPr>
          <w:fldChar w:fldCharType="begin"/>
        </w:r>
        <w:r w:rsidR="00906F9F">
          <w:rPr>
            <w:noProof/>
            <w:webHidden/>
          </w:rPr>
          <w:instrText xml:space="preserve"> PAGEREF _Toc461630707 \h </w:instrText>
        </w:r>
        <w:r w:rsidR="00906F9F">
          <w:rPr>
            <w:noProof/>
            <w:webHidden/>
          </w:rPr>
        </w:r>
        <w:r w:rsidR="00906F9F">
          <w:rPr>
            <w:noProof/>
            <w:webHidden/>
          </w:rPr>
          <w:fldChar w:fldCharType="separate"/>
        </w:r>
        <w:r w:rsidR="00BD218B">
          <w:rPr>
            <w:noProof/>
            <w:webHidden/>
          </w:rPr>
          <w:t>41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08" w:history="1">
        <w:r w:rsidR="00906F9F" w:rsidRPr="006B174A">
          <w:rPr>
            <w:rStyle w:val="Hyperlink"/>
            <w:noProof/>
          </w:rPr>
          <w:t>5.2</w:t>
        </w:r>
        <w:r w:rsidR="00906F9F">
          <w:rPr>
            <w:b w:val="0"/>
            <w:bCs w:val="0"/>
            <w:noProof/>
            <w:sz w:val="22"/>
          </w:rPr>
          <w:tab/>
        </w:r>
        <w:r w:rsidR="00906F9F" w:rsidRPr="006B174A">
          <w:rPr>
            <w:rStyle w:val="Hyperlink"/>
            <w:noProof/>
          </w:rPr>
          <w:t>Tiered regulation of infrastructure operators</w:t>
        </w:r>
        <w:r w:rsidR="00906F9F">
          <w:rPr>
            <w:noProof/>
            <w:webHidden/>
          </w:rPr>
          <w:tab/>
        </w:r>
        <w:r w:rsidR="00906F9F">
          <w:rPr>
            <w:noProof/>
            <w:webHidden/>
          </w:rPr>
          <w:fldChar w:fldCharType="begin"/>
        </w:r>
        <w:r w:rsidR="00906F9F">
          <w:rPr>
            <w:noProof/>
            <w:webHidden/>
          </w:rPr>
          <w:instrText xml:space="preserve"> PAGEREF _Toc461630708 \h </w:instrText>
        </w:r>
        <w:r w:rsidR="00906F9F">
          <w:rPr>
            <w:noProof/>
            <w:webHidden/>
          </w:rPr>
        </w:r>
        <w:r w:rsidR="00906F9F">
          <w:rPr>
            <w:noProof/>
            <w:webHidden/>
          </w:rPr>
          <w:fldChar w:fldCharType="separate"/>
        </w:r>
        <w:r w:rsidR="00BD218B">
          <w:rPr>
            <w:noProof/>
            <w:webHidden/>
          </w:rPr>
          <w:t>43</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09" w:history="1">
        <w:r w:rsidR="00906F9F" w:rsidRPr="006B174A">
          <w:rPr>
            <w:rStyle w:val="Hyperlink"/>
            <w:noProof/>
          </w:rPr>
          <w:t>5.3</w:t>
        </w:r>
        <w:r w:rsidR="00906F9F">
          <w:rPr>
            <w:b w:val="0"/>
            <w:bCs w:val="0"/>
            <w:noProof/>
            <w:sz w:val="22"/>
          </w:rPr>
          <w:tab/>
        </w:r>
        <w:r w:rsidR="00906F9F" w:rsidRPr="006B174A">
          <w:rPr>
            <w:rStyle w:val="Hyperlink"/>
            <w:noProof/>
          </w:rPr>
          <w:t>Non-discrimination requirements (Part 3)</w:t>
        </w:r>
        <w:r w:rsidR="00906F9F">
          <w:rPr>
            <w:noProof/>
            <w:webHidden/>
          </w:rPr>
          <w:tab/>
        </w:r>
        <w:r w:rsidR="00906F9F">
          <w:rPr>
            <w:noProof/>
            <w:webHidden/>
          </w:rPr>
          <w:fldChar w:fldCharType="begin"/>
        </w:r>
        <w:r w:rsidR="00906F9F">
          <w:rPr>
            <w:noProof/>
            <w:webHidden/>
          </w:rPr>
          <w:instrText xml:space="preserve"> PAGEREF _Toc461630709 \h </w:instrText>
        </w:r>
        <w:r w:rsidR="00906F9F">
          <w:rPr>
            <w:noProof/>
            <w:webHidden/>
          </w:rPr>
        </w:r>
        <w:r w:rsidR="00906F9F">
          <w:rPr>
            <w:noProof/>
            <w:webHidden/>
          </w:rPr>
          <w:fldChar w:fldCharType="separate"/>
        </w:r>
        <w:r w:rsidR="00BD218B">
          <w:rPr>
            <w:noProof/>
            <w:webHidden/>
          </w:rPr>
          <w:t>49</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10" w:history="1">
        <w:r w:rsidR="00906F9F" w:rsidRPr="006B174A">
          <w:rPr>
            <w:rStyle w:val="Hyperlink"/>
            <w:noProof/>
          </w:rPr>
          <w:t>5.3.1</w:t>
        </w:r>
        <w:r w:rsidR="00906F9F">
          <w:rPr>
            <w:rFonts w:asciiTheme="minorHAnsi" w:hAnsiTheme="minorHAnsi" w:cstheme="minorBidi"/>
            <w:noProof/>
            <w:szCs w:val="22"/>
          </w:rPr>
          <w:tab/>
        </w:r>
        <w:r w:rsidR="00906F9F" w:rsidRPr="006B174A">
          <w:rPr>
            <w:rStyle w:val="Hyperlink"/>
            <w:noProof/>
          </w:rPr>
          <w:t>Expanded non-discrimination requirements—proposed rule 10</w:t>
        </w:r>
        <w:r w:rsidR="00906F9F">
          <w:rPr>
            <w:noProof/>
            <w:webHidden/>
          </w:rPr>
          <w:tab/>
        </w:r>
        <w:r w:rsidR="00906F9F">
          <w:rPr>
            <w:noProof/>
            <w:webHidden/>
          </w:rPr>
          <w:fldChar w:fldCharType="begin"/>
        </w:r>
        <w:r w:rsidR="00906F9F">
          <w:rPr>
            <w:noProof/>
            <w:webHidden/>
          </w:rPr>
          <w:instrText xml:space="preserve"> PAGEREF _Toc461630710 \h </w:instrText>
        </w:r>
        <w:r w:rsidR="00906F9F">
          <w:rPr>
            <w:noProof/>
            <w:webHidden/>
          </w:rPr>
        </w:r>
        <w:r w:rsidR="00906F9F">
          <w:rPr>
            <w:noProof/>
            <w:webHidden/>
          </w:rPr>
          <w:fldChar w:fldCharType="separate"/>
        </w:r>
        <w:r w:rsidR="00BD218B">
          <w:rPr>
            <w:noProof/>
            <w:webHidden/>
          </w:rPr>
          <w:t>49</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11" w:history="1">
        <w:r w:rsidR="00906F9F" w:rsidRPr="006B174A">
          <w:rPr>
            <w:rStyle w:val="Hyperlink"/>
            <w:noProof/>
          </w:rPr>
          <w:t>5.3.2</w:t>
        </w:r>
        <w:r w:rsidR="00906F9F">
          <w:rPr>
            <w:rFonts w:asciiTheme="minorHAnsi" w:hAnsiTheme="minorHAnsi" w:cstheme="minorBidi"/>
            <w:noProof/>
            <w:szCs w:val="22"/>
          </w:rPr>
          <w:tab/>
        </w:r>
        <w:r w:rsidR="00906F9F" w:rsidRPr="006B174A">
          <w:rPr>
            <w:rStyle w:val="Hyperlink"/>
            <w:noProof/>
          </w:rPr>
          <w:t>Prohibition of certain infrastructure charges—proposed rule 10A</w:t>
        </w:r>
        <w:r w:rsidR="00906F9F">
          <w:rPr>
            <w:noProof/>
            <w:webHidden/>
          </w:rPr>
          <w:tab/>
        </w:r>
        <w:r w:rsidR="00906F9F">
          <w:rPr>
            <w:noProof/>
            <w:webHidden/>
          </w:rPr>
          <w:fldChar w:fldCharType="begin"/>
        </w:r>
        <w:r w:rsidR="00906F9F">
          <w:rPr>
            <w:noProof/>
            <w:webHidden/>
          </w:rPr>
          <w:instrText xml:space="preserve"> PAGEREF _Toc461630711 \h </w:instrText>
        </w:r>
        <w:r w:rsidR="00906F9F">
          <w:rPr>
            <w:noProof/>
            <w:webHidden/>
          </w:rPr>
        </w:r>
        <w:r w:rsidR="00906F9F">
          <w:rPr>
            <w:noProof/>
            <w:webHidden/>
          </w:rPr>
          <w:fldChar w:fldCharType="separate"/>
        </w:r>
        <w:r w:rsidR="00BD218B">
          <w:rPr>
            <w:noProof/>
            <w:webHidden/>
          </w:rPr>
          <w:t>83</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12" w:history="1">
        <w:r w:rsidR="00906F9F" w:rsidRPr="006B174A">
          <w:rPr>
            <w:rStyle w:val="Hyperlink"/>
            <w:noProof/>
          </w:rPr>
          <w:t>5.4</w:t>
        </w:r>
        <w:r w:rsidR="00906F9F">
          <w:rPr>
            <w:b w:val="0"/>
            <w:bCs w:val="0"/>
            <w:noProof/>
            <w:sz w:val="22"/>
          </w:rPr>
          <w:tab/>
        </w:r>
        <w:r w:rsidR="00906F9F" w:rsidRPr="006B174A">
          <w:rPr>
            <w:rStyle w:val="Hyperlink"/>
            <w:noProof/>
          </w:rPr>
          <w:t>Schedule of Charges (Part 4)</w:t>
        </w:r>
        <w:r w:rsidR="00906F9F">
          <w:rPr>
            <w:noProof/>
            <w:webHidden/>
          </w:rPr>
          <w:tab/>
        </w:r>
        <w:r w:rsidR="00906F9F">
          <w:rPr>
            <w:noProof/>
            <w:webHidden/>
          </w:rPr>
          <w:fldChar w:fldCharType="begin"/>
        </w:r>
        <w:r w:rsidR="00906F9F">
          <w:rPr>
            <w:noProof/>
            <w:webHidden/>
          </w:rPr>
          <w:instrText xml:space="preserve"> PAGEREF _Toc461630712 \h </w:instrText>
        </w:r>
        <w:r w:rsidR="00906F9F">
          <w:rPr>
            <w:noProof/>
            <w:webHidden/>
          </w:rPr>
        </w:r>
        <w:r w:rsidR="00906F9F">
          <w:rPr>
            <w:noProof/>
            <w:webHidden/>
          </w:rPr>
          <w:fldChar w:fldCharType="separate"/>
        </w:r>
        <w:r w:rsidR="00BD218B">
          <w:rPr>
            <w:noProof/>
            <w:webHidden/>
          </w:rPr>
          <w:t>95</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13" w:history="1">
        <w:r w:rsidR="00906F9F" w:rsidRPr="006B174A">
          <w:rPr>
            <w:rStyle w:val="Hyperlink"/>
            <w:noProof/>
          </w:rPr>
          <w:t>5.4.1</w:t>
        </w:r>
        <w:r w:rsidR="00906F9F">
          <w:rPr>
            <w:rFonts w:asciiTheme="minorHAnsi" w:hAnsiTheme="minorHAnsi" w:cstheme="minorBidi"/>
            <w:noProof/>
            <w:szCs w:val="22"/>
          </w:rPr>
          <w:tab/>
        </w:r>
        <w:r w:rsidR="00906F9F" w:rsidRPr="006B174A">
          <w:rPr>
            <w:rStyle w:val="Hyperlink"/>
            <w:noProof/>
          </w:rPr>
          <w:t>Information to be included on a Schedule of Charges</w:t>
        </w:r>
        <w:r w:rsidR="00906F9F">
          <w:rPr>
            <w:noProof/>
            <w:webHidden/>
          </w:rPr>
          <w:tab/>
        </w:r>
        <w:r w:rsidR="00906F9F">
          <w:rPr>
            <w:noProof/>
            <w:webHidden/>
          </w:rPr>
          <w:fldChar w:fldCharType="begin"/>
        </w:r>
        <w:r w:rsidR="00906F9F">
          <w:rPr>
            <w:noProof/>
            <w:webHidden/>
          </w:rPr>
          <w:instrText xml:space="preserve"> PAGEREF _Toc461630713 \h </w:instrText>
        </w:r>
        <w:r w:rsidR="00906F9F">
          <w:rPr>
            <w:noProof/>
            <w:webHidden/>
          </w:rPr>
        </w:r>
        <w:r w:rsidR="00906F9F">
          <w:rPr>
            <w:noProof/>
            <w:webHidden/>
          </w:rPr>
          <w:fldChar w:fldCharType="separate"/>
        </w:r>
        <w:r w:rsidR="00BD218B">
          <w:rPr>
            <w:noProof/>
            <w:webHidden/>
          </w:rPr>
          <w:t>95</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14" w:history="1">
        <w:r w:rsidR="00906F9F" w:rsidRPr="006B174A">
          <w:rPr>
            <w:rStyle w:val="Hyperlink"/>
            <w:noProof/>
          </w:rPr>
          <w:t>5.4.2</w:t>
        </w:r>
        <w:r w:rsidR="00906F9F">
          <w:rPr>
            <w:rFonts w:asciiTheme="minorHAnsi" w:hAnsiTheme="minorHAnsi" w:cstheme="minorBidi"/>
            <w:noProof/>
            <w:szCs w:val="22"/>
          </w:rPr>
          <w:tab/>
        </w:r>
        <w:r w:rsidR="00906F9F" w:rsidRPr="006B174A">
          <w:rPr>
            <w:rStyle w:val="Hyperlink"/>
            <w:noProof/>
          </w:rPr>
          <w:t>Publication requirements</w:t>
        </w:r>
        <w:r w:rsidR="00906F9F">
          <w:rPr>
            <w:noProof/>
            <w:webHidden/>
          </w:rPr>
          <w:tab/>
        </w:r>
        <w:r w:rsidR="00906F9F">
          <w:rPr>
            <w:noProof/>
            <w:webHidden/>
          </w:rPr>
          <w:fldChar w:fldCharType="begin"/>
        </w:r>
        <w:r w:rsidR="00906F9F">
          <w:rPr>
            <w:noProof/>
            <w:webHidden/>
          </w:rPr>
          <w:instrText xml:space="preserve"> PAGEREF _Toc461630714 \h </w:instrText>
        </w:r>
        <w:r w:rsidR="00906F9F">
          <w:rPr>
            <w:noProof/>
            <w:webHidden/>
          </w:rPr>
        </w:r>
        <w:r w:rsidR="00906F9F">
          <w:rPr>
            <w:noProof/>
            <w:webHidden/>
          </w:rPr>
          <w:fldChar w:fldCharType="separate"/>
        </w:r>
        <w:r w:rsidR="00BD218B">
          <w:rPr>
            <w:noProof/>
            <w:webHidden/>
          </w:rPr>
          <w:t>111</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15" w:history="1">
        <w:r w:rsidR="00906F9F" w:rsidRPr="006B174A">
          <w:rPr>
            <w:rStyle w:val="Hyperlink"/>
            <w:noProof/>
          </w:rPr>
          <w:t>5.4.3</w:t>
        </w:r>
        <w:r w:rsidR="00906F9F">
          <w:rPr>
            <w:rFonts w:asciiTheme="minorHAnsi" w:hAnsiTheme="minorHAnsi" w:cstheme="minorBidi"/>
            <w:noProof/>
            <w:szCs w:val="22"/>
          </w:rPr>
          <w:tab/>
        </w:r>
        <w:r w:rsidR="00906F9F" w:rsidRPr="006B174A">
          <w:rPr>
            <w:rStyle w:val="Hyperlink"/>
            <w:noProof/>
          </w:rPr>
          <w:t>Exemptions from the publication requirements</w:t>
        </w:r>
        <w:r w:rsidR="00906F9F">
          <w:rPr>
            <w:noProof/>
            <w:webHidden/>
          </w:rPr>
          <w:tab/>
        </w:r>
        <w:r w:rsidR="00906F9F">
          <w:rPr>
            <w:noProof/>
            <w:webHidden/>
          </w:rPr>
          <w:fldChar w:fldCharType="begin"/>
        </w:r>
        <w:r w:rsidR="00906F9F">
          <w:rPr>
            <w:noProof/>
            <w:webHidden/>
          </w:rPr>
          <w:instrText xml:space="preserve"> PAGEREF _Toc461630715 \h </w:instrText>
        </w:r>
        <w:r w:rsidR="00906F9F">
          <w:rPr>
            <w:noProof/>
            <w:webHidden/>
          </w:rPr>
        </w:r>
        <w:r w:rsidR="00906F9F">
          <w:rPr>
            <w:noProof/>
            <w:webHidden/>
          </w:rPr>
          <w:fldChar w:fldCharType="separate"/>
        </w:r>
        <w:r w:rsidR="00BD218B">
          <w:rPr>
            <w:noProof/>
            <w:webHidden/>
          </w:rPr>
          <w:t>127</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16" w:history="1">
        <w:r w:rsidR="00906F9F" w:rsidRPr="006B174A">
          <w:rPr>
            <w:rStyle w:val="Hyperlink"/>
            <w:noProof/>
          </w:rPr>
          <w:t>5.5</w:t>
        </w:r>
        <w:r w:rsidR="00906F9F">
          <w:rPr>
            <w:b w:val="0"/>
            <w:bCs w:val="0"/>
            <w:noProof/>
            <w:sz w:val="22"/>
          </w:rPr>
          <w:tab/>
        </w:r>
        <w:r w:rsidR="00906F9F" w:rsidRPr="006B174A">
          <w:rPr>
            <w:rStyle w:val="Hyperlink"/>
            <w:noProof/>
          </w:rPr>
          <w:t>Network Service Plans (Part 5)</w:t>
        </w:r>
        <w:r w:rsidR="00906F9F">
          <w:rPr>
            <w:noProof/>
            <w:webHidden/>
          </w:rPr>
          <w:tab/>
        </w:r>
        <w:r w:rsidR="00906F9F">
          <w:rPr>
            <w:noProof/>
            <w:webHidden/>
          </w:rPr>
          <w:fldChar w:fldCharType="begin"/>
        </w:r>
        <w:r w:rsidR="00906F9F">
          <w:rPr>
            <w:noProof/>
            <w:webHidden/>
          </w:rPr>
          <w:instrText xml:space="preserve"> PAGEREF _Toc461630716 \h </w:instrText>
        </w:r>
        <w:r w:rsidR="00906F9F">
          <w:rPr>
            <w:noProof/>
            <w:webHidden/>
          </w:rPr>
        </w:r>
        <w:r w:rsidR="00906F9F">
          <w:rPr>
            <w:noProof/>
            <w:webHidden/>
          </w:rPr>
          <w:fldChar w:fldCharType="separate"/>
        </w:r>
        <w:r w:rsidR="00BD218B">
          <w:rPr>
            <w:noProof/>
            <w:webHidden/>
          </w:rPr>
          <w:t>138</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17" w:history="1">
        <w:r w:rsidR="00906F9F" w:rsidRPr="006B174A">
          <w:rPr>
            <w:rStyle w:val="Hyperlink"/>
            <w:noProof/>
          </w:rPr>
          <w:t>5.6</w:t>
        </w:r>
        <w:r w:rsidR="00906F9F">
          <w:rPr>
            <w:b w:val="0"/>
            <w:bCs w:val="0"/>
            <w:noProof/>
            <w:sz w:val="22"/>
          </w:rPr>
          <w:tab/>
        </w:r>
        <w:r w:rsidR="00906F9F" w:rsidRPr="006B174A">
          <w:rPr>
            <w:rStyle w:val="Hyperlink"/>
            <w:noProof/>
          </w:rPr>
          <w:t>Approval or determination of regulated charges (Part 6)</w:t>
        </w:r>
        <w:r w:rsidR="00906F9F">
          <w:rPr>
            <w:noProof/>
            <w:webHidden/>
          </w:rPr>
          <w:tab/>
        </w:r>
        <w:r w:rsidR="00906F9F">
          <w:rPr>
            <w:noProof/>
            <w:webHidden/>
          </w:rPr>
          <w:fldChar w:fldCharType="begin"/>
        </w:r>
        <w:r w:rsidR="00906F9F">
          <w:rPr>
            <w:noProof/>
            <w:webHidden/>
          </w:rPr>
          <w:instrText xml:space="preserve"> PAGEREF _Toc461630717 \h </w:instrText>
        </w:r>
        <w:r w:rsidR="00906F9F">
          <w:rPr>
            <w:noProof/>
            <w:webHidden/>
          </w:rPr>
        </w:r>
        <w:r w:rsidR="00906F9F">
          <w:rPr>
            <w:noProof/>
            <w:webHidden/>
          </w:rPr>
          <w:fldChar w:fldCharType="separate"/>
        </w:r>
        <w:r w:rsidR="00BD218B">
          <w:rPr>
            <w:noProof/>
            <w:webHidden/>
          </w:rPr>
          <w:t>142</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18" w:history="1">
        <w:r w:rsidR="00906F9F" w:rsidRPr="006B174A">
          <w:rPr>
            <w:rStyle w:val="Hyperlink"/>
            <w:noProof/>
          </w:rPr>
          <w:t>5.6.1</w:t>
        </w:r>
        <w:r w:rsidR="00906F9F">
          <w:rPr>
            <w:rFonts w:asciiTheme="minorHAnsi" w:hAnsiTheme="minorHAnsi" w:cstheme="minorBidi"/>
            <w:noProof/>
            <w:szCs w:val="22"/>
          </w:rPr>
          <w:tab/>
        </w:r>
        <w:r w:rsidR="00906F9F" w:rsidRPr="006B174A">
          <w:rPr>
            <w:rStyle w:val="Hyperlink"/>
            <w:noProof/>
          </w:rPr>
          <w:t>Procedural requirements</w:t>
        </w:r>
        <w:r w:rsidR="00906F9F">
          <w:rPr>
            <w:noProof/>
            <w:webHidden/>
          </w:rPr>
          <w:tab/>
        </w:r>
        <w:r w:rsidR="00906F9F">
          <w:rPr>
            <w:noProof/>
            <w:webHidden/>
          </w:rPr>
          <w:fldChar w:fldCharType="begin"/>
        </w:r>
        <w:r w:rsidR="00906F9F">
          <w:rPr>
            <w:noProof/>
            <w:webHidden/>
          </w:rPr>
          <w:instrText xml:space="preserve"> PAGEREF _Toc461630718 \h </w:instrText>
        </w:r>
        <w:r w:rsidR="00906F9F">
          <w:rPr>
            <w:noProof/>
            <w:webHidden/>
          </w:rPr>
        </w:r>
        <w:r w:rsidR="00906F9F">
          <w:rPr>
            <w:noProof/>
            <w:webHidden/>
          </w:rPr>
          <w:fldChar w:fldCharType="separate"/>
        </w:r>
        <w:r w:rsidR="00BD218B">
          <w:rPr>
            <w:noProof/>
            <w:webHidden/>
          </w:rPr>
          <w:t>156</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19" w:history="1">
        <w:r w:rsidR="00906F9F" w:rsidRPr="006B174A">
          <w:rPr>
            <w:rStyle w:val="Hyperlink"/>
            <w:noProof/>
          </w:rPr>
          <w:t>5.6.2</w:t>
        </w:r>
        <w:r w:rsidR="00906F9F">
          <w:rPr>
            <w:rFonts w:asciiTheme="minorHAnsi" w:hAnsiTheme="minorHAnsi" w:cstheme="minorBidi"/>
            <w:noProof/>
            <w:szCs w:val="22"/>
          </w:rPr>
          <w:tab/>
        </w:r>
        <w:r w:rsidR="00906F9F" w:rsidRPr="006B174A">
          <w:rPr>
            <w:rStyle w:val="Hyperlink"/>
            <w:noProof/>
          </w:rPr>
          <w:t>Length of the regulatory period</w:t>
        </w:r>
        <w:r w:rsidR="00906F9F">
          <w:rPr>
            <w:noProof/>
            <w:webHidden/>
          </w:rPr>
          <w:tab/>
        </w:r>
        <w:r w:rsidR="00906F9F">
          <w:rPr>
            <w:noProof/>
            <w:webHidden/>
          </w:rPr>
          <w:fldChar w:fldCharType="begin"/>
        </w:r>
        <w:r w:rsidR="00906F9F">
          <w:rPr>
            <w:noProof/>
            <w:webHidden/>
          </w:rPr>
          <w:instrText xml:space="preserve"> PAGEREF _Toc461630719 \h </w:instrText>
        </w:r>
        <w:r w:rsidR="00906F9F">
          <w:rPr>
            <w:noProof/>
            <w:webHidden/>
          </w:rPr>
        </w:r>
        <w:r w:rsidR="00906F9F">
          <w:rPr>
            <w:noProof/>
            <w:webHidden/>
          </w:rPr>
          <w:fldChar w:fldCharType="separate"/>
        </w:r>
        <w:r w:rsidR="00BD218B">
          <w:rPr>
            <w:noProof/>
            <w:webHidden/>
          </w:rPr>
          <w:t>162</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20" w:history="1">
        <w:r w:rsidR="00906F9F" w:rsidRPr="006B174A">
          <w:rPr>
            <w:rStyle w:val="Hyperlink"/>
            <w:noProof/>
          </w:rPr>
          <w:t>5.6.3</w:t>
        </w:r>
        <w:r w:rsidR="00906F9F">
          <w:rPr>
            <w:rFonts w:asciiTheme="minorHAnsi" w:hAnsiTheme="minorHAnsi" w:cstheme="minorBidi"/>
            <w:noProof/>
            <w:szCs w:val="22"/>
          </w:rPr>
          <w:tab/>
        </w:r>
        <w:r w:rsidR="00906F9F" w:rsidRPr="006B174A">
          <w:rPr>
            <w:rStyle w:val="Hyperlink"/>
            <w:noProof/>
          </w:rPr>
          <w:t>Basis for approving or determining regulated charges</w:t>
        </w:r>
        <w:r w:rsidR="00906F9F">
          <w:rPr>
            <w:noProof/>
            <w:webHidden/>
          </w:rPr>
          <w:tab/>
        </w:r>
        <w:r w:rsidR="00906F9F">
          <w:rPr>
            <w:noProof/>
            <w:webHidden/>
          </w:rPr>
          <w:fldChar w:fldCharType="begin"/>
        </w:r>
        <w:r w:rsidR="00906F9F">
          <w:rPr>
            <w:noProof/>
            <w:webHidden/>
          </w:rPr>
          <w:instrText xml:space="preserve"> PAGEREF _Toc461630720 \h </w:instrText>
        </w:r>
        <w:r w:rsidR="00906F9F">
          <w:rPr>
            <w:noProof/>
            <w:webHidden/>
          </w:rPr>
        </w:r>
        <w:r w:rsidR="00906F9F">
          <w:rPr>
            <w:noProof/>
            <w:webHidden/>
          </w:rPr>
          <w:fldChar w:fldCharType="separate"/>
        </w:r>
        <w:r w:rsidR="00BD218B">
          <w:rPr>
            <w:noProof/>
            <w:webHidden/>
          </w:rPr>
          <w:t>166</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21" w:history="1">
        <w:r w:rsidR="00906F9F" w:rsidRPr="006B174A">
          <w:rPr>
            <w:rStyle w:val="Hyperlink"/>
            <w:noProof/>
          </w:rPr>
          <w:t>5.6.4</w:t>
        </w:r>
        <w:r w:rsidR="00906F9F">
          <w:rPr>
            <w:rFonts w:asciiTheme="minorHAnsi" w:hAnsiTheme="minorHAnsi" w:cstheme="minorBidi"/>
            <w:noProof/>
            <w:szCs w:val="22"/>
          </w:rPr>
          <w:tab/>
        </w:r>
        <w:r w:rsidR="00906F9F" w:rsidRPr="006B174A">
          <w:rPr>
            <w:rStyle w:val="Hyperlink"/>
            <w:noProof/>
          </w:rPr>
          <w:t>Annual review of regulated charges</w:t>
        </w:r>
        <w:r w:rsidR="00906F9F">
          <w:rPr>
            <w:noProof/>
            <w:webHidden/>
          </w:rPr>
          <w:tab/>
        </w:r>
        <w:r w:rsidR="00906F9F">
          <w:rPr>
            <w:noProof/>
            <w:webHidden/>
          </w:rPr>
          <w:fldChar w:fldCharType="begin"/>
        </w:r>
        <w:r w:rsidR="00906F9F">
          <w:rPr>
            <w:noProof/>
            <w:webHidden/>
          </w:rPr>
          <w:instrText xml:space="preserve"> PAGEREF _Toc461630721 \h </w:instrText>
        </w:r>
        <w:r w:rsidR="00906F9F">
          <w:rPr>
            <w:noProof/>
            <w:webHidden/>
          </w:rPr>
        </w:r>
        <w:r w:rsidR="00906F9F">
          <w:rPr>
            <w:noProof/>
            <w:webHidden/>
          </w:rPr>
          <w:fldChar w:fldCharType="separate"/>
        </w:r>
        <w:r w:rsidR="00BD218B">
          <w:rPr>
            <w:noProof/>
            <w:webHidden/>
          </w:rPr>
          <w:t>175</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22" w:history="1">
        <w:r w:rsidR="00906F9F" w:rsidRPr="006B174A">
          <w:rPr>
            <w:rStyle w:val="Hyperlink"/>
            <w:noProof/>
          </w:rPr>
          <w:t>5.6.5</w:t>
        </w:r>
        <w:r w:rsidR="00906F9F">
          <w:rPr>
            <w:rFonts w:asciiTheme="minorHAnsi" w:hAnsiTheme="minorHAnsi" w:cstheme="minorBidi"/>
            <w:noProof/>
            <w:szCs w:val="22"/>
          </w:rPr>
          <w:tab/>
        </w:r>
        <w:r w:rsidR="00906F9F" w:rsidRPr="006B174A">
          <w:rPr>
            <w:rStyle w:val="Hyperlink"/>
            <w:noProof/>
          </w:rPr>
          <w:t>Variations of determinations</w:t>
        </w:r>
        <w:r w:rsidR="00906F9F">
          <w:rPr>
            <w:noProof/>
            <w:webHidden/>
          </w:rPr>
          <w:tab/>
        </w:r>
        <w:r w:rsidR="00906F9F">
          <w:rPr>
            <w:noProof/>
            <w:webHidden/>
          </w:rPr>
          <w:fldChar w:fldCharType="begin"/>
        </w:r>
        <w:r w:rsidR="00906F9F">
          <w:rPr>
            <w:noProof/>
            <w:webHidden/>
          </w:rPr>
          <w:instrText xml:space="preserve"> PAGEREF _Toc461630722 \h </w:instrText>
        </w:r>
        <w:r w:rsidR="00906F9F">
          <w:rPr>
            <w:noProof/>
            <w:webHidden/>
          </w:rPr>
        </w:r>
        <w:r w:rsidR="00906F9F">
          <w:rPr>
            <w:noProof/>
            <w:webHidden/>
          </w:rPr>
          <w:fldChar w:fldCharType="separate"/>
        </w:r>
        <w:r w:rsidR="00BD218B">
          <w:rPr>
            <w:noProof/>
            <w:webHidden/>
          </w:rPr>
          <w:t>178</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23" w:history="1">
        <w:r w:rsidR="00906F9F" w:rsidRPr="006B174A">
          <w:rPr>
            <w:rStyle w:val="Hyperlink"/>
            <w:noProof/>
          </w:rPr>
          <w:t>5.7</w:t>
        </w:r>
        <w:r w:rsidR="00906F9F">
          <w:rPr>
            <w:b w:val="0"/>
            <w:bCs w:val="0"/>
            <w:noProof/>
            <w:sz w:val="22"/>
          </w:rPr>
          <w:tab/>
        </w:r>
        <w:r w:rsidR="00906F9F" w:rsidRPr="006B174A">
          <w:rPr>
            <w:rStyle w:val="Hyperlink"/>
            <w:noProof/>
          </w:rPr>
          <w:t>Distributions (Part 7)</w:t>
        </w:r>
        <w:r w:rsidR="00906F9F">
          <w:rPr>
            <w:noProof/>
            <w:webHidden/>
          </w:rPr>
          <w:tab/>
        </w:r>
        <w:r w:rsidR="00906F9F">
          <w:rPr>
            <w:noProof/>
            <w:webHidden/>
          </w:rPr>
          <w:fldChar w:fldCharType="begin"/>
        </w:r>
        <w:r w:rsidR="00906F9F">
          <w:rPr>
            <w:noProof/>
            <w:webHidden/>
          </w:rPr>
          <w:instrText xml:space="preserve"> PAGEREF _Toc461630723 \h </w:instrText>
        </w:r>
        <w:r w:rsidR="00906F9F">
          <w:rPr>
            <w:noProof/>
            <w:webHidden/>
          </w:rPr>
        </w:r>
        <w:r w:rsidR="00906F9F">
          <w:rPr>
            <w:noProof/>
            <w:webHidden/>
          </w:rPr>
          <w:fldChar w:fldCharType="separate"/>
        </w:r>
        <w:r w:rsidR="00BD218B">
          <w:rPr>
            <w:noProof/>
            <w:webHidden/>
          </w:rPr>
          <w:t>195</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24" w:history="1">
        <w:r w:rsidR="00906F9F" w:rsidRPr="006B174A">
          <w:rPr>
            <w:rStyle w:val="Hyperlink"/>
            <w:noProof/>
          </w:rPr>
          <w:t>5.8</w:t>
        </w:r>
        <w:r w:rsidR="00906F9F">
          <w:rPr>
            <w:b w:val="0"/>
            <w:bCs w:val="0"/>
            <w:noProof/>
            <w:sz w:val="22"/>
          </w:rPr>
          <w:tab/>
        </w:r>
        <w:r w:rsidR="00906F9F" w:rsidRPr="006B174A">
          <w:rPr>
            <w:rStyle w:val="Hyperlink"/>
            <w:noProof/>
          </w:rPr>
          <w:t>Appeal mechanisms under the WCIR and lessons learnt from other sectors</w:t>
        </w:r>
        <w:r w:rsidR="00906F9F">
          <w:rPr>
            <w:noProof/>
            <w:webHidden/>
          </w:rPr>
          <w:tab/>
        </w:r>
        <w:r w:rsidR="00906F9F">
          <w:rPr>
            <w:noProof/>
            <w:webHidden/>
          </w:rPr>
          <w:fldChar w:fldCharType="begin"/>
        </w:r>
        <w:r w:rsidR="00906F9F">
          <w:rPr>
            <w:noProof/>
            <w:webHidden/>
          </w:rPr>
          <w:instrText xml:space="preserve"> PAGEREF _Toc461630724 \h </w:instrText>
        </w:r>
        <w:r w:rsidR="00906F9F">
          <w:rPr>
            <w:noProof/>
            <w:webHidden/>
          </w:rPr>
        </w:r>
        <w:r w:rsidR="00906F9F">
          <w:rPr>
            <w:noProof/>
            <w:webHidden/>
          </w:rPr>
          <w:fldChar w:fldCharType="separate"/>
        </w:r>
        <w:r w:rsidR="00BD218B">
          <w:rPr>
            <w:noProof/>
            <w:webHidden/>
          </w:rPr>
          <w:t>208</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25" w:history="1">
        <w:r w:rsidR="00906F9F" w:rsidRPr="006B174A">
          <w:rPr>
            <w:rStyle w:val="Hyperlink"/>
            <w:noProof/>
          </w:rPr>
          <w:t>5.9</w:t>
        </w:r>
        <w:r w:rsidR="00906F9F">
          <w:rPr>
            <w:b w:val="0"/>
            <w:bCs w:val="0"/>
            <w:noProof/>
            <w:sz w:val="22"/>
          </w:rPr>
          <w:tab/>
        </w:r>
        <w:r w:rsidR="00906F9F" w:rsidRPr="006B174A">
          <w:rPr>
            <w:rStyle w:val="Hyperlink"/>
            <w:noProof/>
          </w:rPr>
          <w:t>Accreditation of Basin State regulators (Part 9)</w:t>
        </w:r>
        <w:r w:rsidR="00906F9F">
          <w:rPr>
            <w:noProof/>
            <w:webHidden/>
          </w:rPr>
          <w:tab/>
        </w:r>
        <w:r w:rsidR="00906F9F">
          <w:rPr>
            <w:noProof/>
            <w:webHidden/>
          </w:rPr>
          <w:fldChar w:fldCharType="begin"/>
        </w:r>
        <w:r w:rsidR="00906F9F">
          <w:rPr>
            <w:noProof/>
            <w:webHidden/>
          </w:rPr>
          <w:instrText xml:space="preserve"> PAGEREF _Toc461630725 \h </w:instrText>
        </w:r>
        <w:r w:rsidR="00906F9F">
          <w:rPr>
            <w:noProof/>
            <w:webHidden/>
          </w:rPr>
        </w:r>
        <w:r w:rsidR="00906F9F">
          <w:rPr>
            <w:noProof/>
            <w:webHidden/>
          </w:rPr>
          <w:fldChar w:fldCharType="separate"/>
        </w:r>
        <w:r w:rsidR="00BD218B">
          <w:rPr>
            <w:noProof/>
            <w:webHidden/>
          </w:rPr>
          <w:t>214</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26" w:history="1">
        <w:r w:rsidR="00906F9F" w:rsidRPr="006B174A">
          <w:rPr>
            <w:rStyle w:val="Hyperlink"/>
            <w:noProof/>
          </w:rPr>
          <w:t>5.10</w:t>
        </w:r>
        <w:r w:rsidR="00906F9F">
          <w:rPr>
            <w:b w:val="0"/>
            <w:bCs w:val="0"/>
            <w:noProof/>
            <w:sz w:val="22"/>
          </w:rPr>
          <w:tab/>
        </w:r>
        <w:r w:rsidR="00906F9F" w:rsidRPr="006B174A">
          <w:rPr>
            <w:rStyle w:val="Hyperlink"/>
            <w:noProof/>
          </w:rPr>
          <w:t>Differences in charging arrangements and their impacts</w:t>
        </w:r>
        <w:r w:rsidR="00906F9F">
          <w:rPr>
            <w:noProof/>
            <w:webHidden/>
          </w:rPr>
          <w:tab/>
        </w:r>
        <w:r w:rsidR="00906F9F">
          <w:rPr>
            <w:noProof/>
            <w:webHidden/>
          </w:rPr>
          <w:fldChar w:fldCharType="begin"/>
        </w:r>
        <w:r w:rsidR="00906F9F">
          <w:rPr>
            <w:noProof/>
            <w:webHidden/>
          </w:rPr>
          <w:instrText xml:space="preserve"> PAGEREF _Toc461630726 \h </w:instrText>
        </w:r>
        <w:r w:rsidR="00906F9F">
          <w:rPr>
            <w:noProof/>
            <w:webHidden/>
          </w:rPr>
        </w:r>
        <w:r w:rsidR="00906F9F">
          <w:rPr>
            <w:noProof/>
            <w:webHidden/>
          </w:rPr>
          <w:fldChar w:fldCharType="separate"/>
        </w:r>
        <w:r w:rsidR="00BD218B">
          <w:rPr>
            <w:noProof/>
            <w:webHidden/>
          </w:rPr>
          <w:t>217</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27" w:history="1">
        <w:r w:rsidR="00906F9F" w:rsidRPr="006B174A">
          <w:rPr>
            <w:rStyle w:val="Hyperlink"/>
            <w:noProof/>
          </w:rPr>
          <w:t>5.10.1</w:t>
        </w:r>
        <w:r w:rsidR="00906F9F">
          <w:rPr>
            <w:rFonts w:asciiTheme="minorHAnsi" w:hAnsiTheme="minorHAnsi" w:cstheme="minorBidi"/>
            <w:noProof/>
            <w:szCs w:val="22"/>
          </w:rPr>
          <w:tab/>
        </w:r>
        <w:r w:rsidR="00906F9F" w:rsidRPr="006B174A">
          <w:rPr>
            <w:rStyle w:val="Hyperlink"/>
            <w:noProof/>
          </w:rPr>
          <w:t>Consistency as an objective</w:t>
        </w:r>
        <w:r w:rsidR="00906F9F">
          <w:rPr>
            <w:noProof/>
            <w:webHidden/>
          </w:rPr>
          <w:tab/>
        </w:r>
        <w:r w:rsidR="00906F9F">
          <w:rPr>
            <w:noProof/>
            <w:webHidden/>
          </w:rPr>
          <w:fldChar w:fldCharType="begin"/>
        </w:r>
        <w:r w:rsidR="00906F9F">
          <w:rPr>
            <w:noProof/>
            <w:webHidden/>
          </w:rPr>
          <w:instrText xml:space="preserve"> PAGEREF _Toc461630727 \h </w:instrText>
        </w:r>
        <w:r w:rsidR="00906F9F">
          <w:rPr>
            <w:noProof/>
            <w:webHidden/>
          </w:rPr>
        </w:r>
        <w:r w:rsidR="00906F9F">
          <w:rPr>
            <w:noProof/>
            <w:webHidden/>
          </w:rPr>
          <w:fldChar w:fldCharType="separate"/>
        </w:r>
        <w:r w:rsidR="00BD218B">
          <w:rPr>
            <w:noProof/>
            <w:webHidden/>
          </w:rPr>
          <w:t>218</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28" w:history="1">
        <w:r w:rsidR="00906F9F" w:rsidRPr="006B174A">
          <w:rPr>
            <w:rStyle w:val="Hyperlink"/>
            <w:noProof/>
          </w:rPr>
          <w:t>5.10.2</w:t>
        </w:r>
        <w:r w:rsidR="00906F9F">
          <w:rPr>
            <w:rFonts w:asciiTheme="minorHAnsi" w:hAnsiTheme="minorHAnsi" w:cstheme="minorBidi"/>
            <w:noProof/>
            <w:szCs w:val="22"/>
          </w:rPr>
          <w:tab/>
        </w:r>
        <w:r w:rsidR="00906F9F" w:rsidRPr="006B174A">
          <w:rPr>
            <w:rStyle w:val="Hyperlink"/>
            <w:noProof/>
          </w:rPr>
          <w:t>Valley-based and ‘postage stamp pricing’</w:t>
        </w:r>
        <w:r w:rsidR="00906F9F">
          <w:rPr>
            <w:noProof/>
            <w:webHidden/>
          </w:rPr>
          <w:tab/>
        </w:r>
        <w:r w:rsidR="00906F9F">
          <w:rPr>
            <w:noProof/>
            <w:webHidden/>
          </w:rPr>
          <w:fldChar w:fldCharType="begin"/>
        </w:r>
        <w:r w:rsidR="00906F9F">
          <w:rPr>
            <w:noProof/>
            <w:webHidden/>
          </w:rPr>
          <w:instrText xml:space="preserve"> PAGEREF _Toc461630728 \h </w:instrText>
        </w:r>
        <w:r w:rsidR="00906F9F">
          <w:rPr>
            <w:noProof/>
            <w:webHidden/>
          </w:rPr>
        </w:r>
        <w:r w:rsidR="00906F9F">
          <w:rPr>
            <w:noProof/>
            <w:webHidden/>
          </w:rPr>
          <w:fldChar w:fldCharType="separate"/>
        </w:r>
        <w:r w:rsidR="00BD218B">
          <w:rPr>
            <w:noProof/>
            <w:webHidden/>
          </w:rPr>
          <w:t>222</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29" w:history="1">
        <w:r w:rsidR="00906F9F" w:rsidRPr="006B174A">
          <w:rPr>
            <w:rStyle w:val="Hyperlink"/>
            <w:noProof/>
          </w:rPr>
          <w:t>5.10.3</w:t>
        </w:r>
        <w:r w:rsidR="00906F9F">
          <w:rPr>
            <w:rFonts w:asciiTheme="minorHAnsi" w:hAnsiTheme="minorHAnsi" w:cstheme="minorBidi"/>
            <w:noProof/>
            <w:szCs w:val="22"/>
          </w:rPr>
          <w:tab/>
        </w:r>
        <w:r w:rsidR="00906F9F" w:rsidRPr="006B174A">
          <w:rPr>
            <w:rStyle w:val="Hyperlink"/>
            <w:noProof/>
          </w:rPr>
          <w:t>Consistency in price approvals / determinations</w:t>
        </w:r>
        <w:r w:rsidR="00906F9F">
          <w:rPr>
            <w:noProof/>
            <w:webHidden/>
          </w:rPr>
          <w:tab/>
        </w:r>
        <w:r w:rsidR="00906F9F">
          <w:rPr>
            <w:noProof/>
            <w:webHidden/>
          </w:rPr>
          <w:fldChar w:fldCharType="begin"/>
        </w:r>
        <w:r w:rsidR="00906F9F">
          <w:rPr>
            <w:noProof/>
            <w:webHidden/>
          </w:rPr>
          <w:instrText xml:space="preserve"> PAGEREF _Toc461630729 \h </w:instrText>
        </w:r>
        <w:r w:rsidR="00906F9F">
          <w:rPr>
            <w:noProof/>
            <w:webHidden/>
          </w:rPr>
        </w:r>
        <w:r w:rsidR="00906F9F">
          <w:rPr>
            <w:noProof/>
            <w:webHidden/>
          </w:rPr>
          <w:fldChar w:fldCharType="separate"/>
        </w:r>
        <w:r w:rsidR="00BD218B">
          <w:rPr>
            <w:noProof/>
            <w:webHidden/>
          </w:rPr>
          <w:t>227</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30" w:history="1">
        <w:r w:rsidR="00906F9F" w:rsidRPr="006B174A">
          <w:rPr>
            <w:rStyle w:val="Hyperlink"/>
            <w:noProof/>
          </w:rPr>
          <w:t>5.10.4</w:t>
        </w:r>
        <w:r w:rsidR="00906F9F">
          <w:rPr>
            <w:rFonts w:asciiTheme="minorHAnsi" w:hAnsiTheme="minorHAnsi" w:cstheme="minorBidi"/>
            <w:noProof/>
            <w:szCs w:val="22"/>
          </w:rPr>
          <w:tab/>
        </w:r>
        <w:r w:rsidR="00906F9F" w:rsidRPr="006B174A">
          <w:rPr>
            <w:rStyle w:val="Hyperlink"/>
            <w:noProof/>
          </w:rPr>
          <w:t>Water charging arrangements that create barriers to trade</w:t>
        </w:r>
        <w:r w:rsidR="00906F9F">
          <w:rPr>
            <w:noProof/>
            <w:webHidden/>
          </w:rPr>
          <w:tab/>
        </w:r>
        <w:r w:rsidR="00906F9F">
          <w:rPr>
            <w:noProof/>
            <w:webHidden/>
          </w:rPr>
          <w:fldChar w:fldCharType="begin"/>
        </w:r>
        <w:r w:rsidR="00906F9F">
          <w:rPr>
            <w:noProof/>
            <w:webHidden/>
          </w:rPr>
          <w:instrText xml:space="preserve"> PAGEREF _Toc461630730 \h </w:instrText>
        </w:r>
        <w:r w:rsidR="00906F9F">
          <w:rPr>
            <w:noProof/>
            <w:webHidden/>
          </w:rPr>
        </w:r>
        <w:r w:rsidR="00906F9F">
          <w:rPr>
            <w:noProof/>
            <w:webHidden/>
          </w:rPr>
          <w:fldChar w:fldCharType="separate"/>
        </w:r>
        <w:r w:rsidR="00BD218B">
          <w:rPr>
            <w:noProof/>
            <w:webHidden/>
          </w:rPr>
          <w:t>229</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31" w:history="1">
        <w:r w:rsidR="00906F9F" w:rsidRPr="006B174A">
          <w:rPr>
            <w:rStyle w:val="Hyperlink"/>
            <w:noProof/>
          </w:rPr>
          <w:t>5.10.5</w:t>
        </w:r>
        <w:r w:rsidR="00906F9F">
          <w:rPr>
            <w:rFonts w:asciiTheme="minorHAnsi" w:hAnsiTheme="minorHAnsi" w:cstheme="minorBidi"/>
            <w:noProof/>
            <w:szCs w:val="22"/>
          </w:rPr>
          <w:tab/>
        </w:r>
        <w:r w:rsidR="00906F9F" w:rsidRPr="006B174A">
          <w:rPr>
            <w:rStyle w:val="Hyperlink"/>
            <w:noProof/>
          </w:rPr>
          <w:t>Charging arrangements during periods of low or restricted water availability</w:t>
        </w:r>
        <w:r w:rsidR="00906F9F">
          <w:rPr>
            <w:noProof/>
            <w:webHidden/>
          </w:rPr>
          <w:tab/>
        </w:r>
        <w:r w:rsidR="00906F9F">
          <w:rPr>
            <w:noProof/>
            <w:webHidden/>
          </w:rPr>
          <w:fldChar w:fldCharType="begin"/>
        </w:r>
        <w:r w:rsidR="00906F9F">
          <w:rPr>
            <w:noProof/>
            <w:webHidden/>
          </w:rPr>
          <w:instrText xml:space="preserve"> PAGEREF _Toc461630731 \h </w:instrText>
        </w:r>
        <w:r w:rsidR="00906F9F">
          <w:rPr>
            <w:noProof/>
            <w:webHidden/>
          </w:rPr>
        </w:r>
        <w:r w:rsidR="00906F9F">
          <w:rPr>
            <w:noProof/>
            <w:webHidden/>
          </w:rPr>
          <w:fldChar w:fldCharType="separate"/>
        </w:r>
        <w:r w:rsidR="00BD218B">
          <w:rPr>
            <w:noProof/>
            <w:webHidden/>
          </w:rPr>
          <w:t>233</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32" w:history="1">
        <w:r w:rsidR="00906F9F" w:rsidRPr="006B174A">
          <w:rPr>
            <w:rStyle w:val="Hyperlink"/>
            <w:noProof/>
          </w:rPr>
          <w:t>5.11</w:t>
        </w:r>
        <w:r w:rsidR="00906F9F">
          <w:rPr>
            <w:b w:val="0"/>
            <w:bCs w:val="0"/>
            <w:noProof/>
            <w:sz w:val="22"/>
          </w:rPr>
          <w:tab/>
        </w:r>
        <w:r w:rsidR="00906F9F" w:rsidRPr="006B174A">
          <w:rPr>
            <w:rStyle w:val="Hyperlink"/>
            <w:noProof/>
          </w:rPr>
          <w:t>Commercially negotiated charges and third party access regimes</w:t>
        </w:r>
        <w:r w:rsidR="00906F9F">
          <w:rPr>
            <w:noProof/>
            <w:webHidden/>
          </w:rPr>
          <w:tab/>
        </w:r>
        <w:r w:rsidR="00906F9F">
          <w:rPr>
            <w:noProof/>
            <w:webHidden/>
          </w:rPr>
          <w:fldChar w:fldCharType="begin"/>
        </w:r>
        <w:r w:rsidR="00906F9F">
          <w:rPr>
            <w:noProof/>
            <w:webHidden/>
          </w:rPr>
          <w:instrText xml:space="preserve"> PAGEREF _Toc461630732 \h </w:instrText>
        </w:r>
        <w:r w:rsidR="00906F9F">
          <w:rPr>
            <w:noProof/>
            <w:webHidden/>
          </w:rPr>
        </w:r>
        <w:r w:rsidR="00906F9F">
          <w:rPr>
            <w:noProof/>
            <w:webHidden/>
          </w:rPr>
          <w:fldChar w:fldCharType="separate"/>
        </w:r>
        <w:r w:rsidR="00BD218B">
          <w:rPr>
            <w:noProof/>
            <w:webHidden/>
          </w:rPr>
          <w:t>235</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33" w:history="1">
        <w:r w:rsidR="00906F9F" w:rsidRPr="006B174A">
          <w:rPr>
            <w:rStyle w:val="Hyperlink"/>
            <w:noProof/>
          </w:rPr>
          <w:t>5.12</w:t>
        </w:r>
        <w:r w:rsidR="00906F9F">
          <w:rPr>
            <w:b w:val="0"/>
            <w:bCs w:val="0"/>
            <w:noProof/>
            <w:sz w:val="22"/>
          </w:rPr>
          <w:tab/>
        </w:r>
        <w:r w:rsidR="00906F9F" w:rsidRPr="006B174A">
          <w:rPr>
            <w:rStyle w:val="Hyperlink"/>
            <w:noProof/>
          </w:rPr>
          <w:t>Regulation of MDBA or Border Rivers Commission charges</w:t>
        </w:r>
        <w:r w:rsidR="00906F9F">
          <w:rPr>
            <w:noProof/>
            <w:webHidden/>
          </w:rPr>
          <w:tab/>
        </w:r>
        <w:r w:rsidR="00906F9F">
          <w:rPr>
            <w:noProof/>
            <w:webHidden/>
          </w:rPr>
          <w:fldChar w:fldCharType="begin"/>
        </w:r>
        <w:r w:rsidR="00906F9F">
          <w:rPr>
            <w:noProof/>
            <w:webHidden/>
          </w:rPr>
          <w:instrText xml:space="preserve"> PAGEREF _Toc461630733 \h </w:instrText>
        </w:r>
        <w:r w:rsidR="00906F9F">
          <w:rPr>
            <w:noProof/>
            <w:webHidden/>
          </w:rPr>
        </w:r>
        <w:r w:rsidR="00906F9F">
          <w:rPr>
            <w:noProof/>
            <w:webHidden/>
          </w:rPr>
          <w:fldChar w:fldCharType="separate"/>
        </w:r>
        <w:r w:rsidR="00BD218B">
          <w:rPr>
            <w:noProof/>
            <w:webHidden/>
          </w:rPr>
          <w:t>241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34" w:history="1">
        <w:r w:rsidR="00906F9F" w:rsidRPr="006B174A">
          <w:rPr>
            <w:rStyle w:val="Hyperlink"/>
            <w:noProof/>
          </w:rPr>
          <w:t>5.13</w:t>
        </w:r>
        <w:r w:rsidR="00906F9F">
          <w:rPr>
            <w:b w:val="0"/>
            <w:bCs w:val="0"/>
            <w:noProof/>
            <w:sz w:val="22"/>
          </w:rPr>
          <w:tab/>
        </w:r>
        <w:r w:rsidR="00906F9F" w:rsidRPr="006B174A">
          <w:rPr>
            <w:rStyle w:val="Hyperlink"/>
            <w:noProof/>
          </w:rPr>
          <w:t>Transparency of cost pass-throughs</w:t>
        </w:r>
        <w:r w:rsidR="00906F9F">
          <w:rPr>
            <w:noProof/>
            <w:webHidden/>
          </w:rPr>
          <w:tab/>
        </w:r>
        <w:r w:rsidR="00906F9F">
          <w:rPr>
            <w:noProof/>
            <w:webHidden/>
          </w:rPr>
          <w:fldChar w:fldCharType="begin"/>
        </w:r>
        <w:r w:rsidR="00906F9F">
          <w:rPr>
            <w:noProof/>
            <w:webHidden/>
          </w:rPr>
          <w:instrText xml:space="preserve"> PAGEREF _Toc461630734 \h </w:instrText>
        </w:r>
        <w:r w:rsidR="00906F9F">
          <w:rPr>
            <w:noProof/>
            <w:webHidden/>
          </w:rPr>
        </w:r>
        <w:r w:rsidR="00906F9F">
          <w:rPr>
            <w:noProof/>
            <w:webHidden/>
          </w:rPr>
          <w:fldChar w:fldCharType="separate"/>
        </w:r>
        <w:r w:rsidR="00BD218B">
          <w:rPr>
            <w:noProof/>
            <w:webHidden/>
          </w:rPr>
          <w:t>245</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735" w:history="1">
        <w:r w:rsidR="00906F9F" w:rsidRPr="006B174A">
          <w:rPr>
            <w:rStyle w:val="Hyperlink"/>
            <w:noProof/>
          </w:rPr>
          <w:t>6</w:t>
        </w:r>
        <w:r w:rsidR="00906F9F">
          <w:rPr>
            <w:rFonts w:asciiTheme="minorHAnsi" w:hAnsiTheme="minorHAnsi"/>
            <w:b w:val="0"/>
            <w:bCs w:val="0"/>
            <w:noProof/>
            <w:sz w:val="22"/>
            <w:szCs w:val="22"/>
          </w:rPr>
          <w:tab/>
        </w:r>
        <w:r w:rsidR="00906F9F" w:rsidRPr="006B174A">
          <w:rPr>
            <w:rStyle w:val="Hyperlink"/>
            <w:noProof/>
          </w:rPr>
          <w:t>Water Charge (Termination Fees) Rules 2009</w:t>
        </w:r>
        <w:r w:rsidR="00906F9F">
          <w:rPr>
            <w:noProof/>
            <w:webHidden/>
          </w:rPr>
          <w:tab/>
        </w:r>
        <w:r w:rsidR="00906F9F">
          <w:rPr>
            <w:noProof/>
            <w:webHidden/>
          </w:rPr>
          <w:fldChar w:fldCharType="begin"/>
        </w:r>
        <w:r w:rsidR="00906F9F">
          <w:rPr>
            <w:noProof/>
            <w:webHidden/>
          </w:rPr>
          <w:instrText xml:space="preserve"> PAGEREF _Toc461630735 \h </w:instrText>
        </w:r>
        <w:r w:rsidR="00906F9F">
          <w:rPr>
            <w:noProof/>
            <w:webHidden/>
          </w:rPr>
        </w:r>
        <w:r w:rsidR="00906F9F">
          <w:rPr>
            <w:noProof/>
            <w:webHidden/>
          </w:rPr>
          <w:fldChar w:fldCharType="separate"/>
        </w:r>
        <w:r w:rsidR="00BD218B">
          <w:rPr>
            <w:noProof/>
            <w:webHidden/>
          </w:rPr>
          <w:t>261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36" w:history="1">
        <w:r w:rsidR="00906F9F" w:rsidRPr="006B174A">
          <w:rPr>
            <w:rStyle w:val="Hyperlink"/>
            <w:noProof/>
          </w:rPr>
          <w:t>6.1</w:t>
        </w:r>
        <w:r w:rsidR="00906F9F">
          <w:rPr>
            <w:b w:val="0"/>
            <w:bCs w:val="0"/>
            <w:noProof/>
            <w:sz w:val="22"/>
          </w:rPr>
          <w:tab/>
        </w:r>
        <w:r w:rsidR="00906F9F" w:rsidRPr="006B174A">
          <w:rPr>
            <w:rStyle w:val="Hyperlink"/>
            <w:noProof/>
          </w:rPr>
          <w:t>Application of the WCTFR</w:t>
        </w:r>
        <w:r w:rsidR="00906F9F">
          <w:rPr>
            <w:noProof/>
            <w:webHidden/>
          </w:rPr>
          <w:tab/>
        </w:r>
        <w:r w:rsidR="00906F9F">
          <w:rPr>
            <w:noProof/>
            <w:webHidden/>
          </w:rPr>
          <w:fldChar w:fldCharType="begin"/>
        </w:r>
        <w:r w:rsidR="00906F9F">
          <w:rPr>
            <w:noProof/>
            <w:webHidden/>
          </w:rPr>
          <w:instrText xml:space="preserve"> PAGEREF _Toc461630736 \h </w:instrText>
        </w:r>
        <w:r w:rsidR="00906F9F">
          <w:rPr>
            <w:noProof/>
            <w:webHidden/>
          </w:rPr>
        </w:r>
        <w:r w:rsidR="00906F9F">
          <w:rPr>
            <w:noProof/>
            <w:webHidden/>
          </w:rPr>
          <w:fldChar w:fldCharType="separate"/>
        </w:r>
        <w:r w:rsidR="00BD218B">
          <w:rPr>
            <w:noProof/>
            <w:webHidden/>
          </w:rPr>
          <w:t>261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37" w:history="1">
        <w:r w:rsidR="00906F9F" w:rsidRPr="006B174A">
          <w:rPr>
            <w:rStyle w:val="Hyperlink"/>
            <w:noProof/>
          </w:rPr>
          <w:t>6.2</w:t>
        </w:r>
        <w:r w:rsidR="00906F9F">
          <w:rPr>
            <w:b w:val="0"/>
            <w:bCs w:val="0"/>
            <w:noProof/>
            <w:sz w:val="22"/>
          </w:rPr>
          <w:tab/>
        </w:r>
        <w:r w:rsidR="00906F9F" w:rsidRPr="006B174A">
          <w:rPr>
            <w:rStyle w:val="Hyperlink"/>
            <w:noProof/>
          </w:rPr>
          <w:t>Method of calculating general termination fees</w:t>
        </w:r>
        <w:r w:rsidR="00906F9F">
          <w:rPr>
            <w:noProof/>
            <w:webHidden/>
          </w:rPr>
          <w:tab/>
        </w:r>
        <w:r w:rsidR="00906F9F">
          <w:rPr>
            <w:noProof/>
            <w:webHidden/>
          </w:rPr>
          <w:fldChar w:fldCharType="begin"/>
        </w:r>
        <w:r w:rsidR="00906F9F">
          <w:rPr>
            <w:noProof/>
            <w:webHidden/>
          </w:rPr>
          <w:instrText xml:space="preserve"> PAGEREF _Toc461630737 \h </w:instrText>
        </w:r>
        <w:r w:rsidR="00906F9F">
          <w:rPr>
            <w:noProof/>
            <w:webHidden/>
          </w:rPr>
        </w:r>
        <w:r w:rsidR="00906F9F">
          <w:rPr>
            <w:noProof/>
            <w:webHidden/>
          </w:rPr>
          <w:fldChar w:fldCharType="separate"/>
        </w:r>
        <w:r w:rsidR="00BD218B">
          <w:rPr>
            <w:noProof/>
            <w:webHidden/>
          </w:rPr>
          <w:t>264</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38" w:history="1">
        <w:r w:rsidR="00906F9F" w:rsidRPr="006B174A">
          <w:rPr>
            <w:rStyle w:val="Hyperlink"/>
            <w:noProof/>
          </w:rPr>
          <w:t>6.2.1</w:t>
        </w:r>
        <w:r w:rsidR="00906F9F">
          <w:rPr>
            <w:rFonts w:asciiTheme="minorHAnsi" w:hAnsiTheme="minorHAnsi" w:cstheme="minorBidi"/>
            <w:noProof/>
            <w:szCs w:val="22"/>
          </w:rPr>
          <w:tab/>
        </w:r>
        <w:r w:rsidR="00906F9F" w:rsidRPr="006B174A">
          <w:rPr>
            <w:rStyle w:val="Hyperlink"/>
            <w:noProof/>
          </w:rPr>
          <w:t>Total network access charge and calculation of the termination fee</w:t>
        </w:r>
        <w:r w:rsidR="00906F9F">
          <w:rPr>
            <w:noProof/>
            <w:webHidden/>
          </w:rPr>
          <w:tab/>
        </w:r>
        <w:r w:rsidR="00906F9F">
          <w:rPr>
            <w:noProof/>
            <w:webHidden/>
          </w:rPr>
          <w:fldChar w:fldCharType="begin"/>
        </w:r>
        <w:r w:rsidR="00906F9F">
          <w:rPr>
            <w:noProof/>
            <w:webHidden/>
          </w:rPr>
          <w:instrText xml:space="preserve"> PAGEREF _Toc461630738 \h </w:instrText>
        </w:r>
        <w:r w:rsidR="00906F9F">
          <w:rPr>
            <w:noProof/>
            <w:webHidden/>
          </w:rPr>
        </w:r>
        <w:r w:rsidR="00906F9F">
          <w:rPr>
            <w:noProof/>
            <w:webHidden/>
          </w:rPr>
          <w:fldChar w:fldCharType="separate"/>
        </w:r>
        <w:r w:rsidR="00BD218B">
          <w:rPr>
            <w:noProof/>
            <w:webHidden/>
          </w:rPr>
          <w:t>265</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39" w:history="1">
        <w:r w:rsidR="00906F9F" w:rsidRPr="006B174A">
          <w:rPr>
            <w:rStyle w:val="Hyperlink"/>
            <w:noProof/>
          </w:rPr>
          <w:t>6.2.2</w:t>
        </w:r>
        <w:r w:rsidR="00906F9F">
          <w:rPr>
            <w:rFonts w:asciiTheme="minorHAnsi" w:hAnsiTheme="minorHAnsi" w:cstheme="minorBidi"/>
            <w:noProof/>
            <w:szCs w:val="22"/>
          </w:rPr>
          <w:tab/>
        </w:r>
        <w:r w:rsidR="00906F9F" w:rsidRPr="006B174A">
          <w:rPr>
            <w:rStyle w:val="Hyperlink"/>
            <w:noProof/>
          </w:rPr>
          <w:t>Effect of the WCTFR on operation of markets for tradeable water rights</w:t>
        </w:r>
        <w:r w:rsidR="00906F9F">
          <w:rPr>
            <w:noProof/>
            <w:webHidden/>
          </w:rPr>
          <w:tab/>
        </w:r>
        <w:r w:rsidR="00906F9F">
          <w:rPr>
            <w:noProof/>
            <w:webHidden/>
          </w:rPr>
          <w:fldChar w:fldCharType="begin"/>
        </w:r>
        <w:r w:rsidR="00906F9F">
          <w:rPr>
            <w:noProof/>
            <w:webHidden/>
          </w:rPr>
          <w:instrText xml:space="preserve"> PAGEREF _Toc461630739 \h </w:instrText>
        </w:r>
        <w:r w:rsidR="00906F9F">
          <w:rPr>
            <w:noProof/>
            <w:webHidden/>
          </w:rPr>
        </w:r>
        <w:r w:rsidR="00906F9F">
          <w:rPr>
            <w:noProof/>
            <w:webHidden/>
          </w:rPr>
          <w:fldChar w:fldCharType="separate"/>
        </w:r>
        <w:r w:rsidR="00BD218B">
          <w:rPr>
            <w:noProof/>
            <w:webHidden/>
          </w:rPr>
          <w:t>281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40" w:history="1">
        <w:r w:rsidR="00906F9F" w:rsidRPr="006B174A">
          <w:rPr>
            <w:rStyle w:val="Hyperlink"/>
            <w:noProof/>
          </w:rPr>
          <w:t>6.3</w:t>
        </w:r>
        <w:r w:rsidR="00906F9F">
          <w:rPr>
            <w:b w:val="0"/>
            <w:bCs w:val="0"/>
            <w:noProof/>
            <w:sz w:val="22"/>
          </w:rPr>
          <w:tab/>
        </w:r>
        <w:r w:rsidR="00906F9F" w:rsidRPr="006B174A">
          <w:rPr>
            <w:rStyle w:val="Hyperlink"/>
            <w:noProof/>
          </w:rPr>
          <w:t>Circumstances in which a termination fee can be imposed</w:t>
        </w:r>
        <w:r w:rsidR="00906F9F">
          <w:rPr>
            <w:noProof/>
            <w:webHidden/>
          </w:rPr>
          <w:tab/>
        </w:r>
        <w:r w:rsidR="00906F9F">
          <w:rPr>
            <w:noProof/>
            <w:webHidden/>
          </w:rPr>
          <w:fldChar w:fldCharType="begin"/>
        </w:r>
        <w:r w:rsidR="00906F9F">
          <w:rPr>
            <w:noProof/>
            <w:webHidden/>
          </w:rPr>
          <w:instrText xml:space="preserve"> PAGEREF _Toc461630740 \h </w:instrText>
        </w:r>
        <w:r w:rsidR="00906F9F">
          <w:rPr>
            <w:noProof/>
            <w:webHidden/>
          </w:rPr>
        </w:r>
        <w:r w:rsidR="00906F9F">
          <w:rPr>
            <w:noProof/>
            <w:webHidden/>
          </w:rPr>
          <w:fldChar w:fldCharType="separate"/>
        </w:r>
        <w:r w:rsidR="00BD218B">
          <w:rPr>
            <w:noProof/>
            <w:webHidden/>
          </w:rPr>
          <w:t>286</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41" w:history="1">
        <w:r w:rsidR="00906F9F" w:rsidRPr="006B174A">
          <w:rPr>
            <w:rStyle w:val="Hyperlink"/>
            <w:noProof/>
          </w:rPr>
          <w:t>6.4</w:t>
        </w:r>
        <w:r w:rsidR="00906F9F">
          <w:rPr>
            <w:b w:val="0"/>
            <w:bCs w:val="0"/>
            <w:noProof/>
            <w:sz w:val="22"/>
          </w:rPr>
          <w:tab/>
        </w:r>
        <w:r w:rsidR="00906F9F" w:rsidRPr="006B174A">
          <w:rPr>
            <w:rStyle w:val="Hyperlink"/>
            <w:noProof/>
          </w:rPr>
          <w:t>Approval of additional termination fees</w:t>
        </w:r>
        <w:r w:rsidR="00906F9F">
          <w:rPr>
            <w:noProof/>
            <w:webHidden/>
          </w:rPr>
          <w:tab/>
        </w:r>
        <w:r w:rsidR="00906F9F">
          <w:rPr>
            <w:noProof/>
            <w:webHidden/>
          </w:rPr>
          <w:fldChar w:fldCharType="begin"/>
        </w:r>
        <w:r w:rsidR="00906F9F">
          <w:rPr>
            <w:noProof/>
            <w:webHidden/>
          </w:rPr>
          <w:instrText xml:space="preserve"> PAGEREF _Toc461630741 \h </w:instrText>
        </w:r>
        <w:r w:rsidR="00906F9F">
          <w:rPr>
            <w:noProof/>
            <w:webHidden/>
          </w:rPr>
        </w:r>
        <w:r w:rsidR="00906F9F">
          <w:rPr>
            <w:noProof/>
            <w:webHidden/>
          </w:rPr>
          <w:fldChar w:fldCharType="separate"/>
        </w:r>
        <w:r w:rsidR="00BD218B">
          <w:rPr>
            <w:noProof/>
            <w:webHidden/>
          </w:rPr>
          <w:t>296</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42" w:history="1">
        <w:r w:rsidR="00906F9F" w:rsidRPr="006B174A">
          <w:rPr>
            <w:rStyle w:val="Hyperlink"/>
            <w:noProof/>
          </w:rPr>
          <w:t>6.5</w:t>
        </w:r>
        <w:r w:rsidR="00906F9F">
          <w:rPr>
            <w:b w:val="0"/>
            <w:bCs w:val="0"/>
            <w:noProof/>
            <w:sz w:val="22"/>
          </w:rPr>
          <w:tab/>
        </w:r>
        <w:r w:rsidR="00906F9F" w:rsidRPr="006B174A">
          <w:rPr>
            <w:rStyle w:val="Hyperlink"/>
            <w:noProof/>
          </w:rPr>
          <w:t>Summary of Final Advice on termination fees</w:t>
        </w:r>
        <w:r w:rsidR="00906F9F">
          <w:rPr>
            <w:noProof/>
            <w:webHidden/>
          </w:rPr>
          <w:tab/>
        </w:r>
        <w:r w:rsidR="00906F9F">
          <w:rPr>
            <w:noProof/>
            <w:webHidden/>
          </w:rPr>
          <w:fldChar w:fldCharType="begin"/>
        </w:r>
        <w:r w:rsidR="00906F9F">
          <w:rPr>
            <w:noProof/>
            <w:webHidden/>
          </w:rPr>
          <w:instrText xml:space="preserve"> PAGEREF _Toc461630742 \h </w:instrText>
        </w:r>
        <w:r w:rsidR="00906F9F">
          <w:rPr>
            <w:noProof/>
            <w:webHidden/>
          </w:rPr>
        </w:r>
        <w:r w:rsidR="00906F9F">
          <w:rPr>
            <w:noProof/>
            <w:webHidden/>
          </w:rPr>
          <w:fldChar w:fldCharType="separate"/>
        </w:r>
        <w:r w:rsidR="00BD218B">
          <w:rPr>
            <w:noProof/>
            <w:webHidden/>
          </w:rPr>
          <w:t>298</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743" w:history="1">
        <w:r w:rsidR="00906F9F" w:rsidRPr="006B174A">
          <w:rPr>
            <w:rStyle w:val="Hyperlink"/>
            <w:rFonts w:cs="Times New Roman"/>
            <w:noProof/>
          </w:rPr>
          <w:t>7</w:t>
        </w:r>
        <w:r w:rsidR="00906F9F">
          <w:rPr>
            <w:rFonts w:asciiTheme="minorHAnsi" w:hAnsiTheme="minorHAnsi"/>
            <w:b w:val="0"/>
            <w:bCs w:val="0"/>
            <w:noProof/>
            <w:sz w:val="22"/>
            <w:szCs w:val="22"/>
          </w:rPr>
          <w:tab/>
        </w:r>
        <w:r w:rsidR="00906F9F" w:rsidRPr="006B174A">
          <w:rPr>
            <w:rStyle w:val="Hyperlink"/>
            <w:rFonts w:cs="Times New Roman"/>
            <w:noProof/>
          </w:rPr>
          <w:t>Water Charge (Planning and Management Information) Rules 2010</w:t>
        </w:r>
        <w:r w:rsidR="00906F9F">
          <w:rPr>
            <w:noProof/>
            <w:webHidden/>
          </w:rPr>
          <w:tab/>
        </w:r>
        <w:r w:rsidR="00906F9F">
          <w:rPr>
            <w:noProof/>
            <w:webHidden/>
          </w:rPr>
          <w:fldChar w:fldCharType="begin"/>
        </w:r>
        <w:r w:rsidR="00906F9F">
          <w:rPr>
            <w:noProof/>
            <w:webHidden/>
          </w:rPr>
          <w:instrText xml:space="preserve"> PAGEREF _Toc461630743 \h </w:instrText>
        </w:r>
        <w:r w:rsidR="00906F9F">
          <w:rPr>
            <w:noProof/>
            <w:webHidden/>
          </w:rPr>
        </w:r>
        <w:r w:rsidR="00906F9F">
          <w:rPr>
            <w:noProof/>
            <w:webHidden/>
          </w:rPr>
          <w:fldChar w:fldCharType="separate"/>
        </w:r>
        <w:r w:rsidR="00BD218B">
          <w:rPr>
            <w:noProof/>
            <w:webHidden/>
          </w:rPr>
          <w:t>301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44" w:history="1">
        <w:r w:rsidR="00906F9F" w:rsidRPr="006B174A">
          <w:rPr>
            <w:rStyle w:val="Hyperlink"/>
            <w:noProof/>
          </w:rPr>
          <w:t>7.1</w:t>
        </w:r>
        <w:r w:rsidR="00906F9F">
          <w:rPr>
            <w:b w:val="0"/>
            <w:bCs w:val="0"/>
            <w:noProof/>
            <w:sz w:val="22"/>
          </w:rPr>
          <w:tab/>
        </w:r>
        <w:r w:rsidR="00906F9F" w:rsidRPr="006B174A">
          <w:rPr>
            <w:rStyle w:val="Hyperlink"/>
            <w:noProof/>
          </w:rPr>
          <w:t>Background</w:t>
        </w:r>
        <w:r w:rsidR="00906F9F">
          <w:rPr>
            <w:noProof/>
            <w:webHidden/>
          </w:rPr>
          <w:tab/>
        </w:r>
        <w:r w:rsidR="00906F9F">
          <w:rPr>
            <w:noProof/>
            <w:webHidden/>
          </w:rPr>
          <w:fldChar w:fldCharType="begin"/>
        </w:r>
        <w:r w:rsidR="00906F9F">
          <w:rPr>
            <w:noProof/>
            <w:webHidden/>
          </w:rPr>
          <w:instrText xml:space="preserve"> PAGEREF _Toc461630744 \h </w:instrText>
        </w:r>
        <w:r w:rsidR="00906F9F">
          <w:rPr>
            <w:noProof/>
            <w:webHidden/>
          </w:rPr>
        </w:r>
        <w:r w:rsidR="00906F9F">
          <w:rPr>
            <w:noProof/>
            <w:webHidden/>
          </w:rPr>
          <w:fldChar w:fldCharType="separate"/>
        </w:r>
        <w:r w:rsidR="00BD218B">
          <w:rPr>
            <w:noProof/>
            <w:webHidden/>
          </w:rPr>
          <w:t>301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45" w:history="1">
        <w:r w:rsidR="00906F9F" w:rsidRPr="006B174A">
          <w:rPr>
            <w:rStyle w:val="Hyperlink"/>
            <w:noProof/>
          </w:rPr>
          <w:t>7.2</w:t>
        </w:r>
        <w:r w:rsidR="00906F9F">
          <w:rPr>
            <w:b w:val="0"/>
            <w:bCs w:val="0"/>
            <w:noProof/>
            <w:sz w:val="22"/>
          </w:rPr>
          <w:tab/>
        </w:r>
        <w:r w:rsidR="00906F9F" w:rsidRPr="006B174A">
          <w:rPr>
            <w:rStyle w:val="Hyperlink"/>
            <w:noProof/>
          </w:rPr>
          <w:t>The scope of the WCPMIR and the utility of published information</w:t>
        </w:r>
        <w:r w:rsidR="00906F9F">
          <w:rPr>
            <w:noProof/>
            <w:webHidden/>
          </w:rPr>
          <w:tab/>
        </w:r>
        <w:r w:rsidR="00906F9F">
          <w:rPr>
            <w:noProof/>
            <w:webHidden/>
          </w:rPr>
          <w:fldChar w:fldCharType="begin"/>
        </w:r>
        <w:r w:rsidR="00906F9F">
          <w:rPr>
            <w:noProof/>
            <w:webHidden/>
          </w:rPr>
          <w:instrText xml:space="preserve"> PAGEREF _Toc461630745 \h </w:instrText>
        </w:r>
        <w:r w:rsidR="00906F9F">
          <w:rPr>
            <w:noProof/>
            <w:webHidden/>
          </w:rPr>
        </w:r>
        <w:r w:rsidR="00906F9F">
          <w:rPr>
            <w:noProof/>
            <w:webHidden/>
          </w:rPr>
          <w:fldChar w:fldCharType="separate"/>
        </w:r>
        <w:r w:rsidR="00BD218B">
          <w:rPr>
            <w:noProof/>
            <w:webHidden/>
          </w:rPr>
          <w:t>301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46" w:history="1">
        <w:r w:rsidR="00906F9F" w:rsidRPr="006B174A">
          <w:rPr>
            <w:rStyle w:val="Hyperlink"/>
            <w:noProof/>
          </w:rPr>
          <w:t>7.3</w:t>
        </w:r>
        <w:r w:rsidR="00906F9F">
          <w:rPr>
            <w:b w:val="0"/>
            <w:bCs w:val="0"/>
            <w:noProof/>
            <w:sz w:val="22"/>
          </w:rPr>
          <w:tab/>
        </w:r>
        <w:r w:rsidR="00906F9F" w:rsidRPr="006B174A">
          <w:rPr>
            <w:rStyle w:val="Hyperlink"/>
            <w:noProof/>
          </w:rPr>
          <w:t>Requirements about information to be published</w:t>
        </w:r>
        <w:r w:rsidR="00906F9F">
          <w:rPr>
            <w:noProof/>
            <w:webHidden/>
          </w:rPr>
          <w:tab/>
        </w:r>
        <w:r w:rsidR="00906F9F">
          <w:rPr>
            <w:noProof/>
            <w:webHidden/>
          </w:rPr>
          <w:fldChar w:fldCharType="begin"/>
        </w:r>
        <w:r w:rsidR="00906F9F">
          <w:rPr>
            <w:noProof/>
            <w:webHidden/>
          </w:rPr>
          <w:instrText xml:space="preserve"> PAGEREF _Toc461630746 \h </w:instrText>
        </w:r>
        <w:r w:rsidR="00906F9F">
          <w:rPr>
            <w:noProof/>
            <w:webHidden/>
          </w:rPr>
        </w:r>
        <w:r w:rsidR="00906F9F">
          <w:rPr>
            <w:noProof/>
            <w:webHidden/>
          </w:rPr>
          <w:fldChar w:fldCharType="separate"/>
        </w:r>
        <w:r w:rsidR="00BD218B">
          <w:rPr>
            <w:noProof/>
            <w:webHidden/>
          </w:rPr>
          <w:t>305</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47" w:history="1">
        <w:r w:rsidR="00906F9F" w:rsidRPr="006B174A">
          <w:rPr>
            <w:rStyle w:val="Hyperlink"/>
            <w:noProof/>
          </w:rPr>
          <w:t>7.4</w:t>
        </w:r>
        <w:r w:rsidR="00906F9F">
          <w:rPr>
            <w:b w:val="0"/>
            <w:bCs w:val="0"/>
            <w:noProof/>
            <w:sz w:val="22"/>
          </w:rPr>
          <w:tab/>
        </w:r>
        <w:r w:rsidR="00906F9F" w:rsidRPr="006B174A">
          <w:rPr>
            <w:rStyle w:val="Hyperlink"/>
            <w:noProof/>
          </w:rPr>
          <w:t>Requirements as to timing and place of publication</w:t>
        </w:r>
        <w:r w:rsidR="00906F9F">
          <w:rPr>
            <w:noProof/>
            <w:webHidden/>
          </w:rPr>
          <w:tab/>
        </w:r>
        <w:r w:rsidR="00906F9F">
          <w:rPr>
            <w:noProof/>
            <w:webHidden/>
          </w:rPr>
          <w:fldChar w:fldCharType="begin"/>
        </w:r>
        <w:r w:rsidR="00906F9F">
          <w:rPr>
            <w:noProof/>
            <w:webHidden/>
          </w:rPr>
          <w:instrText xml:space="preserve"> PAGEREF _Toc461630747 \h </w:instrText>
        </w:r>
        <w:r w:rsidR="00906F9F">
          <w:rPr>
            <w:noProof/>
            <w:webHidden/>
          </w:rPr>
        </w:r>
        <w:r w:rsidR="00906F9F">
          <w:rPr>
            <w:noProof/>
            <w:webHidden/>
          </w:rPr>
          <w:fldChar w:fldCharType="separate"/>
        </w:r>
        <w:r w:rsidR="00BD218B">
          <w:rPr>
            <w:noProof/>
            <w:webHidden/>
          </w:rPr>
          <w:t>308</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748" w:history="1">
        <w:r w:rsidR="00906F9F" w:rsidRPr="006B174A">
          <w:rPr>
            <w:rStyle w:val="Hyperlink"/>
            <w:rFonts w:cs="Times New Roman"/>
            <w:noProof/>
          </w:rPr>
          <w:t>8</w:t>
        </w:r>
        <w:r w:rsidR="00906F9F">
          <w:rPr>
            <w:rFonts w:asciiTheme="minorHAnsi" w:hAnsiTheme="minorHAnsi"/>
            <w:b w:val="0"/>
            <w:bCs w:val="0"/>
            <w:noProof/>
            <w:sz w:val="22"/>
            <w:szCs w:val="22"/>
          </w:rPr>
          <w:tab/>
        </w:r>
        <w:r w:rsidR="00906F9F" w:rsidRPr="006B174A">
          <w:rPr>
            <w:rStyle w:val="Hyperlink"/>
            <w:rFonts w:cs="Times New Roman"/>
            <w:noProof/>
          </w:rPr>
          <w:t>Other issues of concern</w:t>
        </w:r>
        <w:r w:rsidR="00906F9F">
          <w:rPr>
            <w:noProof/>
            <w:webHidden/>
          </w:rPr>
          <w:tab/>
        </w:r>
        <w:r w:rsidR="00906F9F">
          <w:rPr>
            <w:noProof/>
            <w:webHidden/>
          </w:rPr>
          <w:fldChar w:fldCharType="begin"/>
        </w:r>
        <w:r w:rsidR="00906F9F">
          <w:rPr>
            <w:noProof/>
            <w:webHidden/>
          </w:rPr>
          <w:instrText xml:space="preserve"> PAGEREF _Toc461630748 \h </w:instrText>
        </w:r>
        <w:r w:rsidR="00906F9F">
          <w:rPr>
            <w:noProof/>
            <w:webHidden/>
          </w:rPr>
        </w:r>
        <w:r w:rsidR="00906F9F">
          <w:rPr>
            <w:noProof/>
            <w:webHidden/>
          </w:rPr>
          <w:fldChar w:fldCharType="separate"/>
        </w:r>
        <w:r w:rsidR="00BD218B">
          <w:rPr>
            <w:noProof/>
            <w:webHidden/>
          </w:rPr>
          <w:t>310</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49" w:history="1">
        <w:r w:rsidR="00906F9F" w:rsidRPr="006B174A">
          <w:rPr>
            <w:rStyle w:val="Hyperlink"/>
            <w:noProof/>
          </w:rPr>
          <w:t>8.1</w:t>
        </w:r>
        <w:r w:rsidR="00906F9F">
          <w:rPr>
            <w:b w:val="0"/>
            <w:bCs w:val="0"/>
            <w:noProof/>
            <w:sz w:val="22"/>
          </w:rPr>
          <w:tab/>
        </w:r>
        <w:r w:rsidR="00906F9F" w:rsidRPr="006B174A">
          <w:rPr>
            <w:rStyle w:val="Hyperlink"/>
            <w:noProof/>
          </w:rPr>
          <w:t>Water market concerns</w:t>
        </w:r>
        <w:r w:rsidR="00906F9F">
          <w:rPr>
            <w:noProof/>
            <w:webHidden/>
          </w:rPr>
          <w:tab/>
        </w:r>
        <w:r w:rsidR="00906F9F">
          <w:rPr>
            <w:noProof/>
            <w:webHidden/>
          </w:rPr>
          <w:fldChar w:fldCharType="begin"/>
        </w:r>
        <w:r w:rsidR="00906F9F">
          <w:rPr>
            <w:noProof/>
            <w:webHidden/>
          </w:rPr>
          <w:instrText xml:space="preserve"> PAGEREF _Toc461630749 \h </w:instrText>
        </w:r>
        <w:r w:rsidR="00906F9F">
          <w:rPr>
            <w:noProof/>
            <w:webHidden/>
          </w:rPr>
        </w:r>
        <w:r w:rsidR="00906F9F">
          <w:rPr>
            <w:noProof/>
            <w:webHidden/>
          </w:rPr>
          <w:fldChar w:fldCharType="separate"/>
        </w:r>
        <w:r w:rsidR="00BD218B">
          <w:rPr>
            <w:noProof/>
            <w:webHidden/>
          </w:rPr>
          <w:t>310</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50" w:history="1">
        <w:r w:rsidR="00906F9F" w:rsidRPr="006B174A">
          <w:rPr>
            <w:rStyle w:val="Hyperlink"/>
            <w:noProof/>
          </w:rPr>
          <w:t>8.1.1</w:t>
        </w:r>
        <w:r w:rsidR="00906F9F">
          <w:rPr>
            <w:rFonts w:asciiTheme="minorHAnsi" w:hAnsiTheme="minorHAnsi" w:cstheme="minorBidi"/>
            <w:noProof/>
            <w:szCs w:val="22"/>
          </w:rPr>
          <w:tab/>
        </w:r>
        <w:r w:rsidR="00906F9F" w:rsidRPr="006B174A">
          <w:rPr>
            <w:rStyle w:val="Hyperlink"/>
            <w:noProof/>
          </w:rPr>
          <w:t>Transparency in water markets</w:t>
        </w:r>
        <w:r w:rsidR="00906F9F">
          <w:rPr>
            <w:noProof/>
            <w:webHidden/>
          </w:rPr>
          <w:tab/>
        </w:r>
        <w:r w:rsidR="00906F9F">
          <w:rPr>
            <w:noProof/>
            <w:webHidden/>
          </w:rPr>
          <w:fldChar w:fldCharType="begin"/>
        </w:r>
        <w:r w:rsidR="00906F9F">
          <w:rPr>
            <w:noProof/>
            <w:webHidden/>
          </w:rPr>
          <w:instrText xml:space="preserve"> PAGEREF _Toc461630750 \h </w:instrText>
        </w:r>
        <w:r w:rsidR="00906F9F">
          <w:rPr>
            <w:noProof/>
            <w:webHidden/>
          </w:rPr>
        </w:r>
        <w:r w:rsidR="00906F9F">
          <w:rPr>
            <w:noProof/>
            <w:webHidden/>
          </w:rPr>
          <w:fldChar w:fldCharType="separate"/>
        </w:r>
        <w:r w:rsidR="00BD218B">
          <w:rPr>
            <w:noProof/>
            <w:webHidden/>
          </w:rPr>
          <w:t>310</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51" w:history="1">
        <w:r w:rsidR="00906F9F" w:rsidRPr="006B174A">
          <w:rPr>
            <w:rStyle w:val="Hyperlink"/>
            <w:noProof/>
          </w:rPr>
          <w:t>8.1.2</w:t>
        </w:r>
        <w:r w:rsidR="00906F9F">
          <w:rPr>
            <w:rFonts w:asciiTheme="minorHAnsi" w:hAnsiTheme="minorHAnsi" w:cstheme="minorBidi"/>
            <w:noProof/>
            <w:szCs w:val="22"/>
          </w:rPr>
          <w:tab/>
        </w:r>
        <w:r w:rsidR="00906F9F" w:rsidRPr="006B174A">
          <w:rPr>
            <w:rStyle w:val="Hyperlink"/>
            <w:noProof/>
          </w:rPr>
          <w:t>Unbundling of water rights</w:t>
        </w:r>
        <w:r w:rsidR="00906F9F">
          <w:rPr>
            <w:noProof/>
            <w:webHidden/>
          </w:rPr>
          <w:tab/>
        </w:r>
        <w:r w:rsidR="00906F9F">
          <w:rPr>
            <w:noProof/>
            <w:webHidden/>
          </w:rPr>
          <w:fldChar w:fldCharType="begin"/>
        </w:r>
        <w:r w:rsidR="00906F9F">
          <w:rPr>
            <w:noProof/>
            <w:webHidden/>
          </w:rPr>
          <w:instrText xml:space="preserve"> PAGEREF _Toc461630751 \h </w:instrText>
        </w:r>
        <w:r w:rsidR="00906F9F">
          <w:rPr>
            <w:noProof/>
            <w:webHidden/>
          </w:rPr>
        </w:r>
        <w:r w:rsidR="00906F9F">
          <w:rPr>
            <w:noProof/>
            <w:webHidden/>
          </w:rPr>
          <w:fldChar w:fldCharType="separate"/>
        </w:r>
        <w:r w:rsidR="00BD218B">
          <w:rPr>
            <w:noProof/>
            <w:webHidden/>
          </w:rPr>
          <w:t>314</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52" w:history="1">
        <w:r w:rsidR="00906F9F" w:rsidRPr="006B174A">
          <w:rPr>
            <w:rStyle w:val="Hyperlink"/>
            <w:bCs/>
            <w:noProof/>
          </w:rPr>
          <w:t>8.1.3</w:t>
        </w:r>
        <w:r w:rsidR="00906F9F">
          <w:rPr>
            <w:rFonts w:asciiTheme="minorHAnsi" w:hAnsiTheme="minorHAnsi" w:cstheme="minorBidi"/>
            <w:noProof/>
            <w:szCs w:val="22"/>
          </w:rPr>
          <w:tab/>
        </w:r>
        <w:r w:rsidR="00906F9F" w:rsidRPr="006B174A">
          <w:rPr>
            <w:rStyle w:val="Hyperlink"/>
            <w:noProof/>
          </w:rPr>
          <w:t>Trade by non-water users and concerns about speculators</w:t>
        </w:r>
        <w:r w:rsidR="00906F9F">
          <w:rPr>
            <w:noProof/>
            <w:webHidden/>
          </w:rPr>
          <w:tab/>
        </w:r>
        <w:r w:rsidR="00906F9F">
          <w:rPr>
            <w:noProof/>
            <w:webHidden/>
          </w:rPr>
          <w:fldChar w:fldCharType="begin"/>
        </w:r>
        <w:r w:rsidR="00906F9F">
          <w:rPr>
            <w:noProof/>
            <w:webHidden/>
          </w:rPr>
          <w:instrText xml:space="preserve"> PAGEREF _Toc461630752 \h </w:instrText>
        </w:r>
        <w:r w:rsidR="00906F9F">
          <w:rPr>
            <w:noProof/>
            <w:webHidden/>
          </w:rPr>
        </w:r>
        <w:r w:rsidR="00906F9F">
          <w:rPr>
            <w:noProof/>
            <w:webHidden/>
          </w:rPr>
          <w:fldChar w:fldCharType="separate"/>
        </w:r>
        <w:r w:rsidR="00BD218B">
          <w:rPr>
            <w:noProof/>
            <w:webHidden/>
          </w:rPr>
          <w:t>316</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53" w:history="1">
        <w:r w:rsidR="00906F9F" w:rsidRPr="006B174A">
          <w:rPr>
            <w:rStyle w:val="Hyperlink"/>
            <w:bCs/>
            <w:noProof/>
          </w:rPr>
          <w:t>8.1.4</w:t>
        </w:r>
        <w:r w:rsidR="00906F9F">
          <w:rPr>
            <w:rFonts w:asciiTheme="minorHAnsi" w:hAnsiTheme="minorHAnsi" w:cstheme="minorBidi"/>
            <w:noProof/>
            <w:szCs w:val="22"/>
          </w:rPr>
          <w:tab/>
        </w:r>
        <w:r w:rsidR="00906F9F" w:rsidRPr="006B174A">
          <w:rPr>
            <w:rStyle w:val="Hyperlink"/>
            <w:noProof/>
          </w:rPr>
          <w:t>Non-charge barriers to water trade</w:t>
        </w:r>
        <w:r w:rsidR="00906F9F">
          <w:rPr>
            <w:noProof/>
            <w:webHidden/>
          </w:rPr>
          <w:tab/>
        </w:r>
        <w:r w:rsidR="00906F9F">
          <w:rPr>
            <w:noProof/>
            <w:webHidden/>
          </w:rPr>
          <w:fldChar w:fldCharType="begin"/>
        </w:r>
        <w:r w:rsidR="00906F9F">
          <w:rPr>
            <w:noProof/>
            <w:webHidden/>
          </w:rPr>
          <w:instrText xml:space="preserve"> PAGEREF _Toc461630753 \h </w:instrText>
        </w:r>
        <w:r w:rsidR="00906F9F">
          <w:rPr>
            <w:noProof/>
            <w:webHidden/>
          </w:rPr>
        </w:r>
        <w:r w:rsidR="00906F9F">
          <w:rPr>
            <w:noProof/>
            <w:webHidden/>
          </w:rPr>
          <w:fldChar w:fldCharType="separate"/>
        </w:r>
        <w:r w:rsidR="00BD218B">
          <w:rPr>
            <w:noProof/>
            <w:webHidden/>
          </w:rPr>
          <w:t>317</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54" w:history="1">
        <w:r w:rsidR="00906F9F" w:rsidRPr="006B174A">
          <w:rPr>
            <w:rStyle w:val="Hyperlink"/>
            <w:noProof/>
          </w:rPr>
          <w:t>8.1.5</w:t>
        </w:r>
        <w:r w:rsidR="00906F9F">
          <w:rPr>
            <w:rFonts w:asciiTheme="minorHAnsi" w:hAnsiTheme="minorHAnsi" w:cstheme="minorBidi"/>
            <w:noProof/>
            <w:szCs w:val="22"/>
          </w:rPr>
          <w:tab/>
        </w:r>
        <w:r w:rsidR="00906F9F" w:rsidRPr="006B174A">
          <w:rPr>
            <w:rStyle w:val="Hyperlink"/>
            <w:noProof/>
          </w:rPr>
          <w:t>Market impacts of water allocation decisions</w:t>
        </w:r>
        <w:r w:rsidR="00906F9F">
          <w:rPr>
            <w:noProof/>
            <w:webHidden/>
          </w:rPr>
          <w:tab/>
        </w:r>
        <w:r w:rsidR="00906F9F">
          <w:rPr>
            <w:noProof/>
            <w:webHidden/>
          </w:rPr>
          <w:fldChar w:fldCharType="begin"/>
        </w:r>
        <w:r w:rsidR="00906F9F">
          <w:rPr>
            <w:noProof/>
            <w:webHidden/>
          </w:rPr>
          <w:instrText xml:space="preserve"> PAGEREF _Toc461630754 \h </w:instrText>
        </w:r>
        <w:r w:rsidR="00906F9F">
          <w:rPr>
            <w:noProof/>
            <w:webHidden/>
          </w:rPr>
        </w:r>
        <w:r w:rsidR="00906F9F">
          <w:rPr>
            <w:noProof/>
            <w:webHidden/>
          </w:rPr>
          <w:fldChar w:fldCharType="separate"/>
        </w:r>
        <w:r w:rsidR="00BD218B">
          <w:rPr>
            <w:noProof/>
            <w:webHidden/>
          </w:rPr>
          <w:t>319</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55" w:history="1">
        <w:r w:rsidR="00906F9F" w:rsidRPr="006B174A">
          <w:rPr>
            <w:rStyle w:val="Hyperlink"/>
            <w:noProof/>
          </w:rPr>
          <w:t>8.2</w:t>
        </w:r>
        <w:r w:rsidR="00906F9F">
          <w:rPr>
            <w:b w:val="0"/>
            <w:bCs w:val="0"/>
            <w:noProof/>
            <w:sz w:val="22"/>
          </w:rPr>
          <w:tab/>
        </w:r>
        <w:r w:rsidR="00906F9F" w:rsidRPr="006B174A">
          <w:rPr>
            <w:rStyle w:val="Hyperlink"/>
            <w:noProof/>
          </w:rPr>
          <w:t>Concerns about the Murray-Darling Basin Plan and water recovery</w:t>
        </w:r>
        <w:r w:rsidR="00906F9F">
          <w:rPr>
            <w:noProof/>
            <w:webHidden/>
          </w:rPr>
          <w:tab/>
        </w:r>
        <w:r w:rsidR="00906F9F">
          <w:rPr>
            <w:noProof/>
            <w:webHidden/>
          </w:rPr>
          <w:fldChar w:fldCharType="begin"/>
        </w:r>
        <w:r w:rsidR="00906F9F">
          <w:rPr>
            <w:noProof/>
            <w:webHidden/>
          </w:rPr>
          <w:instrText xml:space="preserve"> PAGEREF _Toc461630755 \h </w:instrText>
        </w:r>
        <w:r w:rsidR="00906F9F">
          <w:rPr>
            <w:noProof/>
            <w:webHidden/>
          </w:rPr>
        </w:r>
        <w:r w:rsidR="00906F9F">
          <w:rPr>
            <w:noProof/>
            <w:webHidden/>
          </w:rPr>
          <w:fldChar w:fldCharType="separate"/>
        </w:r>
        <w:r w:rsidR="00BD218B">
          <w:rPr>
            <w:noProof/>
            <w:webHidden/>
          </w:rPr>
          <w:t>320</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56" w:history="1">
        <w:r w:rsidR="00906F9F" w:rsidRPr="006B174A">
          <w:rPr>
            <w:rStyle w:val="Hyperlink"/>
            <w:noProof/>
          </w:rPr>
          <w:t>8.3</w:t>
        </w:r>
        <w:r w:rsidR="00906F9F">
          <w:rPr>
            <w:b w:val="0"/>
            <w:bCs w:val="0"/>
            <w:noProof/>
            <w:sz w:val="22"/>
          </w:rPr>
          <w:tab/>
        </w:r>
        <w:r w:rsidR="00906F9F" w:rsidRPr="006B174A">
          <w:rPr>
            <w:rStyle w:val="Hyperlink"/>
            <w:noProof/>
          </w:rPr>
          <w:t>Concerns about dispute resolution mechanisms in the rural water sector</w:t>
        </w:r>
        <w:r w:rsidR="00906F9F">
          <w:rPr>
            <w:noProof/>
            <w:webHidden/>
          </w:rPr>
          <w:tab/>
        </w:r>
        <w:r w:rsidR="00906F9F">
          <w:rPr>
            <w:noProof/>
            <w:webHidden/>
          </w:rPr>
          <w:fldChar w:fldCharType="begin"/>
        </w:r>
        <w:r w:rsidR="00906F9F">
          <w:rPr>
            <w:noProof/>
            <w:webHidden/>
          </w:rPr>
          <w:instrText xml:space="preserve"> PAGEREF _Toc461630756 \h </w:instrText>
        </w:r>
        <w:r w:rsidR="00906F9F">
          <w:rPr>
            <w:noProof/>
            <w:webHidden/>
          </w:rPr>
        </w:r>
        <w:r w:rsidR="00906F9F">
          <w:rPr>
            <w:noProof/>
            <w:webHidden/>
          </w:rPr>
          <w:fldChar w:fldCharType="separate"/>
        </w:r>
        <w:r w:rsidR="00BD218B">
          <w:rPr>
            <w:noProof/>
            <w:webHidden/>
          </w:rPr>
          <w:t>321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57" w:history="1">
        <w:r w:rsidR="00906F9F" w:rsidRPr="006B174A">
          <w:rPr>
            <w:rStyle w:val="Hyperlink"/>
            <w:noProof/>
          </w:rPr>
          <w:t>8.4</w:t>
        </w:r>
        <w:r w:rsidR="00906F9F">
          <w:rPr>
            <w:b w:val="0"/>
            <w:bCs w:val="0"/>
            <w:noProof/>
            <w:sz w:val="22"/>
          </w:rPr>
          <w:tab/>
        </w:r>
        <w:r w:rsidR="00906F9F" w:rsidRPr="006B174A">
          <w:rPr>
            <w:rStyle w:val="Hyperlink"/>
            <w:noProof/>
          </w:rPr>
          <w:t>Water quality concerns</w:t>
        </w:r>
        <w:r w:rsidR="00906F9F">
          <w:rPr>
            <w:noProof/>
            <w:webHidden/>
          </w:rPr>
          <w:tab/>
        </w:r>
        <w:r w:rsidR="00906F9F">
          <w:rPr>
            <w:noProof/>
            <w:webHidden/>
          </w:rPr>
          <w:fldChar w:fldCharType="begin"/>
        </w:r>
        <w:r w:rsidR="00906F9F">
          <w:rPr>
            <w:noProof/>
            <w:webHidden/>
          </w:rPr>
          <w:instrText xml:space="preserve"> PAGEREF _Toc461630757 \h </w:instrText>
        </w:r>
        <w:r w:rsidR="00906F9F">
          <w:rPr>
            <w:noProof/>
            <w:webHidden/>
          </w:rPr>
        </w:r>
        <w:r w:rsidR="00906F9F">
          <w:rPr>
            <w:noProof/>
            <w:webHidden/>
          </w:rPr>
          <w:fldChar w:fldCharType="separate"/>
        </w:r>
        <w:r w:rsidR="00BD218B">
          <w:rPr>
            <w:noProof/>
            <w:webHidden/>
          </w:rPr>
          <w:t>324</w:t>
        </w:r>
        <w:r w:rsidR="00906F9F">
          <w:rPr>
            <w:noProof/>
            <w:webHidden/>
          </w:rPr>
          <w:fldChar w:fldCharType="end"/>
        </w:r>
      </w:hyperlink>
    </w:p>
    <w:p w:rsidR="00906F9F" w:rsidRDefault="00F23D23">
      <w:pPr>
        <w:pStyle w:val="TOC1"/>
        <w:tabs>
          <w:tab w:val="left" w:pos="440"/>
          <w:tab w:val="right" w:leader="dot" w:pos="9017"/>
        </w:tabs>
        <w:rPr>
          <w:rFonts w:asciiTheme="minorHAnsi" w:hAnsiTheme="minorHAnsi"/>
          <w:b w:val="0"/>
          <w:bCs w:val="0"/>
          <w:noProof/>
          <w:sz w:val="22"/>
          <w:szCs w:val="22"/>
        </w:rPr>
      </w:pPr>
      <w:hyperlink w:anchor="_Toc461630758" w:history="1">
        <w:r w:rsidR="00906F9F" w:rsidRPr="006B174A">
          <w:rPr>
            <w:rStyle w:val="Hyperlink"/>
            <w:noProof/>
          </w:rPr>
          <w:t>9</w:t>
        </w:r>
        <w:r w:rsidR="00906F9F">
          <w:rPr>
            <w:rFonts w:asciiTheme="minorHAnsi" w:hAnsiTheme="minorHAnsi"/>
            <w:b w:val="0"/>
            <w:bCs w:val="0"/>
            <w:noProof/>
            <w:sz w:val="22"/>
            <w:szCs w:val="22"/>
          </w:rPr>
          <w:tab/>
        </w:r>
        <w:r w:rsidR="00906F9F" w:rsidRPr="006B174A">
          <w:rPr>
            <w:rStyle w:val="Hyperlink"/>
            <w:noProof/>
          </w:rPr>
          <w:t>Assessment of change in regulatory cost</w:t>
        </w:r>
        <w:r w:rsidR="00906F9F">
          <w:rPr>
            <w:noProof/>
            <w:webHidden/>
          </w:rPr>
          <w:tab/>
        </w:r>
        <w:r w:rsidR="00906F9F">
          <w:rPr>
            <w:noProof/>
            <w:webHidden/>
          </w:rPr>
          <w:fldChar w:fldCharType="begin"/>
        </w:r>
        <w:r w:rsidR="00906F9F">
          <w:rPr>
            <w:noProof/>
            <w:webHidden/>
          </w:rPr>
          <w:instrText xml:space="preserve"> PAGEREF _Toc461630758 \h </w:instrText>
        </w:r>
        <w:r w:rsidR="00906F9F">
          <w:rPr>
            <w:noProof/>
            <w:webHidden/>
          </w:rPr>
        </w:r>
        <w:r w:rsidR="00906F9F">
          <w:rPr>
            <w:noProof/>
            <w:webHidden/>
          </w:rPr>
          <w:fldChar w:fldCharType="separate"/>
        </w:r>
        <w:r w:rsidR="00BD218B">
          <w:rPr>
            <w:noProof/>
            <w:webHidden/>
          </w:rPr>
          <w:t>325</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59" w:history="1">
        <w:r w:rsidR="00906F9F" w:rsidRPr="006B174A">
          <w:rPr>
            <w:rStyle w:val="Hyperlink"/>
            <w:noProof/>
          </w:rPr>
          <w:t>9.1</w:t>
        </w:r>
        <w:r w:rsidR="00906F9F">
          <w:rPr>
            <w:b w:val="0"/>
            <w:bCs w:val="0"/>
            <w:noProof/>
            <w:sz w:val="22"/>
          </w:rPr>
          <w:tab/>
        </w:r>
        <w:r w:rsidR="00906F9F" w:rsidRPr="006B174A">
          <w:rPr>
            <w:rStyle w:val="Hyperlink"/>
            <w:noProof/>
          </w:rPr>
          <w:t>Overview of estimated change in regulatory costs</w:t>
        </w:r>
        <w:r w:rsidR="00906F9F">
          <w:rPr>
            <w:noProof/>
            <w:webHidden/>
          </w:rPr>
          <w:tab/>
        </w:r>
        <w:r w:rsidR="00906F9F">
          <w:rPr>
            <w:noProof/>
            <w:webHidden/>
          </w:rPr>
          <w:fldChar w:fldCharType="begin"/>
        </w:r>
        <w:r w:rsidR="00906F9F">
          <w:rPr>
            <w:noProof/>
            <w:webHidden/>
          </w:rPr>
          <w:instrText xml:space="preserve"> PAGEREF _Toc461630759 \h </w:instrText>
        </w:r>
        <w:r w:rsidR="00906F9F">
          <w:rPr>
            <w:noProof/>
            <w:webHidden/>
          </w:rPr>
        </w:r>
        <w:r w:rsidR="00906F9F">
          <w:rPr>
            <w:noProof/>
            <w:webHidden/>
          </w:rPr>
          <w:fldChar w:fldCharType="separate"/>
        </w:r>
        <w:r w:rsidR="00BD218B">
          <w:rPr>
            <w:noProof/>
            <w:webHidden/>
          </w:rPr>
          <w:t>325</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60" w:history="1">
        <w:r w:rsidR="00906F9F" w:rsidRPr="006B174A">
          <w:rPr>
            <w:rStyle w:val="Hyperlink"/>
            <w:noProof/>
          </w:rPr>
          <w:t>9.2</w:t>
        </w:r>
        <w:r w:rsidR="00906F9F">
          <w:rPr>
            <w:b w:val="0"/>
            <w:bCs w:val="0"/>
            <w:noProof/>
            <w:sz w:val="22"/>
          </w:rPr>
          <w:tab/>
        </w:r>
        <w:r w:rsidR="00906F9F" w:rsidRPr="006B174A">
          <w:rPr>
            <w:rStyle w:val="Hyperlink"/>
            <w:noProof/>
          </w:rPr>
          <w:t>Methodology</w:t>
        </w:r>
        <w:r w:rsidR="00906F9F">
          <w:rPr>
            <w:noProof/>
            <w:webHidden/>
          </w:rPr>
          <w:tab/>
        </w:r>
        <w:r w:rsidR="00906F9F">
          <w:rPr>
            <w:noProof/>
            <w:webHidden/>
          </w:rPr>
          <w:fldChar w:fldCharType="begin"/>
        </w:r>
        <w:r w:rsidR="00906F9F">
          <w:rPr>
            <w:noProof/>
            <w:webHidden/>
          </w:rPr>
          <w:instrText xml:space="preserve"> PAGEREF _Toc461630760 \h </w:instrText>
        </w:r>
        <w:r w:rsidR="00906F9F">
          <w:rPr>
            <w:noProof/>
            <w:webHidden/>
          </w:rPr>
        </w:r>
        <w:r w:rsidR="00906F9F">
          <w:rPr>
            <w:noProof/>
            <w:webHidden/>
          </w:rPr>
          <w:fldChar w:fldCharType="separate"/>
        </w:r>
        <w:r w:rsidR="00BD218B">
          <w:rPr>
            <w:noProof/>
            <w:webHidden/>
          </w:rPr>
          <w:t>327</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61" w:history="1">
        <w:r w:rsidR="00906F9F" w:rsidRPr="006B174A">
          <w:rPr>
            <w:rStyle w:val="Hyperlink"/>
            <w:noProof/>
          </w:rPr>
          <w:t>9.3</w:t>
        </w:r>
        <w:r w:rsidR="00906F9F">
          <w:rPr>
            <w:b w:val="0"/>
            <w:bCs w:val="0"/>
            <w:noProof/>
            <w:sz w:val="22"/>
          </w:rPr>
          <w:tab/>
        </w:r>
        <w:r w:rsidR="00906F9F" w:rsidRPr="006B174A">
          <w:rPr>
            <w:rStyle w:val="Hyperlink"/>
            <w:noProof/>
          </w:rPr>
          <w:t>Proposed amendments regarding infrastructure charges</w:t>
        </w:r>
        <w:r w:rsidR="00906F9F">
          <w:rPr>
            <w:noProof/>
            <w:webHidden/>
          </w:rPr>
          <w:tab/>
        </w:r>
        <w:r w:rsidR="00906F9F">
          <w:rPr>
            <w:noProof/>
            <w:webHidden/>
          </w:rPr>
          <w:fldChar w:fldCharType="begin"/>
        </w:r>
        <w:r w:rsidR="00906F9F">
          <w:rPr>
            <w:noProof/>
            <w:webHidden/>
          </w:rPr>
          <w:instrText xml:space="preserve"> PAGEREF _Toc461630761 \h </w:instrText>
        </w:r>
        <w:r w:rsidR="00906F9F">
          <w:rPr>
            <w:noProof/>
            <w:webHidden/>
          </w:rPr>
        </w:r>
        <w:r w:rsidR="00906F9F">
          <w:rPr>
            <w:noProof/>
            <w:webHidden/>
          </w:rPr>
          <w:fldChar w:fldCharType="separate"/>
        </w:r>
        <w:r w:rsidR="00BD218B">
          <w:rPr>
            <w:noProof/>
            <w:webHidden/>
          </w:rPr>
          <w:t>331</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62" w:history="1">
        <w:r w:rsidR="00906F9F" w:rsidRPr="006B174A">
          <w:rPr>
            <w:rStyle w:val="Hyperlink"/>
            <w:noProof/>
          </w:rPr>
          <w:t>9.3.1</w:t>
        </w:r>
        <w:r w:rsidR="00906F9F">
          <w:rPr>
            <w:rFonts w:asciiTheme="minorHAnsi" w:hAnsiTheme="minorHAnsi" w:cstheme="minorBidi"/>
            <w:noProof/>
            <w:szCs w:val="22"/>
          </w:rPr>
          <w:tab/>
        </w:r>
        <w:r w:rsidR="00906F9F" w:rsidRPr="006B174A">
          <w:rPr>
            <w:rStyle w:val="Hyperlink"/>
            <w:noProof/>
          </w:rPr>
          <w:t>Non-discrimination provisions</w:t>
        </w:r>
        <w:r w:rsidR="00906F9F">
          <w:rPr>
            <w:noProof/>
            <w:webHidden/>
          </w:rPr>
          <w:tab/>
        </w:r>
        <w:r w:rsidR="00906F9F">
          <w:rPr>
            <w:noProof/>
            <w:webHidden/>
          </w:rPr>
          <w:fldChar w:fldCharType="begin"/>
        </w:r>
        <w:r w:rsidR="00906F9F">
          <w:rPr>
            <w:noProof/>
            <w:webHidden/>
          </w:rPr>
          <w:instrText xml:space="preserve"> PAGEREF _Toc461630762 \h </w:instrText>
        </w:r>
        <w:r w:rsidR="00906F9F">
          <w:rPr>
            <w:noProof/>
            <w:webHidden/>
          </w:rPr>
        </w:r>
        <w:r w:rsidR="00906F9F">
          <w:rPr>
            <w:noProof/>
            <w:webHidden/>
          </w:rPr>
          <w:fldChar w:fldCharType="separate"/>
        </w:r>
        <w:r w:rsidR="00BD218B">
          <w:rPr>
            <w:noProof/>
            <w:webHidden/>
          </w:rPr>
          <w:t>331</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63" w:history="1">
        <w:r w:rsidR="00906F9F" w:rsidRPr="006B174A">
          <w:rPr>
            <w:rStyle w:val="Hyperlink"/>
            <w:noProof/>
          </w:rPr>
          <w:t>9.3.2</w:t>
        </w:r>
        <w:r w:rsidR="00906F9F">
          <w:rPr>
            <w:rFonts w:asciiTheme="minorHAnsi" w:hAnsiTheme="minorHAnsi" w:cstheme="minorBidi"/>
            <w:noProof/>
            <w:szCs w:val="22"/>
          </w:rPr>
          <w:tab/>
        </w:r>
        <w:r w:rsidR="00906F9F" w:rsidRPr="006B174A">
          <w:rPr>
            <w:rStyle w:val="Hyperlink"/>
            <w:noProof/>
          </w:rPr>
          <w:t>Schedule of Charges</w:t>
        </w:r>
        <w:r w:rsidR="00906F9F">
          <w:rPr>
            <w:noProof/>
            <w:webHidden/>
          </w:rPr>
          <w:tab/>
        </w:r>
        <w:r w:rsidR="00906F9F">
          <w:rPr>
            <w:noProof/>
            <w:webHidden/>
          </w:rPr>
          <w:fldChar w:fldCharType="begin"/>
        </w:r>
        <w:r w:rsidR="00906F9F">
          <w:rPr>
            <w:noProof/>
            <w:webHidden/>
          </w:rPr>
          <w:instrText xml:space="preserve"> PAGEREF _Toc461630763 \h </w:instrText>
        </w:r>
        <w:r w:rsidR="00906F9F">
          <w:rPr>
            <w:noProof/>
            <w:webHidden/>
          </w:rPr>
        </w:r>
        <w:r w:rsidR="00906F9F">
          <w:rPr>
            <w:noProof/>
            <w:webHidden/>
          </w:rPr>
          <w:fldChar w:fldCharType="separate"/>
        </w:r>
        <w:r w:rsidR="00BD218B">
          <w:rPr>
            <w:noProof/>
            <w:webHidden/>
          </w:rPr>
          <w:t>334</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64" w:history="1">
        <w:r w:rsidR="00906F9F" w:rsidRPr="006B174A">
          <w:rPr>
            <w:rStyle w:val="Hyperlink"/>
            <w:noProof/>
          </w:rPr>
          <w:t>9.3.3</w:t>
        </w:r>
        <w:r w:rsidR="00906F9F">
          <w:rPr>
            <w:rFonts w:asciiTheme="minorHAnsi" w:hAnsiTheme="minorHAnsi" w:cstheme="minorBidi"/>
            <w:noProof/>
            <w:szCs w:val="22"/>
          </w:rPr>
          <w:tab/>
        </w:r>
        <w:r w:rsidR="00906F9F" w:rsidRPr="006B174A">
          <w:rPr>
            <w:rStyle w:val="Hyperlink"/>
            <w:noProof/>
          </w:rPr>
          <w:t>Network Service Plans</w:t>
        </w:r>
        <w:r w:rsidR="00906F9F">
          <w:rPr>
            <w:noProof/>
            <w:webHidden/>
          </w:rPr>
          <w:tab/>
        </w:r>
        <w:r w:rsidR="00906F9F">
          <w:rPr>
            <w:noProof/>
            <w:webHidden/>
          </w:rPr>
          <w:fldChar w:fldCharType="begin"/>
        </w:r>
        <w:r w:rsidR="00906F9F">
          <w:rPr>
            <w:noProof/>
            <w:webHidden/>
          </w:rPr>
          <w:instrText xml:space="preserve"> PAGEREF _Toc461630764 \h </w:instrText>
        </w:r>
        <w:r w:rsidR="00906F9F">
          <w:rPr>
            <w:noProof/>
            <w:webHidden/>
          </w:rPr>
        </w:r>
        <w:r w:rsidR="00906F9F">
          <w:rPr>
            <w:noProof/>
            <w:webHidden/>
          </w:rPr>
          <w:fldChar w:fldCharType="separate"/>
        </w:r>
        <w:r w:rsidR="00BD218B">
          <w:rPr>
            <w:noProof/>
            <w:webHidden/>
          </w:rPr>
          <w:t>337</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65" w:history="1">
        <w:r w:rsidR="00906F9F" w:rsidRPr="006B174A">
          <w:rPr>
            <w:rStyle w:val="Hyperlink"/>
            <w:noProof/>
          </w:rPr>
          <w:t>9.3.4</w:t>
        </w:r>
        <w:r w:rsidR="00906F9F">
          <w:rPr>
            <w:rFonts w:asciiTheme="minorHAnsi" w:hAnsiTheme="minorHAnsi" w:cstheme="minorBidi"/>
            <w:noProof/>
            <w:szCs w:val="22"/>
          </w:rPr>
          <w:tab/>
        </w:r>
        <w:r w:rsidR="00906F9F" w:rsidRPr="006B174A">
          <w:rPr>
            <w:rStyle w:val="Hyperlink"/>
            <w:noProof/>
          </w:rPr>
          <w:t>Approvals and Determinations</w:t>
        </w:r>
        <w:r w:rsidR="00906F9F">
          <w:rPr>
            <w:noProof/>
            <w:webHidden/>
          </w:rPr>
          <w:tab/>
        </w:r>
        <w:r w:rsidR="00906F9F">
          <w:rPr>
            <w:noProof/>
            <w:webHidden/>
          </w:rPr>
          <w:fldChar w:fldCharType="begin"/>
        </w:r>
        <w:r w:rsidR="00906F9F">
          <w:rPr>
            <w:noProof/>
            <w:webHidden/>
          </w:rPr>
          <w:instrText xml:space="preserve"> PAGEREF _Toc461630765 \h </w:instrText>
        </w:r>
        <w:r w:rsidR="00906F9F">
          <w:rPr>
            <w:noProof/>
            <w:webHidden/>
          </w:rPr>
        </w:r>
        <w:r w:rsidR="00906F9F">
          <w:rPr>
            <w:noProof/>
            <w:webHidden/>
          </w:rPr>
          <w:fldChar w:fldCharType="separate"/>
        </w:r>
        <w:r w:rsidR="00BD218B">
          <w:rPr>
            <w:noProof/>
            <w:webHidden/>
          </w:rPr>
          <w:t>338</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66" w:history="1">
        <w:r w:rsidR="00906F9F" w:rsidRPr="006B174A">
          <w:rPr>
            <w:rStyle w:val="Hyperlink"/>
            <w:noProof/>
          </w:rPr>
          <w:t>9.3.5</w:t>
        </w:r>
        <w:r w:rsidR="00906F9F">
          <w:rPr>
            <w:rFonts w:asciiTheme="minorHAnsi" w:hAnsiTheme="minorHAnsi" w:cstheme="minorBidi"/>
            <w:noProof/>
            <w:szCs w:val="22"/>
          </w:rPr>
          <w:tab/>
        </w:r>
        <w:r w:rsidR="00906F9F" w:rsidRPr="006B174A">
          <w:rPr>
            <w:rStyle w:val="Hyperlink"/>
            <w:noProof/>
          </w:rPr>
          <w:t>Distributions</w:t>
        </w:r>
        <w:r w:rsidR="00906F9F">
          <w:rPr>
            <w:noProof/>
            <w:webHidden/>
          </w:rPr>
          <w:tab/>
        </w:r>
        <w:r w:rsidR="00906F9F">
          <w:rPr>
            <w:noProof/>
            <w:webHidden/>
          </w:rPr>
          <w:fldChar w:fldCharType="begin"/>
        </w:r>
        <w:r w:rsidR="00906F9F">
          <w:rPr>
            <w:noProof/>
            <w:webHidden/>
          </w:rPr>
          <w:instrText xml:space="preserve"> PAGEREF _Toc461630766 \h </w:instrText>
        </w:r>
        <w:r w:rsidR="00906F9F">
          <w:rPr>
            <w:noProof/>
            <w:webHidden/>
          </w:rPr>
        </w:r>
        <w:r w:rsidR="00906F9F">
          <w:rPr>
            <w:noProof/>
            <w:webHidden/>
          </w:rPr>
          <w:fldChar w:fldCharType="separate"/>
        </w:r>
        <w:r w:rsidR="00BD218B">
          <w:rPr>
            <w:noProof/>
            <w:webHidden/>
          </w:rPr>
          <w:t>341</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67" w:history="1">
        <w:r w:rsidR="00906F9F" w:rsidRPr="006B174A">
          <w:rPr>
            <w:rStyle w:val="Hyperlink"/>
            <w:noProof/>
          </w:rPr>
          <w:t>9.4</w:t>
        </w:r>
        <w:r w:rsidR="00906F9F">
          <w:rPr>
            <w:b w:val="0"/>
            <w:bCs w:val="0"/>
            <w:noProof/>
            <w:sz w:val="22"/>
          </w:rPr>
          <w:tab/>
        </w:r>
        <w:r w:rsidR="00906F9F" w:rsidRPr="006B174A">
          <w:rPr>
            <w:rStyle w:val="Hyperlink"/>
            <w:noProof/>
          </w:rPr>
          <w:t>Proposed amendments regarding termination fees</w:t>
        </w:r>
        <w:r w:rsidR="00906F9F">
          <w:rPr>
            <w:noProof/>
            <w:webHidden/>
          </w:rPr>
          <w:tab/>
        </w:r>
        <w:r w:rsidR="00906F9F">
          <w:rPr>
            <w:noProof/>
            <w:webHidden/>
          </w:rPr>
          <w:fldChar w:fldCharType="begin"/>
        </w:r>
        <w:r w:rsidR="00906F9F">
          <w:rPr>
            <w:noProof/>
            <w:webHidden/>
          </w:rPr>
          <w:instrText xml:space="preserve"> PAGEREF _Toc461630767 \h </w:instrText>
        </w:r>
        <w:r w:rsidR="00906F9F">
          <w:rPr>
            <w:noProof/>
            <w:webHidden/>
          </w:rPr>
        </w:r>
        <w:r w:rsidR="00906F9F">
          <w:rPr>
            <w:noProof/>
            <w:webHidden/>
          </w:rPr>
          <w:fldChar w:fldCharType="separate"/>
        </w:r>
        <w:r w:rsidR="00BD218B">
          <w:rPr>
            <w:noProof/>
            <w:webHidden/>
          </w:rPr>
          <w:t>343</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68" w:history="1">
        <w:r w:rsidR="00906F9F" w:rsidRPr="006B174A">
          <w:rPr>
            <w:rStyle w:val="Hyperlink"/>
            <w:noProof/>
          </w:rPr>
          <w:t>9.4.1</w:t>
        </w:r>
        <w:r w:rsidR="00906F9F">
          <w:rPr>
            <w:rFonts w:asciiTheme="minorHAnsi" w:hAnsiTheme="minorHAnsi" w:cstheme="minorBidi"/>
            <w:noProof/>
            <w:szCs w:val="22"/>
          </w:rPr>
          <w:tab/>
        </w:r>
        <w:r w:rsidR="00906F9F" w:rsidRPr="006B174A">
          <w:rPr>
            <w:rStyle w:val="Hyperlink"/>
            <w:noProof/>
          </w:rPr>
          <w:t>Method of Calculating Termination Fees</w:t>
        </w:r>
        <w:r w:rsidR="00906F9F">
          <w:rPr>
            <w:noProof/>
            <w:webHidden/>
          </w:rPr>
          <w:tab/>
        </w:r>
        <w:r w:rsidR="00906F9F">
          <w:rPr>
            <w:noProof/>
            <w:webHidden/>
          </w:rPr>
          <w:fldChar w:fldCharType="begin"/>
        </w:r>
        <w:r w:rsidR="00906F9F">
          <w:rPr>
            <w:noProof/>
            <w:webHidden/>
          </w:rPr>
          <w:instrText xml:space="preserve"> PAGEREF _Toc461630768 \h </w:instrText>
        </w:r>
        <w:r w:rsidR="00906F9F">
          <w:rPr>
            <w:noProof/>
            <w:webHidden/>
          </w:rPr>
        </w:r>
        <w:r w:rsidR="00906F9F">
          <w:rPr>
            <w:noProof/>
            <w:webHidden/>
          </w:rPr>
          <w:fldChar w:fldCharType="separate"/>
        </w:r>
        <w:r w:rsidR="00BD218B">
          <w:rPr>
            <w:noProof/>
            <w:webHidden/>
          </w:rPr>
          <w:t>343</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69" w:history="1">
        <w:r w:rsidR="00906F9F" w:rsidRPr="006B174A">
          <w:rPr>
            <w:rStyle w:val="Hyperlink"/>
            <w:noProof/>
          </w:rPr>
          <w:t>9.4.2</w:t>
        </w:r>
        <w:r w:rsidR="00906F9F">
          <w:rPr>
            <w:rFonts w:asciiTheme="minorHAnsi" w:hAnsiTheme="minorHAnsi" w:cstheme="minorBidi"/>
            <w:noProof/>
            <w:szCs w:val="22"/>
          </w:rPr>
          <w:tab/>
        </w:r>
        <w:r w:rsidR="00906F9F" w:rsidRPr="006B174A">
          <w:rPr>
            <w:rStyle w:val="Hyperlink"/>
            <w:noProof/>
          </w:rPr>
          <w:t>Other Termination Fee Provisions including information provisions</w:t>
        </w:r>
        <w:r w:rsidR="00906F9F">
          <w:rPr>
            <w:noProof/>
            <w:webHidden/>
          </w:rPr>
          <w:tab/>
        </w:r>
        <w:r w:rsidR="00906F9F">
          <w:rPr>
            <w:noProof/>
            <w:webHidden/>
          </w:rPr>
          <w:fldChar w:fldCharType="begin"/>
        </w:r>
        <w:r w:rsidR="00906F9F">
          <w:rPr>
            <w:noProof/>
            <w:webHidden/>
          </w:rPr>
          <w:instrText xml:space="preserve"> PAGEREF _Toc461630769 \h </w:instrText>
        </w:r>
        <w:r w:rsidR="00906F9F">
          <w:rPr>
            <w:noProof/>
            <w:webHidden/>
          </w:rPr>
        </w:r>
        <w:r w:rsidR="00906F9F">
          <w:rPr>
            <w:noProof/>
            <w:webHidden/>
          </w:rPr>
          <w:fldChar w:fldCharType="separate"/>
        </w:r>
        <w:r w:rsidR="00BD218B">
          <w:rPr>
            <w:noProof/>
            <w:webHidden/>
          </w:rPr>
          <w:t>345</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70" w:history="1">
        <w:r w:rsidR="00906F9F" w:rsidRPr="006B174A">
          <w:rPr>
            <w:rStyle w:val="Hyperlink"/>
            <w:noProof/>
          </w:rPr>
          <w:t>9.5</w:t>
        </w:r>
        <w:r w:rsidR="00906F9F">
          <w:rPr>
            <w:b w:val="0"/>
            <w:bCs w:val="0"/>
            <w:noProof/>
            <w:sz w:val="22"/>
          </w:rPr>
          <w:tab/>
        </w:r>
        <w:r w:rsidR="00906F9F" w:rsidRPr="006B174A">
          <w:rPr>
            <w:rStyle w:val="Hyperlink"/>
            <w:noProof/>
          </w:rPr>
          <w:t>Proposed amendments regarding planning and management charges</w:t>
        </w:r>
        <w:r w:rsidR="00906F9F">
          <w:rPr>
            <w:noProof/>
            <w:webHidden/>
          </w:rPr>
          <w:tab/>
        </w:r>
        <w:r w:rsidR="00906F9F">
          <w:rPr>
            <w:noProof/>
            <w:webHidden/>
          </w:rPr>
          <w:fldChar w:fldCharType="begin"/>
        </w:r>
        <w:r w:rsidR="00906F9F">
          <w:rPr>
            <w:noProof/>
            <w:webHidden/>
          </w:rPr>
          <w:instrText xml:space="preserve"> PAGEREF _Toc461630770 \h </w:instrText>
        </w:r>
        <w:r w:rsidR="00906F9F">
          <w:rPr>
            <w:noProof/>
            <w:webHidden/>
          </w:rPr>
        </w:r>
        <w:r w:rsidR="00906F9F">
          <w:rPr>
            <w:noProof/>
            <w:webHidden/>
          </w:rPr>
          <w:fldChar w:fldCharType="separate"/>
        </w:r>
        <w:r w:rsidR="00BD218B">
          <w:rPr>
            <w:noProof/>
            <w:webHidden/>
          </w:rPr>
          <w:t>347</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71" w:history="1">
        <w:r w:rsidR="00906F9F" w:rsidRPr="006B174A">
          <w:rPr>
            <w:rStyle w:val="Hyperlink"/>
            <w:noProof/>
          </w:rPr>
          <w:t>9.5.1</w:t>
        </w:r>
        <w:r w:rsidR="00906F9F">
          <w:rPr>
            <w:rFonts w:asciiTheme="minorHAnsi" w:hAnsiTheme="minorHAnsi" w:cstheme="minorBidi"/>
            <w:noProof/>
            <w:szCs w:val="22"/>
          </w:rPr>
          <w:tab/>
        </w:r>
        <w:r w:rsidR="00906F9F" w:rsidRPr="006B174A">
          <w:rPr>
            <w:rStyle w:val="Hyperlink"/>
            <w:noProof/>
          </w:rPr>
          <w:t>Disclosure of planning and management charge information</w:t>
        </w:r>
        <w:r w:rsidR="00906F9F">
          <w:rPr>
            <w:noProof/>
            <w:webHidden/>
          </w:rPr>
          <w:tab/>
        </w:r>
        <w:r w:rsidR="00906F9F">
          <w:rPr>
            <w:noProof/>
            <w:webHidden/>
          </w:rPr>
          <w:fldChar w:fldCharType="begin"/>
        </w:r>
        <w:r w:rsidR="00906F9F">
          <w:rPr>
            <w:noProof/>
            <w:webHidden/>
          </w:rPr>
          <w:instrText xml:space="preserve"> PAGEREF _Toc461630771 \h </w:instrText>
        </w:r>
        <w:r w:rsidR="00906F9F">
          <w:rPr>
            <w:noProof/>
            <w:webHidden/>
          </w:rPr>
        </w:r>
        <w:r w:rsidR="00906F9F">
          <w:rPr>
            <w:noProof/>
            <w:webHidden/>
          </w:rPr>
          <w:fldChar w:fldCharType="separate"/>
        </w:r>
        <w:r w:rsidR="00BD218B">
          <w:rPr>
            <w:noProof/>
            <w:webHidden/>
          </w:rPr>
          <w:t>347</w:t>
        </w:r>
        <w:r w:rsidR="00906F9F">
          <w:rPr>
            <w:noProof/>
            <w:webHidden/>
          </w:rPr>
          <w:fldChar w:fldCharType="end"/>
        </w:r>
      </w:hyperlink>
    </w:p>
    <w:p w:rsidR="00906F9F" w:rsidRDefault="00F23D23">
      <w:pPr>
        <w:pStyle w:val="TOC3"/>
        <w:rPr>
          <w:rFonts w:asciiTheme="minorHAnsi" w:hAnsiTheme="minorHAnsi" w:cstheme="minorBidi"/>
          <w:noProof/>
          <w:szCs w:val="22"/>
        </w:rPr>
      </w:pPr>
      <w:hyperlink w:anchor="_Toc461630772" w:history="1">
        <w:r w:rsidR="00906F9F" w:rsidRPr="006B174A">
          <w:rPr>
            <w:rStyle w:val="Hyperlink"/>
            <w:noProof/>
          </w:rPr>
          <w:t>9.5.2</w:t>
        </w:r>
        <w:r w:rsidR="00906F9F">
          <w:rPr>
            <w:rFonts w:asciiTheme="minorHAnsi" w:hAnsiTheme="minorHAnsi" w:cstheme="minorBidi"/>
            <w:noProof/>
            <w:szCs w:val="22"/>
          </w:rPr>
          <w:tab/>
        </w:r>
        <w:r w:rsidR="00906F9F" w:rsidRPr="006B174A">
          <w:rPr>
            <w:rStyle w:val="Hyperlink"/>
            <w:noProof/>
          </w:rPr>
          <w:t>Planning and management charge publication requirements</w:t>
        </w:r>
        <w:r w:rsidR="00906F9F">
          <w:rPr>
            <w:noProof/>
            <w:webHidden/>
          </w:rPr>
          <w:tab/>
        </w:r>
        <w:r w:rsidR="00906F9F">
          <w:rPr>
            <w:noProof/>
            <w:webHidden/>
          </w:rPr>
          <w:fldChar w:fldCharType="begin"/>
        </w:r>
        <w:r w:rsidR="00906F9F">
          <w:rPr>
            <w:noProof/>
            <w:webHidden/>
          </w:rPr>
          <w:instrText xml:space="preserve"> PAGEREF _Toc461630772 \h </w:instrText>
        </w:r>
        <w:r w:rsidR="00906F9F">
          <w:rPr>
            <w:noProof/>
            <w:webHidden/>
          </w:rPr>
        </w:r>
        <w:r w:rsidR="00906F9F">
          <w:rPr>
            <w:noProof/>
            <w:webHidden/>
          </w:rPr>
          <w:fldChar w:fldCharType="separate"/>
        </w:r>
        <w:r w:rsidR="00BD218B">
          <w:rPr>
            <w:noProof/>
            <w:webHidden/>
          </w:rPr>
          <w:t>348</w:t>
        </w:r>
        <w:r w:rsidR="00906F9F">
          <w:rPr>
            <w:noProof/>
            <w:webHidden/>
          </w:rPr>
          <w:fldChar w:fldCharType="end"/>
        </w:r>
      </w:hyperlink>
    </w:p>
    <w:p w:rsidR="00906F9F" w:rsidRDefault="00F23D23">
      <w:pPr>
        <w:pStyle w:val="TOC2"/>
        <w:tabs>
          <w:tab w:val="left" w:pos="660"/>
          <w:tab w:val="right" w:leader="dot" w:pos="9017"/>
        </w:tabs>
        <w:rPr>
          <w:b w:val="0"/>
          <w:bCs w:val="0"/>
          <w:noProof/>
          <w:sz w:val="22"/>
        </w:rPr>
      </w:pPr>
      <w:hyperlink w:anchor="_Toc461630773" w:history="1">
        <w:r w:rsidR="00906F9F" w:rsidRPr="006B174A">
          <w:rPr>
            <w:rStyle w:val="Hyperlink"/>
            <w:noProof/>
          </w:rPr>
          <w:t>9.6</w:t>
        </w:r>
        <w:r w:rsidR="00906F9F">
          <w:rPr>
            <w:b w:val="0"/>
            <w:bCs w:val="0"/>
            <w:noProof/>
            <w:sz w:val="22"/>
          </w:rPr>
          <w:tab/>
        </w:r>
        <w:r w:rsidR="00906F9F" w:rsidRPr="006B174A">
          <w:rPr>
            <w:rStyle w:val="Hyperlink"/>
            <w:noProof/>
          </w:rPr>
          <w:t>One-off and start-up costs</w:t>
        </w:r>
        <w:r w:rsidR="00906F9F">
          <w:rPr>
            <w:noProof/>
            <w:webHidden/>
          </w:rPr>
          <w:tab/>
        </w:r>
        <w:r w:rsidR="00906F9F">
          <w:rPr>
            <w:noProof/>
            <w:webHidden/>
          </w:rPr>
          <w:fldChar w:fldCharType="begin"/>
        </w:r>
        <w:r w:rsidR="00906F9F">
          <w:rPr>
            <w:noProof/>
            <w:webHidden/>
          </w:rPr>
          <w:instrText xml:space="preserve"> PAGEREF _Toc461630773 \h </w:instrText>
        </w:r>
        <w:r w:rsidR="00906F9F">
          <w:rPr>
            <w:noProof/>
            <w:webHidden/>
          </w:rPr>
        </w:r>
        <w:r w:rsidR="00906F9F">
          <w:rPr>
            <w:noProof/>
            <w:webHidden/>
          </w:rPr>
          <w:fldChar w:fldCharType="separate"/>
        </w:r>
        <w:r w:rsidR="00BD218B">
          <w:rPr>
            <w:noProof/>
            <w:webHidden/>
          </w:rPr>
          <w:t>349</w:t>
        </w:r>
        <w:r w:rsidR="00906F9F">
          <w:rPr>
            <w:noProof/>
            <w:webHidden/>
          </w:rPr>
          <w:fldChar w:fldCharType="end"/>
        </w:r>
      </w:hyperlink>
    </w:p>
    <w:p w:rsidR="00906F9F" w:rsidRDefault="00F23D23">
      <w:pPr>
        <w:pStyle w:val="TOC1"/>
        <w:tabs>
          <w:tab w:val="right" w:leader="dot" w:pos="9017"/>
        </w:tabs>
        <w:rPr>
          <w:rFonts w:asciiTheme="minorHAnsi" w:hAnsiTheme="minorHAnsi"/>
          <w:b w:val="0"/>
          <w:bCs w:val="0"/>
          <w:noProof/>
          <w:sz w:val="22"/>
          <w:szCs w:val="22"/>
        </w:rPr>
      </w:pPr>
      <w:hyperlink w:anchor="_Toc461630774" w:history="1">
        <w:r w:rsidR="00906F9F" w:rsidRPr="006B174A">
          <w:rPr>
            <w:rStyle w:val="Hyperlink"/>
            <w:rFonts w:cs="Times New Roman"/>
            <w:noProof/>
          </w:rPr>
          <w:t>Appendix A—Request for advice and terms of reference</w:t>
        </w:r>
        <w:r w:rsidR="00906F9F">
          <w:rPr>
            <w:noProof/>
            <w:webHidden/>
          </w:rPr>
          <w:tab/>
        </w:r>
        <w:r w:rsidR="00906F9F">
          <w:rPr>
            <w:noProof/>
            <w:webHidden/>
          </w:rPr>
          <w:fldChar w:fldCharType="begin"/>
        </w:r>
        <w:r w:rsidR="00906F9F">
          <w:rPr>
            <w:noProof/>
            <w:webHidden/>
          </w:rPr>
          <w:instrText xml:space="preserve"> PAGEREF _Toc461630774 \h </w:instrText>
        </w:r>
        <w:r w:rsidR="00906F9F">
          <w:rPr>
            <w:noProof/>
            <w:webHidden/>
          </w:rPr>
        </w:r>
        <w:r w:rsidR="00906F9F">
          <w:rPr>
            <w:noProof/>
            <w:webHidden/>
          </w:rPr>
          <w:fldChar w:fldCharType="separate"/>
        </w:r>
        <w:r w:rsidR="00BD218B">
          <w:rPr>
            <w:noProof/>
            <w:webHidden/>
          </w:rPr>
          <w:t>352</w:t>
        </w:r>
        <w:r w:rsidR="00906F9F">
          <w:rPr>
            <w:noProof/>
            <w:webHidden/>
          </w:rPr>
          <w:fldChar w:fldCharType="end"/>
        </w:r>
      </w:hyperlink>
    </w:p>
    <w:p w:rsidR="00906F9F" w:rsidRDefault="00F23D23">
      <w:pPr>
        <w:pStyle w:val="TOC1"/>
        <w:tabs>
          <w:tab w:val="right" w:leader="dot" w:pos="9017"/>
        </w:tabs>
        <w:rPr>
          <w:rFonts w:asciiTheme="minorHAnsi" w:hAnsiTheme="minorHAnsi"/>
          <w:b w:val="0"/>
          <w:bCs w:val="0"/>
          <w:noProof/>
          <w:sz w:val="22"/>
          <w:szCs w:val="22"/>
        </w:rPr>
      </w:pPr>
      <w:hyperlink w:anchor="_Toc461630775" w:history="1">
        <w:r w:rsidR="00906F9F" w:rsidRPr="006B174A">
          <w:rPr>
            <w:rStyle w:val="Hyperlink"/>
            <w:rFonts w:cs="Times New Roman"/>
            <w:noProof/>
          </w:rPr>
          <w:t>Appendix B—Basin water charging objectives and principles</w:t>
        </w:r>
        <w:r w:rsidR="00906F9F">
          <w:rPr>
            <w:noProof/>
            <w:webHidden/>
          </w:rPr>
          <w:tab/>
        </w:r>
        <w:r w:rsidR="00906F9F">
          <w:rPr>
            <w:noProof/>
            <w:webHidden/>
          </w:rPr>
          <w:fldChar w:fldCharType="begin"/>
        </w:r>
        <w:r w:rsidR="00906F9F">
          <w:rPr>
            <w:noProof/>
            <w:webHidden/>
          </w:rPr>
          <w:instrText xml:space="preserve"> PAGEREF _Toc461630775 \h </w:instrText>
        </w:r>
        <w:r w:rsidR="00906F9F">
          <w:rPr>
            <w:noProof/>
            <w:webHidden/>
          </w:rPr>
        </w:r>
        <w:r w:rsidR="00906F9F">
          <w:rPr>
            <w:noProof/>
            <w:webHidden/>
          </w:rPr>
          <w:fldChar w:fldCharType="separate"/>
        </w:r>
        <w:r w:rsidR="00BD218B">
          <w:rPr>
            <w:noProof/>
            <w:webHidden/>
          </w:rPr>
          <w:t>354</w:t>
        </w:r>
        <w:r w:rsidR="00906F9F">
          <w:rPr>
            <w:noProof/>
            <w:webHidden/>
          </w:rPr>
          <w:fldChar w:fldCharType="end"/>
        </w:r>
      </w:hyperlink>
    </w:p>
    <w:p w:rsidR="006B4C78" w:rsidRPr="00D714FC" w:rsidRDefault="00416407" w:rsidP="00906F9F">
      <w:pPr>
        <w:pStyle w:val="Heading1"/>
        <w:numPr>
          <w:ilvl w:val="0"/>
          <w:numId w:val="0"/>
        </w:numPr>
      </w:pPr>
      <w:r>
        <w:fldChar w:fldCharType="end"/>
      </w:r>
      <w:bookmarkStart w:id="15" w:name="_Toc461630671"/>
      <w:r w:rsidR="006B4C78" w:rsidRPr="00D714FC">
        <w:t>Glossary</w:t>
      </w:r>
      <w:bookmarkEnd w:id="10"/>
      <w:bookmarkEnd w:id="11"/>
      <w:bookmarkEnd w:id="12"/>
      <w:bookmarkEnd w:id="13"/>
      <w:bookmarkEnd w:id="14"/>
      <w:bookmarkEnd w:id="1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513"/>
      </w:tblGrid>
      <w:tr w:rsidR="006B4C78" w:rsidRPr="00D714FC" w:rsidTr="00595835">
        <w:trPr>
          <w:cantSplit/>
          <w:trHeight w:val="312"/>
        </w:trPr>
        <w:tc>
          <w:tcPr>
            <w:tcW w:w="1701" w:type="dxa"/>
          </w:tcPr>
          <w:p w:rsidR="006B4C78" w:rsidRPr="00D714FC" w:rsidRDefault="006B4C78" w:rsidP="00906F9F">
            <w:pPr>
              <w:pStyle w:val="tabletext"/>
              <w:rPr>
                <w:b/>
              </w:rPr>
            </w:pPr>
            <w:r w:rsidRPr="00D714FC">
              <w:rPr>
                <w:b/>
              </w:rPr>
              <w:t>Basin State</w:t>
            </w:r>
          </w:p>
        </w:tc>
        <w:tc>
          <w:tcPr>
            <w:tcW w:w="7513" w:type="dxa"/>
            <w:shd w:val="clear" w:color="auto" w:fill="auto"/>
          </w:tcPr>
          <w:p w:rsidR="006B4C78" w:rsidRPr="00D714FC" w:rsidRDefault="006B4C78" w:rsidP="00906F9F">
            <w:pPr>
              <w:pStyle w:val="tabletext"/>
            </w:pPr>
            <w:r w:rsidRPr="00D714FC">
              <w:t>means New South Wales, Victoria, Queensland, South Australia, or t</w:t>
            </w:r>
            <w:r w:rsidR="000556D0">
              <w:t>he Australian Capital Territory</w:t>
            </w:r>
          </w:p>
        </w:tc>
      </w:tr>
      <w:tr w:rsidR="006B4C78" w:rsidRPr="00D714FC" w:rsidTr="00595835">
        <w:trPr>
          <w:cantSplit/>
          <w:trHeight w:val="312"/>
        </w:trPr>
        <w:tc>
          <w:tcPr>
            <w:tcW w:w="1701" w:type="dxa"/>
          </w:tcPr>
          <w:p w:rsidR="006B4C78" w:rsidRPr="00D714FC" w:rsidRDefault="006B4C78" w:rsidP="00906F9F">
            <w:pPr>
              <w:pStyle w:val="tabletext"/>
              <w:rPr>
                <w:b/>
              </w:rPr>
            </w:pPr>
            <w:r w:rsidRPr="00D714FC">
              <w:rPr>
                <w:b/>
              </w:rPr>
              <w:t xml:space="preserve">bulk water charge </w:t>
            </w:r>
          </w:p>
        </w:tc>
        <w:tc>
          <w:tcPr>
            <w:tcW w:w="7513" w:type="dxa"/>
            <w:shd w:val="clear" w:color="auto" w:fill="auto"/>
          </w:tcPr>
          <w:p w:rsidR="003C16D1" w:rsidRPr="00D714FC" w:rsidRDefault="003C16D1" w:rsidP="00906F9F">
            <w:pPr>
              <w:pStyle w:val="tabletext"/>
            </w:pPr>
            <w:r w:rsidRPr="00D714FC">
              <w:t xml:space="preserve">a charge payable for </w:t>
            </w:r>
            <w:r>
              <w:t xml:space="preserve">either or both </w:t>
            </w:r>
            <w:r w:rsidRPr="00D714FC">
              <w:t xml:space="preserve">the storage of water for, </w:t>
            </w:r>
            <w:r>
              <w:t>or</w:t>
            </w:r>
            <w:r w:rsidRPr="00D714FC">
              <w:t xml:space="preserve"> the delivery of water to</w:t>
            </w:r>
            <w:r>
              <w:t xml:space="preserve"> any of the following</w:t>
            </w:r>
            <w:r w:rsidRPr="00D714FC">
              <w:t>:</w:t>
            </w:r>
          </w:p>
          <w:p w:rsidR="003C16D1" w:rsidRPr="00073B62" w:rsidRDefault="003C16D1" w:rsidP="00906F9F">
            <w:pPr>
              <w:pStyle w:val="tabletextindentbullet"/>
            </w:pPr>
            <w:r w:rsidRPr="00073B62">
              <w:t>infrastructure operators</w:t>
            </w:r>
          </w:p>
          <w:p w:rsidR="003C16D1" w:rsidRPr="00073B62" w:rsidRDefault="003C16D1" w:rsidP="00906F9F">
            <w:pPr>
              <w:pStyle w:val="tabletextindentbullet"/>
            </w:pPr>
            <w:r w:rsidRPr="00073B62">
              <w:t>other operators of reticulated water systems</w:t>
            </w:r>
          </w:p>
          <w:p w:rsidR="006B4C78" w:rsidRPr="00D714FC" w:rsidRDefault="003C16D1" w:rsidP="00906F9F">
            <w:pPr>
              <w:pStyle w:val="tabletextindentbullet"/>
            </w:pPr>
            <w:r w:rsidRPr="00073B62">
              <w:t xml:space="preserve">other persons </w:t>
            </w:r>
            <w:r>
              <w:t xml:space="preserve">prescribed by the regulations </w:t>
            </w:r>
            <w:r w:rsidRPr="00073B62">
              <w:t>(including private diverters and environmental water holders)</w:t>
            </w:r>
          </w:p>
        </w:tc>
      </w:tr>
      <w:tr w:rsidR="003C16D1" w:rsidRPr="00D714FC" w:rsidTr="00595835">
        <w:trPr>
          <w:cantSplit/>
          <w:trHeight w:val="312"/>
        </w:trPr>
        <w:tc>
          <w:tcPr>
            <w:tcW w:w="1701" w:type="dxa"/>
          </w:tcPr>
          <w:p w:rsidR="003C16D1" w:rsidRPr="00D714FC" w:rsidRDefault="003C16D1" w:rsidP="00906F9F">
            <w:pPr>
              <w:pStyle w:val="tabletext"/>
              <w:rPr>
                <w:b/>
              </w:rPr>
            </w:pPr>
            <w:r>
              <w:rPr>
                <w:b/>
              </w:rPr>
              <w:t>bulk water service</w:t>
            </w:r>
          </w:p>
        </w:tc>
        <w:tc>
          <w:tcPr>
            <w:tcW w:w="7513" w:type="dxa"/>
            <w:shd w:val="clear" w:color="auto" w:fill="auto"/>
          </w:tcPr>
          <w:p w:rsidR="003C16D1" w:rsidRPr="003C16D1" w:rsidRDefault="003C16D1" w:rsidP="00906F9F">
            <w:pPr>
              <w:pStyle w:val="tabletext"/>
            </w:pPr>
            <w:r w:rsidRPr="003C16D1">
              <w:t xml:space="preserve">one or more of the following: </w:t>
            </w:r>
          </w:p>
          <w:p w:rsidR="003C16D1" w:rsidRPr="003C16D1" w:rsidRDefault="003C16D1" w:rsidP="00906F9F">
            <w:pPr>
              <w:pStyle w:val="tabletext"/>
            </w:pPr>
            <w:r w:rsidRPr="003C16D1">
              <w:t xml:space="preserve">(a) a service that is provided for the storage of water that is primarily stored on-river; </w:t>
            </w:r>
          </w:p>
          <w:p w:rsidR="003C16D1" w:rsidRPr="00D714FC" w:rsidRDefault="003C16D1" w:rsidP="00906F9F">
            <w:pPr>
              <w:pStyle w:val="tabletext"/>
            </w:pPr>
            <w:r w:rsidRPr="003C16D1">
              <w:t>(b) a service that is provided for the delivery of water that is primarily delivered on-river.</w:t>
            </w:r>
          </w:p>
        </w:tc>
      </w:tr>
      <w:tr w:rsidR="006B4C78" w:rsidRPr="00D714FC" w:rsidTr="00595835">
        <w:trPr>
          <w:cantSplit/>
          <w:trHeight w:val="312"/>
        </w:trPr>
        <w:tc>
          <w:tcPr>
            <w:tcW w:w="1701" w:type="dxa"/>
          </w:tcPr>
          <w:p w:rsidR="006B4C78" w:rsidRPr="00D714FC" w:rsidRDefault="006B4C78" w:rsidP="00906F9F">
            <w:pPr>
              <w:pStyle w:val="tabletext"/>
              <w:rPr>
                <w:b/>
              </w:rPr>
            </w:pPr>
            <w:r w:rsidRPr="00D714FC">
              <w:rPr>
                <w:b/>
              </w:rPr>
              <w:t xml:space="preserve">bulk water supplier </w:t>
            </w:r>
          </w:p>
        </w:tc>
        <w:tc>
          <w:tcPr>
            <w:tcW w:w="7513" w:type="dxa"/>
            <w:shd w:val="clear" w:color="auto" w:fill="auto"/>
          </w:tcPr>
          <w:p w:rsidR="006B4C78" w:rsidRPr="00D714FC" w:rsidRDefault="006B4C78" w:rsidP="00906F9F">
            <w:pPr>
              <w:pStyle w:val="tabletext"/>
            </w:pPr>
            <w:r w:rsidRPr="00D714FC">
              <w:t>a person who imposes a bulk water charge for a bulk water service</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infrastructure charge</w:t>
            </w:r>
          </w:p>
        </w:tc>
        <w:tc>
          <w:tcPr>
            <w:tcW w:w="7513" w:type="dxa"/>
          </w:tcPr>
          <w:p w:rsidR="006B4C78" w:rsidRPr="00D714FC" w:rsidRDefault="006B4C78" w:rsidP="00906F9F">
            <w:pPr>
              <w:pStyle w:val="tabletext"/>
            </w:pPr>
            <w:r w:rsidRPr="00D714FC">
              <w:t>a charge of a kind referred to in paragraph 91(a), (b) or (d) of the Act but does not include:</w:t>
            </w:r>
          </w:p>
          <w:p w:rsidR="006B4C78" w:rsidRPr="00073B62" w:rsidRDefault="006B4C78" w:rsidP="00906F9F">
            <w:pPr>
              <w:pStyle w:val="tabletextindentbullet"/>
            </w:pPr>
            <w:r w:rsidRPr="00073B62">
              <w:t xml:space="preserve">fees in relation to transformation applications (to which rule 13 of the </w:t>
            </w:r>
            <w:r w:rsidR="009321E5" w:rsidRPr="005B1D5E">
              <w:t>W</w:t>
            </w:r>
            <w:r w:rsidRPr="005B1D5E">
              <w:t xml:space="preserve">ater </w:t>
            </w:r>
            <w:r w:rsidR="009321E5" w:rsidRPr="005B1D5E">
              <w:t>M</w:t>
            </w:r>
            <w:r w:rsidRPr="005B1D5E">
              <w:t xml:space="preserve">arket </w:t>
            </w:r>
            <w:r w:rsidR="009321E5" w:rsidRPr="005B1D5E">
              <w:t>R</w:t>
            </w:r>
            <w:r w:rsidRPr="005B1D5E">
              <w:t>ules</w:t>
            </w:r>
            <w:r w:rsidR="009321E5" w:rsidRPr="005B1D5E">
              <w:t xml:space="preserve"> 2009</w:t>
            </w:r>
            <w:r w:rsidRPr="00073B62">
              <w:t xml:space="preserve"> applies)</w:t>
            </w:r>
          </w:p>
          <w:p w:rsidR="006B4C78" w:rsidRPr="00D714FC" w:rsidRDefault="006B4C78" w:rsidP="00906F9F">
            <w:pPr>
              <w:pStyle w:val="tabletextindentbullet"/>
            </w:pPr>
            <w:r w:rsidRPr="00073B62">
              <w:t>a termination fee</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 xml:space="preserve">infrastructure operator </w:t>
            </w:r>
            <w:r w:rsidR="00595835">
              <w:rPr>
                <w:b/>
              </w:rPr>
              <w:t>(IO)</w:t>
            </w:r>
          </w:p>
        </w:tc>
        <w:tc>
          <w:tcPr>
            <w:tcW w:w="7513" w:type="dxa"/>
          </w:tcPr>
          <w:p w:rsidR="003C16D1" w:rsidRPr="00D714FC" w:rsidRDefault="003C16D1" w:rsidP="00906F9F">
            <w:pPr>
              <w:pStyle w:val="tabletext"/>
            </w:pPr>
            <w:r w:rsidRPr="00D714FC">
              <w:t xml:space="preserve">any person or entity who owns or operates infrastructure for one or more of the following purposes: </w:t>
            </w:r>
          </w:p>
          <w:p w:rsidR="003C16D1" w:rsidRPr="00D714FC" w:rsidRDefault="003C16D1" w:rsidP="00906F9F">
            <w:pPr>
              <w:pStyle w:val="tabletextindentbullet"/>
            </w:pPr>
            <w:r w:rsidRPr="00D714FC">
              <w:t>the storage of water</w:t>
            </w:r>
          </w:p>
          <w:p w:rsidR="003C16D1" w:rsidRPr="00D714FC" w:rsidRDefault="003C16D1" w:rsidP="00906F9F">
            <w:pPr>
              <w:pStyle w:val="tabletextindentbullet"/>
            </w:pPr>
            <w:r w:rsidRPr="00D714FC">
              <w:t>the delivery of water</w:t>
            </w:r>
          </w:p>
          <w:p w:rsidR="003C16D1" w:rsidRDefault="003C16D1" w:rsidP="00906F9F">
            <w:pPr>
              <w:pStyle w:val="tabletextindentbullet"/>
            </w:pPr>
            <w:r w:rsidRPr="00D714FC">
              <w:t>the drainage of water</w:t>
            </w:r>
          </w:p>
          <w:p w:rsidR="006B4C78" w:rsidRPr="00D714FC" w:rsidRDefault="003C16D1" w:rsidP="00906F9F">
            <w:pPr>
              <w:pStyle w:val="tabletext"/>
            </w:pPr>
            <w:r>
              <w:t>for the purpose of providing a service to someone who does not own or operate the infrastructure.</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infrastructure service</w:t>
            </w:r>
          </w:p>
        </w:tc>
        <w:tc>
          <w:tcPr>
            <w:tcW w:w="7513" w:type="dxa"/>
          </w:tcPr>
          <w:p w:rsidR="006B4C78" w:rsidRPr="00D714FC" w:rsidRDefault="006B4C78" w:rsidP="00906F9F">
            <w:pPr>
              <w:pStyle w:val="tabletext"/>
            </w:pPr>
            <w:r w:rsidRPr="00D714FC">
              <w:t>access, or a service provided in relation to access, to water service infrastructure and includes the storage, deliver</w:t>
            </w:r>
            <w:r w:rsidR="000556D0">
              <w:t>y, drainage and taking of water</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irrigation infrastructure operator (IIO)</w:t>
            </w:r>
          </w:p>
        </w:tc>
        <w:tc>
          <w:tcPr>
            <w:tcW w:w="7513" w:type="dxa"/>
          </w:tcPr>
          <w:p w:rsidR="006B4C78" w:rsidRPr="00D714FC" w:rsidRDefault="003C16D1" w:rsidP="00906F9F">
            <w:pPr>
              <w:pStyle w:val="tabletext"/>
            </w:pPr>
            <w:r w:rsidRPr="00D714FC">
              <w:t xml:space="preserve">an </w:t>
            </w:r>
            <w:r>
              <w:t>infrastructure operator</w:t>
            </w:r>
            <w:r w:rsidRPr="00D714FC">
              <w:t xml:space="preserve"> who operates water service infrastructure for the purpose of delivering water for the primary purpose of being used for irrigation</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irrigation network</w:t>
            </w:r>
          </w:p>
        </w:tc>
        <w:tc>
          <w:tcPr>
            <w:tcW w:w="7513" w:type="dxa"/>
          </w:tcPr>
          <w:p w:rsidR="003C16D1" w:rsidRDefault="003C16D1" w:rsidP="00906F9F">
            <w:pPr>
              <w:pStyle w:val="tabletext"/>
            </w:pPr>
            <w:r>
              <w:t>The water service infrastructure of an irrigation infrastructure operator.</w:t>
            </w:r>
          </w:p>
          <w:p w:rsidR="006B4C78" w:rsidRPr="00D714FC" w:rsidRDefault="003C16D1" w:rsidP="00906F9F">
            <w:pPr>
              <w:pStyle w:val="tabletext"/>
            </w:pPr>
            <w:r>
              <w:t>A</w:t>
            </w:r>
            <w:r w:rsidRPr="00D714FC">
              <w:t xml:space="preserve"> network (typically open channels, pipes and/or natural waterways) used to convey water from a water source through customer service points to customer properties—an irrigation network may be either a gravity-fed network (typically using channels and / or natural waterways) or a pressurised network (using pipes)</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irrigation network charge</w:t>
            </w:r>
          </w:p>
        </w:tc>
        <w:tc>
          <w:tcPr>
            <w:tcW w:w="7513" w:type="dxa"/>
          </w:tcPr>
          <w:p w:rsidR="006B4C78" w:rsidRPr="00D714FC" w:rsidRDefault="006B4C78" w:rsidP="00906F9F">
            <w:pPr>
              <w:pStyle w:val="tabletext"/>
            </w:pPr>
            <w:r w:rsidRPr="00D714FC">
              <w:t>a charge levied by an IIO in relation to their irrigation network</w:t>
            </w:r>
          </w:p>
        </w:tc>
      </w:tr>
      <w:tr w:rsidR="006B4C78" w:rsidRPr="00D714FC" w:rsidTr="00595835">
        <w:trPr>
          <w:cantSplit/>
          <w:trHeight w:val="440"/>
        </w:trPr>
        <w:tc>
          <w:tcPr>
            <w:tcW w:w="1701" w:type="dxa"/>
          </w:tcPr>
          <w:p w:rsidR="006B4C78" w:rsidRPr="00D714FC" w:rsidRDefault="006B4C78" w:rsidP="00906F9F">
            <w:pPr>
              <w:pStyle w:val="tabletext"/>
              <w:rPr>
                <w:b/>
              </w:rPr>
            </w:pPr>
            <w:r w:rsidRPr="00D714FC">
              <w:rPr>
                <w:b/>
              </w:rPr>
              <w:t xml:space="preserve">irrigation right </w:t>
            </w:r>
          </w:p>
        </w:tc>
        <w:tc>
          <w:tcPr>
            <w:tcW w:w="7513" w:type="dxa"/>
            <w:shd w:val="clear" w:color="auto" w:fill="auto"/>
          </w:tcPr>
          <w:p w:rsidR="006B4C78" w:rsidRPr="00D714FC" w:rsidRDefault="006B4C78" w:rsidP="00906F9F">
            <w:pPr>
              <w:pStyle w:val="tabletext"/>
            </w:pPr>
            <w:r w:rsidRPr="00D714FC">
              <w:t>a right that a person has against an IIO to receive water which is not a water access right or a water delivery right—an irrigation right can usually be transformed into a water access entitlement</w:t>
            </w:r>
          </w:p>
        </w:tc>
      </w:tr>
      <w:tr w:rsidR="006B4C78" w:rsidRPr="00D714FC" w:rsidTr="00595835">
        <w:trPr>
          <w:cantSplit/>
          <w:trHeight w:val="440"/>
        </w:trPr>
        <w:tc>
          <w:tcPr>
            <w:tcW w:w="1701" w:type="dxa"/>
          </w:tcPr>
          <w:p w:rsidR="006B4C78" w:rsidRPr="00D714FC" w:rsidRDefault="006B4C78" w:rsidP="00906F9F">
            <w:pPr>
              <w:pStyle w:val="tabletext"/>
              <w:rPr>
                <w:b/>
              </w:rPr>
            </w:pPr>
            <w:r w:rsidRPr="00D714FC">
              <w:rPr>
                <w:b/>
              </w:rPr>
              <w:t>planning and management charge</w:t>
            </w:r>
          </w:p>
        </w:tc>
        <w:tc>
          <w:tcPr>
            <w:tcW w:w="7513" w:type="dxa"/>
            <w:shd w:val="clear" w:color="auto" w:fill="auto"/>
          </w:tcPr>
          <w:p w:rsidR="006B4C78" w:rsidRPr="00D714FC" w:rsidRDefault="000556D0" w:rsidP="00906F9F">
            <w:pPr>
              <w:pStyle w:val="tabletext"/>
            </w:pPr>
            <w:r>
              <w:t>a</w:t>
            </w:r>
            <w:r w:rsidR="006B4C78" w:rsidRPr="00D714FC">
              <w:t xml:space="preserve"> charge for water planning and water management activities </w:t>
            </w:r>
          </w:p>
        </w:tc>
      </w:tr>
      <w:tr w:rsidR="006B4C78" w:rsidRPr="00D714FC" w:rsidTr="00595835">
        <w:trPr>
          <w:cantSplit/>
          <w:trHeight w:val="440"/>
        </w:trPr>
        <w:tc>
          <w:tcPr>
            <w:tcW w:w="1701" w:type="dxa"/>
          </w:tcPr>
          <w:p w:rsidR="006B4C78" w:rsidRPr="00D714FC" w:rsidRDefault="006B4C78" w:rsidP="00906F9F">
            <w:pPr>
              <w:pStyle w:val="tabletext"/>
              <w:rPr>
                <w:b/>
              </w:rPr>
            </w:pPr>
            <w:r w:rsidRPr="00D714FC">
              <w:rPr>
                <w:b/>
              </w:rPr>
              <w:t>private diverter</w:t>
            </w:r>
          </w:p>
        </w:tc>
        <w:tc>
          <w:tcPr>
            <w:tcW w:w="7513" w:type="dxa"/>
            <w:shd w:val="clear" w:color="auto" w:fill="auto"/>
          </w:tcPr>
          <w:p w:rsidR="006B4C78" w:rsidRPr="00D714FC" w:rsidRDefault="006B4C78" w:rsidP="00906F9F">
            <w:pPr>
              <w:pStyle w:val="tabletext"/>
            </w:pPr>
            <w:r w:rsidRPr="00D714FC">
              <w:t>an irrigator that extracts water directly from a natural watercourse (either a regulated or unregulated river)</w:t>
            </w:r>
          </w:p>
        </w:tc>
      </w:tr>
      <w:tr w:rsidR="006B4C78" w:rsidRPr="00D714FC" w:rsidTr="00595835">
        <w:trPr>
          <w:cantSplit/>
          <w:trHeight w:val="440"/>
        </w:trPr>
        <w:tc>
          <w:tcPr>
            <w:tcW w:w="1701" w:type="dxa"/>
          </w:tcPr>
          <w:p w:rsidR="006B4C78" w:rsidRPr="00D714FC" w:rsidRDefault="006B4C78" w:rsidP="00906F9F">
            <w:pPr>
              <w:pStyle w:val="tabletext"/>
              <w:rPr>
                <w:b/>
              </w:rPr>
            </w:pPr>
            <w:r w:rsidRPr="00D714FC">
              <w:rPr>
                <w:b/>
              </w:rPr>
              <w:t>regulated water charge</w:t>
            </w:r>
          </w:p>
        </w:tc>
        <w:tc>
          <w:tcPr>
            <w:tcW w:w="7513" w:type="dxa"/>
          </w:tcPr>
          <w:p w:rsidR="006B4C78" w:rsidRPr="00D714FC" w:rsidRDefault="006B4C78" w:rsidP="00906F9F">
            <w:pPr>
              <w:pStyle w:val="tabletext"/>
            </w:pPr>
            <w:r w:rsidRPr="00D714FC">
              <w:t xml:space="preserve">includes an: </w:t>
            </w:r>
          </w:p>
          <w:p w:rsidR="006B4C78" w:rsidRPr="00D714FC" w:rsidRDefault="006B4C78" w:rsidP="00906F9F">
            <w:pPr>
              <w:pStyle w:val="tabletextindentbullet"/>
            </w:pPr>
            <w:r w:rsidRPr="00D714FC">
              <w:t>infrastructure charge</w:t>
            </w:r>
          </w:p>
          <w:p w:rsidR="006B4C78" w:rsidRPr="00D714FC" w:rsidRDefault="006B4C78" w:rsidP="00906F9F">
            <w:pPr>
              <w:pStyle w:val="tabletextindentbullet"/>
            </w:pPr>
            <w:r w:rsidRPr="00D714FC">
              <w:t>planning and management charge</w:t>
            </w:r>
          </w:p>
          <w:p w:rsidR="006B4C78" w:rsidRPr="00D714FC" w:rsidRDefault="006B4C78" w:rsidP="00906F9F">
            <w:pPr>
              <w:pStyle w:val="tabletextindentbullet"/>
            </w:pPr>
            <w:r w:rsidRPr="00D714FC">
              <w:t>termination fee</w:t>
            </w:r>
          </w:p>
          <w:p w:rsidR="006B4C78" w:rsidRPr="00D714FC" w:rsidRDefault="006B4C78" w:rsidP="00906F9F">
            <w:pPr>
              <w:pStyle w:val="tabletext"/>
            </w:pPr>
            <w:r w:rsidRPr="00D714FC">
              <w:t>See section 91 of the Act for a full definition.</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termination</w:t>
            </w:r>
          </w:p>
        </w:tc>
        <w:tc>
          <w:tcPr>
            <w:tcW w:w="7513" w:type="dxa"/>
          </w:tcPr>
          <w:p w:rsidR="006B4C78" w:rsidRPr="00D714FC" w:rsidRDefault="006B4C78" w:rsidP="00906F9F">
            <w:pPr>
              <w:pStyle w:val="tabletext"/>
            </w:pPr>
            <w:r w:rsidRPr="00D714FC">
              <w:t>when a person terminates or surrenders the whole or part of a right of access to the infrastructure operator’s network, typically by terminating water delivery right</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 xml:space="preserve">termination fee </w:t>
            </w:r>
          </w:p>
        </w:tc>
        <w:tc>
          <w:tcPr>
            <w:tcW w:w="7513" w:type="dxa"/>
          </w:tcPr>
          <w:p w:rsidR="006B4C78" w:rsidRPr="00D714FC" w:rsidRDefault="006B4C78" w:rsidP="00906F9F">
            <w:pPr>
              <w:pStyle w:val="tabletext"/>
            </w:pPr>
            <w:r w:rsidRPr="00D714FC">
              <w:t xml:space="preserve">a fee that may be imposed by an infrastructure operator when a customer terminates </w:t>
            </w:r>
            <w:r w:rsidR="00410A99">
              <w:t xml:space="preserve">or surrenders </w:t>
            </w:r>
            <w:r w:rsidRPr="00D714FC">
              <w:t>their right of access</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total network access charge (TNAC)</w:t>
            </w:r>
          </w:p>
        </w:tc>
        <w:tc>
          <w:tcPr>
            <w:tcW w:w="7513" w:type="dxa"/>
          </w:tcPr>
          <w:p w:rsidR="006B4C78" w:rsidRPr="00D714FC" w:rsidRDefault="006B4C78" w:rsidP="00906F9F">
            <w:pPr>
              <w:pStyle w:val="tabletext"/>
            </w:pPr>
            <w:r w:rsidRPr="00D714FC">
              <w:t xml:space="preserve">the amount on which the termination fee multiple is applied in order to calculate a maximum termination fee. The </w:t>
            </w:r>
            <w:r w:rsidR="008F3121">
              <w:t xml:space="preserve">TNAC </w:t>
            </w:r>
            <w:r w:rsidRPr="00D714FC">
              <w:t>is the sum of all amounts that would have been payable for access to an operator’s irrigation network by an irrigator in respect of a full financial year if termination or surrender had not occurred, excluding:</w:t>
            </w:r>
          </w:p>
          <w:p w:rsidR="006B4C78" w:rsidRPr="00D714FC" w:rsidRDefault="006B4C78" w:rsidP="00906F9F">
            <w:pPr>
              <w:pStyle w:val="tabletextindentbullet"/>
            </w:pPr>
            <w:r w:rsidRPr="00D714FC">
              <w:t>any amount calculated by reference to the amount of water actually delivered to the terminating irrigator (that is, variable irrigation network charges)</w:t>
            </w:r>
          </w:p>
          <w:p w:rsidR="006B4C78" w:rsidRPr="00D714FC" w:rsidRDefault="006B4C78" w:rsidP="00906F9F">
            <w:pPr>
              <w:pStyle w:val="tabletextindentbullet"/>
            </w:pPr>
            <w:r w:rsidRPr="00D714FC">
              <w:t>any amount in respect of a service for the storage of water</w:t>
            </w:r>
          </w:p>
          <w:p w:rsidR="006B4C78" w:rsidRPr="00D714FC" w:rsidRDefault="006B4C78" w:rsidP="00906F9F">
            <w:pPr>
              <w:pStyle w:val="tabletextindentbullet"/>
            </w:pPr>
            <w:r w:rsidRPr="00D714FC">
              <w:t>connection/disconnection fees</w:t>
            </w:r>
          </w:p>
          <w:p w:rsidR="006B4C78" w:rsidRPr="00D714FC" w:rsidRDefault="006B4C78" w:rsidP="00906F9F">
            <w:pPr>
              <w:pStyle w:val="tabletextindentbullet"/>
            </w:pPr>
            <w:r w:rsidRPr="00D714FC">
              <w:t>any amount that exceeds the cost of providing irrigators with access to an operator’s irrigation network</w:t>
            </w:r>
          </w:p>
          <w:p w:rsidR="006B4C78" w:rsidRPr="00D714FC" w:rsidRDefault="006B4C78" w:rsidP="00906F9F">
            <w:pPr>
              <w:pStyle w:val="tabletextindentbullet"/>
            </w:pPr>
            <w:r w:rsidRPr="00D714FC">
              <w:t>fees under ACCC approved contracts</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transformation</w:t>
            </w:r>
          </w:p>
        </w:tc>
        <w:tc>
          <w:tcPr>
            <w:tcW w:w="7513" w:type="dxa"/>
          </w:tcPr>
          <w:p w:rsidR="006B4C78" w:rsidRPr="00D714FC" w:rsidRDefault="006B4C78" w:rsidP="00906F9F">
            <w:pPr>
              <w:pStyle w:val="tabletext"/>
            </w:pPr>
            <w:r w:rsidRPr="00D714FC">
              <w:t>the process by which an irrigator permanently transforms their entitlement to water under an irrigation right against an IIO into a water access entitlement held by the irrigator (or anybody else other than the IIO), thereby reducing the share component of the operator’s water access entitlement</w:t>
            </w:r>
          </w:p>
        </w:tc>
      </w:tr>
      <w:tr w:rsidR="006B4C78" w:rsidRPr="00D714FC" w:rsidTr="00595835">
        <w:trPr>
          <w:cantSplit/>
          <w:trHeight w:val="594"/>
        </w:trPr>
        <w:tc>
          <w:tcPr>
            <w:tcW w:w="1701" w:type="dxa"/>
          </w:tcPr>
          <w:p w:rsidR="006B4C78" w:rsidRPr="00D714FC" w:rsidRDefault="006B4C78" w:rsidP="00906F9F">
            <w:pPr>
              <w:pStyle w:val="tabletext"/>
              <w:rPr>
                <w:b/>
              </w:rPr>
            </w:pPr>
            <w:r w:rsidRPr="00D714FC">
              <w:rPr>
                <w:b/>
              </w:rPr>
              <w:t>water access entitlement</w:t>
            </w:r>
          </w:p>
        </w:tc>
        <w:tc>
          <w:tcPr>
            <w:tcW w:w="7513" w:type="dxa"/>
          </w:tcPr>
          <w:p w:rsidR="006B4C78" w:rsidRPr="00D714FC" w:rsidRDefault="006B4C78" w:rsidP="00906F9F">
            <w:pPr>
              <w:pStyle w:val="tabletext"/>
            </w:pPr>
            <w:r w:rsidRPr="00D714FC">
              <w:t>perpetual or ongoing entitlement, by or under a law of a state, to exclusive access to a share of the water resources of a water resource plan area</w:t>
            </w:r>
          </w:p>
        </w:tc>
      </w:tr>
      <w:tr w:rsidR="006B4C78" w:rsidRPr="00D714FC" w:rsidTr="00595835">
        <w:trPr>
          <w:cantSplit/>
          <w:trHeight w:val="633"/>
        </w:trPr>
        <w:tc>
          <w:tcPr>
            <w:tcW w:w="1701" w:type="dxa"/>
          </w:tcPr>
          <w:p w:rsidR="006B4C78" w:rsidRPr="00D714FC" w:rsidRDefault="006B4C78" w:rsidP="00906F9F">
            <w:pPr>
              <w:pStyle w:val="tabletext"/>
              <w:rPr>
                <w:b/>
              </w:rPr>
            </w:pPr>
            <w:r w:rsidRPr="00D714FC">
              <w:rPr>
                <w:b/>
              </w:rPr>
              <w:t>water access entitlement trade</w:t>
            </w:r>
          </w:p>
        </w:tc>
        <w:tc>
          <w:tcPr>
            <w:tcW w:w="7513" w:type="dxa"/>
          </w:tcPr>
          <w:p w:rsidR="006B4C78" w:rsidRPr="00D714FC" w:rsidRDefault="006B4C78" w:rsidP="00906F9F">
            <w:pPr>
              <w:pStyle w:val="tabletext"/>
            </w:pPr>
            <w:r w:rsidRPr="00D714FC">
              <w:t>the change of ownership and / or location of a water access entitlement (including through the establishment of a tagging arrangement)</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 xml:space="preserve">water access right </w:t>
            </w:r>
          </w:p>
        </w:tc>
        <w:tc>
          <w:tcPr>
            <w:tcW w:w="7513" w:type="dxa"/>
          </w:tcPr>
          <w:p w:rsidR="006B4C78" w:rsidRPr="00D714FC" w:rsidRDefault="006B4C78" w:rsidP="00906F9F">
            <w:pPr>
              <w:pStyle w:val="tabletext"/>
            </w:pPr>
            <w:r w:rsidRPr="00D714FC">
              <w:t xml:space="preserve">any right conferred by or under a law of a state to hold and / or take water from a water resource, and includes: </w:t>
            </w:r>
          </w:p>
          <w:p w:rsidR="006B4C78" w:rsidRPr="00D714FC" w:rsidRDefault="006B4C78" w:rsidP="00906F9F">
            <w:pPr>
              <w:pStyle w:val="tabletextindentbullet"/>
            </w:pPr>
            <w:r w:rsidRPr="00D714FC">
              <w:t xml:space="preserve">stock and domestic rights </w:t>
            </w:r>
          </w:p>
          <w:p w:rsidR="006B4C78" w:rsidRPr="00D714FC" w:rsidRDefault="006B4C78" w:rsidP="00906F9F">
            <w:pPr>
              <w:pStyle w:val="tabletextindentbullet"/>
            </w:pPr>
            <w:r w:rsidRPr="00D714FC">
              <w:t xml:space="preserve">riparian rights </w:t>
            </w:r>
          </w:p>
          <w:p w:rsidR="006B4C78" w:rsidRPr="00D714FC" w:rsidRDefault="006B4C78" w:rsidP="00906F9F">
            <w:pPr>
              <w:pStyle w:val="tabletextindentbullet"/>
            </w:pPr>
            <w:r w:rsidRPr="00D714FC">
              <w:t xml:space="preserve">a water access entitlement </w:t>
            </w:r>
          </w:p>
          <w:p w:rsidR="006B4C78" w:rsidRPr="00D714FC" w:rsidRDefault="006B4C78" w:rsidP="00906F9F">
            <w:pPr>
              <w:pStyle w:val="tabletextindentbullet"/>
            </w:pPr>
            <w:r w:rsidRPr="00D714FC">
              <w:t xml:space="preserve">a water allocation </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water allocation</w:t>
            </w:r>
          </w:p>
        </w:tc>
        <w:tc>
          <w:tcPr>
            <w:tcW w:w="7513" w:type="dxa"/>
          </w:tcPr>
          <w:p w:rsidR="006B4C78" w:rsidRPr="00D714FC" w:rsidRDefault="006B4C78" w:rsidP="00906F9F">
            <w:pPr>
              <w:pStyle w:val="tabletext"/>
            </w:pPr>
            <w:r w:rsidRPr="00D714FC">
              <w:t>the specific volume of water allocated to water access entitlements in a given water accounting period</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water allocation trade</w:t>
            </w:r>
          </w:p>
        </w:tc>
        <w:tc>
          <w:tcPr>
            <w:tcW w:w="7513" w:type="dxa"/>
          </w:tcPr>
          <w:p w:rsidR="006B4C78" w:rsidRPr="00D714FC" w:rsidRDefault="006B4C78" w:rsidP="00906F9F">
            <w:pPr>
              <w:pStyle w:val="tabletext"/>
            </w:pPr>
            <w:r w:rsidRPr="00D714FC">
              <w:t>the change of ownership and / or location of a particular volume of water allocation</w:t>
            </w:r>
          </w:p>
        </w:tc>
      </w:tr>
      <w:tr w:rsidR="006B4C78" w:rsidRPr="00D714FC" w:rsidTr="00595835">
        <w:trPr>
          <w:cantSplit/>
          <w:trHeight w:val="312"/>
        </w:trPr>
        <w:tc>
          <w:tcPr>
            <w:tcW w:w="1701" w:type="dxa"/>
          </w:tcPr>
          <w:p w:rsidR="006B4C78" w:rsidRPr="00F42D72" w:rsidRDefault="006B4C78" w:rsidP="00906F9F">
            <w:pPr>
              <w:pStyle w:val="tabletext"/>
              <w:rPr>
                <w:b/>
              </w:rPr>
            </w:pPr>
            <w:r w:rsidRPr="00F42D72">
              <w:rPr>
                <w:b/>
              </w:rPr>
              <w:t xml:space="preserve">Water Charge (Infrastructure) Rules 2010 </w:t>
            </w:r>
          </w:p>
          <w:p w:rsidR="006B4C78" w:rsidRPr="00D714FC" w:rsidRDefault="006B4C78" w:rsidP="00906F9F">
            <w:pPr>
              <w:pStyle w:val="tabletext"/>
              <w:rPr>
                <w:b/>
              </w:rPr>
            </w:pPr>
            <w:r w:rsidRPr="00D714FC">
              <w:rPr>
                <w:b/>
              </w:rPr>
              <w:t>(WCIR)</w:t>
            </w:r>
          </w:p>
        </w:tc>
        <w:tc>
          <w:tcPr>
            <w:tcW w:w="7513" w:type="dxa"/>
            <w:shd w:val="clear" w:color="auto" w:fill="auto"/>
          </w:tcPr>
          <w:p w:rsidR="006B4C78" w:rsidRPr="00D714FC" w:rsidRDefault="006B4C78" w:rsidP="00906F9F">
            <w:pPr>
              <w:pStyle w:val="tabletext"/>
            </w:pPr>
            <w:r w:rsidRPr="00D714FC">
              <w:t xml:space="preserve">water charge rules for fees and charges payable to an infrastructure operator for: </w:t>
            </w:r>
          </w:p>
          <w:p w:rsidR="006B4C78" w:rsidRPr="00D714FC" w:rsidRDefault="006B4C78" w:rsidP="00906F9F">
            <w:pPr>
              <w:pStyle w:val="tabletextindentbullet"/>
              <w:ind w:left="714" w:hanging="357"/>
            </w:pPr>
            <w:r w:rsidRPr="00D714FC">
              <w:t xml:space="preserve">bulk water charges </w:t>
            </w:r>
          </w:p>
          <w:p w:rsidR="006B4C78" w:rsidRPr="00D714FC" w:rsidRDefault="006B4C78" w:rsidP="00906F9F">
            <w:pPr>
              <w:pStyle w:val="tabletextindentbullet"/>
              <w:ind w:left="714" w:hanging="357"/>
            </w:pPr>
            <w:r w:rsidRPr="00D714FC">
              <w:t xml:space="preserve">access to the irrigation infrastructure operator’s network or services provided in relation to that access </w:t>
            </w:r>
          </w:p>
          <w:p w:rsidR="006B4C78" w:rsidRPr="00D714FC" w:rsidRDefault="006B4C78" w:rsidP="00906F9F">
            <w:pPr>
              <w:pStyle w:val="tabletextindentbullet"/>
              <w:ind w:left="714" w:hanging="357"/>
            </w:pPr>
            <w:r w:rsidRPr="00D714FC">
              <w:t>matters specified in regulations made for the purposes of s</w:t>
            </w:r>
            <w:r w:rsidR="00C15279">
              <w:t>ubsection</w:t>
            </w:r>
            <w:r w:rsidRPr="00D714FC">
              <w:t xml:space="preserve"> 91(1)(d) of the </w:t>
            </w:r>
            <w:r w:rsidRPr="00073B62">
              <w:rPr>
                <w:i/>
              </w:rPr>
              <w:t>Water Act 2007</w:t>
            </w:r>
          </w:p>
        </w:tc>
      </w:tr>
      <w:tr w:rsidR="006B4C78" w:rsidRPr="00D714FC" w:rsidTr="00595835">
        <w:trPr>
          <w:cantSplit/>
          <w:trHeight w:val="312"/>
        </w:trPr>
        <w:tc>
          <w:tcPr>
            <w:tcW w:w="1701" w:type="dxa"/>
          </w:tcPr>
          <w:p w:rsidR="006B4C78" w:rsidRPr="00D714FC" w:rsidRDefault="006B4C78" w:rsidP="00906F9F">
            <w:pPr>
              <w:pStyle w:val="tabletext"/>
              <w:rPr>
                <w:b/>
              </w:rPr>
            </w:pPr>
            <w:r w:rsidRPr="00F42D72">
              <w:rPr>
                <w:b/>
              </w:rPr>
              <w:t xml:space="preserve">Water Charge (Planning and Management Information) Rules 2010 </w:t>
            </w:r>
            <w:r w:rsidRPr="00D714FC">
              <w:rPr>
                <w:b/>
              </w:rPr>
              <w:t>(WCPMIR)</w:t>
            </w:r>
          </w:p>
        </w:tc>
        <w:tc>
          <w:tcPr>
            <w:tcW w:w="7513" w:type="dxa"/>
            <w:shd w:val="clear" w:color="auto" w:fill="auto"/>
          </w:tcPr>
          <w:p w:rsidR="006B4C78" w:rsidRPr="00D714FC" w:rsidRDefault="006B4C78" w:rsidP="00906F9F">
            <w:pPr>
              <w:pStyle w:val="tabletext"/>
            </w:pPr>
            <w:r w:rsidRPr="00D714FC">
              <w:t>rules relating to charges for water planning and water management activities in the Murray-Darling Basin and requiring the publication of information on the details of the charge and the process for determining the charge</w:t>
            </w:r>
          </w:p>
        </w:tc>
      </w:tr>
      <w:tr w:rsidR="006B4C78" w:rsidRPr="00D714FC" w:rsidTr="00595835">
        <w:trPr>
          <w:cantSplit/>
          <w:trHeight w:val="312"/>
        </w:trPr>
        <w:tc>
          <w:tcPr>
            <w:tcW w:w="1701" w:type="dxa"/>
          </w:tcPr>
          <w:p w:rsidR="006B4C78" w:rsidRPr="00D714FC" w:rsidRDefault="006B4C78" w:rsidP="00906F9F">
            <w:pPr>
              <w:pStyle w:val="tabletext"/>
              <w:rPr>
                <w:b/>
              </w:rPr>
            </w:pPr>
            <w:r w:rsidRPr="00F42D72">
              <w:rPr>
                <w:b/>
              </w:rPr>
              <w:t>Water Charge (Termination Fees) Rules 2009</w:t>
            </w:r>
            <w:r w:rsidR="00A96AB5">
              <w:rPr>
                <w:b/>
              </w:rPr>
              <w:t xml:space="preserve"> </w:t>
            </w:r>
            <w:r w:rsidRPr="00D714FC">
              <w:rPr>
                <w:b/>
              </w:rPr>
              <w:t xml:space="preserve">(WCTFR) </w:t>
            </w:r>
          </w:p>
        </w:tc>
        <w:tc>
          <w:tcPr>
            <w:tcW w:w="7513" w:type="dxa"/>
          </w:tcPr>
          <w:p w:rsidR="006B4C78" w:rsidRPr="00D714FC" w:rsidRDefault="006B4C78" w:rsidP="00906F9F">
            <w:pPr>
              <w:pStyle w:val="tabletext"/>
            </w:pPr>
            <w:r w:rsidRPr="00D714FC">
              <w:t>water charge rules for fees or charges payable to an IIO in relation to terminating access to an operator’s irrigation network (or services relating to such termination), or surrendering a right to delivery of water through the operator’s irrigation network</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 xml:space="preserve">water delivery right </w:t>
            </w:r>
          </w:p>
        </w:tc>
        <w:tc>
          <w:tcPr>
            <w:tcW w:w="7513" w:type="dxa"/>
          </w:tcPr>
          <w:p w:rsidR="006B4C78" w:rsidRPr="00D714FC" w:rsidRDefault="006B4C78" w:rsidP="00906F9F">
            <w:pPr>
              <w:pStyle w:val="tabletext"/>
            </w:pPr>
            <w:r w:rsidRPr="00D714FC">
              <w:t>a right to have water delivered by an infrastructure operator—a water delivery right typically represents some or all of the holder’s right of access to an irrigation network (there may also be a right to drainage), and can be terminated</w:t>
            </w:r>
          </w:p>
        </w:tc>
      </w:tr>
      <w:tr w:rsidR="006B4C78" w:rsidRPr="00D714FC" w:rsidTr="00595835">
        <w:trPr>
          <w:cantSplit/>
        </w:trPr>
        <w:tc>
          <w:tcPr>
            <w:tcW w:w="1701" w:type="dxa"/>
          </w:tcPr>
          <w:p w:rsidR="006B4C78" w:rsidRPr="00D714FC" w:rsidRDefault="006B4C78" w:rsidP="00906F9F">
            <w:pPr>
              <w:pStyle w:val="tabletext"/>
              <w:rPr>
                <w:b/>
              </w:rPr>
            </w:pPr>
            <w:r w:rsidRPr="00F42D72">
              <w:rPr>
                <w:b/>
              </w:rPr>
              <w:t>Water Market Rules 2009</w:t>
            </w:r>
            <w:r w:rsidR="007E6836">
              <w:rPr>
                <w:b/>
              </w:rPr>
              <w:t xml:space="preserve"> </w:t>
            </w:r>
          </w:p>
        </w:tc>
        <w:tc>
          <w:tcPr>
            <w:tcW w:w="7513" w:type="dxa"/>
          </w:tcPr>
          <w:p w:rsidR="006B4C78" w:rsidRPr="00D714FC" w:rsidRDefault="006B4C78" w:rsidP="00906F9F">
            <w:pPr>
              <w:pStyle w:val="tabletext"/>
            </w:pPr>
            <w:r w:rsidRPr="00D714FC">
              <w:t>rules dealing with actions or omissions of an IIO that prevent or unreasonably delay transformation arrangements or trade</w:t>
            </w:r>
          </w:p>
        </w:tc>
      </w:tr>
      <w:tr w:rsidR="006B4C78" w:rsidRPr="00D714FC" w:rsidTr="00595835">
        <w:trPr>
          <w:cantSplit/>
        </w:trPr>
        <w:tc>
          <w:tcPr>
            <w:tcW w:w="1701" w:type="dxa"/>
          </w:tcPr>
          <w:p w:rsidR="006B4C78" w:rsidRPr="00D714FC" w:rsidRDefault="006B4C78" w:rsidP="00906F9F">
            <w:pPr>
              <w:pStyle w:val="tabletext"/>
              <w:rPr>
                <w:b/>
              </w:rPr>
            </w:pPr>
            <w:r w:rsidRPr="00D714FC">
              <w:rPr>
                <w:b/>
              </w:rPr>
              <w:t>water service infrastructure</w:t>
            </w:r>
          </w:p>
        </w:tc>
        <w:tc>
          <w:tcPr>
            <w:tcW w:w="7513" w:type="dxa"/>
            <w:shd w:val="clear" w:color="auto" w:fill="auto"/>
          </w:tcPr>
          <w:p w:rsidR="006B4C78" w:rsidRPr="00D714FC" w:rsidRDefault="006B4C78" w:rsidP="00906F9F">
            <w:pPr>
              <w:pStyle w:val="tabletext"/>
            </w:pPr>
            <w:r w:rsidRPr="00D714FC">
              <w:t xml:space="preserve">infrastructure </w:t>
            </w:r>
            <w:r w:rsidR="003C16D1">
              <w:t xml:space="preserve">owned or operated by an infrastructure operator </w:t>
            </w:r>
            <w:r w:rsidRPr="00D714FC">
              <w:t>for one or more of the following purposes:</w:t>
            </w:r>
          </w:p>
          <w:p w:rsidR="000556D0" w:rsidRPr="00D714FC" w:rsidRDefault="000556D0" w:rsidP="00906F9F">
            <w:pPr>
              <w:pStyle w:val="tabletextindentbullet"/>
              <w:ind w:left="714" w:hanging="357"/>
            </w:pPr>
            <w:r w:rsidRPr="00D714FC">
              <w:t>the storage of water</w:t>
            </w:r>
          </w:p>
          <w:p w:rsidR="000556D0" w:rsidRPr="00D714FC" w:rsidRDefault="000556D0" w:rsidP="00906F9F">
            <w:pPr>
              <w:pStyle w:val="tabletextindentbullet"/>
              <w:ind w:left="714" w:hanging="357"/>
            </w:pPr>
            <w:r w:rsidRPr="00D714FC">
              <w:t>the delivery of water</w:t>
            </w:r>
          </w:p>
          <w:p w:rsidR="000556D0" w:rsidRPr="00D714FC" w:rsidRDefault="000556D0" w:rsidP="00906F9F">
            <w:pPr>
              <w:pStyle w:val="tabletextindentbullet"/>
              <w:ind w:left="714" w:hanging="357"/>
            </w:pPr>
            <w:r w:rsidRPr="00D714FC">
              <w:t>the drainage of water</w:t>
            </w:r>
          </w:p>
          <w:p w:rsidR="006B4C78" w:rsidRPr="00D714FC" w:rsidRDefault="003C16D1" w:rsidP="00906F9F">
            <w:pPr>
              <w:pStyle w:val="tabletext"/>
            </w:pPr>
            <w:r w:rsidRPr="00D714FC">
              <w:t xml:space="preserve">for the purpose of providing a service to </w:t>
            </w:r>
            <w:r>
              <w:t>someone who does not own or operate the infrastructure.</w:t>
            </w:r>
          </w:p>
        </w:tc>
      </w:tr>
    </w:tbl>
    <w:p w:rsidR="006B4C78" w:rsidRDefault="006B4C78" w:rsidP="009845D5">
      <w:pPr>
        <w:pStyle w:val="Heading1"/>
        <w:pageBreakBefore w:val="0"/>
        <w:numPr>
          <w:ilvl w:val="0"/>
          <w:numId w:val="0"/>
        </w:numPr>
        <w:rPr>
          <w:rFonts w:ascii="Times New Roman" w:hAnsi="Times New Roman" w:cs="Times New Roman"/>
        </w:rPr>
      </w:pPr>
      <w:bookmarkStart w:id="16" w:name="_Toc432780107"/>
      <w:bookmarkStart w:id="17" w:name="_Toc436122255"/>
      <w:bookmarkStart w:id="18" w:name="_Toc436122750"/>
      <w:bookmarkStart w:id="19" w:name="_Toc436124105"/>
      <w:bookmarkStart w:id="20" w:name="_Toc456785763"/>
      <w:bookmarkStart w:id="21" w:name="_Toc461630672"/>
      <w:r w:rsidRPr="00D714FC">
        <w:rPr>
          <w:rFonts w:ascii="Times New Roman" w:hAnsi="Times New Roman" w:cs="Times New Roman"/>
        </w:rPr>
        <w:t>Abbreviations</w:t>
      </w:r>
      <w:bookmarkEnd w:id="16"/>
      <w:bookmarkEnd w:id="17"/>
      <w:bookmarkEnd w:id="18"/>
      <w:bookmarkEnd w:id="19"/>
      <w:bookmarkEnd w:id="20"/>
      <w:bookmarkEnd w:id="21"/>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513"/>
      </w:tblGrid>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ACCC</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Australian Competition and Consumer Commission </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ACL</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Australian Consumer Law</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ADJR Act</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i/>
              </w:rPr>
              <w:t xml:space="preserve">Administrative Decisions Judicial Review Act 1977 </w:t>
            </w:r>
            <w:r w:rsidRPr="00E22161">
              <w:rPr>
                <w:rFonts w:asciiTheme="minorHAnsi" w:hAnsiTheme="minorHAnsi"/>
              </w:rPr>
              <w:t>(Cth)</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The Act</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The </w:t>
            </w:r>
            <w:r w:rsidRPr="00E22161">
              <w:rPr>
                <w:rFonts w:asciiTheme="minorHAnsi" w:hAnsiTheme="minorHAnsi"/>
                <w:i/>
              </w:rPr>
              <w:t>Water Act 2007 (</w:t>
            </w:r>
            <w:r w:rsidR="00A41509" w:rsidRPr="00E22161">
              <w:rPr>
                <w:rFonts w:asciiTheme="minorHAnsi" w:hAnsiTheme="minorHAnsi"/>
              </w:rPr>
              <w:t>C</w:t>
            </w:r>
            <w:r w:rsidRPr="00E22161">
              <w:rPr>
                <w:rFonts w:asciiTheme="minorHAnsi" w:hAnsiTheme="minorHAnsi"/>
              </w:rPr>
              <w:t>th</w:t>
            </w:r>
            <w:r w:rsidRPr="00E22161">
              <w:rPr>
                <w:rFonts w:asciiTheme="minorHAnsi" w:hAnsiTheme="minorHAnsi"/>
                <w:i/>
              </w:rPr>
              <w:t>)</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ABARES</w:t>
            </w:r>
          </w:p>
        </w:tc>
        <w:tc>
          <w:tcPr>
            <w:tcW w:w="7513" w:type="dxa"/>
            <w:shd w:val="clear" w:color="auto" w:fill="auto"/>
            <w:vAlign w:val="center"/>
          </w:tcPr>
          <w:p w:rsidR="003C16D1" w:rsidRPr="00E22161" w:rsidRDefault="003C16D1" w:rsidP="00595835">
            <w:pPr>
              <w:pStyle w:val="tabletext"/>
              <w:rPr>
                <w:rFonts w:asciiTheme="minorHAnsi" w:hAnsiTheme="minorHAnsi"/>
                <w:i/>
              </w:rPr>
            </w:pPr>
            <w:r w:rsidRPr="00E22161">
              <w:rPr>
                <w:rFonts w:asciiTheme="minorHAnsi" w:hAnsiTheme="minorHAnsi"/>
              </w:rPr>
              <w:t>Australian Bureau of Agricultural and Resource Economics and Sciences</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AER</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Australian Energy Regulator</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AWBA</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Australian Water Brokers Association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BRC</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Border Rivers Commission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BWCOP</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Basin Water Charging Objectives and Principles </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CCA</w:t>
            </w:r>
          </w:p>
        </w:tc>
        <w:tc>
          <w:tcPr>
            <w:tcW w:w="7513" w:type="dxa"/>
            <w:shd w:val="clear" w:color="auto" w:fill="auto"/>
            <w:vAlign w:val="center"/>
          </w:tcPr>
          <w:p w:rsidR="003C16D1" w:rsidRPr="00E22161" w:rsidRDefault="003C16D1" w:rsidP="00595835">
            <w:pPr>
              <w:pStyle w:val="tabletext"/>
              <w:rPr>
                <w:rFonts w:asciiTheme="minorHAnsi" w:hAnsiTheme="minorHAnsi"/>
                <w:i/>
              </w:rPr>
            </w:pPr>
            <w:r w:rsidRPr="00E22161">
              <w:rPr>
                <w:rFonts w:asciiTheme="minorHAnsi" w:eastAsia="Arial" w:hAnsiTheme="minorHAnsi"/>
                <w:i/>
              </w:rPr>
              <w:t>Competition and Consumer Act 2010 (</w:t>
            </w:r>
            <w:r w:rsidR="00A41509" w:rsidRPr="00E22161">
              <w:rPr>
                <w:rFonts w:asciiTheme="minorHAnsi" w:eastAsia="Arial" w:hAnsiTheme="minorHAnsi"/>
                <w:i/>
              </w:rPr>
              <w:t>C</w:t>
            </w:r>
            <w:r w:rsidRPr="00E22161">
              <w:rPr>
                <w:rFonts w:asciiTheme="minorHAnsi" w:eastAsia="Arial" w:hAnsiTheme="minorHAnsi"/>
                <w:i/>
              </w:rPr>
              <w:t>th)</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CEWH</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Commonwealth Environmental Water Holder</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CICL</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Coleambally Irrigation Cooperative Limited</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CIT</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Central Irrigation Trust</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CSO</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Community Service Obligation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DNRM</w:t>
            </w:r>
          </w:p>
        </w:tc>
        <w:tc>
          <w:tcPr>
            <w:tcW w:w="7513" w:type="dxa"/>
            <w:shd w:val="clear" w:color="auto" w:fill="auto"/>
            <w:vAlign w:val="center"/>
          </w:tcPr>
          <w:p w:rsidR="003C16D1" w:rsidRPr="00E22161" w:rsidRDefault="00162B38" w:rsidP="00595835">
            <w:pPr>
              <w:pStyle w:val="tabletext"/>
              <w:rPr>
                <w:rFonts w:asciiTheme="minorHAnsi" w:hAnsiTheme="minorHAnsi"/>
              </w:rPr>
            </w:pPr>
            <w:r w:rsidRPr="00E22161">
              <w:rPr>
                <w:rFonts w:asciiTheme="minorHAnsi" w:hAnsiTheme="minorHAnsi"/>
              </w:rPr>
              <w:t xml:space="preserve">Queensland </w:t>
            </w:r>
            <w:r w:rsidR="003C16D1" w:rsidRPr="00E22161">
              <w:rPr>
                <w:rFonts w:asciiTheme="minorHAnsi" w:hAnsiTheme="minorHAnsi"/>
              </w:rPr>
              <w:t xml:space="preserve">Department of Natural Resources </w:t>
            </w:r>
            <w:r w:rsidR="003D50F8" w:rsidRPr="00E22161">
              <w:rPr>
                <w:rFonts w:asciiTheme="minorHAnsi" w:hAnsiTheme="minorHAnsi"/>
              </w:rPr>
              <w:t>and Mines</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DPI</w:t>
            </w:r>
            <w:r w:rsidR="00836844" w:rsidRPr="00E22161">
              <w:rPr>
                <w:rFonts w:asciiTheme="minorHAnsi" w:hAnsiTheme="minorHAnsi"/>
              </w:rPr>
              <w:t xml:space="preserve"> Water</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NSW Department of Primary Industries</w:t>
            </w:r>
            <w:r w:rsidR="00836844" w:rsidRPr="00E22161">
              <w:rPr>
                <w:rFonts w:asciiTheme="minorHAnsi" w:hAnsiTheme="minorHAnsi"/>
              </w:rPr>
              <w:t xml:space="preserve">—Water </w:t>
            </w:r>
            <w:r w:rsidR="00162B38" w:rsidRPr="00E22161">
              <w:rPr>
                <w:rFonts w:asciiTheme="minorHAnsi" w:hAnsiTheme="minorHAnsi"/>
              </w:rPr>
              <w:t xml:space="preserve">(formerly NSW </w:t>
            </w:r>
            <w:r w:rsidRPr="00E22161">
              <w:rPr>
                <w:rFonts w:asciiTheme="minorHAnsi" w:hAnsiTheme="minorHAnsi"/>
              </w:rPr>
              <w:t>Office of Water</w:t>
            </w:r>
            <w:r w:rsidR="00162B38" w:rsidRPr="00E22161">
              <w:rPr>
                <w:rFonts w:asciiTheme="minorHAnsi" w:hAnsiTheme="minorHAnsi"/>
              </w:rPr>
              <w:t>)</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ESCOSA</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Essential Services Commission of South Australia</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ESCV</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Essential Services Commission of Victoria</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EWON</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color w:val="000000"/>
              </w:rPr>
              <w:t xml:space="preserve">Energy and Water Ombudsman of NSW (EWON) </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EWOOSA</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eastAsia="Cambria" w:hAnsiTheme="minorHAnsi"/>
              </w:rPr>
              <w:t>Energy and Water Ombudsman of SA</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EWOQ</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color w:val="000000"/>
              </w:rPr>
              <w:t>Energy and Water Ombudsman of Queensland</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EWOV</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color w:val="000000"/>
              </w:rPr>
              <w:t>Energy and Water Ombudsman of Victoria</w:t>
            </w:r>
          </w:p>
        </w:tc>
      </w:tr>
      <w:tr w:rsidR="003C16D1" w:rsidRPr="00E22161" w:rsidTr="00C733B4">
        <w:trPr>
          <w:cantSplit/>
          <w:trHeight w:val="20"/>
        </w:trPr>
        <w:tc>
          <w:tcPr>
            <w:tcW w:w="1701"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GL</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Gigalitre (one billion litres)</w:t>
            </w:r>
          </w:p>
        </w:tc>
      </w:tr>
      <w:tr w:rsidR="003C16D1" w:rsidRPr="00E22161" w:rsidTr="00C733B4">
        <w:trPr>
          <w:cantSplit/>
          <w:trHeight w:val="20"/>
        </w:trPr>
        <w:tc>
          <w:tcPr>
            <w:tcW w:w="1701"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GMW</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Goulburn-Murray Water </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IPART</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Independent Pricing and Regulatory Tribunal (NSW)</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IIO</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Irrigation infrastructure operator</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LGAQ</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Local Government Association of Queensland</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LMW</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Lower Murray Water </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MDB</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Murray-Darling Basin </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MDBA</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Murray-Darling Basin Authority</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MI</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Murrumbidgee Irrigation Limited</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MIL</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Murray Irrigation Limited</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ML</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Megalitre (one million litres)</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NFF</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National Farmers’ Federation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NIBM</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Narromine Irrigation Board of Management</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NIC</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National Irrigators’ Council</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NSP</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Network Service Plan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NSW</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New South Wales</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NSWIC</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N</w:t>
            </w:r>
            <w:r w:rsidR="001C7D1A" w:rsidRPr="00E22161">
              <w:rPr>
                <w:rFonts w:asciiTheme="minorHAnsi" w:hAnsiTheme="minorHAnsi"/>
              </w:rPr>
              <w:t xml:space="preserve">ew </w:t>
            </w:r>
            <w:r w:rsidRPr="00E22161">
              <w:rPr>
                <w:rFonts w:asciiTheme="minorHAnsi" w:hAnsiTheme="minorHAnsi"/>
              </w:rPr>
              <w:t>S</w:t>
            </w:r>
            <w:r w:rsidR="001C7D1A" w:rsidRPr="00E22161">
              <w:rPr>
                <w:rFonts w:asciiTheme="minorHAnsi" w:hAnsiTheme="minorHAnsi"/>
              </w:rPr>
              <w:t xml:space="preserve">outh </w:t>
            </w:r>
            <w:r w:rsidRPr="00E22161">
              <w:rPr>
                <w:rFonts w:asciiTheme="minorHAnsi" w:hAnsiTheme="minorHAnsi"/>
              </w:rPr>
              <w:t>W</w:t>
            </w:r>
            <w:r w:rsidR="001C7D1A" w:rsidRPr="00E22161">
              <w:rPr>
                <w:rFonts w:asciiTheme="minorHAnsi" w:hAnsiTheme="minorHAnsi"/>
              </w:rPr>
              <w:t>ales</w:t>
            </w:r>
            <w:r w:rsidRPr="00E22161">
              <w:rPr>
                <w:rFonts w:asciiTheme="minorHAnsi" w:hAnsiTheme="minorHAnsi"/>
              </w:rPr>
              <w:t xml:space="preserve"> Irrigators’ Council</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NWI</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National Water Initiative</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OBPR</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Office of Best Practice Regulation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OEH</w:t>
            </w:r>
          </w:p>
        </w:tc>
        <w:tc>
          <w:tcPr>
            <w:tcW w:w="7513" w:type="dxa"/>
            <w:shd w:val="clear" w:color="auto" w:fill="auto"/>
            <w:vAlign w:val="center"/>
          </w:tcPr>
          <w:p w:rsidR="003C16D1" w:rsidRPr="00E22161" w:rsidRDefault="003C16D1" w:rsidP="00595835">
            <w:pPr>
              <w:pStyle w:val="tabletext"/>
              <w:rPr>
                <w:rFonts w:asciiTheme="minorHAnsi" w:eastAsia="Calibri" w:hAnsiTheme="minorHAnsi"/>
              </w:rPr>
            </w:pPr>
            <w:r w:rsidRPr="00E22161">
              <w:rPr>
                <w:rFonts w:asciiTheme="minorHAnsi" w:eastAsia="Calibri" w:hAnsiTheme="minorHAnsi"/>
              </w:rPr>
              <w:t>NSW Office of Environment and Heritage</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PVWUA</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eastAsia="Calibri" w:hAnsiTheme="minorHAnsi"/>
              </w:rPr>
              <w:t xml:space="preserve">Peel Valley Water Users Association </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QCA</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Queensland Competition Authority</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QTDEWS</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Queensland Treasury and Department of Energy and Water Supply</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QFF</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Queensland Farmers’ Federation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RAB</w:t>
            </w:r>
          </w:p>
        </w:tc>
        <w:tc>
          <w:tcPr>
            <w:tcW w:w="7513" w:type="dxa"/>
            <w:shd w:val="clear" w:color="auto" w:fill="auto"/>
            <w:vAlign w:val="center"/>
          </w:tcPr>
          <w:p w:rsidR="003C16D1" w:rsidRPr="00E22161" w:rsidRDefault="00CE6D61" w:rsidP="00595835">
            <w:pPr>
              <w:pStyle w:val="tabletext"/>
              <w:rPr>
                <w:rFonts w:asciiTheme="minorHAnsi" w:hAnsiTheme="minorHAnsi"/>
              </w:rPr>
            </w:pPr>
            <w:r w:rsidRPr="00E22161">
              <w:rPr>
                <w:rFonts w:asciiTheme="minorHAnsi" w:hAnsiTheme="minorHAnsi"/>
              </w:rPr>
              <w:t>r</w:t>
            </w:r>
            <w:r w:rsidR="003C16D1" w:rsidRPr="00E22161">
              <w:rPr>
                <w:rFonts w:asciiTheme="minorHAnsi" w:hAnsiTheme="minorHAnsi"/>
              </w:rPr>
              <w:t xml:space="preserve">egulatory </w:t>
            </w:r>
            <w:r w:rsidRPr="00E22161">
              <w:rPr>
                <w:rFonts w:asciiTheme="minorHAnsi" w:hAnsiTheme="minorHAnsi"/>
              </w:rPr>
              <w:t>a</w:t>
            </w:r>
            <w:r w:rsidR="003C16D1" w:rsidRPr="00E22161">
              <w:rPr>
                <w:rFonts w:asciiTheme="minorHAnsi" w:hAnsiTheme="minorHAnsi"/>
              </w:rPr>
              <w:t xml:space="preserve">sset </w:t>
            </w:r>
            <w:r w:rsidRPr="00E22161">
              <w:rPr>
                <w:rFonts w:asciiTheme="minorHAnsi" w:hAnsiTheme="minorHAnsi"/>
              </w:rPr>
              <w:t>b</w:t>
            </w:r>
            <w:r w:rsidR="003C16D1" w:rsidRPr="00E22161">
              <w:rPr>
                <w:rFonts w:asciiTheme="minorHAnsi" w:hAnsiTheme="minorHAnsi"/>
              </w:rPr>
              <w:t xml:space="preserve">ase </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RIT</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Renmark Irrigation Trust</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RMO</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River Murray Operations</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SA</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South Australia</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SA </w:t>
            </w:r>
            <w:r w:rsidR="005C7AC5" w:rsidRPr="00E22161">
              <w:rPr>
                <w:rFonts w:asciiTheme="minorHAnsi" w:hAnsiTheme="minorHAnsi"/>
              </w:rPr>
              <w:t xml:space="preserve">Third Party Access </w:t>
            </w:r>
            <w:r w:rsidRPr="00E22161">
              <w:rPr>
                <w:rFonts w:asciiTheme="minorHAnsi" w:hAnsiTheme="minorHAnsi"/>
              </w:rPr>
              <w:t>Act</w:t>
            </w:r>
          </w:p>
        </w:tc>
        <w:tc>
          <w:tcPr>
            <w:tcW w:w="7513" w:type="dxa"/>
            <w:shd w:val="clear" w:color="auto" w:fill="auto"/>
            <w:vAlign w:val="center"/>
          </w:tcPr>
          <w:p w:rsidR="003C16D1" w:rsidRPr="00E22161" w:rsidRDefault="003C16D1" w:rsidP="00595835">
            <w:pPr>
              <w:pStyle w:val="tabletext"/>
              <w:rPr>
                <w:rFonts w:asciiTheme="minorHAnsi" w:hAnsiTheme="minorHAnsi"/>
                <w:color w:val="373A3F"/>
                <w:lang w:val="en"/>
              </w:rPr>
            </w:pPr>
            <w:r w:rsidRPr="00E22161">
              <w:rPr>
                <w:rFonts w:asciiTheme="minorHAnsi" w:hAnsiTheme="minorHAnsi"/>
                <w:i/>
              </w:rPr>
              <w:t>Water Industry (Third Party Access) Amendment Act 2015</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SDL</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color w:val="373A3F"/>
                <w:lang w:val="en"/>
              </w:rPr>
              <w:t>Sustainable Diversion Limit</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TNAC</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Total network access charge</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The Panel</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The Independent Expert Panel </w:t>
            </w:r>
            <w:r w:rsidR="00D3167A" w:rsidRPr="00E22161">
              <w:rPr>
                <w:rFonts w:asciiTheme="minorHAnsi" w:hAnsiTheme="minorHAnsi"/>
              </w:rPr>
              <w:t>(r</w:t>
            </w:r>
            <w:r w:rsidRPr="00E22161">
              <w:rPr>
                <w:rFonts w:asciiTheme="minorHAnsi" w:hAnsiTheme="minorHAnsi"/>
              </w:rPr>
              <w:t xml:space="preserve">eviewing the </w:t>
            </w:r>
            <w:r w:rsidRPr="00E22161">
              <w:rPr>
                <w:rFonts w:asciiTheme="minorHAnsi" w:hAnsiTheme="minorHAnsi"/>
                <w:i/>
              </w:rPr>
              <w:t>Water Act</w:t>
            </w:r>
            <w:r w:rsidR="00D3167A" w:rsidRPr="00E22161">
              <w:rPr>
                <w:rFonts w:asciiTheme="minorHAnsi" w:hAnsiTheme="minorHAnsi"/>
                <w:i/>
              </w:rPr>
              <w:t xml:space="preserve"> 2007</w:t>
            </w:r>
            <w:r w:rsidR="00D3167A" w:rsidRPr="00E22161">
              <w:rPr>
                <w:rFonts w:asciiTheme="minorHAnsi" w:hAnsiTheme="minorHAnsi"/>
              </w:rPr>
              <w:t>)</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RAB</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Regulatory Asset Base</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RMO</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River Murray Operations</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SAMI</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South Australian Murray Irrigators</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TNAC</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Total Network Access Charge</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VEWH</w:t>
            </w:r>
          </w:p>
        </w:tc>
        <w:tc>
          <w:tcPr>
            <w:tcW w:w="7513" w:type="dxa"/>
            <w:shd w:val="clear" w:color="auto" w:fill="auto"/>
            <w:vAlign w:val="center"/>
          </w:tcPr>
          <w:p w:rsidR="003C16D1" w:rsidRPr="00E22161" w:rsidRDefault="003C16D1" w:rsidP="00595835">
            <w:pPr>
              <w:pStyle w:val="tabletext"/>
              <w:rPr>
                <w:rFonts w:asciiTheme="minorHAnsi" w:eastAsiaTheme="minorHAnsi" w:hAnsiTheme="minorHAnsi"/>
                <w:color w:val="000000"/>
              </w:rPr>
            </w:pPr>
            <w:r w:rsidRPr="00E22161">
              <w:rPr>
                <w:rFonts w:asciiTheme="minorHAnsi" w:eastAsiaTheme="minorHAnsi" w:hAnsiTheme="minorHAnsi"/>
                <w:color w:val="000000"/>
              </w:rPr>
              <w:t>Victorian Environmental Water Holder</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VFF</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eastAsiaTheme="minorHAnsi" w:hAnsiTheme="minorHAnsi"/>
                <w:color w:val="000000"/>
              </w:rPr>
              <w:t>Victorian Farmers’ Federation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WAE</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Water access entitlement</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WCIR</w:t>
            </w:r>
          </w:p>
        </w:tc>
        <w:tc>
          <w:tcPr>
            <w:tcW w:w="7513" w:type="dxa"/>
            <w:shd w:val="clear" w:color="auto" w:fill="auto"/>
            <w:vAlign w:val="center"/>
          </w:tcPr>
          <w:p w:rsidR="003C16D1" w:rsidRPr="00E22161" w:rsidRDefault="003C16D1" w:rsidP="00595835">
            <w:pPr>
              <w:pStyle w:val="tabletext"/>
              <w:rPr>
                <w:rFonts w:asciiTheme="minorHAnsi" w:hAnsiTheme="minorHAnsi"/>
              </w:rPr>
            </w:pPr>
            <w:r w:rsidRPr="00E22161">
              <w:rPr>
                <w:rFonts w:asciiTheme="minorHAnsi" w:hAnsiTheme="minorHAnsi"/>
              </w:rPr>
              <w:t>Water Charge (Infrastructure) Rules 2010</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WCPMIR</w:t>
            </w:r>
          </w:p>
        </w:tc>
        <w:tc>
          <w:tcPr>
            <w:tcW w:w="7513"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Water Charge (Planning and Management Information) Rules 2010</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WCTFR</w:t>
            </w:r>
          </w:p>
        </w:tc>
        <w:tc>
          <w:tcPr>
            <w:tcW w:w="7513"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Water Charge (Termination Fees) Rules 2009</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WMI</w:t>
            </w:r>
          </w:p>
        </w:tc>
        <w:tc>
          <w:tcPr>
            <w:tcW w:w="7513"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Western Murray Irrigation</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WMR</w:t>
            </w:r>
          </w:p>
        </w:tc>
        <w:tc>
          <w:tcPr>
            <w:tcW w:w="7513"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Water Market Rules 2009</w:t>
            </w:r>
          </w:p>
        </w:tc>
      </w:tr>
      <w:tr w:rsidR="003C16D1" w:rsidRPr="00E22161" w:rsidTr="00C733B4">
        <w:trPr>
          <w:cantSplit/>
          <w:trHeight w:val="20"/>
        </w:trPr>
        <w:tc>
          <w:tcPr>
            <w:tcW w:w="1701"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 xml:space="preserve">WPM </w:t>
            </w:r>
          </w:p>
        </w:tc>
        <w:tc>
          <w:tcPr>
            <w:tcW w:w="7513" w:type="dxa"/>
            <w:vAlign w:val="center"/>
          </w:tcPr>
          <w:p w:rsidR="003C16D1" w:rsidRPr="00E22161" w:rsidRDefault="003C16D1" w:rsidP="00595835">
            <w:pPr>
              <w:pStyle w:val="tabletext"/>
              <w:rPr>
                <w:rFonts w:asciiTheme="minorHAnsi" w:hAnsiTheme="minorHAnsi"/>
              </w:rPr>
            </w:pPr>
            <w:r w:rsidRPr="00E22161">
              <w:rPr>
                <w:rFonts w:asciiTheme="minorHAnsi" w:hAnsiTheme="minorHAnsi"/>
              </w:rPr>
              <w:t>Water Planning and Management</w:t>
            </w:r>
            <w:r w:rsidR="00C6733C" w:rsidRPr="00E22161">
              <w:rPr>
                <w:rFonts w:asciiTheme="minorHAnsi" w:hAnsiTheme="minorHAnsi"/>
              </w:rPr>
              <w:t xml:space="preserve"> </w:t>
            </w:r>
          </w:p>
        </w:tc>
      </w:tr>
    </w:tbl>
    <w:p w:rsidR="003C16D1" w:rsidRDefault="003C16D1" w:rsidP="003C16D1"/>
    <w:p w:rsidR="009845D5" w:rsidRDefault="009845D5" w:rsidP="009845D5">
      <w:pPr>
        <w:pStyle w:val="Heading1"/>
        <w:numPr>
          <w:ilvl w:val="0"/>
          <w:numId w:val="0"/>
        </w:numPr>
        <w:rPr>
          <w:rFonts w:ascii="Times New Roman" w:hAnsi="Times New Roman" w:cs="Times New Roman"/>
        </w:rPr>
      </w:pPr>
      <w:bookmarkStart w:id="22" w:name="_Toc456022320"/>
      <w:bookmarkStart w:id="23" w:name="_Toc456027265"/>
      <w:bookmarkStart w:id="24" w:name="_Toc456785764"/>
      <w:bookmarkStart w:id="25" w:name="_Toc461630673"/>
      <w:r w:rsidRPr="0000691D">
        <w:rPr>
          <w:rFonts w:ascii="Times New Roman" w:hAnsi="Times New Roman" w:cs="Times New Roman"/>
        </w:rPr>
        <w:t>Summary</w:t>
      </w:r>
      <w:bookmarkEnd w:id="22"/>
      <w:bookmarkEnd w:id="23"/>
      <w:bookmarkEnd w:id="24"/>
      <w:bookmarkEnd w:id="25"/>
    </w:p>
    <w:p w:rsidR="009845D5" w:rsidRPr="00FE2221" w:rsidRDefault="009845D5" w:rsidP="009845D5">
      <w:pPr>
        <w:spacing w:after="120"/>
        <w:rPr>
          <w:rFonts w:cs="Times New Roman"/>
        </w:rPr>
      </w:pPr>
      <w:r w:rsidRPr="00FE2221">
        <w:rPr>
          <w:rFonts w:cs="Times New Roman"/>
        </w:rPr>
        <w:t xml:space="preserve">The </w:t>
      </w:r>
      <w:r>
        <w:rPr>
          <w:rFonts w:cs="Times New Roman"/>
        </w:rPr>
        <w:t>Australian Competition and Consumer Commission (</w:t>
      </w:r>
      <w:r w:rsidRPr="00FE2221">
        <w:rPr>
          <w:rFonts w:cs="Times New Roman"/>
        </w:rPr>
        <w:t>ACCC</w:t>
      </w:r>
      <w:r>
        <w:rPr>
          <w:rFonts w:cs="Times New Roman"/>
        </w:rPr>
        <w:t>)</w:t>
      </w:r>
      <w:r w:rsidRPr="00FE2221">
        <w:rPr>
          <w:rFonts w:cs="Times New Roman"/>
        </w:rPr>
        <w:t xml:space="preserve"> </w:t>
      </w:r>
      <w:r>
        <w:rPr>
          <w:rFonts w:cs="Times New Roman"/>
        </w:rPr>
        <w:t>has reviewed</w:t>
      </w:r>
      <w:r w:rsidRPr="00FE2221">
        <w:rPr>
          <w:rFonts w:cs="Times New Roman"/>
        </w:rPr>
        <w:t xml:space="preserve"> the three sets of water charge rules made under section 92 of the </w:t>
      </w:r>
      <w:r w:rsidRPr="00FE2221">
        <w:rPr>
          <w:rFonts w:cs="Times New Roman"/>
          <w:i/>
        </w:rPr>
        <w:t>Water Act 2007 (Commonwealth)</w:t>
      </w:r>
      <w:r>
        <w:rPr>
          <w:rFonts w:cs="Times New Roman"/>
          <w:i/>
        </w:rPr>
        <w:t xml:space="preserve"> </w:t>
      </w:r>
      <w:r>
        <w:rPr>
          <w:rFonts w:cs="Times New Roman"/>
        </w:rPr>
        <w:t>(the Act)</w:t>
      </w:r>
      <w:r w:rsidRPr="00FE2221">
        <w:rPr>
          <w:rFonts w:cs="Times New Roman"/>
          <w:i/>
        </w:rPr>
        <w:t xml:space="preserve"> </w:t>
      </w:r>
      <w:r w:rsidRPr="00FE2221">
        <w:rPr>
          <w:rFonts w:cs="Times New Roman"/>
        </w:rPr>
        <w:t>at the request of the Minister.</w:t>
      </w:r>
      <w:r w:rsidRPr="00FE2221">
        <w:rPr>
          <w:rFonts w:cs="Times New Roman"/>
          <w:i/>
        </w:rPr>
        <w:t xml:space="preserve"> </w:t>
      </w:r>
      <w:r w:rsidRPr="00FE2221">
        <w:rPr>
          <w:rFonts w:cs="Times New Roman"/>
        </w:rPr>
        <w:t>The</w:t>
      </w:r>
      <w:r>
        <w:rPr>
          <w:rFonts w:cs="Times New Roman"/>
        </w:rPr>
        <w:t>se</w:t>
      </w:r>
      <w:r w:rsidRPr="00FE2221">
        <w:rPr>
          <w:rFonts w:cs="Times New Roman"/>
        </w:rPr>
        <w:t xml:space="preserve"> are:</w:t>
      </w:r>
    </w:p>
    <w:p w:rsidR="009845D5" w:rsidRPr="003170A7" w:rsidRDefault="009845D5" w:rsidP="00A82DE6">
      <w:pPr>
        <w:pStyle w:val="Lvl1Bulletpoint"/>
      </w:pPr>
      <w:r w:rsidRPr="003170A7">
        <w:t xml:space="preserve">The </w:t>
      </w:r>
      <w:r w:rsidRPr="004041C4">
        <w:t xml:space="preserve">Water Charge (Infrastructure) Rules 2010 </w:t>
      </w:r>
      <w:r>
        <w:t>(WCIR)</w:t>
      </w:r>
      <w:r w:rsidRPr="003170A7">
        <w:t>, which set requirements relating to the charges payable to infrastructure operators for infrastructure services.</w:t>
      </w:r>
    </w:p>
    <w:p w:rsidR="009845D5" w:rsidRPr="003170A7" w:rsidRDefault="009845D5" w:rsidP="00A82DE6">
      <w:pPr>
        <w:pStyle w:val="Lvl1Bulletpoint"/>
      </w:pPr>
      <w:r w:rsidRPr="003170A7">
        <w:t xml:space="preserve">The </w:t>
      </w:r>
      <w:r w:rsidRPr="004041C4">
        <w:t>Water Charge (Termination Fees) Rules 2009</w:t>
      </w:r>
      <w:r>
        <w:t xml:space="preserve"> (WCTFR)</w:t>
      </w:r>
      <w:r w:rsidRPr="003170A7">
        <w:t>, which regulate the maximum amount of termination fee payable to an operator when a customer terminates access to water service infrastructure.</w:t>
      </w:r>
    </w:p>
    <w:p w:rsidR="009845D5" w:rsidRPr="003170A7" w:rsidRDefault="009845D5" w:rsidP="00A82DE6">
      <w:pPr>
        <w:pStyle w:val="Lvl1Bulletpoint"/>
      </w:pPr>
      <w:r w:rsidRPr="003170A7">
        <w:t xml:space="preserve">The </w:t>
      </w:r>
      <w:r w:rsidRPr="004041C4">
        <w:t>Water Charge (Planning and Management Information) Rules 2010</w:t>
      </w:r>
      <w:r>
        <w:t xml:space="preserve"> (WCPMIR)</w:t>
      </w:r>
      <w:r w:rsidRPr="003170A7">
        <w:t xml:space="preserve">, which place information requirements on persons determining charges for </w:t>
      </w:r>
      <w:r>
        <w:t xml:space="preserve">water </w:t>
      </w:r>
      <w:r w:rsidRPr="003170A7">
        <w:t>planning and management</w:t>
      </w:r>
      <w:r>
        <w:t xml:space="preserve"> </w:t>
      </w:r>
      <w:r w:rsidRPr="003170A7">
        <w:t xml:space="preserve">activities. </w:t>
      </w:r>
    </w:p>
    <w:p w:rsidR="009845D5" w:rsidRPr="000F24CC" w:rsidRDefault="009845D5" w:rsidP="000F24CC">
      <w:pPr>
        <w:spacing w:after="120"/>
        <w:rPr>
          <w:rFonts w:cs="Times New Roman"/>
        </w:rPr>
      </w:pPr>
      <w:r w:rsidRPr="000F24CC">
        <w:rPr>
          <w:rFonts w:cs="Times New Roman"/>
        </w:rPr>
        <w:t xml:space="preserve">The rules </w:t>
      </w:r>
      <w:r w:rsidR="000F45B6" w:rsidRPr="000F24CC">
        <w:rPr>
          <w:rFonts w:cs="Times New Roman"/>
        </w:rPr>
        <w:t xml:space="preserve">were </w:t>
      </w:r>
      <w:r w:rsidRPr="000F24CC">
        <w:rPr>
          <w:rFonts w:cs="Times New Roman"/>
        </w:rPr>
        <w:t>introduced at a time of significant reform within the Murray-Darling Basin (MDB)</w:t>
      </w:r>
      <w:r w:rsidR="000F45B6" w:rsidRPr="000F24CC">
        <w:rPr>
          <w:rFonts w:cs="Times New Roman"/>
        </w:rPr>
        <w:t xml:space="preserve"> and have now been in place for around five years</w:t>
      </w:r>
      <w:r w:rsidRPr="000F24CC">
        <w:rPr>
          <w:rFonts w:cs="Times New Roman"/>
        </w:rPr>
        <w:t xml:space="preserve">. </w:t>
      </w:r>
      <w:r w:rsidR="000F45B6" w:rsidRPr="000F24CC">
        <w:rPr>
          <w:rFonts w:cs="Times New Roman"/>
        </w:rPr>
        <w:t>During this time</w:t>
      </w:r>
      <w:r w:rsidRPr="000F24CC">
        <w:rPr>
          <w:rFonts w:cs="Times New Roman"/>
        </w:rPr>
        <w:t xml:space="preserve">, charging practices and water markets in the MDB have continued to evolve and develop. </w:t>
      </w:r>
    </w:p>
    <w:p w:rsidR="009845D5" w:rsidRPr="00ED1760" w:rsidRDefault="009845D5" w:rsidP="00A82DE6">
      <w:pPr>
        <w:pStyle w:val="Lvl1Bulletpoint"/>
        <w:numPr>
          <w:ilvl w:val="0"/>
          <w:numId w:val="0"/>
        </w:numPr>
      </w:pPr>
      <w:r>
        <w:t>The ACCC has found that there are opportunities to streamline the rules and reduce regulatory costs for infrastructure operators. At the same time, customer protections and pricing transparency can be strengthened, which will help ensure a level playing field for irrigators and other water market participants. Improvements can also be made to help ensure the rules remain relevant and robust as the rural water sector continues to evolve—particularly in terms of ensuring that the rules are able to continue to function effectively as operators’ customer bases change over time, and as innovative charging arrangements are introduced.</w:t>
      </w:r>
    </w:p>
    <w:p w:rsidR="009845D5" w:rsidRDefault="009845D5" w:rsidP="009845D5">
      <w:pPr>
        <w:pStyle w:val="Heading2"/>
        <w:numPr>
          <w:ilvl w:val="0"/>
          <w:numId w:val="0"/>
        </w:numPr>
        <w:spacing w:before="240"/>
      </w:pPr>
      <w:bookmarkStart w:id="26" w:name="_Toc456785765"/>
      <w:bookmarkStart w:id="27" w:name="_Toc461630674"/>
      <w:r>
        <w:t>Overview of the ACCC’s Final Advice</w:t>
      </w:r>
      <w:bookmarkEnd w:id="26"/>
      <w:bookmarkEnd w:id="27"/>
    </w:p>
    <w:p w:rsidR="009845D5" w:rsidRPr="00ED1760" w:rsidRDefault="009845D5" w:rsidP="009845D5">
      <w:pPr>
        <w:rPr>
          <w:rFonts w:cs="Times New Roman"/>
        </w:rPr>
      </w:pPr>
      <w:r w:rsidRPr="00ED1760">
        <w:rPr>
          <w:rFonts w:cs="Times New Roman"/>
        </w:rPr>
        <w:t xml:space="preserve">The ACCC’s </w:t>
      </w:r>
      <w:r w:rsidR="000F45B6">
        <w:rPr>
          <w:rFonts w:cs="Times New Roman"/>
        </w:rPr>
        <w:t>a</w:t>
      </w:r>
      <w:r w:rsidRPr="00ED1760">
        <w:rPr>
          <w:rFonts w:cs="Times New Roman"/>
        </w:rPr>
        <w:t>dvice is targeted at promoting efficient and sustainable use of water infrastructure, facilitating effective water markets and improving transparency of charging arrangements, while addressing the need to reduce the regulatory burden on the sector. The proposed amendments to the water charge rules in the Final Advice seek to achieve a number of outcomes, as set out below.</w:t>
      </w:r>
    </w:p>
    <w:p w:rsidR="009845D5" w:rsidRPr="00ED1760" w:rsidRDefault="009845D5" w:rsidP="0082647F">
      <w:pPr>
        <w:pStyle w:val="Subheading"/>
      </w:pPr>
      <w:r w:rsidRPr="00ED1760">
        <w:t>Streamlining the application of the rules to ensure a consistent approach</w:t>
      </w:r>
    </w:p>
    <w:tbl>
      <w:tblPr>
        <w:tblStyle w:val="TableGrid"/>
        <w:tblW w:w="0" w:type="auto"/>
        <w:tblCellMar>
          <w:top w:w="113" w:type="dxa"/>
          <w:bottom w:w="85" w:type="dxa"/>
        </w:tblCellMar>
        <w:tblLook w:val="04A0" w:firstRow="1" w:lastRow="0" w:firstColumn="1" w:lastColumn="0" w:noHBand="0" w:noVBand="1"/>
      </w:tblPr>
      <w:tblGrid>
        <w:gridCol w:w="9243"/>
      </w:tblGrid>
      <w:tr w:rsidR="009845D5" w:rsidRPr="00ED1760" w:rsidTr="009845D5">
        <w:tc>
          <w:tcPr>
            <w:tcW w:w="9243" w:type="dxa"/>
          </w:tcPr>
          <w:p w:rsidR="009845D5" w:rsidRPr="004B040A" w:rsidRDefault="009845D5" w:rsidP="009845D5">
            <w:pPr>
              <w:rPr>
                <w:rFonts w:ascii="Calibri" w:hAnsi="Calibri" w:cs="Times New Roman"/>
                <w:i/>
              </w:rPr>
            </w:pPr>
            <w:r w:rsidRPr="004B040A">
              <w:rPr>
                <w:rFonts w:ascii="Calibri" w:hAnsi="Calibri" w:cs="Times New Roman"/>
              </w:rPr>
              <w:t xml:space="preserve">The proposed water charge rules will </w:t>
            </w:r>
            <w:r w:rsidRPr="004B040A">
              <w:rPr>
                <w:rFonts w:ascii="Calibri" w:hAnsi="Calibri" w:cs="Times New Roman"/>
                <w:b/>
                <w:i/>
              </w:rPr>
              <w:t>streamline the application of the rules and ensure a consistent approach</w:t>
            </w:r>
            <w:r w:rsidRPr="004B040A">
              <w:rPr>
                <w:rFonts w:ascii="Calibri" w:hAnsi="Calibri" w:cs="Times New Roman"/>
              </w:rPr>
              <w:t xml:space="preserve"> by:</w:t>
            </w:r>
          </w:p>
          <w:p w:rsidR="009845D5" w:rsidRPr="008116D7" w:rsidRDefault="009845D5" w:rsidP="00035824">
            <w:pPr>
              <w:pStyle w:val="TableBulletLvl1"/>
            </w:pPr>
            <w:r w:rsidRPr="008116D7">
              <w:t>ensuring rules apply consistently across infrastructure operators by moving away from the tiered and fragmented approach which currently relies on operator ownership and customer characteristics.</w:t>
            </w:r>
          </w:p>
          <w:p w:rsidR="009845D5" w:rsidRPr="00ED1760" w:rsidRDefault="009845D5" w:rsidP="00035824">
            <w:pPr>
              <w:pStyle w:val="TableBulletLvl1"/>
            </w:pPr>
            <w:r w:rsidRPr="008116D7">
              <w:t>consolidating the rules into a single instrument.</w:t>
            </w:r>
          </w:p>
        </w:tc>
      </w:tr>
    </w:tbl>
    <w:p w:rsidR="009845D5" w:rsidRPr="00ED1760" w:rsidRDefault="009845D5" w:rsidP="009845D5">
      <w:pPr>
        <w:spacing w:before="120" w:after="120"/>
        <w:rPr>
          <w:rFonts w:cs="Times New Roman"/>
        </w:rPr>
      </w:pPr>
      <w:r w:rsidRPr="00ED1760">
        <w:rPr>
          <w:rFonts w:cs="Times New Roman"/>
        </w:rPr>
        <w:t>Currently, the application of the water charge rules depends on an operator’s size, ownership status and the purpose for which they deliver water. This means the level of regulation an operator faces can change substantially over time. This arrangement is not robust to likely future developments in rural water markets, such as the increase in non-irrigation customers and the formation of new operators. Also, current regulatory requirements are spread over three sets of rules, making it difficult for operators and their customers to understand how the rules work together as a whole.</w:t>
      </w:r>
    </w:p>
    <w:p w:rsidR="009845D5" w:rsidRPr="00ED1760" w:rsidRDefault="009845D5" w:rsidP="009845D5">
      <w:pPr>
        <w:spacing w:after="120"/>
        <w:rPr>
          <w:rFonts w:cs="Times New Roman"/>
        </w:rPr>
      </w:pPr>
      <w:r w:rsidRPr="00ED1760">
        <w:rPr>
          <w:rFonts w:cs="Times New Roman"/>
        </w:rPr>
        <w:t xml:space="preserve">The ACCC proposes removing unnecessary distinctions between infrastructure operators to ensure that there is a consistent level of regulation of charges across the MDB. This will help ensure that all customers, regardless of their infrastructure operator, industry or region within the MDB, are afforded protection from </w:t>
      </w:r>
      <w:r w:rsidR="000173A6">
        <w:rPr>
          <w:rFonts w:cs="Times New Roman"/>
        </w:rPr>
        <w:t xml:space="preserve">the potential for </w:t>
      </w:r>
      <w:r w:rsidRPr="00ED1760">
        <w:rPr>
          <w:rFonts w:cs="Times New Roman"/>
        </w:rPr>
        <w:t xml:space="preserve">discriminatory </w:t>
      </w:r>
      <w:r w:rsidR="000173A6">
        <w:rPr>
          <w:rFonts w:cs="Times New Roman"/>
        </w:rPr>
        <w:t xml:space="preserve">or </w:t>
      </w:r>
      <w:r w:rsidRPr="00ED1760">
        <w:rPr>
          <w:rFonts w:cs="Times New Roman"/>
        </w:rPr>
        <w:t xml:space="preserve">distortionary charging practices (see section 5.3), and that there is adequate transparency in charging arrangements (see section 5.4). This also ensures that </w:t>
      </w:r>
      <w:r w:rsidR="00F53927">
        <w:rPr>
          <w:rFonts w:cs="Times New Roman"/>
        </w:rPr>
        <w:t>irrigators</w:t>
      </w:r>
      <w:r w:rsidR="00F53927" w:rsidRPr="00ED1760">
        <w:rPr>
          <w:rFonts w:cs="Times New Roman"/>
        </w:rPr>
        <w:t xml:space="preserve"> </w:t>
      </w:r>
      <w:r w:rsidRPr="00ED1760">
        <w:rPr>
          <w:rFonts w:cs="Times New Roman"/>
        </w:rPr>
        <w:t xml:space="preserve">will </w:t>
      </w:r>
      <w:r w:rsidR="000173A6">
        <w:rPr>
          <w:rFonts w:cs="Times New Roman"/>
        </w:rPr>
        <w:t xml:space="preserve">continue to </w:t>
      </w:r>
      <w:r w:rsidRPr="00ED1760">
        <w:rPr>
          <w:rFonts w:cs="Times New Roman"/>
        </w:rPr>
        <w:t>receive these protections as the make-up of operators’ customer bases changes (for example, as environmental water holders and commercial entities play a bigger role in the water market), and as operators continue to innovate in terms of the services they provide and their charging arrangements. The ACCC considers that promoting consistency in these fundamental customer protections (while still requiring charge approvals / determinations where necessary) appropriately maintains a measured approach to regulation in terms of the regulatory costs that infrastructure operators face (see sections 5.2, 5.5, 5.7, 5.10 and 6.1).</w:t>
      </w:r>
      <w:r w:rsidRPr="00ED1760" w:rsidDel="008069EC">
        <w:rPr>
          <w:rStyle w:val="FootnoteReference"/>
          <w:rFonts w:cs="Times New Roman"/>
        </w:rPr>
        <w:t xml:space="preserve"> </w:t>
      </w:r>
    </w:p>
    <w:p w:rsidR="009845D5" w:rsidRPr="00ED1760" w:rsidRDefault="009845D5" w:rsidP="009845D5">
      <w:pPr>
        <w:spacing w:after="120"/>
        <w:rPr>
          <w:rFonts w:cs="Times New Roman"/>
        </w:rPr>
      </w:pPr>
      <w:r w:rsidRPr="00ED1760">
        <w:rPr>
          <w:rFonts w:cs="Times New Roman"/>
        </w:rPr>
        <w:t xml:space="preserve">The Final Advice also proposes to combine the three sets of water charge rules (see section 4.3.1). This will streamline the operation of the rules and remove unnecessary duplication </w:t>
      </w:r>
      <w:r w:rsidR="000F45B6">
        <w:rPr>
          <w:rFonts w:cs="Times New Roman"/>
        </w:rPr>
        <w:t>and</w:t>
      </w:r>
      <w:r w:rsidRPr="00ED1760">
        <w:rPr>
          <w:rFonts w:cs="Times New Roman"/>
        </w:rPr>
        <w:t xml:space="preserve"> inconsistency, making it easier for stakeholders to understand their obligations and protections under the rules. </w:t>
      </w:r>
    </w:p>
    <w:p w:rsidR="009845D5" w:rsidRPr="00ED1760" w:rsidRDefault="009845D5" w:rsidP="0082647F">
      <w:pPr>
        <w:pStyle w:val="Subheading"/>
      </w:pPr>
      <w:r w:rsidRPr="00ED1760">
        <w:t>Improving pricing transparency and customer engagement</w:t>
      </w:r>
    </w:p>
    <w:tbl>
      <w:tblPr>
        <w:tblStyle w:val="TableGrid"/>
        <w:tblW w:w="0" w:type="auto"/>
        <w:tblCellMar>
          <w:top w:w="113" w:type="dxa"/>
          <w:bottom w:w="85" w:type="dxa"/>
        </w:tblCellMar>
        <w:tblLook w:val="04A0" w:firstRow="1" w:lastRow="0" w:firstColumn="1" w:lastColumn="0" w:noHBand="0" w:noVBand="1"/>
      </w:tblPr>
      <w:tblGrid>
        <w:gridCol w:w="9243"/>
      </w:tblGrid>
      <w:tr w:rsidR="009845D5" w:rsidRPr="00ED1760" w:rsidTr="009845D5">
        <w:tc>
          <w:tcPr>
            <w:tcW w:w="9243" w:type="dxa"/>
          </w:tcPr>
          <w:p w:rsidR="009845D5" w:rsidRPr="004B040A" w:rsidRDefault="009845D5" w:rsidP="009845D5">
            <w:pPr>
              <w:rPr>
                <w:rFonts w:ascii="Calibri" w:hAnsi="Calibri" w:cs="Times New Roman"/>
                <w:i/>
              </w:rPr>
            </w:pPr>
            <w:r w:rsidRPr="004B040A">
              <w:rPr>
                <w:rFonts w:ascii="Calibri" w:hAnsi="Calibri" w:cs="Times New Roman"/>
              </w:rPr>
              <w:t xml:space="preserve">The proposed water charge rules will </w:t>
            </w:r>
            <w:r w:rsidRPr="004B040A">
              <w:rPr>
                <w:rFonts w:ascii="Calibri" w:hAnsi="Calibri" w:cs="Times New Roman"/>
                <w:b/>
                <w:i/>
              </w:rPr>
              <w:t>improve pricing transparency and customer engagement</w:t>
            </w:r>
            <w:r w:rsidRPr="004B040A">
              <w:rPr>
                <w:rFonts w:ascii="Calibri" w:hAnsi="Calibri" w:cs="Times New Roman"/>
                <w:i/>
              </w:rPr>
              <w:t xml:space="preserve"> </w:t>
            </w:r>
            <w:r w:rsidRPr="004B040A">
              <w:rPr>
                <w:rFonts w:ascii="Calibri" w:hAnsi="Calibri" w:cs="Times New Roman"/>
              </w:rPr>
              <w:t>by:</w:t>
            </w:r>
          </w:p>
          <w:p w:rsidR="009845D5" w:rsidRPr="008116D7" w:rsidRDefault="009845D5" w:rsidP="00035824">
            <w:pPr>
              <w:pStyle w:val="TableBulletLvl1"/>
            </w:pPr>
            <w:r w:rsidRPr="008116D7">
              <w:t xml:space="preserve">harmonising information requirements for infrastructure operators and </w:t>
            </w:r>
            <w:r w:rsidR="004A1D16">
              <w:t xml:space="preserve">other </w:t>
            </w:r>
            <w:r w:rsidRPr="008116D7">
              <w:t xml:space="preserve">entities </w:t>
            </w:r>
            <w:r w:rsidR="004A1D16">
              <w:t xml:space="preserve">in relation to infrastructure charges and </w:t>
            </w:r>
            <w:r w:rsidRPr="008116D7">
              <w:t>planning and management charges.</w:t>
            </w:r>
          </w:p>
          <w:p w:rsidR="009845D5" w:rsidRPr="008116D7" w:rsidRDefault="009845D5" w:rsidP="00035824">
            <w:pPr>
              <w:pStyle w:val="TableBulletLvl1"/>
            </w:pPr>
            <w:r w:rsidRPr="008116D7">
              <w:t>ensuring Schedule of Charge requirements are clear and specific.</w:t>
            </w:r>
          </w:p>
          <w:p w:rsidR="009845D5" w:rsidRPr="008116D7" w:rsidRDefault="009845D5" w:rsidP="00035824">
            <w:pPr>
              <w:pStyle w:val="TableBulletLvl1"/>
            </w:pPr>
            <w:r w:rsidRPr="008116D7">
              <w:t>requiring operators to provide customers with information on:</w:t>
            </w:r>
          </w:p>
          <w:p w:rsidR="009845D5" w:rsidRPr="000C796F" w:rsidRDefault="009845D5" w:rsidP="00035824">
            <w:pPr>
              <w:pStyle w:val="TableBulletLvl2"/>
            </w:pPr>
            <w:r w:rsidRPr="000C796F">
              <w:t>how charges are decided</w:t>
            </w:r>
          </w:p>
          <w:p w:rsidR="009845D5" w:rsidRPr="000C796F" w:rsidRDefault="009845D5" w:rsidP="00035824">
            <w:pPr>
              <w:pStyle w:val="TableBulletLvl2"/>
            </w:pPr>
            <w:r w:rsidRPr="000C796F">
              <w:t>how a customer can be involved in processes for deciding charges</w:t>
            </w:r>
          </w:p>
          <w:p w:rsidR="009845D5" w:rsidRPr="000C796F" w:rsidRDefault="009845D5" w:rsidP="00035824">
            <w:pPr>
              <w:pStyle w:val="TableBulletLvl2"/>
            </w:pPr>
            <w:r w:rsidRPr="000C796F">
              <w:t>how termination fees are calculated</w:t>
            </w:r>
          </w:p>
          <w:p w:rsidR="009845D5" w:rsidRPr="000C796F" w:rsidRDefault="009845D5" w:rsidP="00035824">
            <w:pPr>
              <w:pStyle w:val="TableBulletLvl2"/>
            </w:pPr>
            <w:r w:rsidRPr="000C796F">
              <w:t>how charges incurred by an operator are passed through to customers</w:t>
            </w:r>
          </w:p>
          <w:p w:rsidR="009845D5" w:rsidRPr="000C796F" w:rsidRDefault="009845D5" w:rsidP="00035824">
            <w:pPr>
              <w:pStyle w:val="TableBulletLvl2"/>
            </w:pPr>
            <w:r w:rsidRPr="000C796F">
              <w:t>how a customer can make an enquiry or seek to resolve a dispute about charges</w:t>
            </w:r>
          </w:p>
          <w:p w:rsidR="009845D5" w:rsidRPr="00ED1760" w:rsidRDefault="009845D5" w:rsidP="00035824">
            <w:pPr>
              <w:pStyle w:val="TableBulletLvl1"/>
            </w:pPr>
            <w:r w:rsidRPr="008116D7">
              <w:t>removing the requirement to produce Network Service Plans.</w:t>
            </w:r>
          </w:p>
        </w:tc>
      </w:tr>
    </w:tbl>
    <w:p w:rsidR="009845D5" w:rsidRPr="00ED1760" w:rsidRDefault="009845D5" w:rsidP="009845D5">
      <w:pPr>
        <w:spacing w:before="120" w:after="120"/>
        <w:rPr>
          <w:rFonts w:cs="Times New Roman"/>
        </w:rPr>
      </w:pPr>
      <w:r w:rsidRPr="00ED1760">
        <w:rPr>
          <w:rFonts w:cs="Times New Roman"/>
        </w:rPr>
        <w:t xml:space="preserve">Under the current rules, different types of entities face significantly different requirements about the information they need to provide to customers. For example, </w:t>
      </w:r>
      <w:r w:rsidR="00B1638F">
        <w:rPr>
          <w:rFonts w:cs="Times New Roman"/>
        </w:rPr>
        <w:t>Schedule of Charges</w:t>
      </w:r>
      <w:r w:rsidRPr="00ED1760">
        <w:rPr>
          <w:rFonts w:cs="Times New Roman"/>
        </w:rPr>
        <w:t xml:space="preserve"> requirements for infrastructure operators are phrased in broad and general terms that make it difficult for operators and their customers to have confidence that all the required information has been provided. In contrast, entities such as water authorities </w:t>
      </w:r>
      <w:r w:rsidR="00B94D76">
        <w:rPr>
          <w:rFonts w:cs="Times New Roman"/>
        </w:rPr>
        <w:t xml:space="preserve">that </w:t>
      </w:r>
      <w:r w:rsidRPr="00ED1760">
        <w:rPr>
          <w:rFonts w:cs="Times New Roman"/>
        </w:rPr>
        <w:t xml:space="preserve">determine planning and management charges have specific requirements for providing information about charges they levy. Further, larger member-owned operators and medium-sized non-member-owned operators (known as ‘Part 5 operators’) are required to prepare Network Service Plans (NSPs) and network consultation papers, which are both highly prescriptive and costly to provide. Finally, large non-member-owned operators (‘Part 6 operators’) are required to undertake consultation and provide highly detailed cost and charge information to the regulator in the course of having their charges approved or determined. </w:t>
      </w:r>
    </w:p>
    <w:p w:rsidR="009845D5" w:rsidRPr="00ED1760" w:rsidRDefault="009845D5" w:rsidP="009845D5">
      <w:pPr>
        <w:spacing w:after="120"/>
        <w:rPr>
          <w:rFonts w:cs="Times New Roman"/>
        </w:rPr>
      </w:pPr>
      <w:r w:rsidRPr="00ED1760">
        <w:rPr>
          <w:rFonts w:cs="Times New Roman"/>
        </w:rPr>
        <w:t xml:space="preserve">Despite these varied information requirements, the </w:t>
      </w:r>
      <w:r w:rsidR="00F53927">
        <w:rPr>
          <w:rFonts w:cs="Times New Roman"/>
        </w:rPr>
        <w:t xml:space="preserve">current </w:t>
      </w:r>
      <w:r w:rsidRPr="00ED1760">
        <w:rPr>
          <w:rFonts w:cs="Times New Roman"/>
        </w:rPr>
        <w:t>rules do not clearly require operators to provide information that is important for customer decision-making: in particular, to clearly set out how charges incurred by the operator are ‘passed through’ to customers, or explain termination fee calculations prior to a customer making a decision to terminate their access to an operator’s network. Also, the rules do not require operators to inform customers about how they decide on the infrastructure charges they levy, or how a customer can seek to resolve a dispute about a charge.</w:t>
      </w:r>
    </w:p>
    <w:p w:rsidR="009845D5" w:rsidRPr="00ED1760" w:rsidRDefault="009845D5" w:rsidP="009845D5">
      <w:pPr>
        <w:spacing w:after="120"/>
        <w:rPr>
          <w:rFonts w:cs="Times New Roman"/>
        </w:rPr>
      </w:pPr>
      <w:r w:rsidRPr="00ED1760">
        <w:rPr>
          <w:rFonts w:cs="Times New Roman"/>
        </w:rPr>
        <w:t xml:space="preserve">The ACCC’s advice is that information requirements applying to infrastructure charges and planning and management charges should be harmonised as far as possible, and should make clear </w:t>
      </w:r>
      <w:r w:rsidR="00792D11">
        <w:rPr>
          <w:rFonts w:cs="Times New Roman"/>
        </w:rPr>
        <w:t>the information</w:t>
      </w:r>
      <w:r w:rsidRPr="00ED1760">
        <w:rPr>
          <w:rFonts w:cs="Times New Roman"/>
        </w:rPr>
        <w:t xml:space="preserve"> required. This improved consistency and specificity will make it easier for operators to ensure they have complied, which will reduce the regulatory burden of these requirements. It will also assist customers to better understand their operators’ charging arrangements. </w:t>
      </w:r>
      <w:r w:rsidR="00F53927">
        <w:rPr>
          <w:rFonts w:cs="Times New Roman"/>
        </w:rPr>
        <w:t>The proposed amendments</w:t>
      </w:r>
      <w:r w:rsidR="00F53927" w:rsidRPr="00ED1760">
        <w:rPr>
          <w:rFonts w:cs="Times New Roman"/>
        </w:rPr>
        <w:t xml:space="preserve"> </w:t>
      </w:r>
      <w:r w:rsidRPr="00ED1760">
        <w:rPr>
          <w:rFonts w:cs="Times New Roman"/>
        </w:rPr>
        <w:t>will also better facilitate comparisons across infrastructure operators and assist water users to understand how charges they face might change if their circumstances change (e.g. if they trade, terminate or transform).</w:t>
      </w:r>
    </w:p>
    <w:p w:rsidR="009845D5" w:rsidRPr="00ED1760" w:rsidRDefault="009845D5" w:rsidP="009845D5">
      <w:pPr>
        <w:spacing w:after="120"/>
        <w:rPr>
          <w:rFonts w:cs="Times New Roman"/>
        </w:rPr>
      </w:pPr>
      <w:r w:rsidRPr="00ED1760">
        <w:rPr>
          <w:rFonts w:cs="Times New Roman"/>
        </w:rPr>
        <w:t xml:space="preserve">The ACCC considers that this greater transparency can be provided while ensuring that operators have sufficient flexibility in how they set their charges and charging arrangements, and without imposing a significant regulatory burden on particular infrastructure operators. Therefore, the ACCC’s advice is that Part 5—NSPs—should be repealed (see section 5.5). The ACCC’s assessment is that NSPs </w:t>
      </w:r>
      <w:r w:rsidR="00792D11">
        <w:rPr>
          <w:rFonts w:cs="Times New Roman"/>
        </w:rPr>
        <w:t>a</w:t>
      </w:r>
      <w:r w:rsidR="00792D11" w:rsidRPr="00ED1760">
        <w:rPr>
          <w:rFonts w:cs="Times New Roman"/>
        </w:rPr>
        <w:t xml:space="preserve">re </w:t>
      </w:r>
      <w:r w:rsidRPr="00ED1760">
        <w:rPr>
          <w:rFonts w:cs="Times New Roman"/>
        </w:rPr>
        <w:t>a costly and prescriptive way to facilitate customer awareness of, and participation in, operators’ processes for setting charges. This will result in substantial reductions in regulatory costs for current Part 5 operators.</w:t>
      </w:r>
    </w:p>
    <w:p w:rsidR="009845D5" w:rsidRPr="00ED1760" w:rsidRDefault="009845D5" w:rsidP="009845D5">
      <w:pPr>
        <w:spacing w:after="120"/>
        <w:rPr>
          <w:rFonts w:cs="Times New Roman"/>
        </w:rPr>
      </w:pPr>
      <w:r w:rsidRPr="00ED1760">
        <w:rPr>
          <w:rFonts w:cs="Times New Roman"/>
        </w:rPr>
        <w:t xml:space="preserve">The Final Advice proposes amendments to ensure that </w:t>
      </w:r>
      <w:r w:rsidRPr="00ED1760">
        <w:rPr>
          <w:rFonts w:cs="Times New Roman"/>
          <w:i/>
        </w:rPr>
        <w:t>all</w:t>
      </w:r>
      <w:r w:rsidRPr="00ED1760">
        <w:rPr>
          <w:rFonts w:cs="Times New Roman"/>
        </w:rPr>
        <w:t xml:space="preserve"> customers (not only customers of Part 5 operators) are informed about their operator’s process for determining charges and termination fees, and are aware of the avenues for engaging in these processes (see sections 5.4.1, </w:t>
      </w:r>
      <w:r w:rsidR="00413B3A">
        <w:rPr>
          <w:rFonts w:cs="Times New Roman"/>
        </w:rPr>
        <w:t xml:space="preserve">6.2.1, </w:t>
      </w:r>
      <w:r w:rsidRPr="00ED1760">
        <w:rPr>
          <w:rFonts w:cs="Times New Roman"/>
        </w:rPr>
        <w:t>6.3). This means that the level of transparency for customers (including customers of existing Part 5 operators) will increase, which will help customers to make better decisions regarding the tradeable water rights they hold.</w:t>
      </w:r>
    </w:p>
    <w:p w:rsidR="009845D5" w:rsidRPr="00ED1760" w:rsidRDefault="009845D5" w:rsidP="009845D5">
      <w:pPr>
        <w:spacing w:after="120"/>
        <w:rPr>
          <w:rFonts w:cs="Times New Roman"/>
        </w:rPr>
      </w:pPr>
      <w:r w:rsidRPr="00ED1760">
        <w:rPr>
          <w:rFonts w:cs="Times New Roman"/>
        </w:rPr>
        <w:t>The proposed amendments will also provide greater transparency about ‘pass</w:t>
      </w:r>
      <w:r w:rsidR="00413B3A">
        <w:rPr>
          <w:rFonts w:cs="Times New Roman"/>
        </w:rPr>
        <w:t>-</w:t>
      </w:r>
      <w:r w:rsidRPr="00ED1760">
        <w:rPr>
          <w:rFonts w:cs="Times New Roman"/>
        </w:rPr>
        <w:t xml:space="preserve">through’ of charges incurred by operators and ensure that such costs cannot be passed through in a way that unreasonably inflates termination fees or in a way that could distort irrigator decision-making (see section 5.13). </w:t>
      </w:r>
    </w:p>
    <w:p w:rsidR="009845D5" w:rsidRPr="00ED1760" w:rsidRDefault="009845D5" w:rsidP="009845D5">
      <w:pPr>
        <w:spacing w:after="120"/>
        <w:rPr>
          <w:rFonts w:cs="Times New Roman"/>
        </w:rPr>
      </w:pPr>
      <w:r w:rsidRPr="00ED1760">
        <w:rPr>
          <w:rFonts w:cs="Times New Roman"/>
        </w:rPr>
        <w:t xml:space="preserve">The ACCC considers that these proposed amendments will significantly improve transparency of water charging arrangements and customers’ understanding of charging processes. This will reduce information asymmetries between operators of monopoly infrastructure and their customers, improve customer decision-making and facilitate the efficient functioning of water markets and use of water resources and infrastructure. </w:t>
      </w:r>
    </w:p>
    <w:p w:rsidR="009845D5" w:rsidRPr="00ED1760" w:rsidRDefault="009845D5" w:rsidP="0082647F">
      <w:pPr>
        <w:pStyle w:val="Subheading"/>
      </w:pPr>
      <w:r w:rsidRPr="00ED1760">
        <w:t xml:space="preserve">Ensuring </w:t>
      </w:r>
      <w:r w:rsidR="00792D11">
        <w:t xml:space="preserve">ACCC </w:t>
      </w:r>
      <w:r w:rsidRPr="00ED1760">
        <w:t xml:space="preserve">charge approvals / determinations </w:t>
      </w:r>
      <w:r w:rsidR="00792D11">
        <w:t xml:space="preserve">only </w:t>
      </w:r>
      <w:r w:rsidRPr="00ED1760">
        <w:t>where necessary</w:t>
      </w:r>
    </w:p>
    <w:tbl>
      <w:tblPr>
        <w:tblStyle w:val="TableGrid"/>
        <w:tblW w:w="0" w:type="auto"/>
        <w:tblCellMar>
          <w:top w:w="113" w:type="dxa"/>
          <w:bottom w:w="85" w:type="dxa"/>
        </w:tblCellMar>
        <w:tblLook w:val="04A0" w:firstRow="1" w:lastRow="0" w:firstColumn="1" w:lastColumn="0" w:noHBand="0" w:noVBand="1"/>
      </w:tblPr>
      <w:tblGrid>
        <w:gridCol w:w="9243"/>
      </w:tblGrid>
      <w:tr w:rsidR="009845D5" w:rsidRPr="00ED1760" w:rsidTr="009845D5">
        <w:tc>
          <w:tcPr>
            <w:tcW w:w="9243" w:type="dxa"/>
          </w:tcPr>
          <w:p w:rsidR="009845D5" w:rsidRPr="004B040A" w:rsidRDefault="009845D5" w:rsidP="009845D5">
            <w:pPr>
              <w:rPr>
                <w:rFonts w:ascii="Calibri" w:hAnsi="Calibri" w:cs="Times New Roman"/>
              </w:rPr>
            </w:pPr>
            <w:r w:rsidRPr="004B040A">
              <w:rPr>
                <w:rFonts w:ascii="Calibri" w:hAnsi="Calibri" w:cs="Times New Roman"/>
              </w:rPr>
              <w:t xml:space="preserve">The proposed water charge rules will </w:t>
            </w:r>
            <w:r w:rsidRPr="004B040A">
              <w:rPr>
                <w:rFonts w:ascii="Calibri" w:hAnsi="Calibri" w:cs="Times New Roman"/>
                <w:b/>
                <w:i/>
              </w:rPr>
              <w:t xml:space="preserve">ensure </w:t>
            </w:r>
            <w:r w:rsidR="00792D11" w:rsidRPr="004B040A">
              <w:rPr>
                <w:rFonts w:ascii="Calibri" w:hAnsi="Calibri" w:cs="Times New Roman"/>
                <w:b/>
                <w:i/>
              </w:rPr>
              <w:t xml:space="preserve">ACCC </w:t>
            </w:r>
            <w:r w:rsidRPr="004B040A">
              <w:rPr>
                <w:rFonts w:ascii="Calibri" w:hAnsi="Calibri" w:cs="Times New Roman"/>
                <w:b/>
                <w:i/>
              </w:rPr>
              <w:t xml:space="preserve">charge approvals / determinations </w:t>
            </w:r>
            <w:r w:rsidR="00792D11" w:rsidRPr="004B040A">
              <w:rPr>
                <w:rFonts w:ascii="Calibri" w:hAnsi="Calibri" w:cs="Times New Roman"/>
                <w:b/>
                <w:i/>
              </w:rPr>
              <w:t xml:space="preserve">only </w:t>
            </w:r>
            <w:r w:rsidRPr="004B040A">
              <w:rPr>
                <w:rFonts w:ascii="Calibri" w:hAnsi="Calibri" w:cs="Times New Roman"/>
                <w:b/>
                <w:i/>
              </w:rPr>
              <w:t>where necessary</w:t>
            </w:r>
            <w:r w:rsidRPr="004B040A">
              <w:rPr>
                <w:rFonts w:ascii="Calibri" w:hAnsi="Calibri" w:cs="Times New Roman"/>
                <w:i/>
              </w:rPr>
              <w:t xml:space="preserve"> </w:t>
            </w:r>
            <w:r w:rsidRPr="004B040A">
              <w:rPr>
                <w:rFonts w:ascii="Calibri" w:hAnsi="Calibri" w:cs="Times New Roman"/>
              </w:rPr>
              <w:t>by:</w:t>
            </w:r>
          </w:p>
          <w:p w:rsidR="009845D5" w:rsidRPr="00ED1760" w:rsidRDefault="009845D5" w:rsidP="00035824">
            <w:pPr>
              <w:pStyle w:val="TableBulletLvl1"/>
            </w:pPr>
            <w:r w:rsidRPr="008116D7">
              <w:t>modifying the criteria for Part 6 to</w:t>
            </w:r>
            <w:r w:rsidR="00F53927">
              <w:t xml:space="preserve"> apply only</w:t>
            </w:r>
            <w:r w:rsidRPr="008116D7">
              <w:t>:</w:t>
            </w:r>
          </w:p>
          <w:p w:rsidR="009845D5" w:rsidRPr="000C796F" w:rsidRDefault="009845D5" w:rsidP="00035824">
            <w:pPr>
              <w:pStyle w:val="TableBulletLvl2"/>
            </w:pPr>
            <w:r w:rsidRPr="000C796F">
              <w:t>to operators who provide bulk water services or infrastructure services necessary for State water sharing arrangements (and levy infrastructure charges in relation to these services); and</w:t>
            </w:r>
          </w:p>
          <w:p w:rsidR="009845D5" w:rsidRPr="000C796F" w:rsidRDefault="009845D5" w:rsidP="00035824">
            <w:pPr>
              <w:pStyle w:val="TableBulletLvl2"/>
            </w:pPr>
            <w:r w:rsidRPr="000C796F">
              <w:t>where State law does not provide for the regulation of the operator’s charges in a way that is consistent with the rules.</w:t>
            </w:r>
          </w:p>
          <w:p w:rsidR="009845D5" w:rsidRPr="008116D7" w:rsidRDefault="009845D5" w:rsidP="00035824">
            <w:pPr>
              <w:pStyle w:val="TableBulletLvl1"/>
            </w:pPr>
            <w:r w:rsidRPr="008116D7">
              <w:t>ensuring, via the above modifications to the Part 6 criteria, that the rules are able to regulate inter-jurisdictional infrastructure operators (e.g. the MDBA) if they levy infrastructure charges.</w:t>
            </w:r>
          </w:p>
          <w:p w:rsidR="009845D5" w:rsidRPr="00ED1760" w:rsidRDefault="009845D5" w:rsidP="00035824">
            <w:pPr>
              <w:pStyle w:val="TableBulletLvl1"/>
            </w:pPr>
            <w:r w:rsidRPr="008116D7">
              <w:t>including an exemption process in the rules.</w:t>
            </w:r>
          </w:p>
        </w:tc>
      </w:tr>
    </w:tbl>
    <w:p w:rsidR="009845D5" w:rsidRPr="00ED1760" w:rsidRDefault="009845D5" w:rsidP="009845D5">
      <w:pPr>
        <w:spacing w:before="120" w:after="120"/>
        <w:rPr>
          <w:rFonts w:cs="Times New Roman"/>
        </w:rPr>
      </w:pPr>
      <w:r w:rsidRPr="00ED1760">
        <w:rPr>
          <w:rFonts w:cs="Times New Roman"/>
        </w:rPr>
        <w:t xml:space="preserve">Part 6 of the current WCIR provides for a regulator to approve or determine the infrastructure charges of certain operators. The key function of this kind of regulatory oversight is to ensure, at an aggregate level, that an operator’s charges recover no more than the prudent and efficient costs (where those costs are not met by other sources such as government funding). Whether an operator needs to have its charges set under Part 6 is currently determined by a combination of the operator’s size and </w:t>
      </w:r>
      <w:r>
        <w:rPr>
          <w:rFonts w:cs="Times New Roman"/>
        </w:rPr>
        <w:t xml:space="preserve">ownership </w:t>
      </w:r>
      <w:r w:rsidRPr="00ED1760">
        <w:rPr>
          <w:rFonts w:cs="Times New Roman"/>
        </w:rPr>
        <w:t>characteristics. Given this, the current rules do not provide for regulatory oversight of costs and cost recovery for small</w:t>
      </w:r>
      <w:r>
        <w:rPr>
          <w:rFonts w:cs="Times New Roman"/>
        </w:rPr>
        <w:t xml:space="preserve"> </w:t>
      </w:r>
      <w:r w:rsidRPr="00ED1760">
        <w:rPr>
          <w:rFonts w:cs="Times New Roman"/>
        </w:rPr>
        <w:t xml:space="preserve">to medium sized operators or member-owned operators. This is despite the fact that the degree of monopoly power, and therefore lack of incentives to ensure only prudent and efficient costs are recovered, may be just as great for these </w:t>
      </w:r>
      <w:r>
        <w:rPr>
          <w:rFonts w:cs="Times New Roman"/>
        </w:rPr>
        <w:t xml:space="preserve">operators </w:t>
      </w:r>
      <w:r w:rsidRPr="00ED1760">
        <w:rPr>
          <w:rFonts w:cs="Times New Roman"/>
        </w:rPr>
        <w:t>as for operators who do meet the</w:t>
      </w:r>
      <w:r>
        <w:rPr>
          <w:rFonts w:cs="Times New Roman"/>
        </w:rPr>
        <w:t xml:space="preserve"> current</w:t>
      </w:r>
      <w:r w:rsidRPr="00ED1760">
        <w:rPr>
          <w:rFonts w:cs="Times New Roman"/>
        </w:rPr>
        <w:t xml:space="preserve"> criteria. </w:t>
      </w:r>
    </w:p>
    <w:p w:rsidR="009845D5" w:rsidRPr="00ED1760" w:rsidRDefault="009845D5" w:rsidP="009845D5">
      <w:pPr>
        <w:spacing w:after="120"/>
        <w:rPr>
          <w:rFonts w:cs="Times New Roman"/>
        </w:rPr>
      </w:pPr>
      <w:r w:rsidRPr="00ED1760">
        <w:rPr>
          <w:rFonts w:cs="Times New Roman"/>
        </w:rPr>
        <w:t xml:space="preserve">The ACCC advises that regulatory oversight in the form of charge approvals / determinations should apply where there is the least meaningful competitive pressure. In the ACCC’s view, this occurs where operators provide bulk water services to water access right holders or provide infrastructure services to give effect to water sharing arrangements between Basin States. Therefore, the Final Advice proposes amendments to the criteria for Part 6 to capture these situations. This amended approach will also ensure that there will be regulation over any infrastructure charges levied by an interjurisdictional infrastructure operator (such as the Murray-Darling Basin Authority (MDBA)). This approach will also include the ability for the ACCC to exempt an operator who meets the criteria from the </w:t>
      </w:r>
      <w:r w:rsidR="00F53927">
        <w:rPr>
          <w:rFonts w:cs="Times New Roman"/>
        </w:rPr>
        <w:t xml:space="preserve">full </w:t>
      </w:r>
      <w:r w:rsidRPr="00ED1760">
        <w:rPr>
          <w:rFonts w:cs="Times New Roman"/>
        </w:rPr>
        <w:t>application of Part 6 where the ACCC is satisfied that the application of those requirements would not materially contribute to the achievement of the Basin Water Charging Objectives and Principles (BWCOP).</w:t>
      </w:r>
    </w:p>
    <w:p w:rsidR="009845D5" w:rsidRPr="00ED1760" w:rsidRDefault="009845D5" w:rsidP="009845D5">
      <w:pPr>
        <w:spacing w:after="120"/>
        <w:rPr>
          <w:rFonts w:cs="Times New Roman"/>
        </w:rPr>
      </w:pPr>
      <w:r w:rsidRPr="00ED1760">
        <w:rPr>
          <w:rFonts w:cs="Times New Roman"/>
        </w:rPr>
        <w:t xml:space="preserve">Also, the current rules apply despite the fact that most Basin States already have in place some kind of process for approving or determining the charges of monopoly operators. This means that there is potential for duplication of regulatory regimes, particularly for operators who provide infrastructure services both inside and outside the MDB, or who provide both rural and urban services (as the </w:t>
      </w:r>
      <w:r w:rsidR="004B040A">
        <w:rPr>
          <w:rFonts w:cs="Times New Roman"/>
        </w:rPr>
        <w:t>rules</w:t>
      </w:r>
      <w:r w:rsidR="004B040A" w:rsidRPr="00ED1760">
        <w:rPr>
          <w:rFonts w:cs="Times New Roman"/>
        </w:rPr>
        <w:t xml:space="preserve"> </w:t>
      </w:r>
      <w:r w:rsidRPr="00ED1760">
        <w:rPr>
          <w:rFonts w:cs="Times New Roman"/>
        </w:rPr>
        <w:t>cannot regulate urban water charges).</w:t>
      </w:r>
    </w:p>
    <w:p w:rsidR="009845D5" w:rsidRPr="00ED1760" w:rsidDel="00986E88" w:rsidRDefault="009845D5" w:rsidP="009845D5">
      <w:pPr>
        <w:spacing w:after="120"/>
        <w:rPr>
          <w:rFonts w:cs="Times New Roman"/>
        </w:rPr>
      </w:pPr>
      <w:r w:rsidRPr="00ED1760">
        <w:rPr>
          <w:rFonts w:cs="Times New Roman"/>
        </w:rPr>
        <w:t xml:space="preserve">The Final Advice </w:t>
      </w:r>
      <w:r w:rsidR="0097740A">
        <w:rPr>
          <w:rFonts w:cs="Times New Roman"/>
        </w:rPr>
        <w:t>therefore</w:t>
      </w:r>
      <w:r w:rsidR="0097740A" w:rsidRPr="00ED1760">
        <w:rPr>
          <w:rFonts w:cs="Times New Roman"/>
        </w:rPr>
        <w:t xml:space="preserve"> </w:t>
      </w:r>
      <w:r w:rsidRPr="00ED1760">
        <w:rPr>
          <w:rFonts w:cs="Times New Roman"/>
        </w:rPr>
        <w:t>proposes to move away from charge approvals / determinations under the water charge rules, where this role can and will be effectively performed at the Basin State level. Under this approach the water charge rules will act as a regulatory ‘fall-back’ when a Basin State cannot or will not require the approval / determination of these operators’ charges in a manner that is likely to ensure only prudent and efficient costs are recovered. This approach recognises that the scope of the water charge rules is limited to charging arrangements within the rural MDB, and the role and existing processes that Basin State regulators have in the regulation of infrastructure operators across their jurisdictions (both within and outside the MDB). Thus, th</w:t>
      </w:r>
      <w:r w:rsidR="004B040A">
        <w:rPr>
          <w:rFonts w:cs="Times New Roman"/>
        </w:rPr>
        <w:t>e</w:t>
      </w:r>
      <w:r w:rsidRPr="00ED1760">
        <w:rPr>
          <w:rFonts w:cs="Times New Roman"/>
        </w:rPr>
        <w:t xml:space="preserve"> Final Advice </w:t>
      </w:r>
      <w:r w:rsidR="004B040A">
        <w:rPr>
          <w:rFonts w:cs="Times New Roman"/>
        </w:rPr>
        <w:t xml:space="preserve">seeks to </w:t>
      </w:r>
      <w:r w:rsidRPr="00ED1760">
        <w:rPr>
          <w:rFonts w:cs="Times New Roman"/>
        </w:rPr>
        <w:t xml:space="preserve">remove unnecessary duplication in regulatory effort and the costs associated with having dual processes for approvals / determinations operating within a State, while providing certainty for water users that an appropriate level of scrutiny </w:t>
      </w:r>
      <w:r w:rsidRPr="00ED1760">
        <w:rPr>
          <w:rFonts w:cs="Times New Roman"/>
          <w:i/>
        </w:rPr>
        <w:t xml:space="preserve">will </w:t>
      </w:r>
      <w:r w:rsidRPr="00ED1760">
        <w:rPr>
          <w:rFonts w:cs="Times New Roman"/>
        </w:rPr>
        <w:t>be applied to all operators who</w:t>
      </w:r>
      <w:r>
        <w:rPr>
          <w:rFonts w:cs="Times New Roman"/>
        </w:rPr>
        <w:t xml:space="preserve"> possess</w:t>
      </w:r>
      <w:r w:rsidRPr="00ED1760">
        <w:rPr>
          <w:rFonts w:cs="Times New Roman"/>
        </w:rPr>
        <w:t xml:space="preserve"> the highest degree of monopoly power (s</w:t>
      </w:r>
      <w:r w:rsidRPr="00ED1760" w:rsidDel="00986E88">
        <w:rPr>
          <w:rFonts w:cs="Times New Roman"/>
        </w:rPr>
        <w:t>ee sections 5.6, 5.9 and 5.12</w:t>
      </w:r>
      <w:r w:rsidRPr="00ED1760">
        <w:rPr>
          <w:rFonts w:cs="Times New Roman"/>
        </w:rPr>
        <w:t>)</w:t>
      </w:r>
      <w:r w:rsidRPr="00ED1760" w:rsidDel="00986E88">
        <w:rPr>
          <w:rFonts w:cs="Times New Roman"/>
        </w:rPr>
        <w:t>.</w:t>
      </w:r>
      <w:r w:rsidRPr="00ED1760">
        <w:rPr>
          <w:rFonts w:cs="Times New Roman"/>
        </w:rPr>
        <w:t xml:space="preserve"> </w:t>
      </w:r>
    </w:p>
    <w:p w:rsidR="009845D5" w:rsidRPr="00ED1760" w:rsidRDefault="009845D5" w:rsidP="0082647F">
      <w:pPr>
        <w:pStyle w:val="Subheading"/>
      </w:pPr>
      <w:r w:rsidRPr="00ED1760">
        <w:t xml:space="preserve">Addressing charging arrangements that unreasonably favour some customers over others </w:t>
      </w:r>
    </w:p>
    <w:tbl>
      <w:tblPr>
        <w:tblStyle w:val="TableGrid"/>
        <w:tblW w:w="0" w:type="auto"/>
        <w:tblCellMar>
          <w:top w:w="113" w:type="dxa"/>
          <w:bottom w:w="85" w:type="dxa"/>
        </w:tblCellMar>
        <w:tblLook w:val="04A0" w:firstRow="1" w:lastRow="0" w:firstColumn="1" w:lastColumn="0" w:noHBand="0" w:noVBand="1"/>
      </w:tblPr>
      <w:tblGrid>
        <w:gridCol w:w="9243"/>
      </w:tblGrid>
      <w:tr w:rsidR="009845D5" w:rsidRPr="00ED1760" w:rsidTr="009845D5">
        <w:tc>
          <w:tcPr>
            <w:tcW w:w="9243" w:type="dxa"/>
          </w:tcPr>
          <w:p w:rsidR="009845D5" w:rsidRPr="004B040A" w:rsidRDefault="009845D5" w:rsidP="009845D5">
            <w:pPr>
              <w:rPr>
                <w:rFonts w:ascii="Calibri" w:hAnsi="Calibri" w:cs="Times New Roman"/>
              </w:rPr>
            </w:pPr>
            <w:r w:rsidRPr="004B040A">
              <w:rPr>
                <w:rFonts w:ascii="Calibri" w:hAnsi="Calibri" w:cs="Times New Roman"/>
              </w:rPr>
              <w:t xml:space="preserve">The proposed water charge rules will </w:t>
            </w:r>
            <w:r w:rsidRPr="004B040A">
              <w:rPr>
                <w:rFonts w:ascii="Calibri" w:hAnsi="Calibri" w:cs="Times New Roman"/>
                <w:b/>
                <w:i/>
              </w:rPr>
              <w:t>address charging arrangements that unreasonably favour some customers over</w:t>
            </w:r>
            <w:r w:rsidRPr="004B040A">
              <w:rPr>
                <w:rFonts w:ascii="Calibri" w:hAnsi="Calibri" w:cs="Times New Roman"/>
                <w:i/>
              </w:rPr>
              <w:t xml:space="preserve"> </w:t>
            </w:r>
            <w:r w:rsidRPr="004B040A">
              <w:rPr>
                <w:rFonts w:ascii="Calibri" w:hAnsi="Calibri" w:cs="Times New Roman"/>
                <w:b/>
                <w:i/>
              </w:rPr>
              <w:t>others</w:t>
            </w:r>
            <w:r w:rsidRPr="004B040A">
              <w:rPr>
                <w:rFonts w:ascii="Calibri" w:hAnsi="Calibri" w:cs="Times New Roman"/>
                <w:i/>
              </w:rPr>
              <w:t xml:space="preserve"> </w:t>
            </w:r>
            <w:r w:rsidRPr="004B040A">
              <w:rPr>
                <w:rFonts w:ascii="Calibri" w:hAnsi="Calibri" w:cs="Times New Roman"/>
              </w:rPr>
              <w:t>by:</w:t>
            </w:r>
          </w:p>
          <w:p w:rsidR="009845D5" w:rsidRPr="008116D7" w:rsidRDefault="009845D5" w:rsidP="00035824">
            <w:pPr>
              <w:pStyle w:val="TableBulletLvl1"/>
            </w:pPr>
            <w:r w:rsidRPr="008116D7">
              <w:t>strengthening protections against unreasonable differences in charges between customers</w:t>
            </w:r>
          </w:p>
          <w:p w:rsidR="009845D5" w:rsidRPr="008116D7" w:rsidRDefault="009845D5" w:rsidP="00035824">
            <w:pPr>
              <w:pStyle w:val="TableBulletLvl1"/>
            </w:pPr>
            <w:r w:rsidRPr="008116D7">
              <w:t>preventing unreasonable limitations on infrastructure service availability</w:t>
            </w:r>
          </w:p>
          <w:p w:rsidR="009845D5" w:rsidRPr="008116D7" w:rsidRDefault="009845D5" w:rsidP="00035824">
            <w:pPr>
              <w:pStyle w:val="TableBulletLvl1"/>
            </w:pPr>
            <w:r w:rsidRPr="008116D7">
              <w:t>improving regulation of operator distributions to ensure distributions (including distributions of water) are made in an equitable manner</w:t>
            </w:r>
          </w:p>
          <w:p w:rsidR="009845D5" w:rsidRPr="00ED1760" w:rsidRDefault="009845D5" w:rsidP="00035824">
            <w:pPr>
              <w:pStyle w:val="TableBulletLvl1"/>
            </w:pPr>
            <w:r w:rsidRPr="008116D7">
              <w:t>ensuring that maximum termination fees are set in proportion to a terminating customer’s right of access.</w:t>
            </w:r>
          </w:p>
        </w:tc>
      </w:tr>
    </w:tbl>
    <w:p w:rsidR="009845D5" w:rsidRPr="00ED1760" w:rsidRDefault="009845D5" w:rsidP="009845D5">
      <w:pPr>
        <w:spacing w:before="120" w:after="120"/>
        <w:rPr>
          <w:rFonts w:cs="Times New Roman"/>
        </w:rPr>
      </w:pPr>
      <w:r w:rsidRPr="00ED1760">
        <w:rPr>
          <w:rFonts w:cs="Times New Roman"/>
        </w:rPr>
        <w:t xml:space="preserve">The ACCC has long recognised that most infrastructure operators within the MDB have a degree of monopoly power over their customers. As such, customers are at risk from a variety of charging arrangements that favour some customers, or customer groups, over others. </w:t>
      </w:r>
    </w:p>
    <w:p w:rsidR="009845D5" w:rsidRPr="00ED1760" w:rsidRDefault="009845D5" w:rsidP="009845D5">
      <w:pPr>
        <w:spacing w:after="120"/>
        <w:rPr>
          <w:rFonts w:cs="Times New Roman"/>
        </w:rPr>
      </w:pPr>
      <w:r w:rsidRPr="00ED1760">
        <w:rPr>
          <w:rFonts w:cs="Times New Roman"/>
        </w:rPr>
        <w:t>The existing WCIR contain a non-discrimination rule that requires operators not to differentiate between customers who hold irrigation right and those who do not (unless differences in charges reflect underlying cost differences). This arose in the context of the newly-formed water market rules, which regulate the process by which an irrigator can ‘transform’ their irrigation right and trade outside an operator’s network.</w:t>
      </w:r>
      <w:r w:rsidR="004F6BD0">
        <w:rPr>
          <w:rFonts w:cs="Times New Roman"/>
        </w:rPr>
        <w:t xml:space="preserve"> </w:t>
      </w:r>
      <w:r w:rsidRPr="00ED1760">
        <w:rPr>
          <w:rFonts w:cs="Times New Roman"/>
        </w:rPr>
        <w:t>It was recognised that member-owned operators have incentive to dissuade customers from trading externally, and that therefore there was a risk of transformed customers (and others who do not hold irrigation right) being disadvantaged in operators’ charging arrangements and trading policies. At the time the WCIR were formed, the ACCC considered that this type of discriminatory behaviour posed the greatest risk to customers. As such, the current rules only apply to member-owned operators and only prohibit charge discrimination in relation to whether customers hold irrigation right or not.</w:t>
      </w:r>
    </w:p>
    <w:p w:rsidR="009845D5" w:rsidRPr="00ED1760" w:rsidRDefault="009845D5" w:rsidP="009845D5">
      <w:pPr>
        <w:spacing w:after="120"/>
        <w:rPr>
          <w:rFonts w:cs="Times New Roman"/>
        </w:rPr>
      </w:pPr>
      <w:r w:rsidRPr="00ED1760">
        <w:rPr>
          <w:rFonts w:cs="Times New Roman"/>
        </w:rPr>
        <w:t>In the course of monitoring regulated water charges since the rules were first made the ACCC has found that many operators currently differentiate between customers in various other ways, for example by:</w:t>
      </w:r>
    </w:p>
    <w:p w:rsidR="009845D5" w:rsidRPr="00ED1760" w:rsidRDefault="009845D5" w:rsidP="00A82DE6">
      <w:pPr>
        <w:pStyle w:val="Lvl1Bulletpoint"/>
      </w:pPr>
      <w:r w:rsidRPr="00ED1760">
        <w:t xml:space="preserve">limiting customers’ choice of infrastructure services according to the purpose for which customers use water </w:t>
      </w:r>
    </w:p>
    <w:p w:rsidR="009845D5" w:rsidRPr="00ED1760" w:rsidRDefault="009845D5" w:rsidP="00A82DE6">
      <w:pPr>
        <w:pStyle w:val="Lvl1Bulletpoint"/>
      </w:pPr>
      <w:r w:rsidRPr="00ED1760">
        <w:t xml:space="preserve">applying tiered tariff structures that advantage larger customers </w:t>
      </w:r>
    </w:p>
    <w:p w:rsidR="009845D5" w:rsidRPr="00ED1760" w:rsidRDefault="009845D5" w:rsidP="00A82DE6">
      <w:pPr>
        <w:pStyle w:val="Lvl1Bulletpoint"/>
      </w:pPr>
      <w:r w:rsidRPr="00ED1760">
        <w:t xml:space="preserve">providing targeted discounts without notifying customers generally (despite such notice being currently required by the rules) </w:t>
      </w:r>
    </w:p>
    <w:p w:rsidR="009845D5" w:rsidRPr="00ED1760" w:rsidRDefault="009845D5" w:rsidP="00A82DE6">
      <w:pPr>
        <w:pStyle w:val="Lvl1Bulletpoint"/>
      </w:pPr>
      <w:r w:rsidRPr="00ED1760">
        <w:t>providing customised services to environmental water holders which are not available to all customers.</w:t>
      </w:r>
    </w:p>
    <w:p w:rsidR="009845D5" w:rsidRPr="00ED1760" w:rsidRDefault="009845D5" w:rsidP="009845D5">
      <w:pPr>
        <w:spacing w:after="120"/>
        <w:rPr>
          <w:rFonts w:cs="Times New Roman"/>
        </w:rPr>
      </w:pPr>
      <w:r w:rsidRPr="00ED1760">
        <w:rPr>
          <w:rFonts w:cs="Times New Roman"/>
        </w:rPr>
        <w:t>The ACCC considers it is appropriate for the water charge rules to place limits on how infrastructure operators are able to exercise their market power over irrigators and other customers. However, while the rationale for the existing non-discrimination rule remains valid, the ACCC believes it does not provide sufficient protection for irrigators and other customers. Also, due to the targeted nature of the current rule, it does not provide for the range of charging practices which have and may continue to emerge.</w:t>
      </w:r>
    </w:p>
    <w:p w:rsidR="009845D5" w:rsidRPr="00ED1760" w:rsidRDefault="009845D5" w:rsidP="009845D5">
      <w:pPr>
        <w:spacing w:after="120"/>
        <w:rPr>
          <w:rFonts w:cs="Times New Roman"/>
        </w:rPr>
      </w:pPr>
      <w:r w:rsidRPr="00ED1760">
        <w:rPr>
          <w:rFonts w:cs="Times New Roman"/>
        </w:rPr>
        <w:t xml:space="preserve">The ACCC’s advice is that the rules should not allow charge differences or restrictions on the availability of infrastructure services unless they are reasonable in the circumstances. Therefore, the Final Advice proposes amendments to strengthen the current non-discrimination provisions to better give effect to the general principle that customers should be treated in a non-discriminatory manner. </w:t>
      </w:r>
    </w:p>
    <w:p w:rsidR="009845D5" w:rsidRDefault="009845D5" w:rsidP="009845D5">
      <w:pPr>
        <w:spacing w:after="120"/>
        <w:rPr>
          <w:rFonts w:cs="Times New Roman"/>
        </w:rPr>
      </w:pPr>
      <w:r w:rsidRPr="00ED1760">
        <w:rPr>
          <w:rFonts w:cs="Times New Roman"/>
        </w:rPr>
        <w:t>The ACCC also proposes extending these protections to apply to customers of all infrastructure operators, not only member-owned operators (see section 5.3.1).The ACCC considers that this kind of ‘level playing field’ is consistent with, and will contribute to the achievement of, the Basin Water Charging Objectives and Principles (BWCOP). The ACCC also considers that the need for strengthened non-discrimination rules will only increase in the future as innovative infrastructure services or charging arrangements are introduced and as customer characteristics change over time.</w:t>
      </w:r>
    </w:p>
    <w:p w:rsidR="009845D5" w:rsidRPr="00ED1760" w:rsidRDefault="009845D5" w:rsidP="009845D5">
      <w:pPr>
        <w:spacing w:after="120"/>
        <w:rPr>
          <w:rFonts w:cs="Times New Roman"/>
        </w:rPr>
      </w:pPr>
      <w:r>
        <w:rPr>
          <w:rFonts w:cs="Times New Roman"/>
        </w:rPr>
        <w:t xml:space="preserve">The ACCC considers that, in light of its proposed strengthening of the non-discrimination rules and the introduction of a ‘reasonableness test’, it is appropriate to remove the right of private action from the rules. This change means that the ACCC would be the sole entity who may take action in </w:t>
      </w:r>
      <w:r w:rsidR="004B040A">
        <w:rPr>
          <w:rFonts w:cs="Times New Roman"/>
        </w:rPr>
        <w:t xml:space="preserve">response </w:t>
      </w:r>
      <w:r>
        <w:rPr>
          <w:rFonts w:cs="Times New Roman"/>
        </w:rPr>
        <w:t>to a contravention of the rules. The ACCC considers that this provides a balance of ensuring customers are protected while mitigating risks to operators</w:t>
      </w:r>
    </w:p>
    <w:p w:rsidR="009845D5" w:rsidRPr="00ED1760" w:rsidRDefault="009845D5" w:rsidP="009845D5">
      <w:pPr>
        <w:spacing w:after="120"/>
        <w:rPr>
          <w:rFonts w:cs="Times New Roman"/>
          <w:b/>
        </w:rPr>
      </w:pPr>
      <w:r w:rsidRPr="00ED1760">
        <w:rPr>
          <w:rFonts w:cs="Times New Roman"/>
        </w:rPr>
        <w:t>Amendments are also proposed to improve the operation and effectiveness of the rules relating to distributions and termination fees, which will contribute to ensuring irrigators and other water users are adequately protected against unreasonable charging practices (see sections 5.7 and 6.2</w:t>
      </w:r>
      <w:r w:rsidR="00413B3A">
        <w:rPr>
          <w:rFonts w:cs="Times New Roman"/>
        </w:rPr>
        <w:t>.1</w:t>
      </w:r>
      <w:r w:rsidRPr="00ED1760">
        <w:rPr>
          <w:rFonts w:cs="Times New Roman"/>
        </w:rPr>
        <w:t xml:space="preserve">). Proposed amendments relating to operator distributions will provide for operators to make ‘standard distributions’ which suitably reflect customers’ contributions or share of </w:t>
      </w:r>
      <w:r w:rsidR="004B040A">
        <w:rPr>
          <w:rFonts w:cs="Times New Roman"/>
        </w:rPr>
        <w:t>an</w:t>
      </w:r>
      <w:r w:rsidR="004B040A" w:rsidRPr="00ED1760">
        <w:rPr>
          <w:rFonts w:cs="Times New Roman"/>
        </w:rPr>
        <w:t xml:space="preserve"> </w:t>
      </w:r>
      <w:r w:rsidRPr="00ED1760">
        <w:rPr>
          <w:rFonts w:cs="Times New Roman"/>
        </w:rPr>
        <w:t>operator</w:t>
      </w:r>
      <w:r w:rsidR="004B040A">
        <w:rPr>
          <w:rFonts w:cs="Times New Roman"/>
        </w:rPr>
        <w:t>’</w:t>
      </w:r>
      <w:r w:rsidRPr="00ED1760">
        <w:rPr>
          <w:rFonts w:cs="Times New Roman"/>
        </w:rPr>
        <w:t xml:space="preserve">s network (as applicable), thereby ensuring that distributions cannot be an avenue for inappropriately favouring some customers over others. Proposed amendments to the calculation of the maximum termination fees will address the potential for operators to inflate termination fees for smaller customers through the structure of their tariffs. </w:t>
      </w:r>
    </w:p>
    <w:p w:rsidR="009845D5" w:rsidRPr="00ED1760" w:rsidRDefault="009845D5" w:rsidP="0082647F">
      <w:pPr>
        <w:pStyle w:val="Subheading"/>
      </w:pPr>
      <w:r w:rsidRPr="00ED1760">
        <w:t xml:space="preserve">Facilitating the efficient functioning of water markets </w:t>
      </w:r>
    </w:p>
    <w:tbl>
      <w:tblPr>
        <w:tblStyle w:val="TableGrid"/>
        <w:tblW w:w="0" w:type="auto"/>
        <w:tblCellMar>
          <w:top w:w="113" w:type="dxa"/>
          <w:bottom w:w="85" w:type="dxa"/>
        </w:tblCellMar>
        <w:tblLook w:val="04A0" w:firstRow="1" w:lastRow="0" w:firstColumn="1" w:lastColumn="0" w:noHBand="0" w:noVBand="1"/>
      </w:tblPr>
      <w:tblGrid>
        <w:gridCol w:w="9243"/>
      </w:tblGrid>
      <w:tr w:rsidR="009845D5" w:rsidRPr="00ED1760" w:rsidTr="009845D5">
        <w:tc>
          <w:tcPr>
            <w:tcW w:w="9243" w:type="dxa"/>
          </w:tcPr>
          <w:p w:rsidR="009845D5" w:rsidRPr="004B040A" w:rsidRDefault="009845D5" w:rsidP="009845D5">
            <w:pPr>
              <w:rPr>
                <w:rFonts w:ascii="Calibri" w:hAnsi="Calibri" w:cs="Times New Roman"/>
              </w:rPr>
            </w:pPr>
            <w:r w:rsidRPr="004B040A">
              <w:rPr>
                <w:rFonts w:ascii="Calibri" w:hAnsi="Calibri" w:cs="Times New Roman"/>
              </w:rPr>
              <w:t xml:space="preserve">The proposed water charge rules will </w:t>
            </w:r>
            <w:r w:rsidRPr="004B040A">
              <w:rPr>
                <w:rFonts w:ascii="Calibri" w:hAnsi="Calibri" w:cs="Times New Roman"/>
                <w:b/>
                <w:i/>
              </w:rPr>
              <w:t>facilitate the efficient functioning of water markets</w:t>
            </w:r>
            <w:r w:rsidRPr="004B040A">
              <w:rPr>
                <w:rFonts w:ascii="Calibri" w:hAnsi="Calibri" w:cs="Times New Roman"/>
                <w:i/>
              </w:rPr>
              <w:t xml:space="preserve"> </w:t>
            </w:r>
            <w:r w:rsidRPr="004B040A">
              <w:rPr>
                <w:rFonts w:ascii="Calibri" w:hAnsi="Calibri" w:cs="Times New Roman"/>
              </w:rPr>
              <w:t>by:</w:t>
            </w:r>
          </w:p>
          <w:p w:rsidR="009845D5" w:rsidRPr="008116D7" w:rsidRDefault="009845D5" w:rsidP="00035824">
            <w:pPr>
              <w:pStyle w:val="TableBulletLvl1"/>
            </w:pPr>
            <w:r w:rsidRPr="008116D7">
              <w:t>preventing certain charges being applied to trade.</w:t>
            </w:r>
          </w:p>
          <w:p w:rsidR="009845D5" w:rsidRPr="008116D7" w:rsidRDefault="009845D5" w:rsidP="00035824">
            <w:pPr>
              <w:pStyle w:val="TableBulletLvl1"/>
            </w:pPr>
            <w:r w:rsidRPr="008116D7">
              <w:t>ensuring that operators’ administrative charges levied in relation to trade and termination only reflect the reasonable and efficient transaction costs of</w:t>
            </w:r>
            <w:r w:rsidR="00595835">
              <w:t xml:space="preserve"> trade / termination processing</w:t>
            </w:r>
          </w:p>
          <w:p w:rsidR="009845D5" w:rsidRPr="00ED1760" w:rsidRDefault="009845D5" w:rsidP="00035824">
            <w:pPr>
              <w:pStyle w:val="TableBulletLvl1"/>
            </w:pPr>
            <w:r w:rsidRPr="008116D7">
              <w:t>providing incentives to develop markets for water delivery rights.</w:t>
            </w:r>
            <w:r w:rsidRPr="00ED1760">
              <w:t xml:space="preserve"> </w:t>
            </w:r>
          </w:p>
        </w:tc>
      </w:tr>
    </w:tbl>
    <w:p w:rsidR="009845D5" w:rsidRPr="00ED1760" w:rsidRDefault="009845D5" w:rsidP="009845D5">
      <w:pPr>
        <w:spacing w:before="120" w:after="120"/>
        <w:rPr>
          <w:rFonts w:cs="Times New Roman"/>
        </w:rPr>
      </w:pPr>
      <w:r w:rsidRPr="00ED1760">
        <w:rPr>
          <w:rFonts w:cs="Times New Roman"/>
        </w:rPr>
        <w:t xml:space="preserve">There are important relationships between the level, structure and imposition of regulated water charges, tradeable water rights and water markets more generally. The ACCC considers that it is imperative that the water charge rules properly </w:t>
      </w:r>
      <w:r w:rsidR="002B7198">
        <w:rPr>
          <w:rFonts w:cs="Times New Roman"/>
        </w:rPr>
        <w:t>account for</w:t>
      </w:r>
      <w:r w:rsidR="002B7198" w:rsidRPr="00ED1760">
        <w:rPr>
          <w:rFonts w:cs="Times New Roman"/>
        </w:rPr>
        <w:t xml:space="preserve"> </w:t>
      </w:r>
      <w:r w:rsidRPr="00ED1760">
        <w:rPr>
          <w:rFonts w:cs="Times New Roman"/>
        </w:rPr>
        <w:t>these interactions. However, other than via the limited non-discrimination rule, the current rules do not directly address the effect of charging arrangements on costs and incentives to participate in water markets.</w:t>
      </w:r>
    </w:p>
    <w:p w:rsidR="009845D5" w:rsidRPr="00ED1760" w:rsidRDefault="009845D5" w:rsidP="009845D5">
      <w:pPr>
        <w:spacing w:after="120"/>
        <w:rPr>
          <w:rFonts w:cs="Times New Roman"/>
        </w:rPr>
      </w:pPr>
      <w:r w:rsidRPr="00ED1760">
        <w:rPr>
          <w:rFonts w:cs="Times New Roman"/>
        </w:rPr>
        <w:t>The Final Advice proposes amendments that seek to ensure that infrastructure charges do not distort water markets or act as a barrier to trade by prohibiting the levying of infrastructure c</w:t>
      </w:r>
      <w:r w:rsidR="00413B3A">
        <w:rPr>
          <w:rFonts w:cs="Times New Roman"/>
        </w:rPr>
        <w:t>harges on trade, or as a condition of</w:t>
      </w:r>
      <w:r w:rsidRPr="00ED1760">
        <w:rPr>
          <w:rFonts w:cs="Times New Roman"/>
        </w:rPr>
        <w:t xml:space="preserve"> trade</w:t>
      </w:r>
      <w:r w:rsidR="00413B3A">
        <w:rPr>
          <w:rFonts w:cs="Times New Roman"/>
        </w:rPr>
        <w:t>,</w:t>
      </w:r>
      <w:r w:rsidRPr="00ED1760">
        <w:rPr>
          <w:rFonts w:cs="Times New Roman"/>
        </w:rPr>
        <w:t xml:space="preserve"> in most circumstances (see section 5.3.2). Further, the current requirement (in the water market rules) that administrative charges for processing transformation should reflect the reasonable and efficient costs of processing transformations should also apply (via the water charge rules) to where operators process trades and terminations. The Final Advice also promotes water delivery right trade as an alternative to terminating those rights and paying a termination fee (see section 6.2.2). These amendments will facilitate the efficient functioning of water markets by improving market accessibility (particularly in relation to trade of water delivery rights), reducing ‘transaction costs’ in the form of trade-related charges and ensuring that water market participants are not unfairly disadvantaged in charging arrangements.</w:t>
      </w:r>
    </w:p>
    <w:p w:rsidR="009845D5" w:rsidRPr="00ED1760" w:rsidRDefault="009845D5" w:rsidP="009845D5">
      <w:pPr>
        <w:spacing w:after="120"/>
        <w:rPr>
          <w:rFonts w:cs="Times New Roman"/>
        </w:rPr>
      </w:pPr>
      <w:r w:rsidRPr="00ED1760">
        <w:rPr>
          <w:rFonts w:cs="Times New Roman"/>
        </w:rPr>
        <w:t xml:space="preserve">These recommended improvements are supported by other amendments proposed in the Final Advice. For example, improved pricing transparency will promote more informed and timely water trading decisions (section 5.4), and the enhanced non-discrimination provisions will contribute to removing distortionary charging arrangements that may create artificial barriers or </w:t>
      </w:r>
      <w:r>
        <w:rPr>
          <w:rFonts w:cs="Times New Roman"/>
        </w:rPr>
        <w:t>dis</w:t>
      </w:r>
      <w:r w:rsidRPr="00ED1760">
        <w:rPr>
          <w:rFonts w:cs="Times New Roman"/>
        </w:rPr>
        <w:t xml:space="preserve">incentives for particular customers or groups of customers to participate in water markets (see section 5.3.1). </w:t>
      </w:r>
    </w:p>
    <w:p w:rsidR="009845D5" w:rsidRPr="00ED1760" w:rsidRDefault="009845D5" w:rsidP="0082647F">
      <w:pPr>
        <w:pStyle w:val="Subheading"/>
      </w:pPr>
      <w:r w:rsidRPr="00ED1760">
        <w:t>Improving the interaction of the rules with other relevant legislation</w:t>
      </w:r>
    </w:p>
    <w:tbl>
      <w:tblPr>
        <w:tblStyle w:val="TableGrid"/>
        <w:tblW w:w="0" w:type="auto"/>
        <w:tblCellMar>
          <w:top w:w="113" w:type="dxa"/>
          <w:bottom w:w="85" w:type="dxa"/>
        </w:tblCellMar>
        <w:tblLook w:val="04A0" w:firstRow="1" w:lastRow="0" w:firstColumn="1" w:lastColumn="0" w:noHBand="0" w:noVBand="1"/>
      </w:tblPr>
      <w:tblGrid>
        <w:gridCol w:w="9243"/>
      </w:tblGrid>
      <w:tr w:rsidR="009845D5" w:rsidRPr="00ED1760" w:rsidTr="009845D5">
        <w:tc>
          <w:tcPr>
            <w:tcW w:w="9243" w:type="dxa"/>
          </w:tcPr>
          <w:p w:rsidR="009845D5" w:rsidRPr="002B7198" w:rsidRDefault="009845D5" w:rsidP="009845D5">
            <w:pPr>
              <w:rPr>
                <w:rFonts w:ascii="Calibri" w:hAnsi="Calibri" w:cs="Times New Roman"/>
              </w:rPr>
            </w:pPr>
            <w:r w:rsidRPr="002B7198">
              <w:rPr>
                <w:rFonts w:ascii="Calibri" w:hAnsi="Calibri" w:cs="Times New Roman"/>
              </w:rPr>
              <w:t xml:space="preserve">The proposed water charge rules will </w:t>
            </w:r>
            <w:r w:rsidRPr="002B7198">
              <w:rPr>
                <w:rFonts w:ascii="Calibri" w:hAnsi="Calibri" w:cs="Times New Roman"/>
                <w:b/>
                <w:i/>
              </w:rPr>
              <w:t>improve the interaction of the rules with other relevant legislation</w:t>
            </w:r>
            <w:r w:rsidRPr="002B7198">
              <w:rPr>
                <w:rFonts w:ascii="Calibri" w:hAnsi="Calibri" w:cs="Times New Roman"/>
                <w:i/>
              </w:rPr>
              <w:t xml:space="preserve"> </w:t>
            </w:r>
            <w:r w:rsidRPr="002B7198">
              <w:rPr>
                <w:rFonts w:ascii="Calibri" w:hAnsi="Calibri" w:cs="Times New Roman"/>
              </w:rPr>
              <w:t>by:</w:t>
            </w:r>
          </w:p>
          <w:p w:rsidR="009845D5" w:rsidRPr="008116D7" w:rsidRDefault="009845D5" w:rsidP="00035824">
            <w:pPr>
              <w:pStyle w:val="TableBulletLvl1"/>
            </w:pPr>
            <w:r w:rsidRPr="008116D7">
              <w:t xml:space="preserve">providing a targeted exemption from the </w:t>
            </w:r>
            <w:r w:rsidR="00FD6186">
              <w:t xml:space="preserve">proposed </w:t>
            </w:r>
            <w:r w:rsidRPr="008116D7">
              <w:t xml:space="preserve">non-discrimination </w:t>
            </w:r>
            <w:r w:rsidR="00FD6186">
              <w:t xml:space="preserve">rule </w:t>
            </w:r>
            <w:r w:rsidRPr="008116D7">
              <w:t>for infrastructure charges arising from regimes under Part IIIA of the CCA.</w:t>
            </w:r>
          </w:p>
          <w:p w:rsidR="009845D5" w:rsidRPr="008116D7" w:rsidRDefault="009845D5" w:rsidP="00035824">
            <w:pPr>
              <w:pStyle w:val="TableBulletLvl1"/>
            </w:pPr>
            <w:r w:rsidRPr="008116D7">
              <w:t>repealing rule requirements relating to planning and management activity cost information.</w:t>
            </w:r>
          </w:p>
          <w:p w:rsidR="009845D5" w:rsidRPr="00ED1760" w:rsidRDefault="009845D5" w:rsidP="00035824">
            <w:pPr>
              <w:pStyle w:val="TableBulletLvl1"/>
            </w:pPr>
            <w:r w:rsidRPr="008116D7">
              <w:t>reserving the application of Part 6 as a ‘regulatory fall-back’ for where adequate State processes are not in place.</w:t>
            </w:r>
          </w:p>
        </w:tc>
      </w:tr>
    </w:tbl>
    <w:p w:rsidR="009845D5" w:rsidRPr="00ED1760" w:rsidRDefault="009845D5" w:rsidP="009845D5">
      <w:pPr>
        <w:spacing w:before="120" w:after="120"/>
        <w:rPr>
          <w:rFonts w:cs="Times New Roman"/>
        </w:rPr>
      </w:pPr>
      <w:r w:rsidRPr="00ED1760">
        <w:rPr>
          <w:rFonts w:cs="Times New Roman"/>
        </w:rPr>
        <w:t xml:space="preserve">The water sector is subject to a range of industry-specific as well as general legislative requirements. The ACCC has sought opportunities throughout the review to identify ways to ensure that the water charge rules appropriately interact with other legislative requirements within the water sector. In particular, the Final Advice acknowledges that certain features of regimes under Part IIIA of the </w:t>
      </w:r>
      <w:r w:rsidRPr="00ED1760">
        <w:rPr>
          <w:rFonts w:cs="Times New Roman"/>
          <w:i/>
        </w:rPr>
        <w:t xml:space="preserve">Competition and Consumer Act 2010 </w:t>
      </w:r>
      <w:r w:rsidRPr="00ED1760">
        <w:rPr>
          <w:rFonts w:cs="Times New Roman"/>
        </w:rPr>
        <w:t>(CCA)—which facilitate third-party access to monopoly infrastructure—in combination with the pricing transparency requirements in the water charge rules will ensure that customers generally are protected from unreasonable charging arrangements. The Final Advice therefore proposes a limited exemption from the</w:t>
      </w:r>
      <w:r w:rsidR="00FD6186">
        <w:rPr>
          <w:rFonts w:cs="Times New Roman"/>
        </w:rPr>
        <w:t xml:space="preserve"> proposed</w:t>
      </w:r>
      <w:r w:rsidRPr="00ED1760">
        <w:rPr>
          <w:rFonts w:cs="Times New Roman"/>
        </w:rPr>
        <w:t xml:space="preserve"> non-discrimination </w:t>
      </w:r>
      <w:r w:rsidR="00FD6186">
        <w:rPr>
          <w:rFonts w:cs="Times New Roman"/>
        </w:rPr>
        <w:t xml:space="preserve">rule, </w:t>
      </w:r>
      <w:r w:rsidRPr="00ED1760">
        <w:rPr>
          <w:rFonts w:cs="Times New Roman"/>
        </w:rPr>
        <w:t xml:space="preserve">for access arrangements or regimes pursuant to Part IIIA of the CCA (see section 5.11). </w:t>
      </w:r>
    </w:p>
    <w:p w:rsidR="009845D5" w:rsidRPr="00ED1760" w:rsidRDefault="009845D5" w:rsidP="009845D5">
      <w:pPr>
        <w:spacing w:after="120"/>
        <w:rPr>
          <w:rFonts w:cs="Times New Roman"/>
        </w:rPr>
      </w:pPr>
      <w:r w:rsidRPr="00ED1760">
        <w:rPr>
          <w:rFonts w:cs="Times New Roman"/>
        </w:rPr>
        <w:t>The ACCC supports the principle that planning and management charges should be cost-reflective. However, the ACCC considers that the water charge rules are not the most appropriate instrument for ensuring that Basin State governments achieve their National Water Initiative (NWI) commitment in relation to annual reporting on cost recovery for WPM activities. The Final Advice therefore proposes to simplify the requirements relating to the information that must be published about planning and management charges (see chapter 7).</w:t>
      </w:r>
    </w:p>
    <w:p w:rsidR="009845D5" w:rsidRPr="00ED1760" w:rsidRDefault="009845D5" w:rsidP="009845D5">
      <w:pPr>
        <w:spacing w:after="120"/>
        <w:rPr>
          <w:rFonts w:cs="Times New Roman"/>
        </w:rPr>
      </w:pPr>
      <w:r w:rsidRPr="00ED1760">
        <w:rPr>
          <w:rFonts w:cs="Times New Roman"/>
        </w:rPr>
        <w:t>The ACCC also recognises that Basin States have established regimes and legislation for the approval / determination of certain operator’s infrastructure charges. As described above, the Final Advice proposes that the approval / determination provisions within the water charge rules should be reserved for where such regulation at the Basin State level does not or cannot provide for the necessary level of regulatory oversight (see sections 5.6 and 5.9).</w:t>
      </w:r>
      <w:bookmarkStart w:id="28" w:name="_Toc456022321"/>
      <w:bookmarkStart w:id="29" w:name="_Toc456027266"/>
      <w:r w:rsidRPr="00ED1760">
        <w:rPr>
          <w:rFonts w:cs="Times New Roman"/>
        </w:rPr>
        <w:t xml:space="preserve"> </w:t>
      </w:r>
    </w:p>
    <w:p w:rsidR="009845D5" w:rsidRPr="00ED1760" w:rsidRDefault="009845D5" w:rsidP="009845D5">
      <w:pPr>
        <w:pStyle w:val="Heading2"/>
        <w:numPr>
          <w:ilvl w:val="0"/>
          <w:numId w:val="0"/>
        </w:numPr>
        <w:spacing w:before="240"/>
        <w:rPr>
          <w:sz w:val="22"/>
        </w:rPr>
      </w:pPr>
      <w:bookmarkStart w:id="30" w:name="_Toc456785766"/>
      <w:bookmarkStart w:id="31" w:name="_Toc461630675"/>
      <w:r w:rsidRPr="00ED1760">
        <w:rPr>
          <w:sz w:val="22"/>
        </w:rPr>
        <w:t>Development of the Final Advice</w:t>
      </w:r>
      <w:bookmarkEnd w:id="28"/>
      <w:bookmarkEnd w:id="29"/>
      <w:bookmarkEnd w:id="30"/>
      <w:bookmarkEnd w:id="31"/>
    </w:p>
    <w:p w:rsidR="009845D5" w:rsidRPr="00ED1760" w:rsidRDefault="009845D5" w:rsidP="009845D5">
      <w:pPr>
        <w:spacing w:after="120"/>
        <w:rPr>
          <w:rFonts w:cs="Times New Roman"/>
        </w:rPr>
      </w:pPr>
      <w:r w:rsidRPr="00ED1760">
        <w:rPr>
          <w:rFonts w:cs="Times New Roman"/>
        </w:rPr>
        <w:t xml:space="preserve">The ACCC’s review has been guided by the terms of reference set out in the Minister’s request for advice (the terms of reference are set out at Attachment A). More generally, the ACCC has considered the extent to which proposed rule amendments and recommendations promote the achievement of the BWCOP. </w:t>
      </w:r>
    </w:p>
    <w:p w:rsidR="009845D5" w:rsidRPr="00ED1760" w:rsidRDefault="009845D5" w:rsidP="009845D5">
      <w:pPr>
        <w:spacing w:after="120"/>
        <w:rPr>
          <w:rFonts w:cs="Times New Roman"/>
        </w:rPr>
      </w:pPr>
      <w:r w:rsidRPr="00ED1760">
        <w:rPr>
          <w:rFonts w:cs="Times New Roman"/>
        </w:rPr>
        <w:t xml:space="preserve">The ACCC’s Final Advice reflects the feedback from extensive stakeholder consultation, including written submissions to the ACCC’s Issues Paper and Draft Advice, public forums and targeted stakeholder meetings. Where relevant, the ACCC has also taken into account the views put forward in the 2014 review of the Water Act and drawn from the information gathered through six years of monitoring regulated water charges and compliance with the rules. The feedback and information received has been used to ensure that the ACCC’s advice is robust and appropriately takes into account historical, current and future charging and governance arrangements of operators, as well as other relevant circumstances within the water sector. </w:t>
      </w:r>
    </w:p>
    <w:p w:rsidR="009845D5" w:rsidRPr="00ED1760" w:rsidRDefault="009845D5" w:rsidP="009845D5">
      <w:pPr>
        <w:spacing w:after="120"/>
        <w:rPr>
          <w:rFonts w:cs="Times New Roman"/>
        </w:rPr>
      </w:pPr>
      <w:r w:rsidRPr="00ED1760">
        <w:rPr>
          <w:rFonts w:cs="Times New Roman"/>
        </w:rPr>
        <w:t xml:space="preserve">The ACCC released its Draft Advice for public consultation in November 2015. Stakeholder feedback and the substantial amount of new information received since the Draft Advice have resulted in amendments to the ACCC’s rule advice. This process has helped the ACCC refine its advice and achieve a better balance between improving protections for customers and incentivising charging practices which promote effective water markets, and minimising regulatory costs to operators. </w:t>
      </w:r>
    </w:p>
    <w:p w:rsidR="009845D5" w:rsidRPr="00ED1760" w:rsidRDefault="009845D5" w:rsidP="009845D5">
      <w:pPr>
        <w:spacing w:after="120"/>
        <w:rPr>
          <w:rFonts w:cs="Times New Roman"/>
        </w:rPr>
      </w:pPr>
      <w:r w:rsidRPr="00ED1760">
        <w:rPr>
          <w:rFonts w:cs="Times New Roman"/>
        </w:rPr>
        <w:t>Key positions that have been revised since the Draft Advice to better address stakeholder concerns or in light of new information provided are:</w:t>
      </w:r>
    </w:p>
    <w:p w:rsidR="009845D5" w:rsidRPr="00ED1760" w:rsidRDefault="009845D5" w:rsidP="00A82DE6">
      <w:pPr>
        <w:pStyle w:val="Lvl1Bulletpoint"/>
      </w:pPr>
      <w:r w:rsidRPr="00ED1760">
        <w:t xml:space="preserve">Re-framing of the proposed non-discrimination rule to apply a general ‘reasonableness test’, together with a list of factors to be taken into account when considering what is reasonable. This new approach is similar to the current Basin Plan water trading rules </w:t>
      </w:r>
      <w:r w:rsidR="002B7198">
        <w:t>approach</w:t>
      </w:r>
      <w:r w:rsidR="002B7198" w:rsidRPr="00ED1760">
        <w:t xml:space="preserve"> </w:t>
      </w:r>
      <w:r w:rsidRPr="00ED1760">
        <w:t xml:space="preserve">to </w:t>
      </w:r>
      <w:r w:rsidR="002B7198">
        <w:t xml:space="preserve">the </w:t>
      </w:r>
      <w:r w:rsidRPr="00ED1760">
        <w:t>trade of water delivery rights and takes into account the concerns of stakeholders that the approach proposed in the Draft Advice was too rigid and would prohibit practices or charging arrangements that are not discriminatory</w:t>
      </w:r>
      <w:r w:rsidR="00792D11">
        <w:t xml:space="preserve"> or otherwise </w:t>
      </w:r>
      <w:r w:rsidRPr="00ED1760">
        <w:t>problematic.</w:t>
      </w:r>
    </w:p>
    <w:p w:rsidR="009845D5" w:rsidRPr="00ED1760" w:rsidRDefault="009845D5" w:rsidP="00A82DE6">
      <w:pPr>
        <w:pStyle w:val="Lvl1Bulletpoint"/>
      </w:pPr>
      <w:r w:rsidRPr="00ED1760">
        <w:t xml:space="preserve">Providing for operators to be able to levy infrastructure charges in relation to trade where they provide certain infrastructure services in relation to traded water access rights. This recognises that an operator may incur costs in providing certain services in respect of traded water access rights which they may not adequately </w:t>
      </w:r>
      <w:r>
        <w:t xml:space="preserve">be </w:t>
      </w:r>
      <w:r w:rsidRPr="00ED1760">
        <w:t>able to recover after a trade.</w:t>
      </w:r>
    </w:p>
    <w:p w:rsidR="009845D5" w:rsidRPr="00ED1760" w:rsidRDefault="002B7198" w:rsidP="00A82DE6">
      <w:pPr>
        <w:pStyle w:val="Lvl1Bulletpoint"/>
      </w:pPr>
      <w:r>
        <w:t xml:space="preserve">Revising </w:t>
      </w:r>
      <w:r w:rsidR="009845D5" w:rsidRPr="00ED1760">
        <w:t>Schedule of Charges information requirements to provide clear additional exemptions for certain charge types.</w:t>
      </w:r>
    </w:p>
    <w:p w:rsidR="009845D5" w:rsidRPr="00ED1760" w:rsidRDefault="009845D5" w:rsidP="00A82DE6">
      <w:pPr>
        <w:pStyle w:val="Lvl1Bulletpoint"/>
      </w:pPr>
      <w:r w:rsidRPr="00ED1760">
        <w:t xml:space="preserve">Amending the criteria for Part 6 to make clear that infrastructure operators </w:t>
      </w:r>
      <w:r w:rsidR="002B7198">
        <w:t>that</w:t>
      </w:r>
      <w:r w:rsidR="002B7198" w:rsidRPr="00ED1760">
        <w:t xml:space="preserve"> </w:t>
      </w:r>
      <w:r w:rsidRPr="00ED1760">
        <w:t xml:space="preserve">do not provide bulk water services or infrastructure services needed to give effect to State water sharing arrangements are not captured (e.g. infrastructure operators who </w:t>
      </w:r>
      <w:r>
        <w:t>only</w:t>
      </w:r>
      <w:r w:rsidRPr="00ED1760">
        <w:t xml:space="preserve"> provide off-river infrastructure services would not meet the Part 6 criteria).</w:t>
      </w:r>
    </w:p>
    <w:p w:rsidR="009845D5" w:rsidRPr="00ED1760" w:rsidRDefault="009845D5" w:rsidP="00A82DE6">
      <w:pPr>
        <w:pStyle w:val="Lvl1Bulletpoint"/>
      </w:pPr>
      <w:r w:rsidRPr="00ED1760">
        <w:t>Clarifying the scope of what can be considered a ‘distribution’ and expanding the definition of ‘standard distribution’ to reduce the circumstances where Part 7 may apply.</w:t>
      </w:r>
    </w:p>
    <w:p w:rsidR="009845D5" w:rsidRPr="00ED1760" w:rsidRDefault="009845D5" w:rsidP="00A82DE6">
      <w:pPr>
        <w:pStyle w:val="Lvl1Bulletpoint"/>
      </w:pPr>
      <w:r w:rsidRPr="00ED1760">
        <w:t>Streamlining of the proposed ‘pass-through rules’ to make compliance simpler while maintaining the policy intent of achieving pricing transparency in relation to such charges.</w:t>
      </w:r>
    </w:p>
    <w:p w:rsidR="009845D5" w:rsidRPr="00ED1760" w:rsidRDefault="009845D5" w:rsidP="00A82DE6">
      <w:pPr>
        <w:pStyle w:val="Lvl1Bulletpoint"/>
      </w:pPr>
      <w:r w:rsidRPr="00ED1760">
        <w:t>Removing the proposed link between compliance with the ‘pass-through rules’ and the ability to levy a termination fee using a 10x multiple.</w:t>
      </w:r>
    </w:p>
    <w:p w:rsidR="009845D5" w:rsidRPr="00ED1760" w:rsidRDefault="002B7198" w:rsidP="00A82DE6">
      <w:pPr>
        <w:pStyle w:val="Lvl1Bulletpoint"/>
      </w:pPr>
      <w:r>
        <w:t>Removing</w:t>
      </w:r>
      <w:r w:rsidR="009845D5" w:rsidRPr="00ED1760">
        <w:t xml:space="preserve"> the right of private action—this will ensure that operators will not incur the risks or legal costs of action by private parties (e.g. aggrieved customers) to recover amounts of loss or damage in relation to a contravention of the rules. The ACCC will be the only entity able to take action for a contravention of the rules, and will continue to work closely with stakeholders to develop clear guidance material and ensure a culture of compliance.</w:t>
      </w:r>
    </w:p>
    <w:p w:rsidR="009845D5" w:rsidRPr="00ED1760" w:rsidRDefault="009845D5" w:rsidP="009845D5">
      <w:pPr>
        <w:rPr>
          <w:rFonts w:cs="Times New Roman"/>
        </w:rPr>
      </w:pPr>
      <w:r w:rsidRPr="00ED1760">
        <w:rPr>
          <w:rFonts w:cs="Times New Roman"/>
        </w:rPr>
        <w:t xml:space="preserve">The following section, ‘ACCC rule advice and recommendations’, </w:t>
      </w:r>
      <w:r w:rsidR="002B7198">
        <w:rPr>
          <w:rFonts w:cs="Times New Roman"/>
        </w:rPr>
        <w:t>sets out</w:t>
      </w:r>
      <w:r w:rsidRPr="00ED1760">
        <w:rPr>
          <w:rFonts w:cs="Times New Roman"/>
        </w:rPr>
        <w:t xml:space="preserve"> how the ACCC’s </w:t>
      </w:r>
      <w:r w:rsidR="002B7198">
        <w:rPr>
          <w:rFonts w:cs="Times New Roman"/>
        </w:rPr>
        <w:t>rule advices</w:t>
      </w:r>
      <w:r w:rsidR="002B7198" w:rsidRPr="00ED1760">
        <w:rPr>
          <w:rFonts w:cs="Times New Roman"/>
        </w:rPr>
        <w:t xml:space="preserve"> </w:t>
      </w:r>
      <w:r w:rsidRPr="00ED1760">
        <w:rPr>
          <w:rFonts w:cs="Times New Roman"/>
        </w:rPr>
        <w:t xml:space="preserve">have been revised since the Draft Advice to take account of new information and additional stakeholder views. The revisions listed above are highlighted in blue in the table. </w:t>
      </w:r>
    </w:p>
    <w:p w:rsidR="009845D5" w:rsidRPr="00ED1760" w:rsidRDefault="009845D5" w:rsidP="009845D5">
      <w:pPr>
        <w:spacing w:after="120"/>
        <w:rPr>
          <w:rFonts w:cs="Times New Roman"/>
        </w:rPr>
      </w:pPr>
      <w:r w:rsidRPr="00ED1760">
        <w:rPr>
          <w:rFonts w:cs="Times New Roman"/>
        </w:rPr>
        <w:t>The Final Advice also takes account of a range of concerns expressed by stakeholders during consultation on issues outside the scope of the water charge rules. These include concerns about transparency of water markets, unbundling of water rights, the effect of the Basin Plan and water quality concerns. Where appropriate, the ACCC has made Recommendations (but not rule advice) in relation to these matters (see chapter 8).</w:t>
      </w:r>
    </w:p>
    <w:p w:rsidR="009845D5" w:rsidRDefault="009845D5" w:rsidP="009845D5">
      <w:pPr>
        <w:spacing w:after="120"/>
        <w:rPr>
          <w:rFonts w:cs="Times New Roman"/>
        </w:rPr>
      </w:pPr>
      <w:r w:rsidRPr="00ED1760">
        <w:rPr>
          <w:rFonts w:cs="Times New Roman"/>
        </w:rPr>
        <w:t>The ACCC has also updated its estimates of the change in regulatory burden in light of new information from stakeholders, and to reflect revisions made to the proposed rule amendments (from the Draft Advice to the Final Advice). The ACCC estimates the change in regulatory burden that would result from the adoption of the proposed rule amendments is a net reduction of approximately $</w:t>
      </w:r>
      <w:r w:rsidR="008A5EE5">
        <w:rPr>
          <w:rFonts w:cs="Times New Roman"/>
        </w:rPr>
        <w:t>7</w:t>
      </w:r>
      <w:r w:rsidR="008A5EE5" w:rsidRPr="00ED1760">
        <w:rPr>
          <w:rFonts w:cs="Times New Roman"/>
        </w:rPr>
        <w:t>0 </w:t>
      </w:r>
      <w:r w:rsidRPr="00ED1760">
        <w:rPr>
          <w:rFonts w:cs="Times New Roman"/>
        </w:rPr>
        <w:t>000 per annum. This has been estimated in accordance with process required, and guidelines produced, by the Office of Best Practice Regulation (OBPR) (see chapter 9).</w:t>
      </w:r>
    </w:p>
    <w:p w:rsidR="000D7520" w:rsidRPr="00ED1760" w:rsidRDefault="000D7520" w:rsidP="009845D5">
      <w:pPr>
        <w:spacing w:after="120"/>
        <w:rPr>
          <w:rFonts w:cs="Times New Roman"/>
        </w:rPr>
      </w:pPr>
      <w:r>
        <w:t xml:space="preserve">The </w:t>
      </w:r>
      <w:r w:rsidRPr="00D714FC">
        <w:t xml:space="preserve">ACCC </w:t>
      </w:r>
      <w:r>
        <w:t>is committed to continuing</w:t>
      </w:r>
      <w:r w:rsidRPr="00D714FC">
        <w:t xml:space="preserve"> to work closely with infrastructure operators to assist them in understanding and complying with any new rule</w:t>
      </w:r>
      <w:r>
        <w:t xml:space="preserve"> requirements resulting from this</w:t>
      </w:r>
      <w:r w:rsidRPr="00D714FC">
        <w:t xml:space="preserve"> review</w:t>
      </w:r>
      <w:r>
        <w:t xml:space="preserve">. The ACCC’s approach to compliance and enforcement of the rules </w:t>
      </w:r>
      <w:r w:rsidRPr="00D714FC">
        <w:rPr>
          <w:rFonts w:cs="Times New Roman"/>
        </w:rPr>
        <w:t xml:space="preserve">is designed to educate stakeholders about their rights and obligations under the rules and </w:t>
      </w:r>
      <w:r w:rsidR="00DF6758">
        <w:rPr>
          <w:rFonts w:cs="Times New Roman"/>
        </w:rPr>
        <w:t>avoid unnecessary costs for infrastructure operators</w:t>
      </w:r>
      <w:r w:rsidRPr="00D714FC">
        <w:rPr>
          <w:rFonts w:cs="Times New Roman"/>
        </w:rPr>
        <w:t>.</w:t>
      </w:r>
      <w:r>
        <w:rPr>
          <w:rFonts w:cs="Times New Roman"/>
        </w:rPr>
        <w:t xml:space="preserve"> As in the past, </w:t>
      </w:r>
      <w:r w:rsidRPr="00D714FC">
        <w:rPr>
          <w:rFonts w:cs="Times New Roman"/>
        </w:rPr>
        <w:t xml:space="preserve">the ACCC </w:t>
      </w:r>
      <w:r>
        <w:rPr>
          <w:rFonts w:cs="Times New Roman"/>
        </w:rPr>
        <w:t xml:space="preserve">will </w:t>
      </w:r>
      <w:r w:rsidR="00523799">
        <w:rPr>
          <w:rFonts w:cs="Times New Roman"/>
        </w:rPr>
        <w:t xml:space="preserve">generally </w:t>
      </w:r>
      <w:r>
        <w:rPr>
          <w:rFonts w:cs="Times New Roman"/>
        </w:rPr>
        <w:t xml:space="preserve">seek to resolve instances of potential or actual non-compliance administratively. The ACCC will also work with operators, irrigators and other stakeholders in updating its guidance on the rules, to </w:t>
      </w:r>
      <w:r w:rsidRPr="00D714FC">
        <w:t xml:space="preserve">ensure that future guidance is clear and concise and meets </w:t>
      </w:r>
      <w:r>
        <w:t xml:space="preserve">stakeholders' </w:t>
      </w:r>
      <w:r w:rsidRPr="00D714FC">
        <w:t>needs</w:t>
      </w:r>
      <w:r>
        <w:t>.</w:t>
      </w:r>
    </w:p>
    <w:p w:rsidR="009845D5" w:rsidRDefault="009845D5" w:rsidP="009845D5">
      <w:pPr>
        <w:spacing w:after="120"/>
        <w:rPr>
          <w:rFonts w:cs="Times New Roman"/>
        </w:rPr>
      </w:pPr>
      <w:r w:rsidRPr="00ED1760">
        <w:rPr>
          <w:rFonts w:cs="Times New Roman"/>
        </w:rPr>
        <w:t>The ACCC considers that this review is an important contribution to the regulation of the rural water sector, as it will help ensure that the intent of the rules remain relevant and fit-for-purpose as charging practices and water markets in the MDB continue to evolve.</w:t>
      </w:r>
      <w:r w:rsidRPr="00ED1760">
        <w:rPr>
          <w:rStyle w:val="FootnoteReference"/>
          <w:rFonts w:cs="Times New Roman"/>
        </w:rPr>
        <w:t xml:space="preserve"> </w:t>
      </w:r>
      <w:r w:rsidRPr="00ED1760">
        <w:rPr>
          <w:rFonts w:cs="Times New Roman"/>
        </w:rPr>
        <w:t>It has also provided stakeholders with an opportunity to comment on the efficiency of the rules, both in terms of the extent to which they are achieving the original policy intent and in terms of providing feedback to improve the operation and implementation of the rules. The ACCC thanks all stakeholders who have participated in the review of the water charge rules and the development of its Final Advice.</w:t>
      </w:r>
    </w:p>
    <w:p w:rsidR="009845D5" w:rsidRDefault="009845D5" w:rsidP="009845D5">
      <w:pPr>
        <w:spacing w:after="120"/>
        <w:rPr>
          <w:rFonts w:cs="Times New Roman"/>
        </w:rPr>
        <w:sectPr w:rsidR="009845D5" w:rsidSect="009845D5">
          <w:footerReference w:type="default" r:id="rId13"/>
          <w:pgSz w:w="11907" w:h="16839" w:code="9"/>
          <w:pgMar w:top="1440" w:right="1440" w:bottom="1440" w:left="1440" w:header="708" w:footer="708" w:gutter="0"/>
          <w:pgNumType w:fmt="lowerRoman"/>
          <w:cols w:space="708"/>
          <w:docGrid w:linePitch="360"/>
        </w:sectPr>
      </w:pPr>
    </w:p>
    <w:p w:rsidR="009845D5" w:rsidRDefault="009845D5" w:rsidP="009845D5">
      <w:pPr>
        <w:spacing w:after="120"/>
        <w:rPr>
          <w:rFonts w:cs="Times New Roman"/>
        </w:rPr>
        <w:sectPr w:rsidR="009845D5" w:rsidSect="009845D5">
          <w:type w:val="continuous"/>
          <w:pgSz w:w="11907" w:h="16839" w:code="9"/>
          <w:pgMar w:top="1440" w:right="1440" w:bottom="1440" w:left="1440" w:header="708" w:footer="708" w:gutter="0"/>
          <w:pgNumType w:fmt="lowerRoman"/>
          <w:cols w:space="708"/>
          <w:docGrid w:linePitch="360"/>
        </w:sectPr>
      </w:pPr>
    </w:p>
    <w:p w:rsidR="009845D5" w:rsidRDefault="009845D5" w:rsidP="009845D5">
      <w:pPr>
        <w:pStyle w:val="Heading1"/>
        <w:numPr>
          <w:ilvl w:val="0"/>
          <w:numId w:val="0"/>
        </w:numPr>
        <w:ind w:left="432" w:hanging="432"/>
        <w:rPr>
          <w:color w:val="FF0000"/>
        </w:rPr>
      </w:pPr>
      <w:bookmarkStart w:id="32" w:name="_Toc456022322"/>
      <w:bookmarkStart w:id="33" w:name="_Toc456027267"/>
      <w:bookmarkStart w:id="34" w:name="_Toc456785767"/>
      <w:bookmarkStart w:id="35" w:name="_Toc461630676"/>
      <w:r w:rsidRPr="00D714FC">
        <w:t>ACCC rule advice and recommendations</w:t>
      </w:r>
      <w:bookmarkEnd w:id="32"/>
      <w:bookmarkEnd w:id="33"/>
      <w:bookmarkEnd w:id="34"/>
      <w:bookmarkEnd w:id="35"/>
    </w:p>
    <w:p w:rsidR="009845D5" w:rsidRPr="00270D55" w:rsidRDefault="009845D5" w:rsidP="0018797D">
      <w:pPr>
        <w:spacing w:before="120" w:after="60"/>
      </w:pPr>
      <w:r w:rsidRPr="00F463A3">
        <w:rPr>
          <w:b/>
        </w:rPr>
        <w:t>Substantial changes</w:t>
      </w:r>
      <w:r>
        <w:rPr>
          <w:b/>
        </w:rPr>
        <w:t xml:space="preserve"> </w:t>
      </w:r>
      <w:r w:rsidRPr="00270D55">
        <w:t xml:space="preserve">are highlighted in blue in the table </w:t>
      </w:r>
      <w:r>
        <w:t>below</w:t>
      </w:r>
      <w:r w:rsidRPr="00270D55">
        <w:t xml:space="preserve">. Additional, </w:t>
      </w:r>
      <w:r w:rsidRPr="00F463A3">
        <w:rPr>
          <w:b/>
        </w:rPr>
        <w:t>less substantial changes</w:t>
      </w:r>
      <w:r w:rsidRPr="00270D55">
        <w:t xml:space="preserve"> to the ACCC’s advice appear in green. </w:t>
      </w:r>
      <w:r w:rsidRPr="00F463A3">
        <w:rPr>
          <w:b/>
        </w:rPr>
        <w:t>New rule advices / recommendations</w:t>
      </w:r>
      <w:r w:rsidRPr="00270D55">
        <w:t xml:space="preserve"> are highlighted in purple.</w:t>
      </w:r>
      <w:r>
        <w:t xml:space="preserve"> </w:t>
      </w:r>
    </w:p>
    <w:tbl>
      <w:tblPr>
        <w:tblStyle w:val="TableGrid"/>
        <w:tblW w:w="14425" w:type="dxa"/>
        <w:tblLook w:val="04A0" w:firstRow="1" w:lastRow="0" w:firstColumn="1" w:lastColumn="0" w:noHBand="0" w:noVBand="1"/>
      </w:tblPr>
      <w:tblGrid>
        <w:gridCol w:w="11307"/>
        <w:gridCol w:w="3118"/>
      </w:tblGrid>
      <w:tr w:rsidR="009845D5" w:rsidRPr="00C733B4" w:rsidTr="004820FB">
        <w:trPr>
          <w:trHeight w:val="145"/>
          <w:tblHeader/>
        </w:trPr>
        <w:tc>
          <w:tcPr>
            <w:tcW w:w="11307" w:type="dxa"/>
            <w:shd w:val="clear" w:color="auto" w:fill="D9D9D9" w:themeFill="background1" w:themeFillShade="D9"/>
          </w:tcPr>
          <w:p w:rsidR="009845D5" w:rsidRPr="00C733B4" w:rsidRDefault="00E85C35" w:rsidP="0018797D">
            <w:pPr>
              <w:pStyle w:val="Heading2"/>
              <w:numPr>
                <w:ilvl w:val="0"/>
                <w:numId w:val="0"/>
              </w:numPr>
              <w:spacing w:before="60" w:after="60"/>
              <w:outlineLvl w:val="1"/>
              <w:rPr>
                <w:rStyle w:val="Hyperlink"/>
                <w:rFonts w:asciiTheme="minorHAnsi" w:hAnsiTheme="minorHAnsi"/>
                <w:color w:val="auto"/>
                <w:sz w:val="22"/>
                <w:u w:val="none"/>
              </w:rPr>
            </w:pPr>
            <w:bookmarkStart w:id="36" w:name="_Ref434840359"/>
            <w:bookmarkStart w:id="37" w:name="_Ref434840417"/>
            <w:bookmarkStart w:id="38" w:name="_Ref434840881"/>
            <w:bookmarkStart w:id="39" w:name="_Ref434840982"/>
            <w:bookmarkStart w:id="40" w:name="_Toc436122369"/>
            <w:bookmarkStart w:id="41" w:name="_Toc436122855"/>
            <w:bookmarkStart w:id="42" w:name="_Toc436124210"/>
            <w:bookmarkStart w:id="43" w:name="_Toc456785867"/>
            <w:bookmarkStart w:id="44" w:name="_Ref456942881"/>
            <w:bookmarkStart w:id="45" w:name="_Toc461630677"/>
            <w:bookmarkStart w:id="46" w:name="_Toc456022323"/>
            <w:r w:rsidRPr="00C733B4">
              <w:rPr>
                <w:rFonts w:asciiTheme="minorHAnsi" w:hAnsiTheme="minorHAnsi"/>
                <w:sz w:val="22"/>
              </w:rPr>
              <w:t>Rule advice</w:t>
            </w:r>
            <w:bookmarkEnd w:id="36"/>
            <w:bookmarkEnd w:id="37"/>
            <w:bookmarkEnd w:id="38"/>
            <w:bookmarkEnd w:id="39"/>
            <w:bookmarkEnd w:id="40"/>
            <w:bookmarkEnd w:id="41"/>
            <w:bookmarkEnd w:id="42"/>
            <w:bookmarkEnd w:id="43"/>
            <w:bookmarkEnd w:id="44"/>
            <w:bookmarkEnd w:id="45"/>
          </w:p>
        </w:tc>
        <w:tc>
          <w:tcPr>
            <w:tcW w:w="3118" w:type="dxa"/>
            <w:shd w:val="clear" w:color="auto" w:fill="D9D9D9" w:themeFill="background1" w:themeFillShade="D9"/>
          </w:tcPr>
          <w:p w:rsidR="009845D5" w:rsidRPr="00C733B4" w:rsidRDefault="009845D5" w:rsidP="0018797D">
            <w:pPr>
              <w:pStyle w:val="TOC2"/>
            </w:pPr>
            <w:r w:rsidRPr="00C733B4">
              <w:rPr>
                <w:rStyle w:val="Hyperlink"/>
                <w:color w:val="auto"/>
                <w:sz w:val="22"/>
                <w:u w:val="none"/>
              </w:rPr>
              <w:t>Changes since Draft Advice</w:t>
            </w:r>
          </w:p>
        </w:tc>
      </w:tr>
      <w:tr w:rsidR="009845D5" w:rsidRPr="00C733B4" w:rsidTr="007040B9">
        <w:trPr>
          <w:trHeight w:val="145"/>
        </w:trPr>
        <w:tc>
          <w:tcPr>
            <w:tcW w:w="14425" w:type="dxa"/>
            <w:gridSpan w:val="2"/>
            <w:shd w:val="clear" w:color="auto" w:fill="D9D9D9" w:themeFill="background1" w:themeFillShade="D9"/>
          </w:tcPr>
          <w:p w:rsidR="009845D5" w:rsidRPr="00C733B4" w:rsidRDefault="009845D5" w:rsidP="0018797D">
            <w:pPr>
              <w:spacing w:before="60" w:after="60"/>
              <w:rPr>
                <w:rStyle w:val="Hyperlink"/>
                <w:rFonts w:asciiTheme="minorHAnsi" w:hAnsiTheme="minorHAnsi"/>
                <w:b/>
                <w:color w:val="auto"/>
                <w:szCs w:val="20"/>
                <w:u w:val="none"/>
              </w:rPr>
            </w:pPr>
            <w:r w:rsidRPr="00C733B4">
              <w:rPr>
                <w:rStyle w:val="Hyperlink"/>
                <w:rFonts w:asciiTheme="minorHAnsi" w:hAnsiTheme="minorHAnsi"/>
                <w:b/>
                <w:color w:val="auto"/>
                <w:szCs w:val="20"/>
                <w:u w:val="none"/>
              </w:rPr>
              <w:t>Chapter 4—general matters</w:t>
            </w:r>
          </w:p>
        </w:tc>
      </w:tr>
      <w:tr w:rsidR="009845D5" w:rsidRPr="00C733B4" w:rsidTr="007040B9">
        <w:trPr>
          <w:trHeight w:val="145"/>
        </w:trPr>
        <w:tc>
          <w:tcPr>
            <w:tcW w:w="11307" w:type="dxa"/>
          </w:tcPr>
          <w:p w:rsidR="009845D5" w:rsidRPr="00C733B4" w:rsidRDefault="009845D5" w:rsidP="0018797D">
            <w:pPr>
              <w:pStyle w:val="TOC2"/>
            </w:pPr>
            <w:r w:rsidRPr="00C733B4">
              <w:rPr>
                <w:rStyle w:val="FronttableruleadviceheadingChar"/>
                <w:b/>
              </w:rPr>
              <w:t>Rule advice 4</w:t>
            </w:r>
            <w:r w:rsidRPr="00C733B4">
              <w:rPr>
                <w:rStyle w:val="FronttableruleadviceheadingChar"/>
                <w:b/>
              </w:rPr>
              <w:noBreakHyphen/>
              <w:t>A</w:t>
            </w:r>
            <w:r w:rsidRPr="00C733B4">
              <w:rPr>
                <w:rStyle w:val="Hyperlink"/>
                <w:color w:val="auto"/>
                <w:szCs w:val="20"/>
                <w:u w:val="none"/>
              </w:rPr>
              <w:t xml:space="preserve"> </w:t>
            </w:r>
            <w:r w:rsidRPr="00C733B4">
              <w:rPr>
                <w:rStyle w:val="Hyperlink"/>
                <w:b w:val="0"/>
                <w:color w:val="auto"/>
                <w:szCs w:val="20"/>
                <w:u w:val="none"/>
              </w:rPr>
              <w:t>(section 4.3.1)</w:t>
            </w:r>
          </w:p>
          <w:p w:rsidR="00BD218B" w:rsidRPr="00BD218B" w:rsidRDefault="00002EDE" w:rsidP="00BD218B">
            <w:pPr>
              <w:pStyle w:val="tabletext"/>
              <w:spacing w:after="0"/>
              <w:rPr>
                <w:rFonts w:asciiTheme="minorHAnsi" w:hAnsiTheme="minorHAnsi"/>
              </w:rPr>
            </w:pPr>
            <w:r w:rsidRPr="00C733B4">
              <w:rPr>
                <w:rFonts w:asciiTheme="minorHAnsi" w:hAnsiTheme="minorHAnsi"/>
                <w:noProof/>
              </w:rPr>
              <w:fldChar w:fldCharType="begin"/>
            </w:r>
            <w:r w:rsidRPr="00C733B4">
              <w:rPr>
                <w:rFonts w:asciiTheme="minorHAnsi" w:hAnsiTheme="minorHAnsi"/>
                <w:noProof/>
              </w:rPr>
              <w:instrText xml:space="preserve"> REF  Rule_Advice_4A \h  \* MERGEFORMAT </w:instrText>
            </w:r>
            <w:r w:rsidRPr="00C733B4">
              <w:rPr>
                <w:rFonts w:asciiTheme="minorHAnsi" w:hAnsiTheme="minorHAnsi"/>
                <w:noProof/>
              </w:rPr>
            </w:r>
            <w:r w:rsidRPr="00C733B4">
              <w:rPr>
                <w:rFonts w:asciiTheme="minorHAnsi" w:hAnsiTheme="minorHAnsi"/>
                <w:noProof/>
              </w:rPr>
              <w:fldChar w:fldCharType="separate"/>
            </w:r>
            <w:r w:rsidR="00BD218B" w:rsidRPr="00BD218B">
              <w:rPr>
                <w:rFonts w:asciiTheme="minorHAnsi" w:hAnsiTheme="minorHAnsi"/>
              </w:rPr>
              <w:t>The three sets of water charge rules:</w:t>
            </w:r>
          </w:p>
          <w:p w:rsidR="00BD218B" w:rsidRPr="00BD218B" w:rsidRDefault="00BD218B" w:rsidP="00BD218B">
            <w:pPr>
              <w:pStyle w:val="tabletextindentbullet"/>
              <w:spacing w:after="0"/>
              <w:ind w:left="714" w:hanging="357"/>
              <w:rPr>
                <w:rFonts w:asciiTheme="minorHAnsi" w:hAnsiTheme="minorHAnsi"/>
              </w:rPr>
            </w:pPr>
            <w:r w:rsidRPr="00BD218B">
              <w:rPr>
                <w:rFonts w:asciiTheme="minorHAnsi" w:hAnsiTheme="minorHAnsi"/>
              </w:rPr>
              <w:t>Water Charge (Infrastructure) Rules 2010 (WCIR)</w:t>
            </w:r>
          </w:p>
          <w:p w:rsidR="00BD218B" w:rsidRPr="00BD218B" w:rsidRDefault="00BD218B" w:rsidP="00BD218B">
            <w:pPr>
              <w:pStyle w:val="tabletextindentbullet"/>
              <w:spacing w:after="0"/>
              <w:rPr>
                <w:rFonts w:asciiTheme="minorHAnsi" w:hAnsiTheme="minorHAnsi"/>
              </w:rPr>
            </w:pPr>
            <w:r w:rsidRPr="00BD218B">
              <w:rPr>
                <w:rFonts w:asciiTheme="minorHAnsi" w:hAnsiTheme="minorHAnsi"/>
              </w:rPr>
              <w:t xml:space="preserve">Water Charge (Termination Fees) Rules 2009 (WCTFR) </w:t>
            </w:r>
          </w:p>
          <w:p w:rsidR="00BD218B" w:rsidRPr="00BD218B" w:rsidRDefault="00BD218B" w:rsidP="00BD218B">
            <w:pPr>
              <w:pStyle w:val="tabletextindentbullet"/>
              <w:spacing w:after="0"/>
              <w:rPr>
                <w:rFonts w:asciiTheme="minorHAnsi" w:hAnsiTheme="minorHAnsi"/>
              </w:rPr>
            </w:pPr>
            <w:r w:rsidRPr="00BD218B">
              <w:rPr>
                <w:rFonts w:asciiTheme="minorHAnsi" w:hAnsiTheme="minorHAnsi"/>
              </w:rPr>
              <w:t>Water Charge (Planning and Management Information) Rules 2010 (WCPMIR)</w:t>
            </w:r>
          </w:p>
          <w:p w:rsidR="00BD218B" w:rsidRPr="00BD218B" w:rsidRDefault="00BD218B" w:rsidP="00BD218B">
            <w:pPr>
              <w:pStyle w:val="tabletext"/>
              <w:spacing w:after="0"/>
              <w:rPr>
                <w:rFonts w:asciiTheme="minorHAnsi" w:hAnsiTheme="minorHAnsi"/>
              </w:rPr>
            </w:pPr>
            <w:r w:rsidRPr="00BD218B">
              <w:rPr>
                <w:rFonts w:asciiTheme="minorHAnsi" w:hAnsiTheme="minorHAnsi"/>
              </w:rPr>
              <w:t>should be combined into a single instrument by incorporating the relevant provisions of the WCTFR and WCPMIR into the WCIR and renaming this as the Water Charge Rules. The Water Market Rules 2009 (WMR) should not be combined with the water charge rules.</w:t>
            </w:r>
          </w:p>
          <w:p w:rsidR="009845D5" w:rsidRPr="00C733B4" w:rsidRDefault="00BD218B" w:rsidP="008A39E9">
            <w:pPr>
              <w:pStyle w:val="tabletext"/>
              <w:rPr>
                <w:rFonts w:asciiTheme="minorHAnsi" w:hAnsiTheme="minorHAnsi"/>
                <w:noProof/>
              </w:rPr>
            </w:pPr>
            <w:r w:rsidRPr="00BD218B">
              <w:rPr>
                <w:rFonts w:asciiTheme="minorHAnsi" w:hAnsiTheme="minorHAnsi"/>
              </w:rPr>
              <w:t xml:space="preserve">This rule advice affects all three sets of water charge rules (WCIR, WCTFR and WCPMIR). </w:t>
            </w:r>
            <w:r w:rsidR="00002EDE" w:rsidRPr="00C733B4">
              <w:rPr>
                <w:rFonts w:asciiTheme="minorHAnsi" w:hAnsiTheme="minorHAnsi"/>
                <w:noProof/>
              </w:rPr>
              <w:fldChar w:fldCharType="end"/>
            </w:r>
          </w:p>
        </w:tc>
        <w:tc>
          <w:tcPr>
            <w:tcW w:w="3118" w:type="dxa"/>
            <w:shd w:val="clear" w:color="auto" w:fill="auto"/>
          </w:tcPr>
          <w:p w:rsidR="009845D5" w:rsidRPr="00C733B4" w:rsidRDefault="009845D5"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r w:rsidRPr="00C733B4">
              <w:rPr>
                <w:rStyle w:val="FootnoteReference"/>
                <w:rFonts w:asciiTheme="minorHAnsi" w:hAnsiTheme="minorHAnsi"/>
                <w:b/>
                <w:sz w:val="20"/>
                <w:szCs w:val="20"/>
              </w:rPr>
              <w:footnoteReference w:id="1"/>
            </w:r>
          </w:p>
        </w:tc>
      </w:tr>
      <w:tr w:rsidR="00651ACD" w:rsidRPr="00C733B4" w:rsidTr="007040B9">
        <w:trPr>
          <w:trHeight w:val="145"/>
        </w:trPr>
        <w:tc>
          <w:tcPr>
            <w:tcW w:w="11307" w:type="dxa"/>
          </w:tcPr>
          <w:p w:rsidR="00651ACD" w:rsidRPr="00C733B4" w:rsidRDefault="00651ACD" w:rsidP="008A39E9">
            <w:pPr>
              <w:pStyle w:val="Fronttableruleadviceheading"/>
              <w:spacing w:before="60"/>
            </w:pPr>
            <w:r w:rsidRPr="00C733B4">
              <w:t>Rule advice 4</w:t>
            </w:r>
            <w:r w:rsidRPr="00C733B4">
              <w:noBreakHyphen/>
              <w:t>B</w:t>
            </w:r>
            <w:r w:rsidRPr="00C733B4">
              <w:rPr>
                <w:rStyle w:val="Hyperlink"/>
                <w:color w:val="auto"/>
                <w:u w:val="none"/>
              </w:rPr>
              <w:t xml:space="preserve"> </w:t>
            </w:r>
            <w:r w:rsidRPr="00C733B4">
              <w:rPr>
                <w:rStyle w:val="Hyperlink"/>
                <w:b w:val="0"/>
                <w:color w:val="auto"/>
                <w:u w:val="none"/>
              </w:rPr>
              <w:t>(section 4.3.1)</w:t>
            </w:r>
          </w:p>
          <w:p w:rsidR="00BD218B" w:rsidRPr="00BD218B" w:rsidRDefault="00651ACD" w:rsidP="00BD218B">
            <w:pPr>
              <w:pStyle w:val="TOC3"/>
              <w:rPr>
                <w:rFonts w:asciiTheme="minorHAnsi" w:hAnsiTheme="minorHAnsi"/>
                <w:sz w:val="20"/>
              </w:rPr>
            </w:pPr>
            <w:r w:rsidRPr="00C733B4">
              <w:rPr>
                <w:rFonts w:asciiTheme="minorHAnsi" w:hAnsiTheme="minorHAnsi"/>
                <w:sz w:val="20"/>
              </w:rPr>
              <w:fldChar w:fldCharType="begin"/>
            </w:r>
            <w:r w:rsidRPr="00C733B4">
              <w:rPr>
                <w:rFonts w:asciiTheme="minorHAnsi" w:hAnsiTheme="minorHAnsi"/>
                <w:sz w:val="20"/>
              </w:rPr>
              <w:instrText xml:space="preserve"> REF  Rule_Advice_4B \h  \* MERGEFORMAT </w:instrText>
            </w:r>
            <w:r w:rsidRPr="00C733B4">
              <w:rPr>
                <w:rFonts w:asciiTheme="minorHAnsi" w:hAnsiTheme="minorHAnsi"/>
                <w:sz w:val="20"/>
              </w:rPr>
            </w:r>
            <w:r w:rsidRPr="00C733B4">
              <w:rPr>
                <w:rFonts w:asciiTheme="minorHAnsi" w:hAnsiTheme="minorHAnsi"/>
                <w:sz w:val="20"/>
              </w:rPr>
              <w:fldChar w:fldCharType="separate"/>
            </w:r>
            <w:r w:rsidR="00BD218B" w:rsidRPr="00BD218B">
              <w:rPr>
                <w:rFonts w:asciiTheme="minorHAnsi" w:hAnsiTheme="minorHAnsi"/>
                <w:sz w:val="20"/>
              </w:rPr>
              <w:t xml:space="preserve">The proposed single set of water charge rules should apply to ‘regulated water charges’ as set out in the Act and Regulations, with separate definitions for: </w:t>
            </w:r>
          </w:p>
          <w:p w:rsidR="00BD218B" w:rsidRPr="00BD218B" w:rsidRDefault="00BD218B" w:rsidP="00BD218B">
            <w:pPr>
              <w:pStyle w:val="tabletextindentbullet"/>
              <w:spacing w:after="0"/>
              <w:rPr>
                <w:rFonts w:asciiTheme="minorHAnsi" w:hAnsiTheme="minorHAnsi"/>
              </w:rPr>
            </w:pPr>
            <w:r w:rsidRPr="00BD218B">
              <w:rPr>
                <w:rFonts w:asciiTheme="minorHAnsi" w:hAnsiTheme="minorHAnsi"/>
                <w:i/>
              </w:rPr>
              <w:t>infrastructure charge</w:t>
            </w:r>
            <w:r w:rsidRPr="00BD218B">
              <w:rPr>
                <w:rFonts w:asciiTheme="minorHAnsi" w:hAnsiTheme="minorHAnsi"/>
              </w:rPr>
              <w:t>—corresponding with the definition of ‘regulated charge’ in the WCIR.</w:t>
            </w:r>
          </w:p>
          <w:p w:rsidR="00BD218B" w:rsidRPr="00BD218B" w:rsidRDefault="00BD218B" w:rsidP="00BD218B">
            <w:pPr>
              <w:pStyle w:val="tabletextindentbullet"/>
              <w:spacing w:after="0"/>
              <w:rPr>
                <w:rFonts w:asciiTheme="minorHAnsi" w:hAnsiTheme="minorHAnsi"/>
              </w:rPr>
            </w:pPr>
            <w:r w:rsidRPr="00BD218B">
              <w:rPr>
                <w:rFonts w:asciiTheme="minorHAnsi" w:hAnsiTheme="minorHAnsi"/>
                <w:i/>
              </w:rPr>
              <w:t>planning and management charge</w:t>
            </w:r>
            <w:r w:rsidRPr="00BD218B">
              <w:rPr>
                <w:rFonts w:asciiTheme="minorHAnsi" w:hAnsiTheme="minorHAnsi"/>
              </w:rPr>
              <w:t xml:space="preserve">—corresponding with the definition of ‘regulated charge’ in the WCPMIR, but limited to such charges determined by or on behalf of an agency of the Commonwealth or an agency of a State excluding charges determined by a local government body. </w:t>
            </w:r>
          </w:p>
          <w:p w:rsidR="00BD218B" w:rsidRPr="00BD218B" w:rsidRDefault="00BD218B" w:rsidP="00BD218B">
            <w:pPr>
              <w:pStyle w:val="tabletextindentbullet"/>
              <w:spacing w:after="0"/>
              <w:rPr>
                <w:rFonts w:asciiTheme="minorHAnsi" w:hAnsiTheme="minorHAnsi"/>
              </w:rPr>
            </w:pPr>
            <w:r w:rsidRPr="00BD218B">
              <w:rPr>
                <w:rFonts w:asciiTheme="minorHAnsi" w:hAnsiTheme="minorHAnsi"/>
                <w:i/>
              </w:rPr>
              <w:t>termination fee</w:t>
            </w:r>
            <w:r w:rsidRPr="00BD218B">
              <w:rPr>
                <w:rFonts w:asciiTheme="minorHAnsi" w:hAnsiTheme="minorHAnsi"/>
              </w:rPr>
              <w:t>—corresponding with a charge allowed for under the current WCTFR rule 6 or rule 8 (proposed rule 71).</w:t>
            </w:r>
          </w:p>
          <w:p w:rsidR="00651ACD" w:rsidRPr="00C733B4" w:rsidRDefault="00BD218B" w:rsidP="00035824">
            <w:pPr>
              <w:pStyle w:val="TOC3"/>
              <w:rPr>
                <w:rFonts w:asciiTheme="minorHAnsi" w:hAnsiTheme="minorHAnsi"/>
                <w:noProof/>
                <w:sz w:val="20"/>
              </w:rPr>
            </w:pPr>
            <w:r w:rsidRPr="00BD218B">
              <w:rPr>
                <w:rFonts w:asciiTheme="minorHAnsi" w:hAnsiTheme="minorHAnsi"/>
                <w:sz w:val="20"/>
              </w:rPr>
              <w:t xml:space="preserve">This rule advice is reflected throughout the proposed Water Charge Rules, and terms are defined in Part 1, rule 3. </w:t>
            </w:r>
            <w:r w:rsidR="00651ACD" w:rsidRPr="00C733B4">
              <w:rPr>
                <w:rFonts w:asciiTheme="minorHAnsi" w:hAnsiTheme="minorHAnsi"/>
                <w:sz w:val="20"/>
              </w:rPr>
              <w:fldChar w:fldCharType="end"/>
            </w:r>
            <w:r w:rsidR="00651ACD" w:rsidRPr="00C733B4">
              <w:rPr>
                <w:rFonts w:asciiTheme="minorHAnsi" w:hAnsiTheme="minorHAnsi"/>
                <w:sz w:val="20"/>
              </w:rPr>
              <w:t xml:space="preserve"> </w:t>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9845D5" w:rsidRPr="00C733B4" w:rsidRDefault="009845D5" w:rsidP="0018797D">
            <w:pPr>
              <w:pStyle w:val="TOC2"/>
            </w:pPr>
            <w:r w:rsidRPr="00C733B4">
              <w:t>Rule advice 4</w:t>
            </w:r>
            <w:r w:rsidRPr="00C733B4">
              <w:noBreakHyphen/>
              <w:t>C</w:t>
            </w:r>
            <w:r w:rsidRPr="00C733B4">
              <w:rPr>
                <w:rStyle w:val="Hyperlink"/>
                <w:color w:val="auto"/>
                <w:szCs w:val="20"/>
                <w:u w:val="none"/>
              </w:rPr>
              <w:t xml:space="preserve"> </w:t>
            </w:r>
            <w:r w:rsidRPr="00C733B4">
              <w:rPr>
                <w:rStyle w:val="Hyperlink"/>
                <w:b w:val="0"/>
                <w:color w:val="auto"/>
                <w:szCs w:val="20"/>
                <w:u w:val="none"/>
              </w:rPr>
              <w:t>(section 4.5)</w:t>
            </w:r>
          </w:p>
          <w:p w:rsidR="00BD218B" w:rsidRPr="00BD218B" w:rsidRDefault="00C66A96"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Rule_Advice_4C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private right of action (to recover loss or damage resulting from a breach of the rules) which currently applies to the Water Charge (Infrastructure) Rules 2010 (WCIR) should be removed, and should not apply to the water charge rules more generally.</w:t>
            </w:r>
          </w:p>
          <w:p w:rsidR="009845D5" w:rsidRPr="00C733B4" w:rsidRDefault="00BD218B" w:rsidP="008A39E9">
            <w:pPr>
              <w:pStyle w:val="Heading8"/>
              <w:spacing w:before="60" w:after="0"/>
              <w:outlineLvl w:val="7"/>
              <w:rPr>
                <w:rFonts w:asciiTheme="minorHAnsi" w:hAnsiTheme="minorHAnsi"/>
                <w:noProof/>
                <w:szCs w:val="20"/>
              </w:rPr>
            </w:pPr>
            <w:r w:rsidRPr="00BD218B">
              <w:rPr>
                <w:rFonts w:asciiTheme="minorHAnsi" w:hAnsiTheme="minorHAnsi"/>
                <w:szCs w:val="20"/>
              </w:rPr>
              <w:t xml:space="preserve">This rule advice is implemented by the repeal of rule 57 of the current WCIR. </w:t>
            </w:r>
            <w:r w:rsidR="00C66A96" w:rsidRPr="00C733B4">
              <w:rPr>
                <w:rFonts w:asciiTheme="minorHAnsi" w:hAnsiTheme="minorHAnsi"/>
                <w:szCs w:val="20"/>
              </w:rPr>
              <w:fldChar w:fldCharType="end"/>
            </w:r>
          </w:p>
        </w:tc>
        <w:tc>
          <w:tcPr>
            <w:tcW w:w="3118" w:type="dxa"/>
            <w:shd w:val="clear" w:color="auto" w:fill="B6DDE8" w:themeFill="accent5" w:themeFillTint="66"/>
            <w:vAlign w:val="center"/>
          </w:tcPr>
          <w:p w:rsidR="009845D5" w:rsidRPr="00C733B4" w:rsidRDefault="009845D5" w:rsidP="0018797D">
            <w:pPr>
              <w:spacing w:before="60" w:after="60"/>
              <w:jc w:val="center"/>
              <w:rPr>
                <w:rFonts w:asciiTheme="minorHAnsi" w:hAnsiTheme="minorHAnsi"/>
                <w:b/>
                <w:sz w:val="20"/>
                <w:szCs w:val="20"/>
              </w:rPr>
            </w:pPr>
            <w:r w:rsidRPr="00C733B4">
              <w:rPr>
                <w:rFonts w:asciiTheme="minorHAnsi" w:hAnsiTheme="minorHAnsi"/>
                <w:b/>
                <w:sz w:val="20"/>
                <w:szCs w:val="20"/>
              </w:rPr>
              <w:t>Substantial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Draft Advice recommended </w:t>
            </w:r>
            <w:r w:rsidRPr="00C733B4">
              <w:rPr>
                <w:rFonts w:asciiTheme="minorHAnsi" w:hAnsiTheme="minorHAnsi"/>
                <w:i/>
                <w:sz w:val="20"/>
                <w:szCs w:val="20"/>
              </w:rPr>
              <w:t>extension</w:t>
            </w:r>
            <w:r w:rsidRPr="00C733B4">
              <w:rPr>
                <w:rFonts w:asciiTheme="minorHAnsi" w:hAnsiTheme="minorHAnsi"/>
                <w:sz w:val="20"/>
                <w:szCs w:val="20"/>
              </w:rPr>
              <w:t xml:space="preserve"> of private right of action to all water charge rules. The Final Advice recommends removal of private right of action entirely.</w:t>
            </w:r>
          </w:p>
        </w:tc>
      </w:tr>
      <w:tr w:rsidR="009845D5" w:rsidRPr="00C733B4" w:rsidTr="007040B9">
        <w:trPr>
          <w:trHeight w:val="145"/>
        </w:trPr>
        <w:tc>
          <w:tcPr>
            <w:tcW w:w="14425" w:type="dxa"/>
            <w:gridSpan w:val="2"/>
            <w:shd w:val="clear" w:color="auto" w:fill="D9D9D9" w:themeFill="background1" w:themeFillShade="D9"/>
          </w:tcPr>
          <w:p w:rsidR="009845D5" w:rsidRPr="00C733B4" w:rsidRDefault="009845D5" w:rsidP="0018797D">
            <w:pPr>
              <w:spacing w:before="60" w:after="60"/>
              <w:rPr>
                <w:rFonts w:asciiTheme="minorHAnsi" w:hAnsiTheme="minorHAnsi"/>
                <w:b/>
                <w:sz w:val="20"/>
                <w:szCs w:val="20"/>
              </w:rPr>
            </w:pPr>
            <w:r w:rsidRPr="00C733B4">
              <w:rPr>
                <w:rStyle w:val="Hyperlink"/>
                <w:rFonts w:asciiTheme="minorHAnsi" w:hAnsiTheme="minorHAnsi"/>
                <w:b/>
                <w:color w:val="auto"/>
                <w:szCs w:val="20"/>
                <w:u w:val="none"/>
              </w:rPr>
              <w:t>Chapter 5—Water Charge (Infrastructure) Rules</w:t>
            </w:r>
          </w:p>
        </w:tc>
      </w:tr>
      <w:tr w:rsidR="00651ACD" w:rsidRPr="00C733B4" w:rsidTr="007040B9">
        <w:trPr>
          <w:trHeight w:val="145"/>
        </w:trPr>
        <w:tc>
          <w:tcPr>
            <w:tcW w:w="11307" w:type="dxa"/>
          </w:tcPr>
          <w:p w:rsidR="00651ACD" w:rsidRPr="00C733B4" w:rsidRDefault="00651ACD" w:rsidP="0018797D">
            <w:pPr>
              <w:pStyle w:val="TOC2"/>
            </w:pPr>
            <w:r w:rsidRPr="00C733B4">
              <w:t>Rule advice 5</w:t>
            </w:r>
            <w:r w:rsidRPr="00C733B4">
              <w:noBreakHyphen/>
              <w:t>A</w:t>
            </w:r>
            <w:r w:rsidRPr="00C733B4">
              <w:rPr>
                <w:rStyle w:val="Hyperlink"/>
                <w:color w:val="auto"/>
                <w:szCs w:val="20"/>
                <w:u w:val="none"/>
              </w:rPr>
              <w:t xml:space="preserve"> </w:t>
            </w:r>
            <w:r w:rsidRPr="00C733B4">
              <w:rPr>
                <w:rStyle w:val="Hyperlink"/>
                <w:b w:val="0"/>
                <w:color w:val="auto"/>
                <w:szCs w:val="20"/>
                <w:u w:val="none"/>
              </w:rPr>
              <w:t>(section 5.3.1)</w:t>
            </w:r>
          </w:p>
          <w:p w:rsidR="00BD218B" w:rsidRPr="00BD218B" w:rsidRDefault="00651ACD"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Rule_Advice_5A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 xml:space="preserve">The rules should be amended such that Part 3 applies to all infrastructure operators instead of only to member-owned operators. </w:t>
            </w:r>
          </w:p>
          <w:p w:rsidR="00651ACD"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rule 10 and rule 10A of the proposed Water Charge Rules.</w:t>
            </w:r>
            <w:r w:rsidR="00651ACD" w:rsidRPr="00C733B4">
              <w:rPr>
                <w:rFonts w:asciiTheme="minorHAnsi" w:hAnsiTheme="minorHAnsi"/>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9845D5" w:rsidRPr="00C733B4" w:rsidRDefault="009845D5" w:rsidP="0018797D">
            <w:pPr>
              <w:pStyle w:val="TOC2"/>
            </w:pPr>
            <w:r w:rsidRPr="00C733B4">
              <w:t>Rule advice 5</w:t>
            </w:r>
            <w:r w:rsidRPr="00C733B4">
              <w:noBreakHyphen/>
              <w:t>B (replaces draft rule advice</w:t>
            </w:r>
            <w:r w:rsidR="008973AC" w:rsidRPr="00C733B4">
              <w:t>s</w:t>
            </w:r>
            <w:r w:rsidRPr="00C733B4">
              <w:t xml:space="preserve"> 5-B and 5</w:t>
            </w:r>
            <w:r w:rsidRPr="00C733B4">
              <w:noBreakHyphen/>
              <w:t>C)</w:t>
            </w:r>
            <w:r w:rsidRPr="00C733B4">
              <w:rPr>
                <w:rStyle w:val="Hyperlink"/>
                <w:b w:val="0"/>
                <w:color w:val="auto"/>
                <w:szCs w:val="20"/>
                <w:u w:val="none"/>
              </w:rPr>
              <w:t xml:space="preserve"> (section 5.3.1)</w:t>
            </w:r>
          </w:p>
          <w:p w:rsidR="00BD218B" w:rsidRPr="00BD218B" w:rsidRDefault="00752375" w:rsidP="00BD218B">
            <w:pPr>
              <w:pStyle w:val="TOC3"/>
              <w:rPr>
                <w:rFonts w:asciiTheme="minorHAnsi" w:hAnsiTheme="minorHAnsi"/>
                <w:sz w:val="20"/>
              </w:rPr>
            </w:pPr>
            <w:r w:rsidRPr="00C733B4">
              <w:rPr>
                <w:rFonts w:asciiTheme="minorHAnsi" w:hAnsiTheme="minorHAnsi"/>
                <w:noProof/>
                <w:sz w:val="20"/>
              </w:rPr>
              <w:fldChar w:fldCharType="begin"/>
            </w:r>
            <w:r w:rsidRPr="00C733B4">
              <w:rPr>
                <w:rFonts w:asciiTheme="minorHAnsi" w:hAnsiTheme="minorHAnsi"/>
                <w:noProof/>
                <w:sz w:val="20"/>
              </w:rPr>
              <w:instrText xml:space="preserve"> REF  Rule_Advice_5B \h </w:instrText>
            </w:r>
            <w:r w:rsidR="005861DC" w:rsidRPr="00C733B4">
              <w:rPr>
                <w:rFonts w:asciiTheme="minorHAnsi" w:hAnsiTheme="minorHAnsi"/>
                <w:noProof/>
                <w:sz w:val="20"/>
              </w:rPr>
              <w:instrText xml:space="preserve"> \* MERGEFORMAT </w:instrText>
            </w:r>
            <w:r w:rsidRPr="00C733B4">
              <w:rPr>
                <w:rFonts w:asciiTheme="minorHAnsi" w:hAnsiTheme="minorHAnsi"/>
                <w:noProof/>
                <w:sz w:val="20"/>
              </w:rPr>
            </w:r>
            <w:r w:rsidRPr="00C733B4">
              <w:rPr>
                <w:rFonts w:asciiTheme="minorHAnsi" w:hAnsiTheme="minorHAnsi"/>
                <w:noProof/>
                <w:sz w:val="20"/>
              </w:rPr>
              <w:fldChar w:fldCharType="separate"/>
            </w:r>
            <w:r w:rsidR="00BD218B" w:rsidRPr="00BD218B">
              <w:rPr>
                <w:rFonts w:asciiTheme="minorHAnsi" w:hAnsiTheme="minorHAnsi"/>
                <w:sz w:val="20"/>
              </w:rPr>
              <w:t>The rules should be amended to expand the current limited protections in rule 10 to prohibit infrastructure operators from unreasonably levying different charges (including different rates or discounts) for an infrastructure service or unreasonably restricting the availability of infrastructure services it offers.</w:t>
            </w:r>
          </w:p>
          <w:p w:rsidR="00BD218B" w:rsidRPr="00BD218B" w:rsidRDefault="00BD218B" w:rsidP="00BD218B">
            <w:pPr>
              <w:pStyle w:val="tabletext"/>
              <w:spacing w:before="120" w:after="0"/>
              <w:rPr>
                <w:rFonts w:asciiTheme="minorHAnsi" w:hAnsiTheme="minorHAnsi"/>
                <w:i/>
              </w:rPr>
            </w:pPr>
            <w:r w:rsidRPr="00BD218B">
              <w:rPr>
                <w:rFonts w:asciiTheme="minorHAnsi" w:hAnsiTheme="minorHAnsi"/>
                <w:i/>
              </w:rPr>
              <w:t>Factors to be taken into account</w:t>
            </w:r>
          </w:p>
          <w:p w:rsidR="00BD218B" w:rsidRPr="00BD218B" w:rsidRDefault="00BD218B" w:rsidP="00BD218B">
            <w:pPr>
              <w:pStyle w:val="tabletext"/>
              <w:spacing w:after="0"/>
              <w:rPr>
                <w:rFonts w:asciiTheme="minorHAnsi" w:hAnsiTheme="minorHAnsi"/>
              </w:rPr>
            </w:pPr>
            <w:r w:rsidRPr="00BD218B">
              <w:rPr>
                <w:rFonts w:asciiTheme="minorHAnsi" w:hAnsiTheme="minorHAnsi"/>
              </w:rPr>
              <w:t>This rule should also include a non-exhaustive list of factors to be taken into account when deciding whether a particular difference in charges or restriction on the availability of infrastructure services is reasonable, as follows:</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 xml:space="preserve">The necessary infrastructure required to provide the infrastructure service, including any capacity constraints in general, in applicable areas or at particular times; </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The costs to the infrastructure operator of providing an infrastructure service, including the extent to which differences in charges for the service reflect differences in the estimated costs of providing the service in different circumstances;</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 xml:space="preserve">The extent to which different infrastructure charges are applied based on the ratio of a customer’s actual usage of infrastructure services relative to the customer’s right of access to the operator’s water service infrastructure; </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 xml:space="preserve">Payment of fees or charges of the type described in section 91 of the </w:t>
            </w:r>
            <w:r w:rsidRPr="00BD218B">
              <w:rPr>
                <w:rFonts w:asciiTheme="minorHAnsi" w:hAnsiTheme="minorHAnsi"/>
                <w:i/>
                <w:szCs w:val="20"/>
              </w:rPr>
              <w:t>Water Act 2007</w:t>
            </w:r>
            <w:r w:rsidRPr="00BD218B">
              <w:rPr>
                <w:rFonts w:asciiTheme="minorHAnsi" w:hAnsiTheme="minorHAnsi"/>
                <w:szCs w:val="20"/>
              </w:rPr>
              <w:t xml:space="preserve"> [regulated water charges];</w:t>
            </w:r>
          </w:p>
          <w:p w:rsidR="00BD218B" w:rsidRPr="00BD218B" w:rsidRDefault="00BD218B" w:rsidP="00BD218B">
            <w:pPr>
              <w:pStyle w:val="Heading8"/>
              <w:spacing w:before="60" w:after="0"/>
              <w:ind w:left="709"/>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this replicates Basin Plan water trading rule 12.29(1)(e).</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The extent to which a difference in charges reflects a Community Service Obligation provided by a Basin State;</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Where a discount is provided for an infrastructure service to customers affected by hardship such as a natural disaster (e.g., flood, fire or drought), whether:</w:t>
            </w:r>
          </w:p>
          <w:p w:rsidR="00BD218B" w:rsidRPr="00BD218B" w:rsidRDefault="00BD218B" w:rsidP="00BD218B">
            <w:pPr>
              <w:pStyle w:val="Heading8"/>
              <w:numPr>
                <w:ilvl w:val="0"/>
                <w:numId w:val="90"/>
              </w:numPr>
              <w:spacing w:before="60" w:after="0"/>
              <w:ind w:left="1418"/>
              <w:outlineLvl w:val="7"/>
              <w:rPr>
                <w:rFonts w:asciiTheme="minorHAnsi" w:hAnsiTheme="minorHAnsi"/>
                <w:szCs w:val="20"/>
              </w:rPr>
            </w:pPr>
            <w:r w:rsidRPr="00BD218B">
              <w:rPr>
                <w:rFonts w:asciiTheme="minorHAnsi" w:hAnsiTheme="minorHAnsi"/>
                <w:szCs w:val="20"/>
              </w:rPr>
              <w:t xml:space="preserve">the discount is appropriate in relation to the kind of hardship; </w:t>
            </w:r>
          </w:p>
          <w:p w:rsidR="00BD218B" w:rsidRPr="00BD218B" w:rsidRDefault="00BD218B" w:rsidP="00BD218B">
            <w:pPr>
              <w:pStyle w:val="Heading8"/>
              <w:numPr>
                <w:ilvl w:val="0"/>
                <w:numId w:val="90"/>
              </w:numPr>
              <w:spacing w:before="60" w:after="0"/>
              <w:ind w:left="1418"/>
              <w:outlineLvl w:val="7"/>
              <w:rPr>
                <w:rFonts w:asciiTheme="minorHAnsi" w:hAnsiTheme="minorHAnsi"/>
                <w:szCs w:val="20"/>
              </w:rPr>
            </w:pPr>
            <w:r w:rsidRPr="00BD218B">
              <w:rPr>
                <w:rFonts w:asciiTheme="minorHAnsi" w:hAnsiTheme="minorHAnsi"/>
                <w:szCs w:val="20"/>
              </w:rPr>
              <w:t xml:space="preserve">the discount appropriately reflects the duration and scope of the hardship; </w:t>
            </w:r>
          </w:p>
          <w:p w:rsidR="00BD218B" w:rsidRPr="00BD218B" w:rsidRDefault="00BD218B" w:rsidP="00BD218B">
            <w:pPr>
              <w:pStyle w:val="Heading8"/>
              <w:numPr>
                <w:ilvl w:val="0"/>
                <w:numId w:val="90"/>
              </w:numPr>
              <w:spacing w:before="60" w:after="0"/>
              <w:ind w:left="1418"/>
              <w:outlineLvl w:val="7"/>
              <w:rPr>
                <w:rFonts w:asciiTheme="minorHAnsi" w:hAnsiTheme="minorHAnsi"/>
                <w:szCs w:val="20"/>
              </w:rPr>
            </w:pPr>
            <w:r w:rsidRPr="00BD218B">
              <w:rPr>
                <w:rFonts w:asciiTheme="minorHAnsi" w:hAnsiTheme="minorHAnsi"/>
                <w:szCs w:val="20"/>
              </w:rPr>
              <w:t>the operator specifies reasonable circumstances for the discount, and the discount applies to all customers in those circumstances;</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For an infrastructure operator whose infrastructure charges are approved or determined under Part 6, or are otherwise approved or determined by a Basin State Agency, whether there is an established transition path to a full cost recovery or upper bound pricing charge level for particular customers / classes of customers;</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 xml:space="preserve">The existence of any pre-existing contracts setting out a specific infrastructure charge, the terms on which such contracts can be amended and whether any amendments reduce unreasonable charge differences or limitation of infrastructure services; </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 xml:space="preserve">Whether it is reasonably necessary for a customer to hold a particular type of tradeable water right or separate location-related right, or obtain other infrastructure services, in order to receive an infrastructure service; </w:t>
            </w:r>
          </w:p>
          <w:p w:rsidR="00BD218B" w:rsidRPr="00BD218B" w:rsidRDefault="00BD218B" w:rsidP="00BD218B">
            <w:pPr>
              <w:pStyle w:val="Heading8"/>
              <w:spacing w:before="60" w:after="0"/>
              <w:ind w:left="709"/>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xml:space="preserve"> An example is where a person must have water allocation available (e.g. under an irrigation right or water access right) in order to be able to have water delivered.</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Whether an operator provides water to a customer other than in relation to a volumetric irrigation right or a water access right held by the customer;</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 xml:space="preserve">The extent to which the operator’s charges are necessary to comply with the proposed pass through rules (rule 9A). </w:t>
            </w:r>
          </w:p>
          <w:p w:rsidR="00BD218B" w:rsidRPr="00BD218B" w:rsidRDefault="00BD218B" w:rsidP="00BD218B">
            <w:pPr>
              <w:pStyle w:val="Heading8"/>
              <w:numPr>
                <w:ilvl w:val="0"/>
                <w:numId w:val="89"/>
              </w:numPr>
              <w:spacing w:before="60" w:after="0"/>
              <w:outlineLvl w:val="7"/>
              <w:rPr>
                <w:rFonts w:asciiTheme="minorHAnsi" w:hAnsiTheme="minorHAnsi"/>
                <w:szCs w:val="20"/>
              </w:rPr>
            </w:pPr>
            <w:r w:rsidRPr="00BD218B">
              <w:rPr>
                <w:rFonts w:asciiTheme="minorHAnsi" w:hAnsiTheme="minorHAnsi"/>
                <w:szCs w:val="20"/>
              </w:rPr>
              <w:t>The need to comply with a requirement under a law of a State to limit the availability of a service;</w:t>
            </w:r>
          </w:p>
          <w:p w:rsidR="00BD218B" w:rsidRPr="00BD218B" w:rsidRDefault="00BD218B" w:rsidP="00BD218B">
            <w:pPr>
              <w:pStyle w:val="Heading8"/>
              <w:spacing w:before="60" w:after="0"/>
              <w:ind w:left="709"/>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xml:space="preserve"> An example is where an infrastructure operator is required to limit delivery of water to customers who hold non-volumetric rights (e.g. non-volumetric stock and domestic rights) in order to give effect to state-mandated water restrictions during a period of drought.</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See also rule advice 5-Y.</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This rule should provide that a difference in charges arising from the operator offering a </w:t>
            </w:r>
            <w:r w:rsidRPr="00BD218B">
              <w:rPr>
                <w:rFonts w:asciiTheme="minorHAnsi" w:hAnsiTheme="minorHAnsi"/>
                <w:b/>
                <w:i/>
                <w:szCs w:val="20"/>
              </w:rPr>
              <w:t>prudent discount</w:t>
            </w:r>
            <w:r w:rsidRPr="00BD218B">
              <w:rPr>
                <w:rFonts w:asciiTheme="minorHAnsi" w:hAnsiTheme="minorHAnsi"/>
                <w:szCs w:val="20"/>
              </w:rPr>
              <w:t xml:space="preserve"> is taken to be reasonable.</w:t>
            </w:r>
          </w:p>
          <w:p w:rsidR="00BD218B" w:rsidRPr="00BD218B" w:rsidRDefault="00BD218B" w:rsidP="00BD218B">
            <w:pPr>
              <w:spacing w:before="120"/>
              <w:rPr>
                <w:rFonts w:asciiTheme="minorHAnsi" w:eastAsiaTheme="minorHAnsi" w:hAnsiTheme="minorHAnsi"/>
                <w:i/>
                <w:sz w:val="20"/>
                <w:szCs w:val="20"/>
                <w:lang w:eastAsia="en-US"/>
              </w:rPr>
            </w:pPr>
            <w:r w:rsidRPr="00BD218B">
              <w:rPr>
                <w:rFonts w:asciiTheme="minorHAnsi" w:eastAsiaTheme="minorHAnsi" w:hAnsiTheme="minorHAnsi"/>
                <w:i/>
                <w:sz w:val="20"/>
                <w:szCs w:val="20"/>
                <w:lang w:eastAsia="en-US"/>
              </w:rPr>
              <w:t>Definitions</w:t>
            </w:r>
          </w:p>
          <w:p w:rsidR="00BD218B" w:rsidRPr="00BD218B" w:rsidRDefault="00BD218B" w:rsidP="00BD218B">
            <w:pPr>
              <w:spacing w:before="60"/>
              <w:rPr>
                <w:rFonts w:asciiTheme="minorHAnsi" w:hAnsiTheme="minorHAnsi"/>
                <w:sz w:val="20"/>
                <w:szCs w:val="20"/>
              </w:rPr>
            </w:pPr>
            <w:r w:rsidRPr="00BD218B">
              <w:rPr>
                <w:rFonts w:asciiTheme="minorHAnsi" w:eastAsiaTheme="minorHAnsi" w:hAnsiTheme="minorHAnsi"/>
                <w:sz w:val="20"/>
                <w:szCs w:val="20"/>
                <w:lang w:eastAsia="en-US"/>
              </w:rPr>
              <w:t>For this rule, the</w:t>
            </w:r>
            <w:r w:rsidRPr="00BD218B">
              <w:rPr>
                <w:rFonts w:asciiTheme="minorHAnsi" w:hAnsiTheme="minorHAnsi"/>
                <w:sz w:val="20"/>
                <w:szCs w:val="20"/>
              </w:rPr>
              <w:t xml:space="preserve"> term “prudent discount” should be defined based on the following: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A prudent discount is where an infrastructure operator offers an infrastructure service at a discounted </w:t>
            </w:r>
            <w:r w:rsidRPr="00BD218B">
              <w:rPr>
                <w:rFonts w:asciiTheme="minorHAnsi" w:hAnsiTheme="minorHAnsi"/>
                <w:b/>
                <w:i/>
                <w:szCs w:val="20"/>
              </w:rPr>
              <w:t>rate to</w:t>
            </w:r>
            <w:r w:rsidRPr="00BD218B">
              <w:rPr>
                <w:rFonts w:asciiTheme="minorHAnsi" w:hAnsiTheme="minorHAnsi"/>
                <w:szCs w:val="20"/>
              </w:rPr>
              <w:t xml:space="preserve"> a particular customer or group of customers which can reasonably be expected to result in charges for the infrastructure operator’s other customers being lower than they would otherwise have been. This includes where an operator credibly believes that a customer or group of customers would not obtain infrastructure services at the standard charge for that infrastructure service, but would, with the provision of a discount, obtain infrastructure services and pay charges that would contribute towards the operator’s fixed costs. </w:t>
            </w:r>
          </w:p>
          <w:p w:rsidR="00BD218B" w:rsidRPr="00BD218B" w:rsidRDefault="00BD218B" w:rsidP="00BD218B">
            <w:pPr>
              <w:pStyle w:val="Heading8"/>
              <w:spacing w:before="120" w:after="0"/>
              <w:outlineLvl w:val="7"/>
              <w:rPr>
                <w:rFonts w:asciiTheme="minorHAnsi" w:hAnsiTheme="minorHAnsi"/>
                <w:szCs w:val="20"/>
              </w:rPr>
            </w:pPr>
            <w:r w:rsidRPr="00BD218B">
              <w:rPr>
                <w:rFonts w:asciiTheme="minorHAnsi" w:hAnsiTheme="minorHAnsi"/>
                <w:i/>
                <w:szCs w:val="20"/>
              </w:rPr>
              <w:t>Exemptions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provide a restriction of a kind where an operator limits the availability of an infrastructure service to customers only using water for stock or domestic purposes is taken to be reasonable.</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As per rule advice 5-X, the rules should provide for certain arrangements under Part IIIA of the Competition and Consumer Act 2010 to be permitted despite the non</w:t>
            </w:r>
            <w:r w:rsidRPr="00BD218B">
              <w:rPr>
                <w:rFonts w:asciiTheme="minorHAnsi" w:hAnsiTheme="minorHAnsi"/>
                <w:szCs w:val="20"/>
              </w:rPr>
              <w:noBreakHyphen/>
              <w:t>discrimination requirements in rule 10.</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See also rule</w:t>
            </w:r>
            <w:r w:rsidRPr="00BD218B">
              <w:rPr>
                <w:rFonts w:asciiTheme="minorHAnsi" w:hAnsiTheme="minorHAnsi"/>
                <w:i/>
                <w:szCs w:val="20"/>
              </w:rPr>
              <w:t xml:space="preserve"> advice 5-D, rule advice 5-X.</w:t>
            </w:r>
            <w:r w:rsidRPr="00BD218B">
              <w:rPr>
                <w:rFonts w:asciiTheme="minorHAnsi" w:hAnsiTheme="minorHAnsi"/>
                <w:szCs w:val="20"/>
              </w:rPr>
              <w:t xml:space="preserv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should be a civil penalty provision.</w:t>
            </w:r>
          </w:p>
          <w:p w:rsidR="009845D5" w:rsidRPr="00C733B4" w:rsidRDefault="00BD218B" w:rsidP="00035824">
            <w:pPr>
              <w:pStyle w:val="TOC3"/>
              <w:rPr>
                <w:rFonts w:asciiTheme="minorHAnsi" w:hAnsiTheme="minorHAnsi"/>
                <w:noProof/>
                <w:sz w:val="20"/>
              </w:rPr>
            </w:pPr>
            <w:r w:rsidRPr="00BD218B">
              <w:rPr>
                <w:rFonts w:asciiTheme="minorHAnsi" w:hAnsiTheme="minorHAnsi"/>
                <w:sz w:val="20"/>
              </w:rPr>
              <w:t>This rule advice is implemented in rule 10 of the proposed Water Charge Rules.</w:t>
            </w:r>
            <w:r w:rsidR="00752375" w:rsidRPr="00C733B4">
              <w:rPr>
                <w:rFonts w:asciiTheme="minorHAnsi" w:hAnsiTheme="minorHAnsi"/>
                <w:noProof/>
                <w:sz w:val="20"/>
              </w:rPr>
              <w:fldChar w:fldCharType="end"/>
            </w:r>
          </w:p>
        </w:tc>
        <w:tc>
          <w:tcPr>
            <w:tcW w:w="3118" w:type="dxa"/>
            <w:shd w:val="clear" w:color="auto" w:fill="B6DDE8" w:themeFill="accent5" w:themeFillTint="66"/>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Substantial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The Draft Advice recommended prohibiting all differences in charges or limit</w:t>
            </w:r>
            <w:r w:rsidR="00136F27" w:rsidRPr="00C733B4">
              <w:rPr>
                <w:rFonts w:asciiTheme="minorHAnsi" w:hAnsiTheme="minorHAnsi"/>
                <w:sz w:val="20"/>
                <w:szCs w:val="20"/>
              </w:rPr>
              <w:t>s o</w:t>
            </w:r>
            <w:r w:rsidR="00DF6758" w:rsidRPr="00C733B4">
              <w:rPr>
                <w:rFonts w:asciiTheme="minorHAnsi" w:hAnsiTheme="minorHAnsi"/>
                <w:sz w:val="20"/>
                <w:szCs w:val="20"/>
              </w:rPr>
              <w:t xml:space="preserve">n </w:t>
            </w:r>
            <w:r w:rsidRPr="00C733B4">
              <w:rPr>
                <w:rFonts w:asciiTheme="minorHAnsi" w:hAnsiTheme="minorHAnsi"/>
                <w:sz w:val="20"/>
                <w:szCs w:val="20"/>
              </w:rPr>
              <w:t xml:space="preserve">service availability on </w:t>
            </w:r>
            <w:r w:rsidRPr="00C733B4">
              <w:rPr>
                <w:rFonts w:asciiTheme="minorHAnsi" w:hAnsiTheme="minorHAnsi"/>
                <w:i/>
                <w:sz w:val="20"/>
                <w:szCs w:val="20"/>
              </w:rPr>
              <w:t>five grounds</w:t>
            </w:r>
            <w:r w:rsidRPr="00C733B4">
              <w:rPr>
                <w:rStyle w:val="FootnoteReference"/>
                <w:rFonts w:asciiTheme="minorHAnsi" w:hAnsiTheme="minorHAnsi"/>
                <w:i/>
                <w:sz w:val="20"/>
                <w:szCs w:val="20"/>
              </w:rPr>
              <w:footnoteReference w:id="2"/>
            </w:r>
            <w:r w:rsidRPr="00C733B4">
              <w:rPr>
                <w:rFonts w:asciiTheme="minorHAnsi" w:hAnsiTheme="minorHAnsi"/>
                <w:sz w:val="20"/>
                <w:szCs w:val="20"/>
              </w:rPr>
              <w:t>, except where differences in charges reflected differences in costs, or where one of t</w:t>
            </w:r>
            <w:r w:rsidR="00E9207B" w:rsidRPr="00C733B4">
              <w:rPr>
                <w:rFonts w:asciiTheme="minorHAnsi" w:hAnsiTheme="minorHAnsi"/>
                <w:sz w:val="20"/>
                <w:szCs w:val="20"/>
              </w:rPr>
              <w:t>he targeted exemptions applied.</w:t>
            </w:r>
          </w:p>
          <w:p w:rsidR="003F751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w:t>
            </w:r>
            <w:r w:rsidR="003F7515" w:rsidRPr="00C733B4">
              <w:rPr>
                <w:rFonts w:asciiTheme="minorHAnsi" w:hAnsiTheme="minorHAnsi"/>
                <w:sz w:val="20"/>
                <w:szCs w:val="20"/>
              </w:rPr>
              <w:t xml:space="preserve">proposes instead requiring that any </w:t>
            </w:r>
            <w:r w:rsidRPr="00C733B4">
              <w:rPr>
                <w:rFonts w:asciiTheme="minorHAnsi" w:hAnsiTheme="minorHAnsi"/>
                <w:sz w:val="20"/>
                <w:szCs w:val="20"/>
              </w:rPr>
              <w:t xml:space="preserve">differences in charges / </w:t>
            </w:r>
            <w:r w:rsidR="00390F5F" w:rsidRPr="00C733B4">
              <w:rPr>
                <w:rFonts w:asciiTheme="minorHAnsi" w:hAnsiTheme="minorHAnsi"/>
                <w:sz w:val="20"/>
                <w:szCs w:val="20"/>
              </w:rPr>
              <w:t xml:space="preserve">restrictions </w:t>
            </w:r>
            <w:r w:rsidRPr="00C733B4">
              <w:rPr>
                <w:rFonts w:asciiTheme="minorHAnsi" w:hAnsiTheme="minorHAnsi"/>
                <w:sz w:val="20"/>
                <w:szCs w:val="20"/>
              </w:rPr>
              <w:t>on service availability</w:t>
            </w:r>
            <w:r w:rsidR="003F7515" w:rsidRPr="00C733B4">
              <w:rPr>
                <w:rFonts w:asciiTheme="minorHAnsi" w:hAnsiTheme="minorHAnsi"/>
                <w:sz w:val="20"/>
                <w:szCs w:val="20"/>
              </w:rPr>
              <w:t xml:space="preserve"> must be </w:t>
            </w:r>
            <w:r w:rsidR="003F7515" w:rsidRPr="00C733B4">
              <w:rPr>
                <w:rFonts w:asciiTheme="minorHAnsi" w:hAnsiTheme="minorHAnsi"/>
                <w:b/>
                <w:i/>
                <w:sz w:val="20"/>
                <w:szCs w:val="20"/>
              </w:rPr>
              <w:t>reasonable</w:t>
            </w:r>
            <w:r w:rsidRPr="00C733B4">
              <w:rPr>
                <w:rFonts w:asciiTheme="minorHAnsi" w:hAnsiTheme="minorHAnsi"/>
                <w:sz w:val="20"/>
                <w:szCs w:val="20"/>
              </w:rPr>
              <w:t xml:space="preserve">, and provides a list of factors that should be taken into account when determining what is ‘reasonable’. </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Further, ‘prudent discounts’ and limiting availability of a service to be available only to customers using water for stock or domestic purposes </w:t>
            </w:r>
            <w:r w:rsidR="00390F5F" w:rsidRPr="00C733B4">
              <w:rPr>
                <w:rFonts w:asciiTheme="minorHAnsi" w:hAnsiTheme="minorHAnsi"/>
                <w:sz w:val="20"/>
                <w:szCs w:val="20"/>
              </w:rPr>
              <w:t xml:space="preserve">are </w:t>
            </w:r>
            <w:r w:rsidRPr="00C733B4">
              <w:rPr>
                <w:rFonts w:asciiTheme="minorHAnsi" w:hAnsiTheme="minorHAnsi"/>
                <w:sz w:val="20"/>
                <w:szCs w:val="20"/>
              </w:rPr>
              <w:t>deemed to be ‘reasonable’.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Exemption for charges arising under Part IIIA arrangements (proposed in the Draft Advice) has been maintained.</w:t>
            </w:r>
          </w:p>
        </w:tc>
      </w:tr>
      <w:tr w:rsidR="009845D5" w:rsidRPr="00C733B4" w:rsidTr="007040B9">
        <w:trPr>
          <w:trHeight w:val="145"/>
        </w:trPr>
        <w:tc>
          <w:tcPr>
            <w:tcW w:w="11307" w:type="dxa"/>
          </w:tcPr>
          <w:p w:rsidR="009845D5" w:rsidRPr="00C733B4" w:rsidRDefault="009845D5" w:rsidP="0018797D">
            <w:pPr>
              <w:pStyle w:val="TOC2"/>
            </w:pPr>
            <w:r w:rsidRPr="00C733B4">
              <w:t>Rule advice 5</w:t>
            </w:r>
            <w:r w:rsidRPr="00C733B4">
              <w:noBreakHyphen/>
              <w:t>D</w:t>
            </w:r>
            <w:r w:rsidRPr="00C733B4">
              <w:rPr>
                <w:rStyle w:val="Hyperlink"/>
                <w:color w:val="auto"/>
                <w:szCs w:val="20"/>
                <w:u w:val="none"/>
              </w:rPr>
              <w:t xml:space="preserve"> </w:t>
            </w:r>
            <w:r w:rsidRPr="00C733B4">
              <w:rPr>
                <w:rStyle w:val="Hyperlink"/>
                <w:b w:val="0"/>
                <w:color w:val="auto"/>
                <w:szCs w:val="20"/>
                <w:u w:val="none"/>
              </w:rPr>
              <w:t>(section 5.3.2)</w:t>
            </w:r>
          </w:p>
          <w:p w:rsidR="00BD218B" w:rsidRPr="00BD218B" w:rsidRDefault="0033116B" w:rsidP="00BD218B">
            <w:pPr>
              <w:pStyle w:val="Heading8"/>
              <w:spacing w:before="60" w:after="0"/>
              <w:outlineLvl w:val="7"/>
              <w:rPr>
                <w:rFonts w:asciiTheme="minorHAnsi" w:hAnsiTheme="minorHAnsi"/>
                <w:szCs w:val="20"/>
              </w:rPr>
            </w:pPr>
            <w:r w:rsidRPr="00C733B4">
              <w:rPr>
                <w:rFonts w:asciiTheme="minorHAnsi" w:hAnsiTheme="minorHAnsi"/>
                <w:noProof/>
                <w:szCs w:val="20"/>
              </w:rPr>
              <w:fldChar w:fldCharType="begin"/>
            </w:r>
            <w:r w:rsidRPr="00C733B4">
              <w:rPr>
                <w:rFonts w:asciiTheme="minorHAnsi" w:hAnsiTheme="minorHAnsi"/>
                <w:noProof/>
                <w:szCs w:val="20"/>
              </w:rPr>
              <w:instrText xml:space="preserve"> REF  Rule_Advice_5D \h </w:instrText>
            </w:r>
            <w:r w:rsidR="00F837C1" w:rsidRPr="00C733B4">
              <w:rPr>
                <w:rFonts w:asciiTheme="minorHAnsi" w:hAnsiTheme="minorHAnsi"/>
                <w:noProof/>
                <w:szCs w:val="20"/>
              </w:rPr>
              <w:instrText xml:space="preserve"> \* MERGEFORMAT </w:instrText>
            </w:r>
            <w:r w:rsidRPr="00C733B4">
              <w:rPr>
                <w:rFonts w:asciiTheme="minorHAnsi" w:hAnsiTheme="minorHAnsi"/>
                <w:noProof/>
                <w:szCs w:val="20"/>
              </w:rPr>
            </w:r>
            <w:r w:rsidRPr="00C733B4">
              <w:rPr>
                <w:rFonts w:asciiTheme="minorHAnsi" w:hAnsiTheme="minorHAnsi"/>
                <w:noProof/>
                <w:szCs w:val="20"/>
              </w:rPr>
              <w:fldChar w:fldCharType="separate"/>
            </w:r>
            <w:r w:rsidR="00BD218B" w:rsidRPr="00BD218B">
              <w:rPr>
                <w:rFonts w:asciiTheme="minorHAnsi" w:hAnsiTheme="minorHAnsi"/>
                <w:szCs w:val="20"/>
              </w:rPr>
              <w:t>The rules should be amended to prohibit an infrastructure operator from levying an infrastructure charge:</w:t>
            </w:r>
          </w:p>
          <w:p w:rsidR="00BD218B" w:rsidRPr="00BD218B" w:rsidRDefault="00BD218B" w:rsidP="00020517">
            <w:pPr>
              <w:pStyle w:val="Ruleadvicebullet"/>
              <w:rPr>
                <w:rFonts w:asciiTheme="minorHAnsi" w:hAnsiTheme="minorHAnsi"/>
              </w:rPr>
            </w:pPr>
            <w:r w:rsidRPr="00BD218B">
              <w:rPr>
                <w:rFonts w:asciiTheme="minorHAnsi" w:hAnsiTheme="minorHAnsi"/>
              </w:rPr>
              <w:t>upon an application to trade or terminate a tradeable water right (including where the application is not made to the infrastructure operator);</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as a condition of the infrastructure operator granting its consent or approval to a trade or termination of a tradeable water right </w:t>
            </w:r>
          </w:p>
          <w:p w:rsidR="00BD218B" w:rsidRPr="00BD218B" w:rsidRDefault="00BD218B" w:rsidP="00020517">
            <w:pPr>
              <w:pStyle w:val="Ruleadvicebullet"/>
              <w:rPr>
                <w:rFonts w:asciiTheme="minorHAnsi" w:hAnsiTheme="minorHAnsi"/>
              </w:rPr>
            </w:pPr>
            <w:r w:rsidRPr="00BD218B">
              <w:rPr>
                <w:rFonts w:asciiTheme="minorHAnsi" w:hAnsiTheme="minorHAnsi"/>
              </w:rPr>
              <w:t>when or because a tradeable water right is traded or terminated;</w:t>
            </w:r>
          </w:p>
          <w:p w:rsidR="00BD218B" w:rsidRPr="00BD218B" w:rsidRDefault="00BD218B" w:rsidP="00BD218B">
            <w:pPr>
              <w:pStyle w:val="Heading8"/>
              <w:spacing w:before="60" w:after="0"/>
              <w:ind w:left="567" w:hanging="567"/>
              <w:outlineLvl w:val="7"/>
              <w:rPr>
                <w:rFonts w:asciiTheme="minorHAnsi" w:hAnsiTheme="minorHAnsi"/>
                <w:szCs w:val="20"/>
              </w:rPr>
            </w:pPr>
            <w:r w:rsidRPr="00BD218B">
              <w:rPr>
                <w:rFonts w:asciiTheme="minorHAnsi" w:hAnsiTheme="minorHAnsi"/>
                <w:szCs w:val="20"/>
              </w:rPr>
              <w:t xml:space="preserve">However, the rules should not prohibit an infrastructure operator from levying an infrastructure charge </w:t>
            </w:r>
            <w:r w:rsidRPr="00BD218B">
              <w:rPr>
                <w:rFonts w:asciiTheme="minorHAnsi" w:hAnsiTheme="minorHAnsi"/>
                <w:i/>
                <w:szCs w:val="20"/>
              </w:rPr>
              <w:t>in relation to trade</w:t>
            </w:r>
            <w:r w:rsidRPr="00BD218B">
              <w:rPr>
                <w:rFonts w:asciiTheme="minorHAnsi" w:hAnsiTheme="minorHAnsi"/>
                <w:szCs w:val="20"/>
              </w:rPr>
              <w:t>, when:</w:t>
            </w:r>
          </w:p>
          <w:p w:rsidR="00BD218B" w:rsidRPr="00BD218B" w:rsidRDefault="00BD218B" w:rsidP="00020517">
            <w:pPr>
              <w:pStyle w:val="Ruleadvicebullet"/>
              <w:rPr>
                <w:rFonts w:asciiTheme="minorHAnsi" w:hAnsiTheme="minorHAnsi"/>
              </w:rPr>
            </w:pPr>
            <w:r w:rsidRPr="00BD218B">
              <w:rPr>
                <w:rFonts w:asciiTheme="minorHAnsi" w:hAnsiTheme="minorHAnsi"/>
              </w:rPr>
              <w:t>the operator’s approval or consent to trade is required and that infrastructure charge reflects the reasonable and efficient administrative costs of processing the trade.</w:t>
            </w:r>
          </w:p>
          <w:p w:rsidR="00BD218B" w:rsidRPr="00BD218B" w:rsidRDefault="00BD218B" w:rsidP="00020517">
            <w:pPr>
              <w:pStyle w:val="Ruleadvicebullet"/>
              <w:rPr>
                <w:rFonts w:asciiTheme="minorHAnsi" w:hAnsiTheme="minorHAnsi"/>
              </w:rPr>
            </w:pPr>
            <w:r w:rsidRPr="00BD218B">
              <w:rPr>
                <w:rFonts w:asciiTheme="minorHAnsi" w:hAnsiTheme="minorHAnsi"/>
              </w:rPr>
              <w:t>the customer seeks to have a volume of water delivered that is in excess of the volume provided for under the water delivery right held by the customer with the operator.</w:t>
            </w:r>
          </w:p>
          <w:p w:rsidR="00BD218B" w:rsidRPr="00BD218B" w:rsidRDefault="00BD218B" w:rsidP="00020517">
            <w:pPr>
              <w:pStyle w:val="Ruleadvicebullet"/>
              <w:rPr>
                <w:rFonts w:asciiTheme="minorHAnsi" w:hAnsiTheme="minorHAnsi"/>
              </w:rPr>
            </w:pPr>
            <w:r w:rsidRPr="00BD218B">
              <w:rPr>
                <w:rFonts w:asciiTheme="minorHAnsi" w:hAnsiTheme="minorHAnsi"/>
              </w:rPr>
              <w:t>the operator has provided an infrastructure service for the harvesting or storage of water relating to the water access right being traded; or</w:t>
            </w:r>
          </w:p>
          <w:p w:rsidR="00BD218B" w:rsidRPr="00BD218B" w:rsidRDefault="00BD218B" w:rsidP="00020517">
            <w:pPr>
              <w:pStyle w:val="Ruleadvicebullet"/>
              <w:rPr>
                <w:rFonts w:asciiTheme="minorHAnsi" w:hAnsiTheme="minorHAnsi"/>
                <w:i/>
              </w:rPr>
            </w:pPr>
            <w:r w:rsidRPr="00BD218B">
              <w:rPr>
                <w:rFonts w:asciiTheme="minorHAnsi" w:hAnsiTheme="minorHAnsi"/>
              </w:rPr>
              <w:t>the operator is required to provide a service for the storage or delivery of water to give effect to the trade; or</w:t>
            </w:r>
          </w:p>
          <w:p w:rsidR="00BD218B" w:rsidRPr="00BD218B" w:rsidRDefault="00BD218B" w:rsidP="00020517">
            <w:pPr>
              <w:pStyle w:val="Ruleadvicebullet"/>
              <w:rPr>
                <w:rFonts w:asciiTheme="minorHAnsi" w:hAnsiTheme="minorHAnsi"/>
              </w:rPr>
            </w:pPr>
            <w:r w:rsidRPr="00BD218B">
              <w:rPr>
                <w:rFonts w:asciiTheme="minorHAnsi" w:hAnsiTheme="minorHAnsi"/>
              </w:rPr>
              <w:t>the operator is required to provide a service for the storage or delivery of water to the buyer after a trade occurs and the operator is unable to levy a charge on the person receiving the service because the operator has no authority to levy a charge on that person (for example, because that person is located in a different jurisdiction to the infrastructure operator).</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Also, the rules should not prohibit an infrastructure operator from levying </w:t>
            </w:r>
            <w:r w:rsidRPr="00BD218B">
              <w:rPr>
                <w:rFonts w:asciiTheme="minorHAnsi" w:hAnsiTheme="minorHAnsi"/>
                <w:i/>
                <w:szCs w:val="20"/>
              </w:rPr>
              <w:t>in relation to termination</w:t>
            </w:r>
            <w:r w:rsidRPr="00BD218B">
              <w:rPr>
                <w:rFonts w:asciiTheme="minorHAnsi" w:hAnsiTheme="minorHAnsi"/>
                <w:szCs w:val="20"/>
              </w:rPr>
              <w:t>:</w:t>
            </w:r>
          </w:p>
          <w:p w:rsidR="00BD218B" w:rsidRPr="00BD218B" w:rsidRDefault="00BD218B" w:rsidP="00020517">
            <w:pPr>
              <w:pStyle w:val="Ruleadvicebullet"/>
              <w:rPr>
                <w:rFonts w:asciiTheme="minorHAnsi" w:hAnsiTheme="minorHAnsi"/>
              </w:rPr>
            </w:pPr>
            <w:r w:rsidRPr="00BD218B">
              <w:rPr>
                <w:rFonts w:asciiTheme="minorHAnsi" w:hAnsiTheme="minorHAnsi"/>
              </w:rPr>
              <w:t>a termination fee levied consistently with the rules; or</w:t>
            </w:r>
          </w:p>
          <w:p w:rsidR="00BD218B" w:rsidRPr="00BD218B" w:rsidRDefault="00BD218B" w:rsidP="00020517">
            <w:pPr>
              <w:pStyle w:val="Ruleadvicebullet"/>
              <w:rPr>
                <w:rFonts w:asciiTheme="minorHAnsi" w:hAnsiTheme="minorHAnsi"/>
              </w:rPr>
            </w:pPr>
            <w:r w:rsidRPr="00BD218B">
              <w:rPr>
                <w:rFonts w:asciiTheme="minorHAnsi" w:hAnsiTheme="minorHAnsi"/>
              </w:rPr>
              <w:t>an infrastructure charge which reflects the reasonable and efficient administrative costs incurred in processing the termination.</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Finally, the rules should not prevent an infrastructure operator from requiring payment of any outstanding infrastructure charges as a condition of the operator providing their consent or approval to a trade or termination (provided those fees or charges were levied consistently with the rules).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should be a civil penalty provision.</w:t>
            </w:r>
          </w:p>
          <w:p w:rsidR="009845D5" w:rsidRPr="00C733B4" w:rsidRDefault="00BD218B" w:rsidP="00035824">
            <w:pPr>
              <w:pStyle w:val="TOC3"/>
              <w:rPr>
                <w:rFonts w:asciiTheme="minorHAnsi" w:hAnsiTheme="minorHAnsi"/>
                <w:noProof/>
                <w:sz w:val="20"/>
              </w:rPr>
            </w:pPr>
            <w:r w:rsidRPr="00BD218B">
              <w:rPr>
                <w:rFonts w:asciiTheme="minorHAnsi" w:hAnsiTheme="minorHAnsi"/>
                <w:sz w:val="20"/>
              </w:rPr>
              <w:t>This rule advice is implemented in rule 10A of the proposed Water Charge Rules.</w:t>
            </w:r>
            <w:r w:rsidR="0033116B" w:rsidRPr="00C733B4">
              <w:rPr>
                <w:rFonts w:asciiTheme="minorHAnsi" w:hAnsiTheme="minorHAnsi"/>
                <w:noProof/>
                <w:sz w:val="20"/>
              </w:rPr>
              <w:fldChar w:fldCharType="end"/>
            </w:r>
          </w:p>
        </w:tc>
        <w:tc>
          <w:tcPr>
            <w:tcW w:w="3118" w:type="dxa"/>
            <w:shd w:val="clear" w:color="auto" w:fill="B6DDE8" w:themeFill="accent5" w:themeFillTint="66"/>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Substantial change</w:t>
            </w:r>
          </w:p>
          <w:p w:rsidR="00E9207B" w:rsidRPr="00C733B4" w:rsidRDefault="009845D5" w:rsidP="0018797D">
            <w:pPr>
              <w:shd w:val="clear" w:color="auto" w:fill="B6DDE8" w:themeFill="accent5" w:themeFillTint="66"/>
              <w:spacing w:before="60" w:after="60"/>
              <w:rPr>
                <w:rFonts w:asciiTheme="minorHAnsi" w:hAnsiTheme="minorHAnsi"/>
                <w:sz w:val="20"/>
                <w:szCs w:val="20"/>
              </w:rPr>
            </w:pPr>
            <w:r w:rsidRPr="00C733B4">
              <w:rPr>
                <w:rFonts w:asciiTheme="minorHAnsi" w:hAnsiTheme="minorHAnsi"/>
                <w:sz w:val="20"/>
                <w:szCs w:val="20"/>
              </w:rPr>
              <w:t xml:space="preserve">The Final Advice maintains </w:t>
            </w:r>
            <w:r w:rsidR="00134D60" w:rsidRPr="00C733B4">
              <w:rPr>
                <w:rFonts w:asciiTheme="minorHAnsi" w:hAnsiTheme="minorHAnsi"/>
                <w:sz w:val="20"/>
                <w:szCs w:val="20"/>
              </w:rPr>
              <w:t xml:space="preserve">the proposed </w:t>
            </w:r>
            <w:r w:rsidRPr="00C733B4">
              <w:rPr>
                <w:rFonts w:asciiTheme="minorHAnsi" w:hAnsiTheme="minorHAnsi"/>
                <w:sz w:val="20"/>
                <w:szCs w:val="20"/>
              </w:rPr>
              <w:t xml:space="preserve">rule as per </w:t>
            </w:r>
            <w:r w:rsidR="00134D60" w:rsidRPr="00C733B4">
              <w:rPr>
                <w:rFonts w:asciiTheme="minorHAnsi" w:hAnsiTheme="minorHAnsi"/>
                <w:sz w:val="20"/>
                <w:szCs w:val="20"/>
              </w:rPr>
              <w:t xml:space="preserve">the </w:t>
            </w:r>
            <w:r w:rsidRPr="00C733B4">
              <w:rPr>
                <w:rFonts w:asciiTheme="minorHAnsi" w:hAnsiTheme="minorHAnsi"/>
                <w:sz w:val="20"/>
                <w:szCs w:val="20"/>
              </w:rPr>
              <w:t xml:space="preserve">Draft Advice but adds some additional </w:t>
            </w:r>
            <w:r w:rsidR="008973AC" w:rsidRPr="00C733B4">
              <w:rPr>
                <w:rFonts w:asciiTheme="minorHAnsi" w:hAnsiTheme="minorHAnsi"/>
                <w:sz w:val="20"/>
                <w:szCs w:val="20"/>
              </w:rPr>
              <w:t>categories of</w:t>
            </w:r>
            <w:r w:rsidRPr="00C733B4">
              <w:rPr>
                <w:rFonts w:asciiTheme="minorHAnsi" w:hAnsiTheme="minorHAnsi"/>
                <w:sz w:val="20"/>
                <w:szCs w:val="20"/>
              </w:rPr>
              <w:t xml:space="preserve"> conduct which </w:t>
            </w:r>
            <w:r w:rsidR="008973AC" w:rsidRPr="00C733B4">
              <w:rPr>
                <w:rFonts w:asciiTheme="minorHAnsi" w:hAnsiTheme="minorHAnsi"/>
                <w:sz w:val="20"/>
                <w:szCs w:val="20"/>
              </w:rPr>
              <w:t xml:space="preserve">would </w:t>
            </w:r>
            <w:r w:rsidRPr="00C733B4">
              <w:rPr>
                <w:rFonts w:asciiTheme="minorHAnsi" w:hAnsiTheme="minorHAnsi"/>
                <w:sz w:val="20"/>
                <w:szCs w:val="20"/>
              </w:rPr>
              <w:t>not contravene the rule</w:t>
            </w:r>
            <w:r w:rsidRPr="00C733B4">
              <w:rPr>
                <w:rFonts w:asciiTheme="minorHAnsi" w:hAnsiTheme="minorHAnsi"/>
                <w:b/>
                <w:sz w:val="20"/>
                <w:szCs w:val="20"/>
              </w:rPr>
              <w:t xml:space="preserve"> </w:t>
            </w:r>
            <w:r w:rsidRPr="00C733B4">
              <w:rPr>
                <w:rFonts w:asciiTheme="minorHAnsi" w:hAnsiTheme="minorHAnsi"/>
                <w:sz w:val="20"/>
                <w:szCs w:val="20"/>
              </w:rPr>
              <w:t xml:space="preserve">in relation to trade. These additions recognise that an operator may incur costs in providing certain services in respect of traded water access rights which they may not </w:t>
            </w:r>
            <w:r w:rsidR="008973AC" w:rsidRPr="00C733B4">
              <w:rPr>
                <w:rFonts w:asciiTheme="minorHAnsi" w:hAnsiTheme="minorHAnsi"/>
                <w:sz w:val="20"/>
                <w:szCs w:val="20"/>
              </w:rPr>
              <w:t xml:space="preserve">otherwise be able to </w:t>
            </w:r>
            <w:r w:rsidRPr="00C733B4">
              <w:rPr>
                <w:rFonts w:asciiTheme="minorHAnsi" w:hAnsiTheme="minorHAnsi"/>
                <w:sz w:val="20"/>
                <w:szCs w:val="20"/>
              </w:rPr>
              <w:t>adequately recover after a trade.</w:t>
            </w:r>
          </w:p>
          <w:p w:rsidR="009845D5" w:rsidRPr="00C733B4" w:rsidRDefault="00390F5F" w:rsidP="0018797D">
            <w:pPr>
              <w:shd w:val="clear" w:color="auto" w:fill="B6DDE8" w:themeFill="accent5" w:themeFillTint="66"/>
              <w:spacing w:before="60" w:after="60"/>
              <w:rPr>
                <w:rFonts w:asciiTheme="minorHAnsi" w:hAnsiTheme="minorHAnsi"/>
                <w:b/>
                <w:sz w:val="20"/>
                <w:szCs w:val="20"/>
              </w:rPr>
            </w:pPr>
            <w:r w:rsidRPr="00C733B4">
              <w:rPr>
                <w:rFonts w:asciiTheme="minorHAnsi" w:hAnsiTheme="minorHAnsi"/>
                <w:sz w:val="20"/>
                <w:szCs w:val="20"/>
              </w:rPr>
              <w:t>Also, the Final Advice clarifies that the rules should not prevent an operator from requiring payment outstanding fees and charges as a condition of approving a trade or termination.</w:t>
            </w:r>
          </w:p>
        </w:tc>
      </w:tr>
      <w:tr w:rsidR="009845D5" w:rsidRPr="00C733B4" w:rsidTr="007040B9">
        <w:trPr>
          <w:trHeight w:val="145"/>
        </w:trPr>
        <w:tc>
          <w:tcPr>
            <w:tcW w:w="11307" w:type="dxa"/>
          </w:tcPr>
          <w:p w:rsidR="00263E14" w:rsidRPr="00C733B4" w:rsidRDefault="009845D5" w:rsidP="0018797D">
            <w:pPr>
              <w:pStyle w:val="TOC2"/>
              <w:rPr>
                <w:rStyle w:val="Hyperlink"/>
                <w:b w:val="0"/>
                <w:color w:val="auto"/>
                <w:szCs w:val="20"/>
                <w:u w:val="none"/>
              </w:rPr>
            </w:pPr>
            <w:r w:rsidRPr="00C733B4">
              <w:t>Rule advice 5</w:t>
            </w:r>
            <w:r w:rsidRPr="00C733B4">
              <w:noBreakHyphen/>
              <w:t>E</w:t>
            </w:r>
            <w:r w:rsidRPr="00C733B4">
              <w:rPr>
                <w:rStyle w:val="Hyperlink"/>
                <w:color w:val="auto"/>
                <w:szCs w:val="20"/>
                <w:u w:val="none"/>
              </w:rPr>
              <w:t xml:space="preserve"> </w:t>
            </w:r>
            <w:r w:rsidRPr="00C733B4">
              <w:rPr>
                <w:rStyle w:val="Hyperlink"/>
                <w:b w:val="0"/>
                <w:color w:val="auto"/>
                <w:szCs w:val="20"/>
                <w:u w:val="none"/>
              </w:rPr>
              <w:t>(section 5.4.1)</w:t>
            </w:r>
          </w:p>
          <w:p w:rsidR="00BD218B" w:rsidRPr="00BD218B" w:rsidRDefault="00DC434C" w:rsidP="00BD218B">
            <w:pPr>
              <w:pStyle w:val="Ruleadvicesubheading"/>
              <w:spacing w:before="60" w:after="0"/>
              <w:rPr>
                <w:rFonts w:asciiTheme="minorHAnsi" w:hAnsiTheme="minorHAnsi"/>
                <w:sz w:val="20"/>
                <w:szCs w:val="20"/>
              </w:rPr>
            </w:pPr>
            <w:r w:rsidRPr="00C733B4">
              <w:rPr>
                <w:rFonts w:asciiTheme="minorHAnsi" w:hAnsiTheme="minorHAnsi"/>
                <w:b/>
                <w:sz w:val="20"/>
                <w:szCs w:val="20"/>
              </w:rPr>
              <w:fldChar w:fldCharType="begin"/>
            </w:r>
            <w:r w:rsidRPr="00C733B4">
              <w:rPr>
                <w:rFonts w:asciiTheme="minorHAnsi" w:hAnsiTheme="minorHAnsi"/>
                <w:b/>
                <w:sz w:val="20"/>
                <w:szCs w:val="20"/>
              </w:rPr>
              <w:instrText xml:space="preserve"> REF  Rule_Advice_5E \h  \* MERGEFORMAT </w:instrText>
            </w:r>
            <w:r w:rsidRPr="00C733B4">
              <w:rPr>
                <w:rFonts w:asciiTheme="minorHAnsi" w:hAnsiTheme="minorHAnsi"/>
                <w:b/>
                <w:sz w:val="20"/>
                <w:szCs w:val="20"/>
              </w:rPr>
            </w:r>
            <w:r w:rsidRPr="00C733B4">
              <w:rPr>
                <w:rFonts w:asciiTheme="minorHAnsi" w:hAnsiTheme="minorHAnsi"/>
                <w:b/>
                <w:sz w:val="20"/>
                <w:szCs w:val="20"/>
              </w:rPr>
              <w:fldChar w:fldCharType="separate"/>
            </w:r>
            <w:r w:rsidR="00BD218B" w:rsidRPr="00BD218B">
              <w:rPr>
                <w:rFonts w:asciiTheme="minorHAnsi" w:hAnsiTheme="minorHAnsi"/>
                <w:sz w:val="20"/>
                <w:szCs w:val="20"/>
              </w:rPr>
              <w:t>Schedule of Charge requirements for infrastructure operators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be amended to provide that an infrastructure operator must adopt a Schedule of Charges which sets out its infrastructure charges and planning and management charges in accordance with the rules.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provide that the Schedule of Charges may not come into effect, and the listed charges should not apply, earlier than the date the operator adopts its Schedule of Charges, except in the limited circumstances described in rule advice 5-I.</w:t>
            </w:r>
          </w:p>
          <w:p w:rsidR="00BD218B" w:rsidRPr="00BD218B" w:rsidRDefault="00BD218B" w:rsidP="00BD218B">
            <w:pPr>
              <w:pStyle w:val="Ruleadvicesubheading"/>
              <w:spacing w:before="60" w:after="0"/>
              <w:rPr>
                <w:rFonts w:asciiTheme="minorHAnsi" w:hAnsiTheme="minorHAnsi"/>
                <w:i w:val="0"/>
                <w:sz w:val="20"/>
                <w:szCs w:val="20"/>
              </w:rPr>
            </w:pPr>
            <w:r w:rsidRPr="00BD218B">
              <w:rPr>
                <w:rFonts w:asciiTheme="minorHAnsi" w:hAnsiTheme="minorHAnsi"/>
                <w:i w:val="0"/>
                <w:sz w:val="20"/>
                <w:szCs w:val="20"/>
              </w:rPr>
              <w:t xml:space="preserve">The rules should require that the Schedule of Charges ceases to be in effect for the operator when another Schedule of Charges that has been adopted by the infrastructure operator comes into effect.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advice is implemented in rule 11 of the proposed Water Charge Rules.</w:t>
            </w:r>
          </w:p>
          <w:p w:rsidR="00BD218B" w:rsidRPr="00BD218B" w:rsidRDefault="00BD218B" w:rsidP="00AF7032">
            <w:pPr>
              <w:pStyle w:val="Ruleadvicesubheading"/>
              <w:rPr>
                <w:rFonts w:asciiTheme="minorHAnsi" w:hAnsiTheme="minorHAnsi"/>
                <w:sz w:val="20"/>
                <w:szCs w:val="20"/>
              </w:rPr>
            </w:pPr>
            <w:r w:rsidRPr="00BD218B">
              <w:rPr>
                <w:rFonts w:asciiTheme="minorHAnsi" w:hAnsiTheme="minorHAnsi"/>
                <w:sz w:val="20"/>
                <w:szCs w:val="20"/>
              </w:rPr>
              <w:t>Information that must be included on a Schedule of Charges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require that a Schedule of Charges adopted by an infrastructure operator must contain the following information. </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 xml:space="preserve">For each infrastructure charge or planning and management charge: </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the name of the charge (and the period during which the charge applies, if that period is different from the period that the Schedule of Charges is in effect);</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the circumstances in which the charge is payable including, if applicable, the following:</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the class of person required to pay the charge;</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the water resource, catchment or district, and the water resource plan or other plan, to which the charge relates;</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the class of water access right, water delivery right or irrigation right to which the charge relates;</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either:</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the amount of the charge (whether expressed as a dollar amount or as fee units) or details of rates, and all other details necessary to determine that amount; or</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 xml:space="preserve">for a charge that reflects the costs of physically connecting, or physically disconnecting a customer from the operator’s water service infrastructure―a statement that the charge will be determined at the time of the connection or disconnection; </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the details of any general discount or surcharge, including the circumstances under which the discount or surcharge applies (e.g. a discount for early payment);</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when the charge is payable and, if payable by instalments, the number of instalments and intervals at which the charge is payable;</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if applicable, the following:</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who determined the charge (if it was not determined by the operator or person adopting the Schedule of Charges);</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who the charge is payable to (if it is not payable to the operator or person adopting the Schedule of Charges);</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the name of the agency or person for whom the charge is being collected.</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For each infrastructure charge:</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a description of the infrastructure service to which the charge relates;</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if applicable, the information required by (proposed) subrule 9(13A) (see rule advice 5-K);</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For each planning and management charge:</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the legislative, contractual or other authority for the charge.</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Schedule of Charges should also include the following general information:</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the date on which the Schedule of Charges comes into effect (or will be taken to have come into effect);</w:t>
            </w:r>
          </w:p>
          <w:p w:rsidR="00BD218B" w:rsidRPr="00BD218B" w:rsidRDefault="00BD218B" w:rsidP="00BD218B">
            <w:pPr>
              <w:pStyle w:val="Heading8"/>
              <w:numPr>
                <w:ilvl w:val="0"/>
                <w:numId w:val="100"/>
              </w:numPr>
              <w:spacing w:before="60" w:after="0"/>
              <w:outlineLvl w:val="7"/>
              <w:rPr>
                <w:rFonts w:asciiTheme="minorHAnsi" w:hAnsiTheme="minorHAnsi"/>
                <w:szCs w:val="20"/>
              </w:rPr>
            </w:pPr>
            <w:r w:rsidRPr="00BD218B">
              <w:rPr>
                <w:rFonts w:asciiTheme="minorHAnsi" w:hAnsiTheme="minorHAnsi"/>
                <w:szCs w:val="20"/>
              </w:rPr>
              <w:t>a statement setting out the following:</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the process used to determine the infrastructure charges or planning and management charges (this should be at the general level, rather than for each individual charge);</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how a person may participate in the process to determine the infrastructure charges or planning and management charges;</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how a person can make an enquiry or resolve a dispute with the infrastructure operator in relation to a regulated water charge;</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if applicable―any generally available discounts, surcharges or hardship policies;</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if applicable―how the infrastructure operator has determined or calculated the infrastructure charges it levies to recover charges in accordance with rule advice 5-Y;</w:t>
            </w:r>
          </w:p>
          <w:p w:rsidR="00BD218B" w:rsidRPr="00BD218B" w:rsidRDefault="00BD218B" w:rsidP="00BD218B">
            <w:pPr>
              <w:pStyle w:val="Heading8"/>
              <w:numPr>
                <w:ilvl w:val="1"/>
                <w:numId w:val="100"/>
              </w:numPr>
              <w:spacing w:before="60" w:after="0"/>
              <w:outlineLvl w:val="7"/>
              <w:rPr>
                <w:rFonts w:asciiTheme="minorHAnsi" w:hAnsiTheme="minorHAnsi"/>
                <w:szCs w:val="20"/>
              </w:rPr>
            </w:pPr>
            <w:r w:rsidRPr="00BD218B">
              <w:rPr>
                <w:rFonts w:asciiTheme="minorHAnsi" w:hAnsiTheme="minorHAnsi"/>
                <w:szCs w:val="20"/>
              </w:rPr>
              <w:t>any other information the operator considers reasonably necessary or desirable to explain the charges to the customer.</w:t>
            </w:r>
          </w:p>
          <w:p w:rsidR="00BD218B" w:rsidRPr="00BD218B" w:rsidRDefault="00BD218B" w:rsidP="00BD218B">
            <w:pPr>
              <w:pStyle w:val="Heading8"/>
              <w:spacing w:before="60" w:after="0"/>
              <w:outlineLvl w:val="7"/>
              <w:rPr>
                <w:rFonts w:asciiTheme="minorHAnsi" w:hAnsiTheme="minorHAnsi"/>
                <w:i/>
                <w:szCs w:val="20"/>
              </w:rPr>
            </w:pPr>
            <w:r w:rsidRPr="00BD218B">
              <w:rPr>
                <w:rFonts w:asciiTheme="minorHAnsi" w:hAnsiTheme="minorHAnsi"/>
                <w:i/>
                <w:szCs w:val="20"/>
              </w:rPr>
              <w:t>See also rule advice 5-J, 5-K and rule advice 5-Y.</w:t>
            </w:r>
          </w:p>
          <w:p w:rsidR="00BD218B" w:rsidRPr="00BD218B" w:rsidRDefault="00BD218B" w:rsidP="00BD218B">
            <w:pPr>
              <w:pStyle w:val="Heading8"/>
              <w:spacing w:before="60" w:after="0"/>
              <w:outlineLvl w:val="7"/>
              <w:rPr>
                <w:rFonts w:asciiTheme="minorHAnsi" w:hAnsiTheme="minorHAnsi"/>
                <w:i/>
                <w:szCs w:val="20"/>
              </w:rPr>
            </w:pPr>
            <w:r w:rsidRPr="00BD218B">
              <w:rPr>
                <w:rFonts w:asciiTheme="minorHAnsi" w:hAnsiTheme="minorHAnsi"/>
                <w:szCs w:val="20"/>
              </w:rPr>
              <w:t xml:space="preserve">This rule should be a civil penalty provision.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advice is implemented in rules 11 and 13 of the proposed Water Charge Rules.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Conditions applying to infrastructure charges and planning and management charges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clarify that an infrastructure operator must not levy an infrastructure charge or planning and management charge that is not specified, for the circumstances in which it is levied, in a Schedule of Charges that is in effect for the operator when: </w:t>
            </w:r>
          </w:p>
          <w:p w:rsidR="00BD218B" w:rsidRPr="00BD218B" w:rsidRDefault="00BD218B" w:rsidP="00020517">
            <w:pPr>
              <w:pStyle w:val="Ruleadvicebullet"/>
              <w:rPr>
                <w:rFonts w:asciiTheme="minorHAnsi" w:hAnsiTheme="minorHAnsi"/>
              </w:rPr>
            </w:pPr>
            <w:r w:rsidRPr="00BD218B">
              <w:rPr>
                <w:rFonts w:asciiTheme="minorHAnsi" w:hAnsiTheme="minorHAnsi"/>
              </w:rPr>
              <w:t>for an infrastructure charge – the relevant infrastructure service was provided;</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for a planning and management charge – the circumstances set out in the Schedule of Charges for incurring the charge are met.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should be a civil penalty provision.</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ensure that an infrastructure operator does not contravene this provision if:</w:t>
            </w:r>
          </w:p>
          <w:p w:rsidR="00BD218B" w:rsidRPr="00BD218B" w:rsidRDefault="00BD218B" w:rsidP="00020517">
            <w:pPr>
              <w:pStyle w:val="Ruleadvicebullet"/>
              <w:rPr>
                <w:rFonts w:asciiTheme="minorHAnsi" w:hAnsiTheme="minorHAnsi"/>
              </w:rPr>
            </w:pPr>
            <w:r w:rsidRPr="00BD218B">
              <w:rPr>
                <w:rFonts w:asciiTheme="minorHAnsi" w:hAnsiTheme="minorHAnsi"/>
              </w:rPr>
              <w:t>the charge is exempt (see proposed subrule 11(7), rule advice 5-J); or</w:t>
            </w:r>
          </w:p>
          <w:p w:rsidR="00BD218B" w:rsidRPr="00BD218B" w:rsidRDefault="00BD218B" w:rsidP="00020517">
            <w:pPr>
              <w:pStyle w:val="Ruleadvicebullet"/>
              <w:rPr>
                <w:rFonts w:asciiTheme="minorHAnsi" w:hAnsiTheme="minorHAnsi"/>
              </w:rPr>
            </w:pPr>
            <w:r w:rsidRPr="00BD218B">
              <w:rPr>
                <w:rFonts w:asciiTheme="minorHAnsi" w:hAnsiTheme="minorHAnsi"/>
              </w:rPr>
              <w:t>the charge is levied retrospectively in accordance with the relevant rules which allow for retrospectivity (see rule advices 5</w:t>
            </w:r>
            <w:r w:rsidRPr="00BD218B">
              <w:rPr>
                <w:rFonts w:asciiTheme="minorHAnsi" w:hAnsiTheme="minorHAnsi"/>
              </w:rPr>
              <w:noBreakHyphen/>
              <w:t>I and 5</w:t>
            </w:r>
            <w:r w:rsidRPr="00BD218B">
              <w:rPr>
                <w:rFonts w:asciiTheme="minorHAnsi" w:hAnsiTheme="minorHAnsi"/>
              </w:rPr>
              <w:noBreakHyphen/>
              <w:t>Y).</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 xml:space="preserve">Note: </w:t>
            </w:r>
            <w:r w:rsidRPr="00BD218B">
              <w:rPr>
                <w:rFonts w:asciiTheme="minorHAnsi" w:hAnsiTheme="minorHAnsi"/>
                <w:szCs w:val="20"/>
              </w:rPr>
              <w:t xml:space="preserve">The effect of these rules is that, in order to be able to levy a infrastructure charge or a planning and management charge, a Schedule of Charges must be adopted in accordance with the rules (see proposed rule 11) and include the information set out above (see proposed rule 13). </w:t>
            </w:r>
          </w:p>
          <w:p w:rsidR="009845D5" w:rsidRPr="00C733B4" w:rsidRDefault="00BD218B" w:rsidP="00035824">
            <w:pPr>
              <w:pStyle w:val="Heading8"/>
              <w:spacing w:before="60" w:after="60"/>
              <w:outlineLvl w:val="7"/>
              <w:rPr>
                <w:rFonts w:asciiTheme="minorHAnsi" w:hAnsiTheme="minorHAnsi"/>
                <w:b/>
                <w:noProof/>
                <w:szCs w:val="20"/>
              </w:rPr>
            </w:pPr>
            <w:r w:rsidRPr="00BD218B">
              <w:rPr>
                <w:rFonts w:asciiTheme="minorHAnsi" w:hAnsiTheme="minorHAnsi"/>
                <w:szCs w:val="20"/>
              </w:rPr>
              <w:t>This rule advice is implemented in rules 7 and 11(7) of the proposed Water Charge Rules.</w:t>
            </w:r>
            <w:r w:rsidR="00DC434C" w:rsidRPr="00C733B4">
              <w:rPr>
                <w:rFonts w:asciiTheme="minorHAnsi" w:hAnsiTheme="minorHAnsi"/>
                <w:b/>
                <w:szCs w:val="20"/>
              </w:rPr>
              <w:fldChar w:fldCharType="end"/>
            </w:r>
            <w:r w:rsidR="00E85C35" w:rsidRPr="00C733B4">
              <w:rPr>
                <w:rFonts w:asciiTheme="minorHAnsi" w:hAnsiTheme="minorHAnsi"/>
                <w:b/>
                <w:szCs w:val="20"/>
              </w:rPr>
              <w:t xml:space="preserve"> </w:t>
            </w:r>
          </w:p>
        </w:tc>
        <w:tc>
          <w:tcPr>
            <w:tcW w:w="3118" w:type="dxa"/>
            <w:shd w:val="clear" w:color="auto" w:fill="D6E3BC" w:themeFill="accent3" w:themeFillTint="66"/>
          </w:tcPr>
          <w:p w:rsidR="000F24CC" w:rsidRPr="00C733B4" w:rsidRDefault="000F24CC"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The Final Advice requires an operator to set out in general terms on its Schedule of Charges how it determined its own charges to recover the cost of infrastructure charges and planning and management charges that it incurs, rather than doing so for each charge.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also </w:t>
            </w:r>
            <w:r w:rsidR="00FE5641" w:rsidRPr="00C733B4">
              <w:rPr>
                <w:rFonts w:asciiTheme="minorHAnsi" w:hAnsiTheme="minorHAnsi"/>
                <w:sz w:val="20"/>
                <w:szCs w:val="20"/>
              </w:rPr>
              <w:t xml:space="preserve">makes clear that charges should not be levied inconsistently </w:t>
            </w:r>
            <w:r w:rsidR="00EF0674" w:rsidRPr="00C733B4">
              <w:rPr>
                <w:rFonts w:asciiTheme="minorHAnsi" w:hAnsiTheme="minorHAnsi"/>
                <w:sz w:val="20"/>
                <w:szCs w:val="20"/>
              </w:rPr>
              <w:t>with</w:t>
            </w:r>
            <w:r w:rsidR="00FE5641" w:rsidRPr="00C733B4">
              <w:rPr>
                <w:rFonts w:asciiTheme="minorHAnsi" w:hAnsiTheme="minorHAnsi"/>
                <w:sz w:val="20"/>
                <w:szCs w:val="20"/>
              </w:rPr>
              <w:t xml:space="preserve"> a relevant </w:t>
            </w:r>
            <w:r w:rsidR="00B1638F" w:rsidRPr="00C733B4">
              <w:rPr>
                <w:rFonts w:asciiTheme="minorHAnsi" w:hAnsiTheme="minorHAnsi"/>
                <w:sz w:val="20"/>
                <w:szCs w:val="20"/>
              </w:rPr>
              <w:t>Schedule of Charges</w:t>
            </w:r>
            <w:r w:rsidR="00EF0674" w:rsidRPr="00C733B4">
              <w:rPr>
                <w:rFonts w:asciiTheme="minorHAnsi" w:hAnsiTheme="minorHAnsi"/>
                <w:sz w:val="20"/>
                <w:szCs w:val="20"/>
              </w:rPr>
              <w:t xml:space="preserve">. Also, </w:t>
            </w:r>
            <w:r w:rsidR="00FE5641" w:rsidRPr="00C733B4">
              <w:rPr>
                <w:rFonts w:asciiTheme="minorHAnsi" w:hAnsiTheme="minorHAnsi"/>
                <w:sz w:val="20"/>
                <w:szCs w:val="20"/>
              </w:rPr>
              <w:t>infrastructure charges</w:t>
            </w:r>
            <w:r w:rsidR="00EF0674" w:rsidRPr="00C733B4">
              <w:rPr>
                <w:rFonts w:asciiTheme="minorHAnsi" w:hAnsiTheme="minorHAnsi"/>
                <w:sz w:val="20"/>
                <w:szCs w:val="20"/>
              </w:rPr>
              <w:t xml:space="preserve"> should in general not be levied </w:t>
            </w:r>
            <w:r w:rsidR="00FE5641" w:rsidRPr="00C733B4">
              <w:rPr>
                <w:rFonts w:asciiTheme="minorHAnsi" w:hAnsiTheme="minorHAnsi"/>
                <w:sz w:val="20"/>
                <w:szCs w:val="20"/>
              </w:rPr>
              <w:t>before the relevant infrastructure service is provided.</w:t>
            </w:r>
            <w:r w:rsidR="00FE5641" w:rsidRPr="00C733B4" w:rsidDel="008C6CC4">
              <w:rPr>
                <w:rFonts w:asciiTheme="minorHAnsi" w:hAnsiTheme="minorHAnsi"/>
                <w:sz w:val="20"/>
                <w:szCs w:val="20"/>
              </w:rPr>
              <w:t xml:space="preserve"> </w:t>
            </w:r>
            <w:r w:rsidR="00FE5641" w:rsidRPr="00C733B4">
              <w:rPr>
                <w:rFonts w:asciiTheme="minorHAnsi" w:hAnsiTheme="minorHAnsi"/>
                <w:sz w:val="20"/>
                <w:szCs w:val="20"/>
              </w:rPr>
              <w:t>Some exemptions are also set out.</w:t>
            </w:r>
          </w:p>
          <w:p w:rsidR="009845D5" w:rsidRPr="00C733B4" w:rsidRDefault="009845D5" w:rsidP="0018797D">
            <w:pPr>
              <w:spacing w:before="60" w:after="60"/>
              <w:rPr>
                <w:rFonts w:asciiTheme="minorHAnsi" w:hAnsiTheme="minorHAnsi"/>
                <w:b/>
                <w:sz w:val="20"/>
                <w:szCs w:val="20"/>
              </w:rPr>
            </w:pPr>
          </w:p>
        </w:tc>
      </w:tr>
      <w:tr w:rsidR="009845D5" w:rsidRPr="00C733B4" w:rsidTr="007040B9">
        <w:trPr>
          <w:trHeight w:val="145"/>
        </w:trPr>
        <w:tc>
          <w:tcPr>
            <w:tcW w:w="11307" w:type="dxa"/>
          </w:tcPr>
          <w:p w:rsidR="00440BC7" w:rsidRPr="00C733B4" w:rsidRDefault="009845D5" w:rsidP="0018797D">
            <w:pPr>
              <w:pStyle w:val="TOC2"/>
              <w:rPr>
                <w:rStyle w:val="Hyperlink"/>
                <w:b w:val="0"/>
                <w:color w:val="auto"/>
                <w:szCs w:val="20"/>
                <w:u w:val="none"/>
              </w:rPr>
            </w:pPr>
            <w:r w:rsidRPr="00C733B4">
              <w:t>Rule advice 5</w:t>
            </w:r>
            <w:r w:rsidRPr="00C733B4">
              <w:noBreakHyphen/>
              <w:t>F</w:t>
            </w:r>
            <w:r w:rsidRPr="00C733B4">
              <w:rPr>
                <w:rStyle w:val="Hyperlink"/>
                <w:color w:val="auto"/>
                <w:szCs w:val="20"/>
                <w:u w:val="none"/>
              </w:rPr>
              <w:t xml:space="preserve"> </w:t>
            </w:r>
            <w:r w:rsidRPr="00C733B4">
              <w:rPr>
                <w:rStyle w:val="Hyperlink"/>
                <w:b w:val="0"/>
                <w:color w:val="auto"/>
                <w:szCs w:val="20"/>
                <w:u w:val="none"/>
              </w:rPr>
              <w:t>(section 5.4.1)</w:t>
            </w:r>
          </w:p>
          <w:p w:rsidR="00BD218B" w:rsidRPr="00BD218B" w:rsidRDefault="00440BC7" w:rsidP="00BD218B">
            <w:pPr>
              <w:pStyle w:val="Ruleadvicesubheading"/>
              <w:spacing w:before="60" w:after="0"/>
              <w:rPr>
                <w:rFonts w:asciiTheme="minorHAnsi" w:hAnsiTheme="minorHAnsi"/>
                <w:sz w:val="20"/>
                <w:szCs w:val="20"/>
              </w:rPr>
            </w:pPr>
            <w:r w:rsidRPr="00C733B4">
              <w:rPr>
                <w:rFonts w:asciiTheme="minorHAnsi" w:hAnsiTheme="minorHAnsi"/>
                <w:sz w:val="20"/>
                <w:szCs w:val="20"/>
              </w:rPr>
              <w:fldChar w:fldCharType="begin"/>
            </w:r>
            <w:r w:rsidRPr="00C733B4">
              <w:rPr>
                <w:rFonts w:asciiTheme="minorHAnsi" w:hAnsiTheme="minorHAnsi"/>
                <w:sz w:val="20"/>
                <w:szCs w:val="20"/>
              </w:rPr>
              <w:instrText xml:space="preserve"> REF  Rule_Advice_5F \h  \* MERGEFORMAT </w:instrText>
            </w:r>
            <w:r w:rsidRPr="00C733B4">
              <w:rPr>
                <w:rFonts w:asciiTheme="minorHAnsi" w:hAnsiTheme="minorHAnsi"/>
                <w:sz w:val="20"/>
                <w:szCs w:val="20"/>
              </w:rPr>
            </w:r>
            <w:r w:rsidRPr="00C733B4">
              <w:rPr>
                <w:rFonts w:asciiTheme="minorHAnsi" w:hAnsiTheme="minorHAnsi"/>
                <w:sz w:val="20"/>
                <w:szCs w:val="20"/>
              </w:rPr>
              <w:fldChar w:fldCharType="separate"/>
            </w:r>
            <w:r w:rsidR="00BD218B" w:rsidRPr="00BD218B">
              <w:rPr>
                <w:rFonts w:asciiTheme="minorHAnsi" w:hAnsiTheme="minorHAnsi"/>
                <w:sz w:val="20"/>
                <w:szCs w:val="20"/>
              </w:rPr>
              <w:t>Schedule of Charge requirements for persons other than infrastructure operators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be amended to provide that a person, other than an infrastructure operator, who determines or levies planning and management charges, or on whose behalf such charges are collected, may adopt a Schedule of Charges which sets out planning and management charges in accordance with the rules.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provide that the Schedule of Charges may not come into effect and the listed charges should not apply earlier than the date the Schedule of Charges is adopted, except in the limited circumstances described in rule advice 5-I.</w:t>
            </w:r>
          </w:p>
          <w:p w:rsidR="00BD218B" w:rsidRPr="00BD218B" w:rsidRDefault="00BD218B" w:rsidP="00BD218B">
            <w:pPr>
              <w:pStyle w:val="Ruleadvicesubheading"/>
              <w:spacing w:before="120" w:after="0"/>
              <w:rPr>
                <w:rFonts w:asciiTheme="minorHAnsi" w:hAnsiTheme="minorHAnsi"/>
                <w:i w:val="0"/>
                <w:sz w:val="20"/>
                <w:szCs w:val="20"/>
              </w:rPr>
            </w:pPr>
            <w:r w:rsidRPr="00BD218B">
              <w:rPr>
                <w:rFonts w:asciiTheme="minorHAnsi" w:hAnsiTheme="minorHAnsi"/>
                <w:i w:val="0"/>
                <w:sz w:val="20"/>
                <w:szCs w:val="20"/>
              </w:rPr>
              <w:t xml:space="preserve">The rules should provide that the Schedule of Charges ceases to be in effect for the person who levies the charges when another Schedule of Charges that has been adopted in accordance with the rules comes into effect for the person. </w:t>
            </w:r>
          </w:p>
          <w:p w:rsidR="00BD218B" w:rsidRPr="00BD218B" w:rsidRDefault="00BD218B" w:rsidP="00BD218B">
            <w:pPr>
              <w:pStyle w:val="Heading8"/>
              <w:spacing w:before="60"/>
              <w:outlineLvl w:val="7"/>
              <w:rPr>
                <w:rFonts w:asciiTheme="minorHAnsi" w:hAnsiTheme="minorHAnsi"/>
                <w:szCs w:val="20"/>
              </w:rPr>
            </w:pPr>
            <w:r w:rsidRPr="00BD218B">
              <w:rPr>
                <w:rFonts w:asciiTheme="minorHAnsi" w:hAnsiTheme="minorHAnsi"/>
                <w:szCs w:val="20"/>
              </w:rPr>
              <w:t>This rule advice is implemented in rule 12 of the proposed Water Charge Rules.</w:t>
            </w:r>
          </w:p>
          <w:p w:rsidR="00BD218B" w:rsidRPr="00BD218B" w:rsidRDefault="00BD218B" w:rsidP="00AF7032">
            <w:pPr>
              <w:pStyle w:val="Ruleadvicesubheading"/>
              <w:rPr>
                <w:rFonts w:asciiTheme="minorHAnsi" w:hAnsiTheme="minorHAnsi"/>
                <w:sz w:val="20"/>
                <w:szCs w:val="20"/>
              </w:rPr>
            </w:pPr>
            <w:r w:rsidRPr="00BD218B">
              <w:rPr>
                <w:rFonts w:asciiTheme="minorHAnsi" w:hAnsiTheme="minorHAnsi"/>
                <w:sz w:val="20"/>
                <w:szCs w:val="20"/>
              </w:rPr>
              <w:t>Information that must be included on a Schedule of Charges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require that a Schedule of Charges adopted by a person (other than an infrastructure operator) must include the following information for each planning and management charge on its Schedule of Charges: </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the name of the charge (and the period during which the charge applies, if that period is different from the period that the Schedule of Charges is in effect);</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the circumstances in which the charge is payable, including, as applicable, the following:</w:t>
            </w:r>
          </w:p>
          <w:p w:rsidR="00BD218B" w:rsidRPr="00BD218B" w:rsidRDefault="00BD218B" w:rsidP="00BD218B">
            <w:pPr>
              <w:pStyle w:val="Heading8"/>
              <w:numPr>
                <w:ilvl w:val="0"/>
                <w:numId w:val="116"/>
              </w:numPr>
              <w:spacing w:before="60" w:after="0"/>
              <w:outlineLvl w:val="7"/>
              <w:rPr>
                <w:rFonts w:asciiTheme="minorHAnsi" w:hAnsiTheme="minorHAnsi"/>
                <w:szCs w:val="20"/>
              </w:rPr>
            </w:pPr>
            <w:r w:rsidRPr="00BD218B">
              <w:rPr>
                <w:rFonts w:asciiTheme="minorHAnsi" w:hAnsiTheme="minorHAnsi"/>
                <w:szCs w:val="20"/>
              </w:rPr>
              <w:t>the class of person required to pay the charge;</w:t>
            </w:r>
          </w:p>
          <w:p w:rsidR="00BD218B" w:rsidRPr="00BD218B" w:rsidRDefault="00BD218B" w:rsidP="00BD218B">
            <w:pPr>
              <w:pStyle w:val="Heading8"/>
              <w:numPr>
                <w:ilvl w:val="0"/>
                <w:numId w:val="116"/>
              </w:numPr>
              <w:spacing w:before="60" w:after="0"/>
              <w:outlineLvl w:val="7"/>
              <w:rPr>
                <w:rFonts w:asciiTheme="minorHAnsi" w:hAnsiTheme="minorHAnsi"/>
                <w:szCs w:val="20"/>
              </w:rPr>
            </w:pPr>
            <w:r w:rsidRPr="00BD218B">
              <w:rPr>
                <w:rFonts w:asciiTheme="minorHAnsi" w:hAnsiTheme="minorHAnsi"/>
                <w:szCs w:val="20"/>
              </w:rPr>
              <w:t>the water resource, catchment or district, and the water resource plan or other plan, to which the charge relates;</w:t>
            </w:r>
          </w:p>
          <w:p w:rsidR="00BD218B" w:rsidRPr="00BD218B" w:rsidRDefault="00BD218B" w:rsidP="00BD218B">
            <w:pPr>
              <w:pStyle w:val="Heading8"/>
              <w:numPr>
                <w:ilvl w:val="0"/>
                <w:numId w:val="116"/>
              </w:numPr>
              <w:spacing w:before="60" w:after="0"/>
              <w:outlineLvl w:val="7"/>
              <w:rPr>
                <w:rFonts w:asciiTheme="minorHAnsi" w:hAnsiTheme="minorHAnsi"/>
                <w:szCs w:val="20"/>
              </w:rPr>
            </w:pPr>
            <w:r w:rsidRPr="00BD218B">
              <w:rPr>
                <w:rFonts w:asciiTheme="minorHAnsi" w:hAnsiTheme="minorHAnsi"/>
                <w:szCs w:val="20"/>
              </w:rPr>
              <w:t>the class of water access right, water delivery right or irrigation right to which the charge relates;</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the amount of the charge (whether expressed as a dollar amount or as fee units) or details of rates, and all other details necessary to determine that amount;</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the details of any general discount or surcharge, including the circumstances under which the discount or surcharge applies (e.g. a discount for early payment);</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when the charge is payable and, if payable by instalments, the number of instalments and intervals at which the charge is payable;</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 xml:space="preserve">if applicable, the following: </w:t>
            </w:r>
          </w:p>
          <w:p w:rsidR="00BD218B" w:rsidRPr="00BD218B" w:rsidRDefault="00BD218B" w:rsidP="00BD218B">
            <w:pPr>
              <w:pStyle w:val="Heading8"/>
              <w:numPr>
                <w:ilvl w:val="0"/>
                <w:numId w:val="117"/>
              </w:numPr>
              <w:spacing w:before="60" w:after="0"/>
              <w:ind w:left="1418"/>
              <w:outlineLvl w:val="7"/>
              <w:rPr>
                <w:rFonts w:asciiTheme="minorHAnsi" w:hAnsiTheme="minorHAnsi"/>
                <w:szCs w:val="20"/>
              </w:rPr>
            </w:pPr>
            <w:r w:rsidRPr="00BD218B">
              <w:rPr>
                <w:rFonts w:asciiTheme="minorHAnsi" w:hAnsiTheme="minorHAnsi"/>
                <w:szCs w:val="20"/>
              </w:rPr>
              <w:t>who determined the charge (if it was not determined by the person adopting the Schedule of Charges)</w:t>
            </w:r>
          </w:p>
          <w:p w:rsidR="00BD218B" w:rsidRPr="00BD218B" w:rsidRDefault="00BD218B" w:rsidP="00BD218B">
            <w:pPr>
              <w:pStyle w:val="Heading8"/>
              <w:numPr>
                <w:ilvl w:val="0"/>
                <w:numId w:val="117"/>
              </w:numPr>
              <w:spacing w:before="60" w:after="0"/>
              <w:ind w:left="1418"/>
              <w:outlineLvl w:val="7"/>
              <w:rPr>
                <w:rFonts w:asciiTheme="minorHAnsi" w:hAnsiTheme="minorHAnsi"/>
                <w:szCs w:val="20"/>
              </w:rPr>
            </w:pPr>
            <w:r w:rsidRPr="00BD218B">
              <w:rPr>
                <w:rFonts w:asciiTheme="minorHAnsi" w:hAnsiTheme="minorHAnsi"/>
                <w:szCs w:val="20"/>
              </w:rPr>
              <w:t>the name of the agency or person for whom the charge is being collected</w:t>
            </w:r>
          </w:p>
          <w:p w:rsidR="00BD218B" w:rsidRPr="00BD218B" w:rsidRDefault="00BD218B" w:rsidP="00BD218B">
            <w:pPr>
              <w:pStyle w:val="Heading8"/>
              <w:numPr>
                <w:ilvl w:val="0"/>
                <w:numId w:val="117"/>
              </w:numPr>
              <w:spacing w:before="60" w:after="0"/>
              <w:ind w:left="1418"/>
              <w:outlineLvl w:val="7"/>
              <w:rPr>
                <w:rFonts w:asciiTheme="minorHAnsi" w:hAnsiTheme="minorHAnsi"/>
                <w:szCs w:val="20"/>
              </w:rPr>
            </w:pPr>
            <w:r w:rsidRPr="00BD218B">
              <w:rPr>
                <w:rFonts w:asciiTheme="minorHAnsi" w:hAnsiTheme="minorHAnsi"/>
                <w:szCs w:val="20"/>
              </w:rPr>
              <w:t xml:space="preserve">who the charge is payable to (if it is not payable to the person adopting the Schedule of Charges; </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the legislative, contractual or other authority for the charge.</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Schedule of Charges should also include the following general information:</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the date that the Schedule of Charges comes into effect (or will be taken to have come into effect);</w:t>
            </w:r>
          </w:p>
          <w:p w:rsidR="00BD218B" w:rsidRPr="00BD218B" w:rsidRDefault="00BD218B" w:rsidP="00BD218B">
            <w:pPr>
              <w:pStyle w:val="Heading8"/>
              <w:numPr>
                <w:ilvl w:val="0"/>
                <w:numId w:val="106"/>
              </w:numPr>
              <w:spacing w:before="60" w:after="0"/>
              <w:outlineLvl w:val="7"/>
              <w:rPr>
                <w:rFonts w:asciiTheme="minorHAnsi" w:hAnsiTheme="minorHAnsi"/>
                <w:szCs w:val="20"/>
              </w:rPr>
            </w:pPr>
            <w:r w:rsidRPr="00BD218B">
              <w:rPr>
                <w:rFonts w:asciiTheme="minorHAnsi" w:hAnsiTheme="minorHAnsi"/>
                <w:szCs w:val="20"/>
              </w:rPr>
              <w:t>a statement setting out the following:</w:t>
            </w:r>
          </w:p>
          <w:p w:rsidR="00BD218B" w:rsidRPr="00BD218B" w:rsidRDefault="00BD218B" w:rsidP="00BD218B">
            <w:pPr>
              <w:pStyle w:val="Heading8"/>
              <w:numPr>
                <w:ilvl w:val="0"/>
                <w:numId w:val="118"/>
              </w:numPr>
              <w:spacing w:before="60" w:after="0"/>
              <w:ind w:left="1418"/>
              <w:outlineLvl w:val="7"/>
              <w:rPr>
                <w:rFonts w:asciiTheme="minorHAnsi" w:hAnsiTheme="minorHAnsi"/>
                <w:szCs w:val="20"/>
              </w:rPr>
            </w:pPr>
            <w:r w:rsidRPr="00BD218B">
              <w:rPr>
                <w:rFonts w:asciiTheme="minorHAnsi" w:hAnsiTheme="minorHAnsi"/>
                <w:szCs w:val="20"/>
              </w:rPr>
              <w:t>the process used to determine the planning and management charges (this should be at the general level, rather than for each individual charge);</w:t>
            </w:r>
          </w:p>
          <w:p w:rsidR="00BD218B" w:rsidRPr="00BD218B" w:rsidRDefault="00BD218B" w:rsidP="00BD218B">
            <w:pPr>
              <w:pStyle w:val="Heading8"/>
              <w:numPr>
                <w:ilvl w:val="0"/>
                <w:numId w:val="118"/>
              </w:numPr>
              <w:spacing w:before="60" w:after="0"/>
              <w:ind w:left="1418"/>
              <w:outlineLvl w:val="7"/>
              <w:rPr>
                <w:rFonts w:asciiTheme="minorHAnsi" w:hAnsiTheme="minorHAnsi"/>
                <w:szCs w:val="20"/>
              </w:rPr>
            </w:pPr>
            <w:r w:rsidRPr="00BD218B">
              <w:rPr>
                <w:rFonts w:asciiTheme="minorHAnsi" w:hAnsiTheme="minorHAnsi"/>
                <w:szCs w:val="20"/>
              </w:rPr>
              <w:t>how a person may participate in the process used to determine the planning and management charges;</w:t>
            </w:r>
          </w:p>
          <w:p w:rsidR="00BD218B" w:rsidRPr="00BD218B" w:rsidRDefault="00BD218B" w:rsidP="00BD218B">
            <w:pPr>
              <w:pStyle w:val="Heading8"/>
              <w:numPr>
                <w:ilvl w:val="0"/>
                <w:numId w:val="118"/>
              </w:numPr>
              <w:spacing w:before="60" w:after="0"/>
              <w:ind w:left="1418"/>
              <w:outlineLvl w:val="7"/>
              <w:rPr>
                <w:rFonts w:asciiTheme="minorHAnsi" w:hAnsiTheme="minorHAnsi"/>
                <w:szCs w:val="20"/>
              </w:rPr>
            </w:pPr>
            <w:r w:rsidRPr="00BD218B">
              <w:rPr>
                <w:rFonts w:asciiTheme="minorHAnsi" w:hAnsiTheme="minorHAnsi"/>
                <w:szCs w:val="20"/>
              </w:rPr>
              <w:t>how a person can make an enquiry or resolve a dispute with the person who adopted the Schedule of Charges in relation to a regulated water charge;</w:t>
            </w:r>
          </w:p>
          <w:p w:rsidR="00BD218B" w:rsidRPr="00BD218B" w:rsidRDefault="00BD218B" w:rsidP="00BD218B">
            <w:pPr>
              <w:pStyle w:val="Heading8"/>
              <w:numPr>
                <w:ilvl w:val="0"/>
                <w:numId w:val="118"/>
              </w:numPr>
              <w:spacing w:before="60" w:after="0"/>
              <w:ind w:left="1418"/>
              <w:outlineLvl w:val="7"/>
              <w:rPr>
                <w:rFonts w:asciiTheme="minorHAnsi" w:hAnsiTheme="minorHAnsi"/>
                <w:szCs w:val="20"/>
              </w:rPr>
            </w:pPr>
            <w:r w:rsidRPr="00BD218B">
              <w:rPr>
                <w:rFonts w:asciiTheme="minorHAnsi" w:hAnsiTheme="minorHAnsi"/>
                <w:szCs w:val="20"/>
              </w:rPr>
              <w:t>if applicable – any generally available discounts, surcharges or hardship policies;</w:t>
            </w:r>
          </w:p>
          <w:p w:rsidR="00BD218B" w:rsidRPr="00BD218B" w:rsidRDefault="00BD218B" w:rsidP="00BD218B">
            <w:pPr>
              <w:pStyle w:val="Heading8"/>
              <w:numPr>
                <w:ilvl w:val="0"/>
                <w:numId w:val="118"/>
              </w:numPr>
              <w:spacing w:before="60" w:after="0"/>
              <w:ind w:left="1418"/>
              <w:outlineLvl w:val="7"/>
              <w:rPr>
                <w:rFonts w:asciiTheme="minorHAnsi" w:hAnsiTheme="minorHAnsi"/>
                <w:szCs w:val="20"/>
              </w:rPr>
            </w:pPr>
            <w:r w:rsidRPr="00BD218B">
              <w:rPr>
                <w:rFonts w:asciiTheme="minorHAnsi" w:hAnsiTheme="minorHAnsi"/>
                <w:szCs w:val="20"/>
              </w:rPr>
              <w:t>any other information that is reasonably necessary or desirable to explain the charges to the customer.</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should be a civil penalty provision.</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advice is implemented in rules 12 and 13 of the proposed Water Charge Rules.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Conditions applying to planning and management charges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clarify that a person, other than an infrastructure operator, must not levy a planning and management charge that is not specified, for the circumstances in which it is levied, in a Schedule of Charges that is in effect for the person at the time when the circumstances set out in the Schedule of Charges for incurring the charge are met.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should be a civil penalty provision.</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ensure that person levying a planning and management charge does not contravene this provision if the charge is levied retrospectively in accordance with the relevant rules which allow for retrospectivity (see rule advice 5-I).</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 xml:space="preserve">Note: </w:t>
            </w:r>
            <w:r w:rsidRPr="00BD218B">
              <w:rPr>
                <w:rFonts w:asciiTheme="minorHAnsi" w:hAnsiTheme="minorHAnsi"/>
                <w:szCs w:val="20"/>
              </w:rPr>
              <w:t>For a Schedule of Charges to come into effect, it must be adopted in accordance with the rules (see proposed rule 12) and include the information set out above (see proposed rule 13).</w:t>
            </w:r>
          </w:p>
          <w:p w:rsidR="009845D5" w:rsidRPr="00C733B4" w:rsidRDefault="00BD218B" w:rsidP="00035824">
            <w:pPr>
              <w:spacing w:before="60" w:after="60"/>
              <w:rPr>
                <w:rFonts w:asciiTheme="minorHAnsi" w:hAnsiTheme="minorHAnsi"/>
                <w:noProof/>
                <w:sz w:val="20"/>
                <w:szCs w:val="20"/>
              </w:rPr>
            </w:pPr>
            <w:r w:rsidRPr="00BD218B">
              <w:rPr>
                <w:rFonts w:asciiTheme="minorHAnsi" w:hAnsiTheme="minorHAnsi"/>
                <w:sz w:val="20"/>
                <w:szCs w:val="20"/>
              </w:rPr>
              <w:t xml:space="preserve">This rule advice is implemented in rule 7 of the proposed Water Charge Rules. </w:t>
            </w:r>
            <w:r w:rsidR="00440BC7" w:rsidRPr="00C733B4">
              <w:rPr>
                <w:rFonts w:asciiTheme="minorHAnsi" w:hAnsiTheme="minorHAnsi"/>
                <w:sz w:val="20"/>
                <w:szCs w:val="20"/>
              </w:rPr>
              <w:fldChar w:fldCharType="end"/>
            </w:r>
          </w:p>
        </w:tc>
        <w:tc>
          <w:tcPr>
            <w:tcW w:w="3118" w:type="dxa"/>
            <w:shd w:val="clear" w:color="auto" w:fill="D6E3BC" w:themeFill="accent3"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further harmonises the publication requirements applying to persons other than infrastructure operators determining </w:t>
            </w:r>
            <w:r w:rsidR="00EF0674" w:rsidRPr="00C733B4">
              <w:rPr>
                <w:rFonts w:asciiTheme="minorHAnsi" w:hAnsiTheme="minorHAnsi"/>
                <w:sz w:val="20"/>
                <w:szCs w:val="20"/>
              </w:rPr>
              <w:t xml:space="preserve">/ levying </w:t>
            </w:r>
            <w:r w:rsidRPr="00C733B4">
              <w:rPr>
                <w:rFonts w:asciiTheme="minorHAnsi" w:hAnsiTheme="minorHAnsi"/>
                <w:sz w:val="20"/>
                <w:szCs w:val="20"/>
              </w:rPr>
              <w:t xml:space="preserve">planning and management charges </w:t>
            </w:r>
            <w:r w:rsidR="00CD200E" w:rsidRPr="00C733B4">
              <w:rPr>
                <w:rFonts w:asciiTheme="minorHAnsi" w:hAnsiTheme="minorHAnsi"/>
                <w:sz w:val="20"/>
                <w:szCs w:val="20"/>
              </w:rPr>
              <w:t xml:space="preserve">with the requirements applying to </w:t>
            </w:r>
            <w:r w:rsidRPr="00C733B4">
              <w:rPr>
                <w:rFonts w:asciiTheme="minorHAnsi" w:hAnsiTheme="minorHAnsi"/>
                <w:sz w:val="20"/>
                <w:szCs w:val="20"/>
              </w:rPr>
              <w:t xml:space="preserve">infrastructure operators, by requiring those persons to set out on their </w:t>
            </w:r>
            <w:r w:rsidR="00B1638F" w:rsidRPr="00C733B4">
              <w:rPr>
                <w:rFonts w:asciiTheme="minorHAnsi" w:hAnsiTheme="minorHAnsi"/>
                <w:sz w:val="20"/>
                <w:szCs w:val="20"/>
              </w:rPr>
              <w:t>Schedule of Charges</w:t>
            </w:r>
            <w:r w:rsidRPr="00C733B4">
              <w:rPr>
                <w:rFonts w:asciiTheme="minorHAnsi" w:hAnsiTheme="minorHAnsi"/>
                <w:sz w:val="20"/>
                <w:szCs w:val="20"/>
              </w:rPr>
              <w:t xml:space="preserve"> the details of any generally available discounts or surcharges. </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also generalises who </w:t>
            </w:r>
            <w:r w:rsidR="00397BEF" w:rsidRPr="00C733B4">
              <w:rPr>
                <w:rFonts w:asciiTheme="minorHAnsi" w:hAnsiTheme="minorHAnsi"/>
                <w:sz w:val="20"/>
                <w:szCs w:val="20"/>
              </w:rPr>
              <w:t xml:space="preserve">may adopt a Schedule of Charges, and who </w:t>
            </w:r>
            <w:r w:rsidRPr="00C733B4">
              <w:rPr>
                <w:rFonts w:asciiTheme="minorHAnsi" w:hAnsiTheme="minorHAnsi"/>
                <w:sz w:val="20"/>
                <w:szCs w:val="20"/>
              </w:rPr>
              <w:t xml:space="preserve">the prohibition relating to levying charges not on a relevant </w:t>
            </w:r>
            <w:r w:rsidR="00B1638F" w:rsidRPr="00C733B4">
              <w:rPr>
                <w:rFonts w:asciiTheme="minorHAnsi" w:hAnsiTheme="minorHAnsi"/>
                <w:sz w:val="20"/>
                <w:szCs w:val="20"/>
              </w:rPr>
              <w:t>Schedule of Charges</w:t>
            </w:r>
            <w:r w:rsidRPr="00C733B4">
              <w:rPr>
                <w:rFonts w:asciiTheme="minorHAnsi" w:hAnsiTheme="minorHAnsi"/>
                <w:sz w:val="20"/>
                <w:szCs w:val="20"/>
              </w:rPr>
              <w:t xml:space="preserve"> applies to. </w:t>
            </w:r>
          </w:p>
        </w:tc>
      </w:tr>
      <w:tr w:rsidR="00651ACD" w:rsidRPr="00C733B4" w:rsidTr="007040B9">
        <w:trPr>
          <w:trHeight w:val="145"/>
        </w:trPr>
        <w:tc>
          <w:tcPr>
            <w:tcW w:w="11307" w:type="dxa"/>
          </w:tcPr>
          <w:p w:rsidR="00651ACD" w:rsidRPr="00C733B4" w:rsidRDefault="00651ACD" w:rsidP="0018797D">
            <w:pPr>
              <w:pStyle w:val="TOC2"/>
            </w:pPr>
            <w:r w:rsidRPr="00C733B4">
              <w:t>Rule advice 5</w:t>
            </w:r>
            <w:r w:rsidRPr="00C733B4">
              <w:noBreakHyphen/>
              <w:t>G</w:t>
            </w:r>
            <w:r w:rsidRPr="00C733B4">
              <w:rPr>
                <w:rStyle w:val="Hyperlink"/>
                <w:color w:val="auto"/>
                <w:szCs w:val="20"/>
                <w:u w:val="none"/>
              </w:rPr>
              <w:t xml:space="preserve"> </w:t>
            </w:r>
            <w:r w:rsidRPr="00C733B4">
              <w:rPr>
                <w:rStyle w:val="Hyperlink"/>
                <w:b w:val="0"/>
                <w:color w:val="auto"/>
                <w:szCs w:val="20"/>
                <w:u w:val="none"/>
              </w:rPr>
              <w:t>(section 5.4.2)</w:t>
            </w:r>
          </w:p>
          <w:p w:rsidR="00BD218B" w:rsidRPr="00BD218B" w:rsidRDefault="00651ACD"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Rule_Advice_5G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rules should be amended to require all infrastructure operators who have a website to publish their Schedule of Charges on a page on their website that is easily and publicly accessible (not only operators servicing over &gt;10 GL of water access entitlement).</w:t>
            </w:r>
          </w:p>
          <w:p w:rsidR="00651ACD"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rule 15 of the proposed Water Charge Rules.</w:t>
            </w:r>
            <w:r w:rsidR="00651ACD" w:rsidRPr="00C733B4">
              <w:rPr>
                <w:rFonts w:asciiTheme="minorHAnsi" w:hAnsiTheme="minorHAnsi"/>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651ACD" w:rsidRPr="00C733B4" w:rsidTr="007040B9">
        <w:trPr>
          <w:trHeight w:val="145"/>
        </w:trPr>
        <w:tc>
          <w:tcPr>
            <w:tcW w:w="11307" w:type="dxa"/>
          </w:tcPr>
          <w:p w:rsidR="00651ACD" w:rsidRPr="00C733B4" w:rsidRDefault="00651ACD" w:rsidP="0018797D">
            <w:pPr>
              <w:pStyle w:val="TOC2"/>
            </w:pPr>
            <w:r w:rsidRPr="00C733B4">
              <w:t>Rule advice 5</w:t>
            </w:r>
            <w:r w:rsidRPr="00C733B4">
              <w:noBreakHyphen/>
              <w:t>H</w:t>
            </w:r>
            <w:r w:rsidRPr="00C733B4">
              <w:rPr>
                <w:rStyle w:val="Hyperlink"/>
                <w:color w:val="auto"/>
                <w:szCs w:val="20"/>
                <w:u w:val="none"/>
              </w:rPr>
              <w:t xml:space="preserve"> </w:t>
            </w:r>
            <w:r w:rsidRPr="00C733B4">
              <w:rPr>
                <w:rStyle w:val="Hyperlink"/>
                <w:b w:val="0"/>
                <w:color w:val="auto"/>
                <w:szCs w:val="20"/>
                <w:u w:val="none"/>
              </w:rPr>
              <w:t>(section 5.4.2)</w:t>
            </w:r>
          </w:p>
          <w:p w:rsidR="00BD218B" w:rsidRPr="00BD218B" w:rsidRDefault="00651ACD"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Rule_Advice_5H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 xml:space="preserve">The rules should be amended to remove requirements to publish a Schedule of Charges in a local newspaper or in the </w:t>
            </w:r>
            <w:r w:rsidR="00BD218B" w:rsidRPr="00BD218B">
              <w:rPr>
                <w:rFonts w:asciiTheme="minorHAnsi" w:hAnsiTheme="minorHAnsi"/>
                <w:i/>
                <w:szCs w:val="20"/>
              </w:rPr>
              <w:t>Gazette</w:t>
            </w:r>
            <w:r w:rsidR="00BD218B" w:rsidRPr="00BD218B">
              <w:rPr>
                <w:rFonts w:asciiTheme="minorHAnsi" w:hAnsiTheme="minorHAnsi"/>
                <w:szCs w:val="20"/>
              </w:rPr>
              <w:t>.</w:t>
            </w:r>
          </w:p>
          <w:p w:rsidR="00BD218B" w:rsidRPr="00BD218B" w:rsidRDefault="00BD218B" w:rsidP="00BD218B">
            <w:pPr>
              <w:spacing w:before="60"/>
              <w:rPr>
                <w:rFonts w:asciiTheme="minorHAnsi" w:hAnsiTheme="minorHAnsi" w:cs="Times New Roman"/>
                <w:i/>
                <w:sz w:val="20"/>
                <w:szCs w:val="20"/>
              </w:rPr>
            </w:pPr>
            <w:r w:rsidRPr="00BD218B">
              <w:rPr>
                <w:rFonts w:asciiTheme="minorHAnsi" w:hAnsiTheme="minorHAnsi" w:cs="Times New Roman"/>
                <w:i/>
                <w:sz w:val="20"/>
                <w:szCs w:val="20"/>
              </w:rPr>
              <w:t xml:space="preserve">See also rule advice 5-L. </w:t>
            </w:r>
          </w:p>
          <w:p w:rsidR="00651ACD"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the repeal of current WCIR rule 15(1)(b) and (c).</w:t>
            </w:r>
            <w:r w:rsidR="00651ACD" w:rsidRPr="00C733B4">
              <w:rPr>
                <w:rFonts w:asciiTheme="minorHAnsi" w:hAnsiTheme="minorHAnsi"/>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9845D5" w:rsidRPr="00C733B4" w:rsidRDefault="009845D5" w:rsidP="0018797D">
            <w:pPr>
              <w:pStyle w:val="TOC2"/>
            </w:pPr>
            <w:r w:rsidRPr="00C733B4">
              <w:t>Rule advice 5</w:t>
            </w:r>
            <w:r w:rsidRPr="00C733B4">
              <w:noBreakHyphen/>
              <w:t>I</w:t>
            </w:r>
            <w:r w:rsidRPr="00C733B4">
              <w:rPr>
                <w:rStyle w:val="Hyperlink"/>
                <w:color w:val="auto"/>
                <w:szCs w:val="20"/>
                <w:u w:val="none"/>
              </w:rPr>
              <w:t xml:space="preserve"> </w:t>
            </w:r>
            <w:r w:rsidRPr="00C733B4">
              <w:rPr>
                <w:rStyle w:val="Hyperlink"/>
                <w:b w:val="0"/>
                <w:color w:val="auto"/>
                <w:szCs w:val="20"/>
                <w:u w:val="none"/>
              </w:rPr>
              <w:t>(section 5.4.2)</w:t>
            </w:r>
          </w:p>
          <w:p w:rsidR="00BD218B" w:rsidRPr="00BD218B" w:rsidRDefault="00DC434C" w:rsidP="00BD218B">
            <w:pPr>
              <w:pStyle w:val="Ruleadvicesubheading"/>
              <w:spacing w:before="60" w:after="0"/>
              <w:rPr>
                <w:rFonts w:asciiTheme="minorHAnsi" w:hAnsiTheme="minorHAnsi"/>
                <w:sz w:val="20"/>
                <w:szCs w:val="20"/>
              </w:rPr>
            </w:pPr>
            <w:r w:rsidRPr="00C733B4">
              <w:rPr>
                <w:rFonts w:asciiTheme="minorHAnsi" w:hAnsiTheme="minorHAnsi"/>
                <w:noProof/>
                <w:sz w:val="20"/>
                <w:szCs w:val="20"/>
              </w:rPr>
              <w:fldChar w:fldCharType="begin"/>
            </w:r>
            <w:r w:rsidRPr="00C733B4">
              <w:rPr>
                <w:rFonts w:asciiTheme="minorHAnsi" w:hAnsiTheme="minorHAnsi"/>
                <w:noProof/>
                <w:sz w:val="20"/>
                <w:szCs w:val="20"/>
              </w:rPr>
              <w:instrText xml:space="preserve"> REF  Rule_Advice_5I \h  \* MERGEFORMAT </w:instrText>
            </w:r>
            <w:r w:rsidRPr="00C733B4">
              <w:rPr>
                <w:rFonts w:asciiTheme="minorHAnsi" w:hAnsiTheme="minorHAnsi"/>
                <w:noProof/>
                <w:sz w:val="20"/>
                <w:szCs w:val="20"/>
              </w:rPr>
            </w:r>
            <w:r w:rsidRPr="00C733B4">
              <w:rPr>
                <w:rFonts w:asciiTheme="minorHAnsi" w:hAnsiTheme="minorHAnsi"/>
                <w:noProof/>
                <w:sz w:val="20"/>
                <w:szCs w:val="20"/>
              </w:rPr>
              <w:fldChar w:fldCharType="separate"/>
            </w:r>
            <w:r w:rsidR="00BD218B" w:rsidRPr="00BD218B">
              <w:rPr>
                <w:rFonts w:asciiTheme="minorHAnsi" w:hAnsiTheme="minorHAnsi"/>
                <w:sz w:val="20"/>
                <w:szCs w:val="20"/>
              </w:rPr>
              <w:t>Timeframes to give / publish the Schedule of Charges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be amended to change the current timeframes for when a Schedule of Charges that has been adopted by a person (including infrastructure operator) must be given (see below advice on the meaning of “give” in this context):</w:t>
            </w:r>
          </w:p>
          <w:p w:rsidR="00BD218B" w:rsidRPr="00BD218B" w:rsidRDefault="00BD218B" w:rsidP="00020517">
            <w:pPr>
              <w:pStyle w:val="Ruleadvicebullet"/>
              <w:rPr>
                <w:rFonts w:asciiTheme="minorHAnsi" w:hAnsiTheme="minorHAnsi"/>
              </w:rPr>
            </w:pPr>
            <w:r w:rsidRPr="00BD218B">
              <w:rPr>
                <w:rFonts w:asciiTheme="minorHAnsi" w:hAnsiTheme="minorHAnsi"/>
              </w:rPr>
              <w:t>For an infrastructure operator who levies an infrastructure charge in relation to either:</w:t>
            </w:r>
          </w:p>
          <w:p w:rsidR="00BD218B" w:rsidRPr="00BD218B" w:rsidRDefault="00BD218B" w:rsidP="00C733B4">
            <w:pPr>
              <w:pStyle w:val="Ruleadvicebulletlevel2"/>
              <w:rPr>
                <w:rFonts w:asciiTheme="minorHAnsi" w:hAnsiTheme="minorHAnsi"/>
              </w:rPr>
            </w:pPr>
            <w:r w:rsidRPr="00BD218B">
              <w:rPr>
                <w:rFonts w:asciiTheme="minorHAnsi" w:hAnsiTheme="minorHAnsi"/>
              </w:rPr>
              <w:t xml:space="preserve">a bulk water service in respect of water access rights; or </w:t>
            </w:r>
          </w:p>
          <w:p w:rsidR="00BD218B" w:rsidRPr="00BD218B" w:rsidRDefault="00BD218B" w:rsidP="00C733B4">
            <w:pPr>
              <w:pStyle w:val="Ruleadvicebulletlevel2"/>
              <w:rPr>
                <w:rFonts w:asciiTheme="minorHAnsi" w:hAnsiTheme="minorHAnsi"/>
              </w:rPr>
            </w:pPr>
            <w:r w:rsidRPr="00BD218B">
              <w:rPr>
                <w:rFonts w:asciiTheme="minorHAnsi" w:hAnsiTheme="minorHAnsi"/>
              </w:rPr>
              <w:t>infrastructure services in relation to the storage or delivery of water that is necessary to give effect to an arrangement for the sharing of water between more than one Basin State;</w:t>
            </w:r>
          </w:p>
          <w:p w:rsidR="00BD218B" w:rsidRPr="00BD218B" w:rsidRDefault="00BD218B" w:rsidP="00BD218B">
            <w:pPr>
              <w:pStyle w:val="Heading8"/>
              <w:spacing w:before="60" w:after="0"/>
              <w:ind w:left="426"/>
              <w:outlineLvl w:val="7"/>
              <w:rPr>
                <w:rFonts w:asciiTheme="minorHAnsi" w:hAnsiTheme="minorHAnsi"/>
                <w:szCs w:val="20"/>
              </w:rPr>
            </w:pPr>
            <w:r w:rsidRPr="00BD218B">
              <w:rPr>
                <w:rFonts w:asciiTheme="minorHAnsi" w:hAnsiTheme="minorHAnsi"/>
                <w:szCs w:val="20"/>
              </w:rPr>
              <w:t xml:space="preserve">the operator must give a copy of its Schedule of Charges to its customers, and publish it on its website (if it has a website), 25 business days or more before the Schedule of Charges comes into effect.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For an infrastructure operator of any other kind who adopts a Schedule of Charges, the operator must give a copy of the Schedule of Charges to its customers, and publish on its website (if it has a website), 10 business days or more before the Schedule of Charges comes into effect.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A person, other than an infrastructure operator, who adopts a Schedule of Charges must: </w:t>
            </w:r>
          </w:p>
          <w:p w:rsidR="00BD218B" w:rsidRPr="00BD218B" w:rsidRDefault="00BD218B" w:rsidP="00C733B4">
            <w:pPr>
              <w:pStyle w:val="Ruleadvicebulletlevel2"/>
              <w:rPr>
                <w:rFonts w:asciiTheme="minorHAnsi" w:hAnsiTheme="minorHAnsi"/>
              </w:rPr>
            </w:pPr>
            <w:r w:rsidRPr="00BD218B">
              <w:rPr>
                <w:rFonts w:asciiTheme="minorHAnsi" w:hAnsiTheme="minorHAnsi"/>
              </w:rPr>
              <w:t>publish the Schedule of Charges on its own website, or cause the Schedule of Charges to be published on the website of:</w:t>
            </w:r>
          </w:p>
          <w:p w:rsidR="00BD218B" w:rsidRPr="005B4362" w:rsidRDefault="00BD218B" w:rsidP="00C733B4">
            <w:pPr>
              <w:pStyle w:val="Ruleadvicebulletlevel3"/>
            </w:pPr>
            <w:r w:rsidRPr="005B4362">
              <w:t>the person who determined the charge; or</w:t>
            </w:r>
          </w:p>
          <w:p w:rsidR="00BD218B" w:rsidRDefault="00BD218B" w:rsidP="00C733B4">
            <w:pPr>
              <w:pStyle w:val="Ruleadvicebulletlevel3"/>
            </w:pPr>
            <w:r w:rsidRPr="005B4362">
              <w:t>the agency or person to whom the charge is payable</w:t>
            </w:r>
            <w:r>
              <w:t>; or</w:t>
            </w:r>
          </w:p>
          <w:p w:rsidR="00BD218B" w:rsidRPr="005B4362" w:rsidRDefault="00BD218B" w:rsidP="00C733B4">
            <w:pPr>
              <w:pStyle w:val="Ruleadvicebulletlevel3"/>
            </w:pPr>
            <w:r>
              <w:t>the agency or person on whose behalf the charge is collected</w:t>
            </w:r>
            <w:r w:rsidRPr="005B4362">
              <w:t xml:space="preserve">; </w:t>
            </w:r>
            <w:r>
              <w:t>and</w:t>
            </w:r>
          </w:p>
          <w:p w:rsidR="00BD218B" w:rsidRPr="00BD218B" w:rsidRDefault="00BD218B" w:rsidP="00C733B4">
            <w:pPr>
              <w:pStyle w:val="Ruleadvicebulletlevel2"/>
              <w:rPr>
                <w:rFonts w:asciiTheme="minorHAnsi" w:hAnsiTheme="minorHAnsi"/>
              </w:rPr>
            </w:pPr>
            <w:r w:rsidRPr="00BD218B">
              <w:rPr>
                <w:rFonts w:asciiTheme="minorHAnsi" w:hAnsiTheme="minorHAnsi"/>
              </w:rPr>
              <w:t>ensure that the Schedule of Charges is made available at its principal place of business, or the principal place of business of:</w:t>
            </w:r>
          </w:p>
          <w:p w:rsidR="00BD218B" w:rsidRPr="005B4362" w:rsidRDefault="00BD218B" w:rsidP="00C733B4">
            <w:pPr>
              <w:pStyle w:val="Ruleadvicebulletlevel3"/>
            </w:pPr>
            <w:r w:rsidRPr="005B4362">
              <w:t>the person who determined the charge; or</w:t>
            </w:r>
          </w:p>
          <w:p w:rsidR="00BD218B" w:rsidRDefault="00BD218B" w:rsidP="00C733B4">
            <w:pPr>
              <w:pStyle w:val="Ruleadvicebulletlevel3"/>
            </w:pPr>
            <w:r w:rsidRPr="005B4362">
              <w:t>the agency or person to whom the charge is payable</w:t>
            </w:r>
            <w:r>
              <w:t>; or</w:t>
            </w:r>
          </w:p>
          <w:p w:rsidR="00BD218B" w:rsidRPr="005B4362" w:rsidRDefault="00BD218B" w:rsidP="00C733B4">
            <w:pPr>
              <w:pStyle w:val="Ruleadvicebulletlevel3"/>
            </w:pPr>
            <w:r>
              <w:t>the agency or person on whose behalf the charge is collected;</w:t>
            </w:r>
          </w:p>
          <w:p w:rsidR="00BD218B" w:rsidRPr="00BD218B" w:rsidRDefault="00BD218B" w:rsidP="00BD218B">
            <w:pPr>
              <w:pStyle w:val="Heading8"/>
              <w:spacing w:before="60" w:after="0"/>
              <w:ind w:left="426"/>
              <w:outlineLvl w:val="7"/>
              <w:rPr>
                <w:rFonts w:asciiTheme="minorHAnsi" w:hAnsiTheme="minorHAnsi"/>
                <w:szCs w:val="20"/>
              </w:rPr>
            </w:pPr>
            <w:r w:rsidRPr="00BD218B">
              <w:rPr>
                <w:rFonts w:asciiTheme="minorHAnsi" w:hAnsiTheme="minorHAnsi"/>
                <w:szCs w:val="20"/>
              </w:rPr>
              <w:t xml:space="preserve">25 business days or more before the Schedule of Charges takes effect for the person who levies the charges.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 xml:space="preserve">Note: </w:t>
            </w:r>
            <w:r w:rsidRPr="00BD218B">
              <w:rPr>
                <w:rFonts w:asciiTheme="minorHAnsi" w:hAnsiTheme="minorHAnsi"/>
                <w:szCs w:val="20"/>
              </w:rPr>
              <w:t xml:space="preserve">As indicated above, the person who is required to publish the Schedule of Charges should be the person who adopts a Schedule of Charges.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These rules should be civil penalty provisions.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Delays due to determination / approval requirements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provide that if a person (including an infrastructure operator) is required under the rules to give / publish a Schedule of Charges which:</w:t>
            </w:r>
          </w:p>
          <w:p w:rsidR="00BD218B" w:rsidRPr="00BD218B" w:rsidRDefault="00BD218B" w:rsidP="00020517">
            <w:pPr>
              <w:pStyle w:val="Ruleadvicebullet"/>
              <w:rPr>
                <w:rFonts w:asciiTheme="minorHAnsi" w:hAnsiTheme="minorHAnsi"/>
              </w:rPr>
            </w:pPr>
            <w:r w:rsidRPr="00BD218B">
              <w:rPr>
                <w:rFonts w:asciiTheme="minorHAnsi" w:hAnsiTheme="minorHAnsi"/>
              </w:rPr>
              <w:t>includes charges that were approved or determined by another person that was either the ACCC or a State Agency; and</w:t>
            </w:r>
          </w:p>
          <w:p w:rsidR="00BD218B" w:rsidRPr="00BD218B" w:rsidRDefault="00BD218B" w:rsidP="00020517">
            <w:pPr>
              <w:pStyle w:val="Ruleadvicebullet"/>
              <w:rPr>
                <w:rFonts w:asciiTheme="minorHAnsi" w:hAnsiTheme="minorHAnsi"/>
              </w:rPr>
            </w:pPr>
            <w:r w:rsidRPr="00BD218B">
              <w:rPr>
                <w:rFonts w:asciiTheme="minorHAnsi" w:hAnsiTheme="minorHAnsi"/>
              </w:rPr>
              <w:t>the approval or determination is delayed such that the person is unable to comply with the timeframes for giving / publishing its Schedule of Charges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operator is taken to have complied with the timing requirements if they give / publish their Schedule of Charges as soon as practicable after the charges have been approved or determined (e.g. after the regulator publishes its final decision), and the operator’s charges may take effect from the date specified in the regulatory decision, including if this date is before the date the operator gives / publishes its Schedule of Charges.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 xml:space="preserve">Changes in charges being passed through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When the infrastructure charges and / planning and management charges incurred by an operator (and which rule advice 5-Y requires the operator to pass-through) have changed or will change, and this is the only reason an infrastructure operator needs to adopt a new Schedule of Charges, the rules should allow an infrastructure operator to adopt the new Schedule without triggering the obligation to give the Schedule to all its customers prior to the charges coming into effect. However, the infrastructure operator should still be required―in relation to the newly adopted Schedule of Charges―to: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publish the Schedule on their website (if they have one) as soon as practicable after adoption; </w:t>
            </w:r>
          </w:p>
          <w:p w:rsidR="00BD218B" w:rsidRPr="00BD218B" w:rsidRDefault="00BD218B" w:rsidP="00020517">
            <w:pPr>
              <w:pStyle w:val="Ruleadvicebullet"/>
              <w:rPr>
                <w:rFonts w:asciiTheme="minorHAnsi" w:hAnsiTheme="minorHAnsi"/>
              </w:rPr>
            </w:pPr>
            <w:r w:rsidRPr="00BD218B">
              <w:rPr>
                <w:rFonts w:asciiTheme="minorHAnsi" w:hAnsiTheme="minorHAnsi"/>
              </w:rPr>
              <w:t>make the Schedule available on request;</w:t>
            </w:r>
          </w:p>
          <w:p w:rsidR="00BD218B" w:rsidRPr="00BD218B" w:rsidRDefault="00BD218B" w:rsidP="00020517">
            <w:pPr>
              <w:pStyle w:val="Ruleadvicebullet"/>
              <w:rPr>
                <w:rFonts w:asciiTheme="minorHAnsi" w:hAnsiTheme="minorHAnsi"/>
              </w:rPr>
            </w:pPr>
            <w:r w:rsidRPr="00BD218B">
              <w:rPr>
                <w:rFonts w:asciiTheme="minorHAnsi" w:hAnsiTheme="minorHAnsi"/>
              </w:rPr>
              <w:t>give the Schedule, or a notice regarding the details of the updates, when the operator next invoices customers.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allow an updated charge to commence on the same date the infrastructure charge or planning and management charge incurred by the operator commences (even if this was before the new Schedule of Charges is adopted).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 xml:space="preserve">Note: </w:t>
            </w:r>
            <w:r w:rsidRPr="00BD218B">
              <w:rPr>
                <w:rFonts w:asciiTheme="minorHAnsi" w:hAnsiTheme="minorHAnsi"/>
                <w:szCs w:val="20"/>
              </w:rPr>
              <w:t>rule advice 5-Y allows an operator to defer updating any infrastructure charge(s) that it levies to recover the cost of charges it incurs</w:t>
            </w:r>
            <w:r w:rsidRPr="00BD218B">
              <w:rPr>
                <w:rFonts w:asciiTheme="minorHAnsi" w:hAnsiTheme="minorHAnsi"/>
                <w:i/>
                <w:szCs w:val="20"/>
              </w:rPr>
              <w:t xml:space="preserve"> </w:t>
            </w:r>
            <w:r w:rsidRPr="00BD218B">
              <w:rPr>
                <w:rFonts w:asciiTheme="minorHAnsi" w:hAnsiTheme="minorHAnsi"/>
                <w:szCs w:val="20"/>
              </w:rPr>
              <w:t>for up to three months after the charges it incurs are changed.</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Requirement to give the Schedule of Charges to new customers or on request</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be amended to change the current timeframes for an infrastructure operator to give a copy of its Schedule of Charges:</w:t>
            </w:r>
          </w:p>
          <w:p w:rsidR="00BD218B" w:rsidRPr="00BD218B" w:rsidRDefault="00BD218B" w:rsidP="00020517">
            <w:pPr>
              <w:pStyle w:val="Ruleadvicebullet"/>
              <w:rPr>
                <w:rFonts w:asciiTheme="minorHAnsi" w:hAnsiTheme="minorHAnsi"/>
              </w:rPr>
            </w:pPr>
            <w:r w:rsidRPr="00BD218B">
              <w:rPr>
                <w:rFonts w:asciiTheme="minorHAnsi" w:hAnsiTheme="minorHAnsi"/>
              </w:rPr>
              <w:t>to a new customer—to within 10 business days of the day that the operator first receives notice or otherwise becomes aware that the person is a customer.</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on request—within 10 business days of the request (reduced from 20 business days).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also require that the operator not only provide its current Schedule of Charges but also any Schedule of Charges which is not yet in effect but has been given to the operator’s other customers in accordance with the rules.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These rules should be civil penalty provisions.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The meaning of ‘give’</w:t>
            </w:r>
          </w:p>
          <w:p w:rsidR="00BD218B" w:rsidRPr="00BD218B" w:rsidRDefault="00BD218B" w:rsidP="00BD218B">
            <w:pPr>
              <w:pStyle w:val="Heading8"/>
              <w:keepNext/>
              <w:keepLines/>
              <w:spacing w:before="60" w:after="0"/>
              <w:outlineLvl w:val="7"/>
              <w:rPr>
                <w:rFonts w:asciiTheme="minorHAnsi" w:hAnsiTheme="minorHAnsi"/>
                <w:szCs w:val="20"/>
              </w:rPr>
            </w:pPr>
            <w:r w:rsidRPr="00BD218B">
              <w:rPr>
                <w:rFonts w:asciiTheme="minorHAnsi" w:hAnsiTheme="minorHAnsi"/>
                <w:szCs w:val="20"/>
              </w:rPr>
              <w:t xml:space="preserve">The rules should be amended such that an operator is taken to have given a Schedule of Charges to its customers on the day that it is posted or otherwise sent. That is, an infrastructure operator should not be required to ensure that a customer has </w:t>
            </w:r>
            <w:r w:rsidRPr="00BD218B">
              <w:rPr>
                <w:rFonts w:asciiTheme="minorHAnsi" w:hAnsiTheme="minorHAnsi"/>
                <w:bCs/>
                <w:i/>
                <w:szCs w:val="20"/>
              </w:rPr>
              <w:t>received</w:t>
            </w:r>
            <w:r w:rsidRPr="00BD218B">
              <w:rPr>
                <w:rFonts w:asciiTheme="minorHAnsi" w:hAnsiTheme="minorHAnsi"/>
                <w:szCs w:val="20"/>
              </w:rPr>
              <w:t xml:space="preserve"> the Schedule of Charges within the timeframe specified in the rules. </w:t>
            </w:r>
          </w:p>
          <w:p w:rsidR="00BD218B" w:rsidRPr="00BD218B" w:rsidRDefault="00BD218B" w:rsidP="00BD218B">
            <w:pPr>
              <w:pStyle w:val="Heading8"/>
              <w:keepNext/>
              <w:keepLines/>
              <w:spacing w:before="60" w:after="0"/>
              <w:outlineLvl w:val="7"/>
              <w:rPr>
                <w:rFonts w:asciiTheme="minorHAnsi" w:hAnsiTheme="minorHAnsi"/>
                <w:szCs w:val="20"/>
              </w:rPr>
            </w:pPr>
            <w:r w:rsidRPr="00BD218B">
              <w:rPr>
                <w:rFonts w:asciiTheme="minorHAnsi" w:hAnsiTheme="minorHAnsi"/>
                <w:szCs w:val="20"/>
              </w:rPr>
              <w:t xml:space="preserve">Further, the rules should clarify that an infrastructure operator: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does not need to send the Schedule of Charges to all customers via the same means </w:t>
            </w:r>
          </w:p>
          <w:p w:rsidR="00BD218B" w:rsidRPr="00BD218B" w:rsidRDefault="00BD218B" w:rsidP="00020517">
            <w:pPr>
              <w:pStyle w:val="Ruleadvicebullet"/>
              <w:rPr>
                <w:rFonts w:asciiTheme="minorHAnsi" w:hAnsiTheme="minorHAnsi"/>
              </w:rPr>
            </w:pPr>
            <w:r w:rsidRPr="00BD218B">
              <w:rPr>
                <w:rFonts w:asciiTheme="minorHAnsi" w:hAnsiTheme="minorHAnsi"/>
              </w:rPr>
              <w:t>may send the Schedule of Charges in electronic form including via fax, email or text message including by attaching the document to an email or referring to an Internet address where the document can be found in an email or text message.</w:t>
            </w:r>
          </w:p>
          <w:p w:rsidR="009845D5"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rules 3, 11, 12 and 15 of the proposed Water Charge Rules.</w:t>
            </w:r>
            <w:r w:rsidR="00DC434C" w:rsidRPr="00C733B4">
              <w:rPr>
                <w:rFonts w:asciiTheme="minorHAnsi" w:hAnsiTheme="minorHAnsi"/>
                <w:noProof/>
                <w:szCs w:val="20"/>
              </w:rPr>
              <w:fldChar w:fldCharType="end"/>
            </w:r>
          </w:p>
        </w:tc>
        <w:tc>
          <w:tcPr>
            <w:tcW w:w="3118" w:type="dxa"/>
            <w:shd w:val="clear" w:color="auto" w:fill="D6E3BC" w:themeFill="accent3"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provides for flexibility in timing requirements </w:t>
            </w:r>
            <w:r w:rsidR="00EC1F6C" w:rsidRPr="00C733B4">
              <w:rPr>
                <w:rFonts w:asciiTheme="minorHAnsi" w:hAnsiTheme="minorHAnsi"/>
                <w:sz w:val="20"/>
                <w:szCs w:val="20"/>
              </w:rPr>
              <w:t xml:space="preserve">for the publication and giving of the Schedule of Charges to customers </w:t>
            </w:r>
            <w:r w:rsidR="00CD200E" w:rsidRPr="00C733B4">
              <w:rPr>
                <w:rFonts w:asciiTheme="minorHAnsi" w:hAnsiTheme="minorHAnsi"/>
                <w:sz w:val="20"/>
                <w:szCs w:val="20"/>
              </w:rPr>
              <w:t>due to the timing of</w:t>
            </w:r>
            <w:r w:rsidRPr="00C733B4">
              <w:rPr>
                <w:rFonts w:asciiTheme="minorHAnsi" w:hAnsiTheme="minorHAnsi"/>
                <w:sz w:val="20"/>
                <w:szCs w:val="20"/>
              </w:rPr>
              <w:t xml:space="preserve"> a regulatory decision</w:t>
            </w:r>
            <w:r w:rsidR="00EC1F6C" w:rsidRPr="00C733B4">
              <w:rPr>
                <w:rFonts w:asciiTheme="minorHAnsi" w:hAnsiTheme="minorHAnsi"/>
                <w:sz w:val="20"/>
                <w:szCs w:val="20"/>
              </w:rPr>
              <w:t>,</w:t>
            </w:r>
            <w:r w:rsidRPr="00C733B4">
              <w:rPr>
                <w:rFonts w:asciiTheme="minorHAnsi" w:hAnsiTheme="minorHAnsi"/>
                <w:sz w:val="20"/>
                <w:szCs w:val="20"/>
              </w:rPr>
              <w:t xml:space="preserve"> or when charges incurred by an operator change. </w:t>
            </w:r>
          </w:p>
          <w:p w:rsidR="00397BEF" w:rsidRPr="00C733B4" w:rsidRDefault="00397BEF"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also provides operators with a longer timeframe for sending a </w:t>
            </w:r>
            <w:r w:rsidR="00B1638F" w:rsidRPr="00C733B4">
              <w:rPr>
                <w:rFonts w:asciiTheme="minorHAnsi" w:hAnsiTheme="minorHAnsi"/>
                <w:sz w:val="20"/>
                <w:szCs w:val="20"/>
              </w:rPr>
              <w:t>Schedule of Charges</w:t>
            </w:r>
            <w:r w:rsidRPr="00C733B4">
              <w:rPr>
                <w:rFonts w:asciiTheme="minorHAnsi" w:hAnsiTheme="minorHAnsi"/>
                <w:sz w:val="20"/>
                <w:szCs w:val="20"/>
              </w:rPr>
              <w:t xml:space="preserve"> to a new customer. </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w:t>
            </w:r>
            <w:r w:rsidR="000A42A9" w:rsidRPr="00C733B4">
              <w:rPr>
                <w:rFonts w:asciiTheme="minorHAnsi" w:hAnsiTheme="minorHAnsi"/>
                <w:sz w:val="20"/>
                <w:szCs w:val="20"/>
              </w:rPr>
              <w:t xml:space="preserve">generalises </w:t>
            </w:r>
            <w:r w:rsidRPr="00C733B4">
              <w:rPr>
                <w:rFonts w:asciiTheme="minorHAnsi" w:hAnsiTheme="minorHAnsi"/>
                <w:sz w:val="20"/>
                <w:szCs w:val="20"/>
              </w:rPr>
              <w:t xml:space="preserve">the approach </w:t>
            </w:r>
            <w:r w:rsidR="000A42A9" w:rsidRPr="00C733B4">
              <w:rPr>
                <w:rFonts w:asciiTheme="minorHAnsi" w:hAnsiTheme="minorHAnsi"/>
                <w:sz w:val="20"/>
                <w:szCs w:val="20"/>
              </w:rPr>
              <w:t xml:space="preserve">taken in </w:t>
            </w:r>
            <w:r w:rsidRPr="00C733B4">
              <w:rPr>
                <w:rFonts w:asciiTheme="minorHAnsi" w:hAnsiTheme="minorHAnsi"/>
                <w:sz w:val="20"/>
                <w:szCs w:val="20"/>
              </w:rPr>
              <w:t xml:space="preserve">the </w:t>
            </w:r>
            <w:r w:rsidR="000A42A9" w:rsidRPr="00C733B4">
              <w:rPr>
                <w:rFonts w:asciiTheme="minorHAnsi" w:hAnsiTheme="minorHAnsi"/>
                <w:sz w:val="20"/>
                <w:szCs w:val="20"/>
              </w:rPr>
              <w:t xml:space="preserve">current </w:t>
            </w:r>
            <w:r w:rsidRPr="00C733B4">
              <w:rPr>
                <w:rFonts w:asciiTheme="minorHAnsi" w:hAnsiTheme="minorHAnsi"/>
                <w:sz w:val="20"/>
                <w:szCs w:val="20"/>
              </w:rPr>
              <w:t>WCPMIR</w:t>
            </w:r>
            <w:r w:rsidR="000A42A9" w:rsidRPr="00C733B4">
              <w:rPr>
                <w:rFonts w:asciiTheme="minorHAnsi" w:hAnsiTheme="minorHAnsi"/>
                <w:sz w:val="20"/>
                <w:szCs w:val="20"/>
              </w:rPr>
              <w:t>, such</w:t>
            </w:r>
            <w:r w:rsidRPr="00C733B4">
              <w:rPr>
                <w:rFonts w:asciiTheme="minorHAnsi" w:hAnsiTheme="minorHAnsi"/>
                <w:sz w:val="20"/>
                <w:szCs w:val="20"/>
              </w:rPr>
              <w:t xml:space="preserve"> that the</w:t>
            </w:r>
            <w:r w:rsidR="000A42A9" w:rsidRPr="00C733B4">
              <w:rPr>
                <w:rFonts w:asciiTheme="minorHAnsi" w:hAnsiTheme="minorHAnsi"/>
                <w:sz w:val="20"/>
                <w:szCs w:val="20"/>
              </w:rPr>
              <w:t xml:space="preserve"> requirements for a person (other than an infrastructure operator) to adopt and publish a Schedule of Charges may be fulfilled by the </w:t>
            </w:r>
            <w:r w:rsidRPr="00C733B4">
              <w:rPr>
                <w:rFonts w:asciiTheme="minorHAnsi" w:hAnsiTheme="minorHAnsi"/>
                <w:sz w:val="20"/>
                <w:szCs w:val="20"/>
              </w:rPr>
              <w:t>person who determine</w:t>
            </w:r>
            <w:r w:rsidR="000A42A9" w:rsidRPr="00C733B4">
              <w:rPr>
                <w:rFonts w:asciiTheme="minorHAnsi" w:hAnsiTheme="minorHAnsi"/>
                <w:sz w:val="20"/>
                <w:szCs w:val="20"/>
              </w:rPr>
              <w:t>s</w:t>
            </w:r>
            <w:r w:rsidRPr="00C733B4">
              <w:rPr>
                <w:rFonts w:asciiTheme="minorHAnsi" w:hAnsiTheme="minorHAnsi"/>
                <w:sz w:val="20"/>
                <w:szCs w:val="20"/>
              </w:rPr>
              <w:t xml:space="preserve"> </w:t>
            </w:r>
            <w:r w:rsidR="000A42A9" w:rsidRPr="00C733B4">
              <w:rPr>
                <w:rFonts w:asciiTheme="minorHAnsi" w:hAnsiTheme="minorHAnsi"/>
                <w:sz w:val="20"/>
                <w:szCs w:val="20"/>
              </w:rPr>
              <w:t>planning and management charges, the person who levies the charges, or the person on whose behalf the charges are collected</w:t>
            </w:r>
            <w:r w:rsidRPr="00C733B4">
              <w:rPr>
                <w:rFonts w:asciiTheme="minorHAnsi" w:hAnsiTheme="minorHAnsi"/>
                <w:sz w:val="20"/>
                <w:szCs w:val="20"/>
              </w:rPr>
              <w:t>.</w:t>
            </w:r>
            <w:r w:rsidR="000A42A9" w:rsidRPr="00C733B4">
              <w:rPr>
                <w:rFonts w:asciiTheme="minorHAnsi" w:hAnsiTheme="minorHAnsi"/>
                <w:sz w:val="20"/>
                <w:szCs w:val="20"/>
              </w:rPr>
              <w:t xml:space="preserve"> </w:t>
            </w:r>
          </w:p>
          <w:p w:rsidR="009845D5" w:rsidRPr="00C733B4" w:rsidRDefault="009845D5" w:rsidP="0018797D">
            <w:pPr>
              <w:spacing w:before="60" w:after="60"/>
              <w:rPr>
                <w:rFonts w:asciiTheme="minorHAnsi" w:hAnsiTheme="minorHAnsi"/>
                <w:sz w:val="20"/>
                <w:szCs w:val="20"/>
              </w:rPr>
            </w:pPr>
          </w:p>
          <w:p w:rsidR="009845D5" w:rsidRPr="00C733B4" w:rsidRDefault="009845D5" w:rsidP="0018797D">
            <w:pPr>
              <w:spacing w:before="60" w:after="60"/>
              <w:rPr>
                <w:rFonts w:asciiTheme="minorHAnsi" w:hAnsiTheme="minorHAnsi"/>
                <w:sz w:val="20"/>
                <w:szCs w:val="20"/>
              </w:rPr>
            </w:pPr>
          </w:p>
        </w:tc>
      </w:tr>
      <w:tr w:rsidR="009845D5" w:rsidRPr="00C733B4" w:rsidTr="007040B9">
        <w:trPr>
          <w:trHeight w:val="145"/>
        </w:trPr>
        <w:tc>
          <w:tcPr>
            <w:tcW w:w="11307" w:type="dxa"/>
            <w:shd w:val="clear" w:color="auto" w:fill="auto"/>
          </w:tcPr>
          <w:p w:rsidR="009845D5" w:rsidRPr="00C733B4" w:rsidRDefault="009845D5" w:rsidP="0018797D">
            <w:pPr>
              <w:pStyle w:val="TOC2"/>
              <w:rPr>
                <w:szCs w:val="20"/>
              </w:rPr>
            </w:pPr>
            <w:r w:rsidRPr="00C733B4">
              <w:rPr>
                <w:szCs w:val="20"/>
              </w:rPr>
              <w:t>Rule advice 5</w:t>
            </w:r>
            <w:r w:rsidRPr="00C733B4">
              <w:rPr>
                <w:szCs w:val="20"/>
              </w:rPr>
              <w:noBreakHyphen/>
              <w:t>J</w:t>
            </w:r>
            <w:r w:rsidRPr="00C733B4">
              <w:rPr>
                <w:rStyle w:val="Hyperlink"/>
                <w:color w:val="auto"/>
                <w:szCs w:val="20"/>
                <w:u w:val="none"/>
              </w:rPr>
              <w:t xml:space="preserve"> </w:t>
            </w:r>
            <w:r w:rsidRPr="00C733B4">
              <w:rPr>
                <w:rStyle w:val="Hyperlink"/>
                <w:b w:val="0"/>
                <w:color w:val="auto"/>
                <w:szCs w:val="20"/>
                <w:u w:val="none"/>
              </w:rPr>
              <w:t>(section 5.4.3)</w:t>
            </w:r>
          </w:p>
          <w:p w:rsidR="00BD218B" w:rsidRPr="00BD218B" w:rsidRDefault="00DC434C" w:rsidP="00BD218B">
            <w:pPr>
              <w:pStyle w:val="Ruleadvicesubheading"/>
              <w:spacing w:before="60" w:after="0"/>
              <w:rPr>
                <w:rFonts w:asciiTheme="minorHAnsi" w:hAnsiTheme="minorHAnsi"/>
                <w:sz w:val="20"/>
                <w:szCs w:val="20"/>
              </w:rPr>
            </w:pPr>
            <w:r w:rsidRPr="00C733B4">
              <w:rPr>
                <w:rFonts w:asciiTheme="minorHAnsi" w:hAnsiTheme="minorHAnsi"/>
                <w:noProof/>
                <w:sz w:val="20"/>
                <w:szCs w:val="20"/>
              </w:rPr>
              <w:fldChar w:fldCharType="begin"/>
            </w:r>
            <w:r w:rsidRPr="00C733B4">
              <w:rPr>
                <w:rFonts w:asciiTheme="minorHAnsi" w:hAnsiTheme="minorHAnsi"/>
                <w:noProof/>
                <w:sz w:val="20"/>
                <w:szCs w:val="20"/>
              </w:rPr>
              <w:instrText xml:space="preserve"> REF  Rule_Advice_5J \h  \* MERGEFORMAT </w:instrText>
            </w:r>
            <w:r w:rsidRPr="00C733B4">
              <w:rPr>
                <w:rFonts w:asciiTheme="minorHAnsi" w:hAnsiTheme="minorHAnsi"/>
                <w:noProof/>
                <w:sz w:val="20"/>
                <w:szCs w:val="20"/>
              </w:rPr>
            </w:r>
            <w:r w:rsidRPr="00C733B4">
              <w:rPr>
                <w:rFonts w:asciiTheme="minorHAnsi" w:hAnsiTheme="minorHAnsi"/>
                <w:noProof/>
                <w:sz w:val="20"/>
                <w:szCs w:val="20"/>
              </w:rPr>
              <w:fldChar w:fldCharType="separate"/>
            </w:r>
            <w:r w:rsidR="00BD218B" w:rsidRPr="00BD218B">
              <w:rPr>
                <w:rFonts w:asciiTheme="minorHAnsi" w:hAnsiTheme="minorHAnsi"/>
                <w:sz w:val="20"/>
                <w:szCs w:val="20"/>
              </w:rPr>
              <w:t>Amendments to the exemption process relating to infrastructure charges specified in contracts (Rule 9)</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be amended to allow for an application for an exemption from the requirement to include infrastructure charges specified in a contract between the operator and one or more customers in the operator’s Schedule of Charges:</w:t>
            </w:r>
          </w:p>
          <w:p w:rsidR="00BD218B" w:rsidRPr="00BD218B" w:rsidRDefault="00BD218B" w:rsidP="00BD218B">
            <w:pPr>
              <w:pStyle w:val="Ruleadvicebullet"/>
              <w:rPr>
                <w:rFonts w:asciiTheme="minorHAnsi" w:hAnsiTheme="minorHAnsi"/>
              </w:rPr>
            </w:pPr>
            <w:r w:rsidRPr="00BD218B">
              <w:rPr>
                <w:rFonts w:asciiTheme="minorHAnsi" w:hAnsiTheme="minorHAnsi"/>
              </w:rPr>
              <w:t xml:space="preserve">in a situation where publication would have a material financial loss for, or material detriment to, the operator or the customer (as opposed to the current rules, which require that there be a ‘material and adverse effect’ on either both the operator </w:t>
            </w:r>
            <w:r w:rsidRPr="00BD218B">
              <w:rPr>
                <w:rFonts w:asciiTheme="minorHAnsi" w:hAnsiTheme="minorHAnsi"/>
                <w:i/>
              </w:rPr>
              <w:t xml:space="preserve">and </w:t>
            </w:r>
            <w:r w:rsidRPr="00BD218B">
              <w:rPr>
                <w:rFonts w:asciiTheme="minorHAnsi" w:hAnsiTheme="minorHAnsi"/>
              </w:rPr>
              <w:t>the customer, or the customer only);</w:t>
            </w:r>
          </w:p>
          <w:p w:rsidR="00BD218B" w:rsidRPr="00BD218B" w:rsidRDefault="00BD218B" w:rsidP="00BD218B">
            <w:pPr>
              <w:pStyle w:val="Ruleadvicebullet"/>
              <w:rPr>
                <w:rFonts w:asciiTheme="minorHAnsi" w:hAnsiTheme="minorHAnsi"/>
              </w:rPr>
            </w:pPr>
            <w:r w:rsidRPr="00BD218B">
              <w:rPr>
                <w:rFonts w:asciiTheme="minorHAnsi" w:hAnsiTheme="minorHAnsi"/>
              </w:rPr>
              <w:t>within 12 months of the rules being amended, for contracts that were entered into before the rules were amended (despite the existing rules under which an application should have already been made);</w:t>
            </w:r>
          </w:p>
          <w:p w:rsidR="00BD218B" w:rsidRPr="00BD218B" w:rsidRDefault="00BD218B" w:rsidP="00BD218B">
            <w:pPr>
              <w:pStyle w:val="Ruleadvicebullet"/>
              <w:rPr>
                <w:rFonts w:asciiTheme="minorHAnsi" w:hAnsiTheme="minorHAnsi"/>
              </w:rPr>
            </w:pPr>
            <w:r w:rsidRPr="00BD218B">
              <w:rPr>
                <w:rFonts w:asciiTheme="minorHAnsi" w:hAnsiTheme="minorHAnsi"/>
              </w:rPr>
              <w:t>on behalf of a group of customers subject to the same contract with the infrastructure operator (including the same infrastructure charges) where it can be shown that publication of the amount of the charge(s) would result in a material financial loss for, or material detriment to, the operator and / or each customer;</w:t>
            </w:r>
          </w:p>
          <w:p w:rsidR="00BD218B" w:rsidRPr="00BD218B" w:rsidRDefault="00BD218B" w:rsidP="00BD218B">
            <w:pPr>
              <w:pStyle w:val="Ruleadvicebullet"/>
              <w:rPr>
                <w:rFonts w:asciiTheme="minorHAnsi" w:hAnsiTheme="minorHAnsi"/>
              </w:rPr>
            </w:pPr>
            <w:r w:rsidRPr="00BD218B">
              <w:rPr>
                <w:rFonts w:asciiTheme="minorHAnsi" w:hAnsiTheme="minorHAnsi"/>
              </w:rPr>
              <w:t>in a situation where the contract specifies a formula by which the charge would be determined (this clarifies the existing rule, which may have the effect that an application could only be made where the amount of a charge is directly specified).</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advice is implemented in rules 9 and 78 of the proposed Water Charge Rules.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Other exemptions from Schedule of Charges requirements for infrastructure operators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be amended such that a Schedule of Charges need not include the following: </w:t>
            </w:r>
          </w:p>
          <w:p w:rsidR="00BD218B" w:rsidRPr="00BD218B" w:rsidRDefault="00BD218B" w:rsidP="00BD218B">
            <w:pPr>
              <w:pStyle w:val="Ruleadvicebullet"/>
              <w:rPr>
                <w:rFonts w:asciiTheme="minorHAnsi" w:hAnsiTheme="minorHAnsi"/>
              </w:rPr>
            </w:pPr>
            <w:r w:rsidRPr="00BD218B">
              <w:rPr>
                <w:rFonts w:asciiTheme="minorHAnsi" w:hAnsiTheme="minorHAnsi"/>
              </w:rPr>
              <w:t>for a charge in relation to which an exemption has been granted under rule 9—details of the charge other than the information specified in rule advice 5-K below.</w:t>
            </w:r>
          </w:p>
          <w:p w:rsidR="00BD218B" w:rsidRPr="00BD218B" w:rsidRDefault="00BD218B" w:rsidP="00BD218B">
            <w:pPr>
              <w:pStyle w:val="Ruleadvicebullet"/>
              <w:rPr>
                <w:rFonts w:asciiTheme="minorHAnsi" w:hAnsiTheme="minorHAnsi"/>
              </w:rPr>
            </w:pPr>
            <w:r w:rsidRPr="00BD218B">
              <w:rPr>
                <w:rFonts w:asciiTheme="minorHAnsi" w:hAnsiTheme="minorHAnsi"/>
              </w:rPr>
              <w:t>where a discount on an infrastructure charge is provided to an individual customer or customers for reasons of the customers’ hardship (e.g. a natural disaster), or in recognition of a service disruption they have experienced (e.g. temporary channel closure)―the amount of the discount and any other information relevant to that discount.</w:t>
            </w:r>
          </w:p>
          <w:p w:rsidR="00BD218B" w:rsidRPr="00BD218B" w:rsidRDefault="00BD218B" w:rsidP="00BD218B">
            <w:pPr>
              <w:pStyle w:val="Ruleadvicebullet"/>
              <w:rPr>
                <w:rFonts w:asciiTheme="minorHAnsi" w:hAnsiTheme="minorHAnsi"/>
              </w:rPr>
            </w:pPr>
            <w:r w:rsidRPr="00BD218B">
              <w:rPr>
                <w:rFonts w:asciiTheme="minorHAnsi" w:hAnsiTheme="minorHAnsi"/>
              </w:rPr>
              <w:t xml:space="preserve">for an infrastructure charge the infrastructure operator levies in accordance with proposed rule 9A (see rule advice 5-Y) to recover the amount of any infrastructure charge or planning and management charge incurred by the operator in relation to a transaction undertaken on behalf of a customer, such as a trade application charge—all details of the charge.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also provide that if an operator levies or proposes to levy an infrastructure charge for an infrastructure service (other than a service in relation to the physical connection to, or disconnection from the operator’s water service infrastructure) and:</w:t>
            </w:r>
          </w:p>
          <w:p w:rsidR="00BD218B" w:rsidRPr="00BD218B" w:rsidRDefault="00BD218B" w:rsidP="00BD218B">
            <w:pPr>
              <w:pStyle w:val="Ruleadvicebullet"/>
              <w:rPr>
                <w:rFonts w:asciiTheme="minorHAnsi" w:hAnsiTheme="minorHAnsi"/>
              </w:rPr>
            </w:pPr>
            <w:r w:rsidRPr="00BD218B">
              <w:rPr>
                <w:rFonts w:asciiTheme="minorHAnsi" w:hAnsiTheme="minorHAnsi"/>
              </w:rPr>
              <w:t>the nature of the service is known, but the information regarding the amount of the charge or details of rates and all other details necessary to determine that amount cannot be reasonably determined; or</w:t>
            </w:r>
          </w:p>
          <w:p w:rsidR="00BD218B" w:rsidRPr="00BD218B" w:rsidRDefault="00BD218B" w:rsidP="00BD218B">
            <w:pPr>
              <w:pStyle w:val="Ruleadvicebullet"/>
              <w:rPr>
                <w:rFonts w:asciiTheme="minorHAnsi" w:hAnsiTheme="minorHAnsi"/>
              </w:rPr>
            </w:pPr>
            <w:r w:rsidRPr="00BD218B">
              <w:rPr>
                <w:rFonts w:asciiTheme="minorHAnsi" w:hAnsiTheme="minorHAnsi"/>
              </w:rPr>
              <w:t>the nature of the infrastructure service is not known sufficiently in advance in order for it to be practicable to expect that the charge could be included in a Schedule of Charges;</w:t>
            </w:r>
          </w:p>
          <w:p w:rsidR="00BD218B" w:rsidRPr="00BD218B" w:rsidRDefault="00BD218B" w:rsidP="00BD218B">
            <w:pPr>
              <w:pStyle w:val="Heading8"/>
              <w:spacing w:before="60" w:after="0"/>
              <w:ind w:left="426"/>
              <w:outlineLvl w:val="7"/>
              <w:rPr>
                <w:rFonts w:asciiTheme="minorHAnsi" w:hAnsiTheme="minorHAnsi"/>
                <w:szCs w:val="20"/>
              </w:rPr>
            </w:pPr>
            <w:r w:rsidRPr="00BD218B">
              <w:rPr>
                <w:rFonts w:asciiTheme="minorHAnsi" w:hAnsiTheme="minorHAnsi"/>
                <w:szCs w:val="20"/>
              </w:rPr>
              <w:t xml:space="preserve">then the operator does not need to include any details about the charge on that Schedule of Charges. However, the operator must adopt a new Schedule of Charges which includes details of that charge within 12 months of the infrastructure charge being levied. </w:t>
            </w:r>
          </w:p>
          <w:p w:rsidR="00BD218B" w:rsidRPr="00BD218B" w:rsidRDefault="00BD218B" w:rsidP="00BD218B">
            <w:pPr>
              <w:pStyle w:val="Heading8"/>
              <w:spacing w:before="60" w:after="0"/>
              <w:ind w:left="426"/>
              <w:outlineLvl w:val="7"/>
              <w:rPr>
                <w:rFonts w:asciiTheme="minorHAnsi" w:hAnsiTheme="minorHAnsi"/>
                <w:szCs w:val="20"/>
              </w:rPr>
            </w:pPr>
            <w:r w:rsidRPr="00BD218B">
              <w:rPr>
                <w:rFonts w:asciiTheme="minorHAnsi" w:hAnsiTheme="minorHAnsi"/>
                <w:szCs w:val="20"/>
              </w:rPr>
              <w:t xml:space="preserve">Note: In practice, if the operator would ordinarily have adopted a new Schedule of Charges within 12 months (e.g. because it updates its infrastructure charges each year), the operator may include the required details on that new Schedule. However, if this were not to occur, an operator would still be required by this rule to adopt a new schedule which includes the relevant details within the required timeframe.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xml:space="preserve">: this rule advice is relevant to proposed rule 7 in rule advice 5-E because it allows infrastructure charges in these circumstances to be levied despite the charges (and all other details of those charges) not being on a Schedule of Charges at the time the infrastructure service is provided. </w:t>
            </w:r>
          </w:p>
          <w:p w:rsidR="009845D5"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rules 9 and 11 of the proposed Water Charge Rules.</w:t>
            </w:r>
            <w:r w:rsidR="00DC434C" w:rsidRPr="00C733B4">
              <w:rPr>
                <w:rFonts w:asciiTheme="minorHAnsi" w:hAnsiTheme="minorHAnsi"/>
                <w:noProof/>
                <w:szCs w:val="20"/>
              </w:rPr>
              <w:fldChar w:fldCharType="end"/>
            </w:r>
          </w:p>
        </w:tc>
        <w:tc>
          <w:tcPr>
            <w:tcW w:w="3118" w:type="dxa"/>
            <w:shd w:val="clear" w:color="auto" w:fill="B6DDE8" w:themeFill="accent5"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Substantial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The Final Advice proposes to enhance the opportunities for operators and customers to apply for an exemption to contribute to addressing stakeholder concerns about regulatory burden.</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also proposes that the rules </w:t>
            </w:r>
            <w:r w:rsidR="006A64FF" w:rsidRPr="00C733B4">
              <w:rPr>
                <w:rFonts w:asciiTheme="minorHAnsi" w:hAnsiTheme="minorHAnsi"/>
                <w:sz w:val="20"/>
                <w:szCs w:val="20"/>
              </w:rPr>
              <w:t xml:space="preserve">automatically </w:t>
            </w:r>
            <w:r w:rsidRPr="00C733B4">
              <w:rPr>
                <w:rFonts w:asciiTheme="minorHAnsi" w:hAnsiTheme="minorHAnsi"/>
                <w:sz w:val="20"/>
                <w:szCs w:val="20"/>
              </w:rPr>
              <w:t xml:space="preserve">allow operators to levy certain infrastructure charges without listing the charge (or the amount of the charge) on </w:t>
            </w:r>
            <w:r w:rsidR="00812B85" w:rsidRPr="00C733B4">
              <w:rPr>
                <w:rFonts w:asciiTheme="minorHAnsi" w:hAnsiTheme="minorHAnsi"/>
                <w:sz w:val="20"/>
                <w:szCs w:val="20"/>
              </w:rPr>
              <w:t>its</w:t>
            </w:r>
            <w:r w:rsidRPr="00C733B4">
              <w:rPr>
                <w:rFonts w:asciiTheme="minorHAnsi" w:hAnsiTheme="minorHAnsi"/>
                <w:sz w:val="20"/>
                <w:szCs w:val="20"/>
              </w:rPr>
              <w:t xml:space="preserve"> </w:t>
            </w:r>
            <w:r w:rsidR="00B1638F" w:rsidRPr="00C733B4">
              <w:rPr>
                <w:rFonts w:asciiTheme="minorHAnsi" w:hAnsiTheme="minorHAnsi"/>
                <w:sz w:val="20"/>
                <w:szCs w:val="20"/>
              </w:rPr>
              <w:t>Schedule of Charges</w:t>
            </w:r>
            <w:r w:rsidR="006A64FF" w:rsidRPr="00C733B4">
              <w:rPr>
                <w:rFonts w:asciiTheme="minorHAnsi" w:hAnsiTheme="minorHAnsi"/>
                <w:sz w:val="20"/>
                <w:szCs w:val="20"/>
              </w:rPr>
              <w:t xml:space="preserve"> (i.e. without having to obtain an exemption)</w:t>
            </w:r>
            <w:r w:rsidRPr="00C733B4">
              <w:rPr>
                <w:rFonts w:asciiTheme="minorHAnsi" w:hAnsiTheme="minorHAnsi"/>
                <w:sz w:val="20"/>
                <w:szCs w:val="20"/>
              </w:rPr>
              <w:t xml:space="preserve">. </w:t>
            </w:r>
          </w:p>
        </w:tc>
      </w:tr>
      <w:tr w:rsidR="00651ACD" w:rsidRPr="00C733B4" w:rsidTr="007040B9">
        <w:trPr>
          <w:trHeight w:val="145"/>
        </w:trPr>
        <w:tc>
          <w:tcPr>
            <w:tcW w:w="11307" w:type="dxa"/>
          </w:tcPr>
          <w:p w:rsidR="00651ACD" w:rsidRPr="00C733B4" w:rsidRDefault="00651ACD" w:rsidP="0018797D">
            <w:pPr>
              <w:pStyle w:val="TOC2"/>
            </w:pPr>
            <w:r w:rsidRPr="00C733B4">
              <w:t>Rule advice 5</w:t>
            </w:r>
            <w:r w:rsidRPr="00C733B4">
              <w:noBreakHyphen/>
              <w:t>K</w:t>
            </w:r>
            <w:r w:rsidRPr="00C733B4">
              <w:rPr>
                <w:rStyle w:val="Hyperlink"/>
                <w:color w:val="auto"/>
                <w:szCs w:val="20"/>
                <w:u w:val="none"/>
              </w:rPr>
              <w:t xml:space="preserve"> </w:t>
            </w:r>
            <w:r w:rsidRPr="00C733B4">
              <w:rPr>
                <w:rStyle w:val="Hyperlink"/>
                <w:b w:val="0"/>
                <w:color w:val="auto"/>
                <w:szCs w:val="20"/>
                <w:u w:val="none"/>
              </w:rPr>
              <w:t>(section 5.4.2)</w:t>
            </w:r>
          </w:p>
          <w:p w:rsidR="00BD218B" w:rsidRPr="00BD218B" w:rsidRDefault="00651ACD" w:rsidP="00BD218B">
            <w:pPr>
              <w:pStyle w:val="Heading8"/>
              <w:spacing w:before="60" w:after="0"/>
              <w:outlineLvl w:val="7"/>
              <w:rPr>
                <w:rFonts w:asciiTheme="minorHAnsi" w:hAnsiTheme="minorHAnsi"/>
                <w:szCs w:val="20"/>
              </w:rPr>
            </w:pPr>
            <w:r w:rsidRPr="00C733B4">
              <w:rPr>
                <w:rFonts w:asciiTheme="minorHAnsi" w:hAnsiTheme="minorHAnsi"/>
                <w:noProof/>
                <w:szCs w:val="20"/>
              </w:rPr>
              <w:fldChar w:fldCharType="begin"/>
            </w:r>
            <w:r w:rsidRPr="00C733B4">
              <w:rPr>
                <w:rFonts w:asciiTheme="minorHAnsi" w:hAnsiTheme="minorHAnsi"/>
                <w:noProof/>
                <w:szCs w:val="20"/>
              </w:rPr>
              <w:instrText xml:space="preserve"> REF  Rule_Advice_5K \h  \* MERGEFORMAT </w:instrText>
            </w:r>
            <w:r w:rsidRPr="00C733B4">
              <w:rPr>
                <w:rFonts w:asciiTheme="minorHAnsi" w:hAnsiTheme="minorHAnsi"/>
                <w:noProof/>
                <w:szCs w:val="20"/>
              </w:rPr>
            </w:r>
            <w:r w:rsidRPr="00C733B4">
              <w:rPr>
                <w:rFonts w:asciiTheme="minorHAnsi" w:hAnsiTheme="minorHAnsi"/>
                <w:noProof/>
                <w:szCs w:val="20"/>
              </w:rPr>
              <w:fldChar w:fldCharType="separate"/>
            </w:r>
            <w:r w:rsidR="00BD218B" w:rsidRPr="00BD218B">
              <w:rPr>
                <w:rFonts w:asciiTheme="minorHAnsi" w:hAnsiTheme="minorHAnsi"/>
                <w:szCs w:val="20"/>
              </w:rPr>
              <w:t xml:space="preserve">The rules should be amended to require infrastructure operators who have received an exemption under rule 9 to include: </w:t>
            </w:r>
          </w:p>
          <w:p w:rsidR="00BD218B" w:rsidRPr="00BD218B" w:rsidRDefault="00BD218B" w:rsidP="00BD218B">
            <w:pPr>
              <w:pStyle w:val="Ruleadvicebullet"/>
              <w:rPr>
                <w:rFonts w:asciiTheme="minorHAnsi" w:hAnsiTheme="minorHAnsi"/>
              </w:rPr>
            </w:pPr>
            <w:r w:rsidRPr="00BD218B">
              <w:rPr>
                <w:rFonts w:asciiTheme="minorHAnsi" w:hAnsiTheme="minorHAnsi"/>
              </w:rPr>
              <w:t>a notice of the exemption on their Schedule of Charges;</w:t>
            </w:r>
          </w:p>
          <w:p w:rsidR="00BD218B" w:rsidRPr="00BD218B" w:rsidRDefault="00BD218B" w:rsidP="00BD218B">
            <w:pPr>
              <w:pStyle w:val="Ruleadvicebullet"/>
              <w:rPr>
                <w:rFonts w:asciiTheme="minorHAnsi" w:hAnsiTheme="minorHAnsi"/>
              </w:rPr>
            </w:pPr>
            <w:r w:rsidRPr="00BD218B">
              <w:rPr>
                <w:rFonts w:asciiTheme="minorHAnsi" w:hAnsiTheme="minorHAnsi"/>
              </w:rPr>
              <w:t>the name of the customer(s);</w:t>
            </w:r>
          </w:p>
          <w:p w:rsidR="00BD218B" w:rsidRPr="00BD218B" w:rsidRDefault="00BD218B" w:rsidP="00BD218B">
            <w:pPr>
              <w:pStyle w:val="Ruleadvicebullet"/>
              <w:rPr>
                <w:rFonts w:asciiTheme="minorHAnsi" w:hAnsiTheme="minorHAnsi"/>
              </w:rPr>
            </w:pPr>
            <w:r w:rsidRPr="00BD218B">
              <w:rPr>
                <w:rFonts w:asciiTheme="minorHAnsi" w:hAnsiTheme="minorHAnsi"/>
              </w:rPr>
              <w:t>the time period of the contract;</w:t>
            </w:r>
          </w:p>
          <w:p w:rsidR="00BD218B" w:rsidRPr="00BD218B" w:rsidRDefault="00BD218B" w:rsidP="00BD218B">
            <w:pPr>
              <w:pStyle w:val="Ruleadvicebullet"/>
              <w:rPr>
                <w:rFonts w:asciiTheme="minorHAnsi" w:hAnsiTheme="minorHAnsi"/>
              </w:rPr>
            </w:pPr>
            <w:r w:rsidRPr="00BD218B">
              <w:rPr>
                <w:rFonts w:asciiTheme="minorHAnsi" w:hAnsiTheme="minorHAnsi"/>
              </w:rPr>
              <w:t>the nature of the infrastructure service to which the charge exempt from disclosure relates.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require the operator to provide this information on a Schedule of Charges within 12 months after the exemption is granted.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Rule 55 should be amended to allow the ACCC to publish the name of the parties who are the subject of the exemption, and the type of infrastructure service to which the exemption relates.</w:t>
            </w:r>
          </w:p>
          <w:p w:rsidR="00651ACD" w:rsidRPr="00C733B4" w:rsidRDefault="00BD218B" w:rsidP="00035824">
            <w:pPr>
              <w:pStyle w:val="TOC3"/>
              <w:rPr>
                <w:rFonts w:asciiTheme="minorHAnsi" w:hAnsiTheme="minorHAnsi"/>
                <w:noProof/>
                <w:sz w:val="20"/>
              </w:rPr>
            </w:pPr>
            <w:r w:rsidRPr="00BD218B">
              <w:rPr>
                <w:rFonts w:asciiTheme="minorHAnsi" w:hAnsiTheme="minorHAnsi"/>
                <w:sz w:val="20"/>
              </w:rPr>
              <w:t>This rule advice is implemented in rules 9 and 55 of the proposed Water Charge Rules.</w:t>
            </w:r>
            <w:r w:rsidR="00651ACD" w:rsidRPr="00C733B4">
              <w:rPr>
                <w:rFonts w:asciiTheme="minorHAnsi" w:hAnsiTheme="minorHAnsi"/>
                <w:noProof/>
                <w:sz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DC434C" w:rsidRPr="00C733B4" w:rsidRDefault="009845D5" w:rsidP="0018797D">
            <w:pPr>
              <w:pStyle w:val="TOC2"/>
            </w:pPr>
            <w:r w:rsidRPr="00C733B4">
              <w:t>Rule advice 5</w:t>
            </w:r>
            <w:r w:rsidRPr="00C733B4">
              <w:noBreakHyphen/>
              <w:t>L</w:t>
            </w:r>
            <w:r w:rsidRPr="00C733B4">
              <w:rPr>
                <w:rStyle w:val="Hyperlink"/>
                <w:color w:val="auto"/>
                <w:szCs w:val="20"/>
                <w:u w:val="none"/>
              </w:rPr>
              <w:t xml:space="preserve"> </w:t>
            </w:r>
            <w:r w:rsidRPr="00C733B4">
              <w:rPr>
                <w:rStyle w:val="Hyperlink"/>
                <w:b w:val="0"/>
                <w:color w:val="auto"/>
                <w:szCs w:val="20"/>
                <w:u w:val="none"/>
              </w:rPr>
              <w:t>(section 5.5)</w:t>
            </w:r>
            <w:r w:rsidR="00DC434C" w:rsidRPr="00C733B4">
              <w:t xml:space="preserve"> </w:t>
            </w:r>
          </w:p>
          <w:p w:rsidR="00BD218B" w:rsidRPr="00BD218B" w:rsidRDefault="00DC434C"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Rule_Advice_5L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rules should be amended to repeal the Network Service Plan (Part 5) requirements. Effective standards can be ensured through rule advices 5-A to 5-E, relating to enhancing the non-discrimination and pricing transparency provisions.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xml:space="preserve">: there is merit in repealing the Part 5 requirements in the near term to avoid operators incurring unnecessary expenditure. </w:t>
            </w:r>
          </w:p>
          <w:p w:rsidR="009845D5" w:rsidRPr="00C733B4" w:rsidRDefault="00BD218B" w:rsidP="00035824">
            <w:pPr>
              <w:pStyle w:val="TOC3"/>
              <w:rPr>
                <w:rFonts w:asciiTheme="minorHAnsi" w:hAnsiTheme="minorHAnsi"/>
                <w:sz w:val="20"/>
              </w:rPr>
            </w:pPr>
            <w:r w:rsidRPr="00BD218B">
              <w:rPr>
                <w:rFonts w:asciiTheme="minorHAnsi" w:hAnsiTheme="minorHAnsi"/>
                <w:sz w:val="20"/>
              </w:rPr>
              <w:t>This rule advice is implemented in the repeal of Part 5 of the current WCIR and related provisions referencing Part 5 operators.</w:t>
            </w:r>
            <w:r w:rsidR="00DC434C" w:rsidRPr="00C733B4">
              <w:rPr>
                <w:rFonts w:asciiTheme="minorHAnsi" w:hAnsiTheme="minorHAnsi"/>
                <w:sz w:val="20"/>
              </w:rPr>
              <w:fldChar w:fldCharType="end"/>
            </w:r>
          </w:p>
        </w:tc>
        <w:tc>
          <w:tcPr>
            <w:tcW w:w="3118" w:type="dxa"/>
            <w:shd w:val="clear" w:color="auto" w:fill="D6E3BC" w:themeFill="accent3"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maintains that Part 5 should be repealed, but removes the advice that Rule Advice 5-L </w:t>
            </w:r>
            <w:r w:rsidRPr="00C733B4">
              <w:rPr>
                <w:rFonts w:asciiTheme="minorHAnsi" w:hAnsiTheme="minorHAnsi"/>
                <w:i/>
                <w:sz w:val="20"/>
                <w:szCs w:val="20"/>
              </w:rPr>
              <w:t>is conditional on</w:t>
            </w:r>
            <w:r w:rsidRPr="00C733B4">
              <w:rPr>
                <w:rFonts w:asciiTheme="minorHAnsi" w:hAnsiTheme="minorHAnsi"/>
                <w:sz w:val="20"/>
                <w:szCs w:val="20"/>
              </w:rPr>
              <w:t xml:space="preserve"> acceptance of Rule Advice 5-A to 5</w:t>
            </w:r>
            <w:r w:rsidR="00C16E2A" w:rsidRPr="00C733B4">
              <w:rPr>
                <w:rFonts w:asciiTheme="minorHAnsi" w:hAnsiTheme="minorHAnsi"/>
                <w:sz w:val="20"/>
                <w:szCs w:val="20"/>
              </w:rPr>
              <w:noBreakHyphen/>
            </w:r>
            <w:r w:rsidRPr="00C733B4">
              <w:rPr>
                <w:rFonts w:asciiTheme="minorHAnsi" w:hAnsiTheme="minorHAnsi"/>
                <w:sz w:val="20"/>
                <w:szCs w:val="20"/>
              </w:rPr>
              <w:t>E.</w:t>
            </w:r>
          </w:p>
          <w:p w:rsidR="00611393" w:rsidRPr="00C733B4" w:rsidRDefault="00611393" w:rsidP="0018797D">
            <w:pPr>
              <w:spacing w:before="60" w:after="60"/>
              <w:rPr>
                <w:rFonts w:asciiTheme="minorHAnsi" w:hAnsiTheme="minorHAnsi"/>
                <w:sz w:val="20"/>
                <w:szCs w:val="20"/>
              </w:rPr>
            </w:pPr>
            <w:r w:rsidRPr="00C733B4">
              <w:rPr>
                <w:rFonts w:asciiTheme="minorHAnsi" w:hAnsiTheme="minorHAnsi"/>
                <w:sz w:val="20"/>
                <w:szCs w:val="20"/>
              </w:rPr>
              <w:t>The Final Advice also notes the</w:t>
            </w:r>
            <w:r w:rsidR="00C16E2A" w:rsidRPr="00C733B4">
              <w:rPr>
                <w:rFonts w:asciiTheme="minorHAnsi" w:hAnsiTheme="minorHAnsi"/>
                <w:sz w:val="20"/>
                <w:szCs w:val="20"/>
              </w:rPr>
              <w:t>re is</w:t>
            </w:r>
            <w:r w:rsidRPr="00C733B4">
              <w:rPr>
                <w:rFonts w:asciiTheme="minorHAnsi" w:hAnsiTheme="minorHAnsi"/>
                <w:sz w:val="20"/>
                <w:szCs w:val="20"/>
              </w:rPr>
              <w:t xml:space="preserve"> merit in repealing the Part 5 requirements in the near term to avoid unnecessary expenditure being incurred by operators given new network service plans are due to commence in mid-2017.</w:t>
            </w:r>
          </w:p>
        </w:tc>
      </w:tr>
      <w:tr w:rsidR="009845D5" w:rsidRPr="00C733B4" w:rsidTr="007040B9">
        <w:trPr>
          <w:trHeight w:val="145"/>
        </w:trPr>
        <w:tc>
          <w:tcPr>
            <w:tcW w:w="11307" w:type="dxa"/>
          </w:tcPr>
          <w:p w:rsidR="00DC434C" w:rsidRPr="00C733B4" w:rsidRDefault="009845D5" w:rsidP="0018797D">
            <w:pPr>
              <w:pStyle w:val="TOC2"/>
              <w:rPr>
                <w:rStyle w:val="Hyperlink"/>
                <w:b w:val="0"/>
                <w:color w:val="auto"/>
                <w:szCs w:val="20"/>
                <w:u w:val="none"/>
              </w:rPr>
            </w:pPr>
            <w:r w:rsidRPr="00C733B4">
              <w:t>Rule advice 5</w:t>
            </w:r>
            <w:r w:rsidRPr="00C733B4">
              <w:noBreakHyphen/>
              <w:t>M</w:t>
            </w:r>
            <w:r w:rsidRPr="00C733B4">
              <w:rPr>
                <w:rStyle w:val="Hyperlink"/>
                <w:color w:val="auto"/>
                <w:szCs w:val="20"/>
                <w:u w:val="none"/>
              </w:rPr>
              <w:t xml:space="preserve"> </w:t>
            </w:r>
            <w:r w:rsidRPr="00C733B4">
              <w:rPr>
                <w:rStyle w:val="Hyperlink"/>
                <w:b w:val="0"/>
                <w:color w:val="auto"/>
                <w:szCs w:val="20"/>
                <w:u w:val="none"/>
              </w:rPr>
              <w:t>(section 5.6)</w:t>
            </w:r>
          </w:p>
          <w:p w:rsidR="00BD218B" w:rsidRPr="00BD218B" w:rsidRDefault="00DC434C" w:rsidP="00BD218B">
            <w:pPr>
              <w:pStyle w:val="Ruleadvicesubheading"/>
              <w:spacing w:before="60" w:after="0"/>
              <w:rPr>
                <w:rFonts w:asciiTheme="minorHAnsi" w:hAnsiTheme="minorHAnsi"/>
                <w:sz w:val="20"/>
                <w:szCs w:val="20"/>
              </w:rPr>
            </w:pPr>
            <w:r w:rsidRPr="00C733B4">
              <w:rPr>
                <w:rStyle w:val="Hyperlink"/>
                <w:rFonts w:asciiTheme="minorHAnsi" w:hAnsiTheme="minorHAnsi"/>
                <w:b/>
                <w:color w:val="auto"/>
                <w:sz w:val="20"/>
                <w:szCs w:val="20"/>
                <w:u w:val="none"/>
              </w:rPr>
              <w:fldChar w:fldCharType="begin"/>
            </w:r>
            <w:r w:rsidRPr="00C733B4">
              <w:rPr>
                <w:rStyle w:val="Hyperlink"/>
                <w:rFonts w:asciiTheme="minorHAnsi" w:hAnsiTheme="minorHAnsi"/>
                <w:b/>
                <w:color w:val="auto"/>
                <w:sz w:val="20"/>
                <w:szCs w:val="20"/>
                <w:u w:val="none"/>
              </w:rPr>
              <w:instrText xml:space="preserve"> REF  Rule_Advice_5M \h  \* MERGEFORMAT </w:instrText>
            </w:r>
            <w:r w:rsidRPr="00C733B4">
              <w:rPr>
                <w:rStyle w:val="Hyperlink"/>
                <w:rFonts w:asciiTheme="minorHAnsi" w:hAnsiTheme="minorHAnsi"/>
                <w:b/>
                <w:color w:val="auto"/>
                <w:sz w:val="20"/>
                <w:szCs w:val="20"/>
                <w:u w:val="none"/>
              </w:rPr>
            </w:r>
            <w:r w:rsidRPr="00C733B4">
              <w:rPr>
                <w:rStyle w:val="Hyperlink"/>
                <w:rFonts w:asciiTheme="minorHAnsi" w:hAnsiTheme="minorHAnsi"/>
                <w:b/>
                <w:color w:val="auto"/>
                <w:sz w:val="20"/>
                <w:szCs w:val="20"/>
                <w:u w:val="none"/>
              </w:rPr>
              <w:fldChar w:fldCharType="separate"/>
            </w:r>
            <w:r w:rsidR="00BD218B" w:rsidRPr="00BD218B">
              <w:rPr>
                <w:rFonts w:asciiTheme="minorHAnsi" w:hAnsiTheme="minorHAnsi"/>
                <w:sz w:val="20"/>
                <w:szCs w:val="20"/>
              </w:rPr>
              <w:t>Application of Part 6</w:t>
            </w:r>
          </w:p>
          <w:p w:rsidR="00BD218B" w:rsidRPr="00BD218B" w:rsidRDefault="00BD218B" w:rsidP="00BD218B">
            <w:pPr>
              <w:pStyle w:val="Heading8"/>
              <w:spacing w:before="60" w:after="0"/>
              <w:outlineLvl w:val="7"/>
              <w:rPr>
                <w:rFonts w:asciiTheme="minorHAnsi" w:hAnsiTheme="minorHAnsi"/>
                <w:bCs/>
                <w:i/>
                <w:iCs/>
                <w:color w:val="4F81BD" w:themeColor="accent1"/>
                <w:szCs w:val="20"/>
              </w:rPr>
            </w:pPr>
            <w:r w:rsidRPr="00BD218B">
              <w:rPr>
                <w:rFonts w:asciiTheme="minorHAnsi" w:hAnsiTheme="minorHAnsi"/>
                <w:szCs w:val="20"/>
              </w:rPr>
              <w:t>The rules should be amended such that Part 6 applies based on the following criteria.</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Where an infrastructure operator levies an infrastructure charge in relation to either:</w:t>
            </w:r>
          </w:p>
          <w:p w:rsidR="00BD218B" w:rsidRPr="00BD218B" w:rsidRDefault="00BD218B" w:rsidP="00BD218B">
            <w:pPr>
              <w:pStyle w:val="Heading8"/>
              <w:numPr>
                <w:ilvl w:val="0"/>
                <w:numId w:val="97"/>
              </w:numPr>
              <w:spacing w:before="60" w:after="0"/>
              <w:outlineLvl w:val="7"/>
              <w:rPr>
                <w:rFonts w:asciiTheme="minorHAnsi" w:hAnsiTheme="minorHAnsi"/>
                <w:szCs w:val="20"/>
              </w:rPr>
            </w:pPr>
            <w:r w:rsidRPr="00BD218B">
              <w:rPr>
                <w:rFonts w:asciiTheme="minorHAnsi" w:hAnsiTheme="minorHAnsi"/>
                <w:szCs w:val="20"/>
              </w:rPr>
              <w:t>a bulk water service in respect of water access rights; or</w:t>
            </w:r>
          </w:p>
          <w:p w:rsidR="00BD218B" w:rsidRPr="00BD218B" w:rsidRDefault="00BD218B" w:rsidP="00BD218B">
            <w:pPr>
              <w:pStyle w:val="Heading8"/>
              <w:numPr>
                <w:ilvl w:val="0"/>
                <w:numId w:val="97"/>
              </w:numPr>
              <w:spacing w:before="60" w:after="0"/>
              <w:outlineLvl w:val="7"/>
              <w:rPr>
                <w:rFonts w:asciiTheme="minorHAnsi" w:hAnsiTheme="minorHAnsi"/>
                <w:szCs w:val="20"/>
              </w:rPr>
            </w:pPr>
            <w:r w:rsidRPr="00BD218B">
              <w:rPr>
                <w:rFonts w:asciiTheme="minorHAnsi" w:hAnsiTheme="minorHAnsi"/>
                <w:szCs w:val="20"/>
              </w:rPr>
              <w:t xml:space="preserve">infrastructure services in relation to the storage or delivery of water that is necessary to give effect to an arrangement for the sharing of water between more than one Basin State; </w:t>
            </w:r>
          </w:p>
          <w:p w:rsidR="00BD218B" w:rsidRPr="00BD218B" w:rsidRDefault="00BD218B" w:rsidP="00BD218B">
            <w:pPr>
              <w:pStyle w:val="Heading8"/>
              <w:spacing w:before="60" w:after="0"/>
              <w:ind w:left="720"/>
              <w:outlineLvl w:val="7"/>
              <w:rPr>
                <w:rFonts w:asciiTheme="minorHAnsi" w:hAnsiTheme="minorHAnsi"/>
                <w:szCs w:val="20"/>
              </w:rPr>
            </w:pPr>
            <w:r w:rsidRPr="00BD218B">
              <w:rPr>
                <w:rFonts w:asciiTheme="minorHAnsi" w:hAnsiTheme="minorHAnsi"/>
                <w:szCs w:val="20"/>
              </w:rPr>
              <w:t>and:</w:t>
            </w:r>
          </w:p>
          <w:p w:rsidR="00BD218B" w:rsidRPr="00BD218B" w:rsidRDefault="00BD218B" w:rsidP="00BD218B">
            <w:pPr>
              <w:pStyle w:val="Heading8"/>
              <w:numPr>
                <w:ilvl w:val="0"/>
                <w:numId w:val="97"/>
              </w:numPr>
              <w:spacing w:before="60" w:after="0"/>
              <w:outlineLvl w:val="7"/>
              <w:rPr>
                <w:rFonts w:asciiTheme="minorHAnsi" w:hAnsiTheme="minorHAnsi"/>
                <w:szCs w:val="20"/>
              </w:rPr>
            </w:pPr>
            <w:r w:rsidRPr="00BD218B">
              <w:rPr>
                <w:rFonts w:asciiTheme="minorHAnsi" w:hAnsiTheme="minorHAnsi"/>
                <w:szCs w:val="20"/>
              </w:rPr>
              <w:t>the infrastructure operator is not required to have all its infrastructure charges approved or determined by a single State Agency under a law of the State in a way that is consistent with proposed subrule 29(2)(b);</w:t>
            </w:r>
          </w:p>
          <w:p w:rsidR="00BD218B" w:rsidRPr="00BD218B" w:rsidRDefault="00BD218B" w:rsidP="00BD218B">
            <w:pPr>
              <w:pStyle w:val="Heading8"/>
              <w:spacing w:before="60" w:after="0"/>
              <w:ind w:left="709"/>
              <w:outlineLvl w:val="7"/>
              <w:rPr>
                <w:rFonts w:asciiTheme="minorHAnsi" w:hAnsiTheme="minorHAnsi"/>
                <w:szCs w:val="20"/>
              </w:rPr>
            </w:pPr>
            <w:r w:rsidRPr="00BD218B">
              <w:rPr>
                <w:rFonts w:asciiTheme="minorHAnsi" w:hAnsiTheme="minorHAnsi"/>
                <w:szCs w:val="20"/>
              </w:rPr>
              <w:t xml:space="preserve">that infrastructure operator is a </w:t>
            </w:r>
            <w:r w:rsidRPr="00BD218B">
              <w:rPr>
                <w:rFonts w:asciiTheme="minorHAnsi" w:hAnsiTheme="minorHAnsi"/>
                <w:i/>
                <w:iCs/>
                <w:szCs w:val="20"/>
              </w:rPr>
              <w:t>Part 6 operator</w:t>
            </w:r>
            <w:r w:rsidRPr="00BD218B">
              <w:rPr>
                <w:rFonts w:asciiTheme="minorHAnsi" w:hAnsiTheme="minorHAnsi"/>
                <w:szCs w:val="20"/>
              </w:rPr>
              <w:t xml:space="preserv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be amended to allow for the ACCC to provide an exemption to the requirement on a Part 6 operator to have its infrastructure charges approved or determined under Part 6 of the rules.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ACCC should only give such an exemption if it is satisfied that the application of those requirements would not materially contribute to the achievement of the Basin Water Charging Objectives and Principles, taking into account:</w:t>
            </w:r>
          </w:p>
          <w:p w:rsidR="00BD218B" w:rsidRPr="00BD218B" w:rsidRDefault="00BD218B" w:rsidP="00BD218B">
            <w:pPr>
              <w:pStyle w:val="Heading8"/>
              <w:numPr>
                <w:ilvl w:val="0"/>
                <w:numId w:val="98"/>
              </w:numPr>
              <w:spacing w:before="60" w:after="0"/>
              <w:outlineLvl w:val="7"/>
              <w:rPr>
                <w:rFonts w:asciiTheme="minorHAnsi" w:hAnsiTheme="minorHAnsi"/>
                <w:szCs w:val="20"/>
              </w:rPr>
            </w:pPr>
            <w:r w:rsidRPr="00BD218B">
              <w:rPr>
                <w:rFonts w:asciiTheme="minorHAnsi" w:hAnsiTheme="minorHAnsi"/>
                <w:szCs w:val="20"/>
              </w:rPr>
              <w:t>the total volume of water access rights in relation to which bulk water services are provided by the operator, if applicable;</w:t>
            </w:r>
          </w:p>
          <w:p w:rsidR="00BD218B" w:rsidRPr="00BD218B" w:rsidRDefault="00BD218B" w:rsidP="00BD218B">
            <w:pPr>
              <w:pStyle w:val="Heading8"/>
              <w:numPr>
                <w:ilvl w:val="0"/>
                <w:numId w:val="98"/>
              </w:numPr>
              <w:spacing w:before="60" w:after="0"/>
              <w:outlineLvl w:val="7"/>
              <w:rPr>
                <w:rFonts w:asciiTheme="minorHAnsi" w:hAnsiTheme="minorHAnsi"/>
                <w:szCs w:val="20"/>
              </w:rPr>
            </w:pPr>
            <w:r w:rsidRPr="00BD218B">
              <w:rPr>
                <w:rFonts w:asciiTheme="minorHAnsi" w:hAnsiTheme="minorHAnsi"/>
                <w:szCs w:val="20"/>
              </w:rPr>
              <w:t>the total volume of water subject to water sharing arrangements in relation to which the operator provides infrastructure services, if applicable;</w:t>
            </w:r>
          </w:p>
          <w:p w:rsidR="00BD218B" w:rsidRPr="00BD218B" w:rsidRDefault="00BD218B" w:rsidP="00BD218B">
            <w:pPr>
              <w:pStyle w:val="Heading8"/>
              <w:numPr>
                <w:ilvl w:val="0"/>
                <w:numId w:val="98"/>
              </w:numPr>
              <w:spacing w:before="60" w:after="0"/>
              <w:outlineLvl w:val="7"/>
              <w:rPr>
                <w:rFonts w:asciiTheme="minorHAnsi" w:hAnsiTheme="minorHAnsi"/>
                <w:szCs w:val="20"/>
              </w:rPr>
            </w:pPr>
            <w:r w:rsidRPr="00BD218B">
              <w:rPr>
                <w:rFonts w:asciiTheme="minorHAnsi" w:hAnsiTheme="minorHAnsi"/>
                <w:szCs w:val="20"/>
              </w:rPr>
              <w:t>the infrastructure services provided by the operator;</w:t>
            </w:r>
          </w:p>
          <w:p w:rsidR="00BD218B" w:rsidRPr="00BD218B" w:rsidRDefault="00BD218B" w:rsidP="00BD218B">
            <w:pPr>
              <w:pStyle w:val="Heading8"/>
              <w:numPr>
                <w:ilvl w:val="0"/>
                <w:numId w:val="98"/>
              </w:numPr>
              <w:spacing w:before="60" w:after="0"/>
              <w:outlineLvl w:val="7"/>
              <w:rPr>
                <w:rFonts w:asciiTheme="minorHAnsi" w:hAnsiTheme="minorHAnsi"/>
                <w:szCs w:val="20"/>
              </w:rPr>
            </w:pPr>
            <w:r w:rsidRPr="00BD218B">
              <w:rPr>
                <w:rFonts w:asciiTheme="minorHAnsi" w:hAnsiTheme="minorHAnsi"/>
                <w:szCs w:val="20"/>
              </w:rPr>
              <w:t>any preferences expressed by the operator’s customers to the ACCC;</w:t>
            </w:r>
          </w:p>
          <w:p w:rsidR="00BD218B" w:rsidRPr="00BD218B" w:rsidRDefault="00BD218B" w:rsidP="00BD218B">
            <w:pPr>
              <w:pStyle w:val="Heading8"/>
              <w:numPr>
                <w:ilvl w:val="0"/>
                <w:numId w:val="98"/>
              </w:numPr>
              <w:spacing w:before="60" w:after="0"/>
              <w:outlineLvl w:val="7"/>
              <w:rPr>
                <w:rFonts w:asciiTheme="minorHAnsi" w:hAnsiTheme="minorHAnsi"/>
                <w:szCs w:val="20"/>
              </w:rPr>
            </w:pPr>
            <w:r w:rsidRPr="00BD218B">
              <w:rPr>
                <w:rFonts w:asciiTheme="minorHAnsi" w:hAnsiTheme="minorHAnsi"/>
                <w:szCs w:val="20"/>
              </w:rPr>
              <w:t>any views expressed by a State Agency to the ACCC;</w:t>
            </w:r>
          </w:p>
          <w:p w:rsidR="00BD218B" w:rsidRPr="00BD218B" w:rsidRDefault="00BD218B" w:rsidP="00BD218B">
            <w:pPr>
              <w:pStyle w:val="Heading8"/>
              <w:numPr>
                <w:ilvl w:val="0"/>
                <w:numId w:val="98"/>
              </w:numPr>
              <w:spacing w:before="60" w:after="0"/>
              <w:outlineLvl w:val="7"/>
              <w:rPr>
                <w:rFonts w:asciiTheme="minorHAnsi" w:hAnsiTheme="minorHAnsi"/>
                <w:szCs w:val="20"/>
              </w:rPr>
            </w:pPr>
            <w:r w:rsidRPr="00BD218B">
              <w:rPr>
                <w:rFonts w:asciiTheme="minorHAnsi" w:hAnsiTheme="minorHAnsi"/>
                <w:szCs w:val="20"/>
              </w:rPr>
              <w:t xml:space="preserve">whether the relevant law of the State is being transitioned so that the operator’s infrastructure charges will at a future date be approved or determined by a single State Agency in a way that is consistent with the regulatory test for Part 6 operators (set out in subrule 29(2)(b) of the proposed water charge rules); </w:t>
            </w:r>
          </w:p>
          <w:p w:rsidR="00BD218B" w:rsidRPr="00BD218B" w:rsidRDefault="00BD218B" w:rsidP="00BD218B">
            <w:pPr>
              <w:pStyle w:val="Heading8"/>
              <w:numPr>
                <w:ilvl w:val="0"/>
                <w:numId w:val="98"/>
              </w:numPr>
              <w:spacing w:before="60" w:after="0"/>
              <w:outlineLvl w:val="7"/>
              <w:rPr>
                <w:rFonts w:asciiTheme="minorHAnsi" w:hAnsiTheme="minorHAnsi"/>
                <w:szCs w:val="20"/>
              </w:rPr>
            </w:pPr>
            <w:r w:rsidRPr="00BD218B">
              <w:rPr>
                <w:rFonts w:asciiTheme="minorHAnsi" w:hAnsiTheme="minorHAnsi"/>
                <w:szCs w:val="20"/>
              </w:rPr>
              <w:t>the proportion of the infrastructure operator’s revenue to be recovered from infrastructure charges; and</w:t>
            </w:r>
          </w:p>
          <w:p w:rsidR="00BD218B" w:rsidRPr="00BD218B" w:rsidRDefault="00BD218B" w:rsidP="00BD218B">
            <w:pPr>
              <w:pStyle w:val="Heading8"/>
              <w:numPr>
                <w:ilvl w:val="0"/>
                <w:numId w:val="98"/>
              </w:numPr>
              <w:spacing w:before="60" w:after="0"/>
              <w:outlineLvl w:val="7"/>
              <w:rPr>
                <w:rFonts w:asciiTheme="minorHAnsi" w:hAnsiTheme="minorHAnsi"/>
                <w:szCs w:val="20"/>
              </w:rPr>
            </w:pPr>
            <w:r w:rsidRPr="00BD218B">
              <w:rPr>
                <w:rFonts w:asciiTheme="minorHAnsi" w:hAnsiTheme="minorHAnsi"/>
                <w:szCs w:val="20"/>
              </w:rPr>
              <w:t>any other matters that the ACCC considers relevant.</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exemption should be granted for a specific period, or for an unspecified period if the decision to exempt is subject to review at a specific time.</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In making this decision the rules should allow the ACCC to undertake public consultation or request further information from the operator.</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Transitional arrangements for existing Part 6 operators</w:t>
            </w:r>
          </w:p>
          <w:p w:rsidR="00BD218B" w:rsidRPr="00BD218B" w:rsidRDefault="00BD218B" w:rsidP="00BD218B">
            <w:pPr>
              <w:pStyle w:val="Heading8"/>
              <w:keepNext/>
              <w:keepLines/>
              <w:spacing w:before="60" w:after="0"/>
              <w:outlineLvl w:val="7"/>
              <w:rPr>
                <w:rFonts w:asciiTheme="minorHAnsi" w:hAnsiTheme="minorHAnsi"/>
                <w:szCs w:val="20"/>
              </w:rPr>
            </w:pPr>
            <w:r w:rsidRPr="00BD218B">
              <w:rPr>
                <w:rFonts w:asciiTheme="minorHAnsi" w:hAnsiTheme="minorHAnsi"/>
                <w:szCs w:val="20"/>
              </w:rPr>
              <w:t xml:space="preserve">The rules should include transitional provisions to provide that, when the amended rules commence (referred to in the proposed water charge rules as the ‘transition date’), Part 6 of the proposed rules continues to apply to an existing Part 6 operators (even if it would not meet the proposed new criteria) until the conclusion of any regulatory period in effect on the transition date. </w:t>
            </w:r>
          </w:p>
          <w:p w:rsidR="00BD218B" w:rsidRPr="00BD218B" w:rsidRDefault="00BD218B" w:rsidP="00BD218B">
            <w:pPr>
              <w:pStyle w:val="Heading8"/>
              <w:keepNext/>
              <w:keepLines/>
              <w:spacing w:before="60" w:after="0"/>
              <w:outlineLvl w:val="7"/>
              <w:rPr>
                <w:rFonts w:asciiTheme="minorHAnsi" w:hAnsiTheme="minorHAnsi"/>
                <w:szCs w:val="20"/>
              </w:rPr>
            </w:pPr>
            <w:r w:rsidRPr="00BD218B">
              <w:rPr>
                <w:rFonts w:asciiTheme="minorHAnsi" w:hAnsiTheme="minorHAnsi"/>
                <w:szCs w:val="20"/>
              </w:rPr>
              <w:t>If, however, a Part 6 operator had made an application under Part 6 before the transition date, but the regulator had not yet approved or determined the charges, the approval or determination should be made according to the current Part 6 criteria. However, Part 6 as amended should then apply to the operator until the end of the ‘regulatory period’ for which the application was made.</w:t>
            </w:r>
          </w:p>
          <w:p w:rsidR="00BD218B" w:rsidRPr="00BD218B" w:rsidRDefault="00BD218B" w:rsidP="00BD218B">
            <w:pPr>
              <w:pStyle w:val="Heading8"/>
              <w:keepNext/>
              <w:keepLines/>
              <w:spacing w:before="60" w:after="0"/>
              <w:outlineLvl w:val="7"/>
              <w:rPr>
                <w:rFonts w:asciiTheme="minorHAnsi" w:hAnsiTheme="minorHAnsi"/>
                <w:szCs w:val="20"/>
              </w:rPr>
            </w:pPr>
            <w:r w:rsidRPr="00BD218B">
              <w:rPr>
                <w:rFonts w:asciiTheme="minorHAnsi" w:hAnsiTheme="minorHAnsi"/>
                <w:szCs w:val="20"/>
              </w:rPr>
              <w:t>After the transition date, the ACCC will consider whether existing Part 6 operators meet the proposed new criteria for the application of Part 6 and, if they do or will, whether an exemption from the requirements of Part 6 as amended should be given for after the transition period.</w:t>
            </w:r>
          </w:p>
          <w:p w:rsidR="00BD218B" w:rsidRPr="00BD218B" w:rsidRDefault="00BD218B" w:rsidP="00BD218B">
            <w:pPr>
              <w:pStyle w:val="Heading8"/>
              <w:keepNext/>
              <w:keepLines/>
              <w:spacing w:before="60" w:after="0"/>
              <w:outlineLvl w:val="7"/>
              <w:rPr>
                <w:rFonts w:asciiTheme="minorHAnsi" w:hAnsiTheme="minorHAnsi"/>
                <w:sz w:val="18"/>
              </w:rPr>
            </w:pPr>
            <w:r w:rsidRPr="00BD218B">
              <w:rPr>
                <w:rFonts w:asciiTheme="minorHAnsi" w:hAnsiTheme="minorHAnsi"/>
                <w:szCs w:val="20"/>
              </w:rPr>
              <w:t>Note</w:t>
            </w:r>
            <w:r w:rsidRPr="00BD218B">
              <w:rPr>
                <w:rFonts w:asciiTheme="minorHAnsi" w:hAnsiTheme="minorHAnsi"/>
                <w:i/>
                <w:sz w:val="18"/>
              </w:rPr>
              <w:t>:</w:t>
            </w:r>
            <w:r w:rsidRPr="00BD218B">
              <w:rPr>
                <w:rFonts w:asciiTheme="minorHAnsi" w:hAnsiTheme="minorHAnsi"/>
                <w:sz w:val="18"/>
              </w:rPr>
              <w:t xml:space="preserve"> If rule advice 5-M is adopted, rule advices 5-A to 5-E, relating to enhancing the non-discrimination and pricing transparency provisions, should also be adopted to ensure effective standards are maintained.</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xml:space="preserve"> If rule advice 5-M is adopted, rule advice 5-W (winding back accreditation requirements) should also be adopted.</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Regulator for Part 6</w:t>
            </w:r>
          </w:p>
          <w:p w:rsidR="00BD218B" w:rsidRPr="00BD218B" w:rsidRDefault="00BD218B" w:rsidP="00BD218B">
            <w:pPr>
              <w:pStyle w:val="Heading8"/>
              <w:spacing w:before="60" w:after="0"/>
              <w:outlineLvl w:val="7"/>
              <w:rPr>
                <w:rFonts w:asciiTheme="minorHAnsi" w:hAnsiTheme="minorHAnsi"/>
              </w:rPr>
            </w:pPr>
            <w:r w:rsidRPr="00BD218B">
              <w:rPr>
                <w:rFonts w:asciiTheme="minorHAnsi" w:hAnsiTheme="minorHAnsi"/>
                <w:szCs w:val="20"/>
              </w:rPr>
              <w:t>Due to the proposed amendments to the criteria for</w:t>
            </w:r>
            <w:r w:rsidRPr="00BD218B">
              <w:rPr>
                <w:rFonts w:asciiTheme="minorHAnsi" w:hAnsiTheme="minorHAnsi"/>
              </w:rPr>
              <w:t xml:space="preserve"> Part 6, the regulator for Part 6 after the transition period should be the ACCC (rather than an accredited state regulator or the ACCC, as under the current rules).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 xml:space="preserve">See </w:t>
            </w:r>
            <w:r w:rsidRPr="00BD218B">
              <w:rPr>
                <w:rFonts w:asciiTheme="minorHAnsi" w:hAnsiTheme="minorHAnsi"/>
                <w:szCs w:val="20"/>
              </w:rPr>
              <w:t>also rule advice 5-W.</w:t>
            </w:r>
          </w:p>
          <w:p w:rsidR="009845D5" w:rsidRPr="00C733B4" w:rsidRDefault="00BD218B" w:rsidP="00035824">
            <w:pPr>
              <w:pStyle w:val="Heading8"/>
              <w:spacing w:before="60" w:after="60"/>
              <w:outlineLvl w:val="7"/>
              <w:rPr>
                <w:rFonts w:asciiTheme="minorHAnsi" w:hAnsiTheme="minorHAnsi"/>
                <w:b/>
                <w:noProof/>
                <w:szCs w:val="20"/>
              </w:rPr>
            </w:pPr>
            <w:r w:rsidRPr="00BD218B">
              <w:rPr>
                <w:rFonts w:asciiTheme="minorHAnsi" w:hAnsiTheme="minorHAnsi"/>
                <w:szCs w:val="20"/>
              </w:rPr>
              <w:t>This rule advice is implemented in rules 23 to 23D and Part 11 of the proposed</w:t>
            </w:r>
            <w:r w:rsidRPr="00BD218B">
              <w:rPr>
                <w:rFonts w:asciiTheme="minorHAnsi" w:hAnsiTheme="minorHAnsi"/>
              </w:rPr>
              <w:t xml:space="preserve"> Water Charge Rules.</w:t>
            </w:r>
            <w:r w:rsidR="00DC434C" w:rsidRPr="00C733B4">
              <w:rPr>
                <w:rStyle w:val="Hyperlink"/>
                <w:rFonts w:asciiTheme="minorHAnsi" w:hAnsiTheme="minorHAnsi"/>
                <w:b/>
                <w:color w:val="auto"/>
                <w:szCs w:val="20"/>
                <w:u w:val="none"/>
              </w:rPr>
              <w:fldChar w:fldCharType="end"/>
            </w:r>
            <w:r w:rsidR="00B669A2" w:rsidRPr="00C733B4">
              <w:rPr>
                <w:rFonts w:asciiTheme="minorHAnsi" w:hAnsiTheme="minorHAnsi"/>
                <w:b/>
                <w:noProof/>
                <w:szCs w:val="20"/>
              </w:rPr>
              <w:t xml:space="preserve"> </w:t>
            </w:r>
          </w:p>
        </w:tc>
        <w:tc>
          <w:tcPr>
            <w:tcW w:w="3118" w:type="dxa"/>
            <w:shd w:val="clear" w:color="auto" w:fill="B6DDE8" w:themeFill="accent5" w:themeFillTint="66"/>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Substantial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The Final Advice maintains the policy intent of the Draft Advice but makes the following changes:</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 xml:space="preserve">modify the wording of the criteria in rule 23(b)(i) to refer to operators who </w:t>
            </w:r>
            <w:r w:rsidR="006A64FF" w:rsidRPr="00C733B4">
              <w:rPr>
                <w:rFonts w:asciiTheme="minorHAnsi" w:hAnsiTheme="minorHAnsi"/>
                <w:sz w:val="20"/>
              </w:rPr>
              <w:t xml:space="preserve">levy infrastructure charges in relation to </w:t>
            </w:r>
            <w:r w:rsidRPr="00C733B4">
              <w:rPr>
                <w:rFonts w:asciiTheme="minorHAnsi" w:hAnsiTheme="minorHAnsi"/>
                <w:sz w:val="20"/>
              </w:rPr>
              <w:t>‘bulk water services’</w:t>
            </w:r>
            <w:r w:rsidR="006A64FF" w:rsidRPr="00C733B4">
              <w:rPr>
                <w:rFonts w:asciiTheme="minorHAnsi" w:hAnsiTheme="minorHAnsi"/>
                <w:sz w:val="20"/>
              </w:rPr>
              <w:t>,</w:t>
            </w:r>
            <w:r w:rsidRPr="00C733B4">
              <w:rPr>
                <w:rFonts w:asciiTheme="minorHAnsi" w:hAnsiTheme="minorHAnsi"/>
                <w:sz w:val="20"/>
              </w:rPr>
              <w:t xml:space="preserve"> to make clear that Part 6 would not ordinarily capture off-river infrastructure operators</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 xml:space="preserve">clarify that an operator who provides infrastructure services to give effect to a state water sharing </w:t>
            </w:r>
            <w:r w:rsidR="00812B85" w:rsidRPr="00C733B4">
              <w:rPr>
                <w:rFonts w:asciiTheme="minorHAnsi" w:hAnsiTheme="minorHAnsi"/>
                <w:sz w:val="20"/>
              </w:rPr>
              <w:t xml:space="preserve">arrangement </w:t>
            </w:r>
            <w:r w:rsidRPr="00C733B4">
              <w:rPr>
                <w:rFonts w:asciiTheme="minorHAnsi" w:hAnsiTheme="minorHAnsi"/>
                <w:sz w:val="20"/>
              </w:rPr>
              <w:t>would only be captured under Part 6 if it levies infrastructure charges in relation to these services</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revise criteria for Part 6 to more clearly define the type of Basin State regulatory mechanism that would be a satisfactory alternative to Part 6</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expand the matters the ACCC can take into account when considering whether to exempt a Part 6 operator from the Part 6 requirements</w:t>
            </w:r>
          </w:p>
          <w:p w:rsidR="009845D5" w:rsidRPr="00C733B4" w:rsidRDefault="009071EC" w:rsidP="0018797D">
            <w:pPr>
              <w:pStyle w:val="TableBulletLvl1"/>
              <w:tabs>
                <w:tab w:val="clear" w:pos="426"/>
                <w:tab w:val="left" w:pos="508"/>
              </w:tabs>
              <w:ind w:left="0" w:firstLine="224"/>
              <w:rPr>
                <w:rFonts w:asciiTheme="minorHAnsi" w:hAnsiTheme="minorHAnsi"/>
              </w:rPr>
            </w:pPr>
            <w:r w:rsidRPr="00C733B4">
              <w:rPr>
                <w:rFonts w:asciiTheme="minorHAnsi" w:hAnsiTheme="minorHAnsi"/>
                <w:sz w:val="20"/>
              </w:rPr>
              <w:t>clarified the transitional provisions for current Part 6 operators which cease to meet the proposed Part 6 criteria.</w:t>
            </w:r>
            <w:r w:rsidR="00611393" w:rsidRPr="00C733B4">
              <w:rPr>
                <w:rFonts w:asciiTheme="minorHAnsi" w:hAnsiTheme="minorHAnsi"/>
                <w:sz w:val="20"/>
              </w:rPr>
              <w:t xml:space="preserve"> </w:t>
            </w:r>
          </w:p>
        </w:tc>
      </w:tr>
      <w:tr w:rsidR="009845D5" w:rsidRPr="00C733B4" w:rsidTr="007040B9">
        <w:trPr>
          <w:trHeight w:val="145"/>
        </w:trPr>
        <w:tc>
          <w:tcPr>
            <w:tcW w:w="11307" w:type="dxa"/>
          </w:tcPr>
          <w:p w:rsidR="00DC434C" w:rsidRPr="00C733B4" w:rsidRDefault="009845D5" w:rsidP="0018797D">
            <w:pPr>
              <w:pStyle w:val="TOC2"/>
              <w:rPr>
                <w:rStyle w:val="Hyperlink"/>
                <w:b w:val="0"/>
                <w:color w:val="auto"/>
                <w:szCs w:val="20"/>
                <w:u w:val="none"/>
              </w:rPr>
            </w:pPr>
            <w:r w:rsidRPr="00C733B4">
              <w:t>Rule advice 5</w:t>
            </w:r>
            <w:r w:rsidRPr="00C733B4">
              <w:noBreakHyphen/>
              <w:t>N</w:t>
            </w:r>
            <w:r w:rsidRPr="00C733B4">
              <w:rPr>
                <w:rStyle w:val="Hyperlink"/>
                <w:color w:val="auto"/>
                <w:szCs w:val="20"/>
                <w:u w:val="none"/>
              </w:rPr>
              <w:t xml:space="preserve"> </w:t>
            </w:r>
            <w:r w:rsidRPr="00C733B4">
              <w:rPr>
                <w:rStyle w:val="Hyperlink"/>
                <w:b w:val="0"/>
                <w:color w:val="auto"/>
                <w:szCs w:val="20"/>
                <w:u w:val="none"/>
              </w:rPr>
              <w:t>(section 5.6.2)</w:t>
            </w:r>
          </w:p>
          <w:p w:rsidR="00BD218B" w:rsidRPr="00BD218B" w:rsidRDefault="00DC434C" w:rsidP="00BD218B">
            <w:pPr>
              <w:pStyle w:val="Heading8"/>
              <w:spacing w:before="60" w:after="0"/>
              <w:outlineLvl w:val="7"/>
              <w:rPr>
                <w:rFonts w:asciiTheme="minorHAnsi" w:hAnsiTheme="minorHAnsi"/>
                <w:szCs w:val="20"/>
              </w:rPr>
            </w:pPr>
            <w:r w:rsidRPr="00C733B4">
              <w:rPr>
                <w:rStyle w:val="Hyperlink"/>
                <w:rFonts w:asciiTheme="minorHAnsi" w:hAnsiTheme="minorHAnsi"/>
                <w:b/>
                <w:color w:val="auto"/>
                <w:szCs w:val="20"/>
                <w:u w:val="none"/>
              </w:rPr>
              <w:fldChar w:fldCharType="begin"/>
            </w:r>
            <w:r w:rsidRPr="00C733B4">
              <w:rPr>
                <w:rStyle w:val="Hyperlink"/>
                <w:rFonts w:asciiTheme="minorHAnsi" w:hAnsiTheme="minorHAnsi"/>
                <w:b/>
                <w:color w:val="auto"/>
                <w:szCs w:val="20"/>
                <w:u w:val="none"/>
              </w:rPr>
              <w:instrText xml:space="preserve"> REF  Rule_Advice_5N \h  \* MERGEFORMAT </w:instrText>
            </w:r>
            <w:r w:rsidRPr="00C733B4">
              <w:rPr>
                <w:rStyle w:val="Hyperlink"/>
                <w:rFonts w:asciiTheme="minorHAnsi" w:hAnsiTheme="minorHAnsi"/>
                <w:b/>
                <w:color w:val="auto"/>
                <w:szCs w:val="20"/>
                <w:u w:val="none"/>
              </w:rPr>
            </w:r>
            <w:r w:rsidRPr="00C733B4">
              <w:rPr>
                <w:rStyle w:val="Hyperlink"/>
                <w:rFonts w:asciiTheme="minorHAnsi" w:hAnsiTheme="minorHAnsi"/>
                <w:b/>
                <w:color w:val="auto"/>
                <w:szCs w:val="20"/>
                <w:u w:val="none"/>
              </w:rPr>
              <w:fldChar w:fldCharType="separate"/>
            </w:r>
            <w:r w:rsidR="00BD218B" w:rsidRPr="00BD218B">
              <w:rPr>
                <w:rFonts w:asciiTheme="minorHAnsi" w:hAnsiTheme="minorHAnsi"/>
                <w:szCs w:val="20"/>
              </w:rPr>
              <w:t>The rules should be amended such that timeframes that apply to Part 6 processes are as per Table 5.5.</w:t>
            </w:r>
          </w:p>
          <w:p w:rsidR="00BD218B" w:rsidRPr="00BD218B" w:rsidRDefault="00BD218B" w:rsidP="00BD218B">
            <w:pPr>
              <w:pStyle w:val="Tabletitle"/>
              <w:keepLines/>
              <w:spacing w:before="60"/>
              <w:rPr>
                <w:rFonts w:asciiTheme="minorHAnsi" w:hAnsiTheme="minorHAnsi"/>
                <w:sz w:val="20"/>
              </w:rPr>
            </w:pPr>
            <w:r w:rsidRPr="00BD218B">
              <w:rPr>
                <w:rFonts w:asciiTheme="minorHAnsi" w:hAnsiTheme="minorHAnsi"/>
                <w:sz w:val="20"/>
              </w:rPr>
              <w:t>Table 5.5: Proposed Regulatory Timelines for Part 6 operators</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10" w:type="dxa"/>
                <w:right w:w="10" w:type="dxa"/>
              </w:tblCellMar>
              <w:tblLook w:val="0000" w:firstRow="0" w:lastRow="0" w:firstColumn="0" w:lastColumn="0" w:noHBand="0" w:noVBand="0"/>
            </w:tblPr>
            <w:tblGrid>
              <w:gridCol w:w="2591"/>
              <w:gridCol w:w="3543"/>
              <w:gridCol w:w="4536"/>
            </w:tblGrid>
            <w:tr w:rsidR="00BD218B" w:rsidRPr="00DF5192" w:rsidTr="00BD218B">
              <w:trPr>
                <w:trHeight w:val="145"/>
              </w:trPr>
              <w:tc>
                <w:tcPr>
                  <w:tcW w:w="2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p>
              </w:tc>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r w:rsidRPr="00BD218B">
                    <w:rPr>
                      <w:rFonts w:asciiTheme="minorHAnsi" w:hAnsiTheme="minorHAnsi"/>
                    </w:rPr>
                    <w:t>Original approval / determination</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r w:rsidRPr="00BD218B">
                    <w:rPr>
                      <w:rFonts w:asciiTheme="minorHAnsi" w:hAnsiTheme="minorHAnsi"/>
                    </w:rPr>
                    <w:t>Annual review approval / determination</w:t>
                  </w:r>
                </w:p>
              </w:tc>
            </w:tr>
            <w:tr w:rsidR="00BD218B" w:rsidRPr="00DF5192" w:rsidTr="00BD218B">
              <w:trPr>
                <w:trHeight w:val="145"/>
              </w:trPr>
              <w:tc>
                <w:tcPr>
                  <w:tcW w:w="2591" w:type="dxa"/>
                  <w:tcBorders>
                    <w:top w:val="single" w:sz="4" w:space="0" w:color="auto"/>
                  </w:tcBorders>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r w:rsidRPr="00BD218B">
                    <w:rPr>
                      <w:rFonts w:asciiTheme="minorHAnsi" w:hAnsiTheme="minorHAnsi"/>
                    </w:rPr>
                    <w:t>Application for approval / determination lodged</w:t>
                  </w:r>
                </w:p>
              </w:tc>
              <w:tc>
                <w:tcPr>
                  <w:tcW w:w="3543" w:type="dxa"/>
                  <w:tcBorders>
                    <w:top w:val="single" w:sz="4" w:space="0" w:color="auto"/>
                  </w:tcBorders>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r w:rsidRPr="00BD218B">
                    <w:rPr>
                      <w:rFonts w:asciiTheme="minorHAnsi" w:hAnsiTheme="minorHAnsi"/>
                    </w:rPr>
                    <w:t>15 months before the start of the regulatory period to which the approval / determination relates.</w:t>
                  </w:r>
                </w:p>
              </w:tc>
              <w:tc>
                <w:tcPr>
                  <w:tcW w:w="4536" w:type="dxa"/>
                  <w:tcBorders>
                    <w:top w:val="single" w:sz="4" w:space="0" w:color="auto"/>
                  </w:tcBorders>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r w:rsidRPr="00BD218B">
                    <w:rPr>
                      <w:rFonts w:asciiTheme="minorHAnsi" w:hAnsiTheme="minorHAnsi"/>
                    </w:rPr>
                    <w:t>4 months before the start of the year of the regulatory period to which the approval / determination relates.</w:t>
                  </w:r>
                </w:p>
              </w:tc>
            </w:tr>
            <w:tr w:rsidR="00BD218B" w:rsidRPr="00DF5192" w:rsidTr="00BD218B">
              <w:trPr>
                <w:trHeight w:val="145"/>
              </w:trPr>
              <w:tc>
                <w:tcPr>
                  <w:tcW w:w="2591" w:type="dxa"/>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r w:rsidRPr="00BD218B">
                    <w:rPr>
                      <w:rFonts w:asciiTheme="minorHAnsi" w:hAnsiTheme="minorHAnsi"/>
                    </w:rPr>
                    <w:t>Regulator provides notice of its final decision</w:t>
                  </w:r>
                </w:p>
              </w:tc>
              <w:tc>
                <w:tcPr>
                  <w:tcW w:w="3543" w:type="dxa"/>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r w:rsidRPr="00BD218B">
                    <w:rPr>
                      <w:rFonts w:asciiTheme="minorHAnsi" w:hAnsiTheme="minorHAnsi"/>
                    </w:rPr>
                    <w:t>30 business days before the start of regulatory period to which the approval / determination relates.</w:t>
                  </w:r>
                </w:p>
              </w:tc>
              <w:tc>
                <w:tcPr>
                  <w:tcW w:w="4536" w:type="dxa"/>
                  <w:shd w:val="clear" w:color="auto" w:fill="D9D9D9" w:themeFill="background1" w:themeFillShade="D9"/>
                  <w:tcMar>
                    <w:left w:w="108" w:type="dxa"/>
                    <w:right w:w="108" w:type="dxa"/>
                  </w:tcMar>
                </w:tcPr>
                <w:p w:rsidR="00BD218B" w:rsidRPr="00BD218B" w:rsidRDefault="00BD218B" w:rsidP="00BD218B">
                  <w:pPr>
                    <w:pStyle w:val="tabletext"/>
                    <w:keepNext/>
                    <w:keepLines/>
                    <w:spacing w:after="0"/>
                    <w:rPr>
                      <w:rFonts w:asciiTheme="minorHAnsi" w:hAnsiTheme="minorHAnsi"/>
                    </w:rPr>
                  </w:pPr>
                  <w:r w:rsidRPr="00BD218B">
                    <w:rPr>
                      <w:rFonts w:asciiTheme="minorHAnsi" w:hAnsiTheme="minorHAnsi"/>
                    </w:rPr>
                    <w:t>30 business days before the start of the year of the regulatory period to which the approval / determination relates.</w:t>
                  </w:r>
                </w:p>
              </w:tc>
            </w:tr>
          </w:tbl>
          <w:p w:rsidR="00BD218B" w:rsidRPr="00BD218B" w:rsidRDefault="00BD218B" w:rsidP="00BD218B">
            <w:pPr>
              <w:pStyle w:val="Heading8"/>
              <w:keepNext/>
              <w:keepLines/>
              <w:spacing w:before="60" w:after="0"/>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xml:space="preserve"> Rule advice 5-I sets out Schedule of Charge publication requirements (see section 5.4.2).</w:t>
            </w:r>
          </w:p>
          <w:p w:rsidR="009845D5"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Part 6, Divisions 2 and 3 of the proposed Water Charge Rules.</w:t>
            </w:r>
            <w:r w:rsidR="00DC434C" w:rsidRPr="00C733B4">
              <w:rPr>
                <w:rStyle w:val="Hyperlink"/>
                <w:rFonts w:asciiTheme="minorHAnsi" w:hAnsiTheme="minorHAnsi"/>
                <w:b/>
                <w:color w:val="auto"/>
                <w:szCs w:val="20"/>
                <w:u w:val="none"/>
              </w:rPr>
              <w:fldChar w:fldCharType="end"/>
            </w:r>
            <w:r w:rsidR="00B669A2" w:rsidRPr="00C733B4">
              <w:rPr>
                <w:rFonts w:asciiTheme="minorHAnsi" w:hAnsiTheme="minorHAnsi"/>
                <w:noProof/>
                <w:szCs w:val="20"/>
              </w:rPr>
              <w:t xml:space="preserve"> </w:t>
            </w:r>
          </w:p>
        </w:tc>
        <w:tc>
          <w:tcPr>
            <w:tcW w:w="3118" w:type="dxa"/>
            <w:shd w:val="clear" w:color="auto" w:fill="auto"/>
          </w:tcPr>
          <w:p w:rsidR="009845D5" w:rsidRPr="00C733B4" w:rsidRDefault="009845D5"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(Note, however, that Table 5.</w:t>
            </w:r>
            <w:r w:rsidR="00D1759A" w:rsidRPr="00C733B4">
              <w:rPr>
                <w:rFonts w:asciiTheme="minorHAnsi" w:hAnsiTheme="minorHAnsi"/>
                <w:sz w:val="20"/>
                <w:szCs w:val="20"/>
              </w:rPr>
              <w:t xml:space="preserve">5 </w:t>
            </w:r>
            <w:r w:rsidRPr="00C733B4">
              <w:rPr>
                <w:rFonts w:asciiTheme="minorHAnsi" w:hAnsiTheme="minorHAnsi"/>
                <w:sz w:val="20"/>
                <w:szCs w:val="20"/>
              </w:rPr>
              <w:t>previously included Schedule of Charge publication requirements, which have been replaced by a cross-reference to Rule Advice 5-I</w:t>
            </w:r>
            <w:r w:rsidR="00261F51" w:rsidRPr="00C733B4">
              <w:rPr>
                <w:rFonts w:asciiTheme="minorHAnsi" w:hAnsiTheme="minorHAnsi"/>
                <w:sz w:val="20"/>
                <w:szCs w:val="20"/>
              </w:rPr>
              <w:t>.</w:t>
            </w:r>
            <w:r w:rsidRPr="00C733B4">
              <w:rPr>
                <w:rFonts w:asciiTheme="minorHAnsi" w:hAnsiTheme="minorHAnsi"/>
                <w:sz w:val="20"/>
                <w:szCs w:val="20"/>
              </w:rPr>
              <w:t>)</w:t>
            </w:r>
          </w:p>
          <w:p w:rsidR="009845D5" w:rsidRPr="00C733B4" w:rsidRDefault="009845D5" w:rsidP="0018797D">
            <w:pPr>
              <w:spacing w:before="60" w:after="60"/>
              <w:rPr>
                <w:rFonts w:asciiTheme="minorHAnsi" w:hAnsiTheme="minorHAnsi"/>
                <w:sz w:val="20"/>
                <w:szCs w:val="20"/>
              </w:rPr>
            </w:pPr>
          </w:p>
        </w:tc>
      </w:tr>
      <w:tr w:rsidR="009845D5" w:rsidRPr="00C733B4" w:rsidTr="007040B9">
        <w:trPr>
          <w:trHeight w:val="145"/>
        </w:trPr>
        <w:tc>
          <w:tcPr>
            <w:tcW w:w="11307" w:type="dxa"/>
            <w:shd w:val="clear" w:color="auto" w:fill="auto"/>
          </w:tcPr>
          <w:p w:rsidR="00DC434C" w:rsidRPr="00C733B4" w:rsidRDefault="009845D5" w:rsidP="0018797D">
            <w:pPr>
              <w:pStyle w:val="TOC2"/>
              <w:rPr>
                <w:rStyle w:val="Hyperlink"/>
                <w:b w:val="0"/>
                <w:color w:val="auto"/>
                <w:szCs w:val="20"/>
                <w:u w:val="none"/>
              </w:rPr>
            </w:pPr>
            <w:r w:rsidRPr="00C733B4">
              <w:t>Rule advice 5</w:t>
            </w:r>
            <w:r w:rsidRPr="00C733B4">
              <w:noBreakHyphen/>
              <w:t>O</w:t>
            </w:r>
            <w:r w:rsidRPr="00C733B4">
              <w:rPr>
                <w:rStyle w:val="Hyperlink"/>
                <w:color w:val="auto"/>
                <w:szCs w:val="20"/>
                <w:u w:val="none"/>
              </w:rPr>
              <w:t xml:space="preserve"> </w:t>
            </w:r>
            <w:r w:rsidRPr="00C733B4">
              <w:rPr>
                <w:rStyle w:val="Hyperlink"/>
                <w:b w:val="0"/>
                <w:color w:val="auto"/>
                <w:szCs w:val="20"/>
                <w:u w:val="none"/>
              </w:rPr>
              <w:t>(section 5.6.2)</w:t>
            </w:r>
          </w:p>
          <w:p w:rsidR="00BD218B" w:rsidRPr="00BD218B" w:rsidRDefault="00DC434C" w:rsidP="00BD218B">
            <w:pPr>
              <w:pStyle w:val="Heading8"/>
              <w:spacing w:before="60" w:after="0"/>
              <w:outlineLvl w:val="7"/>
              <w:rPr>
                <w:rFonts w:asciiTheme="minorHAnsi" w:hAnsiTheme="minorHAnsi"/>
                <w:szCs w:val="20"/>
              </w:rPr>
            </w:pPr>
            <w:r w:rsidRPr="00C733B4">
              <w:rPr>
                <w:rStyle w:val="Hyperlink"/>
                <w:rFonts w:asciiTheme="minorHAnsi" w:hAnsiTheme="minorHAnsi"/>
                <w:b/>
                <w:color w:val="auto"/>
                <w:szCs w:val="20"/>
                <w:u w:val="none"/>
              </w:rPr>
              <w:fldChar w:fldCharType="begin"/>
            </w:r>
            <w:r w:rsidRPr="00C733B4">
              <w:rPr>
                <w:rStyle w:val="Hyperlink"/>
                <w:rFonts w:asciiTheme="minorHAnsi" w:hAnsiTheme="minorHAnsi"/>
                <w:b/>
                <w:color w:val="auto"/>
                <w:szCs w:val="20"/>
                <w:u w:val="none"/>
              </w:rPr>
              <w:instrText xml:space="preserve"> REF  Rule_Advice_5O \h  \* MERGEFORMAT </w:instrText>
            </w:r>
            <w:r w:rsidRPr="00C733B4">
              <w:rPr>
                <w:rStyle w:val="Hyperlink"/>
                <w:rFonts w:asciiTheme="minorHAnsi" w:hAnsiTheme="minorHAnsi"/>
                <w:b/>
                <w:color w:val="auto"/>
                <w:szCs w:val="20"/>
                <w:u w:val="none"/>
              </w:rPr>
            </w:r>
            <w:r w:rsidRPr="00C733B4">
              <w:rPr>
                <w:rStyle w:val="Hyperlink"/>
                <w:rFonts w:asciiTheme="minorHAnsi" w:hAnsiTheme="minorHAnsi"/>
                <w:b/>
                <w:color w:val="auto"/>
                <w:szCs w:val="20"/>
                <w:u w:val="none"/>
              </w:rPr>
              <w:fldChar w:fldCharType="separate"/>
            </w:r>
            <w:r w:rsidR="00BD218B" w:rsidRPr="00BD218B">
              <w:rPr>
                <w:rFonts w:asciiTheme="minorHAnsi" w:hAnsiTheme="minorHAnsi"/>
                <w:szCs w:val="20"/>
              </w:rPr>
              <w:t>The rules should be amended to alter the definition of “regulatory period” (rule 3 in Part 1) to provide for a default regulatory period of three years (instead of four years) for Part 6 operators.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Rule 24 should be amended to allow the ACCC to lengthen a regulatory period from the proposed default period of three years to up to five years upon the request of an operator in order to align the regulatory period with:</w:t>
            </w:r>
          </w:p>
          <w:p w:rsidR="00BD218B" w:rsidRPr="00BD218B" w:rsidRDefault="00BD218B" w:rsidP="00020517">
            <w:pPr>
              <w:pStyle w:val="Ruleadvicebullet"/>
              <w:rPr>
                <w:rFonts w:asciiTheme="minorHAnsi" w:hAnsiTheme="minorHAnsi"/>
              </w:rPr>
            </w:pPr>
            <w:r w:rsidRPr="00BD218B">
              <w:rPr>
                <w:rFonts w:asciiTheme="minorHAnsi" w:hAnsiTheme="minorHAnsi"/>
              </w:rPr>
              <w:t>a regulatory period that applies to the Part 6 operator in relation to urban water services (as is currently provided for); or</w:t>
            </w:r>
          </w:p>
          <w:p w:rsidR="00BD218B" w:rsidRPr="00BD218B" w:rsidRDefault="00BD218B" w:rsidP="00020517">
            <w:pPr>
              <w:pStyle w:val="Ruleadvicebullet"/>
              <w:rPr>
                <w:rFonts w:asciiTheme="minorHAnsi" w:hAnsiTheme="minorHAnsi"/>
              </w:rPr>
            </w:pPr>
            <w:r w:rsidRPr="00BD218B">
              <w:rPr>
                <w:rFonts w:asciiTheme="minorHAnsi" w:hAnsiTheme="minorHAnsi"/>
              </w:rPr>
              <w:t>a regulatory period that applies to the Part 6 operator in relation to non-Murray-Darling Basin (MDB) (rural) water services.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rules should also be amended to provide the ACCC with a general discretion to lengthen a regulatory period up to a maximum of 5 years (including for reasons other than aligning regulatory periods). The ACCC should obtain, and have regard to, the views of the Part 6 operator prior to making a decision to lengthen a regulatory period. </w:t>
            </w:r>
          </w:p>
          <w:p w:rsidR="00BD218B" w:rsidRPr="00BD218B" w:rsidRDefault="00BD218B" w:rsidP="00BD218B">
            <w:pPr>
              <w:pStyle w:val="Heading8"/>
              <w:spacing w:before="60" w:after="0"/>
              <w:outlineLvl w:val="7"/>
              <w:rPr>
                <w:rFonts w:asciiTheme="minorHAnsi" w:hAnsiTheme="minorHAnsi"/>
                <w:color w:val="000000"/>
                <w:szCs w:val="20"/>
              </w:rPr>
            </w:pPr>
            <w:r w:rsidRPr="00BD218B">
              <w:rPr>
                <w:rFonts w:asciiTheme="minorHAnsi" w:hAnsiTheme="minorHAnsi"/>
                <w:szCs w:val="20"/>
              </w:rPr>
              <w:t xml:space="preserve">The rules should not allow the ACCC to decide to change a regulatory period after the date the ACCC publishes its draft approval or determination in relation to the regulatory period (under rule 28). </w:t>
            </w:r>
          </w:p>
          <w:p w:rsidR="009845D5" w:rsidRPr="00C733B4" w:rsidRDefault="00BD218B" w:rsidP="008A39E9">
            <w:pPr>
              <w:pStyle w:val="Heading8"/>
              <w:spacing w:before="60" w:after="0"/>
              <w:outlineLvl w:val="7"/>
              <w:rPr>
                <w:rFonts w:asciiTheme="minorHAnsi" w:hAnsiTheme="minorHAnsi"/>
                <w:noProof/>
                <w:szCs w:val="20"/>
              </w:rPr>
            </w:pPr>
            <w:r w:rsidRPr="00BD218B">
              <w:rPr>
                <w:rFonts w:asciiTheme="minorHAnsi" w:hAnsiTheme="minorHAnsi"/>
                <w:szCs w:val="20"/>
              </w:rPr>
              <w:t xml:space="preserve">This rule advice is implemented in rules 3 and 24 of the proposed Water Charge Rules. </w:t>
            </w:r>
            <w:r w:rsidR="00DC434C" w:rsidRPr="00C733B4">
              <w:rPr>
                <w:rStyle w:val="Hyperlink"/>
                <w:rFonts w:asciiTheme="minorHAnsi" w:hAnsiTheme="minorHAnsi"/>
                <w:b/>
                <w:color w:val="auto"/>
                <w:szCs w:val="20"/>
                <w:u w:val="none"/>
              </w:rPr>
              <w:fldChar w:fldCharType="end"/>
            </w:r>
            <w:r w:rsidR="006A64FF" w:rsidRPr="00C733B4">
              <w:rPr>
                <w:rFonts w:asciiTheme="minorHAnsi" w:hAnsiTheme="minorHAnsi"/>
                <w:noProof/>
                <w:szCs w:val="20"/>
              </w:rPr>
              <w:t xml:space="preserve"> </w:t>
            </w:r>
          </w:p>
        </w:tc>
        <w:tc>
          <w:tcPr>
            <w:tcW w:w="3118" w:type="dxa"/>
            <w:shd w:val="clear" w:color="auto" w:fill="D6E3BC" w:themeFill="accent3" w:themeFillTint="66"/>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E9207B"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maintains the </w:t>
            </w:r>
            <w:r w:rsidR="00134D60" w:rsidRPr="00C733B4">
              <w:rPr>
                <w:rFonts w:asciiTheme="minorHAnsi" w:hAnsiTheme="minorHAnsi"/>
                <w:sz w:val="20"/>
                <w:szCs w:val="20"/>
              </w:rPr>
              <w:t>d</w:t>
            </w:r>
            <w:r w:rsidRPr="00C733B4">
              <w:rPr>
                <w:rFonts w:asciiTheme="minorHAnsi" w:hAnsiTheme="minorHAnsi"/>
                <w:sz w:val="20"/>
                <w:szCs w:val="20"/>
              </w:rPr>
              <w:t xml:space="preserve">raft </w:t>
            </w:r>
            <w:r w:rsidR="00134D60" w:rsidRPr="00C733B4">
              <w:rPr>
                <w:rFonts w:asciiTheme="minorHAnsi" w:hAnsiTheme="minorHAnsi"/>
                <w:sz w:val="20"/>
                <w:szCs w:val="20"/>
              </w:rPr>
              <w:t>rule a</w:t>
            </w:r>
            <w:r w:rsidRPr="00C733B4">
              <w:rPr>
                <w:rFonts w:asciiTheme="minorHAnsi" w:hAnsiTheme="minorHAnsi"/>
                <w:sz w:val="20"/>
                <w:szCs w:val="20"/>
              </w:rPr>
              <w:t xml:space="preserve">dvice but has been updated due to relevant amendments to the Act. Therefore, Rule Advice 5-O is no longer conditional upon the Act being amended, and advises that the rules should </w:t>
            </w:r>
            <w:r w:rsidR="00134D60" w:rsidRPr="00C733B4">
              <w:rPr>
                <w:rFonts w:asciiTheme="minorHAnsi" w:hAnsiTheme="minorHAnsi"/>
                <w:sz w:val="20"/>
                <w:szCs w:val="20"/>
              </w:rPr>
              <w:t xml:space="preserve">give the ACCC a general discretion </w:t>
            </w:r>
            <w:r w:rsidRPr="00C733B4">
              <w:rPr>
                <w:rFonts w:asciiTheme="minorHAnsi" w:hAnsiTheme="minorHAnsi"/>
                <w:sz w:val="20"/>
                <w:szCs w:val="20"/>
              </w:rPr>
              <w:t xml:space="preserve">to lengthen (but not shorten) the </w:t>
            </w:r>
            <w:r w:rsidR="006A64FF" w:rsidRPr="00C733B4">
              <w:rPr>
                <w:rFonts w:asciiTheme="minorHAnsi" w:hAnsiTheme="minorHAnsi"/>
                <w:sz w:val="20"/>
                <w:szCs w:val="20"/>
              </w:rPr>
              <w:t xml:space="preserve">duration </w:t>
            </w:r>
            <w:r w:rsidRPr="00C733B4">
              <w:rPr>
                <w:rFonts w:asciiTheme="minorHAnsi" w:hAnsiTheme="minorHAnsi"/>
                <w:sz w:val="20"/>
                <w:szCs w:val="20"/>
              </w:rPr>
              <w:t>of an upcoming regulatory period</w:t>
            </w:r>
            <w:r w:rsidR="006A64FF" w:rsidRPr="00C733B4">
              <w:rPr>
                <w:rFonts w:asciiTheme="minorHAnsi" w:hAnsiTheme="minorHAnsi"/>
                <w:sz w:val="20"/>
                <w:szCs w:val="20"/>
              </w:rPr>
              <w:t xml:space="preserve"> from the default regulatory period of 3 years</w:t>
            </w:r>
            <w:r w:rsidRPr="00C733B4">
              <w:rPr>
                <w:rFonts w:asciiTheme="minorHAnsi" w:hAnsiTheme="minorHAnsi"/>
                <w:sz w:val="20"/>
                <w:szCs w:val="20"/>
              </w:rPr>
              <w:t xml:space="preserve">. </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Also, the rule advice now makes clear that a regulator should not be able to change a regulatory period after the date that a draft approval</w:t>
            </w:r>
            <w:r w:rsidR="00611393" w:rsidRPr="00C733B4">
              <w:rPr>
                <w:rFonts w:asciiTheme="minorHAnsi" w:hAnsiTheme="minorHAnsi"/>
                <w:sz w:val="20"/>
                <w:szCs w:val="20"/>
              </w:rPr>
              <w:t xml:space="preserve"> or determination</w:t>
            </w:r>
            <w:r w:rsidRPr="00C733B4">
              <w:rPr>
                <w:rFonts w:asciiTheme="minorHAnsi" w:hAnsiTheme="minorHAnsi"/>
                <w:sz w:val="20"/>
                <w:szCs w:val="20"/>
              </w:rPr>
              <w:t xml:space="preserve"> is published.</w:t>
            </w:r>
          </w:p>
        </w:tc>
      </w:tr>
      <w:tr w:rsidR="009845D5" w:rsidRPr="00C733B4" w:rsidTr="007040B9">
        <w:trPr>
          <w:trHeight w:val="145"/>
        </w:trPr>
        <w:tc>
          <w:tcPr>
            <w:tcW w:w="11307" w:type="dxa"/>
            <w:shd w:val="clear" w:color="auto" w:fill="auto"/>
          </w:tcPr>
          <w:p w:rsidR="00DC434C" w:rsidRPr="00C733B4" w:rsidRDefault="009845D5" w:rsidP="0018797D">
            <w:pPr>
              <w:pStyle w:val="TOC2"/>
              <w:rPr>
                <w:rStyle w:val="Hyperlink"/>
                <w:b w:val="0"/>
                <w:color w:val="auto"/>
                <w:szCs w:val="20"/>
                <w:u w:val="none"/>
              </w:rPr>
            </w:pPr>
            <w:r w:rsidRPr="00C733B4">
              <w:t>Rule advice 5</w:t>
            </w:r>
            <w:r w:rsidRPr="00C733B4">
              <w:noBreakHyphen/>
              <w:t>P</w:t>
            </w:r>
            <w:r w:rsidRPr="00C733B4">
              <w:rPr>
                <w:rStyle w:val="Hyperlink"/>
                <w:color w:val="auto"/>
                <w:szCs w:val="20"/>
                <w:u w:val="none"/>
              </w:rPr>
              <w:t xml:space="preserve"> </w:t>
            </w:r>
            <w:r w:rsidRPr="00C733B4">
              <w:rPr>
                <w:rStyle w:val="Hyperlink"/>
                <w:b w:val="0"/>
                <w:color w:val="auto"/>
                <w:szCs w:val="20"/>
                <w:u w:val="none"/>
              </w:rPr>
              <w:t>(section 5.6.3)</w:t>
            </w:r>
          </w:p>
          <w:p w:rsidR="00BD218B" w:rsidRPr="00BD218B" w:rsidRDefault="00DC434C" w:rsidP="00020517">
            <w:pPr>
              <w:pStyle w:val="Ruleadvicebullet"/>
              <w:rPr>
                <w:rFonts w:asciiTheme="minorHAnsi" w:hAnsiTheme="minorHAnsi"/>
              </w:rPr>
            </w:pPr>
            <w:r w:rsidRPr="00C733B4">
              <w:rPr>
                <w:rStyle w:val="Hyperlink"/>
                <w:rFonts w:asciiTheme="minorHAnsi" w:hAnsiTheme="minorHAnsi"/>
                <w:b/>
                <w:color w:val="auto"/>
                <w:szCs w:val="20"/>
                <w:u w:val="none"/>
              </w:rPr>
              <w:fldChar w:fldCharType="begin"/>
            </w:r>
            <w:r w:rsidRPr="00C733B4">
              <w:rPr>
                <w:rStyle w:val="Hyperlink"/>
                <w:rFonts w:asciiTheme="minorHAnsi" w:hAnsiTheme="minorHAnsi"/>
                <w:b/>
                <w:color w:val="auto"/>
                <w:szCs w:val="20"/>
                <w:u w:val="none"/>
              </w:rPr>
              <w:instrText xml:space="preserve"> REF  Rule_Advice_5P \h  \* MERGEFORMAT </w:instrText>
            </w:r>
            <w:r w:rsidRPr="00C733B4">
              <w:rPr>
                <w:rStyle w:val="Hyperlink"/>
                <w:rFonts w:asciiTheme="minorHAnsi" w:hAnsiTheme="minorHAnsi"/>
                <w:b/>
                <w:color w:val="auto"/>
                <w:szCs w:val="20"/>
                <w:u w:val="none"/>
              </w:rPr>
            </w:r>
            <w:r w:rsidRPr="00C733B4">
              <w:rPr>
                <w:rStyle w:val="Hyperlink"/>
                <w:rFonts w:asciiTheme="minorHAnsi" w:hAnsiTheme="minorHAnsi"/>
                <w:b/>
                <w:color w:val="auto"/>
                <w:szCs w:val="20"/>
                <w:u w:val="none"/>
              </w:rPr>
              <w:fldChar w:fldCharType="separate"/>
            </w:r>
            <w:r w:rsidR="00BD218B" w:rsidRPr="00BD218B">
              <w:rPr>
                <w:rFonts w:asciiTheme="minorHAnsi" w:hAnsiTheme="minorHAnsi"/>
              </w:rPr>
              <w:t xml:space="preserve">Subrule 29(2) should be amended to more clearly take into account government subsidies and Community Service Obligations (CSOs), as well as revenue from sources other than infrastructure charges that is derived from the water service infrastructure used to deliver infrastructure services.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In particular, subrule 29(2) should require the regulator to be satisfied that the forecast revenue from infrastructure charges is reasonably likely to meet, and will not materially exceed the prudent and efficient costs of providing infrastructure services, less: </w:t>
            </w:r>
          </w:p>
          <w:p w:rsidR="00BD218B" w:rsidRPr="00BD218B" w:rsidRDefault="00BD218B" w:rsidP="00BD218B">
            <w:pPr>
              <w:pStyle w:val="Ruleadvicebullet"/>
              <w:rPr>
                <w:rFonts w:asciiTheme="minorHAnsi" w:hAnsiTheme="minorHAnsi"/>
              </w:rPr>
            </w:pPr>
            <w:r w:rsidRPr="00BD218B">
              <w:rPr>
                <w:rFonts w:asciiTheme="minorHAnsi" w:hAnsiTheme="minorHAnsi"/>
              </w:rPr>
              <w:t xml:space="preserve">any amount to be contributed by governments in relation to providing the infrastructure services; and </w:t>
            </w:r>
          </w:p>
          <w:p w:rsidR="00BD218B" w:rsidRPr="00BD218B" w:rsidRDefault="00BD218B" w:rsidP="00BD218B">
            <w:pPr>
              <w:pStyle w:val="Ruleadvicebullet"/>
              <w:rPr>
                <w:rFonts w:asciiTheme="minorHAnsi" w:hAnsiTheme="minorHAnsi"/>
              </w:rPr>
            </w:pPr>
            <w:r w:rsidRPr="00BD218B">
              <w:rPr>
                <w:rFonts w:asciiTheme="minorHAnsi" w:hAnsiTheme="minorHAnsi"/>
              </w:rPr>
              <w:t>any amount reflecting a direction by a government forgoing a return on its share of capital in an infrastructure operator; and</w:t>
            </w:r>
          </w:p>
          <w:p w:rsidR="00BD218B" w:rsidRPr="00BD218B" w:rsidRDefault="00BD218B" w:rsidP="00BD218B">
            <w:pPr>
              <w:pStyle w:val="Ruleadvicebullet"/>
              <w:rPr>
                <w:rFonts w:asciiTheme="minorHAnsi" w:hAnsiTheme="minorHAnsi"/>
              </w:rPr>
            </w:pPr>
            <w:r w:rsidRPr="00BD218B">
              <w:rPr>
                <w:rFonts w:asciiTheme="minorHAnsi" w:hAnsiTheme="minorHAnsi"/>
              </w:rPr>
              <w:t>any revenue (other than from infrastructure charges) derived from the water service infrastructure used to provide infrastructure services.</w:t>
            </w:r>
          </w:p>
          <w:p w:rsidR="00BD218B" w:rsidRPr="00BD218B" w:rsidRDefault="00BD218B" w:rsidP="00020517">
            <w:pPr>
              <w:pStyle w:val="Ruleadvicebullet"/>
              <w:rPr>
                <w:rFonts w:asciiTheme="minorHAnsi" w:hAnsiTheme="minorHAnsi"/>
              </w:rPr>
            </w:pPr>
            <w:r w:rsidRPr="00BD218B">
              <w:rPr>
                <w:rFonts w:asciiTheme="minorHAnsi" w:hAnsiTheme="minorHAnsi"/>
              </w:rPr>
              <w:t>Rule 29 should be amended to also require the ACCC not to approve the infrastructure charges set out in an application unless it is satisfied that the infrastructure charges contained in the application are also consistent with the requirements of other provisions of the water charge rules.</w:t>
            </w:r>
          </w:p>
          <w:p w:rsidR="00BD218B" w:rsidRPr="00BD218B" w:rsidRDefault="00BD218B" w:rsidP="00020517">
            <w:pPr>
              <w:pStyle w:val="Ruleadvicebullet"/>
              <w:rPr>
                <w:rFonts w:asciiTheme="minorHAnsi" w:hAnsiTheme="minorHAnsi"/>
              </w:rPr>
            </w:pPr>
            <w:r w:rsidRPr="00BD218B">
              <w:rPr>
                <w:rFonts w:asciiTheme="minorHAnsi" w:hAnsiTheme="minorHAnsi"/>
              </w:rPr>
              <w:t>Rule 37 should be amended to allow a regulator to amend the infrastructure charges in the initial determination to the extent that it is reasonably necessary to make variations, having regard to the consistency of the infrastructure charges with the requirements of other provisions of the water charge rules.</w:t>
            </w:r>
          </w:p>
          <w:p w:rsidR="00BD218B" w:rsidRPr="00BD218B" w:rsidRDefault="00BD218B" w:rsidP="00020517">
            <w:pPr>
              <w:pStyle w:val="Ruleadvicebullet"/>
              <w:rPr>
                <w:rFonts w:asciiTheme="minorHAnsi" w:hAnsiTheme="minorHAnsi"/>
              </w:rPr>
            </w:pPr>
            <w:r w:rsidRPr="00BD218B">
              <w:rPr>
                <w:rFonts w:asciiTheme="minorHAnsi" w:hAnsiTheme="minorHAnsi"/>
              </w:rPr>
              <w:t>Schedule 1 of the rules (information to be provided in an application under Part 6) should be amended to:</w:t>
            </w:r>
          </w:p>
          <w:p w:rsidR="00BD218B" w:rsidRPr="00BD218B" w:rsidRDefault="00BD218B" w:rsidP="00BD218B">
            <w:pPr>
              <w:pStyle w:val="Ruleadvicebullet"/>
              <w:rPr>
                <w:rFonts w:asciiTheme="minorHAnsi" w:hAnsiTheme="minorHAnsi"/>
              </w:rPr>
            </w:pPr>
            <w:r w:rsidRPr="00BD218B">
              <w:rPr>
                <w:rFonts w:asciiTheme="minorHAnsi" w:hAnsiTheme="minorHAnsi"/>
              </w:rPr>
              <w:t xml:space="preserve">require an operator to set out details of differences between its actual / forecast capex for the current period and the capex approved by the regulator for that period (in terms of both the amount of capex and the selection / scope of projects undertaken). </w:t>
            </w:r>
          </w:p>
          <w:p w:rsidR="00BD218B" w:rsidRPr="00BD218B" w:rsidRDefault="00BD218B" w:rsidP="00BD218B">
            <w:pPr>
              <w:pStyle w:val="Ruleadvicebullet"/>
              <w:rPr>
                <w:rFonts w:asciiTheme="minorHAnsi" w:hAnsiTheme="minorHAnsi"/>
              </w:rPr>
            </w:pPr>
            <w:r w:rsidRPr="00BD218B">
              <w:rPr>
                <w:rFonts w:asciiTheme="minorHAnsi" w:hAnsiTheme="minorHAnsi"/>
              </w:rPr>
              <w:t>require an operator to include the actual and forecast revenue from sources other than infrastructure charges</w:t>
            </w:r>
          </w:p>
          <w:p w:rsidR="00BD218B" w:rsidRPr="00BD218B" w:rsidRDefault="00BD218B" w:rsidP="00BD218B">
            <w:pPr>
              <w:pStyle w:val="Ruleadvicebullet"/>
              <w:rPr>
                <w:rFonts w:asciiTheme="minorHAnsi" w:hAnsiTheme="minorHAnsi"/>
              </w:rPr>
            </w:pPr>
            <w:r w:rsidRPr="00BD218B">
              <w:rPr>
                <w:rFonts w:asciiTheme="minorHAnsi" w:hAnsiTheme="minorHAnsi"/>
              </w:rPr>
              <w:t>include a provision to make clear that where actual figures are unavailable, an operator must provide forecast figures.</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Schedule 2 of the rules (calculation of the regulatory asset base) should be amended to provide that </w:t>
            </w:r>
            <w:r w:rsidRPr="00BD218B">
              <w:rPr>
                <w:rFonts w:asciiTheme="minorHAnsi" w:hAnsiTheme="minorHAnsi"/>
                <w:i/>
              </w:rPr>
              <w:t xml:space="preserve">actual </w:t>
            </w:r>
            <w:r w:rsidRPr="00BD218B">
              <w:rPr>
                <w:rFonts w:asciiTheme="minorHAnsi" w:hAnsiTheme="minorHAnsi"/>
              </w:rPr>
              <w:t>capex in relation to:</w:t>
            </w:r>
          </w:p>
          <w:p w:rsidR="00BD218B" w:rsidRPr="00BD218B" w:rsidRDefault="00BD218B" w:rsidP="00BD218B">
            <w:pPr>
              <w:pStyle w:val="Ruleadvicebullet"/>
              <w:rPr>
                <w:rFonts w:asciiTheme="minorHAnsi" w:hAnsiTheme="minorHAnsi"/>
              </w:rPr>
            </w:pPr>
            <w:r w:rsidRPr="00BD218B">
              <w:rPr>
                <w:rFonts w:asciiTheme="minorHAnsi" w:hAnsiTheme="minorHAnsi"/>
              </w:rPr>
              <w:t xml:space="preserve">a major project not previously approved; or </w:t>
            </w:r>
          </w:p>
          <w:p w:rsidR="00BD218B" w:rsidRPr="00BD218B" w:rsidRDefault="00BD218B" w:rsidP="00BD218B">
            <w:pPr>
              <w:pStyle w:val="Ruleadvicebullet"/>
              <w:rPr>
                <w:rFonts w:asciiTheme="minorHAnsi" w:hAnsiTheme="minorHAnsi"/>
              </w:rPr>
            </w:pPr>
            <w:r w:rsidRPr="00BD218B">
              <w:rPr>
                <w:rFonts w:asciiTheme="minorHAnsi" w:hAnsiTheme="minorHAnsi"/>
              </w:rPr>
              <w:t xml:space="preserve">a project whose scope as undertaken materially differed from what was approved; or </w:t>
            </w:r>
          </w:p>
          <w:p w:rsidR="00BD218B" w:rsidRPr="00BD218B" w:rsidRDefault="00BD218B" w:rsidP="00BD218B">
            <w:pPr>
              <w:pStyle w:val="Ruleadvicebullet"/>
              <w:rPr>
                <w:rFonts w:asciiTheme="minorHAnsi" w:hAnsiTheme="minorHAnsi"/>
              </w:rPr>
            </w:pPr>
            <w:r w:rsidRPr="00BD218B">
              <w:rPr>
                <w:rFonts w:asciiTheme="minorHAnsi" w:hAnsiTheme="minorHAnsi"/>
              </w:rPr>
              <w:t>a project on which expenditure materially exceeded the amount previously approved;</w:t>
            </w:r>
          </w:p>
          <w:p w:rsidR="00BD218B" w:rsidRPr="00BD218B" w:rsidRDefault="00BD218B" w:rsidP="00BD218B">
            <w:pPr>
              <w:pStyle w:val="Ruleadvicebullet"/>
              <w:rPr>
                <w:rFonts w:asciiTheme="minorHAnsi" w:hAnsiTheme="minorHAnsi"/>
              </w:rPr>
            </w:pPr>
            <w:r w:rsidRPr="00BD218B">
              <w:rPr>
                <w:rFonts w:asciiTheme="minorHAnsi" w:hAnsiTheme="minorHAnsi"/>
              </w:rPr>
              <w:t>may not be rolled into the RAB if the ACCC is not satisfied that the capex was prudent and efficient.</w:t>
            </w:r>
          </w:p>
          <w:p w:rsidR="00BD218B" w:rsidRPr="00BD218B" w:rsidRDefault="00BD218B" w:rsidP="00BD218B">
            <w:pPr>
              <w:pStyle w:val="Ruleadvicebullet"/>
              <w:rPr>
                <w:rFonts w:asciiTheme="minorHAnsi" w:hAnsiTheme="minorHAnsi"/>
              </w:rPr>
            </w:pPr>
            <w:r w:rsidRPr="00BD218B">
              <w:rPr>
                <w:rFonts w:asciiTheme="minorHAnsi" w:hAnsiTheme="minorHAnsi"/>
              </w:rPr>
              <w:t>See also section 5.6.4.</w:t>
            </w:r>
          </w:p>
          <w:p w:rsidR="009845D5" w:rsidRPr="00C733B4" w:rsidRDefault="00BD218B" w:rsidP="00020517">
            <w:pPr>
              <w:pStyle w:val="Ruleadvicebullet"/>
              <w:rPr>
                <w:rFonts w:asciiTheme="minorHAnsi" w:hAnsiTheme="minorHAnsi"/>
              </w:rPr>
            </w:pPr>
            <w:r w:rsidRPr="00BD218B">
              <w:rPr>
                <w:rFonts w:asciiTheme="minorHAnsi" w:hAnsiTheme="minorHAnsi"/>
              </w:rPr>
              <w:t>This rule advice is implemented in rules 29 and 37, and Schedules 1 and 2, of the proposed Water Charge Rules</w:t>
            </w:r>
            <w:r w:rsidRPr="00BD218B">
              <w:rPr>
                <w:rFonts w:asciiTheme="minorHAnsi" w:hAnsiTheme="minorHAnsi"/>
                <w:i/>
              </w:rPr>
              <w:t>.</w:t>
            </w:r>
            <w:r w:rsidR="00DC434C" w:rsidRPr="00C733B4">
              <w:rPr>
                <w:rStyle w:val="Hyperlink"/>
                <w:rFonts w:asciiTheme="minorHAnsi" w:hAnsiTheme="minorHAnsi"/>
                <w:b/>
                <w:color w:val="auto"/>
                <w:szCs w:val="20"/>
                <w:u w:val="none"/>
              </w:rPr>
              <w:fldChar w:fldCharType="end"/>
            </w:r>
            <w:r w:rsidR="00DC434C" w:rsidRPr="00C733B4">
              <w:rPr>
                <w:rFonts w:asciiTheme="minorHAnsi" w:hAnsiTheme="minorHAnsi"/>
              </w:rPr>
              <w:t xml:space="preserve"> </w:t>
            </w:r>
          </w:p>
        </w:tc>
        <w:tc>
          <w:tcPr>
            <w:tcW w:w="3118" w:type="dxa"/>
            <w:shd w:val="clear" w:color="auto" w:fill="D6E3BC" w:themeFill="accent3"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maintains the </w:t>
            </w:r>
            <w:r w:rsidR="00134D60" w:rsidRPr="00C733B4">
              <w:rPr>
                <w:rFonts w:asciiTheme="minorHAnsi" w:hAnsiTheme="minorHAnsi"/>
                <w:sz w:val="20"/>
                <w:szCs w:val="20"/>
              </w:rPr>
              <w:t>d</w:t>
            </w:r>
            <w:r w:rsidRPr="00C733B4">
              <w:rPr>
                <w:rFonts w:asciiTheme="minorHAnsi" w:hAnsiTheme="minorHAnsi"/>
                <w:sz w:val="20"/>
                <w:szCs w:val="20"/>
              </w:rPr>
              <w:t xml:space="preserve">raft </w:t>
            </w:r>
            <w:r w:rsidR="00134D60" w:rsidRPr="00C733B4">
              <w:rPr>
                <w:rFonts w:asciiTheme="minorHAnsi" w:hAnsiTheme="minorHAnsi"/>
                <w:sz w:val="20"/>
                <w:szCs w:val="20"/>
              </w:rPr>
              <w:t>r</w:t>
            </w:r>
            <w:r w:rsidRPr="00C733B4">
              <w:rPr>
                <w:rFonts w:asciiTheme="minorHAnsi" w:hAnsiTheme="minorHAnsi"/>
                <w:sz w:val="20"/>
                <w:szCs w:val="20"/>
              </w:rPr>
              <w:t xml:space="preserve">ule advice but </w:t>
            </w:r>
            <w:r w:rsidR="00611393" w:rsidRPr="00C733B4">
              <w:rPr>
                <w:rFonts w:asciiTheme="minorHAnsi" w:hAnsiTheme="minorHAnsi"/>
                <w:sz w:val="20"/>
                <w:szCs w:val="20"/>
              </w:rPr>
              <w:t xml:space="preserve">provides </w:t>
            </w:r>
            <w:r w:rsidRPr="00C733B4">
              <w:rPr>
                <w:rFonts w:asciiTheme="minorHAnsi" w:hAnsiTheme="minorHAnsi"/>
                <w:sz w:val="20"/>
                <w:szCs w:val="20"/>
              </w:rPr>
              <w:t>that the following elements should also be subtracted from the prudent and efficient costs of providing infrastructure services for the purposes of Subrule 29(2):</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any amount reflecting a direction by a government forgoing a return on its share of capital in an infrastructure operator, and</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any revenue (other than from infrastructure charges) derived from the water service infrastructure used to provide infrastructure services.</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These additions allow more clearly for a regulator to take into account other revenues / forgone costs when considering the amount of revenue required to meet prudent and efficient costs.</w:t>
            </w:r>
          </w:p>
          <w:p w:rsidR="009845D5" w:rsidRPr="00C733B4" w:rsidRDefault="009845D5" w:rsidP="0018797D">
            <w:pPr>
              <w:pStyle w:val="TableBulletLvl1"/>
              <w:tabs>
                <w:tab w:val="clear" w:pos="426"/>
                <w:tab w:val="left" w:pos="508"/>
              </w:tabs>
              <w:ind w:left="0" w:firstLine="224"/>
              <w:rPr>
                <w:rFonts w:asciiTheme="minorHAnsi" w:hAnsiTheme="minorHAnsi"/>
              </w:rPr>
            </w:pPr>
            <w:r w:rsidRPr="00C733B4">
              <w:rPr>
                <w:rFonts w:asciiTheme="minorHAnsi" w:hAnsiTheme="minorHAnsi"/>
                <w:sz w:val="20"/>
              </w:rPr>
              <w:t xml:space="preserve">Additionally, the Final Advice adds the ability for the regulator to exclude </w:t>
            </w:r>
            <w:r w:rsidR="007B3413" w:rsidRPr="00C733B4">
              <w:rPr>
                <w:rFonts w:asciiTheme="minorHAnsi" w:hAnsiTheme="minorHAnsi"/>
                <w:sz w:val="20"/>
              </w:rPr>
              <w:t xml:space="preserve">certain </w:t>
            </w:r>
            <w:r w:rsidRPr="00C733B4">
              <w:rPr>
                <w:rFonts w:asciiTheme="minorHAnsi" w:hAnsiTheme="minorHAnsi"/>
                <w:sz w:val="20"/>
              </w:rPr>
              <w:t xml:space="preserve">past capex from the RAB </w:t>
            </w:r>
            <w:r w:rsidR="00134D60" w:rsidRPr="00C733B4">
              <w:rPr>
                <w:rFonts w:asciiTheme="minorHAnsi" w:hAnsiTheme="minorHAnsi"/>
                <w:sz w:val="20"/>
              </w:rPr>
              <w:t xml:space="preserve">if it is not satisfied </w:t>
            </w:r>
            <w:r w:rsidRPr="00C733B4">
              <w:rPr>
                <w:rFonts w:asciiTheme="minorHAnsi" w:hAnsiTheme="minorHAnsi"/>
                <w:sz w:val="20"/>
              </w:rPr>
              <w:t xml:space="preserve">that </w:t>
            </w:r>
            <w:r w:rsidR="00134D60" w:rsidRPr="00C733B4">
              <w:rPr>
                <w:rFonts w:asciiTheme="minorHAnsi" w:hAnsiTheme="minorHAnsi"/>
                <w:sz w:val="20"/>
              </w:rPr>
              <w:t>the capex was</w:t>
            </w:r>
            <w:r w:rsidRPr="00C733B4">
              <w:rPr>
                <w:rFonts w:asciiTheme="minorHAnsi" w:hAnsiTheme="minorHAnsi"/>
                <w:sz w:val="20"/>
              </w:rPr>
              <w:t xml:space="preserve"> prudent and efficient.</w:t>
            </w:r>
          </w:p>
        </w:tc>
      </w:tr>
      <w:tr w:rsidR="009845D5" w:rsidRPr="00C733B4" w:rsidTr="007040B9">
        <w:trPr>
          <w:trHeight w:val="145"/>
        </w:trPr>
        <w:tc>
          <w:tcPr>
            <w:tcW w:w="11307" w:type="dxa"/>
          </w:tcPr>
          <w:p w:rsidR="00DC434C" w:rsidRPr="00C733B4" w:rsidRDefault="009845D5" w:rsidP="0018797D">
            <w:pPr>
              <w:pStyle w:val="TOC2"/>
              <w:rPr>
                <w:noProof/>
              </w:rPr>
            </w:pPr>
            <w:r w:rsidRPr="00C733B4">
              <w:t>Rule advice 5</w:t>
            </w:r>
            <w:r w:rsidRPr="00C733B4">
              <w:noBreakHyphen/>
              <w:t>Q</w:t>
            </w:r>
            <w:r w:rsidRPr="00C733B4">
              <w:rPr>
                <w:rStyle w:val="Hyperlink"/>
                <w:color w:val="auto"/>
                <w:szCs w:val="20"/>
                <w:u w:val="none"/>
              </w:rPr>
              <w:t xml:space="preserve"> </w:t>
            </w:r>
            <w:r w:rsidRPr="00C733B4">
              <w:rPr>
                <w:rStyle w:val="Hyperlink"/>
                <w:b w:val="0"/>
                <w:color w:val="auto"/>
                <w:szCs w:val="20"/>
                <w:u w:val="none"/>
              </w:rPr>
              <w:t>(section 5.6.5)</w:t>
            </w:r>
            <w:r w:rsidR="00DC434C" w:rsidRPr="00C733B4">
              <w:rPr>
                <w:noProof/>
              </w:rPr>
              <w:t xml:space="preserve"> </w:t>
            </w:r>
          </w:p>
          <w:p w:rsidR="00BD218B" w:rsidRPr="00BD218B" w:rsidRDefault="00DC434C" w:rsidP="00BD218B">
            <w:pPr>
              <w:pStyle w:val="Heading8"/>
              <w:spacing w:before="60" w:after="0"/>
              <w:outlineLvl w:val="7"/>
              <w:rPr>
                <w:rFonts w:asciiTheme="minorHAnsi" w:hAnsiTheme="minorHAnsi"/>
                <w:szCs w:val="20"/>
              </w:rPr>
            </w:pPr>
            <w:r w:rsidRPr="00C733B4">
              <w:rPr>
                <w:rFonts w:asciiTheme="minorHAnsi" w:hAnsiTheme="minorHAnsi"/>
                <w:noProof/>
                <w:szCs w:val="20"/>
              </w:rPr>
              <w:fldChar w:fldCharType="begin"/>
            </w:r>
            <w:r w:rsidRPr="00C733B4">
              <w:rPr>
                <w:rFonts w:asciiTheme="minorHAnsi" w:hAnsiTheme="minorHAnsi"/>
                <w:noProof/>
                <w:szCs w:val="20"/>
              </w:rPr>
              <w:instrText xml:space="preserve"> REF  Rule_Advice_5Q \h  \* MERGEFORMAT </w:instrText>
            </w:r>
            <w:r w:rsidRPr="00C733B4">
              <w:rPr>
                <w:rFonts w:asciiTheme="minorHAnsi" w:hAnsiTheme="minorHAnsi"/>
                <w:noProof/>
                <w:szCs w:val="20"/>
              </w:rPr>
            </w:r>
            <w:r w:rsidRPr="00C733B4">
              <w:rPr>
                <w:rFonts w:asciiTheme="minorHAnsi" w:hAnsiTheme="minorHAnsi"/>
                <w:noProof/>
                <w:szCs w:val="20"/>
              </w:rPr>
              <w:fldChar w:fldCharType="separate"/>
            </w:r>
            <w:r w:rsidR="00BD218B" w:rsidRPr="00BD218B">
              <w:rPr>
                <w:rFonts w:asciiTheme="minorHAnsi" w:hAnsiTheme="minorHAnsi"/>
                <w:szCs w:val="20"/>
              </w:rPr>
              <w:t xml:space="preserve">The rules should be amended to provide the regulator with the discretion to specify a capital expenditure project as a ‘contingent project’ in an initial approval / determination if: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the infrastructure operator submits a project to the regulator in its application for the initial approval / determination, and </w:t>
            </w:r>
          </w:p>
          <w:p w:rsidR="00BD218B" w:rsidRPr="00BD218B" w:rsidRDefault="00BD218B" w:rsidP="00020517">
            <w:pPr>
              <w:pStyle w:val="Ruleadvicebullet"/>
              <w:rPr>
                <w:rStyle w:val="Hyperlink"/>
                <w:rFonts w:asciiTheme="minorHAnsi" w:hAnsiTheme="minorHAnsi"/>
                <w:noProof/>
                <w:color w:val="auto"/>
                <w:szCs w:val="20"/>
                <w:u w:val="none"/>
              </w:rPr>
            </w:pPr>
            <w:r w:rsidRPr="00BD218B">
              <w:rPr>
                <w:rStyle w:val="Hyperlink"/>
                <w:rFonts w:asciiTheme="minorHAnsi" w:hAnsiTheme="minorHAnsi"/>
                <w:noProof/>
                <w:color w:val="auto"/>
                <w:szCs w:val="20"/>
                <w:u w:val="none"/>
              </w:rPr>
              <w:t>the regulator is sufficiently uncertain about the cost, timing, necessity, likelihood or feasibility of the project, and</w:t>
            </w:r>
          </w:p>
          <w:p w:rsidR="00BD218B" w:rsidRPr="00BD218B" w:rsidRDefault="00BD218B" w:rsidP="00020517">
            <w:pPr>
              <w:pStyle w:val="Ruleadvicebullet"/>
              <w:rPr>
                <w:rStyle w:val="Hyperlink"/>
                <w:rFonts w:asciiTheme="minorHAnsi" w:hAnsiTheme="minorHAnsi"/>
                <w:noProof/>
                <w:color w:val="auto"/>
                <w:szCs w:val="20"/>
                <w:u w:val="none"/>
              </w:rPr>
            </w:pPr>
            <w:r w:rsidRPr="00BD218B">
              <w:rPr>
                <w:rStyle w:val="Hyperlink"/>
                <w:rFonts w:asciiTheme="minorHAnsi" w:hAnsiTheme="minorHAnsi"/>
                <w:noProof/>
                <w:color w:val="auto"/>
                <w:szCs w:val="20"/>
                <w:u w:val="none"/>
              </w:rPr>
              <w:t>the inclusion of the project in a Part 6 operator’s revenue requirement would have a material impact on the infrastructure charges to be approved or determined.</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Infrastructure charges for the operator should be determined in the initial approval / determination on the basis that funding such a project would not be a prudent and efficient cost of providing infrastructure services.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However, the regulator may specify the criteria (or ‘trigger event’) that—if met—would enable the infrastructure operator to apply for a variation of the approved / determined charges based on the inclusion of the cost of a contingent project in the revenue requirement for the remainder of the regulatory period.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inclusion of the prudent and efficient cost of a contingent project in the revenue requirement for the remainder of the regulatory period should be subject to regulatory scrutiny to ensure:</w:t>
            </w:r>
          </w:p>
          <w:p w:rsidR="00BD218B" w:rsidRPr="00BD218B" w:rsidRDefault="00BD218B" w:rsidP="00020517">
            <w:pPr>
              <w:pStyle w:val="Ruleadvicebullet"/>
              <w:rPr>
                <w:rFonts w:asciiTheme="minorHAnsi" w:hAnsiTheme="minorHAnsi"/>
              </w:rPr>
            </w:pPr>
            <w:r w:rsidRPr="00BD218B">
              <w:rPr>
                <w:rFonts w:asciiTheme="minorHAnsi" w:hAnsiTheme="minorHAnsi"/>
              </w:rPr>
              <w:t>the trigger event has been met</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the contingent project is prudent and efficient </w:t>
            </w:r>
          </w:p>
          <w:p w:rsidR="00BD218B" w:rsidRPr="00BD218B" w:rsidRDefault="00BD218B" w:rsidP="00020517">
            <w:pPr>
              <w:pStyle w:val="Ruleadvicebullet"/>
              <w:rPr>
                <w:rFonts w:asciiTheme="minorHAnsi" w:hAnsiTheme="minorHAnsi"/>
              </w:rPr>
            </w:pPr>
            <w:r w:rsidRPr="00BD218B">
              <w:rPr>
                <w:rFonts w:asciiTheme="minorHAnsi" w:hAnsiTheme="minorHAnsi"/>
              </w:rPr>
              <w:t>the regulator is satisfied of the matters set out in subparagraphs 29(2)(b) and (c) of the proposed rules.</w:t>
            </w:r>
          </w:p>
          <w:p w:rsidR="00BD218B" w:rsidRPr="00BD218B" w:rsidRDefault="00BD218B" w:rsidP="00BD218B">
            <w:pPr>
              <w:spacing w:before="60"/>
              <w:rPr>
                <w:rFonts w:asciiTheme="minorHAnsi" w:hAnsiTheme="minorHAnsi"/>
                <w:sz w:val="20"/>
                <w:szCs w:val="20"/>
              </w:rPr>
            </w:pPr>
            <w:r w:rsidRPr="00BD218B">
              <w:rPr>
                <w:rFonts w:asciiTheme="minorHAnsi" w:eastAsia="Arial" w:hAnsiTheme="minorHAnsi" w:cs="Times New Roman"/>
                <w:sz w:val="20"/>
                <w:szCs w:val="20"/>
              </w:rPr>
              <w:t>If the regulator varies an approval or determination, it must decide what infrastructure charges should be varied and the amount of the variation, as well as when the varied charges should commence, but this should be no earlier than the beginning of the next year of the regulatory period.</w:t>
            </w:r>
          </w:p>
          <w:p w:rsidR="00BD218B" w:rsidRPr="00BD218B" w:rsidRDefault="00BD218B" w:rsidP="00BD218B">
            <w:pPr>
              <w:pStyle w:val="Heading8"/>
              <w:spacing w:before="60" w:after="60"/>
              <w:outlineLvl w:val="7"/>
              <w:rPr>
                <w:rFonts w:asciiTheme="minorHAnsi" w:hAnsiTheme="minorHAnsi"/>
              </w:rPr>
            </w:pPr>
            <w:r w:rsidRPr="00BD218B">
              <w:rPr>
                <w:rFonts w:asciiTheme="minorHAnsi" w:hAnsiTheme="minorHAnsi"/>
                <w:szCs w:val="20"/>
              </w:rPr>
              <w:t>This rule advice is implemented in rules 29 and 31, and Part 6, Division 4 of the proposed Water Charge Rules.</w:t>
            </w:r>
          </w:p>
          <w:p w:rsidR="009845D5" w:rsidRPr="00C733B4" w:rsidRDefault="00DC434C" w:rsidP="00035824">
            <w:pPr>
              <w:pStyle w:val="Heading8"/>
              <w:spacing w:before="60" w:after="60"/>
              <w:outlineLvl w:val="7"/>
              <w:rPr>
                <w:rFonts w:asciiTheme="minorHAnsi" w:hAnsiTheme="minorHAnsi"/>
                <w:noProof/>
                <w:szCs w:val="20"/>
              </w:rPr>
            </w:pPr>
            <w:r w:rsidRPr="00C733B4">
              <w:rPr>
                <w:rFonts w:asciiTheme="minorHAnsi" w:hAnsiTheme="minorHAnsi"/>
                <w:noProof/>
                <w:szCs w:val="20"/>
              </w:rPr>
              <w:fldChar w:fldCharType="end"/>
            </w:r>
          </w:p>
        </w:tc>
        <w:tc>
          <w:tcPr>
            <w:tcW w:w="3118" w:type="dxa"/>
            <w:shd w:val="clear" w:color="auto" w:fill="D6E3BC" w:themeFill="accent3"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A35F63" w:rsidRPr="00C733B4" w:rsidRDefault="00A35F63" w:rsidP="0018797D">
            <w:pPr>
              <w:spacing w:before="60" w:after="60"/>
              <w:rPr>
                <w:rFonts w:asciiTheme="minorHAnsi" w:hAnsiTheme="minorHAnsi"/>
                <w:sz w:val="20"/>
                <w:szCs w:val="20"/>
              </w:rPr>
            </w:pPr>
            <w:r w:rsidRPr="00C733B4">
              <w:rPr>
                <w:rFonts w:asciiTheme="minorHAnsi" w:hAnsiTheme="minorHAnsi"/>
                <w:sz w:val="20"/>
                <w:szCs w:val="20"/>
              </w:rPr>
              <w:t>The Final Advice maintains the draft rule advice, but adds:</w:t>
            </w:r>
          </w:p>
          <w:p w:rsidR="009845D5" w:rsidRPr="00C733B4" w:rsidRDefault="00A35F63"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a materiality test that must be met for a capital expenditure project to be considered a contingent project</w:t>
            </w:r>
            <w:r w:rsidR="00B669A2" w:rsidRPr="00C733B4">
              <w:rPr>
                <w:rFonts w:asciiTheme="minorHAnsi" w:hAnsiTheme="minorHAnsi"/>
                <w:sz w:val="20"/>
              </w:rPr>
              <w:t>.</w:t>
            </w:r>
          </w:p>
          <w:p w:rsidR="00A35F63" w:rsidRPr="00C733B4" w:rsidRDefault="00A35F63" w:rsidP="0018797D">
            <w:pPr>
              <w:pStyle w:val="TableBulletLvl1"/>
              <w:tabs>
                <w:tab w:val="clear" w:pos="426"/>
                <w:tab w:val="left" w:pos="508"/>
              </w:tabs>
              <w:ind w:left="0" w:firstLine="224"/>
              <w:rPr>
                <w:rFonts w:asciiTheme="minorHAnsi" w:hAnsiTheme="minorHAnsi"/>
              </w:rPr>
            </w:pPr>
            <w:r w:rsidRPr="00C733B4">
              <w:rPr>
                <w:rFonts w:asciiTheme="minorHAnsi" w:hAnsiTheme="minorHAnsi"/>
                <w:sz w:val="20"/>
              </w:rPr>
              <w:t>a specific requirement that the project is prudent and efficient before a variation can be made</w:t>
            </w:r>
            <w:r w:rsidR="00B669A2" w:rsidRPr="00C733B4">
              <w:rPr>
                <w:rFonts w:asciiTheme="minorHAnsi" w:hAnsiTheme="minorHAnsi"/>
                <w:sz w:val="20"/>
              </w:rPr>
              <w:t>.</w:t>
            </w:r>
          </w:p>
        </w:tc>
      </w:tr>
      <w:tr w:rsidR="009845D5" w:rsidRPr="00C733B4" w:rsidTr="007040B9">
        <w:trPr>
          <w:trHeight w:val="145"/>
        </w:trPr>
        <w:tc>
          <w:tcPr>
            <w:tcW w:w="11307" w:type="dxa"/>
          </w:tcPr>
          <w:p w:rsidR="00440BC7" w:rsidRPr="00C733B4" w:rsidRDefault="009845D5" w:rsidP="0018797D">
            <w:pPr>
              <w:pStyle w:val="TOC2"/>
              <w:rPr>
                <w:rStyle w:val="Hyperlink"/>
                <w:b w:val="0"/>
                <w:color w:val="auto"/>
                <w:szCs w:val="20"/>
                <w:u w:val="none"/>
              </w:rPr>
            </w:pPr>
            <w:r w:rsidRPr="00C733B4">
              <w:t>Rule advice 5</w:t>
            </w:r>
            <w:r w:rsidRPr="00C733B4">
              <w:noBreakHyphen/>
              <w:t>R</w:t>
            </w:r>
            <w:r w:rsidRPr="00C733B4">
              <w:rPr>
                <w:rStyle w:val="Hyperlink"/>
                <w:color w:val="auto"/>
                <w:szCs w:val="20"/>
                <w:u w:val="none"/>
              </w:rPr>
              <w:t xml:space="preserve"> </w:t>
            </w:r>
            <w:r w:rsidRPr="00C733B4">
              <w:rPr>
                <w:rStyle w:val="Hyperlink"/>
                <w:b w:val="0"/>
                <w:color w:val="auto"/>
                <w:szCs w:val="20"/>
                <w:u w:val="none"/>
              </w:rPr>
              <w:t>(section 5.6.5)</w:t>
            </w:r>
          </w:p>
          <w:p w:rsidR="00BD218B" w:rsidRPr="00BD218B" w:rsidRDefault="00440BC7" w:rsidP="00BD218B">
            <w:pPr>
              <w:pStyle w:val="Heading8"/>
              <w:spacing w:before="60" w:after="0"/>
              <w:outlineLvl w:val="7"/>
              <w:rPr>
                <w:rFonts w:asciiTheme="minorHAnsi" w:hAnsiTheme="minorHAnsi"/>
                <w:szCs w:val="20"/>
              </w:rPr>
            </w:pPr>
            <w:r w:rsidRPr="00C733B4">
              <w:rPr>
                <w:rStyle w:val="Hyperlink"/>
                <w:rFonts w:asciiTheme="minorHAnsi" w:hAnsiTheme="minorHAnsi"/>
                <w:b/>
                <w:color w:val="auto"/>
                <w:szCs w:val="20"/>
                <w:u w:val="none"/>
              </w:rPr>
              <w:fldChar w:fldCharType="begin"/>
            </w:r>
            <w:r w:rsidRPr="00C733B4">
              <w:rPr>
                <w:rStyle w:val="Hyperlink"/>
                <w:rFonts w:asciiTheme="minorHAnsi" w:hAnsiTheme="minorHAnsi"/>
                <w:b/>
                <w:color w:val="auto"/>
                <w:szCs w:val="20"/>
                <w:u w:val="none"/>
              </w:rPr>
              <w:instrText xml:space="preserve"> REF  Rule_Advice_5R \h  \* MERGEFORMAT </w:instrText>
            </w:r>
            <w:r w:rsidRPr="00C733B4">
              <w:rPr>
                <w:rStyle w:val="Hyperlink"/>
                <w:rFonts w:asciiTheme="minorHAnsi" w:hAnsiTheme="minorHAnsi"/>
                <w:b/>
                <w:color w:val="auto"/>
                <w:szCs w:val="20"/>
                <w:u w:val="none"/>
              </w:rPr>
            </w:r>
            <w:r w:rsidRPr="00C733B4">
              <w:rPr>
                <w:rStyle w:val="Hyperlink"/>
                <w:rFonts w:asciiTheme="minorHAnsi" w:hAnsiTheme="minorHAnsi"/>
                <w:b/>
                <w:color w:val="auto"/>
                <w:szCs w:val="20"/>
                <w:u w:val="none"/>
              </w:rPr>
              <w:fldChar w:fldCharType="separate"/>
            </w:r>
            <w:r w:rsidR="00BD218B" w:rsidRPr="00BD218B">
              <w:rPr>
                <w:rFonts w:asciiTheme="minorHAnsi" w:hAnsiTheme="minorHAnsi"/>
                <w:szCs w:val="20"/>
              </w:rPr>
              <w:t>The rules should be amended to provide for the following in relation to variations of approvals or determinations for certain events:</w:t>
            </w:r>
          </w:p>
          <w:p w:rsidR="00BD218B" w:rsidRPr="00BD218B" w:rsidRDefault="00BD218B" w:rsidP="00020517">
            <w:pPr>
              <w:pStyle w:val="Ruleadvicebullet"/>
              <w:rPr>
                <w:rFonts w:asciiTheme="minorHAnsi" w:hAnsiTheme="minorHAnsi"/>
              </w:rPr>
            </w:pPr>
            <w:r w:rsidRPr="00BD218B">
              <w:rPr>
                <w:rFonts w:asciiTheme="minorHAnsi" w:hAnsiTheme="minorHAnsi"/>
              </w:rPr>
              <w:t>The regulator should be allowed to vary an approval / determination where it is satisfied that a taxation or regulatory event provides a benefit to an infrastructure operator of more than 1 per cent of the operator’s aggregate revenue requirement for the regulatory period.</w:t>
            </w:r>
          </w:p>
          <w:p w:rsidR="00BD218B" w:rsidRPr="00BD218B" w:rsidRDefault="00BD218B" w:rsidP="00020517">
            <w:pPr>
              <w:pStyle w:val="Ruleadvicebullet"/>
              <w:rPr>
                <w:rFonts w:asciiTheme="minorHAnsi" w:hAnsiTheme="minorHAnsi"/>
              </w:rPr>
            </w:pPr>
            <w:r w:rsidRPr="00BD218B">
              <w:rPr>
                <w:rFonts w:asciiTheme="minorHAnsi" w:hAnsiTheme="minorHAnsi"/>
              </w:rPr>
              <w:t>For a taxation or regulatory event, the current materiality threshold should be changed to 1 per cent of the aggregate revenue requirement for the regulatory period, and the current requirement for the event to have been ‘unforeseen’ should be removed.</w:t>
            </w:r>
          </w:p>
          <w:p w:rsidR="00BD218B" w:rsidRPr="00BD218B" w:rsidRDefault="00BD218B" w:rsidP="00020517">
            <w:pPr>
              <w:pStyle w:val="Ruleadvicebullet"/>
              <w:rPr>
                <w:rFonts w:asciiTheme="minorHAnsi" w:hAnsiTheme="minorHAnsi"/>
              </w:rPr>
            </w:pPr>
            <w:r w:rsidRPr="00BD218B">
              <w:rPr>
                <w:rFonts w:asciiTheme="minorHAnsi" w:hAnsiTheme="minorHAnsi"/>
              </w:rPr>
              <w:t>For other events, the current materiality threshold should be changed to 3 per cent of the aggregate revenue requirement for the regulatory period.</w:t>
            </w:r>
          </w:p>
          <w:p w:rsidR="00BD218B" w:rsidRPr="00BD218B" w:rsidRDefault="00BD218B" w:rsidP="00020517">
            <w:pPr>
              <w:pStyle w:val="Ruleadvicebullet"/>
              <w:rPr>
                <w:rFonts w:asciiTheme="minorHAnsi" w:hAnsiTheme="minorHAnsi"/>
              </w:rPr>
            </w:pPr>
            <w:r w:rsidRPr="00BD218B">
              <w:rPr>
                <w:rFonts w:asciiTheme="minorHAnsi" w:hAnsiTheme="minorHAnsi"/>
              </w:rPr>
              <w:t>The term ‘aggregate revenue requirement’ should be defined to be the sum of revenue from infrastructure charges and government contributions that was forecast for the regulatory period at the time that the ACCC made the initial approval or determination of the charges under rule 29.</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The requirement for an operator to demonstrate that it is not able to reduce its expenditure to meet the cost of an event should be amended to be a requirement to demonstrate that reductions are not able to be done without </w:t>
            </w:r>
            <w:r w:rsidRPr="00BD218B">
              <w:rPr>
                <w:rFonts w:asciiTheme="minorHAnsi" w:hAnsiTheme="minorHAnsi"/>
                <w:i/>
              </w:rPr>
              <w:t xml:space="preserve">materially </w:t>
            </w:r>
            <w:r w:rsidRPr="00BD218B">
              <w:rPr>
                <w:rFonts w:asciiTheme="minorHAnsi" w:hAnsiTheme="minorHAnsi"/>
              </w:rPr>
              <w:t>and adversely affecting the reliability</w:t>
            </w:r>
            <w:r w:rsidRPr="00BD218B">
              <w:rPr>
                <w:rFonts w:asciiTheme="minorHAnsi" w:hAnsiTheme="minorHAnsi"/>
                <w:i/>
              </w:rPr>
              <w:t xml:space="preserve"> or</w:t>
            </w:r>
            <w:r w:rsidRPr="00BD218B">
              <w:rPr>
                <w:rFonts w:asciiTheme="minorHAnsi" w:hAnsiTheme="minorHAnsi"/>
              </w:rPr>
              <w:t xml:space="preserve"> safety (instead of reliability and safety) of its water service infrastructure.</w:t>
            </w:r>
          </w:p>
          <w:p w:rsidR="009845D5" w:rsidRPr="00C733B4" w:rsidRDefault="00BD218B" w:rsidP="008A39E9">
            <w:pPr>
              <w:pStyle w:val="Heading8"/>
              <w:spacing w:before="60" w:after="0"/>
              <w:outlineLvl w:val="7"/>
              <w:rPr>
                <w:rFonts w:asciiTheme="minorHAnsi" w:hAnsiTheme="minorHAnsi"/>
                <w:szCs w:val="20"/>
              </w:rPr>
            </w:pPr>
            <w:r w:rsidRPr="00BD218B">
              <w:rPr>
                <w:rFonts w:asciiTheme="minorHAnsi" w:hAnsiTheme="minorHAnsi"/>
                <w:szCs w:val="20"/>
              </w:rPr>
              <w:t xml:space="preserve">This rule advice is implemented in Rule 3 and Part 6, Division 4 of the proposed Water Charge Rules. </w:t>
            </w:r>
            <w:r w:rsidR="00440BC7" w:rsidRPr="00C733B4">
              <w:rPr>
                <w:rStyle w:val="Hyperlink"/>
                <w:rFonts w:asciiTheme="minorHAnsi" w:hAnsiTheme="minorHAnsi"/>
                <w:b/>
                <w:color w:val="auto"/>
                <w:szCs w:val="20"/>
                <w:u w:val="none"/>
              </w:rPr>
              <w:fldChar w:fldCharType="end"/>
            </w:r>
            <w:r w:rsidR="00B669A2" w:rsidRPr="00C733B4">
              <w:rPr>
                <w:rFonts w:asciiTheme="minorHAnsi" w:hAnsiTheme="minorHAnsi"/>
                <w:szCs w:val="20"/>
              </w:rPr>
              <w:t xml:space="preserve"> </w:t>
            </w:r>
          </w:p>
        </w:tc>
        <w:tc>
          <w:tcPr>
            <w:tcW w:w="3118" w:type="dxa"/>
            <w:shd w:val="clear" w:color="auto" w:fill="D6E3BC" w:themeFill="accent3"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A35F63" w:rsidRPr="00C733B4" w:rsidRDefault="00A35F63" w:rsidP="0018797D">
            <w:pPr>
              <w:spacing w:before="60" w:after="60"/>
              <w:rPr>
                <w:rFonts w:asciiTheme="minorHAnsi" w:hAnsiTheme="minorHAnsi"/>
                <w:sz w:val="20"/>
                <w:szCs w:val="20"/>
              </w:rPr>
            </w:pPr>
            <w:r w:rsidRPr="00C733B4">
              <w:rPr>
                <w:rFonts w:asciiTheme="minorHAnsi" w:hAnsiTheme="minorHAnsi"/>
                <w:sz w:val="20"/>
                <w:szCs w:val="20"/>
              </w:rPr>
              <w:t>The Final Advice proposes t</w:t>
            </w:r>
            <w:r w:rsidR="00DC276B" w:rsidRPr="00C733B4">
              <w:rPr>
                <w:rFonts w:asciiTheme="minorHAnsi" w:hAnsiTheme="minorHAnsi"/>
                <w:sz w:val="20"/>
                <w:szCs w:val="20"/>
              </w:rPr>
              <w:t>hree</w:t>
            </w:r>
            <w:r w:rsidRPr="00C733B4">
              <w:rPr>
                <w:rFonts w:asciiTheme="minorHAnsi" w:hAnsiTheme="minorHAnsi"/>
                <w:sz w:val="20"/>
                <w:szCs w:val="20"/>
              </w:rPr>
              <w:t xml:space="preserve"> amendments to </w:t>
            </w:r>
            <w:r w:rsidR="009845D5" w:rsidRPr="00C733B4">
              <w:rPr>
                <w:rFonts w:asciiTheme="minorHAnsi" w:hAnsiTheme="minorHAnsi"/>
                <w:sz w:val="20"/>
                <w:szCs w:val="20"/>
              </w:rPr>
              <w:t>the definition of ‘aggregate revenue requirement’</w:t>
            </w:r>
            <w:r w:rsidRPr="00C733B4">
              <w:rPr>
                <w:rFonts w:asciiTheme="minorHAnsi" w:hAnsiTheme="minorHAnsi"/>
                <w:sz w:val="20"/>
                <w:szCs w:val="20"/>
              </w:rPr>
              <w:t xml:space="preserve"> </w:t>
            </w:r>
            <w:r w:rsidR="00134D60" w:rsidRPr="00C733B4">
              <w:rPr>
                <w:rFonts w:asciiTheme="minorHAnsi" w:hAnsiTheme="minorHAnsi"/>
                <w:sz w:val="20"/>
                <w:szCs w:val="20"/>
              </w:rPr>
              <w:t xml:space="preserve">set out in the Draft Advice, </w:t>
            </w:r>
            <w:r w:rsidRPr="00C733B4">
              <w:rPr>
                <w:rFonts w:asciiTheme="minorHAnsi" w:hAnsiTheme="minorHAnsi"/>
                <w:sz w:val="20"/>
                <w:szCs w:val="20"/>
              </w:rPr>
              <w:t>to:</w:t>
            </w:r>
            <w:r w:rsidR="009845D5" w:rsidRPr="00C733B4">
              <w:rPr>
                <w:rFonts w:asciiTheme="minorHAnsi" w:hAnsiTheme="minorHAnsi"/>
                <w:sz w:val="20"/>
                <w:szCs w:val="20"/>
              </w:rPr>
              <w:t xml:space="preserve"> </w:t>
            </w:r>
          </w:p>
          <w:p w:rsidR="00A35F63" w:rsidRPr="00C733B4" w:rsidRDefault="00B669A2"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i</w:t>
            </w:r>
            <w:r w:rsidR="00A35F63" w:rsidRPr="00C733B4">
              <w:rPr>
                <w:rFonts w:asciiTheme="minorHAnsi" w:hAnsiTheme="minorHAnsi"/>
                <w:sz w:val="20"/>
              </w:rPr>
              <w:t xml:space="preserve">nclude </w:t>
            </w:r>
            <w:r w:rsidR="009845D5" w:rsidRPr="00C733B4">
              <w:rPr>
                <w:rFonts w:asciiTheme="minorHAnsi" w:hAnsiTheme="minorHAnsi"/>
                <w:sz w:val="20"/>
              </w:rPr>
              <w:t>revenue from infrastructure charges and government contributions, rather than just from infrastructure charges</w:t>
            </w:r>
            <w:r w:rsidRPr="00C733B4">
              <w:rPr>
                <w:rFonts w:asciiTheme="minorHAnsi" w:hAnsiTheme="minorHAnsi"/>
                <w:sz w:val="20"/>
              </w:rPr>
              <w:t>.</w:t>
            </w:r>
          </w:p>
          <w:p w:rsidR="009845D5" w:rsidRPr="00C733B4" w:rsidRDefault="00A35F63"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refer to forecast revenue for the entire regulatory period rather than only the remaining part of the period (</w:t>
            </w:r>
            <w:r w:rsidR="00B669A2" w:rsidRPr="00C733B4">
              <w:rPr>
                <w:rFonts w:asciiTheme="minorHAnsi" w:hAnsiTheme="minorHAnsi"/>
                <w:sz w:val="20"/>
              </w:rPr>
              <w:t>with the result that</w:t>
            </w:r>
            <w:r w:rsidR="001E145A" w:rsidRPr="00C733B4">
              <w:rPr>
                <w:rFonts w:asciiTheme="minorHAnsi" w:hAnsiTheme="minorHAnsi"/>
                <w:sz w:val="20"/>
              </w:rPr>
              <w:t xml:space="preserve"> </w:t>
            </w:r>
            <w:r w:rsidRPr="00C733B4">
              <w:rPr>
                <w:rFonts w:asciiTheme="minorHAnsi" w:hAnsiTheme="minorHAnsi"/>
                <w:sz w:val="20"/>
              </w:rPr>
              <w:t>thresholds are constant over the regulatory period).</w:t>
            </w:r>
          </w:p>
          <w:p w:rsidR="00DC276B" w:rsidRPr="00C733B4" w:rsidRDefault="00DC276B"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clarify that the aggregate revenue requirement is calculated based on forecasts at the time of the initial approval or determination.</w:t>
            </w:r>
          </w:p>
          <w:p w:rsidR="00A35F63" w:rsidRPr="00C733B4" w:rsidRDefault="00A35F63" w:rsidP="0018797D">
            <w:pPr>
              <w:tabs>
                <w:tab w:val="left" w:pos="508"/>
              </w:tabs>
              <w:spacing w:before="60" w:after="60"/>
              <w:rPr>
                <w:rFonts w:asciiTheme="minorHAnsi" w:hAnsiTheme="minorHAnsi"/>
                <w:sz w:val="20"/>
                <w:szCs w:val="20"/>
              </w:rPr>
            </w:pPr>
            <w:r w:rsidRPr="00C733B4">
              <w:rPr>
                <w:rFonts w:asciiTheme="minorHAnsi" w:hAnsiTheme="minorHAnsi"/>
                <w:sz w:val="20"/>
                <w:szCs w:val="20"/>
              </w:rPr>
              <w:t>The Final Advice recommends that the materiality threshold for ‘other events’ should be 3 per cent of the aggregate revenue requirement (compared to 5 per cent in the Draft Advice).</w:t>
            </w:r>
          </w:p>
        </w:tc>
      </w:tr>
      <w:tr w:rsidR="009845D5" w:rsidRPr="00C733B4" w:rsidTr="007040B9">
        <w:trPr>
          <w:trHeight w:val="145"/>
        </w:trPr>
        <w:tc>
          <w:tcPr>
            <w:tcW w:w="11307" w:type="dxa"/>
          </w:tcPr>
          <w:p w:rsidR="006445E1" w:rsidRPr="00C733B4" w:rsidRDefault="009845D5" w:rsidP="0018797D">
            <w:pPr>
              <w:pStyle w:val="TOC2"/>
              <w:rPr>
                <w:rStyle w:val="Hyperlink"/>
                <w:b w:val="0"/>
                <w:color w:val="auto"/>
                <w:szCs w:val="20"/>
                <w:u w:val="none"/>
              </w:rPr>
            </w:pPr>
            <w:r w:rsidRPr="00C733B4">
              <w:t>Rule advice 5</w:t>
            </w:r>
            <w:r w:rsidRPr="00C733B4">
              <w:noBreakHyphen/>
              <w:t>S</w:t>
            </w:r>
            <w:r w:rsidRPr="00C733B4">
              <w:rPr>
                <w:rStyle w:val="Hyperlink"/>
                <w:color w:val="auto"/>
                <w:szCs w:val="20"/>
                <w:u w:val="none"/>
              </w:rPr>
              <w:t xml:space="preserve"> </w:t>
            </w:r>
            <w:r w:rsidRPr="00C733B4">
              <w:rPr>
                <w:rStyle w:val="Hyperlink"/>
                <w:b w:val="0"/>
                <w:color w:val="auto"/>
                <w:szCs w:val="20"/>
                <w:u w:val="none"/>
              </w:rPr>
              <w:t>(section 5.7)</w:t>
            </w:r>
          </w:p>
          <w:p w:rsidR="00BD218B" w:rsidRPr="00BD218B" w:rsidRDefault="006445E1" w:rsidP="00BD218B">
            <w:pPr>
              <w:pStyle w:val="Ruleadvicesubheading"/>
              <w:spacing w:before="60" w:after="0"/>
              <w:rPr>
                <w:rFonts w:asciiTheme="minorHAnsi" w:hAnsiTheme="minorHAnsi"/>
                <w:sz w:val="20"/>
                <w:szCs w:val="20"/>
              </w:rPr>
            </w:pPr>
            <w:r w:rsidRPr="00C733B4">
              <w:rPr>
                <w:rStyle w:val="Hyperlink"/>
                <w:rFonts w:asciiTheme="minorHAnsi" w:hAnsiTheme="minorHAnsi"/>
                <w:b/>
                <w:color w:val="auto"/>
                <w:sz w:val="20"/>
                <w:szCs w:val="20"/>
                <w:u w:val="none"/>
              </w:rPr>
              <w:fldChar w:fldCharType="begin"/>
            </w:r>
            <w:r w:rsidRPr="00C733B4">
              <w:rPr>
                <w:rStyle w:val="Hyperlink"/>
                <w:rFonts w:asciiTheme="minorHAnsi" w:hAnsiTheme="minorHAnsi"/>
                <w:b/>
                <w:color w:val="auto"/>
                <w:sz w:val="20"/>
                <w:szCs w:val="20"/>
                <w:u w:val="none"/>
              </w:rPr>
              <w:instrText xml:space="preserve"> REF  Rule_Advice_5S \h  \* MERGEFORMAT </w:instrText>
            </w:r>
            <w:r w:rsidRPr="00C733B4">
              <w:rPr>
                <w:rStyle w:val="Hyperlink"/>
                <w:rFonts w:asciiTheme="minorHAnsi" w:hAnsiTheme="minorHAnsi"/>
                <w:b/>
                <w:color w:val="auto"/>
                <w:sz w:val="20"/>
                <w:szCs w:val="20"/>
                <w:u w:val="none"/>
              </w:rPr>
            </w:r>
            <w:r w:rsidRPr="00C733B4">
              <w:rPr>
                <w:rStyle w:val="Hyperlink"/>
                <w:rFonts w:asciiTheme="minorHAnsi" w:hAnsiTheme="minorHAnsi"/>
                <w:b/>
                <w:color w:val="auto"/>
                <w:sz w:val="20"/>
                <w:szCs w:val="20"/>
                <w:u w:val="none"/>
              </w:rPr>
              <w:fldChar w:fldCharType="separate"/>
            </w:r>
            <w:r w:rsidR="00BD218B" w:rsidRPr="00BD218B">
              <w:rPr>
                <w:rFonts w:asciiTheme="minorHAnsi" w:hAnsiTheme="minorHAnsi"/>
                <w:sz w:val="20"/>
                <w:szCs w:val="20"/>
              </w:rPr>
              <w:t>Application of Part 7</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 xml:space="preserve">Part 7 should be amended to adapt the “triggering” provisions (Part 7, Division 1) to apply to all distributions by an infrastructure operator, other than </w:t>
            </w:r>
            <w:r w:rsidRPr="00BD218B">
              <w:rPr>
                <w:rFonts w:asciiTheme="minorHAnsi" w:hAnsiTheme="minorHAnsi"/>
                <w:b/>
                <w:i/>
                <w:szCs w:val="20"/>
              </w:rPr>
              <w:t>standard distributions</w:t>
            </w:r>
            <w:r w:rsidRPr="00BD218B">
              <w:rPr>
                <w:rFonts w:asciiTheme="minorHAnsi" w:hAnsiTheme="minorHAnsi"/>
                <w:szCs w:val="20"/>
              </w:rPr>
              <w:t xml:space="preserv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 test for the application of Part 7 should refer to “infrastructure operators” (rather than only to member-owned infrastructure operators as in the existing rules). (see section 5.2 for further discussion). </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i/>
                <w:szCs w:val="20"/>
              </w:rPr>
              <w:t>See also rule advice 5-U</w:t>
            </w:r>
            <w:r w:rsidRPr="00BD218B">
              <w:rPr>
                <w:rFonts w:asciiTheme="minorHAnsi" w:hAnsiTheme="minorHAnsi"/>
                <w:szCs w:val="20"/>
              </w:rPr>
              <w:t xml:space="preserve"> in relation to when an operator should be taken to have made a distribution.</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b/>
                <w:i/>
                <w:szCs w:val="20"/>
              </w:rPr>
              <w:t>Standard distributions</w:t>
            </w:r>
            <w:r w:rsidRPr="00BD218B">
              <w:rPr>
                <w:rFonts w:asciiTheme="minorHAnsi" w:hAnsiTheme="minorHAnsi"/>
                <w:szCs w:val="20"/>
              </w:rPr>
              <w:t xml:space="preserve"> are those:</w:t>
            </w:r>
          </w:p>
          <w:p w:rsidR="00BD218B" w:rsidRPr="00BD218B" w:rsidRDefault="00BD218B" w:rsidP="00020517">
            <w:pPr>
              <w:pStyle w:val="Ruleadvicebullet"/>
              <w:rPr>
                <w:rFonts w:asciiTheme="minorHAnsi" w:hAnsiTheme="minorHAnsi"/>
              </w:rPr>
            </w:pPr>
            <w:r w:rsidRPr="00BD218B">
              <w:rPr>
                <w:rFonts w:asciiTheme="minorHAnsi" w:hAnsiTheme="minorHAnsi"/>
              </w:rPr>
              <w:t>made or offered</w:t>
            </w:r>
            <w:r w:rsidRPr="00BD218B" w:rsidDel="00E401B3">
              <w:rPr>
                <w:rFonts w:asciiTheme="minorHAnsi" w:hAnsiTheme="minorHAnsi"/>
              </w:rPr>
              <w:t xml:space="preserve"> </w:t>
            </w:r>
            <w:r w:rsidRPr="00BD218B">
              <w:rPr>
                <w:rFonts w:asciiTheme="minorHAnsi" w:hAnsiTheme="minorHAnsi"/>
              </w:rPr>
              <w:t>in proportion to the volume of all the operator’s customers’ rights of access (typically represented by their water delivery right);</w:t>
            </w:r>
          </w:p>
          <w:p w:rsidR="00BD218B" w:rsidRPr="00BD218B" w:rsidRDefault="00BD218B" w:rsidP="00020517">
            <w:pPr>
              <w:pStyle w:val="Ruleadvicebullet"/>
              <w:rPr>
                <w:rFonts w:asciiTheme="minorHAnsi" w:hAnsiTheme="minorHAnsi"/>
              </w:rPr>
            </w:pPr>
            <w:r w:rsidRPr="00BD218B">
              <w:rPr>
                <w:rFonts w:asciiTheme="minorHAnsi" w:hAnsiTheme="minorHAnsi"/>
              </w:rPr>
              <w:t>made or offered</w:t>
            </w:r>
            <w:r w:rsidRPr="00BD218B" w:rsidDel="00E401B3">
              <w:rPr>
                <w:rFonts w:asciiTheme="minorHAnsi" w:hAnsiTheme="minorHAnsi"/>
              </w:rPr>
              <w:t xml:space="preserve"> </w:t>
            </w:r>
            <w:r w:rsidRPr="00BD218B">
              <w:rPr>
                <w:rFonts w:asciiTheme="minorHAnsi" w:hAnsiTheme="minorHAnsi"/>
              </w:rPr>
              <w:t xml:space="preserve">in proportion to each customer’s contribution to the total revenue from all customers from charges levied per unit of water delivery right held; </w:t>
            </w:r>
          </w:p>
          <w:p w:rsidR="00BD218B" w:rsidRPr="00BD218B" w:rsidRDefault="00BD218B" w:rsidP="00020517">
            <w:pPr>
              <w:pStyle w:val="Ruleadvicebullet"/>
              <w:rPr>
                <w:rFonts w:asciiTheme="minorHAnsi" w:hAnsiTheme="minorHAnsi"/>
              </w:rPr>
            </w:pPr>
            <w:r w:rsidRPr="00BD218B">
              <w:rPr>
                <w:rFonts w:asciiTheme="minorHAnsi" w:hAnsiTheme="minorHAnsi"/>
              </w:rPr>
              <w:t>made to customers that had previously contributed to a fund for the replacement / upgrade of infrastructure when this money is no longer required because the replacement / upgrade of the infrastructure is no longer required, or has been undertaken at a lower cost than forecast, in proportion to the contributions made by each customer;</w:t>
            </w:r>
          </w:p>
          <w:p w:rsidR="00BD218B" w:rsidRPr="00BD218B" w:rsidRDefault="00BD218B" w:rsidP="00020517">
            <w:pPr>
              <w:pStyle w:val="Ruleadvicebullet"/>
              <w:rPr>
                <w:rFonts w:asciiTheme="minorHAnsi" w:hAnsiTheme="minorHAnsi"/>
              </w:rPr>
            </w:pPr>
            <w:r w:rsidRPr="00BD218B">
              <w:rPr>
                <w:rFonts w:asciiTheme="minorHAnsi" w:hAnsiTheme="minorHAnsi"/>
              </w:rPr>
              <w:t>made in the form of reasonable honorariums;</w:t>
            </w:r>
          </w:p>
          <w:p w:rsidR="00BD218B" w:rsidRPr="00BD218B" w:rsidRDefault="00BD218B" w:rsidP="00020517">
            <w:pPr>
              <w:pStyle w:val="Ruleadvicebullet"/>
              <w:rPr>
                <w:rFonts w:asciiTheme="minorHAnsi" w:hAnsiTheme="minorHAnsi"/>
              </w:rPr>
            </w:pPr>
            <w:r w:rsidRPr="00BD218B">
              <w:rPr>
                <w:rFonts w:asciiTheme="minorHAnsi" w:hAnsiTheme="minorHAnsi"/>
              </w:rPr>
              <w:t>made in the form of a trade or allocation of water that was offered to all customers on the same terms, whether or not the offer was in return for consideration;</w:t>
            </w:r>
          </w:p>
          <w:p w:rsidR="00BD218B" w:rsidRPr="00BD218B" w:rsidRDefault="00BD218B" w:rsidP="00020517">
            <w:pPr>
              <w:pStyle w:val="Ruleadvicebullet"/>
              <w:rPr>
                <w:rFonts w:asciiTheme="minorHAnsi" w:hAnsiTheme="minorHAnsi"/>
              </w:rPr>
            </w:pPr>
            <w:r w:rsidRPr="00BD218B">
              <w:rPr>
                <w:rFonts w:asciiTheme="minorHAnsi" w:hAnsiTheme="minorHAnsi"/>
              </w:rPr>
              <w:t>made or offered to all customers in a specific part of the area serviced by the infrastructure operator in relation to water savings achieved by the operator in that part, in proportion to each customer’s right of access to that part or in proportion to each customer’s contribution to the total revenue from all customers in that part from charges levied per unit of water delivery right held; or</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made by an infrastructure operator to its owners but only if the infrastructure operators’ infrastructure charges are approved or determined under Part 6 or by a State Agency under a law of the State. </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The rules should also provide that, where an infrastructure operator withholds a distribution up to the amount of any arrears owed by a customer (where that amount would otherwise have formed part of a distribution), that amount is taken to have been made as a distribution, or part of a distribution, as appropriate.</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This would have the effect that the assessment of whether a distribution would be considered a standard distribution is not affected by an operator withholding a distribution (or part of a distribution) for the purpose of paying off arrears owed.</w:t>
            </w:r>
          </w:p>
          <w:p w:rsidR="00BD218B" w:rsidRPr="00BD218B" w:rsidRDefault="00BD218B" w:rsidP="00BD218B">
            <w:pPr>
              <w:keepNext/>
              <w:spacing w:before="60"/>
              <w:rPr>
                <w:rFonts w:asciiTheme="minorHAnsi" w:hAnsiTheme="minorHAnsi" w:cs="Times New Roman"/>
                <w:i/>
                <w:sz w:val="20"/>
                <w:szCs w:val="20"/>
              </w:rPr>
            </w:pPr>
            <w:r w:rsidRPr="00BD218B">
              <w:rPr>
                <w:rFonts w:asciiTheme="minorHAnsi" w:hAnsiTheme="minorHAnsi"/>
                <w:sz w:val="20"/>
                <w:szCs w:val="20"/>
              </w:rPr>
              <w:t>This rule advice is implemented in Part 7, Division 1 of the proposed Water Charge Rules.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Regulator for Part 7</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Consistently with the rule advice for amending the application of Part 6 and the consequent removal of the need for accreditation, the regulator for Part 7 following the transition period will be the ACCC.</w:t>
            </w:r>
          </w:p>
          <w:p w:rsidR="00BD218B" w:rsidRPr="00BD218B" w:rsidRDefault="00BD218B" w:rsidP="00BD218B">
            <w:pPr>
              <w:pStyle w:val="Heading8"/>
              <w:spacing w:before="60" w:after="0"/>
              <w:outlineLvl w:val="7"/>
              <w:rPr>
                <w:rFonts w:asciiTheme="minorHAnsi" w:hAnsiTheme="minorHAnsi"/>
                <w:i/>
                <w:szCs w:val="20"/>
              </w:rPr>
            </w:pPr>
            <w:r w:rsidRPr="00BD218B">
              <w:rPr>
                <w:rFonts w:asciiTheme="minorHAnsi" w:hAnsiTheme="minorHAnsi"/>
                <w:i/>
                <w:szCs w:val="20"/>
              </w:rPr>
              <w:t>See also rule advices 5-M and 5-W.</w:t>
            </w:r>
          </w:p>
          <w:p w:rsidR="009845D5"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Part 7 of the proposed Water Charge Rules.</w:t>
            </w:r>
            <w:r w:rsidR="006445E1" w:rsidRPr="00C733B4">
              <w:rPr>
                <w:rStyle w:val="Hyperlink"/>
                <w:rFonts w:asciiTheme="minorHAnsi" w:hAnsiTheme="minorHAnsi"/>
                <w:b/>
                <w:color w:val="auto"/>
                <w:szCs w:val="20"/>
                <w:u w:val="none"/>
              </w:rPr>
              <w:fldChar w:fldCharType="end"/>
            </w:r>
            <w:r w:rsidR="006445E1" w:rsidRPr="00C733B4">
              <w:rPr>
                <w:rFonts w:asciiTheme="minorHAnsi" w:hAnsiTheme="minorHAnsi"/>
                <w:noProof/>
                <w:szCs w:val="20"/>
              </w:rPr>
              <w:t xml:space="preserve"> </w:t>
            </w:r>
          </w:p>
        </w:tc>
        <w:tc>
          <w:tcPr>
            <w:tcW w:w="3118" w:type="dxa"/>
            <w:shd w:val="clear" w:color="auto" w:fill="B6DDE8" w:themeFill="accent5"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Substantial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expands the definition of ‘standard distribution’ to include where the distribution is made in proportion to each customer’s contribution to the total revenue from all customers from charges levied per unit of water delivery right held. This means that operators have the option to </w:t>
            </w:r>
            <w:r w:rsidR="00BA4E95" w:rsidRPr="00C733B4">
              <w:rPr>
                <w:rFonts w:asciiTheme="minorHAnsi" w:hAnsiTheme="minorHAnsi"/>
                <w:sz w:val="20"/>
                <w:szCs w:val="20"/>
              </w:rPr>
              <w:t xml:space="preserve">make </w:t>
            </w:r>
            <w:r w:rsidRPr="00C733B4">
              <w:rPr>
                <w:rFonts w:asciiTheme="minorHAnsi" w:hAnsiTheme="minorHAnsi"/>
                <w:sz w:val="20"/>
                <w:szCs w:val="20"/>
              </w:rPr>
              <w:t xml:space="preserve">a distribution based on charges levied in addition to </w:t>
            </w:r>
            <w:r w:rsidR="00BA4E95" w:rsidRPr="00C733B4">
              <w:rPr>
                <w:rFonts w:asciiTheme="minorHAnsi" w:hAnsiTheme="minorHAnsi"/>
                <w:sz w:val="20"/>
                <w:szCs w:val="20"/>
              </w:rPr>
              <w:t>making a distr</w:t>
            </w:r>
            <w:r w:rsidR="003F7515" w:rsidRPr="00C733B4">
              <w:rPr>
                <w:rFonts w:asciiTheme="minorHAnsi" w:hAnsiTheme="minorHAnsi"/>
                <w:sz w:val="20"/>
                <w:szCs w:val="20"/>
              </w:rPr>
              <w:t>i</w:t>
            </w:r>
            <w:r w:rsidR="00BA4E95" w:rsidRPr="00C733B4">
              <w:rPr>
                <w:rFonts w:asciiTheme="minorHAnsi" w:hAnsiTheme="minorHAnsi"/>
                <w:sz w:val="20"/>
                <w:szCs w:val="20"/>
              </w:rPr>
              <w:t xml:space="preserve">bution </w:t>
            </w:r>
            <w:r w:rsidRPr="00C733B4">
              <w:rPr>
                <w:rFonts w:asciiTheme="minorHAnsi" w:hAnsiTheme="minorHAnsi"/>
                <w:sz w:val="20"/>
                <w:szCs w:val="20"/>
              </w:rPr>
              <w:t>based on the relative proportion of customers’ rights of access to the operator’s network.</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Several other elements of the definition have also been refined to address stakeholder concerns about the rule wording.</w:t>
            </w:r>
          </w:p>
        </w:tc>
      </w:tr>
      <w:tr w:rsidR="009845D5" w:rsidRPr="00C733B4" w:rsidTr="007040B9">
        <w:trPr>
          <w:trHeight w:val="145"/>
        </w:trPr>
        <w:tc>
          <w:tcPr>
            <w:tcW w:w="11307" w:type="dxa"/>
          </w:tcPr>
          <w:p w:rsidR="009845D5" w:rsidRPr="00C733B4" w:rsidRDefault="009845D5" w:rsidP="0018797D">
            <w:pPr>
              <w:pStyle w:val="TOC2"/>
            </w:pPr>
            <w:r w:rsidRPr="00C733B4">
              <w:t>Rule advice 5</w:t>
            </w:r>
            <w:r w:rsidRPr="00C733B4">
              <w:noBreakHyphen/>
              <w:t>T</w:t>
            </w:r>
            <w:r w:rsidRPr="00C733B4">
              <w:rPr>
                <w:rStyle w:val="Hyperlink"/>
                <w:color w:val="auto"/>
                <w:szCs w:val="20"/>
                <w:u w:val="none"/>
              </w:rPr>
              <w:t xml:space="preserve"> </w:t>
            </w:r>
            <w:r w:rsidRPr="00C733B4">
              <w:rPr>
                <w:rStyle w:val="Hyperlink"/>
                <w:b w:val="0"/>
                <w:color w:val="auto"/>
                <w:szCs w:val="20"/>
                <w:u w:val="none"/>
              </w:rPr>
              <w:t>(section 5.7)</w:t>
            </w:r>
          </w:p>
          <w:p w:rsidR="00BD218B" w:rsidRPr="00BD218B" w:rsidRDefault="00440BC7" w:rsidP="00BD218B">
            <w:pPr>
              <w:pStyle w:val="Heading8"/>
              <w:keepNext/>
              <w:spacing w:before="60" w:after="0"/>
              <w:outlineLvl w:val="7"/>
              <w:rPr>
                <w:rFonts w:asciiTheme="minorHAnsi" w:hAnsiTheme="minorHAnsi"/>
                <w:szCs w:val="20"/>
              </w:rPr>
            </w:pPr>
            <w:r w:rsidRPr="00C733B4">
              <w:rPr>
                <w:rFonts w:asciiTheme="minorHAnsi" w:hAnsiTheme="minorHAnsi"/>
                <w:noProof/>
                <w:szCs w:val="20"/>
              </w:rPr>
              <w:fldChar w:fldCharType="begin"/>
            </w:r>
            <w:r w:rsidRPr="00C733B4">
              <w:rPr>
                <w:rFonts w:asciiTheme="minorHAnsi" w:hAnsiTheme="minorHAnsi"/>
                <w:noProof/>
                <w:szCs w:val="20"/>
              </w:rPr>
              <w:instrText xml:space="preserve"> REF  Rule_Advice_5T \h </w:instrText>
            </w:r>
            <w:r w:rsidR="00915713" w:rsidRPr="00C733B4">
              <w:rPr>
                <w:rFonts w:asciiTheme="minorHAnsi" w:hAnsiTheme="minorHAnsi"/>
                <w:noProof/>
                <w:szCs w:val="20"/>
              </w:rPr>
              <w:instrText xml:space="preserve"> \* MERGEFORMAT </w:instrText>
            </w:r>
            <w:r w:rsidRPr="00C733B4">
              <w:rPr>
                <w:rFonts w:asciiTheme="minorHAnsi" w:hAnsiTheme="minorHAnsi"/>
                <w:noProof/>
                <w:szCs w:val="20"/>
              </w:rPr>
            </w:r>
            <w:r w:rsidRPr="00C733B4">
              <w:rPr>
                <w:rFonts w:asciiTheme="minorHAnsi" w:hAnsiTheme="minorHAnsi"/>
                <w:noProof/>
                <w:szCs w:val="20"/>
              </w:rPr>
              <w:fldChar w:fldCharType="separate"/>
            </w:r>
            <w:r w:rsidR="00BD218B" w:rsidRPr="00BD218B">
              <w:rPr>
                <w:rFonts w:asciiTheme="minorHAnsi" w:hAnsiTheme="minorHAnsi"/>
                <w:szCs w:val="20"/>
              </w:rPr>
              <w:t>The rules should require that an infrastructure operator must notify the ACCC as soon as practicable if:</w:t>
            </w:r>
          </w:p>
          <w:p w:rsidR="00BD218B" w:rsidRPr="00BD218B" w:rsidRDefault="00BD218B" w:rsidP="00020517">
            <w:pPr>
              <w:pStyle w:val="Ruleadvicebullet"/>
              <w:rPr>
                <w:rFonts w:asciiTheme="minorHAnsi" w:hAnsiTheme="minorHAnsi"/>
              </w:rPr>
            </w:pPr>
            <w:r w:rsidRPr="00BD218B">
              <w:rPr>
                <w:rFonts w:asciiTheme="minorHAnsi" w:hAnsiTheme="minorHAnsi"/>
              </w:rPr>
              <w:t>it becomes aware that it is a Part 7 operator; or</w:t>
            </w:r>
          </w:p>
          <w:p w:rsidR="00BD218B" w:rsidRPr="00BD218B" w:rsidRDefault="00BD218B" w:rsidP="00020517">
            <w:pPr>
              <w:pStyle w:val="Ruleadvicebullet"/>
              <w:rPr>
                <w:rFonts w:asciiTheme="minorHAnsi" w:hAnsiTheme="minorHAnsi"/>
              </w:rPr>
            </w:pPr>
            <w:r w:rsidRPr="00BD218B">
              <w:rPr>
                <w:rFonts w:asciiTheme="minorHAnsi" w:hAnsiTheme="minorHAnsi"/>
              </w:rPr>
              <w:t>it becomes aware of a distribution it will make that may result in the operator becoming a Part 7 operator.</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The rules should be amended to allow for the ACCC to grant an exemption to the requirement for a Part 7 operator to have its infrastructure charges approved or determined.</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The rules should allow the ACCC to make the exemption in relation to a specific distribution or a distribution to be made in the future that meets particular conditions specified by the ACCC.</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The ACCC should only give such an exemption if it is satisfied that providing the exemption is unlikely to have a negative impact on the achievement of the Basin Water Charging Objectives and Principles, taking into account:</w:t>
            </w:r>
          </w:p>
          <w:p w:rsidR="00BD218B" w:rsidRPr="00BD218B" w:rsidRDefault="00BD218B" w:rsidP="00020517">
            <w:pPr>
              <w:pStyle w:val="Ruleadvicebullet"/>
              <w:rPr>
                <w:rFonts w:asciiTheme="minorHAnsi" w:hAnsiTheme="minorHAnsi"/>
              </w:rPr>
            </w:pPr>
            <w:r w:rsidRPr="00BD218B">
              <w:rPr>
                <w:rFonts w:asciiTheme="minorHAnsi" w:hAnsiTheme="minorHAnsi"/>
              </w:rPr>
              <w:t>the nature of the operator’s infrastructure services;</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the nature of the distribution made by the operator to its customers; </w:t>
            </w:r>
          </w:p>
          <w:p w:rsidR="00BD218B" w:rsidRPr="00BD218B" w:rsidRDefault="00BD218B" w:rsidP="00020517">
            <w:pPr>
              <w:pStyle w:val="Ruleadvicebullet"/>
              <w:rPr>
                <w:rFonts w:asciiTheme="minorHAnsi" w:hAnsiTheme="minorHAnsi"/>
              </w:rPr>
            </w:pPr>
            <w:r w:rsidRPr="00BD218B">
              <w:rPr>
                <w:rFonts w:asciiTheme="minorHAnsi" w:hAnsiTheme="minorHAnsi"/>
              </w:rPr>
              <w:t>the preferences of the operator’s customers; and</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any action taken by the operator in response to the ACCC’s concerns about distributions that the operator has made or intends to make; and </w:t>
            </w:r>
          </w:p>
          <w:p w:rsidR="00BD218B" w:rsidRPr="00BD218B" w:rsidRDefault="00BD218B" w:rsidP="00020517">
            <w:pPr>
              <w:pStyle w:val="Ruleadvicebullet"/>
              <w:rPr>
                <w:rFonts w:asciiTheme="minorHAnsi" w:hAnsiTheme="minorHAnsi"/>
              </w:rPr>
            </w:pPr>
            <w:r w:rsidRPr="00BD218B">
              <w:rPr>
                <w:rFonts w:asciiTheme="minorHAnsi" w:hAnsiTheme="minorHAnsi"/>
              </w:rPr>
              <w:t>any terms, conditions, or obligations associated with the distribution.</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In making this decision the rules should allow the ACCC to undertake public consultation or request further information from the operator.</w:t>
            </w:r>
            <w:r w:rsidRPr="00BD218B" w:rsidDel="00846F2E">
              <w:rPr>
                <w:rFonts w:asciiTheme="minorHAnsi" w:hAnsiTheme="minorHAnsi"/>
                <w:szCs w:val="20"/>
              </w:rPr>
              <w:t xml:space="preserve"> </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Approvals or determinations under Part 7</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also be amended to allow the ACCC, in approving or determining infrastructure charges set out in an application under Part 7, to also:</w:t>
            </w:r>
          </w:p>
          <w:p w:rsidR="00BD218B" w:rsidRPr="00BD218B" w:rsidRDefault="00BD218B" w:rsidP="00020517">
            <w:pPr>
              <w:pStyle w:val="Ruleadvicebullet"/>
              <w:rPr>
                <w:rFonts w:asciiTheme="minorHAnsi" w:hAnsiTheme="minorHAnsi"/>
              </w:rPr>
            </w:pPr>
            <w:r w:rsidRPr="00BD218B">
              <w:rPr>
                <w:rFonts w:asciiTheme="minorHAnsi" w:hAnsiTheme="minorHAnsi"/>
              </w:rPr>
              <w:t>have regard to any distributions previously made and / or proposed by the infrastructure operator.</w:t>
            </w:r>
          </w:p>
          <w:p w:rsidR="00BD218B" w:rsidRPr="00BD218B" w:rsidRDefault="00BD218B" w:rsidP="00020517">
            <w:pPr>
              <w:pStyle w:val="Ruleadvicebullet"/>
              <w:rPr>
                <w:rFonts w:asciiTheme="minorHAnsi" w:hAnsiTheme="minorHAnsi"/>
              </w:rPr>
            </w:pPr>
            <w:r w:rsidRPr="00BD218B">
              <w:rPr>
                <w:rFonts w:asciiTheme="minorHAnsi" w:hAnsiTheme="minorHAnsi"/>
              </w:rPr>
              <w:t>specify terms and conditions in relation to particular charges.</w:t>
            </w:r>
          </w:p>
          <w:p w:rsidR="00BD218B" w:rsidRPr="00BD218B" w:rsidRDefault="00BD218B" w:rsidP="00BD218B">
            <w:pPr>
              <w:pStyle w:val="Heading8"/>
              <w:spacing w:before="60" w:after="60"/>
              <w:outlineLvl w:val="7"/>
              <w:rPr>
                <w:rFonts w:asciiTheme="minorHAnsi" w:hAnsiTheme="minorHAnsi"/>
              </w:rPr>
            </w:pPr>
            <w:r w:rsidRPr="00BD218B">
              <w:rPr>
                <w:rFonts w:asciiTheme="minorHAnsi" w:hAnsiTheme="minorHAnsi"/>
                <w:szCs w:val="20"/>
              </w:rPr>
              <w:t>This rule advice is implemented in Part 7 of the proposed Water Charge Rules.</w:t>
            </w:r>
          </w:p>
          <w:p w:rsidR="00F26B87" w:rsidRPr="00C733B4" w:rsidRDefault="00440BC7" w:rsidP="00035824">
            <w:pPr>
              <w:pStyle w:val="Heading8"/>
              <w:spacing w:before="60" w:after="60"/>
              <w:outlineLvl w:val="7"/>
              <w:rPr>
                <w:rFonts w:asciiTheme="minorHAnsi" w:hAnsiTheme="minorHAnsi"/>
                <w:szCs w:val="20"/>
              </w:rPr>
            </w:pPr>
            <w:r w:rsidRPr="00C733B4">
              <w:rPr>
                <w:rFonts w:asciiTheme="minorHAnsi" w:hAnsiTheme="minorHAnsi"/>
                <w:noProof/>
                <w:szCs w:val="20"/>
              </w:rPr>
              <w:fldChar w:fldCharType="end"/>
            </w:r>
          </w:p>
        </w:tc>
        <w:tc>
          <w:tcPr>
            <w:tcW w:w="3118" w:type="dxa"/>
            <w:shd w:val="clear" w:color="auto" w:fill="D6E3BC" w:themeFill="accent3"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hd w:val="clear" w:color="auto" w:fill="D6E3BC" w:themeFill="accent3" w:themeFillTint="66"/>
              <w:spacing w:before="60" w:after="60"/>
              <w:rPr>
                <w:rFonts w:asciiTheme="minorHAnsi" w:hAnsiTheme="minorHAnsi"/>
                <w:sz w:val="20"/>
                <w:szCs w:val="20"/>
              </w:rPr>
            </w:pPr>
            <w:r w:rsidRPr="00C733B4">
              <w:rPr>
                <w:rFonts w:asciiTheme="minorHAnsi" w:hAnsiTheme="minorHAnsi"/>
                <w:sz w:val="20"/>
                <w:szCs w:val="20"/>
              </w:rPr>
              <w:t>The cross-reference in this rule advice to the proposed non-discrimination rule has been updated to reflect changes made to that rule advice.</w:t>
            </w:r>
          </w:p>
          <w:p w:rsidR="000F24CC" w:rsidRPr="00C733B4" w:rsidRDefault="006A64FF" w:rsidP="0018797D">
            <w:pPr>
              <w:shd w:val="clear" w:color="auto" w:fill="D6E3BC" w:themeFill="accent3" w:themeFillTint="66"/>
              <w:spacing w:before="60" w:after="60"/>
              <w:rPr>
                <w:rFonts w:asciiTheme="minorHAnsi" w:hAnsiTheme="minorHAnsi"/>
                <w:sz w:val="20"/>
                <w:szCs w:val="20"/>
              </w:rPr>
            </w:pPr>
            <w:r w:rsidRPr="00C733B4">
              <w:rPr>
                <w:rFonts w:asciiTheme="minorHAnsi" w:hAnsiTheme="minorHAnsi"/>
                <w:sz w:val="20"/>
                <w:szCs w:val="20"/>
              </w:rPr>
              <w:t>The Final Advice adds an additional factor which the ACCC must have regard to when deciding whether to provide an exemption to a Part 7 operator: any terms, conditions or obligations associated with the distribution.</w:t>
            </w:r>
          </w:p>
          <w:p w:rsidR="000654F6" w:rsidRPr="00C733B4" w:rsidRDefault="006A64FF" w:rsidP="0018797D">
            <w:pPr>
              <w:shd w:val="clear" w:color="auto" w:fill="D6E3BC" w:themeFill="accent3" w:themeFillTint="66"/>
              <w:spacing w:before="60" w:after="60"/>
              <w:rPr>
                <w:rFonts w:asciiTheme="minorHAnsi" w:hAnsiTheme="minorHAnsi"/>
                <w:sz w:val="20"/>
                <w:szCs w:val="20"/>
              </w:rPr>
            </w:pPr>
            <w:r w:rsidRPr="00C733B4">
              <w:rPr>
                <w:rFonts w:asciiTheme="minorHAnsi" w:hAnsiTheme="minorHAnsi"/>
                <w:sz w:val="20"/>
                <w:szCs w:val="20"/>
              </w:rPr>
              <w:t xml:space="preserve">The Final Advice </w:t>
            </w:r>
            <w:r w:rsidR="00772D27" w:rsidRPr="00C733B4">
              <w:rPr>
                <w:rFonts w:asciiTheme="minorHAnsi" w:hAnsiTheme="minorHAnsi"/>
                <w:sz w:val="20"/>
                <w:szCs w:val="20"/>
              </w:rPr>
              <w:t>clarifies the requirements for approving / determining infrastructure charges of a Part 7 operator by expressly providing that</w:t>
            </w:r>
            <w:r w:rsidRPr="00C733B4">
              <w:rPr>
                <w:rFonts w:asciiTheme="minorHAnsi" w:hAnsiTheme="minorHAnsi"/>
                <w:sz w:val="20"/>
                <w:szCs w:val="20"/>
              </w:rPr>
              <w:t xml:space="preserve">, </w:t>
            </w:r>
            <w:r w:rsidR="000654F6" w:rsidRPr="00C733B4">
              <w:rPr>
                <w:rFonts w:asciiTheme="minorHAnsi" w:hAnsiTheme="minorHAnsi"/>
                <w:sz w:val="20"/>
                <w:szCs w:val="20"/>
              </w:rPr>
              <w:t>when</w:t>
            </w:r>
            <w:r w:rsidR="00B02052" w:rsidRPr="00C733B4">
              <w:rPr>
                <w:rFonts w:asciiTheme="minorHAnsi" w:hAnsiTheme="minorHAnsi"/>
                <w:sz w:val="20"/>
                <w:szCs w:val="20"/>
              </w:rPr>
              <w:t xml:space="preserve"> </w:t>
            </w:r>
            <w:r w:rsidR="00772D27" w:rsidRPr="00C733B4">
              <w:rPr>
                <w:rFonts w:asciiTheme="minorHAnsi" w:hAnsiTheme="minorHAnsi"/>
                <w:sz w:val="20"/>
                <w:szCs w:val="20"/>
              </w:rPr>
              <w:t xml:space="preserve">undertaking an approval or determination </w:t>
            </w:r>
            <w:r w:rsidR="000654F6" w:rsidRPr="00C733B4">
              <w:rPr>
                <w:rFonts w:asciiTheme="minorHAnsi" w:hAnsiTheme="minorHAnsi"/>
                <w:sz w:val="20"/>
                <w:szCs w:val="20"/>
              </w:rPr>
              <w:t>under Part</w:t>
            </w:r>
            <w:r w:rsidRPr="00C733B4">
              <w:rPr>
                <w:rFonts w:asciiTheme="minorHAnsi" w:hAnsiTheme="minorHAnsi"/>
                <w:sz w:val="20"/>
                <w:szCs w:val="20"/>
              </w:rPr>
              <w:t> </w:t>
            </w:r>
            <w:r w:rsidR="000654F6" w:rsidRPr="00C733B4">
              <w:rPr>
                <w:rFonts w:asciiTheme="minorHAnsi" w:hAnsiTheme="minorHAnsi"/>
                <w:sz w:val="20"/>
                <w:szCs w:val="20"/>
              </w:rPr>
              <w:t xml:space="preserve">7, the ACCC </w:t>
            </w:r>
            <w:r w:rsidR="005D1D12" w:rsidRPr="00C733B4">
              <w:rPr>
                <w:rFonts w:asciiTheme="minorHAnsi" w:hAnsiTheme="minorHAnsi"/>
                <w:sz w:val="20"/>
                <w:szCs w:val="20"/>
              </w:rPr>
              <w:t>may</w:t>
            </w:r>
            <w:r w:rsidR="00B02052" w:rsidRPr="00C733B4">
              <w:rPr>
                <w:rFonts w:asciiTheme="minorHAnsi" w:hAnsiTheme="minorHAnsi"/>
                <w:sz w:val="20"/>
                <w:szCs w:val="20"/>
              </w:rPr>
              <w:t xml:space="preserve"> </w:t>
            </w:r>
            <w:r w:rsidR="000654F6" w:rsidRPr="00C733B4">
              <w:rPr>
                <w:rFonts w:asciiTheme="minorHAnsi" w:hAnsiTheme="minorHAnsi"/>
                <w:sz w:val="20"/>
                <w:szCs w:val="20"/>
              </w:rPr>
              <w:t>have regard</w:t>
            </w:r>
            <w:r w:rsidR="004F6BD0" w:rsidRPr="00C733B4">
              <w:rPr>
                <w:rFonts w:asciiTheme="minorHAnsi" w:hAnsiTheme="minorHAnsi"/>
                <w:sz w:val="20"/>
                <w:szCs w:val="20"/>
              </w:rPr>
              <w:t xml:space="preserve"> </w:t>
            </w:r>
            <w:r w:rsidR="000654F6" w:rsidRPr="00C733B4">
              <w:rPr>
                <w:rFonts w:asciiTheme="minorHAnsi" w:hAnsiTheme="minorHAnsi"/>
                <w:sz w:val="20"/>
                <w:szCs w:val="20"/>
              </w:rPr>
              <w:t>to distributions made and / or proposed to be made by the operator</w:t>
            </w:r>
            <w:r w:rsidR="00935AAD" w:rsidRPr="00C733B4">
              <w:rPr>
                <w:rFonts w:asciiTheme="minorHAnsi" w:hAnsiTheme="minorHAnsi"/>
                <w:sz w:val="20"/>
                <w:szCs w:val="20"/>
              </w:rPr>
              <w:t>,</w:t>
            </w:r>
            <w:r w:rsidR="00CF1D90" w:rsidRPr="00C733B4">
              <w:rPr>
                <w:rFonts w:asciiTheme="minorHAnsi" w:hAnsiTheme="minorHAnsi"/>
                <w:sz w:val="20"/>
                <w:szCs w:val="20"/>
              </w:rPr>
              <w:t xml:space="preserve"> </w:t>
            </w:r>
            <w:r w:rsidR="00D65484" w:rsidRPr="00C733B4">
              <w:rPr>
                <w:rFonts w:asciiTheme="minorHAnsi" w:hAnsiTheme="minorHAnsi"/>
                <w:sz w:val="20"/>
                <w:szCs w:val="20"/>
              </w:rPr>
              <w:t xml:space="preserve">and </w:t>
            </w:r>
            <w:r w:rsidR="00935AAD" w:rsidRPr="00C733B4">
              <w:rPr>
                <w:rFonts w:asciiTheme="minorHAnsi" w:hAnsiTheme="minorHAnsi"/>
                <w:sz w:val="20"/>
                <w:szCs w:val="20"/>
              </w:rPr>
              <w:t xml:space="preserve">may </w:t>
            </w:r>
            <w:r w:rsidR="00D65484" w:rsidRPr="00C733B4">
              <w:rPr>
                <w:rFonts w:asciiTheme="minorHAnsi" w:hAnsiTheme="minorHAnsi"/>
                <w:sz w:val="20"/>
                <w:szCs w:val="20"/>
              </w:rPr>
              <w:t>specify terms and conditions in relation to particular charges</w:t>
            </w:r>
            <w:r w:rsidR="000654F6" w:rsidRPr="00C733B4">
              <w:rPr>
                <w:rFonts w:asciiTheme="minorHAnsi" w:hAnsiTheme="minorHAnsi"/>
                <w:sz w:val="20"/>
                <w:szCs w:val="20"/>
              </w:rPr>
              <w:t xml:space="preserve">. </w:t>
            </w:r>
          </w:p>
        </w:tc>
      </w:tr>
      <w:tr w:rsidR="009845D5" w:rsidRPr="00C733B4" w:rsidTr="007040B9">
        <w:trPr>
          <w:trHeight w:val="145"/>
        </w:trPr>
        <w:tc>
          <w:tcPr>
            <w:tcW w:w="11307" w:type="dxa"/>
          </w:tcPr>
          <w:p w:rsidR="00440BC7" w:rsidRPr="00C733B4" w:rsidRDefault="009845D5" w:rsidP="0018797D">
            <w:pPr>
              <w:pStyle w:val="TOC2"/>
              <w:rPr>
                <w:rStyle w:val="Hyperlink"/>
                <w:b w:val="0"/>
                <w:color w:val="auto"/>
                <w:szCs w:val="20"/>
                <w:u w:val="none"/>
              </w:rPr>
            </w:pPr>
            <w:r w:rsidRPr="00C733B4">
              <w:t>Rule advice 5</w:t>
            </w:r>
            <w:r w:rsidRPr="00C733B4">
              <w:noBreakHyphen/>
              <w:t>U</w:t>
            </w:r>
            <w:r w:rsidRPr="00C733B4">
              <w:rPr>
                <w:rStyle w:val="Hyperlink"/>
                <w:color w:val="auto"/>
                <w:szCs w:val="20"/>
                <w:u w:val="none"/>
              </w:rPr>
              <w:t xml:space="preserve"> </w:t>
            </w:r>
            <w:r w:rsidRPr="00C733B4">
              <w:rPr>
                <w:rStyle w:val="Hyperlink"/>
                <w:b w:val="0"/>
                <w:color w:val="auto"/>
                <w:szCs w:val="20"/>
                <w:u w:val="none"/>
              </w:rPr>
              <w:t>(section 5.7)</w:t>
            </w:r>
          </w:p>
          <w:p w:rsidR="00BD218B" w:rsidRPr="00BD218B" w:rsidRDefault="00440BC7" w:rsidP="00BD218B">
            <w:pPr>
              <w:pStyle w:val="Heading8"/>
              <w:keepNext/>
              <w:spacing w:before="60" w:after="0"/>
              <w:outlineLvl w:val="7"/>
              <w:rPr>
                <w:rFonts w:asciiTheme="minorHAnsi" w:hAnsiTheme="minorHAnsi"/>
                <w:szCs w:val="20"/>
              </w:rPr>
            </w:pPr>
            <w:r w:rsidRPr="00C733B4">
              <w:rPr>
                <w:rStyle w:val="Hyperlink"/>
                <w:rFonts w:asciiTheme="minorHAnsi" w:hAnsiTheme="minorHAnsi"/>
                <w:b/>
                <w:color w:val="auto"/>
                <w:szCs w:val="20"/>
                <w:u w:val="none"/>
              </w:rPr>
              <w:fldChar w:fldCharType="begin"/>
            </w:r>
            <w:r w:rsidRPr="00C733B4">
              <w:rPr>
                <w:rStyle w:val="Hyperlink"/>
                <w:rFonts w:asciiTheme="minorHAnsi" w:hAnsiTheme="minorHAnsi"/>
                <w:b/>
                <w:color w:val="auto"/>
                <w:szCs w:val="20"/>
                <w:u w:val="none"/>
              </w:rPr>
              <w:instrText xml:space="preserve"> REF  Rule_Advice_5U \h  \* MERGEFORMAT </w:instrText>
            </w:r>
            <w:r w:rsidRPr="00C733B4">
              <w:rPr>
                <w:rStyle w:val="Hyperlink"/>
                <w:rFonts w:asciiTheme="minorHAnsi" w:hAnsiTheme="minorHAnsi"/>
                <w:b/>
                <w:color w:val="auto"/>
                <w:szCs w:val="20"/>
                <w:u w:val="none"/>
              </w:rPr>
            </w:r>
            <w:r w:rsidRPr="00C733B4">
              <w:rPr>
                <w:rStyle w:val="Hyperlink"/>
                <w:rFonts w:asciiTheme="minorHAnsi" w:hAnsiTheme="minorHAnsi"/>
                <w:b/>
                <w:color w:val="auto"/>
                <w:szCs w:val="20"/>
                <w:u w:val="none"/>
              </w:rPr>
              <w:fldChar w:fldCharType="separate"/>
            </w:r>
            <w:r w:rsidR="00BD218B" w:rsidRPr="00BD218B">
              <w:rPr>
                <w:rFonts w:asciiTheme="minorHAnsi" w:hAnsiTheme="minorHAnsi"/>
                <w:szCs w:val="20"/>
              </w:rPr>
              <w:t xml:space="preserve">The water charge rules should be amended to provide that an infrastructure operator should be taken to have made a </w:t>
            </w:r>
            <w:r w:rsidR="00BD218B" w:rsidRPr="00BD218B">
              <w:rPr>
                <w:rFonts w:asciiTheme="minorHAnsi" w:hAnsiTheme="minorHAnsi"/>
                <w:b/>
                <w:i/>
                <w:szCs w:val="20"/>
              </w:rPr>
              <w:t>distribution</w:t>
            </w:r>
            <w:r w:rsidR="00BD218B" w:rsidRPr="00BD218B">
              <w:rPr>
                <w:rFonts w:asciiTheme="minorHAnsi" w:hAnsiTheme="minorHAnsi"/>
                <w:szCs w:val="20"/>
              </w:rPr>
              <w:t xml:space="preserve"> to a customer if it has:</w:t>
            </w:r>
          </w:p>
          <w:p w:rsidR="00BD218B" w:rsidRPr="00BD218B" w:rsidRDefault="00BD218B" w:rsidP="00020517">
            <w:pPr>
              <w:pStyle w:val="Ruleadvicebullet"/>
              <w:rPr>
                <w:rFonts w:asciiTheme="minorHAnsi" w:hAnsiTheme="minorHAnsi"/>
              </w:rPr>
            </w:pPr>
            <w:r w:rsidRPr="00BD218B">
              <w:rPr>
                <w:rFonts w:asciiTheme="minorHAnsi" w:hAnsiTheme="minorHAnsi"/>
              </w:rPr>
              <w:t>declared a dividend for a customer; or</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distributed profits, or any part of its profits, whether in the form of dividends or otherwise to a customer; or </w:t>
            </w:r>
          </w:p>
          <w:p w:rsidR="00BD218B" w:rsidRPr="00BD218B" w:rsidRDefault="00BD218B" w:rsidP="00020517">
            <w:pPr>
              <w:pStyle w:val="Ruleadvicebullet"/>
              <w:rPr>
                <w:rFonts w:asciiTheme="minorHAnsi" w:hAnsiTheme="minorHAnsi"/>
              </w:rPr>
            </w:pPr>
            <w:r w:rsidRPr="00BD218B">
              <w:rPr>
                <w:rFonts w:asciiTheme="minorHAnsi" w:hAnsiTheme="minorHAnsi"/>
              </w:rPr>
              <w:t>distributed its reserves, or any part of its reserves to a customer; or</w:t>
            </w:r>
          </w:p>
          <w:p w:rsidR="00BD218B" w:rsidRPr="00BD218B" w:rsidRDefault="00BD218B" w:rsidP="00020517">
            <w:pPr>
              <w:pStyle w:val="Ruleadvicebullet"/>
              <w:rPr>
                <w:rFonts w:asciiTheme="minorHAnsi" w:hAnsiTheme="minorHAnsi"/>
              </w:rPr>
            </w:pPr>
            <w:r w:rsidRPr="00BD218B">
              <w:rPr>
                <w:rFonts w:asciiTheme="minorHAnsi" w:hAnsiTheme="minorHAnsi"/>
              </w:rPr>
              <w:t>issued bonus shares to a customer.</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However, the rules should clarify that an infrastructure operator is not taken to have made a distribution where it makes a payment to a customer as an incentive for the customer to agree to the reconfiguration or decommissioning of relevant water service infrastructure.</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The rules should provide that an infrastructure operator is also taken to have made a distribution where it trades or allocates water to a customer in the form of a ‘water allocation’ or an allocation of water to an irrigation right other than:</w:t>
            </w:r>
          </w:p>
          <w:p w:rsidR="00BD218B" w:rsidRPr="00BD218B" w:rsidRDefault="00BD218B" w:rsidP="00020517">
            <w:pPr>
              <w:pStyle w:val="Ruleadvicebullet"/>
              <w:rPr>
                <w:rFonts w:asciiTheme="minorHAnsi" w:hAnsiTheme="minorHAnsi"/>
              </w:rPr>
            </w:pPr>
            <w:r w:rsidRPr="00BD218B">
              <w:rPr>
                <w:rFonts w:asciiTheme="minorHAnsi" w:hAnsiTheme="minorHAnsi"/>
              </w:rPr>
              <w:t>the allocation of water from an irrigation infrastructure operator to the holder of an irrigation right to fulfil its contractual obligations in relation to irrigation rights held by its customers;</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those necessary to give effect to a trade of water access right or irrigation right by a customer. </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 xml:space="preserve">However, even where the trade or allocation of water to a customer is considered a distribution, it should not trigger the potential application of Part 7 if it also meets the definition of a </w:t>
            </w:r>
            <w:r w:rsidRPr="00BD218B">
              <w:rPr>
                <w:rFonts w:asciiTheme="minorHAnsi" w:hAnsiTheme="minorHAnsi"/>
                <w:b/>
                <w:i/>
                <w:szCs w:val="20"/>
              </w:rPr>
              <w:t>standard distribution</w:t>
            </w:r>
            <w:r w:rsidRPr="00BD218B">
              <w:rPr>
                <w:rFonts w:asciiTheme="minorHAnsi" w:hAnsiTheme="minorHAnsi"/>
                <w:szCs w:val="20"/>
              </w:rPr>
              <w:t xml:space="preserve"> as proposed in rule advice 5</w:t>
            </w:r>
            <w:r w:rsidRPr="00BD218B">
              <w:rPr>
                <w:rFonts w:asciiTheme="minorHAnsi" w:hAnsiTheme="minorHAnsi"/>
                <w:szCs w:val="20"/>
              </w:rPr>
              <w:noBreakHyphen/>
              <w:t>S.</w:t>
            </w:r>
          </w:p>
          <w:p w:rsidR="009845D5"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Part 7, Division 1 of the proposed Water Charge Rules.</w:t>
            </w:r>
            <w:r w:rsidR="00440BC7" w:rsidRPr="00C733B4">
              <w:rPr>
                <w:rStyle w:val="Hyperlink"/>
                <w:rFonts w:asciiTheme="minorHAnsi" w:hAnsiTheme="minorHAnsi"/>
                <w:b/>
                <w:color w:val="auto"/>
                <w:szCs w:val="20"/>
                <w:u w:val="none"/>
              </w:rPr>
              <w:fldChar w:fldCharType="end"/>
            </w:r>
            <w:r w:rsidR="00935AAD" w:rsidRPr="00C733B4">
              <w:rPr>
                <w:rFonts w:asciiTheme="minorHAnsi" w:hAnsiTheme="minorHAnsi"/>
                <w:noProof/>
                <w:szCs w:val="20"/>
              </w:rPr>
              <w:t xml:space="preserve"> </w:t>
            </w:r>
          </w:p>
        </w:tc>
        <w:tc>
          <w:tcPr>
            <w:tcW w:w="3118" w:type="dxa"/>
            <w:shd w:val="clear" w:color="auto" w:fill="B6DDE8" w:themeFill="accent5"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Substantial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sets out in full the circumstances in which an operator should be taken to have made a distribution. </w:t>
            </w:r>
          </w:p>
          <w:p w:rsidR="009845D5" w:rsidRPr="00C733B4" w:rsidRDefault="00B1638F" w:rsidP="0018797D">
            <w:pPr>
              <w:spacing w:before="60" w:after="60"/>
              <w:rPr>
                <w:rFonts w:asciiTheme="minorHAnsi" w:hAnsiTheme="minorHAnsi"/>
                <w:sz w:val="20"/>
                <w:szCs w:val="20"/>
              </w:rPr>
            </w:pPr>
            <w:r w:rsidRPr="00C733B4">
              <w:rPr>
                <w:rFonts w:asciiTheme="minorHAnsi" w:hAnsiTheme="minorHAnsi"/>
                <w:sz w:val="20"/>
                <w:szCs w:val="20"/>
              </w:rPr>
              <w:t>T</w:t>
            </w:r>
            <w:r w:rsidR="009845D5" w:rsidRPr="00C733B4">
              <w:rPr>
                <w:rFonts w:asciiTheme="minorHAnsi" w:hAnsiTheme="minorHAnsi"/>
                <w:sz w:val="20"/>
                <w:szCs w:val="20"/>
              </w:rPr>
              <w:t xml:space="preserve">he Final Advice </w:t>
            </w:r>
            <w:r w:rsidRPr="00C733B4">
              <w:rPr>
                <w:rFonts w:asciiTheme="minorHAnsi" w:hAnsiTheme="minorHAnsi"/>
                <w:sz w:val="20"/>
                <w:szCs w:val="20"/>
              </w:rPr>
              <w:t xml:space="preserve">also </w:t>
            </w:r>
            <w:r w:rsidR="009845D5" w:rsidRPr="00C733B4">
              <w:rPr>
                <w:rFonts w:asciiTheme="minorHAnsi" w:hAnsiTheme="minorHAnsi"/>
                <w:sz w:val="20"/>
                <w:szCs w:val="20"/>
              </w:rPr>
              <w:t>refines the provisions relating to where an operator trades or allocates water to customers.</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Several other elements of this rule advice have also been refined to address stakeholder concerns about the rule wording.</w:t>
            </w:r>
          </w:p>
          <w:p w:rsidR="009845D5" w:rsidRPr="00C733B4" w:rsidRDefault="009845D5" w:rsidP="0018797D">
            <w:pPr>
              <w:spacing w:before="60" w:after="60"/>
              <w:jc w:val="center"/>
              <w:rPr>
                <w:rFonts w:asciiTheme="minorHAnsi" w:hAnsiTheme="minorHAnsi"/>
                <w:b/>
                <w:sz w:val="20"/>
                <w:szCs w:val="20"/>
              </w:rPr>
            </w:pPr>
          </w:p>
        </w:tc>
      </w:tr>
      <w:tr w:rsidR="00651ACD" w:rsidRPr="00C733B4" w:rsidTr="007040B9">
        <w:trPr>
          <w:trHeight w:val="145"/>
        </w:trPr>
        <w:tc>
          <w:tcPr>
            <w:tcW w:w="11307" w:type="dxa"/>
          </w:tcPr>
          <w:p w:rsidR="00651ACD" w:rsidRPr="00C733B4" w:rsidRDefault="00651ACD" w:rsidP="0018797D">
            <w:pPr>
              <w:pStyle w:val="TOC2"/>
              <w:rPr>
                <w:rStyle w:val="Hyperlink"/>
                <w:b w:val="0"/>
                <w:color w:val="auto"/>
                <w:szCs w:val="20"/>
                <w:u w:val="none"/>
              </w:rPr>
            </w:pPr>
            <w:r w:rsidRPr="00C733B4">
              <w:t>Rule advice 5</w:t>
            </w:r>
            <w:r w:rsidRPr="00C733B4">
              <w:noBreakHyphen/>
              <w:t>V</w:t>
            </w:r>
            <w:r w:rsidRPr="00C733B4">
              <w:rPr>
                <w:rStyle w:val="Hyperlink"/>
                <w:color w:val="auto"/>
                <w:szCs w:val="20"/>
                <w:u w:val="none"/>
              </w:rPr>
              <w:t xml:space="preserve"> </w:t>
            </w:r>
            <w:r w:rsidRPr="00C733B4">
              <w:rPr>
                <w:rStyle w:val="Hyperlink"/>
                <w:b w:val="0"/>
                <w:color w:val="auto"/>
                <w:szCs w:val="20"/>
                <w:u w:val="none"/>
              </w:rPr>
              <w:t>(section 5.7)</w:t>
            </w:r>
          </w:p>
          <w:p w:rsidR="00BD218B" w:rsidRPr="00BD218B" w:rsidRDefault="00651ACD" w:rsidP="00BD218B">
            <w:pPr>
              <w:pStyle w:val="Heading8"/>
              <w:keepNext/>
              <w:spacing w:before="60" w:after="0"/>
              <w:outlineLvl w:val="7"/>
              <w:rPr>
                <w:rFonts w:asciiTheme="minorHAnsi" w:hAnsiTheme="minorHAnsi"/>
                <w:szCs w:val="20"/>
              </w:rPr>
            </w:pPr>
            <w:r w:rsidRPr="00C733B4">
              <w:rPr>
                <w:rStyle w:val="Hyperlink"/>
                <w:rFonts w:asciiTheme="minorHAnsi" w:hAnsiTheme="minorHAnsi"/>
                <w:b/>
                <w:color w:val="auto"/>
                <w:szCs w:val="20"/>
                <w:u w:val="none"/>
              </w:rPr>
              <w:fldChar w:fldCharType="begin"/>
            </w:r>
            <w:r w:rsidRPr="00C733B4">
              <w:rPr>
                <w:rStyle w:val="Hyperlink"/>
                <w:rFonts w:asciiTheme="minorHAnsi" w:hAnsiTheme="minorHAnsi"/>
                <w:b/>
                <w:color w:val="auto"/>
                <w:szCs w:val="20"/>
                <w:u w:val="none"/>
              </w:rPr>
              <w:instrText xml:space="preserve"> REF  Rule_Advice_5V \h  \* MERGEFORMAT </w:instrText>
            </w:r>
            <w:r w:rsidRPr="00C733B4">
              <w:rPr>
                <w:rStyle w:val="Hyperlink"/>
                <w:rFonts w:asciiTheme="minorHAnsi" w:hAnsiTheme="minorHAnsi"/>
                <w:b/>
                <w:color w:val="auto"/>
                <w:szCs w:val="20"/>
                <w:u w:val="none"/>
              </w:rPr>
            </w:r>
            <w:r w:rsidRPr="00C733B4">
              <w:rPr>
                <w:rStyle w:val="Hyperlink"/>
                <w:rFonts w:asciiTheme="minorHAnsi" w:hAnsiTheme="minorHAnsi"/>
                <w:b/>
                <w:color w:val="auto"/>
                <w:szCs w:val="20"/>
                <w:u w:val="none"/>
              </w:rPr>
              <w:fldChar w:fldCharType="separate"/>
            </w:r>
            <w:r w:rsidR="00BD218B" w:rsidRPr="00BD218B">
              <w:rPr>
                <w:rFonts w:asciiTheme="minorHAnsi" w:hAnsiTheme="minorHAnsi"/>
                <w:szCs w:val="20"/>
              </w:rPr>
              <w:t xml:space="preserve">The water charge rules should be amended such that an infrastructure operator ceases to be a Part 7 operator three years after: </w:t>
            </w:r>
          </w:p>
          <w:p w:rsidR="00BD218B" w:rsidRPr="00BD218B" w:rsidRDefault="00BD218B" w:rsidP="00020517">
            <w:pPr>
              <w:pStyle w:val="Ruleadvicebullet"/>
              <w:rPr>
                <w:rFonts w:asciiTheme="minorHAnsi" w:hAnsiTheme="minorHAnsi"/>
              </w:rPr>
            </w:pPr>
            <w:r w:rsidRPr="00BD218B">
              <w:rPr>
                <w:rFonts w:asciiTheme="minorHAnsi" w:hAnsiTheme="minorHAnsi"/>
              </w:rPr>
              <w:t>the day the operator last made a distribution (other than standard distribution); or</w:t>
            </w:r>
          </w:p>
          <w:p w:rsidR="00BD218B" w:rsidRPr="00BD218B" w:rsidRDefault="00BD218B" w:rsidP="00020517">
            <w:pPr>
              <w:pStyle w:val="Ruleadvicebullet"/>
              <w:rPr>
                <w:rFonts w:asciiTheme="minorHAnsi" w:hAnsiTheme="minorHAnsi"/>
              </w:rPr>
            </w:pPr>
            <w:r w:rsidRPr="00BD218B">
              <w:rPr>
                <w:rFonts w:asciiTheme="minorHAnsi" w:hAnsiTheme="minorHAnsi"/>
              </w:rPr>
              <w:t>the start of the regulatory period for the operator;</w:t>
            </w:r>
          </w:p>
          <w:p w:rsidR="00BD218B" w:rsidRPr="00BD218B" w:rsidRDefault="00BD218B" w:rsidP="00BD218B">
            <w:pPr>
              <w:pStyle w:val="Heading8"/>
              <w:keepNext/>
              <w:spacing w:before="60" w:after="0"/>
              <w:ind w:left="426"/>
              <w:outlineLvl w:val="7"/>
              <w:rPr>
                <w:rFonts w:asciiTheme="minorHAnsi" w:hAnsiTheme="minorHAnsi"/>
                <w:szCs w:val="20"/>
              </w:rPr>
            </w:pPr>
            <w:r w:rsidRPr="00BD218B">
              <w:rPr>
                <w:rFonts w:asciiTheme="minorHAnsi" w:hAnsiTheme="minorHAnsi"/>
                <w:szCs w:val="20"/>
              </w:rPr>
              <w:t xml:space="preserve">whichever occurs later. </w:t>
            </w:r>
          </w:p>
          <w:p w:rsidR="00BD218B" w:rsidRPr="00BD218B" w:rsidRDefault="00BD218B" w:rsidP="00BD218B">
            <w:pPr>
              <w:pStyle w:val="Heading8"/>
              <w:keepNext/>
              <w:spacing w:before="60" w:after="0"/>
              <w:outlineLvl w:val="7"/>
              <w:rPr>
                <w:rFonts w:asciiTheme="minorHAnsi" w:hAnsiTheme="minorHAnsi"/>
                <w:szCs w:val="20"/>
              </w:rPr>
            </w:pPr>
            <w:r w:rsidRPr="00BD218B">
              <w:rPr>
                <w:rFonts w:asciiTheme="minorHAnsi" w:hAnsiTheme="minorHAnsi"/>
                <w:szCs w:val="20"/>
              </w:rPr>
              <w:t>(The current rules state that an operator is no longer a Part 7 operator five years after it last made a distribution, or when it ceases to be a member-owned operator.)</w:t>
            </w:r>
          </w:p>
          <w:p w:rsidR="00651ACD"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Part 7, Division 1 of the proposed Water Charge Rules.</w:t>
            </w:r>
            <w:r w:rsidR="00651ACD" w:rsidRPr="00C733B4">
              <w:rPr>
                <w:rStyle w:val="Hyperlink"/>
                <w:rFonts w:asciiTheme="minorHAnsi" w:hAnsiTheme="minorHAnsi"/>
                <w:b/>
                <w:color w:val="auto"/>
                <w:szCs w:val="20"/>
                <w:u w:val="none"/>
              </w:rPr>
              <w:fldChar w:fldCharType="end"/>
            </w:r>
            <w:r w:rsidR="00651ACD" w:rsidRPr="00C733B4">
              <w:rPr>
                <w:rFonts w:asciiTheme="minorHAnsi" w:hAnsiTheme="minorHAnsi"/>
                <w:noProof/>
                <w:szCs w:val="20"/>
              </w:rPr>
              <w:t xml:space="preserve"> </w:t>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440BC7" w:rsidRPr="00C733B4" w:rsidRDefault="009845D5" w:rsidP="0018797D">
            <w:pPr>
              <w:pStyle w:val="TOC2"/>
            </w:pPr>
            <w:r w:rsidRPr="00C733B4">
              <w:t>Rule advice 5</w:t>
            </w:r>
            <w:r w:rsidRPr="00C733B4">
              <w:noBreakHyphen/>
              <w:t>W</w:t>
            </w:r>
            <w:r w:rsidRPr="00C733B4">
              <w:rPr>
                <w:rStyle w:val="Hyperlink"/>
                <w:color w:val="auto"/>
                <w:szCs w:val="20"/>
                <w:u w:val="none"/>
              </w:rPr>
              <w:t xml:space="preserve"> </w:t>
            </w:r>
            <w:r w:rsidRPr="00C733B4">
              <w:rPr>
                <w:rStyle w:val="Hyperlink"/>
                <w:b w:val="0"/>
                <w:color w:val="auto"/>
                <w:szCs w:val="20"/>
                <w:u w:val="none"/>
              </w:rPr>
              <w:t>(section 5.9)</w:t>
            </w:r>
            <w:r w:rsidRPr="00C733B4">
              <w:t xml:space="preserve"> </w:t>
            </w:r>
          </w:p>
          <w:p w:rsidR="00BD218B" w:rsidRPr="00BD218B" w:rsidRDefault="00440BC7"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Rule_Advice_5W \h </w:instrText>
            </w:r>
            <w:r w:rsidR="00915713" w:rsidRPr="00C733B4">
              <w:rPr>
                <w:rFonts w:asciiTheme="minorHAnsi" w:hAnsiTheme="minorHAnsi"/>
                <w:szCs w:val="20"/>
              </w:rPr>
              <w:instrText xml:space="preserve">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 xml:space="preserve">The rules should be amended so that the current Part 9 continues only as far as is necessary to transition from the current application of Part 6 (and no further).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In particular, accreditation arrangements under the existing Part 9 should cease to apply in relation to approvals and determinations for:</w:t>
            </w:r>
          </w:p>
          <w:p w:rsidR="00BD218B" w:rsidRPr="00BD218B" w:rsidRDefault="00BD218B" w:rsidP="00020517">
            <w:pPr>
              <w:pStyle w:val="Ruleadvicebullet"/>
              <w:rPr>
                <w:rFonts w:asciiTheme="minorHAnsi" w:hAnsiTheme="minorHAnsi"/>
              </w:rPr>
            </w:pPr>
            <w:r w:rsidRPr="00BD218B">
              <w:rPr>
                <w:rFonts w:asciiTheme="minorHAnsi" w:hAnsiTheme="minorHAnsi"/>
              </w:rPr>
              <w:t>infrastructure operators not currently subject to Part 6 or Part 7: when the amendments (including the repeal of existing Part 9) commence;</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infrastructure operators subject to existing Part 6: at the end of the regulatory period underway on the transition date (when amendments to the rules take effect) or, if the operator has lodged an application for an upcoming regulatory period, at the end of that regulatory period; </w:t>
            </w:r>
          </w:p>
          <w:p w:rsidR="00BD218B" w:rsidRPr="00BD218B" w:rsidRDefault="00BD218B" w:rsidP="00020517">
            <w:pPr>
              <w:pStyle w:val="Ruleadvicebullet"/>
              <w:rPr>
                <w:rFonts w:asciiTheme="minorHAnsi" w:hAnsiTheme="minorHAnsi"/>
              </w:rPr>
            </w:pPr>
            <w:r w:rsidRPr="00BD218B">
              <w:rPr>
                <w:rFonts w:asciiTheme="minorHAnsi" w:hAnsiTheme="minorHAnsi"/>
              </w:rPr>
              <w:t>infrastructure operators subject to existing Part 7: when those operators cease to be Part 7 operators;</w:t>
            </w:r>
          </w:p>
          <w:p w:rsidR="00BD218B" w:rsidRPr="00BD218B" w:rsidRDefault="00BD218B" w:rsidP="00020517">
            <w:pPr>
              <w:pStyle w:val="Ruleadvicebullet"/>
              <w:rPr>
                <w:rFonts w:asciiTheme="minorHAnsi" w:hAnsiTheme="minorHAnsi"/>
              </w:rPr>
            </w:pPr>
            <w:r w:rsidRPr="00BD218B">
              <w:rPr>
                <w:rFonts w:asciiTheme="minorHAnsi" w:hAnsiTheme="minorHAnsi"/>
              </w:rPr>
              <w:t>unless the accreditation is revoked, withdrawn by a Basin State or expires earlier.</w:t>
            </w:r>
          </w:p>
          <w:p w:rsidR="009845D5" w:rsidRPr="00C733B4" w:rsidRDefault="00BD218B" w:rsidP="00035824">
            <w:pPr>
              <w:spacing w:before="60" w:after="60"/>
              <w:rPr>
                <w:rFonts w:asciiTheme="minorHAnsi" w:hAnsiTheme="minorHAnsi"/>
                <w:sz w:val="20"/>
                <w:szCs w:val="20"/>
              </w:rPr>
            </w:pPr>
            <w:r w:rsidRPr="00BD218B">
              <w:rPr>
                <w:rFonts w:asciiTheme="minorHAnsi" w:hAnsiTheme="minorHAnsi"/>
                <w:sz w:val="20"/>
                <w:szCs w:val="20"/>
              </w:rPr>
              <w:t xml:space="preserve">This rule advice is implemented in the repeal of Part 9 of the current WCIR, and through Part 11 of the proposed Water Charge Rules. </w:t>
            </w:r>
            <w:r w:rsidR="00440BC7" w:rsidRPr="00C733B4">
              <w:rPr>
                <w:rFonts w:asciiTheme="minorHAnsi" w:hAnsiTheme="minorHAnsi"/>
                <w:sz w:val="20"/>
                <w:szCs w:val="20"/>
              </w:rPr>
              <w:fldChar w:fldCharType="end"/>
            </w:r>
          </w:p>
        </w:tc>
        <w:tc>
          <w:tcPr>
            <w:tcW w:w="3118" w:type="dxa"/>
            <w:shd w:val="clear" w:color="auto" w:fill="D6E3BC" w:themeFill="accent3"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This rule advice has been updated to clarify that Part 9 should continue to apply for the full duration of the relevant regulatory period in the event that a current Part 6 operator has already lodged an application to have its infrastructure charges approved or determined at the time amended rules come into effect.</w:t>
            </w:r>
          </w:p>
        </w:tc>
      </w:tr>
      <w:tr w:rsidR="00651ACD" w:rsidRPr="00C733B4" w:rsidTr="007040B9">
        <w:trPr>
          <w:trHeight w:val="145"/>
        </w:trPr>
        <w:tc>
          <w:tcPr>
            <w:tcW w:w="11307" w:type="dxa"/>
          </w:tcPr>
          <w:p w:rsidR="00651ACD" w:rsidRPr="00C733B4" w:rsidRDefault="00651ACD" w:rsidP="0018797D">
            <w:pPr>
              <w:pStyle w:val="TOC2"/>
              <w:rPr>
                <w:rStyle w:val="Hyperlink"/>
                <w:b w:val="0"/>
                <w:color w:val="auto"/>
                <w:szCs w:val="20"/>
                <w:u w:val="none"/>
              </w:rPr>
            </w:pPr>
            <w:r w:rsidRPr="00C733B4">
              <w:t>Rule advice 5</w:t>
            </w:r>
            <w:r w:rsidRPr="00C733B4">
              <w:noBreakHyphen/>
              <w:t>X</w:t>
            </w:r>
            <w:r w:rsidRPr="00C733B4">
              <w:rPr>
                <w:rStyle w:val="Hyperlink"/>
                <w:color w:val="auto"/>
                <w:szCs w:val="20"/>
                <w:u w:val="none"/>
              </w:rPr>
              <w:t xml:space="preserve"> </w:t>
            </w:r>
            <w:r w:rsidRPr="00C733B4">
              <w:rPr>
                <w:rStyle w:val="Hyperlink"/>
                <w:b w:val="0"/>
                <w:color w:val="auto"/>
                <w:szCs w:val="20"/>
                <w:u w:val="none"/>
              </w:rPr>
              <w:t>(section 5.11)</w:t>
            </w:r>
          </w:p>
          <w:p w:rsidR="00BD218B" w:rsidRPr="00BD218B" w:rsidRDefault="00651ACD" w:rsidP="00BD218B">
            <w:pPr>
              <w:pStyle w:val="Heading8"/>
              <w:spacing w:before="60" w:after="0"/>
              <w:outlineLvl w:val="7"/>
              <w:rPr>
                <w:rFonts w:asciiTheme="minorHAnsi" w:hAnsiTheme="minorHAnsi"/>
                <w:szCs w:val="20"/>
              </w:rPr>
            </w:pPr>
            <w:r w:rsidRPr="00C733B4">
              <w:rPr>
                <w:rStyle w:val="Hyperlink"/>
                <w:rFonts w:asciiTheme="minorHAnsi" w:hAnsiTheme="minorHAnsi"/>
                <w:b/>
                <w:color w:val="auto"/>
                <w:szCs w:val="20"/>
                <w:u w:val="none"/>
              </w:rPr>
              <w:fldChar w:fldCharType="begin"/>
            </w:r>
            <w:r w:rsidRPr="00C733B4">
              <w:rPr>
                <w:rStyle w:val="Hyperlink"/>
                <w:rFonts w:asciiTheme="minorHAnsi" w:hAnsiTheme="minorHAnsi"/>
                <w:b/>
                <w:color w:val="auto"/>
                <w:szCs w:val="20"/>
                <w:u w:val="none"/>
              </w:rPr>
              <w:instrText xml:space="preserve"> REF  Rule_Advice_5X \h  \* MERGEFORMAT </w:instrText>
            </w:r>
            <w:r w:rsidRPr="00C733B4">
              <w:rPr>
                <w:rStyle w:val="Hyperlink"/>
                <w:rFonts w:asciiTheme="minorHAnsi" w:hAnsiTheme="minorHAnsi"/>
                <w:b/>
                <w:color w:val="auto"/>
                <w:szCs w:val="20"/>
                <w:u w:val="none"/>
              </w:rPr>
            </w:r>
            <w:r w:rsidRPr="00C733B4">
              <w:rPr>
                <w:rStyle w:val="Hyperlink"/>
                <w:rFonts w:asciiTheme="minorHAnsi" w:hAnsiTheme="minorHAnsi"/>
                <w:b/>
                <w:color w:val="auto"/>
                <w:szCs w:val="20"/>
                <w:u w:val="none"/>
              </w:rPr>
              <w:fldChar w:fldCharType="separate"/>
            </w:r>
            <w:r w:rsidR="00BD218B" w:rsidRPr="00BD218B">
              <w:rPr>
                <w:rFonts w:asciiTheme="minorHAnsi" w:hAnsiTheme="minorHAnsi"/>
                <w:szCs w:val="20"/>
              </w:rPr>
              <w:t xml:space="preserve">The rules should be amended to provide an exemption such that proposed rule 10 does not apply in relation to charges, or restrictions on the availability of infrastructure services, that are negotiated, offered, arbitrated or otherwise specified under the following arrangements (or arrived at under a dispute resolution process undertaken consistently with such an arrangement) under Part IIIA of the </w:t>
            </w:r>
            <w:r w:rsidR="00BD218B" w:rsidRPr="00BD218B">
              <w:rPr>
                <w:rFonts w:asciiTheme="minorHAnsi" w:hAnsiTheme="minorHAnsi"/>
                <w:i/>
                <w:szCs w:val="20"/>
              </w:rPr>
              <w:t>Competition and Consumer Act 2010</w:t>
            </w:r>
            <w:r w:rsidR="00BD218B" w:rsidRPr="00BD218B">
              <w:rPr>
                <w:rFonts w:asciiTheme="minorHAnsi" w:hAnsiTheme="minorHAnsi"/>
                <w:szCs w:val="20"/>
              </w:rPr>
              <w:t>:</w:t>
            </w:r>
          </w:p>
          <w:p w:rsidR="00BD218B" w:rsidRPr="00BD218B" w:rsidRDefault="00BD218B" w:rsidP="00BD218B">
            <w:pPr>
              <w:pStyle w:val="Heading8"/>
              <w:numPr>
                <w:ilvl w:val="0"/>
                <w:numId w:val="91"/>
              </w:numPr>
              <w:spacing w:before="60" w:after="0"/>
              <w:outlineLvl w:val="7"/>
              <w:rPr>
                <w:rFonts w:asciiTheme="minorHAnsi" w:hAnsiTheme="minorHAnsi"/>
                <w:szCs w:val="20"/>
              </w:rPr>
            </w:pPr>
            <w:r w:rsidRPr="00BD218B">
              <w:rPr>
                <w:rFonts w:asciiTheme="minorHAnsi" w:hAnsiTheme="minorHAnsi"/>
                <w:szCs w:val="20"/>
              </w:rPr>
              <w:t>an access undertaking or access code;</w:t>
            </w:r>
          </w:p>
          <w:p w:rsidR="00BD218B" w:rsidRPr="00BD218B" w:rsidRDefault="00BD218B" w:rsidP="00BD218B">
            <w:pPr>
              <w:pStyle w:val="Heading8"/>
              <w:numPr>
                <w:ilvl w:val="0"/>
                <w:numId w:val="91"/>
              </w:numPr>
              <w:spacing w:before="60" w:after="0"/>
              <w:outlineLvl w:val="7"/>
              <w:rPr>
                <w:rFonts w:asciiTheme="minorHAnsi" w:hAnsiTheme="minorHAnsi"/>
                <w:szCs w:val="20"/>
              </w:rPr>
            </w:pPr>
            <w:r w:rsidRPr="00BD218B">
              <w:rPr>
                <w:rFonts w:asciiTheme="minorHAnsi" w:hAnsiTheme="minorHAnsi"/>
                <w:szCs w:val="20"/>
              </w:rPr>
              <w:t xml:space="preserve">a declared service; </w:t>
            </w:r>
          </w:p>
          <w:p w:rsidR="00BD218B" w:rsidRPr="00BD218B" w:rsidRDefault="00BD218B" w:rsidP="00BD218B">
            <w:pPr>
              <w:pStyle w:val="Heading8"/>
              <w:numPr>
                <w:ilvl w:val="0"/>
                <w:numId w:val="91"/>
              </w:numPr>
              <w:spacing w:before="60" w:after="0"/>
              <w:outlineLvl w:val="7"/>
              <w:rPr>
                <w:rFonts w:asciiTheme="minorHAnsi" w:hAnsiTheme="minorHAnsi"/>
                <w:szCs w:val="20"/>
              </w:rPr>
            </w:pPr>
            <w:r w:rsidRPr="00BD218B">
              <w:rPr>
                <w:rFonts w:asciiTheme="minorHAnsi" w:hAnsiTheme="minorHAnsi"/>
                <w:szCs w:val="20"/>
              </w:rPr>
              <w:t>an effective access regime;</w:t>
            </w:r>
          </w:p>
          <w:p w:rsidR="00BD218B" w:rsidRPr="00BD218B" w:rsidRDefault="00BD218B" w:rsidP="00BD218B">
            <w:pPr>
              <w:pStyle w:val="Heading8"/>
              <w:numPr>
                <w:ilvl w:val="0"/>
                <w:numId w:val="91"/>
              </w:numPr>
              <w:spacing w:before="60" w:after="0"/>
              <w:outlineLvl w:val="7"/>
              <w:rPr>
                <w:rFonts w:asciiTheme="minorHAnsi" w:hAnsiTheme="minorHAnsi"/>
                <w:szCs w:val="20"/>
              </w:rPr>
            </w:pPr>
            <w:r w:rsidRPr="00BD218B">
              <w:rPr>
                <w:rFonts w:asciiTheme="minorHAnsi" w:hAnsiTheme="minorHAnsi"/>
                <w:szCs w:val="20"/>
              </w:rPr>
              <w:t>a competitive tender process.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There should not be any general exemption for other ‘commercially negotiated’ infrastructure charges. </w:t>
            </w:r>
          </w:p>
          <w:p w:rsidR="00BD218B" w:rsidRPr="00BD218B" w:rsidRDefault="00BD218B" w:rsidP="00BD218B">
            <w:pPr>
              <w:pStyle w:val="Heading8"/>
              <w:spacing w:before="60" w:after="0"/>
              <w:outlineLvl w:val="7"/>
              <w:rPr>
                <w:rFonts w:asciiTheme="minorHAnsi" w:hAnsiTheme="minorHAnsi"/>
                <w:i/>
                <w:szCs w:val="20"/>
              </w:rPr>
            </w:pPr>
            <w:r w:rsidRPr="00BD218B">
              <w:rPr>
                <w:rFonts w:asciiTheme="minorHAnsi" w:hAnsiTheme="minorHAnsi"/>
                <w:i/>
                <w:szCs w:val="20"/>
              </w:rPr>
              <w:t xml:space="preserve">See rule advice 5-B (in section 5.3.1) for the proposed non-discrimination requirements. </w:t>
            </w:r>
          </w:p>
          <w:p w:rsidR="00651ACD" w:rsidRPr="00C733B4" w:rsidRDefault="00BD218B" w:rsidP="00035824">
            <w:pPr>
              <w:pStyle w:val="Heading8"/>
              <w:spacing w:before="60" w:after="60"/>
              <w:outlineLvl w:val="7"/>
              <w:rPr>
                <w:rFonts w:asciiTheme="minorHAnsi" w:hAnsiTheme="minorHAnsi"/>
                <w:noProof/>
                <w:szCs w:val="20"/>
              </w:rPr>
            </w:pPr>
            <w:r w:rsidRPr="00BD218B">
              <w:rPr>
                <w:rFonts w:asciiTheme="minorHAnsi" w:hAnsiTheme="minorHAnsi"/>
                <w:szCs w:val="20"/>
              </w:rPr>
              <w:t>This rule advice is implemented in rule 10(7) of the proposed Water Charge Rules.</w:t>
            </w:r>
            <w:r w:rsidR="00651ACD" w:rsidRPr="00C733B4">
              <w:rPr>
                <w:rStyle w:val="Hyperlink"/>
                <w:rFonts w:asciiTheme="minorHAnsi" w:hAnsiTheme="minorHAnsi"/>
                <w:b/>
                <w:color w:val="auto"/>
                <w:szCs w:val="20"/>
                <w:u w:val="none"/>
              </w:rPr>
              <w:fldChar w:fldCharType="end"/>
            </w:r>
            <w:r w:rsidR="00651ACD" w:rsidRPr="00C733B4">
              <w:rPr>
                <w:rFonts w:asciiTheme="minorHAnsi" w:hAnsiTheme="minorHAnsi"/>
                <w:noProof/>
                <w:szCs w:val="20"/>
              </w:rPr>
              <w:t xml:space="preserve"> </w:t>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440BC7" w:rsidRPr="00C733B4" w:rsidRDefault="009845D5" w:rsidP="0018797D">
            <w:pPr>
              <w:pStyle w:val="TOC2"/>
              <w:rPr>
                <w:rStyle w:val="Hyperlink"/>
                <w:b w:val="0"/>
                <w:color w:val="auto"/>
                <w:szCs w:val="20"/>
                <w:u w:val="none"/>
              </w:rPr>
            </w:pPr>
            <w:r w:rsidRPr="00C733B4">
              <w:t>Rule advice 5</w:t>
            </w:r>
            <w:r w:rsidRPr="00C733B4">
              <w:noBreakHyphen/>
              <w:t>Y</w:t>
            </w:r>
            <w:r w:rsidRPr="00C733B4">
              <w:rPr>
                <w:rStyle w:val="Hyperlink"/>
                <w:color w:val="auto"/>
                <w:szCs w:val="20"/>
                <w:u w:val="none"/>
              </w:rPr>
              <w:t xml:space="preserve"> </w:t>
            </w:r>
            <w:r w:rsidRPr="00C733B4">
              <w:rPr>
                <w:rStyle w:val="Hyperlink"/>
                <w:b w:val="0"/>
                <w:color w:val="auto"/>
                <w:szCs w:val="20"/>
                <w:u w:val="none"/>
              </w:rPr>
              <w:t>(section 5.13)</w:t>
            </w:r>
          </w:p>
          <w:p w:rsidR="00BD218B" w:rsidRPr="00BD218B" w:rsidRDefault="00440BC7"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Rule_Advice_5Y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rules should be amended to regulate the manner in which an infrastructure operator can recover amounts incurred by the operator through infrastructure charges or planning and management charges levied on the operator, through infrastructure charges that the operator imposes on its own customers.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 xml:space="preserve">Definitions </w:t>
            </w:r>
          </w:p>
          <w:p w:rsidR="00BD218B" w:rsidRPr="00BD218B" w:rsidRDefault="00BD218B" w:rsidP="00BD218B">
            <w:pPr>
              <w:pStyle w:val="Heading8"/>
              <w:spacing w:before="60" w:after="0"/>
              <w:outlineLvl w:val="7"/>
              <w:rPr>
                <w:rFonts w:asciiTheme="minorHAnsi" w:hAnsiTheme="minorHAnsi"/>
                <w:b/>
                <w:szCs w:val="20"/>
              </w:rPr>
            </w:pPr>
            <w:r w:rsidRPr="00BD218B">
              <w:rPr>
                <w:rFonts w:asciiTheme="minorHAnsi" w:hAnsiTheme="minorHAnsi"/>
                <w:szCs w:val="20"/>
              </w:rPr>
              <w:t xml:space="preserve">The rules should define </w:t>
            </w:r>
            <w:r w:rsidRPr="00BD218B">
              <w:rPr>
                <w:rFonts w:asciiTheme="minorHAnsi" w:hAnsiTheme="minorHAnsi"/>
                <w:b/>
                <w:i/>
                <w:szCs w:val="20"/>
              </w:rPr>
              <w:t>network operation charges</w:t>
            </w:r>
            <w:r w:rsidRPr="00BD218B">
              <w:rPr>
                <w:rFonts w:asciiTheme="minorHAnsi" w:hAnsiTheme="minorHAnsi"/>
                <w:i/>
                <w:szCs w:val="20"/>
              </w:rPr>
              <w:t xml:space="preserve"> </w:t>
            </w:r>
            <w:r w:rsidRPr="00BD218B">
              <w:rPr>
                <w:rFonts w:asciiTheme="minorHAnsi" w:hAnsiTheme="minorHAnsi"/>
                <w:szCs w:val="20"/>
              </w:rPr>
              <w:t>to mean infrastructure charges and planning and management charges levied on an infrastructure operator on the basis of:</w:t>
            </w:r>
          </w:p>
          <w:p w:rsidR="00BD218B" w:rsidRPr="00BD218B" w:rsidRDefault="00BD218B" w:rsidP="00020517">
            <w:pPr>
              <w:pStyle w:val="Ruleadvicebullet"/>
              <w:rPr>
                <w:rFonts w:asciiTheme="minorHAnsi" w:hAnsiTheme="minorHAnsi"/>
              </w:rPr>
            </w:pPr>
            <w:r w:rsidRPr="00BD218B">
              <w:rPr>
                <w:rFonts w:asciiTheme="minorHAnsi" w:hAnsiTheme="minorHAnsi"/>
              </w:rPr>
              <w:t>water access rights held or used by an infrastructure operator specifically for the purpose of meeting distribution losses; or</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infrastructure used by the operator to extract water from a watercourse or discharge water to a watercourse in the course of providing a service to their customers (for example: charges levied on off-take works used by the operator to extract water from or deliver water to a natural watercourse)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All other infrastructure charges and planning and management charges incurred by an infrastructure operator should be deemed </w:t>
            </w:r>
            <w:r w:rsidRPr="00BD218B">
              <w:rPr>
                <w:rFonts w:asciiTheme="minorHAnsi" w:hAnsiTheme="minorHAnsi"/>
                <w:b/>
                <w:i/>
                <w:szCs w:val="20"/>
              </w:rPr>
              <w:t>ancillary charges</w:t>
            </w:r>
            <w:r w:rsidRPr="00BD218B">
              <w:rPr>
                <w:rFonts w:asciiTheme="minorHAnsi" w:hAnsiTheme="minorHAnsi"/>
                <w:szCs w:val="20"/>
              </w:rPr>
              <w:t>.</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 xml:space="preserve">Rule for passing through the cost of </w:t>
            </w:r>
            <w:r w:rsidRPr="00BD218B">
              <w:rPr>
                <w:rFonts w:asciiTheme="minorHAnsi" w:hAnsiTheme="minorHAnsi"/>
                <w:b/>
                <w:sz w:val="20"/>
                <w:szCs w:val="20"/>
              </w:rPr>
              <w:t>network operation charges</w:t>
            </w:r>
            <w:r w:rsidRPr="00BD218B">
              <w:rPr>
                <w:rFonts w:asciiTheme="minorHAnsi" w:hAnsiTheme="minorHAnsi"/>
                <w:sz w:val="20"/>
                <w:szCs w:val="20"/>
              </w:rPr>
              <w:t xml:space="preserv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be amended so that:</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An operator may (but is not required to) levy a separate charge(s) to recover the amount of any network operation charges it incurs from its customer. </w:t>
            </w:r>
          </w:p>
          <w:p w:rsidR="00BD218B" w:rsidRPr="00BD218B" w:rsidRDefault="00BD218B" w:rsidP="00020517">
            <w:pPr>
              <w:pStyle w:val="Ruleadvicebullet"/>
              <w:rPr>
                <w:rFonts w:asciiTheme="minorHAnsi" w:hAnsiTheme="minorHAnsi"/>
              </w:rPr>
            </w:pPr>
            <w:r w:rsidRPr="00BD218B">
              <w:rPr>
                <w:rFonts w:asciiTheme="minorHAnsi" w:hAnsiTheme="minorHAnsi"/>
              </w:rPr>
              <w:t>If the operator chooses to levy separate charges to recover network operation charge, these charges must not recover in total more than the total amount of the network operation charges.</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This rule should be a civil penalty provision.</w:t>
            </w:r>
          </w:p>
          <w:p w:rsidR="00BD218B" w:rsidRPr="00BD218B" w:rsidRDefault="00BD218B" w:rsidP="00020517">
            <w:pPr>
              <w:pStyle w:val="Ruleadvicebullet"/>
              <w:rPr>
                <w:rFonts w:asciiTheme="minorHAnsi" w:hAnsiTheme="minorHAnsi"/>
              </w:rPr>
            </w:pPr>
            <w:r w:rsidRPr="00BD218B">
              <w:rPr>
                <w:rFonts w:asciiTheme="minorHAnsi" w:hAnsiTheme="minorHAnsi"/>
                <w:i/>
              </w:rPr>
              <w:t xml:space="preserve">Note: </w:t>
            </w:r>
            <w:r w:rsidRPr="00BD218B">
              <w:rPr>
                <w:rFonts w:asciiTheme="minorHAnsi" w:hAnsiTheme="minorHAnsi"/>
              </w:rPr>
              <w:t>These rules should have the effect that an operator may choose the basis on which it levies such charges, including through charges per unit of water delivery / drainage right held (in which case these charges are able to be included in termination fees).</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 xml:space="preserve">Rule for passing through the cost of </w:t>
            </w:r>
            <w:r w:rsidRPr="00BD218B">
              <w:rPr>
                <w:rFonts w:asciiTheme="minorHAnsi" w:hAnsiTheme="minorHAnsi"/>
                <w:b/>
                <w:sz w:val="20"/>
                <w:szCs w:val="20"/>
              </w:rPr>
              <w:t>ancillary charges</w:t>
            </w:r>
            <w:r w:rsidRPr="00BD218B">
              <w:rPr>
                <w:rFonts w:asciiTheme="minorHAnsi" w:hAnsiTheme="minorHAnsi"/>
                <w:sz w:val="20"/>
                <w:szCs w:val="20"/>
              </w:rPr>
              <w:t xml:space="preserv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rules should be amended so that:</w:t>
            </w:r>
          </w:p>
          <w:p w:rsidR="00BD218B" w:rsidRPr="00BD218B" w:rsidRDefault="00BD218B" w:rsidP="00020517">
            <w:pPr>
              <w:pStyle w:val="Ruleadvicebullet"/>
              <w:rPr>
                <w:rFonts w:asciiTheme="minorHAnsi" w:hAnsiTheme="minorHAnsi"/>
              </w:rPr>
            </w:pPr>
            <w:r w:rsidRPr="00BD218B">
              <w:rPr>
                <w:rFonts w:asciiTheme="minorHAnsi" w:hAnsiTheme="minorHAnsi"/>
              </w:rPr>
              <w:t>An operator must levy one or more separate charges on its customers to recover the costs of ancillary charges it incurs.</w:t>
            </w:r>
          </w:p>
          <w:p w:rsidR="00BD218B" w:rsidRPr="00BD218B" w:rsidRDefault="00BD218B" w:rsidP="00020517">
            <w:pPr>
              <w:pStyle w:val="Ruleadvicebullet"/>
              <w:rPr>
                <w:rFonts w:asciiTheme="minorHAnsi" w:hAnsiTheme="minorHAnsi"/>
                <w:b/>
              </w:rPr>
            </w:pPr>
            <w:r w:rsidRPr="00BD218B">
              <w:rPr>
                <w:rFonts w:asciiTheme="minorHAnsi" w:hAnsiTheme="minorHAnsi"/>
              </w:rPr>
              <w:t xml:space="preserve">These charges the operator levies must be </w:t>
            </w:r>
            <w:r w:rsidRPr="00BD218B">
              <w:rPr>
                <w:rFonts w:asciiTheme="minorHAnsi" w:hAnsiTheme="minorHAnsi"/>
                <w:i/>
              </w:rPr>
              <w:t xml:space="preserve">separate </w:t>
            </w:r>
            <w:r w:rsidRPr="00BD218B">
              <w:rPr>
                <w:rFonts w:asciiTheme="minorHAnsi" w:hAnsiTheme="minorHAnsi"/>
              </w:rPr>
              <w:t>from</w:t>
            </w:r>
            <w:r w:rsidRPr="00BD218B">
              <w:rPr>
                <w:rFonts w:asciiTheme="minorHAnsi" w:hAnsiTheme="minorHAnsi"/>
                <w:i/>
              </w:rPr>
              <w:t xml:space="preserve"> </w:t>
            </w:r>
            <w:r w:rsidRPr="00BD218B">
              <w:rPr>
                <w:rFonts w:asciiTheme="minorHAnsi" w:hAnsiTheme="minorHAnsi"/>
              </w:rPr>
              <w:t xml:space="preserve">its other infrastructure charges, but can recover the cost of more than one ‘ancillary charge’ as long as, as far as practicable, those charges recover the same total amount as the ancillary charges. </w:t>
            </w:r>
          </w:p>
          <w:p w:rsidR="00BD218B" w:rsidRPr="00BD218B" w:rsidRDefault="00BD218B" w:rsidP="00020517">
            <w:pPr>
              <w:pStyle w:val="Ruleadvicebullet"/>
              <w:rPr>
                <w:rFonts w:asciiTheme="minorHAnsi" w:hAnsiTheme="minorHAnsi"/>
              </w:rPr>
            </w:pPr>
            <w:r w:rsidRPr="00BD218B">
              <w:rPr>
                <w:rFonts w:asciiTheme="minorHAnsi" w:hAnsiTheme="minorHAnsi"/>
              </w:rPr>
              <w:t>The operator must not levy these separate charge(s) on the basis of the number of units of water delivery right or water drainage right held.</w:t>
            </w:r>
          </w:p>
          <w:p w:rsidR="00BD218B" w:rsidRPr="00BD218B" w:rsidRDefault="00BD218B" w:rsidP="00020517">
            <w:pPr>
              <w:pStyle w:val="Ruleadvicebullet"/>
              <w:rPr>
                <w:rFonts w:asciiTheme="minorHAnsi" w:hAnsiTheme="minorHAnsi"/>
                <w:b/>
              </w:rPr>
            </w:pPr>
            <w:r w:rsidRPr="00BD218B">
              <w:rPr>
                <w:rFonts w:asciiTheme="minorHAnsi" w:hAnsiTheme="minorHAnsi"/>
                <w:i/>
              </w:rPr>
              <w:t>Note:</w:t>
            </w:r>
            <w:r w:rsidRPr="00BD218B">
              <w:rPr>
                <w:rFonts w:asciiTheme="minorHAnsi" w:hAnsiTheme="minorHAnsi"/>
              </w:rPr>
              <w:t xml:space="preserve"> this has the effect that such charges cannot form part of the basis for calculation of the maximum termination fee payable.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An operator must as far as practicable levy charges on the same basis on which the operator incurred the ancillary charges, or otherwise must levy charges on a basis that is reasonably similar to the basis on which the operator incurred the ancillary charges. </w:t>
            </w:r>
          </w:p>
          <w:p w:rsidR="00BD218B" w:rsidRPr="00BD218B" w:rsidRDefault="00BD218B" w:rsidP="00020517">
            <w:pPr>
              <w:pStyle w:val="Ruleadvicebullet"/>
              <w:rPr>
                <w:rFonts w:asciiTheme="minorHAnsi" w:hAnsiTheme="minorHAnsi"/>
                <w:b/>
              </w:rPr>
            </w:pPr>
            <w:r w:rsidRPr="00BD218B">
              <w:rPr>
                <w:rFonts w:asciiTheme="minorHAnsi" w:hAnsiTheme="minorHAnsi"/>
              </w:rPr>
              <w:t xml:space="preserve">Example: a volumetric charge incurred by an operator in relation to the water access entitlement held by the operator should be recovered through similar charges on customers’ irrigation rights.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Where an infrastructure operator incurs a charge as a direct result of the actions of a particular customer or customers, the infrastructure operator should levy its charge, as far as practicable, only on that customer or those customers. </w:t>
            </w:r>
          </w:p>
          <w:p w:rsidR="00BD218B" w:rsidRPr="00BD218B" w:rsidRDefault="00BD218B" w:rsidP="00020517">
            <w:pPr>
              <w:pStyle w:val="Ruleadvicebullet"/>
              <w:rPr>
                <w:rFonts w:asciiTheme="minorHAnsi" w:hAnsiTheme="minorHAnsi"/>
              </w:rPr>
            </w:pPr>
            <w:r w:rsidRPr="00BD218B">
              <w:rPr>
                <w:rFonts w:asciiTheme="minorHAnsi" w:hAnsiTheme="minorHAnsi"/>
              </w:rPr>
              <w:t>Example: if an operator incurs a transaction charge determined by or on behalf of government (a type of planning and management charge) when facilitating a trade or transformation for a customer, the cost of the charge should be passed through directly to that customer. See also section 5.4.3.</w:t>
            </w:r>
          </w:p>
          <w:p w:rsidR="00BD218B" w:rsidRPr="00BD218B" w:rsidRDefault="00BD218B" w:rsidP="00BD218B">
            <w:pPr>
              <w:pStyle w:val="Heading8"/>
              <w:spacing w:before="60" w:after="0"/>
              <w:outlineLvl w:val="7"/>
              <w:rPr>
                <w:rFonts w:asciiTheme="minorHAnsi" w:hAnsiTheme="minorHAnsi"/>
                <w:i/>
                <w:szCs w:val="20"/>
              </w:rPr>
            </w:pPr>
            <w:r w:rsidRPr="00BD218B">
              <w:rPr>
                <w:rFonts w:asciiTheme="minorHAnsi" w:hAnsiTheme="minorHAnsi"/>
                <w:szCs w:val="20"/>
              </w:rPr>
              <w:t>This rule should be a civil penalty provision.</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General rules for the pass-through of network operation charges and ancillary charges</w:t>
            </w:r>
          </w:p>
          <w:p w:rsidR="00BD218B" w:rsidRPr="00BD218B" w:rsidRDefault="00BD218B" w:rsidP="00020517">
            <w:pPr>
              <w:pStyle w:val="Ruleadvicebullet"/>
              <w:rPr>
                <w:rFonts w:asciiTheme="minorHAnsi" w:hAnsiTheme="minorHAnsi"/>
              </w:rPr>
            </w:pPr>
            <w:r w:rsidRPr="00BD218B">
              <w:rPr>
                <w:rFonts w:asciiTheme="minorHAnsi" w:hAnsiTheme="minorHAnsi"/>
              </w:rPr>
              <w:t>The amounts of any charges levied by an infrastructure operator to recover the cost of network operation charges or ancillary charges should take into account any discounts received by the operator.</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An operator may continue to levy, in accordance with the current Schedule of Charges, any (separate) infrastructure charge(s) that recover network operation charges or ancillary charges for up to three months after the charge(s) it incurs (or the circumstances in which it incurs the charge) are changed. </w:t>
            </w:r>
          </w:p>
          <w:p w:rsidR="00BD218B" w:rsidRPr="00BD218B" w:rsidRDefault="00BD218B" w:rsidP="00BD218B">
            <w:pPr>
              <w:pStyle w:val="Heading8"/>
              <w:outlineLvl w:val="7"/>
              <w:rPr>
                <w:rFonts w:asciiTheme="minorHAnsi" w:hAnsiTheme="minorHAnsi"/>
              </w:rPr>
            </w:pPr>
            <w:r w:rsidRPr="00BD218B">
              <w:rPr>
                <w:rFonts w:asciiTheme="minorHAnsi" w:hAnsiTheme="minorHAnsi"/>
              </w:rPr>
              <w:t xml:space="preserve">See also: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Rule advice 5-E (section 5.4.1) for Schedule of Charges information requirements </w:t>
            </w:r>
          </w:p>
          <w:p w:rsidR="00BD218B" w:rsidRPr="00BD218B" w:rsidRDefault="00BD218B" w:rsidP="00020517">
            <w:pPr>
              <w:pStyle w:val="Ruleadvicebullet"/>
              <w:rPr>
                <w:rFonts w:asciiTheme="minorHAnsi" w:hAnsiTheme="minorHAnsi"/>
              </w:rPr>
            </w:pPr>
            <w:r w:rsidRPr="00BD218B">
              <w:rPr>
                <w:rFonts w:asciiTheme="minorHAnsi" w:hAnsiTheme="minorHAnsi"/>
              </w:rPr>
              <w:t>Rule advice 5-I (section 5.4.2) in relation to timing requirements.</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Rule advice 5-J (section 5.4.3) for an exemption from publication requirements for charges in relation to certain ‘ancillary charges’. </w:t>
            </w:r>
          </w:p>
          <w:p w:rsidR="009845D5" w:rsidRPr="00C733B4" w:rsidRDefault="00BD218B" w:rsidP="00CF7446">
            <w:pPr>
              <w:pStyle w:val="Heading8"/>
              <w:spacing w:before="60" w:after="60"/>
              <w:outlineLvl w:val="7"/>
              <w:rPr>
                <w:rFonts w:asciiTheme="minorHAnsi" w:hAnsiTheme="minorHAnsi"/>
                <w:szCs w:val="20"/>
              </w:rPr>
            </w:pPr>
            <w:r w:rsidRPr="00BD218B">
              <w:rPr>
                <w:rFonts w:asciiTheme="minorHAnsi" w:hAnsiTheme="minorHAnsi"/>
                <w:szCs w:val="20"/>
              </w:rPr>
              <w:t>This rule advice is implemented in rule 9A of the proposed Water Charge Rules</w:t>
            </w:r>
            <w:r w:rsidRPr="00BD218B">
              <w:rPr>
                <w:rFonts w:asciiTheme="minorHAnsi" w:hAnsiTheme="minorHAnsi"/>
              </w:rPr>
              <w:t xml:space="preserve">. </w:t>
            </w:r>
            <w:r w:rsidR="00440BC7" w:rsidRPr="00C733B4">
              <w:rPr>
                <w:rFonts w:asciiTheme="minorHAnsi" w:hAnsiTheme="minorHAnsi"/>
                <w:szCs w:val="20"/>
              </w:rPr>
              <w:fldChar w:fldCharType="end"/>
            </w:r>
          </w:p>
        </w:tc>
        <w:tc>
          <w:tcPr>
            <w:tcW w:w="3118" w:type="dxa"/>
            <w:shd w:val="clear" w:color="auto" w:fill="B6DDE8" w:themeFill="accent5" w:themeFillTint="66"/>
            <w:vAlign w:val="center"/>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Substantial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This rule advice has been revised to be less prescriptive and more flexible while still achieving the policy intent. In particular:</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 xml:space="preserve">The rule now covers all infrastructure charges and planning </w:t>
            </w:r>
            <w:r w:rsidR="00935F9A" w:rsidRPr="00C733B4">
              <w:rPr>
                <w:rFonts w:asciiTheme="minorHAnsi" w:hAnsiTheme="minorHAnsi"/>
                <w:sz w:val="20"/>
              </w:rPr>
              <w:t>and</w:t>
            </w:r>
            <w:r w:rsidRPr="00C733B4">
              <w:rPr>
                <w:rFonts w:asciiTheme="minorHAnsi" w:hAnsiTheme="minorHAnsi"/>
                <w:sz w:val="20"/>
              </w:rPr>
              <w:t xml:space="preserve"> management charges incurred by an operator (compared to only such charges levied on the basis of water / water access rights in the Draft Advice).</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The rule advice now only distinguishes between two types of charges an operator may incur (‘network operation charges’</w:t>
            </w:r>
            <w:r w:rsidR="007B3413" w:rsidRPr="00C733B4">
              <w:rPr>
                <w:rFonts w:asciiTheme="minorHAnsi" w:hAnsiTheme="minorHAnsi"/>
                <w:sz w:val="20"/>
              </w:rPr>
              <w:t>—</w:t>
            </w:r>
            <w:r w:rsidRPr="00C733B4">
              <w:rPr>
                <w:rFonts w:asciiTheme="minorHAnsi" w:hAnsiTheme="minorHAnsi"/>
                <w:sz w:val="20"/>
              </w:rPr>
              <w:t>replacing and expanding the definition of ‘distribution loss charges’ used in the Draft Advice; and ‘ancillary charges’</w:t>
            </w:r>
            <w:r w:rsidR="007B3413" w:rsidRPr="00C733B4">
              <w:rPr>
                <w:rFonts w:asciiTheme="minorHAnsi" w:hAnsiTheme="minorHAnsi"/>
                <w:sz w:val="20"/>
              </w:rPr>
              <w:br w:type="page"/>
              <w:t>—</w:t>
            </w:r>
            <w:r w:rsidRPr="00C733B4">
              <w:rPr>
                <w:rFonts w:asciiTheme="minorHAnsi" w:hAnsiTheme="minorHAnsi"/>
                <w:sz w:val="20"/>
              </w:rPr>
              <w:t xml:space="preserve"> replacing the </w:t>
            </w:r>
            <w:r w:rsidR="00BB2073" w:rsidRPr="00C733B4">
              <w:rPr>
                <w:rFonts w:asciiTheme="minorHAnsi" w:hAnsiTheme="minorHAnsi"/>
                <w:sz w:val="20"/>
              </w:rPr>
              <w:t>definitions</w:t>
            </w:r>
            <w:r w:rsidRPr="00C733B4">
              <w:rPr>
                <w:rFonts w:asciiTheme="minorHAnsi" w:hAnsiTheme="minorHAnsi"/>
                <w:sz w:val="20"/>
              </w:rPr>
              <w:t xml:space="preserve"> of ‘directly attributable charges’ and ‘other shared charges’ used in the Draft Advice)</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The</w:t>
            </w:r>
            <w:r w:rsidR="000F24CC" w:rsidRPr="00C733B4">
              <w:rPr>
                <w:rFonts w:asciiTheme="minorHAnsi" w:hAnsiTheme="minorHAnsi"/>
                <w:sz w:val="20"/>
              </w:rPr>
              <w:t xml:space="preserve"> only requirement </w:t>
            </w:r>
            <w:r w:rsidRPr="00C733B4">
              <w:rPr>
                <w:rFonts w:asciiTheme="minorHAnsi" w:hAnsiTheme="minorHAnsi"/>
                <w:sz w:val="20"/>
              </w:rPr>
              <w:t xml:space="preserve">for how an operator should pass through ‘network operation charges’ </w:t>
            </w:r>
            <w:r w:rsidR="000F24CC" w:rsidRPr="00C733B4">
              <w:rPr>
                <w:rFonts w:asciiTheme="minorHAnsi" w:hAnsiTheme="minorHAnsi"/>
                <w:sz w:val="20"/>
              </w:rPr>
              <w:t xml:space="preserve">is </w:t>
            </w:r>
            <w:r w:rsidRPr="00C733B4">
              <w:rPr>
                <w:rFonts w:asciiTheme="minorHAnsi" w:hAnsiTheme="minorHAnsi"/>
                <w:sz w:val="20"/>
              </w:rPr>
              <w:t>that the operator provide information to customers on its chosen method</w:t>
            </w:r>
            <w:r w:rsidR="000F24CC" w:rsidRPr="00C733B4">
              <w:rPr>
                <w:rFonts w:asciiTheme="minorHAnsi" w:hAnsiTheme="minorHAnsi"/>
                <w:sz w:val="20"/>
              </w:rPr>
              <w:t xml:space="preserve"> (in its Schedule of Charges)</w:t>
            </w:r>
            <w:r w:rsidRPr="00C733B4">
              <w:rPr>
                <w:rFonts w:asciiTheme="minorHAnsi" w:hAnsiTheme="minorHAnsi"/>
                <w:sz w:val="20"/>
              </w:rPr>
              <w:t>.</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 xml:space="preserve">The rule for passing through ‘ancillary charges’ is more flexible </w:t>
            </w:r>
            <w:r w:rsidR="003F7515" w:rsidRPr="00C733B4">
              <w:rPr>
                <w:rFonts w:asciiTheme="minorHAnsi" w:hAnsiTheme="minorHAnsi"/>
                <w:sz w:val="20"/>
              </w:rPr>
              <w:t xml:space="preserve">and general </w:t>
            </w:r>
            <w:r w:rsidRPr="00C733B4">
              <w:rPr>
                <w:rFonts w:asciiTheme="minorHAnsi" w:hAnsiTheme="minorHAnsi"/>
                <w:sz w:val="20"/>
              </w:rPr>
              <w:t xml:space="preserve">than the corresponding rule in the Draft Advice </w:t>
            </w:r>
          </w:p>
          <w:p w:rsidR="009845D5" w:rsidRPr="00C733B4" w:rsidRDefault="009845D5" w:rsidP="0018797D">
            <w:pPr>
              <w:pStyle w:val="TableBulletLvl1"/>
              <w:tabs>
                <w:tab w:val="clear" w:pos="426"/>
                <w:tab w:val="left" w:pos="508"/>
              </w:tabs>
              <w:ind w:left="0" w:firstLine="224"/>
              <w:rPr>
                <w:rFonts w:asciiTheme="minorHAnsi" w:hAnsiTheme="minorHAnsi"/>
              </w:rPr>
            </w:pPr>
            <w:r w:rsidRPr="00C733B4">
              <w:rPr>
                <w:rFonts w:asciiTheme="minorHAnsi" w:hAnsiTheme="minorHAnsi"/>
                <w:sz w:val="20"/>
              </w:rPr>
              <w:t xml:space="preserve">The Final Advice adds a ‘grace period’ of 3 months for an operator who incurs ‘network operation charges’ or ‘ancillary charges’ to update its Schedule of Charges </w:t>
            </w:r>
            <w:r w:rsidR="000F24CC" w:rsidRPr="00C733B4">
              <w:rPr>
                <w:rFonts w:asciiTheme="minorHAnsi" w:hAnsiTheme="minorHAnsi"/>
                <w:sz w:val="20"/>
              </w:rPr>
              <w:t>to comply with the pass-through requirements, after a change in the charges that it incurs</w:t>
            </w:r>
            <w:r w:rsidR="003F7515" w:rsidRPr="00C733B4">
              <w:rPr>
                <w:rFonts w:asciiTheme="minorHAnsi" w:hAnsiTheme="minorHAnsi"/>
                <w:sz w:val="20"/>
              </w:rPr>
              <w:t>.</w:t>
            </w:r>
          </w:p>
        </w:tc>
      </w:tr>
      <w:tr w:rsidR="009845D5" w:rsidRPr="00C733B4" w:rsidTr="007040B9">
        <w:trPr>
          <w:trHeight w:val="145"/>
        </w:trPr>
        <w:tc>
          <w:tcPr>
            <w:tcW w:w="11307" w:type="dxa"/>
            <w:shd w:val="clear" w:color="auto" w:fill="auto"/>
          </w:tcPr>
          <w:p w:rsidR="009845D5" w:rsidRPr="00C733B4" w:rsidRDefault="009845D5" w:rsidP="0018797D">
            <w:pPr>
              <w:pStyle w:val="TOC2"/>
              <w:rPr>
                <w:rStyle w:val="Hyperlink"/>
                <w:color w:val="auto"/>
                <w:szCs w:val="20"/>
                <w:u w:val="none"/>
              </w:rPr>
            </w:pPr>
            <w:r w:rsidRPr="00C733B4">
              <w:t>Draft Rule advice 5-Z</w:t>
            </w:r>
            <w:r w:rsidRPr="00C733B4">
              <w:rPr>
                <w:rStyle w:val="Hyperlink"/>
                <w:color w:val="auto"/>
                <w:szCs w:val="20"/>
                <w:u w:val="none"/>
              </w:rPr>
              <w:t xml:space="preserve"> </w:t>
            </w:r>
            <w:r w:rsidRPr="00C733B4">
              <w:rPr>
                <w:rStyle w:val="Hyperlink"/>
                <w:b w:val="0"/>
                <w:color w:val="auto"/>
                <w:szCs w:val="20"/>
                <w:u w:val="none"/>
              </w:rPr>
              <w:t>(section 5.13)</w:t>
            </w:r>
          </w:p>
          <w:p w:rsidR="009845D5" w:rsidRPr="00C733B4" w:rsidRDefault="009845D5" w:rsidP="008A39E9">
            <w:pPr>
              <w:spacing w:before="60"/>
              <w:rPr>
                <w:rFonts w:asciiTheme="minorHAnsi" w:hAnsiTheme="minorHAnsi"/>
                <w:i/>
                <w:sz w:val="20"/>
                <w:szCs w:val="20"/>
              </w:rPr>
            </w:pPr>
            <w:r w:rsidRPr="00C733B4">
              <w:rPr>
                <w:rFonts w:asciiTheme="minorHAnsi" w:hAnsiTheme="minorHAnsi"/>
                <w:i/>
                <w:sz w:val="20"/>
                <w:szCs w:val="20"/>
              </w:rPr>
              <w:t>The Draft Advice recommended that if an operator did not comply with the proposed ‘pass-through rules’ (see rule advice 5</w:t>
            </w:r>
            <w:r w:rsidRPr="00C733B4">
              <w:rPr>
                <w:rFonts w:asciiTheme="minorHAnsi" w:hAnsiTheme="minorHAnsi"/>
                <w:i/>
                <w:sz w:val="20"/>
                <w:szCs w:val="20"/>
              </w:rPr>
              <w:noBreakHyphen/>
              <w:t>Y), the relevant termination fee multiple should be 1x (instead of 10x).</w:t>
            </w:r>
          </w:p>
        </w:tc>
        <w:tc>
          <w:tcPr>
            <w:tcW w:w="3118" w:type="dxa"/>
            <w:shd w:val="clear" w:color="auto" w:fill="B6DDE8" w:themeFill="accent5" w:themeFillTint="66"/>
            <w:vAlign w:val="center"/>
          </w:tcPr>
          <w:p w:rsidR="009845D5" w:rsidRPr="00C733B4" w:rsidRDefault="00BA4E95" w:rsidP="0018797D">
            <w:pPr>
              <w:spacing w:before="60" w:after="60"/>
              <w:jc w:val="center"/>
              <w:rPr>
                <w:rFonts w:asciiTheme="minorHAnsi" w:hAnsiTheme="minorHAnsi"/>
                <w:b/>
                <w:i/>
                <w:sz w:val="20"/>
                <w:szCs w:val="20"/>
              </w:rPr>
            </w:pPr>
            <w:r w:rsidRPr="00C733B4">
              <w:rPr>
                <w:rFonts w:asciiTheme="minorHAnsi" w:hAnsiTheme="minorHAnsi"/>
                <w:b/>
                <w:sz w:val="20"/>
                <w:szCs w:val="20"/>
              </w:rPr>
              <w:t xml:space="preserve">Substantial change - </w:t>
            </w:r>
            <w:r w:rsidR="009845D5" w:rsidRPr="00C733B4">
              <w:rPr>
                <w:rFonts w:asciiTheme="minorHAnsi" w:hAnsiTheme="minorHAnsi"/>
                <w:b/>
                <w:i/>
                <w:sz w:val="20"/>
                <w:szCs w:val="20"/>
              </w:rPr>
              <w:t>Removed</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ACCC has removed this rule advice in light of stakeholder concerns, and given that there are other avenues for ensuring compliance with the </w:t>
            </w:r>
            <w:r w:rsidR="000F24CC" w:rsidRPr="00C733B4">
              <w:rPr>
                <w:rFonts w:asciiTheme="minorHAnsi" w:hAnsiTheme="minorHAnsi"/>
                <w:sz w:val="20"/>
                <w:szCs w:val="20"/>
              </w:rPr>
              <w:t xml:space="preserve">proposed </w:t>
            </w:r>
            <w:r w:rsidRPr="00C733B4">
              <w:rPr>
                <w:rFonts w:asciiTheme="minorHAnsi" w:hAnsiTheme="minorHAnsi"/>
                <w:sz w:val="20"/>
                <w:szCs w:val="20"/>
              </w:rPr>
              <w:t>pass-through r</w:t>
            </w:r>
            <w:r w:rsidR="000F24CC" w:rsidRPr="00C733B4">
              <w:rPr>
                <w:rFonts w:asciiTheme="minorHAnsi" w:hAnsiTheme="minorHAnsi"/>
                <w:sz w:val="20"/>
                <w:szCs w:val="20"/>
              </w:rPr>
              <w:t>equirement</w:t>
            </w:r>
            <w:r w:rsidRPr="00C733B4">
              <w:rPr>
                <w:rFonts w:asciiTheme="minorHAnsi" w:hAnsiTheme="minorHAnsi"/>
                <w:sz w:val="20"/>
                <w:szCs w:val="20"/>
              </w:rPr>
              <w:t>s</w:t>
            </w:r>
            <w:r w:rsidR="00B1638F" w:rsidRPr="00C733B4">
              <w:rPr>
                <w:rFonts w:asciiTheme="minorHAnsi" w:hAnsiTheme="minorHAnsi"/>
                <w:sz w:val="20"/>
                <w:szCs w:val="20"/>
              </w:rPr>
              <w:t>.</w:t>
            </w:r>
          </w:p>
        </w:tc>
      </w:tr>
      <w:tr w:rsidR="009845D5" w:rsidRPr="00C733B4" w:rsidTr="007040B9">
        <w:trPr>
          <w:trHeight w:val="145"/>
        </w:trPr>
        <w:tc>
          <w:tcPr>
            <w:tcW w:w="14425" w:type="dxa"/>
            <w:gridSpan w:val="2"/>
            <w:shd w:val="clear" w:color="auto" w:fill="D9D9D9" w:themeFill="background1" w:themeFillShade="D9"/>
          </w:tcPr>
          <w:p w:rsidR="009845D5" w:rsidRPr="00C733B4" w:rsidRDefault="009845D5" w:rsidP="0018797D">
            <w:pPr>
              <w:keepNext/>
              <w:keepLines/>
              <w:spacing w:before="60" w:after="60"/>
              <w:rPr>
                <w:rFonts w:asciiTheme="minorHAnsi" w:hAnsiTheme="minorHAnsi"/>
                <w:b/>
                <w:sz w:val="20"/>
                <w:szCs w:val="20"/>
              </w:rPr>
            </w:pPr>
            <w:r w:rsidRPr="00C733B4">
              <w:rPr>
                <w:rStyle w:val="Hyperlink"/>
                <w:rFonts w:asciiTheme="minorHAnsi" w:hAnsiTheme="minorHAnsi"/>
                <w:b/>
                <w:color w:val="auto"/>
                <w:szCs w:val="20"/>
                <w:u w:val="none"/>
              </w:rPr>
              <w:t>Chapter 6—Water Charge (Termination Fees) Rules</w:t>
            </w:r>
          </w:p>
        </w:tc>
      </w:tr>
      <w:tr w:rsidR="00651ACD" w:rsidRPr="00C733B4" w:rsidTr="007040B9">
        <w:trPr>
          <w:trHeight w:val="145"/>
        </w:trPr>
        <w:tc>
          <w:tcPr>
            <w:tcW w:w="11307" w:type="dxa"/>
            <w:shd w:val="clear" w:color="auto" w:fill="auto"/>
          </w:tcPr>
          <w:p w:rsidR="00651ACD" w:rsidRPr="00C733B4" w:rsidRDefault="00651ACD" w:rsidP="0018797D">
            <w:pPr>
              <w:pStyle w:val="TOC2"/>
            </w:pPr>
            <w:r w:rsidRPr="00C733B4">
              <w:t>Rule advice 6</w:t>
            </w:r>
            <w:r w:rsidRPr="00C733B4">
              <w:noBreakHyphen/>
              <w:t>A</w:t>
            </w:r>
            <w:r w:rsidRPr="00C733B4">
              <w:rPr>
                <w:rStyle w:val="Hyperlink"/>
                <w:color w:val="auto"/>
                <w:szCs w:val="20"/>
                <w:u w:val="none"/>
              </w:rPr>
              <w:t xml:space="preserve"> </w:t>
            </w:r>
            <w:r w:rsidRPr="00C733B4">
              <w:rPr>
                <w:rStyle w:val="Hyperlink"/>
                <w:b w:val="0"/>
                <w:color w:val="auto"/>
                <w:szCs w:val="20"/>
                <w:u w:val="none"/>
              </w:rPr>
              <w:t>(section 6.1)</w:t>
            </w:r>
          </w:p>
          <w:p w:rsidR="00BD218B" w:rsidRPr="00BD218B" w:rsidRDefault="00651ACD" w:rsidP="00BD218B">
            <w:pPr>
              <w:pStyle w:val="TOC3"/>
              <w:keepNext/>
              <w:keepLines/>
              <w:rPr>
                <w:rFonts w:asciiTheme="minorHAnsi" w:hAnsiTheme="minorHAnsi"/>
                <w:sz w:val="20"/>
              </w:rPr>
            </w:pPr>
            <w:r w:rsidRPr="00C733B4">
              <w:rPr>
                <w:rFonts w:asciiTheme="minorHAnsi" w:hAnsiTheme="minorHAnsi"/>
                <w:sz w:val="20"/>
              </w:rPr>
              <w:fldChar w:fldCharType="begin"/>
            </w:r>
            <w:r w:rsidRPr="00C733B4">
              <w:rPr>
                <w:rFonts w:asciiTheme="minorHAnsi" w:hAnsiTheme="minorHAnsi"/>
                <w:sz w:val="20"/>
              </w:rPr>
              <w:instrText xml:space="preserve"> REF  Rule_Advice_6A  \* MERGEFORMAT </w:instrText>
            </w:r>
            <w:r w:rsidRPr="00C733B4">
              <w:rPr>
                <w:rFonts w:asciiTheme="minorHAnsi" w:hAnsiTheme="minorHAnsi"/>
                <w:sz w:val="20"/>
              </w:rPr>
              <w:fldChar w:fldCharType="separate"/>
            </w:r>
            <w:r w:rsidR="00BD218B" w:rsidRPr="00BD218B">
              <w:rPr>
                <w:rFonts w:asciiTheme="minorHAnsi" w:hAnsiTheme="minorHAnsi"/>
                <w:sz w:val="20"/>
              </w:rPr>
              <w:t xml:space="preserve">The rules should be amended to regulate termination fees levied by all infrastructure operators, not only irrigation infrastructure operators. </w:t>
            </w:r>
          </w:p>
          <w:p w:rsidR="00651ACD" w:rsidRPr="00C733B4" w:rsidRDefault="00BD218B" w:rsidP="00413B3A">
            <w:pPr>
              <w:pStyle w:val="TOC3"/>
              <w:keepNext/>
              <w:keepLines/>
              <w:rPr>
                <w:rFonts w:asciiTheme="minorHAnsi" w:hAnsiTheme="minorHAnsi"/>
                <w:sz w:val="20"/>
              </w:rPr>
            </w:pPr>
            <w:r w:rsidRPr="00BD218B">
              <w:rPr>
                <w:rFonts w:asciiTheme="minorHAnsi" w:hAnsiTheme="minorHAnsi"/>
                <w:sz w:val="20"/>
              </w:rPr>
              <w:t>This rule advice is implemented in Part 10 of the proposed Water Charge Rules.</w:t>
            </w:r>
            <w:r w:rsidR="00651ACD" w:rsidRPr="00C733B4">
              <w:rPr>
                <w:rFonts w:asciiTheme="minorHAnsi" w:eastAsia="Arial" w:hAnsiTheme="minorHAnsi"/>
                <w:sz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651ACD" w:rsidRPr="00C733B4" w:rsidTr="007040B9">
        <w:trPr>
          <w:trHeight w:val="145"/>
        </w:trPr>
        <w:tc>
          <w:tcPr>
            <w:tcW w:w="11307" w:type="dxa"/>
            <w:shd w:val="clear" w:color="auto" w:fill="auto"/>
          </w:tcPr>
          <w:p w:rsidR="00651ACD" w:rsidRPr="00C733B4" w:rsidRDefault="00651ACD" w:rsidP="0018797D">
            <w:pPr>
              <w:pStyle w:val="TOC2"/>
            </w:pPr>
            <w:r w:rsidRPr="00C733B4">
              <w:t>Rule advice 6</w:t>
            </w:r>
            <w:r w:rsidRPr="00C733B4">
              <w:noBreakHyphen/>
              <w:t>B</w:t>
            </w:r>
            <w:r w:rsidRPr="00C733B4">
              <w:rPr>
                <w:rStyle w:val="Hyperlink"/>
                <w:color w:val="auto"/>
                <w:szCs w:val="20"/>
                <w:u w:val="none"/>
              </w:rPr>
              <w:t xml:space="preserve"> </w:t>
            </w:r>
            <w:r w:rsidRPr="00C733B4">
              <w:rPr>
                <w:rStyle w:val="Hyperlink"/>
                <w:b w:val="0"/>
                <w:color w:val="auto"/>
                <w:szCs w:val="20"/>
                <w:u w:val="none"/>
              </w:rPr>
              <w:t>(section 6.2.1)</w:t>
            </w:r>
          </w:p>
          <w:p w:rsidR="00BD218B" w:rsidRPr="00BD218B" w:rsidRDefault="00651ACD" w:rsidP="00BD218B">
            <w:pPr>
              <w:pStyle w:val="Heading8"/>
              <w:keepLines/>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Rule_Advice_6B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rules should be amended such that the calculation of the maximum general termination fee should only include fixed volumetric infrastructure charges imposed:</w:t>
            </w:r>
          </w:p>
          <w:p w:rsidR="00BD218B" w:rsidRPr="00BD218B" w:rsidRDefault="00BD218B" w:rsidP="00BD218B">
            <w:pPr>
              <w:pStyle w:val="Heading8"/>
              <w:keepNext/>
              <w:keepLines/>
              <w:numPr>
                <w:ilvl w:val="0"/>
                <w:numId w:val="46"/>
              </w:numPr>
              <w:spacing w:before="60" w:after="0"/>
              <w:outlineLvl w:val="7"/>
              <w:rPr>
                <w:rFonts w:asciiTheme="minorHAnsi" w:hAnsiTheme="minorHAnsi"/>
                <w:szCs w:val="20"/>
              </w:rPr>
            </w:pPr>
            <w:r w:rsidRPr="00BD218B">
              <w:rPr>
                <w:rFonts w:asciiTheme="minorHAnsi" w:hAnsiTheme="minorHAnsi"/>
                <w:szCs w:val="20"/>
              </w:rPr>
              <w:t xml:space="preserve">per unit of water delivery right; or </w:t>
            </w:r>
          </w:p>
          <w:p w:rsidR="00BD218B" w:rsidRPr="00BD218B" w:rsidRDefault="00BD218B" w:rsidP="00BD218B">
            <w:pPr>
              <w:pStyle w:val="Heading8"/>
              <w:keepNext/>
              <w:keepLines/>
              <w:numPr>
                <w:ilvl w:val="0"/>
                <w:numId w:val="46"/>
              </w:numPr>
              <w:spacing w:before="60" w:after="0"/>
              <w:outlineLvl w:val="7"/>
              <w:rPr>
                <w:rFonts w:asciiTheme="minorHAnsi" w:hAnsiTheme="minorHAnsi"/>
                <w:szCs w:val="20"/>
              </w:rPr>
            </w:pPr>
            <w:r w:rsidRPr="00BD218B">
              <w:rPr>
                <w:rFonts w:asciiTheme="minorHAnsi" w:hAnsiTheme="minorHAnsi"/>
                <w:szCs w:val="20"/>
              </w:rPr>
              <w:t>per unit water drainage right (where this is separate from the water delivery right);</w:t>
            </w:r>
          </w:p>
          <w:p w:rsidR="00BD218B" w:rsidRPr="00BD218B" w:rsidRDefault="00BD218B" w:rsidP="00BD218B">
            <w:pPr>
              <w:pStyle w:val="Heading8"/>
              <w:keepLines/>
              <w:spacing w:before="60" w:after="0"/>
              <w:ind w:left="709"/>
              <w:outlineLvl w:val="7"/>
              <w:rPr>
                <w:rFonts w:asciiTheme="minorHAnsi" w:hAnsiTheme="minorHAnsi"/>
                <w:szCs w:val="20"/>
              </w:rPr>
            </w:pPr>
            <w:r w:rsidRPr="00BD218B">
              <w:rPr>
                <w:rFonts w:asciiTheme="minorHAnsi" w:hAnsiTheme="minorHAnsi"/>
                <w:szCs w:val="20"/>
              </w:rPr>
              <w:t>to the extent that these aspects of a customer’s right of access are being terminated.</w:t>
            </w:r>
          </w:p>
          <w:p w:rsidR="00BD218B" w:rsidRPr="00BD218B" w:rsidRDefault="00BD218B" w:rsidP="00BD218B">
            <w:pPr>
              <w:pStyle w:val="Heading8"/>
              <w:keepLines/>
              <w:spacing w:before="60" w:after="0"/>
              <w:outlineLvl w:val="7"/>
              <w:rPr>
                <w:rFonts w:asciiTheme="minorHAnsi" w:hAnsiTheme="minorHAnsi"/>
                <w:i/>
                <w:szCs w:val="20"/>
              </w:rPr>
            </w:pPr>
            <w:r w:rsidRPr="00BD218B">
              <w:rPr>
                <w:rFonts w:asciiTheme="minorHAnsi" w:hAnsiTheme="minorHAnsi"/>
                <w:szCs w:val="20"/>
              </w:rPr>
              <w:t xml:space="preserve">However, the maximum general termination fee may also include an amount to </w:t>
            </w:r>
            <w:r w:rsidRPr="00BD218B">
              <w:rPr>
                <w:rFonts w:asciiTheme="minorHAnsi" w:hAnsiTheme="minorHAnsi"/>
                <w:i/>
                <w:szCs w:val="20"/>
              </w:rPr>
              <w:t>account</w:t>
            </w:r>
            <w:r w:rsidRPr="00BD218B">
              <w:rPr>
                <w:rFonts w:asciiTheme="minorHAnsi" w:hAnsiTheme="minorHAnsi"/>
                <w:szCs w:val="20"/>
              </w:rPr>
              <w:t xml:space="preserve"> for charges dealt with under</w:t>
            </w:r>
            <w:r w:rsidRPr="00BD218B">
              <w:rPr>
                <w:rFonts w:asciiTheme="minorHAnsi" w:hAnsiTheme="minorHAnsi"/>
                <w:noProof/>
                <w:szCs w:val="20"/>
              </w:rPr>
              <w:t xml:space="preserve"> </w:t>
            </w:r>
            <w:r w:rsidRPr="00BD218B">
              <w:rPr>
                <w:rFonts w:asciiTheme="minorHAnsi" w:hAnsiTheme="minorHAnsi"/>
                <w:i/>
                <w:szCs w:val="20"/>
              </w:rPr>
              <w:t>rule</w:t>
            </w:r>
            <w:r w:rsidRPr="00BD218B">
              <w:rPr>
                <w:rFonts w:asciiTheme="minorHAnsi" w:hAnsiTheme="minorHAnsi"/>
                <w:szCs w:val="20"/>
              </w:rPr>
              <w:t xml:space="preserve"> </w:t>
            </w:r>
            <w:r w:rsidRPr="00BD218B">
              <w:rPr>
                <w:rFonts w:asciiTheme="minorHAnsi" w:hAnsiTheme="minorHAnsi"/>
                <w:noProof/>
                <w:szCs w:val="20"/>
              </w:rPr>
              <w:t>advice</w:t>
            </w:r>
            <w:r w:rsidRPr="00BD218B">
              <w:rPr>
                <w:rFonts w:asciiTheme="minorHAnsi" w:hAnsiTheme="minorHAnsi"/>
                <w:i/>
                <w:szCs w:val="20"/>
              </w:rPr>
              <w:t xml:space="preserve"> </w:t>
            </w:r>
            <w:r w:rsidRPr="00BD218B">
              <w:rPr>
                <w:rFonts w:asciiTheme="minorHAnsi" w:hAnsiTheme="minorHAnsi"/>
                <w:noProof/>
                <w:szCs w:val="20"/>
              </w:rPr>
              <w:t>6</w:t>
            </w:r>
            <w:r w:rsidRPr="00BD218B">
              <w:rPr>
                <w:rFonts w:asciiTheme="minorHAnsi" w:hAnsiTheme="minorHAnsi"/>
                <w:noProof/>
                <w:szCs w:val="20"/>
              </w:rPr>
              <w:noBreakHyphen/>
              <w:t>C.</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an infrastructure operator may impose a termination fee that is less than the maximum amount, or waive a termination fee.</w:t>
            </w:r>
          </w:p>
          <w:p w:rsidR="00BD218B" w:rsidRPr="00BD218B" w:rsidRDefault="00BD218B" w:rsidP="00BD218B">
            <w:pPr>
              <w:pStyle w:val="Heading8"/>
              <w:spacing w:before="60"/>
              <w:outlineLvl w:val="7"/>
              <w:rPr>
                <w:rFonts w:asciiTheme="minorHAnsi" w:hAnsiTheme="minorHAnsi"/>
                <w:szCs w:val="20"/>
              </w:rPr>
            </w:pPr>
            <w:r w:rsidRPr="00BD218B">
              <w:rPr>
                <w:rFonts w:asciiTheme="minorHAnsi" w:hAnsiTheme="minorHAnsi"/>
                <w:szCs w:val="20"/>
              </w:rPr>
              <w:t xml:space="preserve">See </w:t>
            </w:r>
            <w:r w:rsidRPr="00BD218B">
              <w:rPr>
                <w:rFonts w:asciiTheme="minorHAnsi" w:hAnsiTheme="minorHAnsi"/>
                <w:i/>
                <w:szCs w:val="20"/>
              </w:rPr>
              <w:t>also rule advices 6-C, 6-D and 6-E.</w:t>
            </w:r>
          </w:p>
          <w:p w:rsidR="00651ACD" w:rsidRPr="00C733B4" w:rsidRDefault="00BD218B" w:rsidP="00035824">
            <w:pPr>
              <w:pStyle w:val="Heading8"/>
              <w:keepLines/>
              <w:spacing w:before="60" w:after="60"/>
              <w:outlineLvl w:val="7"/>
              <w:rPr>
                <w:rFonts w:asciiTheme="minorHAnsi" w:hAnsiTheme="minorHAnsi"/>
                <w:szCs w:val="20"/>
              </w:rPr>
            </w:pPr>
            <w:r w:rsidRPr="00BD218B">
              <w:rPr>
                <w:rFonts w:asciiTheme="minorHAnsi" w:hAnsiTheme="minorHAnsi"/>
                <w:szCs w:val="20"/>
              </w:rPr>
              <w:t>This rule advice is implemented in rule 72 of the proposed Water Charge Rules.</w:t>
            </w:r>
            <w:r w:rsidR="00651ACD" w:rsidRPr="00C733B4">
              <w:rPr>
                <w:rFonts w:asciiTheme="minorHAnsi" w:hAnsiTheme="minorHAnsi"/>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9845D5" w:rsidRPr="00C733B4" w:rsidRDefault="009845D5" w:rsidP="0018797D">
            <w:pPr>
              <w:pStyle w:val="TOC2"/>
            </w:pPr>
            <w:r w:rsidRPr="00C733B4">
              <w:t>Rule advice 6</w:t>
            </w:r>
            <w:r w:rsidRPr="00C733B4">
              <w:noBreakHyphen/>
              <w:t>C</w:t>
            </w:r>
            <w:r w:rsidRPr="00C733B4">
              <w:rPr>
                <w:rStyle w:val="Hyperlink"/>
                <w:color w:val="auto"/>
                <w:szCs w:val="20"/>
                <w:u w:val="none"/>
              </w:rPr>
              <w:t xml:space="preserve"> </w:t>
            </w:r>
            <w:r w:rsidRPr="00C733B4">
              <w:rPr>
                <w:rStyle w:val="Hyperlink"/>
                <w:b w:val="0"/>
                <w:color w:val="auto"/>
                <w:szCs w:val="20"/>
                <w:u w:val="none"/>
              </w:rPr>
              <w:t>(section 6.2.1)</w:t>
            </w:r>
          </w:p>
          <w:p w:rsidR="00BD218B" w:rsidRPr="00BD218B" w:rsidRDefault="00736D75" w:rsidP="00BD218B">
            <w:pPr>
              <w:pStyle w:val="Heading8"/>
              <w:keepLines/>
              <w:spacing w:before="60" w:after="0"/>
              <w:outlineLvl w:val="7"/>
              <w:rPr>
                <w:rFonts w:asciiTheme="minorHAnsi" w:hAnsiTheme="minorHAnsi"/>
                <w:i/>
                <w:szCs w:val="20"/>
              </w:rPr>
            </w:pPr>
            <w:r w:rsidRPr="00C733B4">
              <w:rPr>
                <w:rFonts w:asciiTheme="minorHAnsi" w:hAnsiTheme="minorHAnsi"/>
                <w:i/>
                <w:szCs w:val="20"/>
              </w:rPr>
              <w:fldChar w:fldCharType="begin"/>
            </w:r>
            <w:r w:rsidRPr="00C733B4">
              <w:rPr>
                <w:rFonts w:asciiTheme="minorHAnsi" w:hAnsiTheme="minorHAnsi"/>
                <w:i/>
                <w:szCs w:val="20"/>
              </w:rPr>
              <w:instrText xml:space="preserve"> REF  Rule_Advice_6C \h  \* MERGEFORMAT </w:instrText>
            </w:r>
            <w:r w:rsidRPr="00C733B4">
              <w:rPr>
                <w:rFonts w:asciiTheme="minorHAnsi" w:hAnsiTheme="minorHAnsi"/>
                <w:i/>
                <w:szCs w:val="20"/>
              </w:rPr>
            </w:r>
            <w:r w:rsidRPr="00C733B4">
              <w:rPr>
                <w:rFonts w:asciiTheme="minorHAnsi" w:hAnsiTheme="minorHAnsi"/>
                <w:i/>
                <w:szCs w:val="20"/>
              </w:rPr>
              <w:fldChar w:fldCharType="separate"/>
            </w:r>
            <w:r w:rsidR="00BD218B" w:rsidRPr="00BD218B">
              <w:rPr>
                <w:rFonts w:asciiTheme="minorHAnsi" w:hAnsiTheme="minorHAnsi"/>
                <w:i/>
                <w:szCs w:val="20"/>
              </w:rPr>
              <w:t>Separate charges for infrastructure that is dedicated for the exclusive use of the terminating customer</w:t>
            </w:r>
          </w:p>
          <w:p w:rsidR="00BD218B" w:rsidRPr="00BD218B" w:rsidRDefault="00BD218B" w:rsidP="00BD218B">
            <w:pPr>
              <w:pStyle w:val="Heading8"/>
              <w:keepLines/>
              <w:spacing w:before="60" w:after="0"/>
              <w:outlineLvl w:val="7"/>
              <w:rPr>
                <w:rFonts w:asciiTheme="minorHAnsi" w:eastAsia="Calibri" w:hAnsiTheme="minorHAnsi"/>
                <w:szCs w:val="20"/>
              </w:rPr>
            </w:pPr>
            <w:r w:rsidRPr="00BD218B">
              <w:rPr>
                <w:rFonts w:asciiTheme="minorHAnsi" w:hAnsiTheme="minorHAnsi"/>
                <w:szCs w:val="20"/>
              </w:rPr>
              <w:t xml:space="preserve">The rules should be amended to provide that, if a separate charge is imposed in respect of infrastructure that is dedicated to the exclusive use of the terminating customer, the maximum general termination fee that the infrastructure operator may impose can include an amount, which is the lesser </w:t>
            </w:r>
            <w:r w:rsidRPr="00BD218B">
              <w:rPr>
                <w:rFonts w:asciiTheme="minorHAnsi" w:eastAsia="Calibri" w:hAnsiTheme="minorHAnsi"/>
                <w:szCs w:val="20"/>
              </w:rPr>
              <w:t>of</w:t>
            </w:r>
            <w:r w:rsidRPr="00BD218B">
              <w:rPr>
                <w:rFonts w:asciiTheme="minorHAnsi" w:hAnsiTheme="minorHAnsi"/>
                <w:szCs w:val="20"/>
              </w:rPr>
              <w:t>:</w:t>
            </w:r>
          </w:p>
          <w:p w:rsidR="00BD218B" w:rsidRPr="00BD218B" w:rsidRDefault="00BD218B" w:rsidP="00BD218B">
            <w:pPr>
              <w:pStyle w:val="Heading8"/>
              <w:keepNext/>
              <w:keepLines/>
              <w:numPr>
                <w:ilvl w:val="0"/>
                <w:numId w:val="47"/>
              </w:numPr>
              <w:spacing w:before="60" w:after="0"/>
              <w:outlineLvl w:val="7"/>
              <w:rPr>
                <w:rFonts w:asciiTheme="minorHAnsi" w:hAnsiTheme="minorHAnsi"/>
                <w:szCs w:val="20"/>
              </w:rPr>
            </w:pPr>
            <w:r w:rsidRPr="00BD218B">
              <w:rPr>
                <w:rFonts w:asciiTheme="minorHAnsi" w:hAnsiTheme="minorHAnsi"/>
                <w:szCs w:val="20"/>
              </w:rPr>
              <w:t>a reasonable estimate of the cost of the dedicated infrastructure, net of a reasonable estimate of any contribution towards that cost made by the terminating customer, whether via direct contribution (e.g. lump sum payment) or via the payment of the separate infrastructure charge; or</w:t>
            </w:r>
          </w:p>
          <w:p w:rsidR="00BD218B" w:rsidRPr="00BD218B" w:rsidRDefault="00BD218B" w:rsidP="00BD218B">
            <w:pPr>
              <w:pStyle w:val="Heading8"/>
              <w:keepNext/>
              <w:keepLines/>
              <w:numPr>
                <w:ilvl w:val="0"/>
                <w:numId w:val="47"/>
              </w:numPr>
              <w:spacing w:before="60" w:after="0"/>
              <w:outlineLvl w:val="7"/>
              <w:rPr>
                <w:rFonts w:asciiTheme="minorHAnsi" w:hAnsiTheme="minorHAnsi"/>
                <w:szCs w:val="20"/>
              </w:rPr>
            </w:pPr>
            <w:r w:rsidRPr="00BD218B">
              <w:rPr>
                <w:rFonts w:asciiTheme="minorHAnsi" w:hAnsiTheme="minorHAnsi"/>
                <w:szCs w:val="20"/>
              </w:rPr>
              <w:t>10x the amount of the annual relevant infrastructure charge (i.e. the separate charge that relates to the specific infrastructure).</w:t>
            </w:r>
          </w:p>
          <w:p w:rsidR="009845D5" w:rsidRPr="00C733B4" w:rsidRDefault="00BD218B" w:rsidP="00035824">
            <w:pPr>
              <w:pStyle w:val="Heading8"/>
              <w:keepLines/>
              <w:spacing w:before="60" w:after="60"/>
              <w:outlineLvl w:val="7"/>
              <w:rPr>
                <w:rFonts w:asciiTheme="minorHAnsi" w:hAnsiTheme="minorHAnsi"/>
                <w:szCs w:val="20"/>
              </w:rPr>
            </w:pPr>
            <w:r w:rsidRPr="00BD218B">
              <w:rPr>
                <w:rFonts w:asciiTheme="minorHAnsi" w:hAnsiTheme="minorHAnsi"/>
                <w:szCs w:val="20"/>
              </w:rPr>
              <w:t>This rule advice is implemented in rule 72 of the proposed Water Charge Rules.</w:t>
            </w:r>
            <w:r w:rsidR="00736D75" w:rsidRPr="00C733B4">
              <w:rPr>
                <w:rFonts w:asciiTheme="minorHAnsi" w:hAnsiTheme="minorHAnsi"/>
                <w:i/>
                <w:szCs w:val="20"/>
              </w:rPr>
              <w:fldChar w:fldCharType="end"/>
            </w:r>
          </w:p>
        </w:tc>
        <w:tc>
          <w:tcPr>
            <w:tcW w:w="3118" w:type="dxa"/>
            <w:shd w:val="clear" w:color="auto" w:fill="D6E3BC" w:themeFill="accent3" w:themeFillTint="66"/>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The Final Advice provides that an operator may use a ‘reasonable estimate’ of the costs and customer contributions relevant to dedicated infrastructure, compared to more prescriptive accounting requirements proposed in the Draft Advice.</w:t>
            </w:r>
          </w:p>
        </w:tc>
      </w:tr>
      <w:tr w:rsidR="009845D5" w:rsidRPr="00C733B4" w:rsidTr="007040B9">
        <w:trPr>
          <w:trHeight w:val="145"/>
        </w:trPr>
        <w:tc>
          <w:tcPr>
            <w:tcW w:w="11307" w:type="dxa"/>
          </w:tcPr>
          <w:p w:rsidR="00440BC7" w:rsidRPr="00C733B4" w:rsidRDefault="009845D5" w:rsidP="0018797D">
            <w:pPr>
              <w:pStyle w:val="TOC2"/>
              <w:rPr>
                <w:rStyle w:val="Hyperlink"/>
                <w:b w:val="0"/>
                <w:color w:val="auto"/>
                <w:szCs w:val="20"/>
                <w:u w:val="none"/>
              </w:rPr>
            </w:pPr>
            <w:r w:rsidRPr="00C733B4">
              <w:t>Rule advice 6</w:t>
            </w:r>
            <w:r w:rsidRPr="00C733B4">
              <w:noBreakHyphen/>
              <w:t>D</w:t>
            </w:r>
            <w:r w:rsidRPr="00C733B4">
              <w:rPr>
                <w:rStyle w:val="Hyperlink"/>
                <w:color w:val="auto"/>
                <w:szCs w:val="20"/>
                <w:u w:val="none"/>
              </w:rPr>
              <w:t xml:space="preserve"> </w:t>
            </w:r>
            <w:r w:rsidRPr="00C733B4">
              <w:rPr>
                <w:rStyle w:val="Hyperlink"/>
                <w:b w:val="0"/>
                <w:color w:val="auto"/>
                <w:szCs w:val="20"/>
                <w:u w:val="none"/>
              </w:rPr>
              <w:t>(section 6.2.1)</w:t>
            </w:r>
          </w:p>
          <w:p w:rsidR="00BD218B" w:rsidRPr="00BD218B" w:rsidRDefault="00440BC7" w:rsidP="00BD218B">
            <w:pPr>
              <w:pStyle w:val="Heading8"/>
              <w:keepLines/>
              <w:spacing w:before="60" w:after="0"/>
              <w:outlineLvl w:val="7"/>
              <w:rPr>
                <w:rFonts w:asciiTheme="minorHAnsi" w:hAnsiTheme="minorHAnsi"/>
                <w:szCs w:val="20"/>
              </w:rPr>
            </w:pPr>
            <w:r w:rsidRPr="00C733B4">
              <w:rPr>
                <w:rStyle w:val="Hyperlink"/>
                <w:rFonts w:asciiTheme="minorHAnsi" w:hAnsiTheme="minorHAnsi"/>
                <w:b/>
                <w:color w:val="auto"/>
                <w:szCs w:val="20"/>
                <w:u w:val="none"/>
              </w:rPr>
              <w:fldChar w:fldCharType="begin"/>
            </w:r>
            <w:r w:rsidRPr="00C733B4">
              <w:rPr>
                <w:rStyle w:val="Hyperlink"/>
                <w:rFonts w:asciiTheme="minorHAnsi" w:hAnsiTheme="minorHAnsi"/>
                <w:b/>
                <w:color w:val="auto"/>
                <w:szCs w:val="20"/>
                <w:u w:val="none"/>
              </w:rPr>
              <w:instrText xml:space="preserve"> REF  Rule_Advice_6D \h </w:instrText>
            </w:r>
            <w:r w:rsidR="00915713" w:rsidRPr="00C733B4">
              <w:rPr>
                <w:rStyle w:val="Hyperlink"/>
                <w:rFonts w:asciiTheme="minorHAnsi" w:hAnsiTheme="minorHAnsi"/>
                <w:b/>
                <w:color w:val="auto"/>
                <w:szCs w:val="20"/>
                <w:u w:val="none"/>
              </w:rPr>
              <w:instrText xml:space="preserve"> \* MERGEFORMAT </w:instrText>
            </w:r>
            <w:r w:rsidRPr="00C733B4">
              <w:rPr>
                <w:rStyle w:val="Hyperlink"/>
                <w:rFonts w:asciiTheme="minorHAnsi" w:hAnsiTheme="minorHAnsi"/>
                <w:b/>
                <w:color w:val="auto"/>
                <w:szCs w:val="20"/>
                <w:u w:val="none"/>
              </w:rPr>
            </w:r>
            <w:r w:rsidRPr="00C733B4">
              <w:rPr>
                <w:rStyle w:val="Hyperlink"/>
                <w:rFonts w:asciiTheme="minorHAnsi" w:hAnsiTheme="minorHAnsi"/>
                <w:b/>
                <w:color w:val="auto"/>
                <w:szCs w:val="20"/>
                <w:u w:val="none"/>
              </w:rPr>
              <w:fldChar w:fldCharType="separate"/>
            </w:r>
            <w:r w:rsidR="00BD218B" w:rsidRPr="00BD218B">
              <w:rPr>
                <w:rFonts w:asciiTheme="minorHAnsi" w:hAnsiTheme="minorHAnsi"/>
                <w:szCs w:val="20"/>
              </w:rPr>
              <w:t>The rules should be amended to provide more clarity about which infrastructure charges an operator should use when calculating the maximum general termination fee.</w:t>
            </w:r>
          </w:p>
          <w:p w:rsidR="00BD218B" w:rsidRPr="00BD218B" w:rsidRDefault="00BD218B" w:rsidP="00BD218B">
            <w:pPr>
              <w:pStyle w:val="Ruleadvicesubheading"/>
              <w:keepNext/>
              <w:keepLines/>
              <w:spacing w:before="120" w:after="0"/>
              <w:rPr>
                <w:rFonts w:asciiTheme="minorHAnsi" w:hAnsiTheme="minorHAnsi"/>
                <w:sz w:val="20"/>
                <w:szCs w:val="20"/>
              </w:rPr>
            </w:pPr>
            <w:r w:rsidRPr="00BD218B">
              <w:rPr>
                <w:rFonts w:asciiTheme="minorHAnsi" w:hAnsiTheme="minorHAnsi"/>
                <w:sz w:val="20"/>
                <w:szCs w:val="20"/>
              </w:rPr>
              <w:t xml:space="preserve">General rule </w:t>
            </w:r>
          </w:p>
          <w:p w:rsidR="00BD218B" w:rsidRPr="00BD218B" w:rsidRDefault="00BD218B" w:rsidP="00BD218B">
            <w:pPr>
              <w:pStyle w:val="Heading8"/>
              <w:keepNext/>
              <w:keepLines/>
              <w:spacing w:before="60" w:after="0"/>
              <w:outlineLvl w:val="7"/>
              <w:rPr>
                <w:rFonts w:asciiTheme="minorHAnsi" w:hAnsiTheme="minorHAnsi"/>
                <w:szCs w:val="20"/>
              </w:rPr>
            </w:pPr>
            <w:r w:rsidRPr="00BD218B">
              <w:rPr>
                <w:rFonts w:asciiTheme="minorHAnsi" w:hAnsiTheme="minorHAnsi"/>
                <w:szCs w:val="20"/>
              </w:rPr>
              <w:t xml:space="preserve">Where a customer has provided notice of their intention to terminate or otherwise made an information request, the infrastructure operator must use: </w:t>
            </w:r>
          </w:p>
          <w:p w:rsidR="00BD218B" w:rsidRPr="00BD218B" w:rsidRDefault="00BD218B" w:rsidP="00BD218B">
            <w:pPr>
              <w:pStyle w:val="Heading8"/>
              <w:keepNext/>
              <w:keepLines/>
              <w:numPr>
                <w:ilvl w:val="0"/>
                <w:numId w:val="88"/>
              </w:numPr>
              <w:spacing w:before="60" w:after="0"/>
              <w:outlineLvl w:val="7"/>
              <w:rPr>
                <w:rFonts w:asciiTheme="minorHAnsi" w:hAnsiTheme="minorHAnsi"/>
                <w:szCs w:val="20"/>
              </w:rPr>
            </w:pPr>
            <w:r w:rsidRPr="00BD218B">
              <w:rPr>
                <w:rFonts w:asciiTheme="minorHAnsi" w:hAnsiTheme="minorHAnsi"/>
                <w:szCs w:val="20"/>
              </w:rPr>
              <w:t xml:space="preserve">the infrastructure charges specified in the Schedule of Charges currently in effect at the time the customer provides notice or makes their request; or </w:t>
            </w:r>
          </w:p>
          <w:p w:rsidR="00BD218B" w:rsidRPr="00BD218B" w:rsidRDefault="00BD218B" w:rsidP="00BD218B">
            <w:pPr>
              <w:pStyle w:val="Heading8"/>
              <w:numPr>
                <w:ilvl w:val="0"/>
                <w:numId w:val="88"/>
              </w:numPr>
              <w:spacing w:before="60" w:after="0"/>
              <w:outlineLvl w:val="7"/>
              <w:rPr>
                <w:rFonts w:asciiTheme="minorHAnsi" w:hAnsiTheme="minorHAnsi"/>
                <w:szCs w:val="20"/>
              </w:rPr>
            </w:pPr>
            <w:r w:rsidRPr="00BD218B">
              <w:rPr>
                <w:rFonts w:asciiTheme="minorHAnsi" w:hAnsiTheme="minorHAnsi"/>
                <w:szCs w:val="20"/>
              </w:rPr>
              <w:t xml:space="preserve">if the infrastructure operator has adopted a new Schedule of Charges within the previous 25 business days—the infrastructure charges specified in the earlier Schedule of Charges; </w:t>
            </w:r>
          </w:p>
          <w:p w:rsidR="00BD218B" w:rsidRPr="00BD218B" w:rsidRDefault="00BD218B" w:rsidP="00BD218B">
            <w:pPr>
              <w:pStyle w:val="Heading8"/>
              <w:spacing w:before="60" w:after="0"/>
              <w:ind w:left="709"/>
              <w:outlineLvl w:val="7"/>
              <w:rPr>
                <w:rFonts w:asciiTheme="minorHAnsi" w:hAnsiTheme="minorHAnsi"/>
                <w:szCs w:val="20"/>
              </w:rPr>
            </w:pPr>
            <w:r w:rsidRPr="00BD218B">
              <w:rPr>
                <w:rFonts w:asciiTheme="minorHAnsi" w:hAnsiTheme="minorHAnsi"/>
                <w:szCs w:val="20"/>
              </w:rPr>
              <w:t xml:space="preserve">whichever produces the lower maximum general termination fee. </w:t>
            </w:r>
          </w:p>
          <w:p w:rsidR="00BD218B" w:rsidRPr="00BD218B" w:rsidRDefault="00BD218B" w:rsidP="00BD218B">
            <w:pPr>
              <w:pStyle w:val="Ruleadvicesubheading"/>
              <w:keepNext/>
              <w:keepLines/>
              <w:spacing w:before="120" w:after="0"/>
              <w:rPr>
                <w:rFonts w:asciiTheme="minorHAnsi" w:hAnsiTheme="minorHAnsi"/>
                <w:sz w:val="20"/>
                <w:szCs w:val="20"/>
              </w:rPr>
            </w:pPr>
            <w:r w:rsidRPr="00BD218B">
              <w:rPr>
                <w:rFonts w:asciiTheme="minorHAnsi" w:hAnsiTheme="minorHAnsi"/>
                <w:sz w:val="20"/>
                <w:szCs w:val="20"/>
              </w:rPr>
              <w:t>Specific rule for when customer specifies future date for termination / surrender</w:t>
            </w:r>
          </w:p>
          <w:p w:rsidR="00BD218B" w:rsidRPr="00BD218B" w:rsidRDefault="00BD218B" w:rsidP="00BD218B">
            <w:pPr>
              <w:pStyle w:val="Heading8"/>
              <w:keepLines/>
              <w:spacing w:before="60" w:after="0"/>
              <w:outlineLvl w:val="7"/>
              <w:rPr>
                <w:rFonts w:asciiTheme="minorHAnsi" w:hAnsiTheme="minorHAnsi"/>
                <w:szCs w:val="20"/>
              </w:rPr>
            </w:pPr>
            <w:r w:rsidRPr="00BD218B">
              <w:rPr>
                <w:rFonts w:asciiTheme="minorHAnsi" w:hAnsiTheme="minorHAnsi"/>
                <w:szCs w:val="20"/>
              </w:rPr>
              <w:t>Where a customer terminates / surrenders their right of access by submitting written notice to the operator, but specifies in that notice a future date on which the termination / surrender is to take effect which is more than 6 months after the date of the notice, the infrastructure operator must use the infrastructure charges specified in the Schedule of Charges in effect at the time of the termination / surrender.</w:t>
            </w:r>
          </w:p>
          <w:p w:rsidR="00BD218B" w:rsidRPr="00BD218B" w:rsidRDefault="00BD218B" w:rsidP="00BD218B">
            <w:pPr>
              <w:pStyle w:val="Ruleadvicesubheading"/>
              <w:spacing w:before="120" w:after="0"/>
              <w:rPr>
                <w:rFonts w:asciiTheme="minorHAnsi" w:hAnsiTheme="minorHAnsi"/>
                <w:sz w:val="20"/>
                <w:szCs w:val="20"/>
              </w:rPr>
            </w:pPr>
            <w:r w:rsidRPr="00BD218B">
              <w:rPr>
                <w:rFonts w:asciiTheme="minorHAnsi" w:hAnsiTheme="minorHAnsi"/>
                <w:sz w:val="20"/>
                <w:szCs w:val="20"/>
              </w:rPr>
              <w:t>Specific rule for when operator terminates due to breach of contract</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Where an operator terminates a customer’s right of access due to a customer’s breach of contract, the infrastructure operator must use the infrastructure charges specified in the Schedule of Charges in effect at the time the operator provides notice of the termination to the customer.</w:t>
            </w:r>
          </w:p>
          <w:p w:rsidR="00BD218B" w:rsidRPr="00BD218B" w:rsidRDefault="00BD218B" w:rsidP="00BD218B">
            <w:pPr>
              <w:keepLines/>
              <w:spacing w:before="60"/>
              <w:rPr>
                <w:rFonts w:asciiTheme="minorHAnsi" w:hAnsiTheme="minorHAnsi"/>
                <w:i/>
                <w:sz w:val="20"/>
                <w:szCs w:val="20"/>
              </w:rPr>
            </w:pPr>
            <w:r w:rsidRPr="00BD218B">
              <w:rPr>
                <w:rFonts w:asciiTheme="minorHAnsi" w:hAnsiTheme="minorHAnsi"/>
                <w:i/>
                <w:sz w:val="20"/>
                <w:szCs w:val="20"/>
              </w:rPr>
              <w:t xml:space="preserve">See also rule advice 6-F. </w:t>
            </w:r>
          </w:p>
          <w:p w:rsidR="009845D5" w:rsidRPr="00C733B4" w:rsidRDefault="00BD218B" w:rsidP="00035824">
            <w:pPr>
              <w:pStyle w:val="Heading8"/>
              <w:spacing w:before="60" w:after="60"/>
              <w:outlineLvl w:val="7"/>
              <w:rPr>
                <w:rFonts w:asciiTheme="minorHAnsi" w:hAnsiTheme="minorHAnsi"/>
                <w:szCs w:val="20"/>
              </w:rPr>
            </w:pPr>
            <w:r w:rsidRPr="00BD218B">
              <w:rPr>
                <w:rFonts w:asciiTheme="minorHAnsi" w:hAnsiTheme="minorHAnsi"/>
                <w:szCs w:val="20"/>
              </w:rPr>
              <w:t>This rule advice is implemented in rule 72 of the proposed Water Charge Rules.</w:t>
            </w:r>
            <w:r w:rsidR="00440BC7" w:rsidRPr="00C733B4">
              <w:rPr>
                <w:rStyle w:val="Hyperlink"/>
                <w:rFonts w:asciiTheme="minorHAnsi" w:hAnsiTheme="minorHAnsi"/>
                <w:b/>
                <w:color w:val="auto"/>
                <w:szCs w:val="20"/>
                <w:u w:val="none"/>
              </w:rPr>
              <w:fldChar w:fldCharType="end"/>
            </w:r>
            <w:r w:rsidR="00494961" w:rsidRPr="00C733B4">
              <w:rPr>
                <w:rFonts w:asciiTheme="minorHAnsi" w:hAnsiTheme="minorHAnsi"/>
                <w:szCs w:val="20"/>
              </w:rPr>
              <w:t xml:space="preserve"> </w:t>
            </w:r>
          </w:p>
        </w:tc>
        <w:tc>
          <w:tcPr>
            <w:tcW w:w="3118" w:type="dxa"/>
            <w:shd w:val="clear" w:color="auto" w:fill="D6E3BC" w:themeFill="accent3" w:themeFillTint="66"/>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w:t>
            </w:r>
            <w:r w:rsidR="003945A1" w:rsidRPr="00C733B4">
              <w:rPr>
                <w:rFonts w:asciiTheme="minorHAnsi" w:hAnsiTheme="minorHAnsi"/>
                <w:sz w:val="20"/>
                <w:szCs w:val="20"/>
              </w:rPr>
              <w:t xml:space="preserve">more </w:t>
            </w:r>
            <w:r w:rsidRPr="00C733B4">
              <w:rPr>
                <w:rFonts w:asciiTheme="minorHAnsi" w:hAnsiTheme="minorHAnsi"/>
                <w:sz w:val="20"/>
                <w:szCs w:val="20"/>
              </w:rPr>
              <w:t>clearly specif</w:t>
            </w:r>
            <w:r w:rsidR="003945A1" w:rsidRPr="00C733B4">
              <w:rPr>
                <w:rFonts w:asciiTheme="minorHAnsi" w:hAnsiTheme="minorHAnsi"/>
                <w:sz w:val="20"/>
                <w:szCs w:val="20"/>
              </w:rPr>
              <w:t>ies</w:t>
            </w:r>
            <w:r w:rsidRPr="00C733B4">
              <w:rPr>
                <w:rFonts w:asciiTheme="minorHAnsi" w:hAnsiTheme="minorHAnsi"/>
                <w:sz w:val="20"/>
                <w:szCs w:val="20"/>
              </w:rPr>
              <w:t xml:space="preserve"> which </w:t>
            </w:r>
            <w:r w:rsidR="00B1638F" w:rsidRPr="00C733B4">
              <w:rPr>
                <w:rFonts w:asciiTheme="minorHAnsi" w:hAnsiTheme="minorHAnsi"/>
                <w:sz w:val="20"/>
                <w:szCs w:val="20"/>
              </w:rPr>
              <w:t>S</w:t>
            </w:r>
            <w:r w:rsidRPr="00C733B4">
              <w:rPr>
                <w:rFonts w:asciiTheme="minorHAnsi" w:hAnsiTheme="minorHAnsi"/>
                <w:sz w:val="20"/>
                <w:szCs w:val="20"/>
              </w:rPr>
              <w:t xml:space="preserve">chedule of </w:t>
            </w:r>
            <w:r w:rsidR="00B1638F" w:rsidRPr="00C733B4">
              <w:rPr>
                <w:rFonts w:asciiTheme="minorHAnsi" w:hAnsiTheme="minorHAnsi"/>
                <w:sz w:val="20"/>
                <w:szCs w:val="20"/>
              </w:rPr>
              <w:t>C</w:t>
            </w:r>
            <w:r w:rsidRPr="00C733B4">
              <w:rPr>
                <w:rFonts w:asciiTheme="minorHAnsi" w:hAnsiTheme="minorHAnsi"/>
                <w:sz w:val="20"/>
                <w:szCs w:val="20"/>
              </w:rPr>
              <w:t xml:space="preserve">harges should be used for calculating termination fees in the situation where a customer seeks information on termination fees </w:t>
            </w:r>
            <w:r w:rsidR="00100481" w:rsidRPr="00C733B4">
              <w:rPr>
                <w:rFonts w:asciiTheme="minorHAnsi" w:hAnsiTheme="minorHAnsi"/>
                <w:sz w:val="20"/>
                <w:szCs w:val="20"/>
              </w:rPr>
              <w:t xml:space="preserve">or initiates a termination / surrender </w:t>
            </w:r>
            <w:r w:rsidR="003945A1" w:rsidRPr="00C733B4">
              <w:rPr>
                <w:rFonts w:asciiTheme="minorHAnsi" w:hAnsiTheme="minorHAnsi"/>
                <w:sz w:val="20"/>
                <w:szCs w:val="20"/>
              </w:rPr>
              <w:t>around the time a new Schedule of Charges has been adopted</w:t>
            </w:r>
            <w:r w:rsidR="000F24CC" w:rsidRPr="00C733B4">
              <w:rPr>
                <w:rFonts w:asciiTheme="minorHAnsi" w:hAnsiTheme="minorHAnsi"/>
                <w:sz w:val="20"/>
                <w:szCs w:val="20"/>
              </w:rPr>
              <w:t>, or specifies a future date for a termination / surrender to take effect</w:t>
            </w:r>
            <w:r w:rsidRPr="00C733B4">
              <w:rPr>
                <w:rFonts w:asciiTheme="minorHAnsi" w:hAnsiTheme="minorHAnsi"/>
                <w:sz w:val="20"/>
                <w:szCs w:val="20"/>
              </w:rPr>
              <w:t>.</w:t>
            </w:r>
          </w:p>
        </w:tc>
      </w:tr>
      <w:tr w:rsidR="009845D5" w:rsidRPr="00C733B4" w:rsidTr="007040B9">
        <w:trPr>
          <w:trHeight w:val="85"/>
        </w:trPr>
        <w:tc>
          <w:tcPr>
            <w:tcW w:w="11307" w:type="dxa"/>
          </w:tcPr>
          <w:p w:rsidR="00440BC7" w:rsidRPr="00C733B4" w:rsidRDefault="009845D5" w:rsidP="0018797D">
            <w:pPr>
              <w:pStyle w:val="TOC2"/>
            </w:pPr>
            <w:r w:rsidRPr="00C733B4">
              <w:t>Rule advice 6</w:t>
            </w:r>
            <w:r w:rsidRPr="00C733B4">
              <w:noBreakHyphen/>
              <w:t>E</w:t>
            </w:r>
            <w:r w:rsidRPr="00C733B4">
              <w:rPr>
                <w:rStyle w:val="Hyperlink"/>
                <w:color w:val="auto"/>
                <w:szCs w:val="20"/>
                <w:u w:val="none"/>
              </w:rPr>
              <w:t xml:space="preserve"> </w:t>
            </w:r>
            <w:r w:rsidRPr="00C733B4">
              <w:rPr>
                <w:rStyle w:val="Hyperlink"/>
                <w:b w:val="0"/>
                <w:color w:val="auto"/>
                <w:szCs w:val="20"/>
                <w:u w:val="none"/>
              </w:rPr>
              <w:t>(section 6.2.2)</w:t>
            </w:r>
            <w:r w:rsidRPr="00C733B4">
              <w:t xml:space="preserve"> </w:t>
            </w:r>
          </w:p>
          <w:p w:rsidR="00BD218B" w:rsidRPr="00BD218B" w:rsidRDefault="00440BC7"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Rule_Advice_6E \h </w:instrText>
            </w:r>
            <w:r w:rsidR="00915713" w:rsidRPr="00C733B4">
              <w:rPr>
                <w:rFonts w:asciiTheme="minorHAnsi" w:hAnsiTheme="minorHAnsi"/>
                <w:szCs w:val="20"/>
              </w:rPr>
              <w:instrText xml:space="preserve">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rules should be amended to provide that, when calculating the maximum general termination fee applicable to a termination / surrender of a right of access, if an infrastructure operator does not allow for the trade of water delivery right (of a kind relevant to the termination) separately from the trade of a water access right or irrigation right, the multiple applied to the fixed volumetric charge levied per unit of water delivery right or unit of water drainage right should be 1x rather than 10x.</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i/>
                <w:szCs w:val="20"/>
              </w:rPr>
              <w:t>Note</w:t>
            </w:r>
            <w:r w:rsidRPr="00BD218B">
              <w:rPr>
                <w:rFonts w:asciiTheme="minorHAnsi" w:hAnsiTheme="minorHAnsi"/>
                <w:szCs w:val="20"/>
              </w:rPr>
              <w:t>: an operator ‘allows for the trade of water delivery right’ if water delivery right of a kind relevant to the termination is generally permitted to be traded, rather than whether any particular proposed trade of a water delivery right is approved or not.</w:t>
            </w:r>
          </w:p>
          <w:p w:rsidR="00BD218B" w:rsidRPr="00BD218B" w:rsidRDefault="00BD218B" w:rsidP="00BD218B">
            <w:pPr>
              <w:spacing w:before="60"/>
              <w:rPr>
                <w:rFonts w:asciiTheme="minorHAnsi" w:eastAsia="Calibri" w:hAnsiTheme="minorHAnsi"/>
                <w:i/>
                <w:sz w:val="20"/>
                <w:szCs w:val="20"/>
              </w:rPr>
            </w:pPr>
            <w:r w:rsidRPr="00BD218B">
              <w:rPr>
                <w:rFonts w:asciiTheme="minorHAnsi" w:eastAsia="Calibri" w:hAnsiTheme="minorHAnsi"/>
                <w:i/>
                <w:sz w:val="20"/>
                <w:szCs w:val="20"/>
              </w:rPr>
              <w:t>See also rule advice 6-F.</w:t>
            </w:r>
          </w:p>
          <w:p w:rsidR="00440BC7" w:rsidRPr="00C733B4" w:rsidRDefault="00BD218B" w:rsidP="008A39E9">
            <w:pPr>
              <w:spacing w:before="60"/>
              <w:rPr>
                <w:rFonts w:asciiTheme="minorHAnsi" w:hAnsiTheme="minorHAnsi"/>
                <w:sz w:val="20"/>
                <w:szCs w:val="20"/>
              </w:rPr>
            </w:pPr>
            <w:r w:rsidRPr="00BD218B">
              <w:rPr>
                <w:rFonts w:asciiTheme="minorHAnsi" w:hAnsiTheme="minorHAnsi"/>
                <w:sz w:val="20"/>
                <w:szCs w:val="20"/>
              </w:rPr>
              <w:t>This rule advice is implemented in rule 72 of the proposed Water Charge Rules.</w:t>
            </w:r>
            <w:r w:rsidR="00440BC7" w:rsidRPr="00C733B4">
              <w:rPr>
                <w:rFonts w:asciiTheme="minorHAnsi" w:hAnsiTheme="minorHAnsi"/>
                <w:sz w:val="20"/>
                <w:szCs w:val="20"/>
              </w:rPr>
              <w:fldChar w:fldCharType="end"/>
            </w:r>
          </w:p>
          <w:p w:rsidR="009845D5" w:rsidRPr="00C733B4" w:rsidRDefault="009845D5" w:rsidP="00035824">
            <w:pPr>
              <w:pStyle w:val="TOC3"/>
              <w:rPr>
                <w:rFonts w:asciiTheme="minorHAnsi" w:hAnsiTheme="minorHAnsi"/>
                <w:sz w:val="20"/>
              </w:rPr>
            </w:pPr>
          </w:p>
        </w:tc>
        <w:tc>
          <w:tcPr>
            <w:tcW w:w="3118" w:type="dxa"/>
            <w:shd w:val="clear" w:color="auto" w:fill="D6E3BC" w:themeFill="accent3" w:themeFillTint="66"/>
          </w:tcPr>
          <w:p w:rsidR="00134D60" w:rsidRPr="00C733B4" w:rsidRDefault="00134D60"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The Draft Advice used the terminology of an operator needing to ‘provide for’ the trade of water delivery right. The Final Advice amends this to </w:t>
            </w:r>
            <w:r w:rsidR="003945A1" w:rsidRPr="00C733B4">
              <w:rPr>
                <w:rFonts w:asciiTheme="minorHAnsi" w:hAnsiTheme="minorHAnsi"/>
                <w:sz w:val="20"/>
                <w:szCs w:val="20"/>
              </w:rPr>
              <w:t>‘</w:t>
            </w:r>
            <w:r w:rsidRPr="00C733B4">
              <w:rPr>
                <w:rFonts w:asciiTheme="minorHAnsi" w:hAnsiTheme="minorHAnsi"/>
                <w:sz w:val="20"/>
                <w:szCs w:val="20"/>
              </w:rPr>
              <w:t>allow for</w:t>
            </w:r>
            <w:r w:rsidR="003945A1" w:rsidRPr="00C733B4">
              <w:rPr>
                <w:rFonts w:asciiTheme="minorHAnsi" w:hAnsiTheme="minorHAnsi"/>
                <w:sz w:val="20"/>
                <w:szCs w:val="20"/>
              </w:rPr>
              <w:t>’</w:t>
            </w:r>
            <w:r w:rsidRPr="00C733B4">
              <w:rPr>
                <w:rFonts w:asciiTheme="minorHAnsi" w:hAnsiTheme="minorHAnsi"/>
                <w:sz w:val="20"/>
                <w:szCs w:val="20"/>
              </w:rPr>
              <w:t xml:space="preserve">, in response to stakeholder concerns that </w:t>
            </w:r>
            <w:r w:rsidR="003945A1" w:rsidRPr="00C733B4">
              <w:rPr>
                <w:rFonts w:asciiTheme="minorHAnsi" w:hAnsiTheme="minorHAnsi"/>
                <w:sz w:val="20"/>
                <w:szCs w:val="20"/>
              </w:rPr>
              <w:t>‘</w:t>
            </w:r>
            <w:r w:rsidRPr="00C733B4">
              <w:rPr>
                <w:rFonts w:asciiTheme="minorHAnsi" w:hAnsiTheme="minorHAnsi"/>
                <w:sz w:val="20"/>
                <w:szCs w:val="20"/>
              </w:rPr>
              <w:t>provide</w:t>
            </w:r>
            <w:r w:rsidR="003945A1" w:rsidRPr="00C733B4">
              <w:rPr>
                <w:rFonts w:asciiTheme="minorHAnsi" w:hAnsiTheme="minorHAnsi"/>
                <w:sz w:val="20"/>
                <w:szCs w:val="20"/>
              </w:rPr>
              <w:t>’</w:t>
            </w:r>
            <w:r w:rsidRPr="00C733B4">
              <w:rPr>
                <w:rFonts w:asciiTheme="minorHAnsi" w:hAnsiTheme="minorHAnsi"/>
                <w:sz w:val="20"/>
                <w:szCs w:val="20"/>
              </w:rPr>
              <w:t xml:space="preserve"> could mean actively facilitate (e.g. by providing an online trading exchange).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Also, the Final Advice makes clear that an operator needs to generally allow for trade of water delivery right ‘of a kind relevant to the termination’.</w:t>
            </w:r>
          </w:p>
        </w:tc>
      </w:tr>
      <w:tr w:rsidR="009845D5" w:rsidRPr="00C733B4" w:rsidTr="007040B9">
        <w:trPr>
          <w:trHeight w:val="145"/>
        </w:trPr>
        <w:tc>
          <w:tcPr>
            <w:tcW w:w="11307" w:type="dxa"/>
          </w:tcPr>
          <w:p w:rsidR="009845D5" w:rsidRPr="00C733B4" w:rsidRDefault="009845D5" w:rsidP="0018797D">
            <w:pPr>
              <w:pStyle w:val="TOC2"/>
              <w:rPr>
                <w:rFonts w:eastAsia="Arial" w:cs="Times New Roman"/>
              </w:rPr>
            </w:pPr>
            <w:r w:rsidRPr="00C733B4">
              <w:t>Rule advice 6</w:t>
            </w:r>
            <w:r w:rsidRPr="00C733B4">
              <w:noBreakHyphen/>
              <w:t>F</w:t>
            </w:r>
            <w:r w:rsidRPr="00C733B4">
              <w:rPr>
                <w:rStyle w:val="Hyperlink"/>
                <w:color w:val="auto"/>
                <w:szCs w:val="20"/>
                <w:u w:val="none"/>
              </w:rPr>
              <w:t xml:space="preserve"> </w:t>
            </w:r>
            <w:r w:rsidRPr="00C733B4">
              <w:rPr>
                <w:rStyle w:val="Hyperlink"/>
                <w:b w:val="0"/>
                <w:color w:val="auto"/>
                <w:szCs w:val="20"/>
                <w:u w:val="none"/>
              </w:rPr>
              <w:t>(section 6.2.3)</w:t>
            </w:r>
          </w:p>
          <w:p w:rsidR="00BD218B" w:rsidRPr="00BD218B" w:rsidRDefault="00440BC7"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Rule_Advice_6F \h </w:instrText>
            </w:r>
            <w:r w:rsidR="00915713" w:rsidRPr="00C733B4">
              <w:rPr>
                <w:rFonts w:asciiTheme="minorHAnsi" w:hAnsiTheme="minorHAnsi"/>
                <w:szCs w:val="20"/>
              </w:rPr>
              <w:instrText xml:space="preserve">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rules should be amended as set out below to clarify when an operator can levy a termination fee and improve the availability of information to customers considering terminating.</w:t>
            </w:r>
          </w:p>
          <w:p w:rsidR="00BD218B" w:rsidRPr="00BD218B" w:rsidRDefault="00BD218B" w:rsidP="00BD218B">
            <w:pPr>
              <w:pStyle w:val="Heading8"/>
              <w:spacing w:before="60" w:after="0"/>
              <w:outlineLvl w:val="7"/>
              <w:rPr>
                <w:rFonts w:asciiTheme="minorHAnsi" w:hAnsiTheme="minorHAnsi"/>
              </w:rPr>
            </w:pPr>
            <w:r w:rsidRPr="00BD218B">
              <w:rPr>
                <w:rFonts w:asciiTheme="minorHAnsi" w:hAnsiTheme="minorHAnsi"/>
                <w:szCs w:val="20"/>
              </w:rPr>
              <w:t>Operator</w:t>
            </w:r>
            <w:r w:rsidRPr="00BD218B">
              <w:rPr>
                <w:rFonts w:asciiTheme="minorHAnsi" w:hAnsiTheme="minorHAnsi"/>
              </w:rPr>
              <w:t xml:space="preserve"> to provide information in response to customer seeking to terminate</w:t>
            </w:r>
          </w:p>
          <w:p w:rsidR="00BD218B" w:rsidRPr="00BD218B" w:rsidRDefault="00BD218B" w:rsidP="00BD218B">
            <w:pPr>
              <w:pStyle w:val="Ruleadvicesubheading"/>
              <w:spacing w:before="120" w:after="0"/>
              <w:rPr>
                <w:rFonts w:asciiTheme="minorHAnsi" w:hAnsiTheme="minorHAnsi"/>
              </w:rPr>
            </w:pPr>
            <w:r w:rsidRPr="00BD218B">
              <w:rPr>
                <w:rFonts w:asciiTheme="minorHAnsi" w:hAnsiTheme="minorHAnsi"/>
                <w:sz w:val="20"/>
                <w:szCs w:val="20"/>
              </w:rPr>
              <w:t xml:space="preserve">The rules should continue to allow for a customer to terminate </w:t>
            </w:r>
            <w:r w:rsidRPr="00BD218B">
              <w:rPr>
                <w:rFonts w:asciiTheme="minorHAnsi" w:hAnsiTheme="minorHAnsi"/>
              </w:rPr>
              <w:t>some or all of their right of access by submitting a written notice to their infrastructure operator.</w:t>
            </w:r>
          </w:p>
          <w:p w:rsidR="00BD218B" w:rsidRPr="00BD218B" w:rsidRDefault="00BD218B" w:rsidP="00BD218B">
            <w:pPr>
              <w:pStyle w:val="Heading8"/>
              <w:spacing w:before="60" w:after="0"/>
              <w:outlineLvl w:val="7"/>
              <w:rPr>
                <w:rFonts w:asciiTheme="minorHAnsi" w:hAnsiTheme="minorHAnsi"/>
              </w:rPr>
            </w:pPr>
            <w:r w:rsidRPr="00BD218B">
              <w:rPr>
                <w:rFonts w:asciiTheme="minorHAnsi" w:hAnsiTheme="minorHAnsi"/>
                <w:szCs w:val="20"/>
              </w:rPr>
              <w:t>Upon receiving such a notice, the infrastructure operator must, within 25 business days, provide the customer with a written statement (referred to in the proposed water charge</w:t>
            </w:r>
            <w:r w:rsidRPr="00BD218B">
              <w:rPr>
                <w:rFonts w:asciiTheme="minorHAnsi" w:hAnsiTheme="minorHAnsi"/>
              </w:rPr>
              <w:t xml:space="preserve"> rules as a ‘</w:t>
            </w:r>
            <w:r w:rsidRPr="00BD218B">
              <w:rPr>
                <w:rFonts w:asciiTheme="minorHAnsi" w:hAnsiTheme="minorHAnsi"/>
                <w:b/>
                <w:i/>
              </w:rPr>
              <w:t>termination information statement’</w:t>
            </w:r>
            <w:r w:rsidRPr="00BD218B">
              <w:rPr>
                <w:rFonts w:asciiTheme="minorHAnsi" w:hAnsiTheme="minorHAnsi"/>
              </w:rPr>
              <w:t xml:space="preserve">): </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setting out the value of the maximum general termination fee that would be payable upon termination (binding on the operator and the customer for 6 months―see below), and how </w:t>
            </w:r>
            <w:r w:rsidRPr="00BD218B">
              <w:rPr>
                <w:rFonts w:asciiTheme="minorHAnsi" w:hAnsiTheme="minorHAnsi"/>
                <w:b/>
                <w:i/>
                <w:szCs w:val="20"/>
              </w:rPr>
              <w:t>that fee was</w:t>
            </w:r>
            <w:r w:rsidRPr="00BD218B">
              <w:rPr>
                <w:rFonts w:asciiTheme="minorHAnsi" w:hAnsiTheme="minorHAnsi"/>
                <w:szCs w:val="20"/>
              </w:rPr>
              <w:t xml:space="preserve"> calculated;</w:t>
            </w:r>
          </w:p>
          <w:p w:rsidR="00BD218B" w:rsidRPr="00BD218B" w:rsidRDefault="00BD218B" w:rsidP="00BD218B">
            <w:pPr>
              <w:pStyle w:val="Heading8"/>
              <w:numPr>
                <w:ilvl w:val="0"/>
                <w:numId w:val="85"/>
              </w:numPr>
              <w:spacing w:before="60" w:after="0"/>
              <w:outlineLvl w:val="7"/>
              <w:rPr>
                <w:rFonts w:asciiTheme="minorHAnsi" w:hAnsiTheme="minorHAnsi"/>
                <w:szCs w:val="20"/>
              </w:rPr>
            </w:pPr>
            <w:r w:rsidRPr="00BD218B">
              <w:rPr>
                <w:rFonts w:asciiTheme="minorHAnsi" w:hAnsiTheme="minorHAnsi"/>
                <w:szCs w:val="20"/>
              </w:rPr>
              <w:t xml:space="preserve">notifying the customer if they are able </w:t>
            </w:r>
            <w:r w:rsidRPr="00BD218B">
              <w:rPr>
                <w:rFonts w:asciiTheme="minorHAnsi" w:hAnsiTheme="minorHAnsi"/>
                <w:b/>
                <w:i/>
                <w:szCs w:val="20"/>
              </w:rPr>
              <w:t>to trade water</w:t>
            </w:r>
            <w:r w:rsidRPr="00BD218B">
              <w:rPr>
                <w:rFonts w:asciiTheme="minorHAnsi" w:hAnsiTheme="minorHAnsi"/>
                <w:szCs w:val="20"/>
              </w:rPr>
              <w:t xml:space="preserve"> delivery right of the kind relevant to the customer’s right of access, and any rules governing such trade;</w:t>
            </w:r>
          </w:p>
          <w:p w:rsidR="00BD218B" w:rsidRPr="00BD218B" w:rsidRDefault="00BD218B" w:rsidP="00BD218B">
            <w:pPr>
              <w:pStyle w:val="Heading8"/>
              <w:numPr>
                <w:ilvl w:val="0"/>
                <w:numId w:val="85"/>
              </w:numPr>
              <w:spacing w:before="60" w:after="0"/>
              <w:outlineLvl w:val="7"/>
              <w:rPr>
                <w:rFonts w:asciiTheme="minorHAnsi" w:hAnsiTheme="minorHAnsi"/>
              </w:rPr>
            </w:pPr>
            <w:r w:rsidRPr="00BD218B">
              <w:rPr>
                <w:rFonts w:asciiTheme="minorHAnsi" w:hAnsiTheme="minorHAnsi"/>
                <w:szCs w:val="20"/>
              </w:rPr>
              <w:t xml:space="preserve">if applicable—setting out the amount of </w:t>
            </w:r>
            <w:r w:rsidRPr="00BD218B">
              <w:rPr>
                <w:rFonts w:asciiTheme="minorHAnsi" w:hAnsiTheme="minorHAnsi"/>
              </w:rPr>
              <w:t>any disconnection fee that would apply under Rule 76, or providing information on how a disconnection fee would be calculated;</w:t>
            </w:r>
          </w:p>
          <w:p w:rsidR="00BD218B" w:rsidRPr="00BD218B" w:rsidRDefault="00BD218B" w:rsidP="00BD218B">
            <w:pPr>
              <w:pStyle w:val="Heading8"/>
              <w:numPr>
                <w:ilvl w:val="0"/>
                <w:numId w:val="85"/>
              </w:numPr>
              <w:spacing w:before="60" w:after="0"/>
              <w:outlineLvl w:val="7"/>
              <w:rPr>
                <w:rFonts w:asciiTheme="minorHAnsi" w:hAnsiTheme="minorHAnsi"/>
                <w:szCs w:val="20"/>
              </w:rPr>
            </w:pPr>
            <w:r w:rsidRPr="00BD218B">
              <w:rPr>
                <w:rFonts w:asciiTheme="minorHAnsi" w:hAnsiTheme="minorHAnsi"/>
                <w:szCs w:val="20"/>
              </w:rPr>
              <w:t>if applicable—setting out the amount of any additional termination fee relating to capital works, approved by the ACCC under rule 73.</w:t>
            </w:r>
          </w:p>
          <w:p w:rsidR="00BD218B" w:rsidRPr="00BD218B" w:rsidRDefault="00BD218B" w:rsidP="00BD218B">
            <w:pPr>
              <w:pStyle w:val="Heading8"/>
              <w:numPr>
                <w:ilvl w:val="0"/>
                <w:numId w:val="85"/>
              </w:numPr>
              <w:spacing w:before="60" w:after="0"/>
              <w:outlineLvl w:val="7"/>
              <w:rPr>
                <w:rFonts w:asciiTheme="minorHAnsi" w:hAnsiTheme="minorHAnsi"/>
              </w:rPr>
            </w:pPr>
            <w:r w:rsidRPr="00BD218B">
              <w:rPr>
                <w:rFonts w:asciiTheme="minorHAnsi" w:hAnsiTheme="minorHAnsi"/>
                <w:szCs w:val="20"/>
              </w:rPr>
              <w:t>Operator to confirm that customer wishes to</w:t>
            </w:r>
            <w:r w:rsidRPr="00BD218B">
              <w:rPr>
                <w:rFonts w:asciiTheme="minorHAnsi" w:hAnsiTheme="minorHAnsi"/>
              </w:rPr>
              <w:t xml:space="preserve"> proceed with termination after providing termination information statement</w:t>
            </w:r>
          </w:p>
          <w:p w:rsidR="00BD218B" w:rsidRPr="00BD218B" w:rsidRDefault="00BD218B" w:rsidP="00BD218B">
            <w:pPr>
              <w:pStyle w:val="Heading8"/>
              <w:numPr>
                <w:ilvl w:val="0"/>
                <w:numId w:val="85"/>
              </w:numPr>
              <w:spacing w:before="60" w:after="0"/>
              <w:outlineLvl w:val="7"/>
              <w:rPr>
                <w:rFonts w:asciiTheme="minorHAnsi" w:hAnsiTheme="minorHAnsi"/>
              </w:rPr>
            </w:pPr>
            <w:r w:rsidRPr="00BD218B">
              <w:rPr>
                <w:rFonts w:asciiTheme="minorHAnsi" w:hAnsiTheme="minorHAnsi"/>
                <w:szCs w:val="20"/>
              </w:rPr>
              <w:t xml:space="preserve">After providing the termination information statement containing the information in (a)–(d) above, the rules should require the operator to confirm that the customer wishes </w:t>
            </w:r>
            <w:r w:rsidRPr="00BD218B">
              <w:rPr>
                <w:rFonts w:asciiTheme="minorHAnsi" w:hAnsiTheme="minorHAnsi"/>
              </w:rPr>
              <w:t>to proceed with the termination in order to be able to levy a termination fee.</w:t>
            </w:r>
          </w:p>
          <w:p w:rsidR="00BD218B" w:rsidRPr="00BD218B" w:rsidRDefault="00BD218B" w:rsidP="00BD218B">
            <w:pPr>
              <w:pStyle w:val="Heading8"/>
              <w:numPr>
                <w:ilvl w:val="0"/>
                <w:numId w:val="85"/>
              </w:numPr>
              <w:spacing w:before="60" w:after="0"/>
              <w:outlineLvl w:val="7"/>
              <w:rPr>
                <w:rFonts w:asciiTheme="minorHAnsi" w:hAnsiTheme="minorHAnsi"/>
              </w:rPr>
            </w:pPr>
            <w:r w:rsidRPr="00BD218B">
              <w:rPr>
                <w:rFonts w:asciiTheme="minorHAnsi" w:hAnsiTheme="minorHAnsi"/>
                <w:szCs w:val="20"/>
              </w:rPr>
              <w:t xml:space="preserve">In the case where the operator had provided </w:t>
            </w:r>
            <w:r w:rsidRPr="00BD218B">
              <w:rPr>
                <w:rFonts w:asciiTheme="minorHAnsi" w:hAnsiTheme="minorHAnsi"/>
                <w:b/>
                <w:i/>
                <w:szCs w:val="20"/>
              </w:rPr>
              <w:t>the statement to</w:t>
            </w:r>
            <w:r w:rsidRPr="00BD218B">
              <w:rPr>
                <w:rFonts w:asciiTheme="minorHAnsi" w:hAnsiTheme="minorHAnsi"/>
                <w:szCs w:val="20"/>
              </w:rPr>
              <w:t xml:space="preserve"> the customer in response to an information request (see below) within</w:t>
            </w:r>
            <w:r w:rsidRPr="00BD218B">
              <w:rPr>
                <w:rFonts w:asciiTheme="minorHAnsi" w:hAnsiTheme="minorHAnsi"/>
              </w:rPr>
              <w:t xml:space="preserve"> the period beginning 6 months before the operator received the customer’s written notice to terminate, the customer’s written notice should be taken as confirmation that they wish to proceed with the termination (and the maximum general termination fee would be that previously provided to the customer in the statement). </w:t>
            </w:r>
          </w:p>
          <w:p w:rsidR="00BD218B" w:rsidRPr="00BD218B" w:rsidRDefault="00BD218B" w:rsidP="00BD218B">
            <w:pPr>
              <w:pStyle w:val="Ruleadvicesubheading"/>
              <w:keepNext/>
              <w:spacing w:before="120" w:after="0"/>
              <w:rPr>
                <w:rFonts w:asciiTheme="minorHAnsi" w:hAnsiTheme="minorHAnsi"/>
                <w:sz w:val="20"/>
                <w:szCs w:val="20"/>
              </w:rPr>
            </w:pPr>
            <w:r w:rsidRPr="00BD218B">
              <w:rPr>
                <w:rFonts w:asciiTheme="minorHAnsi" w:hAnsiTheme="minorHAnsi"/>
                <w:sz w:val="20"/>
                <w:szCs w:val="20"/>
              </w:rPr>
              <w:t>Operator to provide information in response to customer information request</w:t>
            </w:r>
          </w:p>
          <w:p w:rsidR="00BD218B" w:rsidRPr="00BD218B" w:rsidRDefault="00BD218B" w:rsidP="00BD218B">
            <w:pPr>
              <w:pStyle w:val="Ruleadvicesubheading"/>
              <w:keepNext/>
              <w:spacing w:before="120" w:after="0"/>
              <w:rPr>
                <w:rFonts w:asciiTheme="minorHAnsi" w:hAnsiTheme="minorHAnsi"/>
              </w:rPr>
            </w:pPr>
            <w:r w:rsidRPr="00BD218B">
              <w:rPr>
                <w:rFonts w:asciiTheme="minorHAnsi" w:hAnsiTheme="minorHAnsi"/>
                <w:sz w:val="20"/>
                <w:szCs w:val="20"/>
              </w:rPr>
              <w:t xml:space="preserve">An infrastructure operator should also </w:t>
            </w:r>
            <w:r w:rsidRPr="00BD218B">
              <w:rPr>
                <w:rFonts w:asciiTheme="minorHAnsi" w:hAnsiTheme="minorHAnsi"/>
              </w:rPr>
              <w:t xml:space="preserve">be required to provide a termination information statement to a customer upon receiving a request from a customer for information on the termination fee that would be payable if the customer were to terminate some or all of their right of access (an ‘information request’). </w:t>
            </w:r>
          </w:p>
          <w:p w:rsidR="00BD218B" w:rsidRPr="00BD218B" w:rsidRDefault="00BD218B" w:rsidP="00BD218B">
            <w:pPr>
              <w:pStyle w:val="Heading8"/>
              <w:spacing w:before="60" w:after="0"/>
              <w:outlineLvl w:val="7"/>
              <w:rPr>
                <w:rFonts w:asciiTheme="minorHAnsi" w:hAnsiTheme="minorHAnsi"/>
              </w:rPr>
            </w:pPr>
            <w:r w:rsidRPr="00BD218B">
              <w:rPr>
                <w:rFonts w:asciiTheme="minorHAnsi" w:hAnsiTheme="minorHAnsi"/>
                <w:szCs w:val="20"/>
              </w:rPr>
              <w:t>An operator may require an information request to be submitted in writing, but if it does so must advise any customer who submits a non-written information request of this requirement as soon as is practicable. Where an operator has such a policy,</w:t>
            </w:r>
            <w:r w:rsidRPr="00BD218B">
              <w:rPr>
                <w:rFonts w:asciiTheme="minorHAnsi" w:hAnsiTheme="minorHAnsi"/>
              </w:rPr>
              <w:t xml:space="preserve"> the rule requirement for the operator to provide a termination information statement should apply only in relation to written information requests received by that operator.</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Operator only permitted to levy a termination fee when customer terminates if information has been provided within required timeframe</w:t>
            </w:r>
          </w:p>
          <w:p w:rsidR="00BD218B" w:rsidRPr="00BD218B" w:rsidRDefault="00BD218B" w:rsidP="00BD218B">
            <w:pPr>
              <w:pStyle w:val="Heading8"/>
              <w:spacing w:before="60" w:after="0"/>
              <w:outlineLvl w:val="7"/>
              <w:rPr>
                <w:rFonts w:asciiTheme="minorHAnsi" w:hAnsiTheme="minorHAnsi"/>
              </w:rPr>
            </w:pPr>
            <w:r w:rsidRPr="00BD218B">
              <w:rPr>
                <w:rFonts w:asciiTheme="minorHAnsi" w:hAnsiTheme="minorHAnsi"/>
                <w:szCs w:val="20"/>
              </w:rPr>
              <w:t xml:space="preserve">The rules should provide that, where the customer instigates a termination by submitting written notice to the operator, the operator may not levy a termination fee unless it has already provided the customer with a termination information statement setting out the information in items (a)–(d) above within the previous 6 months. </w:t>
            </w:r>
            <w:r w:rsidRPr="00BD218B">
              <w:rPr>
                <w:rFonts w:asciiTheme="minorHAnsi" w:hAnsiTheme="minorHAnsi"/>
              </w:rPr>
              <w:t xml:space="preserve">However, in the case where the customer specifies a future date on which the termination is to take effect, the termination information statement must have been given within the period beginning 6 months before that future date. </w:t>
            </w:r>
          </w:p>
          <w:p w:rsidR="00BD218B" w:rsidRPr="00BD218B" w:rsidRDefault="00BD218B" w:rsidP="00BD218B">
            <w:pPr>
              <w:pStyle w:val="Ruleadvicesubheading"/>
              <w:spacing w:before="120" w:after="0"/>
              <w:rPr>
                <w:rFonts w:asciiTheme="minorHAnsi" w:hAnsiTheme="minorHAnsi"/>
              </w:rPr>
            </w:pPr>
            <w:r w:rsidRPr="00BD218B">
              <w:rPr>
                <w:rFonts w:asciiTheme="minorHAnsi" w:hAnsiTheme="minorHAnsi"/>
                <w:sz w:val="20"/>
                <w:szCs w:val="20"/>
              </w:rPr>
              <w:t xml:space="preserve">If the operator had not previously provided the termination information </w:t>
            </w:r>
            <w:r w:rsidRPr="00BD218B">
              <w:rPr>
                <w:rFonts w:asciiTheme="minorHAnsi" w:hAnsiTheme="minorHAnsi"/>
              </w:rPr>
              <w:t>statement within the relevant time, they must do so after receiving the notice from the customer, and may only levy a termination fee if a customer, having been given the termination information statement, confirms that they wish to proceed with the termination.</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The maximum general termination fee the operator can levy is that set out in the termination information statement. If applicable, the maximum additional termination fee is the relevant fee approved by the ACCC under rule 73.</w:t>
            </w:r>
          </w:p>
          <w:p w:rsidR="00BD218B" w:rsidRPr="00BD218B" w:rsidRDefault="00BD218B" w:rsidP="00BD218B">
            <w:pPr>
              <w:pStyle w:val="Heading8"/>
              <w:spacing w:before="60" w:after="0"/>
              <w:outlineLvl w:val="7"/>
              <w:rPr>
                <w:rFonts w:asciiTheme="minorHAnsi" w:hAnsiTheme="minorHAnsi"/>
                <w:sz w:val="18"/>
              </w:rPr>
            </w:pPr>
            <w:r w:rsidRPr="00BD218B">
              <w:rPr>
                <w:rFonts w:asciiTheme="minorHAnsi" w:hAnsiTheme="minorHAnsi"/>
                <w:szCs w:val="20"/>
              </w:rPr>
              <w:t>Note: If an operator instigates a termination due to a customer’s</w:t>
            </w:r>
            <w:r w:rsidRPr="00BD218B">
              <w:rPr>
                <w:rFonts w:asciiTheme="minorHAnsi" w:hAnsiTheme="minorHAnsi"/>
                <w:sz w:val="18"/>
              </w:rPr>
              <w:t xml:space="preserve"> breach of contract (as is provided for in subrule 71(3), an operator should not be required to provide a termination information statement.</w:t>
            </w:r>
          </w:p>
          <w:p w:rsidR="00BD218B" w:rsidRPr="00BD218B" w:rsidRDefault="00BD218B" w:rsidP="00BD218B">
            <w:pPr>
              <w:pStyle w:val="Heading8"/>
              <w:spacing w:before="60" w:after="0"/>
              <w:outlineLvl w:val="7"/>
              <w:rPr>
                <w:rFonts w:asciiTheme="minorHAnsi" w:hAnsiTheme="minorHAnsi"/>
                <w:szCs w:val="20"/>
              </w:rPr>
            </w:pPr>
            <w:r w:rsidRPr="00BD218B">
              <w:rPr>
                <w:rFonts w:asciiTheme="minorHAnsi" w:hAnsiTheme="minorHAnsi"/>
                <w:szCs w:val="20"/>
              </w:rPr>
              <w:t xml:space="preserve">These rules </w:t>
            </w:r>
            <w:r w:rsidRPr="00BD218B">
              <w:rPr>
                <w:rFonts w:asciiTheme="minorHAnsi" w:hAnsiTheme="minorHAnsi"/>
                <w:i/>
                <w:szCs w:val="20"/>
              </w:rPr>
              <w:t>should</w:t>
            </w:r>
            <w:r w:rsidRPr="00BD218B">
              <w:rPr>
                <w:rFonts w:asciiTheme="minorHAnsi" w:hAnsiTheme="minorHAnsi"/>
                <w:szCs w:val="20"/>
              </w:rPr>
              <w:t xml:space="preserve"> be a civil penalty provision. </w:t>
            </w:r>
          </w:p>
          <w:p w:rsidR="00BD218B" w:rsidRPr="00BD218B" w:rsidRDefault="00BD218B" w:rsidP="00BD218B">
            <w:pPr>
              <w:pStyle w:val="Heading8"/>
              <w:spacing w:before="60"/>
              <w:outlineLvl w:val="7"/>
              <w:rPr>
                <w:rFonts w:asciiTheme="minorHAnsi" w:hAnsiTheme="minorHAnsi"/>
                <w:szCs w:val="20"/>
              </w:rPr>
            </w:pPr>
            <w:r w:rsidRPr="00BD218B">
              <w:rPr>
                <w:rFonts w:asciiTheme="minorHAnsi" w:hAnsiTheme="minorHAnsi"/>
                <w:szCs w:val="20"/>
              </w:rPr>
              <w:t>See also rule advice 6-E.</w:t>
            </w:r>
          </w:p>
          <w:p w:rsidR="00440BC7" w:rsidRPr="00C733B4" w:rsidRDefault="00BD218B" w:rsidP="00035824">
            <w:pPr>
              <w:spacing w:before="60" w:after="60"/>
              <w:rPr>
                <w:rFonts w:asciiTheme="minorHAnsi" w:hAnsiTheme="minorHAnsi"/>
                <w:sz w:val="20"/>
                <w:szCs w:val="20"/>
              </w:rPr>
            </w:pPr>
            <w:r w:rsidRPr="00BD218B">
              <w:rPr>
                <w:rFonts w:asciiTheme="minorHAnsi" w:hAnsiTheme="minorHAnsi"/>
                <w:szCs w:val="20"/>
              </w:rPr>
              <w:t>This rule advice is</w:t>
            </w:r>
            <w:r w:rsidRPr="00BD218B">
              <w:rPr>
                <w:rFonts w:asciiTheme="minorHAnsi" w:hAnsiTheme="minorHAnsi"/>
                <w:i/>
                <w:szCs w:val="20"/>
              </w:rPr>
              <w:t xml:space="preserve"> </w:t>
            </w:r>
            <w:r w:rsidRPr="00BD218B">
              <w:rPr>
                <w:rFonts w:asciiTheme="minorHAnsi" w:hAnsiTheme="minorHAnsi"/>
                <w:szCs w:val="20"/>
              </w:rPr>
              <w:t>implemented in rules 71 and 74 of the proposed Water Charge Rules.</w:t>
            </w:r>
            <w:r w:rsidR="00440BC7" w:rsidRPr="00C733B4">
              <w:rPr>
                <w:rFonts w:asciiTheme="minorHAnsi" w:hAnsiTheme="minorHAnsi"/>
                <w:sz w:val="20"/>
                <w:szCs w:val="20"/>
              </w:rPr>
              <w:fldChar w:fldCharType="end"/>
            </w:r>
          </w:p>
        </w:tc>
        <w:tc>
          <w:tcPr>
            <w:tcW w:w="3118" w:type="dxa"/>
            <w:shd w:val="clear" w:color="auto" w:fill="D6E3BC" w:themeFill="accent3" w:themeFillTint="66"/>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The Final Advice adds the following elements:</w:t>
            </w:r>
          </w:p>
          <w:p w:rsidR="009845D5" w:rsidRPr="00C733B4" w:rsidRDefault="000651D4"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A</w:t>
            </w:r>
            <w:r w:rsidR="009845D5" w:rsidRPr="00C733B4">
              <w:rPr>
                <w:rFonts w:asciiTheme="minorHAnsi" w:hAnsiTheme="minorHAnsi"/>
                <w:sz w:val="20"/>
              </w:rPr>
              <w:t>n operator may require that a request for information be submitted in writing (but if it does so, it must tell customers that this is the case).</w:t>
            </w:r>
          </w:p>
          <w:p w:rsidR="009845D5" w:rsidRPr="00C733B4" w:rsidRDefault="009845D5"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 xml:space="preserve">The Final Advice makes clear that </w:t>
            </w:r>
            <w:r w:rsidR="006909F3" w:rsidRPr="00C733B4">
              <w:rPr>
                <w:rFonts w:asciiTheme="minorHAnsi" w:hAnsiTheme="minorHAnsi"/>
                <w:sz w:val="20"/>
              </w:rPr>
              <w:t xml:space="preserve">the operator does not need to provide information again </w:t>
            </w:r>
            <w:r w:rsidRPr="00C733B4">
              <w:rPr>
                <w:rFonts w:asciiTheme="minorHAnsi" w:hAnsiTheme="minorHAnsi"/>
                <w:sz w:val="20"/>
              </w:rPr>
              <w:t>if a customer</w:t>
            </w:r>
            <w:r w:rsidR="006909F3" w:rsidRPr="00C733B4">
              <w:rPr>
                <w:rFonts w:asciiTheme="minorHAnsi" w:hAnsiTheme="minorHAnsi"/>
                <w:sz w:val="20"/>
              </w:rPr>
              <w:t xml:space="preserve"> wants to proceed with termination</w:t>
            </w:r>
            <w:r w:rsidRPr="00C733B4">
              <w:rPr>
                <w:rFonts w:asciiTheme="minorHAnsi" w:hAnsiTheme="minorHAnsi"/>
                <w:sz w:val="20"/>
              </w:rPr>
              <w:t xml:space="preserve"> within </w:t>
            </w:r>
            <w:r w:rsidR="003945A1" w:rsidRPr="00C733B4">
              <w:rPr>
                <w:rFonts w:asciiTheme="minorHAnsi" w:hAnsiTheme="minorHAnsi"/>
                <w:sz w:val="20"/>
              </w:rPr>
              <w:t>six months</w:t>
            </w:r>
            <w:r w:rsidRPr="00C733B4">
              <w:rPr>
                <w:rFonts w:asciiTheme="minorHAnsi" w:hAnsiTheme="minorHAnsi"/>
                <w:sz w:val="20"/>
              </w:rPr>
              <w:t xml:space="preserve"> of </w:t>
            </w:r>
            <w:r w:rsidR="00651ACD" w:rsidRPr="00C733B4">
              <w:rPr>
                <w:rFonts w:asciiTheme="minorHAnsi" w:hAnsiTheme="minorHAnsi"/>
                <w:sz w:val="20"/>
              </w:rPr>
              <w:t xml:space="preserve">being given </w:t>
            </w:r>
            <w:r w:rsidR="006909F3" w:rsidRPr="00C733B4">
              <w:rPr>
                <w:rFonts w:asciiTheme="minorHAnsi" w:hAnsiTheme="minorHAnsi"/>
                <w:sz w:val="20"/>
              </w:rPr>
              <w:t>a ‘termination information statement’ from the operator</w:t>
            </w:r>
            <w:r w:rsidRPr="00C733B4">
              <w:rPr>
                <w:rFonts w:asciiTheme="minorHAnsi" w:hAnsiTheme="minorHAnsi"/>
                <w:sz w:val="20"/>
              </w:rPr>
              <w:t>.</w:t>
            </w:r>
          </w:p>
          <w:p w:rsidR="00100481" w:rsidRPr="00C733B4" w:rsidRDefault="00100481" w:rsidP="0018797D">
            <w:pPr>
              <w:pStyle w:val="TableBulletLvl1"/>
              <w:tabs>
                <w:tab w:val="clear" w:pos="426"/>
                <w:tab w:val="left" w:pos="508"/>
              </w:tabs>
              <w:ind w:left="0" w:firstLine="224"/>
              <w:rPr>
                <w:rFonts w:asciiTheme="minorHAnsi" w:hAnsiTheme="minorHAnsi"/>
                <w:sz w:val="20"/>
              </w:rPr>
            </w:pPr>
            <w:r w:rsidRPr="00C733B4">
              <w:rPr>
                <w:rFonts w:asciiTheme="minorHAnsi" w:hAnsiTheme="minorHAnsi"/>
                <w:sz w:val="20"/>
              </w:rPr>
              <w:t>The Final Advice makes clear that the general termination fee “quote” provided in a termination information statement may not be exceeded if the customer proceeds with termination / surrender within 6 months.</w:t>
            </w:r>
          </w:p>
        </w:tc>
      </w:tr>
      <w:tr w:rsidR="009845D5" w:rsidRPr="00C733B4" w:rsidTr="007040B9">
        <w:trPr>
          <w:trHeight w:val="145"/>
        </w:trPr>
        <w:tc>
          <w:tcPr>
            <w:tcW w:w="11307" w:type="dxa"/>
          </w:tcPr>
          <w:p w:rsidR="00440BC7" w:rsidRPr="00C733B4" w:rsidRDefault="009845D5" w:rsidP="0018797D">
            <w:pPr>
              <w:pStyle w:val="TOC2"/>
            </w:pPr>
            <w:r w:rsidRPr="00C733B4">
              <w:t>Rule advice 6</w:t>
            </w:r>
            <w:r w:rsidRPr="00C733B4">
              <w:noBreakHyphen/>
              <w:t xml:space="preserve">G </w:t>
            </w:r>
            <w:r w:rsidRPr="00C733B4">
              <w:rPr>
                <w:rStyle w:val="Hyperlink"/>
                <w:b w:val="0"/>
                <w:color w:val="auto"/>
                <w:szCs w:val="20"/>
                <w:u w:val="none"/>
              </w:rPr>
              <w:t>(section 6.2.3)</w:t>
            </w:r>
            <w:r w:rsidRPr="00C733B4">
              <w:t xml:space="preserve"> </w:t>
            </w:r>
          </w:p>
          <w:p w:rsidR="00BD218B" w:rsidRPr="00BD218B" w:rsidRDefault="00440BC7" w:rsidP="00BD218B">
            <w:pPr>
              <w:pStyle w:val="Heading8"/>
              <w:keepNext/>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Rule_Advice_6G \h </w:instrText>
            </w:r>
            <w:r w:rsidR="00915713" w:rsidRPr="00C733B4">
              <w:rPr>
                <w:rFonts w:asciiTheme="minorHAnsi" w:hAnsiTheme="minorHAnsi"/>
                <w:szCs w:val="20"/>
              </w:rPr>
              <w:instrText xml:space="preserve">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rules should be amended to make clear that the operation of proposed subrule 71(9)(b) (current rule WCTFR 6(2)(b)) should be confined to where an operator provides a service for the storage of water using its own water service infrastructure.</w:t>
            </w:r>
          </w:p>
          <w:p w:rsidR="00440BC7" w:rsidRPr="00C733B4" w:rsidRDefault="00BD218B" w:rsidP="008A39E9">
            <w:pPr>
              <w:spacing w:before="60"/>
              <w:rPr>
                <w:rFonts w:asciiTheme="minorHAnsi" w:hAnsiTheme="minorHAnsi"/>
                <w:sz w:val="20"/>
                <w:szCs w:val="20"/>
              </w:rPr>
            </w:pPr>
            <w:r w:rsidRPr="00BD218B">
              <w:rPr>
                <w:rFonts w:asciiTheme="minorHAnsi" w:hAnsiTheme="minorHAnsi"/>
                <w:sz w:val="20"/>
                <w:szCs w:val="20"/>
              </w:rPr>
              <w:t xml:space="preserve">This rule advice is implemented in subrule 71(9)(b) of the proposed Water Charge Rules. </w:t>
            </w:r>
            <w:r w:rsidR="00440BC7" w:rsidRPr="00C733B4">
              <w:rPr>
                <w:rFonts w:asciiTheme="minorHAnsi" w:hAnsiTheme="minorHAnsi"/>
                <w:sz w:val="20"/>
                <w:szCs w:val="20"/>
              </w:rPr>
              <w:fldChar w:fldCharType="end"/>
            </w:r>
          </w:p>
          <w:p w:rsidR="009845D5" w:rsidRPr="00C733B4" w:rsidRDefault="009845D5" w:rsidP="00035824">
            <w:pPr>
              <w:pStyle w:val="TOC3"/>
              <w:rPr>
                <w:rFonts w:asciiTheme="minorHAnsi" w:hAnsiTheme="minorHAnsi"/>
                <w:sz w:val="20"/>
              </w:rPr>
            </w:pPr>
          </w:p>
        </w:tc>
        <w:tc>
          <w:tcPr>
            <w:tcW w:w="3118" w:type="dxa"/>
            <w:shd w:val="clear" w:color="auto" w:fill="CCC0D9" w:themeFill="accent4" w:themeFillTint="66"/>
          </w:tcPr>
          <w:p w:rsidR="009845D5" w:rsidRPr="00C733B4" w:rsidRDefault="009845D5" w:rsidP="0018797D">
            <w:pPr>
              <w:spacing w:before="60" w:after="60"/>
              <w:jc w:val="center"/>
              <w:rPr>
                <w:rFonts w:asciiTheme="minorHAnsi" w:hAnsiTheme="minorHAnsi"/>
                <w:b/>
                <w:sz w:val="20"/>
                <w:szCs w:val="20"/>
              </w:rPr>
            </w:pPr>
            <w:r w:rsidRPr="00C733B4">
              <w:rPr>
                <w:rFonts w:asciiTheme="minorHAnsi" w:hAnsiTheme="minorHAnsi"/>
                <w:b/>
                <w:sz w:val="20"/>
                <w:szCs w:val="20"/>
              </w:rPr>
              <w:t>New rule advice</w:t>
            </w:r>
          </w:p>
          <w:p w:rsidR="009845D5" w:rsidRPr="00C733B4" w:rsidRDefault="009845D5" w:rsidP="0018797D">
            <w:pPr>
              <w:spacing w:before="60" w:after="60"/>
              <w:rPr>
                <w:rFonts w:asciiTheme="minorHAnsi" w:hAnsiTheme="minorHAnsi"/>
                <w:sz w:val="20"/>
                <w:szCs w:val="20"/>
              </w:rPr>
            </w:pPr>
            <w:r w:rsidRPr="00C733B4">
              <w:rPr>
                <w:rFonts w:asciiTheme="minorHAnsi" w:hAnsiTheme="minorHAnsi"/>
                <w:sz w:val="20"/>
                <w:szCs w:val="20"/>
              </w:rPr>
              <w:t xml:space="preserve">This new rule advice responds to stakeholder concerns </w:t>
            </w:r>
            <w:r w:rsidR="003945A1" w:rsidRPr="00C733B4">
              <w:rPr>
                <w:rFonts w:asciiTheme="minorHAnsi" w:hAnsiTheme="minorHAnsi"/>
                <w:sz w:val="20"/>
                <w:szCs w:val="20"/>
              </w:rPr>
              <w:t>with</w:t>
            </w:r>
            <w:r w:rsidRPr="00C733B4">
              <w:rPr>
                <w:rFonts w:asciiTheme="minorHAnsi" w:hAnsiTheme="minorHAnsi"/>
                <w:sz w:val="20"/>
                <w:szCs w:val="20"/>
              </w:rPr>
              <w:t xml:space="preserve"> the current rules </w:t>
            </w:r>
            <w:r w:rsidR="003945A1" w:rsidRPr="00C733B4">
              <w:rPr>
                <w:rFonts w:asciiTheme="minorHAnsi" w:hAnsiTheme="minorHAnsi"/>
                <w:sz w:val="20"/>
                <w:szCs w:val="20"/>
              </w:rPr>
              <w:t xml:space="preserve">and Draft Advice regarding whether </w:t>
            </w:r>
            <w:r w:rsidRPr="00C733B4">
              <w:rPr>
                <w:rFonts w:asciiTheme="minorHAnsi" w:hAnsiTheme="minorHAnsi"/>
                <w:sz w:val="20"/>
                <w:szCs w:val="20"/>
              </w:rPr>
              <w:t>a termination fee may be imposed in a situation where an off-river IO facilitates customers’ access to carryover services provided by another operator.</w:t>
            </w:r>
          </w:p>
        </w:tc>
      </w:tr>
      <w:tr w:rsidR="009845D5" w:rsidRPr="00C733B4" w:rsidTr="007040B9">
        <w:trPr>
          <w:trHeight w:val="145"/>
        </w:trPr>
        <w:tc>
          <w:tcPr>
            <w:tcW w:w="14425" w:type="dxa"/>
            <w:gridSpan w:val="2"/>
            <w:shd w:val="clear" w:color="auto" w:fill="D9D9D9" w:themeFill="background1" w:themeFillShade="D9"/>
          </w:tcPr>
          <w:p w:rsidR="009845D5" w:rsidRPr="00C733B4" w:rsidRDefault="009845D5" w:rsidP="0018797D">
            <w:pPr>
              <w:spacing w:before="60" w:after="60"/>
              <w:rPr>
                <w:rFonts w:asciiTheme="minorHAnsi" w:hAnsiTheme="minorHAnsi"/>
                <w:b/>
                <w:sz w:val="20"/>
                <w:szCs w:val="20"/>
              </w:rPr>
            </w:pPr>
            <w:r w:rsidRPr="00C733B4">
              <w:rPr>
                <w:rStyle w:val="Hyperlink"/>
                <w:rFonts w:asciiTheme="minorHAnsi" w:hAnsiTheme="minorHAnsi"/>
                <w:b/>
                <w:color w:val="auto"/>
                <w:szCs w:val="20"/>
                <w:u w:val="none"/>
              </w:rPr>
              <w:t>Chapter 7—Water Charge (Planning and Management Information) Rules</w:t>
            </w:r>
          </w:p>
        </w:tc>
      </w:tr>
      <w:tr w:rsidR="00651ACD" w:rsidRPr="00C733B4" w:rsidTr="007040B9">
        <w:trPr>
          <w:trHeight w:val="145"/>
        </w:trPr>
        <w:tc>
          <w:tcPr>
            <w:tcW w:w="11307" w:type="dxa"/>
          </w:tcPr>
          <w:p w:rsidR="00651ACD" w:rsidRPr="00C733B4" w:rsidRDefault="00651ACD" w:rsidP="0018797D">
            <w:pPr>
              <w:pStyle w:val="TOC2"/>
            </w:pPr>
            <w:r w:rsidRPr="00C733B4">
              <w:t>Rule advice 7</w:t>
            </w:r>
            <w:r w:rsidRPr="00C733B4">
              <w:noBreakHyphen/>
              <w:t xml:space="preserve">A </w:t>
            </w:r>
            <w:r w:rsidRPr="00C733B4">
              <w:rPr>
                <w:rStyle w:val="Hyperlink"/>
                <w:b w:val="0"/>
                <w:color w:val="auto"/>
                <w:szCs w:val="20"/>
                <w:u w:val="none"/>
              </w:rPr>
              <w:t>(section 7.3)</w:t>
            </w:r>
          </w:p>
          <w:p w:rsidR="00BD218B" w:rsidRPr="00BD218B" w:rsidRDefault="00651ACD" w:rsidP="00BD218B">
            <w:pPr>
              <w:pStyle w:val="Heading8"/>
              <w:spacing w:before="60" w:after="0"/>
              <w:outlineLvl w:val="7"/>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Rule_Advice_7A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requirement to disclose the nature and cost of water planning and management activities related to planning and management charges (rules 5(2)(d) and 5(2)(j) of the WCPMIR) should be repealed.</w:t>
            </w:r>
          </w:p>
          <w:p w:rsidR="00651ACD" w:rsidRPr="00C733B4" w:rsidRDefault="00BD218B" w:rsidP="00035824">
            <w:pPr>
              <w:pStyle w:val="Heading8"/>
              <w:spacing w:before="60" w:after="60"/>
              <w:outlineLvl w:val="7"/>
              <w:rPr>
                <w:rFonts w:asciiTheme="minorHAnsi" w:hAnsiTheme="minorHAnsi"/>
                <w:szCs w:val="20"/>
              </w:rPr>
            </w:pPr>
            <w:r w:rsidRPr="00BD218B">
              <w:rPr>
                <w:rFonts w:asciiTheme="minorHAnsi" w:hAnsiTheme="minorHAnsi"/>
                <w:szCs w:val="20"/>
              </w:rPr>
              <w:t>This rule advice is implemented in the proposed repeal of the WCPMIR.</w:t>
            </w:r>
            <w:r w:rsidR="00651ACD" w:rsidRPr="00C733B4">
              <w:rPr>
                <w:rFonts w:asciiTheme="minorHAnsi" w:hAnsiTheme="minorHAnsi"/>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651ACD" w:rsidRPr="00C733B4" w:rsidTr="007040B9">
        <w:trPr>
          <w:cantSplit/>
          <w:trHeight w:val="145"/>
        </w:trPr>
        <w:tc>
          <w:tcPr>
            <w:tcW w:w="11307" w:type="dxa"/>
          </w:tcPr>
          <w:p w:rsidR="00651ACD" w:rsidRPr="00C733B4" w:rsidRDefault="00651ACD" w:rsidP="0018797D">
            <w:pPr>
              <w:pStyle w:val="TOC2"/>
            </w:pPr>
            <w:r w:rsidRPr="00C733B4">
              <w:t>Rule advice 7</w:t>
            </w:r>
            <w:r w:rsidRPr="00C733B4">
              <w:noBreakHyphen/>
              <w:t xml:space="preserve">B </w:t>
            </w:r>
            <w:r w:rsidRPr="00C733B4">
              <w:rPr>
                <w:rStyle w:val="Hyperlink"/>
                <w:b w:val="0"/>
                <w:color w:val="auto"/>
                <w:szCs w:val="20"/>
                <w:u w:val="none"/>
              </w:rPr>
              <w:t>(section 7.3)</w:t>
            </w:r>
          </w:p>
          <w:p w:rsidR="00BD218B" w:rsidRPr="00BD218B" w:rsidRDefault="00651ACD" w:rsidP="00BD218B">
            <w:pPr>
              <w:pStyle w:val="TOC3"/>
              <w:rPr>
                <w:rFonts w:asciiTheme="minorHAnsi" w:hAnsiTheme="minorHAnsi"/>
                <w:sz w:val="20"/>
              </w:rPr>
            </w:pPr>
            <w:r w:rsidRPr="00C733B4">
              <w:rPr>
                <w:rFonts w:asciiTheme="minorHAnsi" w:hAnsiTheme="minorHAnsi"/>
                <w:sz w:val="20"/>
              </w:rPr>
              <w:fldChar w:fldCharType="begin"/>
            </w:r>
            <w:r w:rsidRPr="00C733B4">
              <w:rPr>
                <w:rFonts w:asciiTheme="minorHAnsi" w:hAnsiTheme="minorHAnsi"/>
                <w:sz w:val="20"/>
              </w:rPr>
              <w:instrText xml:space="preserve"> REF  Rule_Advice_7B \h  \* MERGEFORMAT </w:instrText>
            </w:r>
            <w:r w:rsidRPr="00C733B4">
              <w:rPr>
                <w:rFonts w:asciiTheme="minorHAnsi" w:hAnsiTheme="minorHAnsi"/>
                <w:sz w:val="20"/>
              </w:rPr>
            </w:r>
            <w:r w:rsidRPr="00C733B4">
              <w:rPr>
                <w:rFonts w:asciiTheme="minorHAnsi" w:hAnsiTheme="minorHAnsi"/>
                <w:sz w:val="20"/>
              </w:rPr>
              <w:fldChar w:fldCharType="separate"/>
            </w:r>
            <w:r w:rsidR="00BD218B" w:rsidRPr="00BD218B">
              <w:rPr>
                <w:rFonts w:asciiTheme="minorHAnsi" w:hAnsiTheme="minorHAnsi"/>
                <w:sz w:val="20"/>
              </w:rPr>
              <w:t>The rules should be amended such that remaining requirements in the WCPMIR to disclose information about planning and management charges are retained and harmonised with the general pricing transparency requirements for infrastructure charges. These requirements are set out in rules advices 5-E and 5-F.</w:t>
            </w:r>
          </w:p>
          <w:p w:rsidR="00651ACD" w:rsidRPr="00C733B4" w:rsidRDefault="00BD218B" w:rsidP="00035824">
            <w:pPr>
              <w:pStyle w:val="TOC3"/>
              <w:rPr>
                <w:rFonts w:asciiTheme="minorHAnsi" w:hAnsiTheme="minorHAnsi"/>
              </w:rPr>
            </w:pPr>
            <w:r w:rsidRPr="00BD218B">
              <w:rPr>
                <w:rFonts w:asciiTheme="minorHAnsi" w:hAnsiTheme="minorHAnsi"/>
                <w:sz w:val="20"/>
              </w:rPr>
              <w:t>This rule advice is implemented in rule 11, 12 and 13 of the proposed Water Charge Rules.</w:t>
            </w:r>
            <w:r w:rsidR="00651ACD" w:rsidRPr="00C733B4">
              <w:rPr>
                <w:rFonts w:asciiTheme="minorHAnsi" w:hAnsiTheme="minorHAnsi"/>
                <w:sz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4425" w:type="dxa"/>
            <w:gridSpan w:val="2"/>
            <w:shd w:val="clear" w:color="auto" w:fill="D9D9D9" w:themeFill="background1" w:themeFillShade="D9"/>
          </w:tcPr>
          <w:p w:rsidR="009845D5" w:rsidRPr="00C733B4" w:rsidRDefault="009845D5" w:rsidP="0018797D">
            <w:pPr>
              <w:pStyle w:val="Heading2"/>
              <w:numPr>
                <w:ilvl w:val="0"/>
                <w:numId w:val="0"/>
              </w:numPr>
              <w:spacing w:before="60" w:after="60"/>
              <w:outlineLvl w:val="1"/>
              <w:rPr>
                <w:rFonts w:asciiTheme="minorHAnsi" w:hAnsiTheme="minorHAnsi"/>
                <w:sz w:val="20"/>
                <w:szCs w:val="20"/>
              </w:rPr>
            </w:pPr>
            <w:bookmarkStart w:id="47" w:name="_Ref456942933"/>
            <w:bookmarkStart w:id="48" w:name="_Toc461630678"/>
            <w:r w:rsidRPr="00C733B4">
              <w:rPr>
                <w:rStyle w:val="Hyperlink"/>
                <w:rFonts w:asciiTheme="minorHAnsi" w:hAnsiTheme="minorHAnsi"/>
                <w:color w:val="auto"/>
                <w:sz w:val="22"/>
                <w:szCs w:val="20"/>
                <w:u w:val="none"/>
              </w:rPr>
              <w:t xml:space="preserve">ACCC </w:t>
            </w:r>
            <w:bookmarkStart w:id="49" w:name="_Ref435531522"/>
            <w:bookmarkStart w:id="50" w:name="_Ref435531563"/>
            <w:bookmarkStart w:id="51" w:name="_Ref435531591"/>
            <w:bookmarkStart w:id="52" w:name="_Ref435536161"/>
            <w:bookmarkStart w:id="53" w:name="_Ref435536180"/>
            <w:bookmarkStart w:id="54" w:name="_Ref435536200"/>
            <w:bookmarkStart w:id="55" w:name="_Ref435536632"/>
            <w:bookmarkStart w:id="56" w:name="_Toc436122370"/>
            <w:bookmarkStart w:id="57" w:name="_Toc436122856"/>
            <w:bookmarkStart w:id="58" w:name="_Toc436124211"/>
            <w:bookmarkStart w:id="59" w:name="_Toc456785868"/>
            <w:r w:rsidR="001F142A" w:rsidRPr="00C733B4">
              <w:rPr>
                <w:rFonts w:asciiTheme="minorHAnsi" w:hAnsiTheme="minorHAnsi"/>
                <w:sz w:val="22"/>
                <w:szCs w:val="20"/>
              </w:rPr>
              <w:t>Recommendations</w:t>
            </w:r>
            <w:bookmarkEnd w:id="47"/>
            <w:bookmarkEnd w:id="48"/>
            <w:bookmarkEnd w:id="49"/>
            <w:bookmarkEnd w:id="50"/>
            <w:bookmarkEnd w:id="51"/>
            <w:bookmarkEnd w:id="52"/>
            <w:bookmarkEnd w:id="53"/>
            <w:bookmarkEnd w:id="54"/>
            <w:bookmarkEnd w:id="55"/>
            <w:bookmarkEnd w:id="56"/>
            <w:bookmarkEnd w:id="57"/>
            <w:bookmarkEnd w:id="58"/>
            <w:bookmarkEnd w:id="59"/>
          </w:p>
        </w:tc>
      </w:tr>
      <w:tr w:rsidR="009845D5" w:rsidRPr="00C733B4" w:rsidTr="007040B9">
        <w:trPr>
          <w:trHeight w:val="145"/>
        </w:trPr>
        <w:tc>
          <w:tcPr>
            <w:tcW w:w="11307" w:type="dxa"/>
          </w:tcPr>
          <w:p w:rsidR="00440BC7" w:rsidRPr="00C733B4" w:rsidRDefault="009845D5" w:rsidP="0018797D">
            <w:pPr>
              <w:pStyle w:val="TOC2"/>
            </w:pPr>
            <w:r w:rsidRPr="00C733B4">
              <w:t>Recommendation 4</w:t>
            </w:r>
            <w:r w:rsidRPr="00C733B4">
              <w:noBreakHyphen/>
              <w:t>A (section 4.2)</w:t>
            </w:r>
          </w:p>
          <w:p w:rsidR="00BD218B" w:rsidRPr="00BD218B" w:rsidRDefault="00440BC7" w:rsidP="00BD218B">
            <w:pPr>
              <w:pStyle w:val="Heading7"/>
              <w:widowControl w:val="0"/>
              <w:spacing w:before="60"/>
              <w:outlineLvl w:val="6"/>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Recommendation_4B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 xml:space="preserve">The ACCC will review its existing guidance material and, if any amendments are made to the water charge rules, develop new guidance material to help ensure stakeholders understand their rights and obligations under the rules. Future reviews of the ACCC’s guidance material will be undertaken in close consultation with industry stakeholders. </w:t>
            </w:r>
          </w:p>
          <w:p w:rsidR="009845D5" w:rsidRPr="00C733B4" w:rsidRDefault="00BD218B" w:rsidP="00485266">
            <w:pPr>
              <w:pStyle w:val="Heading7"/>
              <w:spacing w:before="60" w:after="60"/>
              <w:outlineLvl w:val="6"/>
              <w:rPr>
                <w:rFonts w:asciiTheme="minorHAnsi" w:hAnsiTheme="minorHAnsi"/>
                <w:szCs w:val="20"/>
              </w:rPr>
            </w:pPr>
            <w:r w:rsidRPr="00BD218B">
              <w:rPr>
                <w:rFonts w:asciiTheme="minorHAnsi" w:hAnsiTheme="minorHAnsi"/>
                <w:szCs w:val="20"/>
              </w:rPr>
              <w:t>The ACCC will work with Basin State economic regulators to ensure the Pricing Principles reflect regulatory best practice. The ongoing revision of the Pricing Principles can also serve as a useful platform for the development of nationally consistent approaches to regulatory issues in the rural water sector.</w:t>
            </w:r>
            <w:r w:rsidR="00440BC7" w:rsidRPr="00C733B4">
              <w:rPr>
                <w:rFonts w:asciiTheme="minorHAnsi" w:hAnsiTheme="minorHAnsi"/>
                <w:szCs w:val="20"/>
              </w:rPr>
              <w:fldChar w:fldCharType="end"/>
            </w:r>
          </w:p>
        </w:tc>
        <w:tc>
          <w:tcPr>
            <w:tcW w:w="3118" w:type="dxa"/>
            <w:shd w:val="clear" w:color="auto" w:fill="auto"/>
          </w:tcPr>
          <w:p w:rsidR="009845D5" w:rsidRPr="00C733B4" w:rsidRDefault="009845D5"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440BC7" w:rsidRPr="00C733B4" w:rsidRDefault="00440BC7" w:rsidP="0018797D">
            <w:pPr>
              <w:pStyle w:val="TOC2"/>
            </w:pPr>
            <w:r w:rsidRPr="00C733B4">
              <w:t>Recommendation 4</w:t>
            </w:r>
            <w:r w:rsidRPr="00C733B4">
              <w:noBreakHyphen/>
              <w:t>B (section 4.4)</w:t>
            </w:r>
          </w:p>
          <w:p w:rsidR="00BD218B" w:rsidRPr="00BD218B" w:rsidRDefault="00440BC7" w:rsidP="00BD218B">
            <w:pPr>
              <w:pStyle w:val="Heading7"/>
              <w:widowControl w:val="0"/>
              <w:spacing w:before="60" w:after="60"/>
              <w:outlineLvl w:val="6"/>
              <w:rPr>
                <w:rFonts w:asciiTheme="minorHAnsi" w:hAnsiTheme="minorHAnsi"/>
                <w:szCs w:val="20"/>
              </w:rPr>
            </w:pPr>
            <w:r w:rsidRPr="00C733B4">
              <w:rPr>
                <w:rFonts w:asciiTheme="minorHAnsi" w:hAnsiTheme="minorHAnsi"/>
                <w:b/>
                <w:szCs w:val="20"/>
              </w:rPr>
              <w:fldChar w:fldCharType="begin"/>
            </w:r>
            <w:r w:rsidRPr="00C733B4">
              <w:rPr>
                <w:rFonts w:asciiTheme="minorHAnsi" w:hAnsiTheme="minorHAnsi"/>
                <w:b/>
                <w:szCs w:val="20"/>
              </w:rPr>
              <w:instrText xml:space="preserve"> REF  Recommendation_4B \h  \* MERGEFORMAT </w:instrText>
            </w:r>
            <w:r w:rsidRPr="00C733B4">
              <w:rPr>
                <w:rFonts w:asciiTheme="minorHAnsi" w:hAnsiTheme="minorHAnsi"/>
                <w:b/>
                <w:szCs w:val="20"/>
              </w:rPr>
            </w:r>
            <w:r w:rsidRPr="00C733B4">
              <w:rPr>
                <w:rFonts w:asciiTheme="minorHAnsi" w:hAnsiTheme="minorHAnsi"/>
                <w:b/>
                <w:szCs w:val="20"/>
              </w:rPr>
              <w:fldChar w:fldCharType="separate"/>
            </w:r>
            <w:r w:rsidR="00BD218B" w:rsidRPr="00BD218B">
              <w:rPr>
                <w:rFonts w:asciiTheme="minorHAnsi" w:hAnsiTheme="minorHAnsi"/>
                <w:szCs w:val="20"/>
              </w:rPr>
              <w:t xml:space="preserve">The ACCC will review its existing guidance material and, if any amendments are made to the water charge rules, develop new guidance material to help ensure stakeholders understand their rights and obligations under the rules. Future reviews of the ACCC’s guidance material will be undertaken in close consultation with industry stakeholders. </w:t>
            </w:r>
          </w:p>
          <w:p w:rsidR="009845D5" w:rsidRPr="00C733B4" w:rsidRDefault="00BD218B" w:rsidP="00485266">
            <w:pPr>
              <w:pStyle w:val="Heading7"/>
              <w:spacing w:before="60" w:after="60"/>
              <w:outlineLvl w:val="6"/>
              <w:rPr>
                <w:rFonts w:asciiTheme="minorHAnsi" w:hAnsiTheme="minorHAnsi"/>
                <w:szCs w:val="20"/>
              </w:rPr>
            </w:pPr>
            <w:r w:rsidRPr="00BD218B">
              <w:rPr>
                <w:rFonts w:asciiTheme="minorHAnsi" w:hAnsiTheme="minorHAnsi"/>
                <w:szCs w:val="20"/>
              </w:rPr>
              <w:t>The ACCC will work with Basin State economic regulators to ensure the Pricing Principles reflect regulatory best practice. The ongoing revision of the Pricing Principles can also serve as a useful platform for the development of nationally consistent approaches to regulatory issues in the rural water sector.</w:t>
            </w:r>
            <w:r w:rsidR="00440BC7" w:rsidRPr="00C733B4">
              <w:rPr>
                <w:rFonts w:asciiTheme="minorHAnsi" w:hAnsiTheme="minorHAnsi"/>
                <w:b/>
                <w:szCs w:val="20"/>
              </w:rPr>
              <w:fldChar w:fldCharType="end"/>
            </w:r>
            <w:r w:rsidR="00440BC7" w:rsidRPr="00C733B4">
              <w:rPr>
                <w:rFonts w:asciiTheme="minorHAnsi" w:hAnsiTheme="minorHAnsi"/>
                <w:szCs w:val="20"/>
              </w:rPr>
              <w:t xml:space="preserve"> </w:t>
            </w:r>
          </w:p>
        </w:tc>
        <w:tc>
          <w:tcPr>
            <w:tcW w:w="3118" w:type="dxa"/>
            <w:shd w:val="clear" w:color="auto" w:fill="D6E3BC" w:themeFill="accent3" w:themeFillTint="66"/>
          </w:tcPr>
          <w:p w:rsidR="00BA4E95" w:rsidRPr="00C733B4" w:rsidRDefault="00BA4E95" w:rsidP="0018797D">
            <w:pPr>
              <w:spacing w:before="60" w:after="60"/>
              <w:jc w:val="center"/>
              <w:rPr>
                <w:rFonts w:asciiTheme="minorHAnsi" w:hAnsiTheme="minorHAnsi"/>
                <w:b/>
                <w:sz w:val="20"/>
                <w:szCs w:val="20"/>
              </w:rPr>
            </w:pPr>
            <w:r w:rsidRPr="00C733B4">
              <w:rPr>
                <w:rFonts w:asciiTheme="minorHAnsi" w:hAnsiTheme="minorHAnsi"/>
                <w:b/>
                <w:sz w:val="20"/>
                <w:szCs w:val="20"/>
              </w:rPr>
              <w:t>Some change</w:t>
            </w:r>
          </w:p>
          <w:p w:rsidR="003945A1" w:rsidRPr="00C733B4" w:rsidRDefault="00823E81" w:rsidP="0018797D">
            <w:pPr>
              <w:spacing w:before="60" w:after="60"/>
              <w:rPr>
                <w:rFonts w:asciiTheme="minorHAnsi" w:hAnsiTheme="minorHAnsi"/>
                <w:sz w:val="20"/>
                <w:szCs w:val="20"/>
              </w:rPr>
            </w:pPr>
            <w:r w:rsidRPr="00C733B4">
              <w:rPr>
                <w:rFonts w:asciiTheme="minorHAnsi" w:hAnsiTheme="minorHAnsi"/>
                <w:sz w:val="20"/>
                <w:szCs w:val="20"/>
              </w:rPr>
              <w:t>The recommendation has been expanded to include the ACCC’s guidance material for the rules more generally (beyond the ACCC Pricing Principles).</w:t>
            </w:r>
          </w:p>
        </w:tc>
      </w:tr>
      <w:tr w:rsidR="00651ACD" w:rsidRPr="00C733B4" w:rsidTr="007040B9">
        <w:trPr>
          <w:trHeight w:val="145"/>
        </w:trPr>
        <w:tc>
          <w:tcPr>
            <w:tcW w:w="11307" w:type="dxa"/>
            <w:shd w:val="clear" w:color="auto" w:fill="auto"/>
          </w:tcPr>
          <w:p w:rsidR="00651ACD" w:rsidRPr="00C733B4" w:rsidRDefault="00651ACD" w:rsidP="0018797D">
            <w:pPr>
              <w:pStyle w:val="TOC2"/>
            </w:pPr>
            <w:r w:rsidRPr="00C733B4">
              <w:t>Recommendation 4</w:t>
            </w:r>
            <w:r w:rsidRPr="00C733B4">
              <w:noBreakHyphen/>
              <w:t>C (section 4.5)</w:t>
            </w:r>
          </w:p>
          <w:p w:rsidR="00651ACD" w:rsidRPr="00C733B4" w:rsidRDefault="00651ACD" w:rsidP="00485266">
            <w:pPr>
              <w:pStyle w:val="Heading7"/>
              <w:spacing w:before="60" w:after="60"/>
              <w:outlineLvl w:val="6"/>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Recommendation_4C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ACCC will continue to monitor the necessity and benefit of asking for particular compliance information through its compliance monitoring processes and, in specific investigations, will continue to consider requests for extensions of time to respond to the ACCC where resourcing is a concern.</w:t>
            </w:r>
            <w:r w:rsidRPr="00C733B4">
              <w:rPr>
                <w:rFonts w:asciiTheme="minorHAnsi" w:hAnsiTheme="minorHAnsi"/>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651ACD" w:rsidRPr="00C733B4" w:rsidTr="007040B9">
        <w:trPr>
          <w:trHeight w:val="145"/>
        </w:trPr>
        <w:tc>
          <w:tcPr>
            <w:tcW w:w="11307" w:type="dxa"/>
          </w:tcPr>
          <w:p w:rsidR="00651ACD" w:rsidRPr="00C733B4" w:rsidRDefault="00651ACD" w:rsidP="0018797D">
            <w:pPr>
              <w:pStyle w:val="TOC2"/>
              <w:rPr>
                <w:rFonts w:cs="Times New Roman"/>
              </w:rPr>
            </w:pPr>
            <w:r w:rsidRPr="00C733B4">
              <w:t>Recommendation 4</w:t>
            </w:r>
            <w:r w:rsidRPr="00C733B4">
              <w:noBreakHyphen/>
              <w:t>D (section 4.5)</w:t>
            </w:r>
          </w:p>
          <w:p w:rsidR="00651ACD" w:rsidRPr="00C733B4" w:rsidRDefault="00651ACD" w:rsidP="00485266">
            <w:pPr>
              <w:pStyle w:val="Heading7"/>
              <w:spacing w:before="60" w:after="60"/>
              <w:outlineLvl w:val="6"/>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Recommendation_4D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The ACCC will continue to work closely with infrastructure operators to assist them in understanding and complying with any new rule requirements resulting from the ACCC’s review.</w:t>
            </w:r>
            <w:r w:rsidRPr="00C733B4">
              <w:rPr>
                <w:rFonts w:asciiTheme="minorHAnsi" w:hAnsiTheme="minorHAnsi"/>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9845D5" w:rsidRPr="00C733B4" w:rsidTr="007040B9">
        <w:trPr>
          <w:trHeight w:val="145"/>
        </w:trPr>
        <w:tc>
          <w:tcPr>
            <w:tcW w:w="11307" w:type="dxa"/>
          </w:tcPr>
          <w:p w:rsidR="00440BC7" w:rsidRPr="00C733B4" w:rsidRDefault="009845D5" w:rsidP="0018797D">
            <w:pPr>
              <w:pStyle w:val="TOC2"/>
            </w:pPr>
            <w:r w:rsidRPr="00C733B4">
              <w:t>Recommendation 4</w:t>
            </w:r>
            <w:r w:rsidRPr="00C733B4">
              <w:noBreakHyphen/>
              <w:t>E (section 4.7)</w:t>
            </w:r>
            <w:r w:rsidR="00440BC7" w:rsidRPr="00C733B4">
              <w:t xml:space="preserve"> </w:t>
            </w:r>
          </w:p>
          <w:p w:rsidR="00BD218B" w:rsidRPr="00BD218B" w:rsidRDefault="00440BC7" w:rsidP="00BD218B">
            <w:pPr>
              <w:pStyle w:val="Heading7"/>
              <w:spacing w:before="60"/>
              <w:outlineLvl w:val="6"/>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Recommendation_4E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Should the Minister decide to adopt the ACCC’s advice for amendments to the water charge rules, and such amendments are introduced (through an amending instrument) before 1 March 2017, the ACCC recommends that the transition date (the date the amendments take effect) should be 1 July 2017. In the event that the proposed amendments to the rules are not introduced until a later date, the transition date for the amendments should be adjusted accordingly.</w:t>
            </w:r>
          </w:p>
          <w:p w:rsidR="00BD218B" w:rsidRPr="00BD218B" w:rsidRDefault="00BD218B" w:rsidP="00BD218B">
            <w:pPr>
              <w:pStyle w:val="Heading7"/>
              <w:spacing w:before="60"/>
              <w:outlineLvl w:val="6"/>
              <w:rPr>
                <w:rFonts w:asciiTheme="minorHAnsi" w:hAnsiTheme="minorHAnsi"/>
                <w:szCs w:val="20"/>
              </w:rPr>
            </w:pPr>
            <w:r w:rsidRPr="00BD218B">
              <w:rPr>
                <w:rFonts w:asciiTheme="minorHAnsi" w:hAnsiTheme="minorHAnsi"/>
                <w:i/>
                <w:szCs w:val="20"/>
              </w:rPr>
              <w:t xml:space="preserve">Note: </w:t>
            </w:r>
            <w:r w:rsidRPr="00BD218B">
              <w:rPr>
                <w:rFonts w:asciiTheme="minorHAnsi" w:hAnsiTheme="minorHAnsi"/>
                <w:szCs w:val="20"/>
              </w:rPr>
              <w:t>the ACCC has recommended that the proposed amendments to rule 10 (non-discrimination) apply from a later date—see recommendation 5-A.</w:t>
            </w:r>
          </w:p>
          <w:p w:rsidR="009845D5" w:rsidRPr="00C733B4" w:rsidRDefault="00BD218B" w:rsidP="00485266">
            <w:pPr>
              <w:pStyle w:val="Heading7"/>
              <w:spacing w:before="60" w:after="60"/>
              <w:outlineLvl w:val="6"/>
              <w:rPr>
                <w:rFonts w:asciiTheme="minorHAnsi" w:hAnsiTheme="minorHAnsi"/>
                <w:szCs w:val="20"/>
              </w:rPr>
            </w:pPr>
            <w:r w:rsidRPr="00BD218B">
              <w:rPr>
                <w:rFonts w:asciiTheme="minorHAnsi" w:hAnsiTheme="minorHAnsi"/>
                <w:i/>
                <w:szCs w:val="20"/>
              </w:rPr>
              <w:t xml:space="preserve">Note: </w:t>
            </w:r>
            <w:r w:rsidRPr="00BD218B">
              <w:rPr>
                <w:rFonts w:asciiTheme="minorHAnsi" w:hAnsiTheme="minorHAnsi"/>
                <w:szCs w:val="20"/>
              </w:rPr>
              <w:t>particular timing issues relating to Network Service Plans (NSPs) (Part 5) are considered in section 5.5.</w:t>
            </w:r>
            <w:r w:rsidR="00440BC7" w:rsidRPr="00C733B4">
              <w:rPr>
                <w:rFonts w:asciiTheme="minorHAnsi" w:hAnsiTheme="minorHAnsi"/>
                <w:szCs w:val="20"/>
              </w:rPr>
              <w:fldChar w:fldCharType="end"/>
            </w:r>
          </w:p>
        </w:tc>
        <w:tc>
          <w:tcPr>
            <w:tcW w:w="3118" w:type="dxa"/>
            <w:shd w:val="clear" w:color="auto" w:fill="CCC0D9" w:themeFill="accent4" w:themeFillTint="66"/>
          </w:tcPr>
          <w:p w:rsidR="009845D5" w:rsidRPr="00C733B4" w:rsidRDefault="009845D5" w:rsidP="0018797D">
            <w:pPr>
              <w:spacing w:before="60" w:after="60"/>
              <w:jc w:val="center"/>
              <w:rPr>
                <w:rFonts w:asciiTheme="minorHAnsi" w:hAnsiTheme="minorHAnsi"/>
                <w:b/>
                <w:sz w:val="20"/>
                <w:szCs w:val="20"/>
              </w:rPr>
            </w:pPr>
            <w:r w:rsidRPr="00C733B4">
              <w:rPr>
                <w:rFonts w:asciiTheme="minorHAnsi" w:hAnsiTheme="minorHAnsi"/>
                <w:b/>
                <w:sz w:val="20"/>
                <w:szCs w:val="20"/>
              </w:rPr>
              <w:t>New recommendation</w:t>
            </w:r>
          </w:p>
          <w:p w:rsidR="00823E81" w:rsidRPr="00C733B4" w:rsidRDefault="00823E81" w:rsidP="0018797D">
            <w:pPr>
              <w:spacing w:before="60" w:after="60"/>
              <w:rPr>
                <w:rFonts w:asciiTheme="minorHAnsi" w:hAnsiTheme="minorHAnsi"/>
                <w:sz w:val="20"/>
                <w:szCs w:val="20"/>
              </w:rPr>
            </w:pPr>
            <w:r w:rsidRPr="00C733B4">
              <w:rPr>
                <w:rFonts w:asciiTheme="minorHAnsi" w:hAnsiTheme="minorHAnsi"/>
                <w:sz w:val="20"/>
                <w:szCs w:val="20"/>
              </w:rPr>
              <w:t xml:space="preserve">The Final Advice now includes an express recommendation regarding the preferred </w:t>
            </w:r>
            <w:r w:rsidR="00651ACD" w:rsidRPr="00C733B4">
              <w:rPr>
                <w:rFonts w:asciiTheme="minorHAnsi" w:hAnsiTheme="minorHAnsi"/>
                <w:sz w:val="20"/>
                <w:szCs w:val="20"/>
              </w:rPr>
              <w:t xml:space="preserve">transition </w:t>
            </w:r>
            <w:r w:rsidRPr="00C733B4">
              <w:rPr>
                <w:rFonts w:asciiTheme="minorHAnsi" w:hAnsiTheme="minorHAnsi"/>
                <w:sz w:val="20"/>
                <w:szCs w:val="20"/>
              </w:rPr>
              <w:t xml:space="preserve">date for the proposed rule amendments. </w:t>
            </w:r>
          </w:p>
        </w:tc>
      </w:tr>
      <w:tr w:rsidR="009845D5" w:rsidRPr="00C733B4" w:rsidTr="007040B9">
        <w:trPr>
          <w:trHeight w:val="145"/>
        </w:trPr>
        <w:tc>
          <w:tcPr>
            <w:tcW w:w="11307" w:type="dxa"/>
          </w:tcPr>
          <w:p w:rsidR="00440BC7" w:rsidRPr="00C733B4" w:rsidRDefault="009845D5" w:rsidP="0018797D">
            <w:pPr>
              <w:pStyle w:val="TOC2"/>
            </w:pPr>
            <w:r w:rsidRPr="00C733B4">
              <w:t>Recommendation 5</w:t>
            </w:r>
            <w:r w:rsidRPr="00C733B4">
              <w:noBreakHyphen/>
              <w:t>A (section 5.3.1)</w:t>
            </w:r>
          </w:p>
          <w:p w:rsidR="00BD218B" w:rsidRPr="00BD218B" w:rsidRDefault="00440BC7" w:rsidP="00BD218B">
            <w:pPr>
              <w:pStyle w:val="Heading7"/>
              <w:spacing w:before="60"/>
              <w:outlineLvl w:val="6"/>
              <w:rPr>
                <w:rFonts w:asciiTheme="minorHAnsi" w:hAnsiTheme="minorHAnsi"/>
                <w:szCs w:val="20"/>
              </w:rPr>
            </w:pPr>
            <w:r w:rsidRPr="00C733B4">
              <w:rPr>
                <w:rFonts w:asciiTheme="minorHAnsi" w:hAnsiTheme="minorHAnsi"/>
                <w:b/>
                <w:szCs w:val="20"/>
              </w:rPr>
              <w:fldChar w:fldCharType="begin"/>
            </w:r>
            <w:r w:rsidRPr="00C733B4">
              <w:rPr>
                <w:rFonts w:asciiTheme="minorHAnsi" w:hAnsiTheme="minorHAnsi"/>
                <w:b/>
                <w:szCs w:val="20"/>
              </w:rPr>
              <w:instrText xml:space="preserve"> REF  Recommendation_5A \h  \* MERGEFORMAT </w:instrText>
            </w:r>
            <w:r w:rsidRPr="00C733B4">
              <w:rPr>
                <w:rFonts w:asciiTheme="minorHAnsi" w:hAnsiTheme="minorHAnsi"/>
                <w:b/>
                <w:szCs w:val="20"/>
              </w:rPr>
            </w:r>
            <w:r w:rsidRPr="00C733B4">
              <w:rPr>
                <w:rFonts w:asciiTheme="minorHAnsi" w:hAnsiTheme="minorHAnsi"/>
                <w:b/>
                <w:szCs w:val="20"/>
              </w:rPr>
              <w:fldChar w:fldCharType="separate"/>
            </w:r>
            <w:r w:rsidR="00BD218B" w:rsidRPr="00BD218B">
              <w:rPr>
                <w:rFonts w:asciiTheme="minorHAnsi" w:hAnsiTheme="minorHAnsi"/>
                <w:szCs w:val="20"/>
              </w:rPr>
              <w:t>The proposed amendments to rule 10 (set out in rule advices 5-A and 5-B) should not apply before 1 July 2018, even if the ACCC’s recommendation 4-E is adopted and other amendments to the rules commence on 1 July 2017.</w:t>
            </w:r>
          </w:p>
          <w:p w:rsidR="009845D5" w:rsidRPr="00C733B4" w:rsidRDefault="00BD218B" w:rsidP="008A39E9">
            <w:pPr>
              <w:pStyle w:val="Heading7"/>
              <w:spacing w:before="60"/>
              <w:outlineLvl w:val="6"/>
              <w:rPr>
                <w:rFonts w:asciiTheme="minorHAnsi" w:hAnsiTheme="minorHAnsi"/>
                <w:szCs w:val="20"/>
              </w:rPr>
            </w:pPr>
            <w:r w:rsidRPr="00BD218B">
              <w:rPr>
                <w:rFonts w:asciiTheme="minorHAnsi" w:hAnsiTheme="minorHAnsi"/>
                <w:szCs w:val="20"/>
              </w:rPr>
              <w:t>See</w:t>
            </w:r>
            <w:r w:rsidRPr="00BD218B">
              <w:rPr>
                <w:rFonts w:asciiTheme="minorHAnsi" w:hAnsiTheme="minorHAnsi"/>
                <w:i/>
                <w:szCs w:val="20"/>
              </w:rPr>
              <w:t xml:space="preserve"> also recommendation 4-E.</w:t>
            </w:r>
            <w:r w:rsidR="00440BC7" w:rsidRPr="00C733B4">
              <w:rPr>
                <w:rFonts w:asciiTheme="minorHAnsi" w:hAnsiTheme="minorHAnsi"/>
                <w:b/>
                <w:szCs w:val="20"/>
              </w:rPr>
              <w:fldChar w:fldCharType="end"/>
            </w:r>
            <w:r w:rsidR="00440BC7" w:rsidRPr="00C733B4">
              <w:rPr>
                <w:rFonts w:asciiTheme="minorHAnsi" w:hAnsiTheme="minorHAnsi"/>
                <w:szCs w:val="20"/>
              </w:rPr>
              <w:t xml:space="preserve"> </w:t>
            </w:r>
          </w:p>
        </w:tc>
        <w:tc>
          <w:tcPr>
            <w:tcW w:w="3118" w:type="dxa"/>
            <w:shd w:val="clear" w:color="auto" w:fill="CCC0D9" w:themeFill="accent4" w:themeFillTint="66"/>
          </w:tcPr>
          <w:p w:rsidR="009845D5" w:rsidRPr="00C733B4" w:rsidRDefault="009845D5" w:rsidP="0018797D">
            <w:pPr>
              <w:spacing w:before="60" w:after="60"/>
              <w:jc w:val="center"/>
              <w:rPr>
                <w:rFonts w:asciiTheme="minorHAnsi" w:hAnsiTheme="minorHAnsi"/>
                <w:b/>
                <w:sz w:val="20"/>
                <w:szCs w:val="20"/>
              </w:rPr>
            </w:pPr>
            <w:r w:rsidRPr="00C733B4">
              <w:rPr>
                <w:rFonts w:asciiTheme="minorHAnsi" w:hAnsiTheme="minorHAnsi"/>
                <w:b/>
                <w:sz w:val="20"/>
                <w:szCs w:val="20"/>
              </w:rPr>
              <w:t>New recommendation</w:t>
            </w:r>
          </w:p>
          <w:p w:rsidR="00823E81" w:rsidRPr="00C733B4" w:rsidRDefault="00823E81" w:rsidP="0018797D">
            <w:pPr>
              <w:spacing w:before="60" w:after="60"/>
              <w:rPr>
                <w:rFonts w:asciiTheme="minorHAnsi" w:hAnsiTheme="minorHAnsi"/>
                <w:sz w:val="20"/>
                <w:szCs w:val="20"/>
              </w:rPr>
            </w:pPr>
            <w:r w:rsidRPr="00C733B4">
              <w:rPr>
                <w:rFonts w:asciiTheme="minorHAnsi" w:hAnsiTheme="minorHAnsi"/>
                <w:sz w:val="20"/>
                <w:szCs w:val="20"/>
              </w:rPr>
              <w:t>The Final Advice recommends a later commencement date in relation to proposed rule 10 in response to operator concerns with implementation issues.</w:t>
            </w:r>
          </w:p>
        </w:tc>
      </w:tr>
      <w:tr w:rsidR="00651ACD" w:rsidRPr="00C733B4" w:rsidTr="007040B9">
        <w:trPr>
          <w:trHeight w:val="867"/>
        </w:trPr>
        <w:tc>
          <w:tcPr>
            <w:tcW w:w="11307" w:type="dxa"/>
          </w:tcPr>
          <w:p w:rsidR="00651ACD" w:rsidRPr="00C733B4" w:rsidRDefault="00651ACD" w:rsidP="0018797D">
            <w:pPr>
              <w:pStyle w:val="TOC2"/>
              <w:rPr>
                <w:rStyle w:val="Hyperlink"/>
                <w:b w:val="0"/>
                <w:color w:val="auto"/>
                <w:szCs w:val="20"/>
                <w:u w:val="none"/>
              </w:rPr>
            </w:pPr>
            <w:r w:rsidRPr="00C733B4">
              <w:t>Recommendation 6</w:t>
            </w:r>
            <w:r w:rsidRPr="00C733B4">
              <w:noBreakHyphen/>
              <w:t>A</w:t>
            </w:r>
            <w:r w:rsidRPr="00C733B4">
              <w:rPr>
                <w:rStyle w:val="Hyperlink"/>
                <w:color w:val="auto"/>
                <w:szCs w:val="20"/>
                <w:u w:val="none"/>
              </w:rPr>
              <w:t xml:space="preserve"> </w:t>
            </w:r>
            <w:r w:rsidRPr="00C733B4">
              <w:rPr>
                <w:rStyle w:val="Hyperlink"/>
                <w:b w:val="0"/>
                <w:color w:val="auto"/>
                <w:szCs w:val="20"/>
                <w:u w:val="none"/>
              </w:rPr>
              <w:t>(section 6.2.1)</w:t>
            </w:r>
          </w:p>
          <w:p w:rsidR="00BD218B" w:rsidRPr="00BD218B" w:rsidRDefault="00651ACD" w:rsidP="00BD218B">
            <w:pPr>
              <w:spacing w:before="60"/>
              <w:rPr>
                <w:rFonts w:asciiTheme="minorHAnsi" w:hAnsiTheme="minorHAnsi"/>
                <w:sz w:val="20"/>
                <w:szCs w:val="20"/>
              </w:rPr>
            </w:pPr>
            <w:r w:rsidRPr="00C733B4">
              <w:rPr>
                <w:rFonts w:asciiTheme="minorHAnsi" w:hAnsiTheme="minorHAnsi"/>
                <w:sz w:val="20"/>
                <w:szCs w:val="20"/>
              </w:rPr>
              <w:fldChar w:fldCharType="begin"/>
            </w:r>
            <w:r w:rsidRPr="00C733B4">
              <w:rPr>
                <w:rFonts w:asciiTheme="minorHAnsi" w:hAnsiTheme="minorHAnsi"/>
                <w:sz w:val="20"/>
                <w:szCs w:val="20"/>
              </w:rPr>
              <w:instrText xml:space="preserve"> REF  Recommendation_6A \h  \* MERGEFORMAT </w:instrText>
            </w:r>
            <w:r w:rsidRPr="00C733B4">
              <w:rPr>
                <w:rFonts w:asciiTheme="minorHAnsi" w:hAnsiTheme="minorHAnsi"/>
                <w:sz w:val="20"/>
                <w:szCs w:val="20"/>
              </w:rPr>
            </w:r>
            <w:r w:rsidRPr="00C733B4">
              <w:rPr>
                <w:rFonts w:asciiTheme="minorHAnsi" w:hAnsiTheme="minorHAnsi"/>
                <w:sz w:val="20"/>
                <w:szCs w:val="20"/>
              </w:rPr>
              <w:fldChar w:fldCharType="separate"/>
            </w:r>
            <w:r w:rsidR="00BD218B" w:rsidRPr="00BD218B">
              <w:rPr>
                <w:rFonts w:asciiTheme="minorHAnsi" w:hAnsiTheme="minorHAnsi"/>
                <w:sz w:val="20"/>
                <w:szCs w:val="20"/>
              </w:rPr>
              <w:t>Infrastructure operators should provide information to their customers on how they have used and intend to use revenue from termination fees.</w:t>
            </w:r>
          </w:p>
          <w:p w:rsidR="00651ACD" w:rsidRPr="00C733B4" w:rsidRDefault="00BD218B" w:rsidP="00485266">
            <w:pPr>
              <w:keepLines/>
              <w:spacing w:before="60" w:after="60"/>
              <w:rPr>
                <w:rFonts w:asciiTheme="minorHAnsi" w:hAnsiTheme="minorHAnsi"/>
                <w:sz w:val="20"/>
                <w:szCs w:val="20"/>
              </w:rPr>
            </w:pPr>
            <w:r w:rsidRPr="00BD218B">
              <w:rPr>
                <w:rFonts w:asciiTheme="minorHAnsi" w:hAnsiTheme="minorHAnsi"/>
                <w:i/>
                <w:sz w:val="20"/>
                <w:szCs w:val="20"/>
              </w:rPr>
              <w:t xml:space="preserve">See also rule advice 5-E. </w:t>
            </w:r>
            <w:r w:rsidR="00651ACD" w:rsidRPr="00C733B4">
              <w:rPr>
                <w:rFonts w:asciiTheme="minorHAnsi" w:hAnsiTheme="minorHAnsi" w:cs="Times New Roman"/>
                <w:sz w:val="20"/>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651ACD" w:rsidRPr="00C733B4" w:rsidTr="007040B9">
        <w:trPr>
          <w:trHeight w:val="145"/>
        </w:trPr>
        <w:tc>
          <w:tcPr>
            <w:tcW w:w="11307" w:type="dxa"/>
          </w:tcPr>
          <w:p w:rsidR="00651ACD" w:rsidRPr="00C733B4" w:rsidRDefault="00651ACD" w:rsidP="0018797D">
            <w:pPr>
              <w:pStyle w:val="TOC2"/>
              <w:rPr>
                <w:rStyle w:val="Hyperlink"/>
                <w:b w:val="0"/>
                <w:color w:val="auto"/>
                <w:szCs w:val="20"/>
                <w:u w:val="none"/>
              </w:rPr>
            </w:pPr>
            <w:r w:rsidRPr="00C733B4">
              <w:t>Recommendation 7</w:t>
            </w:r>
            <w:r w:rsidRPr="00C733B4">
              <w:noBreakHyphen/>
              <w:t>A</w:t>
            </w:r>
            <w:r w:rsidRPr="00C733B4">
              <w:rPr>
                <w:rStyle w:val="Hyperlink"/>
                <w:b w:val="0"/>
                <w:color w:val="auto"/>
                <w:szCs w:val="20"/>
                <w:u w:val="none"/>
              </w:rPr>
              <w:t xml:space="preserve"> (section 7.2)</w:t>
            </w:r>
          </w:p>
          <w:p w:rsidR="00651ACD" w:rsidRPr="00C733B4" w:rsidRDefault="00651ACD" w:rsidP="00485266">
            <w:pPr>
              <w:pStyle w:val="TOC3"/>
              <w:rPr>
                <w:rFonts w:asciiTheme="minorHAnsi" w:hAnsiTheme="minorHAnsi"/>
                <w:sz w:val="20"/>
              </w:rPr>
            </w:pPr>
            <w:r w:rsidRPr="00C733B4">
              <w:rPr>
                <w:rFonts w:asciiTheme="minorHAnsi" w:hAnsiTheme="minorHAnsi"/>
                <w:sz w:val="20"/>
              </w:rPr>
              <w:fldChar w:fldCharType="begin"/>
            </w:r>
            <w:r w:rsidRPr="00C733B4">
              <w:rPr>
                <w:rFonts w:asciiTheme="minorHAnsi" w:hAnsiTheme="minorHAnsi"/>
                <w:sz w:val="20"/>
              </w:rPr>
              <w:instrText xml:space="preserve"> REF  Recommendation_7A \h  \* MERGEFORMAT </w:instrText>
            </w:r>
            <w:r w:rsidRPr="00C733B4">
              <w:rPr>
                <w:rFonts w:asciiTheme="minorHAnsi" w:hAnsiTheme="minorHAnsi"/>
                <w:sz w:val="20"/>
              </w:rPr>
            </w:r>
            <w:r w:rsidRPr="00C733B4">
              <w:rPr>
                <w:rFonts w:asciiTheme="minorHAnsi" w:hAnsiTheme="minorHAnsi"/>
                <w:sz w:val="20"/>
              </w:rPr>
              <w:fldChar w:fldCharType="separate"/>
            </w:r>
            <w:r w:rsidR="00BD218B" w:rsidRPr="00BD218B">
              <w:rPr>
                <w:rFonts w:asciiTheme="minorHAnsi" w:hAnsiTheme="minorHAnsi"/>
                <w:sz w:val="20"/>
              </w:rPr>
              <w:t xml:space="preserve">The ACCC supports the ongoing commitment made by governments to greater cost recovery for </w:t>
            </w:r>
            <w:r w:rsidR="00BD218B" w:rsidRPr="00BD218B">
              <w:rPr>
                <w:rStyle w:val="Heading8Char"/>
                <w:rFonts w:asciiTheme="minorHAnsi" w:hAnsiTheme="minorHAnsi"/>
              </w:rPr>
              <w:t>water</w:t>
            </w:r>
            <w:r w:rsidR="00BD218B" w:rsidRPr="00BD218B">
              <w:rPr>
                <w:rFonts w:asciiTheme="minorHAnsi" w:hAnsiTheme="minorHAnsi"/>
                <w:sz w:val="20"/>
              </w:rPr>
              <w:t xml:space="preserve"> planning and management activities, as part of the National Water Initiative, but recommends that the water charge rules are not an effective policy tool to ensure these commitments are met.</w:t>
            </w:r>
            <w:r w:rsidRPr="00C733B4">
              <w:rPr>
                <w:rFonts w:asciiTheme="minorHAnsi" w:hAnsiTheme="minorHAnsi"/>
                <w:sz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651ACD" w:rsidRPr="00C733B4" w:rsidTr="007040B9">
        <w:trPr>
          <w:trHeight w:val="145"/>
        </w:trPr>
        <w:tc>
          <w:tcPr>
            <w:tcW w:w="11307" w:type="dxa"/>
          </w:tcPr>
          <w:p w:rsidR="00651ACD" w:rsidRPr="00C733B4" w:rsidRDefault="00651ACD" w:rsidP="0018797D">
            <w:pPr>
              <w:pStyle w:val="TOC2"/>
            </w:pPr>
            <w:r w:rsidRPr="00C733B4">
              <w:t>Recommendation 8</w:t>
            </w:r>
            <w:r w:rsidRPr="00C733B4">
              <w:noBreakHyphen/>
              <w:t>A (section 8.1.1)</w:t>
            </w:r>
          </w:p>
          <w:p w:rsidR="00651ACD" w:rsidRPr="00C733B4" w:rsidRDefault="00651ACD" w:rsidP="00485266">
            <w:pPr>
              <w:spacing w:before="60" w:after="60"/>
              <w:rPr>
                <w:rFonts w:asciiTheme="minorHAnsi" w:hAnsiTheme="minorHAnsi"/>
                <w:sz w:val="20"/>
                <w:szCs w:val="20"/>
              </w:rPr>
            </w:pPr>
            <w:r w:rsidRPr="00C733B4">
              <w:rPr>
                <w:rFonts w:asciiTheme="minorHAnsi" w:hAnsiTheme="minorHAnsi"/>
                <w:sz w:val="20"/>
                <w:szCs w:val="20"/>
              </w:rPr>
              <w:fldChar w:fldCharType="begin"/>
            </w:r>
            <w:r w:rsidRPr="00C733B4">
              <w:rPr>
                <w:rFonts w:asciiTheme="minorHAnsi" w:hAnsiTheme="minorHAnsi"/>
                <w:sz w:val="20"/>
                <w:szCs w:val="20"/>
              </w:rPr>
              <w:instrText xml:space="preserve"> REF  Recommendation_8A \h  \* MERGEFORMAT </w:instrText>
            </w:r>
            <w:r w:rsidRPr="00C733B4">
              <w:rPr>
                <w:rFonts w:asciiTheme="minorHAnsi" w:hAnsiTheme="minorHAnsi"/>
                <w:sz w:val="20"/>
                <w:szCs w:val="20"/>
              </w:rPr>
            </w:r>
            <w:r w:rsidRPr="00C733B4">
              <w:rPr>
                <w:rFonts w:asciiTheme="minorHAnsi" w:hAnsiTheme="minorHAnsi"/>
                <w:sz w:val="20"/>
                <w:szCs w:val="20"/>
              </w:rPr>
              <w:fldChar w:fldCharType="separate"/>
            </w:r>
            <w:r w:rsidR="00BD218B" w:rsidRPr="00BD218B">
              <w:rPr>
                <w:rFonts w:asciiTheme="minorHAnsi" w:hAnsiTheme="minorHAnsi"/>
                <w:sz w:val="20"/>
                <w:szCs w:val="20"/>
              </w:rPr>
              <w:t>The ACCC recommends that the Australian Government work with Basin States to improve the accuracy and consistency of water trade reporting. In particular, water trading price data should be collected on a consistent basis in a way that can allow for the separation of market-based trades from other types of trades.</w:t>
            </w:r>
            <w:r w:rsidRPr="00C733B4">
              <w:rPr>
                <w:rFonts w:asciiTheme="minorHAnsi" w:hAnsiTheme="minorHAnsi"/>
                <w:sz w:val="20"/>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651ACD" w:rsidRPr="00C733B4" w:rsidTr="007040B9">
        <w:trPr>
          <w:cantSplit/>
          <w:trHeight w:val="145"/>
        </w:trPr>
        <w:tc>
          <w:tcPr>
            <w:tcW w:w="11307" w:type="dxa"/>
          </w:tcPr>
          <w:p w:rsidR="00651ACD" w:rsidRPr="00C733B4" w:rsidRDefault="00651ACD" w:rsidP="0018797D">
            <w:pPr>
              <w:pStyle w:val="TOC2"/>
            </w:pPr>
            <w:r w:rsidRPr="00C733B4">
              <w:t>Recommendation 8</w:t>
            </w:r>
            <w:r w:rsidRPr="00C733B4">
              <w:noBreakHyphen/>
              <w:t>B (section 8.1.2)</w:t>
            </w:r>
          </w:p>
          <w:p w:rsidR="00651ACD" w:rsidRPr="00C733B4" w:rsidRDefault="00651ACD" w:rsidP="00485266">
            <w:pPr>
              <w:pStyle w:val="Heading7"/>
              <w:spacing w:before="60" w:after="60"/>
              <w:outlineLvl w:val="6"/>
              <w:rPr>
                <w:rFonts w:asciiTheme="minorHAnsi" w:hAnsiTheme="minorHAnsi"/>
                <w:szCs w:val="20"/>
              </w:rPr>
            </w:pPr>
            <w:r w:rsidRPr="00C733B4">
              <w:rPr>
                <w:rFonts w:asciiTheme="minorHAnsi" w:hAnsiTheme="minorHAnsi"/>
                <w:szCs w:val="20"/>
              </w:rPr>
              <w:fldChar w:fldCharType="begin"/>
            </w:r>
            <w:r w:rsidRPr="00C733B4">
              <w:rPr>
                <w:rFonts w:asciiTheme="minorHAnsi" w:hAnsiTheme="minorHAnsi"/>
                <w:szCs w:val="20"/>
              </w:rPr>
              <w:instrText xml:space="preserve"> REF  Recommendation_8B \h  \* MERGEFORMAT </w:instrText>
            </w:r>
            <w:r w:rsidRPr="00C733B4">
              <w:rPr>
                <w:rFonts w:asciiTheme="minorHAnsi" w:hAnsiTheme="minorHAnsi"/>
                <w:szCs w:val="20"/>
              </w:rPr>
            </w:r>
            <w:r w:rsidRPr="00C733B4">
              <w:rPr>
                <w:rFonts w:asciiTheme="minorHAnsi" w:hAnsiTheme="minorHAnsi"/>
                <w:szCs w:val="20"/>
              </w:rPr>
              <w:fldChar w:fldCharType="separate"/>
            </w:r>
            <w:r w:rsidR="00BD218B" w:rsidRPr="00BD218B">
              <w:rPr>
                <w:rFonts w:asciiTheme="minorHAnsi" w:hAnsiTheme="minorHAnsi"/>
                <w:szCs w:val="20"/>
              </w:rPr>
              <w:t>Basin States, infrastructure operators, the MDBA and the ACCC should make it a priority to better inform rights holders of the benefits and obligations on right holders conferred by each type of tradeable water right, particularly in relation to charges payable and trading options.</w:t>
            </w:r>
            <w:r w:rsidRPr="00C733B4">
              <w:rPr>
                <w:rFonts w:asciiTheme="minorHAnsi" w:hAnsiTheme="minorHAnsi"/>
                <w:szCs w:val="20"/>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tr w:rsidR="00651ACD" w:rsidRPr="00C733B4" w:rsidTr="00C06B07">
        <w:trPr>
          <w:cantSplit/>
          <w:trHeight w:val="145"/>
        </w:trPr>
        <w:tc>
          <w:tcPr>
            <w:tcW w:w="11307" w:type="dxa"/>
            <w:shd w:val="clear" w:color="auto" w:fill="auto"/>
          </w:tcPr>
          <w:p w:rsidR="00651ACD" w:rsidRPr="00C733B4" w:rsidRDefault="00651ACD" w:rsidP="0018797D">
            <w:pPr>
              <w:pStyle w:val="TOC2"/>
            </w:pPr>
            <w:r w:rsidRPr="00C733B4">
              <w:t>Recommendation 8</w:t>
            </w:r>
            <w:r w:rsidRPr="00C733B4">
              <w:noBreakHyphen/>
              <w:t>C (section 8.3)</w:t>
            </w:r>
            <w:r w:rsidRPr="00C733B4">
              <w:tab/>
            </w:r>
          </w:p>
          <w:p w:rsidR="00BD218B" w:rsidRPr="00BD218B" w:rsidRDefault="00651ACD" w:rsidP="00BD218B">
            <w:pPr>
              <w:pStyle w:val="Ruleadvicebullet"/>
              <w:rPr>
                <w:rFonts w:asciiTheme="minorHAnsi" w:hAnsiTheme="minorHAnsi"/>
              </w:rPr>
            </w:pPr>
            <w:r w:rsidRPr="00C733B4">
              <w:rPr>
                <w:rFonts w:asciiTheme="minorHAnsi" w:hAnsiTheme="minorHAnsi"/>
              </w:rPr>
              <w:fldChar w:fldCharType="begin"/>
            </w:r>
            <w:r w:rsidRPr="00C733B4">
              <w:rPr>
                <w:rFonts w:asciiTheme="minorHAnsi" w:hAnsiTheme="minorHAnsi"/>
              </w:rPr>
              <w:instrText xml:space="preserve"> REF  Recommendation_8C \h  \* MERGEFORMAT </w:instrText>
            </w:r>
            <w:r w:rsidRPr="00C733B4">
              <w:rPr>
                <w:rFonts w:asciiTheme="minorHAnsi" w:hAnsiTheme="minorHAnsi"/>
              </w:rPr>
            </w:r>
            <w:r w:rsidRPr="00C733B4">
              <w:rPr>
                <w:rFonts w:asciiTheme="minorHAnsi" w:hAnsiTheme="minorHAnsi"/>
              </w:rPr>
              <w:fldChar w:fldCharType="separate"/>
            </w:r>
            <w:r w:rsidR="00BD218B" w:rsidRPr="00BD218B">
              <w:rPr>
                <w:rFonts w:asciiTheme="minorHAnsi" w:hAnsiTheme="minorHAnsi"/>
              </w:rPr>
              <w:t xml:space="preserve">The ACCC recommends that governments consider the merits of: </w:t>
            </w:r>
          </w:p>
          <w:p w:rsidR="00BD218B" w:rsidRPr="00BD218B" w:rsidRDefault="00BD218B" w:rsidP="00020517">
            <w:pPr>
              <w:pStyle w:val="Ruleadvicebullet"/>
              <w:rPr>
                <w:rFonts w:asciiTheme="minorHAnsi" w:hAnsiTheme="minorHAnsi"/>
              </w:rPr>
            </w:pPr>
            <w:r w:rsidRPr="00BD218B">
              <w:rPr>
                <w:rFonts w:asciiTheme="minorHAnsi" w:hAnsiTheme="minorHAnsi"/>
              </w:rPr>
              <w:t xml:space="preserve">expanding the jurisdiction of existing ombudsmen schemes or small business commissioners to resolve disputes between infrastructure operators and their customers; or </w:t>
            </w:r>
          </w:p>
          <w:p w:rsidR="00651ACD" w:rsidRPr="00C733B4" w:rsidRDefault="00BD218B" w:rsidP="00020517">
            <w:pPr>
              <w:pStyle w:val="Ruleadvicebullet"/>
              <w:rPr>
                <w:rFonts w:asciiTheme="minorHAnsi" w:hAnsiTheme="minorHAnsi"/>
              </w:rPr>
            </w:pPr>
            <w:r w:rsidRPr="00BD218B">
              <w:rPr>
                <w:rFonts w:asciiTheme="minorHAnsi" w:hAnsiTheme="minorHAnsi"/>
              </w:rPr>
              <w:t xml:space="preserve">the creation of a new scheme to perform these roles. </w:t>
            </w:r>
            <w:r w:rsidR="00651ACD" w:rsidRPr="00C733B4">
              <w:rPr>
                <w:rFonts w:asciiTheme="minorHAnsi" w:hAnsiTheme="minorHAnsi"/>
              </w:rPr>
              <w:fldChar w:fldCharType="end"/>
            </w:r>
          </w:p>
        </w:tc>
        <w:tc>
          <w:tcPr>
            <w:tcW w:w="3118" w:type="dxa"/>
            <w:shd w:val="clear" w:color="auto" w:fill="auto"/>
          </w:tcPr>
          <w:p w:rsidR="00651ACD" w:rsidRPr="00C733B4" w:rsidRDefault="00651ACD" w:rsidP="0018797D">
            <w:pPr>
              <w:spacing w:before="60" w:after="60"/>
              <w:jc w:val="center"/>
              <w:rPr>
                <w:rFonts w:asciiTheme="minorHAnsi" w:hAnsiTheme="minorHAnsi"/>
                <w:b/>
                <w:sz w:val="20"/>
                <w:szCs w:val="20"/>
              </w:rPr>
            </w:pPr>
            <w:r w:rsidRPr="00C733B4">
              <w:rPr>
                <w:rFonts w:asciiTheme="minorHAnsi" w:hAnsiTheme="minorHAnsi"/>
                <w:b/>
                <w:sz w:val="20"/>
                <w:szCs w:val="20"/>
              </w:rPr>
              <w:t>No change</w:t>
            </w:r>
          </w:p>
        </w:tc>
      </w:tr>
      <w:bookmarkEnd w:id="46"/>
    </w:tbl>
    <w:p w:rsidR="009845D5" w:rsidRDefault="009845D5" w:rsidP="009845D5">
      <w:pPr>
        <w:sectPr w:rsidR="009845D5" w:rsidSect="009845D5">
          <w:headerReference w:type="default" r:id="rId14"/>
          <w:footerReference w:type="default" r:id="rId15"/>
          <w:pgSz w:w="16839" w:h="11907" w:orient="landscape" w:code="9"/>
          <w:pgMar w:top="1440" w:right="1440" w:bottom="1440" w:left="1440" w:header="709" w:footer="709" w:gutter="0"/>
          <w:pgNumType w:fmt="lowerRoman"/>
          <w:cols w:space="708"/>
          <w:docGrid w:linePitch="360"/>
        </w:sectPr>
      </w:pPr>
    </w:p>
    <w:p w:rsidR="006B4C78" w:rsidRPr="00D714FC" w:rsidRDefault="006B4C78" w:rsidP="00A946C7">
      <w:pPr>
        <w:pStyle w:val="Heading1"/>
        <w:numPr>
          <w:ilvl w:val="0"/>
          <w:numId w:val="6"/>
        </w:numPr>
        <w:ind w:left="360" w:hanging="360"/>
        <w:rPr>
          <w:rFonts w:ascii="Times New Roman" w:hAnsi="Times New Roman" w:cs="Times New Roman"/>
        </w:rPr>
      </w:pPr>
      <w:bookmarkStart w:id="60" w:name="_Ref432778982"/>
      <w:bookmarkStart w:id="61" w:name="_Toc432780109"/>
      <w:bookmarkStart w:id="62" w:name="_Toc436122263"/>
      <w:bookmarkStart w:id="63" w:name="_Toc436122758"/>
      <w:bookmarkStart w:id="64" w:name="_Toc436124113"/>
      <w:bookmarkStart w:id="65" w:name="_Toc456785768"/>
      <w:bookmarkStart w:id="66" w:name="_Toc461630679"/>
      <w:r w:rsidRPr="00D714FC">
        <w:rPr>
          <w:rFonts w:ascii="Times New Roman" w:hAnsi="Times New Roman" w:cs="Times New Roman"/>
        </w:rPr>
        <w:t>Introduction</w:t>
      </w:r>
      <w:bookmarkEnd w:id="60"/>
      <w:bookmarkEnd w:id="61"/>
      <w:bookmarkEnd w:id="62"/>
      <w:bookmarkEnd w:id="63"/>
      <w:bookmarkEnd w:id="64"/>
      <w:bookmarkEnd w:id="65"/>
      <w:bookmarkEnd w:id="66"/>
    </w:p>
    <w:p w:rsidR="006B4C78" w:rsidRPr="00D714FC" w:rsidRDefault="006B4C78" w:rsidP="006B4C78">
      <w:pPr>
        <w:rPr>
          <w:rFonts w:eastAsiaTheme="minorHAnsi" w:cs="Times New Roman"/>
          <w:lang w:eastAsia="en-US"/>
        </w:rPr>
      </w:pPr>
      <w:r w:rsidRPr="00D714FC">
        <w:rPr>
          <w:rFonts w:eastAsiaTheme="minorHAnsi" w:cs="Times New Roman"/>
          <w:lang w:eastAsia="en-US"/>
        </w:rPr>
        <w:t xml:space="preserve">During 2014, an independent panel of experts reviewed the </w:t>
      </w:r>
      <w:r w:rsidRPr="00280654">
        <w:rPr>
          <w:rFonts w:eastAsiaTheme="minorHAnsi" w:cs="Times New Roman"/>
          <w:i/>
          <w:lang w:eastAsia="en-US"/>
        </w:rPr>
        <w:t>Water Act 2007</w:t>
      </w:r>
      <w:r w:rsidRPr="00D714FC">
        <w:rPr>
          <w:rFonts w:eastAsiaTheme="minorHAnsi" w:cs="Times New Roman"/>
          <w:lang w:eastAsia="en-US"/>
        </w:rPr>
        <w:t xml:space="preserve"> (the Act) and made a number of recommendations and conclusions. These included recommendation 11, that the Australian Competition and Consumer Commission (ACCC), in consultation with industry and Basin State governments, review the three sets of water charge rules that have been made under the Act:</w:t>
      </w:r>
    </w:p>
    <w:p w:rsidR="006B4C78" w:rsidRPr="00D714FC" w:rsidRDefault="006B4C78" w:rsidP="00A82DE6">
      <w:pPr>
        <w:pStyle w:val="Lvl1Bulletpoint"/>
        <w:rPr>
          <w:rFonts w:eastAsia="Times New Roman"/>
          <w:lang w:val="en"/>
        </w:rPr>
      </w:pPr>
      <w:r w:rsidRPr="00F42D72">
        <w:rPr>
          <w:rFonts w:eastAsia="Times New Roman"/>
          <w:lang w:val="en"/>
        </w:rPr>
        <w:t>Water Charge (Infrastructure) Rules 2010</w:t>
      </w:r>
      <w:r w:rsidRPr="00D714FC">
        <w:rPr>
          <w:rFonts w:eastAsia="Times New Roman"/>
          <w:lang w:val="en"/>
        </w:rPr>
        <w:t xml:space="preserve"> (WCIR)</w:t>
      </w:r>
      <w:r w:rsidRPr="00D714FC">
        <w:rPr>
          <w:rStyle w:val="FootnoteReference"/>
          <w:rFonts w:cs="Times New Roman"/>
        </w:rPr>
        <w:footnoteReference w:id="3"/>
      </w:r>
    </w:p>
    <w:p w:rsidR="006B4C78" w:rsidRPr="00D714FC" w:rsidRDefault="006B4C78" w:rsidP="00A82DE6">
      <w:pPr>
        <w:pStyle w:val="Lvl1Bulletpoint"/>
        <w:rPr>
          <w:rFonts w:eastAsia="Times New Roman"/>
          <w:lang w:val="en"/>
        </w:rPr>
      </w:pPr>
      <w:r w:rsidRPr="00F42D72">
        <w:rPr>
          <w:rFonts w:eastAsia="Times New Roman"/>
          <w:lang w:val="en"/>
        </w:rPr>
        <w:t>Water Charge (Termination Fees) Rules 2009</w:t>
      </w:r>
      <w:r w:rsidRPr="00D714FC">
        <w:rPr>
          <w:rFonts w:eastAsia="Times New Roman"/>
          <w:lang w:val="en"/>
        </w:rPr>
        <w:t xml:space="preserve"> (WCTFR)</w:t>
      </w:r>
      <w:r w:rsidRPr="00D714FC">
        <w:rPr>
          <w:rStyle w:val="FootnoteReference"/>
          <w:rFonts w:cs="Times New Roman"/>
        </w:rPr>
        <w:footnoteReference w:id="4"/>
      </w:r>
    </w:p>
    <w:p w:rsidR="006B4C78" w:rsidRPr="00D714FC" w:rsidRDefault="006B4C78" w:rsidP="00A82DE6">
      <w:pPr>
        <w:pStyle w:val="Lvl1Bulletpoint"/>
        <w:rPr>
          <w:rFonts w:eastAsia="Times New Roman"/>
          <w:lang w:val="en"/>
        </w:rPr>
      </w:pPr>
      <w:r w:rsidRPr="00F42D72">
        <w:rPr>
          <w:rFonts w:eastAsia="Times New Roman"/>
          <w:lang w:val="en"/>
        </w:rPr>
        <w:t xml:space="preserve">Water Charge (Planning and Management Information) Rules 2010 </w:t>
      </w:r>
      <w:r w:rsidRPr="00D714FC">
        <w:rPr>
          <w:rFonts w:eastAsia="Times New Roman"/>
          <w:lang w:val="en"/>
        </w:rPr>
        <w:t>(WCPMIR)</w:t>
      </w:r>
      <w:r w:rsidRPr="00D714FC">
        <w:rPr>
          <w:rStyle w:val="FootnoteReference"/>
          <w:rFonts w:cs="Times New Roman"/>
        </w:rPr>
        <w:footnoteReference w:id="5"/>
      </w:r>
    </w:p>
    <w:p w:rsidR="006B4C78" w:rsidRPr="00D714FC" w:rsidRDefault="006B4C78" w:rsidP="006B4C78">
      <w:pPr>
        <w:rPr>
          <w:rFonts w:eastAsia="Times New Roman" w:cs="Times New Roman"/>
          <w:lang w:val="en"/>
        </w:rPr>
      </w:pPr>
      <w:r w:rsidRPr="00D714FC">
        <w:rPr>
          <w:rFonts w:eastAsia="Times New Roman" w:cs="Times New Roman"/>
          <w:lang w:val="en"/>
        </w:rPr>
        <w:t>In its interim response to the review of the Act, the Government accepted this recommendation</w:t>
      </w:r>
      <w:r w:rsidR="00BB1504" w:rsidRPr="00D714FC">
        <w:rPr>
          <w:rFonts w:eastAsia="Times New Roman" w:cs="Times New Roman"/>
          <w:lang w:val="en"/>
        </w:rPr>
        <w:t xml:space="preserve"> (see section 3.2 for other recommendations and conclusions)</w:t>
      </w:r>
      <w:r w:rsidRPr="00D714FC">
        <w:rPr>
          <w:rFonts w:eastAsia="Times New Roman" w:cs="Times New Roman"/>
          <w:lang w:val="en"/>
        </w:rPr>
        <w:t>.</w:t>
      </w:r>
    </w:p>
    <w:p w:rsidR="006B4C78" w:rsidRPr="00D714FC" w:rsidRDefault="006B4C78" w:rsidP="00616672">
      <w:pPr>
        <w:pStyle w:val="Heading2"/>
      </w:pPr>
      <w:bookmarkStart w:id="67" w:name="_Toc432780110"/>
      <w:bookmarkStart w:id="68" w:name="_Toc436122264"/>
      <w:bookmarkStart w:id="69" w:name="_Toc436122759"/>
      <w:bookmarkStart w:id="70" w:name="_Toc436124114"/>
      <w:bookmarkStart w:id="71" w:name="_Toc456785769"/>
      <w:bookmarkStart w:id="72" w:name="_Toc461630680"/>
      <w:r w:rsidRPr="00D714FC">
        <w:t>Terms of reference</w:t>
      </w:r>
      <w:bookmarkEnd w:id="67"/>
      <w:bookmarkEnd w:id="68"/>
      <w:bookmarkEnd w:id="69"/>
      <w:bookmarkEnd w:id="70"/>
      <w:bookmarkEnd w:id="71"/>
      <w:bookmarkEnd w:id="72"/>
    </w:p>
    <w:p w:rsidR="006B4C78" w:rsidRPr="00D714FC" w:rsidRDefault="006B4C78" w:rsidP="006B4C78">
      <w:pPr>
        <w:rPr>
          <w:rFonts w:eastAsia="Calibri" w:cs="Times New Roman"/>
        </w:rPr>
      </w:pPr>
      <w:r w:rsidRPr="00D714FC">
        <w:rPr>
          <w:rFonts w:eastAsiaTheme="minorHAnsi" w:cs="Times New Roman"/>
          <w:lang w:eastAsia="en-US"/>
        </w:rPr>
        <w:t xml:space="preserve">On 17 December 2014, the Minister requested that the ACCC undertake a review of the water charge rules and, where appropriate, provide advice on possible amendments to the water charge rules. </w:t>
      </w:r>
    </w:p>
    <w:p w:rsidR="006B4C78" w:rsidRPr="00D714FC" w:rsidRDefault="006B4C78" w:rsidP="006B4C78">
      <w:pPr>
        <w:pStyle w:val="ListBullet"/>
        <w:numPr>
          <w:ilvl w:val="0"/>
          <w:numId w:val="0"/>
        </w:numPr>
        <w:rPr>
          <w:rFonts w:eastAsia="Calibri" w:cs="Times New Roman"/>
        </w:rPr>
      </w:pPr>
      <w:r w:rsidRPr="00D714FC">
        <w:rPr>
          <w:rFonts w:eastAsia="Calibri" w:cs="Times New Roman"/>
        </w:rPr>
        <w:t>The review is considering a wide range of issues relating to these rules, as required by the terms of reference, including:</w:t>
      </w:r>
    </w:p>
    <w:p w:rsidR="006B4C78" w:rsidRPr="00D714FC" w:rsidRDefault="006B4C78" w:rsidP="00A82DE6">
      <w:pPr>
        <w:pStyle w:val="Lvl1Bulletpoint"/>
      </w:pPr>
      <w:r w:rsidRPr="00D714FC">
        <w:t>the consistency of water charging regimes across the M</w:t>
      </w:r>
      <w:r w:rsidR="00037C6E">
        <w:t>urray-</w:t>
      </w:r>
      <w:r w:rsidRPr="00D714FC">
        <w:t>D</w:t>
      </w:r>
      <w:r w:rsidR="00037C6E">
        <w:t xml:space="preserve">arling </w:t>
      </w:r>
      <w:r w:rsidRPr="00D714FC">
        <w:t>B</w:t>
      </w:r>
      <w:r w:rsidR="00037C6E">
        <w:t>asin</w:t>
      </w:r>
      <w:r w:rsidR="008E61D7">
        <w:t xml:space="preserve"> (MDB)</w:t>
      </w:r>
    </w:p>
    <w:p w:rsidR="006B4C78" w:rsidRPr="00D714FC" w:rsidRDefault="006B4C78" w:rsidP="00A82DE6">
      <w:pPr>
        <w:pStyle w:val="Lvl1Bulletpoint"/>
      </w:pPr>
      <w:r w:rsidRPr="00D714FC">
        <w:t>the appropriateness of the tiered regulatory approach in the WCIR</w:t>
      </w:r>
    </w:p>
    <w:p w:rsidR="006B4C78" w:rsidRPr="00D714FC" w:rsidRDefault="006B4C78" w:rsidP="00A82DE6">
      <w:pPr>
        <w:pStyle w:val="Lvl1Bulletpoint"/>
      </w:pPr>
      <w:r w:rsidRPr="00D714FC">
        <w:t>ensuring the WCIR are able to appropriately regulate charges imposed by intergovernmental entities such as the Murray-Darling Basin Authority</w:t>
      </w:r>
      <w:r w:rsidR="00EB716D">
        <w:t xml:space="preserve"> (MDBA)</w:t>
      </w:r>
    </w:p>
    <w:p w:rsidR="006B4C78" w:rsidRPr="00D714FC" w:rsidRDefault="006B4C78" w:rsidP="00A82DE6">
      <w:pPr>
        <w:pStyle w:val="Lvl1Bulletpoint"/>
      </w:pPr>
      <w:r w:rsidRPr="00D714FC">
        <w:t>the interaction between the WCIR and third party access regimes</w:t>
      </w:r>
    </w:p>
    <w:p w:rsidR="006B4C78" w:rsidRPr="00D714FC" w:rsidRDefault="006B4C78" w:rsidP="00A82DE6">
      <w:pPr>
        <w:pStyle w:val="Lvl1Bulletpoint"/>
        <w:rPr>
          <w:rFonts w:eastAsia="Arial"/>
          <w:b/>
          <w:sz w:val="24"/>
        </w:rPr>
      </w:pPr>
      <w:r w:rsidRPr="00D714FC">
        <w:t>options for improving the effectiveness of the WCPMIR</w:t>
      </w:r>
    </w:p>
    <w:p w:rsidR="006B4C78" w:rsidRPr="00A45FA7" w:rsidRDefault="006B4C78" w:rsidP="00A82DE6">
      <w:pPr>
        <w:pStyle w:val="Lvl1Bulletpoint"/>
        <w:rPr>
          <w:rFonts w:eastAsia="Arial"/>
          <w:b/>
          <w:sz w:val="24"/>
        </w:rPr>
      </w:pPr>
      <w:r w:rsidRPr="00D714FC">
        <w:t>the clarity of drafting in the rules, and the potential for their combination into one instrument.</w:t>
      </w:r>
    </w:p>
    <w:p w:rsidR="006B4C78" w:rsidRPr="00D714FC" w:rsidRDefault="006B4C78" w:rsidP="006B4C78">
      <w:pPr>
        <w:rPr>
          <w:rFonts w:cs="Times New Roman"/>
        </w:rPr>
      </w:pPr>
      <w:r w:rsidRPr="00D714FC">
        <w:rPr>
          <w:rFonts w:cs="Times New Roman"/>
        </w:rPr>
        <w:t xml:space="preserve">The Minister’s terms of reference specifically request the ACCC to provide advice on the merits of amending the rules in response to the matters set out by the </w:t>
      </w:r>
      <w:r w:rsidR="007B0C59">
        <w:rPr>
          <w:rFonts w:cs="Times New Roman"/>
        </w:rPr>
        <w:t>Independent Expert</w:t>
      </w:r>
      <w:r w:rsidRPr="00D714FC">
        <w:rPr>
          <w:rFonts w:cs="Times New Roman"/>
        </w:rPr>
        <w:t xml:space="preserve"> Panel</w:t>
      </w:r>
      <w:r w:rsidR="007B0C59">
        <w:rPr>
          <w:rFonts w:cs="Times New Roman"/>
        </w:rPr>
        <w:t xml:space="preserve"> </w:t>
      </w:r>
      <w:r w:rsidR="00E059CB">
        <w:rPr>
          <w:rFonts w:cs="Times New Roman"/>
        </w:rPr>
        <w:t xml:space="preserve">reviewing the Act </w:t>
      </w:r>
      <w:r w:rsidR="007B0C59">
        <w:rPr>
          <w:rFonts w:cs="Times New Roman"/>
        </w:rPr>
        <w:t>(the Panel)</w:t>
      </w:r>
      <w:r w:rsidRPr="00D714FC">
        <w:rPr>
          <w:rFonts w:cs="Times New Roman"/>
        </w:rPr>
        <w:t xml:space="preserve"> in recommendation 11.</w:t>
      </w:r>
      <w:r w:rsidRPr="00D714FC">
        <w:rPr>
          <w:rStyle w:val="FootnoteReference"/>
          <w:rFonts w:cs="Times New Roman"/>
        </w:rPr>
        <w:footnoteReference w:id="6"/>
      </w:r>
    </w:p>
    <w:p w:rsidR="006B4C78" w:rsidRPr="00D714FC" w:rsidRDefault="006B4C78" w:rsidP="006B4C78">
      <w:pPr>
        <w:rPr>
          <w:rFonts w:cs="Times New Roman"/>
        </w:rPr>
      </w:pPr>
      <w:r w:rsidRPr="00D714FC">
        <w:rPr>
          <w:rFonts w:cs="Times New Roman"/>
        </w:rPr>
        <w:t xml:space="preserve">The Minister also requested the ACCC’s advice on any other opportunities for amending the rules to improve regulatory clarity or efficiency or to reduce regulatory burden while maintaining effective standards. </w:t>
      </w:r>
    </w:p>
    <w:p w:rsidR="006B4C78" w:rsidRPr="00D714FC" w:rsidRDefault="006B4C78" w:rsidP="006B4C78">
      <w:pPr>
        <w:rPr>
          <w:rFonts w:eastAsia="Cambria" w:cs="Times New Roman"/>
        </w:rPr>
      </w:pPr>
      <w:r w:rsidRPr="00D714FC">
        <w:rPr>
          <w:rFonts w:cs="Times New Roman"/>
        </w:rPr>
        <w:t xml:space="preserve">Table </w:t>
      </w:r>
      <w:r w:rsidR="00600B3A" w:rsidRPr="00D714FC">
        <w:rPr>
          <w:rFonts w:cs="Times New Roman"/>
        </w:rPr>
        <w:t>1</w:t>
      </w:r>
      <w:r w:rsidR="00746AD7" w:rsidRPr="00D714FC">
        <w:rPr>
          <w:rFonts w:cs="Times New Roman"/>
        </w:rPr>
        <w:t>.1</w:t>
      </w:r>
      <w:r w:rsidRPr="00D714FC">
        <w:rPr>
          <w:rFonts w:cs="Times New Roman"/>
        </w:rPr>
        <w:t xml:space="preserve"> below notes which sections in the ACCC’s </w:t>
      </w:r>
      <w:r w:rsidR="00146F5B">
        <w:rPr>
          <w:rFonts w:cs="Times New Roman"/>
        </w:rPr>
        <w:t>Final</w:t>
      </w:r>
      <w:r w:rsidR="00146F5B" w:rsidRPr="00D714FC">
        <w:rPr>
          <w:rFonts w:cs="Times New Roman"/>
        </w:rPr>
        <w:t xml:space="preserve"> </w:t>
      </w:r>
      <w:r w:rsidRPr="00D714FC">
        <w:rPr>
          <w:rFonts w:cs="Times New Roman"/>
        </w:rPr>
        <w:t xml:space="preserve">Advice are relevant to particular </w:t>
      </w:r>
      <w:r w:rsidRPr="00D714FC">
        <w:rPr>
          <w:rFonts w:eastAsia="Cambria" w:cs="Times New Roman"/>
        </w:rPr>
        <w:t>Terms of Reference</w:t>
      </w:r>
      <w:r w:rsidR="00A41509">
        <w:rPr>
          <w:rFonts w:eastAsia="Cambria" w:cs="Times New Roman"/>
        </w:rPr>
        <w:t xml:space="preserve"> for the review of the water charge rules</w:t>
      </w:r>
      <w:r w:rsidRPr="00D714FC">
        <w:rPr>
          <w:rFonts w:eastAsia="Cambria" w:cs="Times New Roman"/>
        </w:rPr>
        <w:t xml:space="preserve">. </w:t>
      </w:r>
    </w:p>
    <w:p w:rsidR="00FA40C2" w:rsidRDefault="00FA40C2">
      <w:pPr>
        <w:rPr>
          <w:rFonts w:eastAsiaTheme="minorHAnsi"/>
          <w:b/>
          <w:szCs w:val="20"/>
          <w:lang w:eastAsia="en-US"/>
        </w:rPr>
      </w:pPr>
      <w:r>
        <w:br w:type="page"/>
      </w:r>
    </w:p>
    <w:p w:rsidR="006B4C78" w:rsidRPr="00D714FC" w:rsidRDefault="006B4C78" w:rsidP="00073B62">
      <w:pPr>
        <w:pStyle w:val="Tabletitle"/>
      </w:pPr>
      <w:r w:rsidRPr="00D714FC">
        <w:t xml:space="preserve">Table </w:t>
      </w:r>
      <w:r w:rsidR="00600B3A" w:rsidRPr="00D714FC">
        <w:t>1</w:t>
      </w:r>
      <w:r w:rsidR="00746AD7" w:rsidRPr="00D714FC">
        <w:t>.1</w:t>
      </w:r>
      <w:r w:rsidRPr="00D714FC">
        <w:t xml:space="preserve">: Relation of ACCC </w:t>
      </w:r>
      <w:r w:rsidR="00911935">
        <w:t>Final</w:t>
      </w:r>
      <w:r w:rsidR="00911935" w:rsidRPr="00D714FC">
        <w:t xml:space="preserve"> </w:t>
      </w:r>
      <w:r w:rsidRPr="00D714FC">
        <w:t xml:space="preserve">Advice to </w:t>
      </w:r>
      <w:r w:rsidR="00570A4C">
        <w:t>w</w:t>
      </w:r>
      <w:r w:rsidRPr="00D714FC">
        <w:t xml:space="preserve">ater </w:t>
      </w:r>
      <w:r w:rsidR="00570A4C">
        <w:t>c</w:t>
      </w:r>
      <w:r w:rsidRPr="00D714FC">
        <w:t xml:space="preserve">harge </w:t>
      </w:r>
      <w:r w:rsidR="00570A4C">
        <w:t>rules r</w:t>
      </w:r>
      <w:r w:rsidRPr="00D714FC">
        <w:t>eview Terms of Reference</w:t>
      </w:r>
    </w:p>
    <w:tbl>
      <w:tblPr>
        <w:tblStyle w:val="LightShading"/>
        <w:tblW w:w="9287" w:type="dxa"/>
        <w:tblLook w:val="04A0" w:firstRow="1" w:lastRow="0" w:firstColumn="1" w:lastColumn="0" w:noHBand="0" w:noVBand="1"/>
      </w:tblPr>
      <w:tblGrid>
        <w:gridCol w:w="6912"/>
        <w:gridCol w:w="2375"/>
      </w:tblGrid>
      <w:tr w:rsidR="006B4C78" w:rsidRPr="00D714FC" w:rsidTr="005609C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tcPr>
          <w:p w:rsidR="006B4C78" w:rsidRPr="00D714FC" w:rsidRDefault="006B4C78" w:rsidP="00073B62">
            <w:pPr>
              <w:pStyle w:val="tabletext"/>
            </w:pPr>
            <w:r w:rsidRPr="00D714FC">
              <w:t>Term of Reference</w:t>
            </w:r>
          </w:p>
        </w:tc>
        <w:tc>
          <w:tcPr>
            <w:tcW w:w="2375" w:type="dxa"/>
          </w:tcPr>
          <w:p w:rsidR="006B4C78" w:rsidRPr="00D714FC" w:rsidRDefault="006B4C78" w:rsidP="00073B62">
            <w:pPr>
              <w:pStyle w:val="tabletext"/>
              <w:cnfStyle w:val="100000000000" w:firstRow="1" w:lastRow="0" w:firstColumn="0" w:lastColumn="0" w:oddVBand="0" w:evenVBand="0" w:oddHBand="0" w:evenHBand="0" w:firstRowFirstColumn="0" w:firstRowLastColumn="0" w:lastRowFirstColumn="0" w:lastRowLastColumn="0"/>
            </w:pPr>
            <w:r w:rsidRPr="00D714FC">
              <w:t>Relevant Section of the Draft Advice</w:t>
            </w:r>
          </w:p>
        </w:tc>
      </w:tr>
      <w:tr w:rsidR="006B4C78" w:rsidRPr="00D714FC" w:rsidTr="00C52A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shd w:val="clear" w:color="auto" w:fill="D9D9D9" w:themeFill="background1" w:themeFillShade="D9"/>
          </w:tcPr>
          <w:p w:rsidR="006B4C78" w:rsidRPr="00D714FC" w:rsidRDefault="006B4C78" w:rsidP="004F6BD0">
            <w:pPr>
              <w:pStyle w:val="tabletext"/>
              <w:tabs>
                <w:tab w:val="left" w:pos="426"/>
              </w:tabs>
              <w:rPr>
                <w:b w:val="0"/>
                <w:sz w:val="22"/>
                <w:szCs w:val="22"/>
              </w:rPr>
            </w:pPr>
            <w:r w:rsidRPr="00D714FC">
              <w:rPr>
                <w:b w:val="0"/>
                <w:sz w:val="22"/>
                <w:szCs w:val="22"/>
              </w:rPr>
              <w:t>1</w:t>
            </w:r>
            <w:r w:rsidR="004F6BD0">
              <w:rPr>
                <w:b w:val="0"/>
                <w:sz w:val="22"/>
                <w:szCs w:val="22"/>
              </w:rPr>
              <w:tab/>
            </w:r>
            <w:r w:rsidRPr="00D714FC">
              <w:rPr>
                <w:b w:val="0"/>
                <w:sz w:val="22"/>
                <w:szCs w:val="22"/>
              </w:rPr>
              <w:t xml:space="preserve">The Australian Competition and Consumer Commission (ACCC) is requested to provide advice on possible amendments to the </w:t>
            </w:r>
            <w:r w:rsidRPr="00167477">
              <w:rPr>
                <w:b w:val="0"/>
                <w:sz w:val="22"/>
                <w:szCs w:val="22"/>
              </w:rPr>
              <w:t>Water Charge (Infrastructure) Rules 2010, Water Charge (Planning and Management Information) Rules 2010 and Water Charge (Termination Fees) Rules 2009</w:t>
            </w:r>
            <w:r w:rsidRPr="00D714FC">
              <w:rPr>
                <w:b w:val="0"/>
                <w:sz w:val="22"/>
                <w:szCs w:val="22"/>
              </w:rPr>
              <w:t xml:space="preserve">, in accordance with section 93 and section 98 of the </w:t>
            </w:r>
            <w:r w:rsidRPr="00280654">
              <w:rPr>
                <w:b w:val="0"/>
                <w:i/>
                <w:sz w:val="22"/>
                <w:szCs w:val="22"/>
              </w:rPr>
              <w:t>Water Act 2007</w:t>
            </w:r>
            <w:r w:rsidRPr="00D714FC">
              <w:rPr>
                <w:b w:val="0"/>
                <w:sz w:val="22"/>
                <w:szCs w:val="22"/>
              </w:rPr>
              <w:t xml:space="preserve">. </w:t>
            </w:r>
          </w:p>
        </w:tc>
        <w:tc>
          <w:tcPr>
            <w:tcW w:w="2375" w:type="dxa"/>
            <w:shd w:val="clear" w:color="auto" w:fill="D9D9D9" w:themeFill="background1" w:themeFillShade="D9"/>
          </w:tcPr>
          <w:p w:rsidR="006B4C78" w:rsidRPr="00D714FC" w:rsidRDefault="006B4C78" w:rsidP="00C6733C">
            <w:pPr>
              <w:pStyle w:val="tabletext"/>
              <w:tabs>
                <w:tab w:val="left" w:pos="426"/>
              </w:tabs>
              <w:cnfStyle w:val="000000100000" w:firstRow="0" w:lastRow="0" w:firstColumn="0" w:lastColumn="0" w:oddVBand="0" w:evenVBand="0" w:oddHBand="1" w:evenHBand="0" w:firstRowFirstColumn="0" w:firstRowLastColumn="0" w:lastRowFirstColumn="0" w:lastRowLastColumn="0"/>
              <w:rPr>
                <w:sz w:val="22"/>
                <w:szCs w:val="22"/>
              </w:rPr>
            </w:pPr>
            <w:r w:rsidRPr="00D714FC">
              <w:rPr>
                <w:sz w:val="22"/>
                <w:szCs w:val="22"/>
              </w:rPr>
              <w:t>3.2</w:t>
            </w:r>
          </w:p>
        </w:tc>
      </w:tr>
      <w:tr w:rsidR="006B4C78" w:rsidRPr="00D714FC" w:rsidTr="005609C4">
        <w:trPr>
          <w:trHeight w:val="20"/>
        </w:trPr>
        <w:tc>
          <w:tcPr>
            <w:cnfStyle w:val="001000000000" w:firstRow="0" w:lastRow="0" w:firstColumn="1" w:lastColumn="0" w:oddVBand="0" w:evenVBand="0" w:oddHBand="0" w:evenHBand="0" w:firstRowFirstColumn="0" w:firstRowLastColumn="0" w:lastRowFirstColumn="0" w:lastRowLastColumn="0"/>
            <w:tcW w:w="6912" w:type="dxa"/>
          </w:tcPr>
          <w:p w:rsidR="006B4C78" w:rsidRPr="00D714FC" w:rsidRDefault="006B4C78" w:rsidP="004F6BD0">
            <w:pPr>
              <w:pStyle w:val="tabletext"/>
              <w:tabs>
                <w:tab w:val="left" w:pos="426"/>
              </w:tabs>
              <w:rPr>
                <w:b w:val="0"/>
                <w:sz w:val="22"/>
                <w:szCs w:val="22"/>
              </w:rPr>
            </w:pPr>
            <w:r w:rsidRPr="00D714FC">
              <w:rPr>
                <w:b w:val="0"/>
                <w:sz w:val="22"/>
                <w:szCs w:val="22"/>
              </w:rPr>
              <w:t>2</w:t>
            </w:r>
            <w:r w:rsidR="004F6BD0">
              <w:rPr>
                <w:b w:val="0"/>
                <w:sz w:val="22"/>
                <w:szCs w:val="22"/>
              </w:rPr>
              <w:tab/>
            </w:r>
            <w:r w:rsidRPr="00D714FC">
              <w:rPr>
                <w:b w:val="0"/>
                <w:sz w:val="22"/>
                <w:szCs w:val="22"/>
              </w:rPr>
              <w:t xml:space="preserve">Preamble: The advice should address the merits of amending the rules in response to matters raised in the Report of the Independent Review of the Water 2007, as tabled on 19 December 2014; specifically, recommendation 11 in the report, proposing that the rules be reviewed to assess opportunities to reduce cost to industry and governments. </w:t>
            </w:r>
          </w:p>
        </w:tc>
        <w:tc>
          <w:tcPr>
            <w:tcW w:w="2375" w:type="dxa"/>
          </w:tcPr>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rPr>
                <w:sz w:val="22"/>
                <w:szCs w:val="22"/>
              </w:rPr>
            </w:pPr>
            <w:r w:rsidRPr="00D714FC">
              <w:rPr>
                <w:sz w:val="22"/>
                <w:szCs w:val="22"/>
              </w:rPr>
              <w:t>4.1</w:t>
            </w:r>
          </w:p>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rPr>
                <w:sz w:val="22"/>
                <w:szCs w:val="22"/>
              </w:rPr>
            </w:pPr>
          </w:p>
        </w:tc>
      </w:tr>
      <w:tr w:rsidR="006B4C78" w:rsidRPr="00D714FC" w:rsidTr="00C52A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shd w:val="clear" w:color="auto" w:fill="D9D9D9" w:themeFill="background1" w:themeFillShade="D9"/>
          </w:tcPr>
          <w:p w:rsidR="006B4C78" w:rsidRPr="00D714FC" w:rsidRDefault="006B4C78" w:rsidP="00C6733C">
            <w:pPr>
              <w:pStyle w:val="tabletext"/>
              <w:tabs>
                <w:tab w:val="left" w:pos="426"/>
              </w:tabs>
              <w:rPr>
                <w:b w:val="0"/>
                <w:sz w:val="22"/>
                <w:szCs w:val="22"/>
              </w:rPr>
            </w:pPr>
            <w:r w:rsidRPr="00D714FC">
              <w:rPr>
                <w:b w:val="0"/>
                <w:sz w:val="22"/>
                <w:szCs w:val="22"/>
              </w:rPr>
              <w:t xml:space="preserve">2(a) The continuing appropriateness of tiered regulation of infrastructure operators and the potential for streamlining or eliminating regulation, including whether to remove the current requirements for member-owned operators under Part 5 of the </w:t>
            </w:r>
            <w:r w:rsidRPr="00167477">
              <w:rPr>
                <w:b w:val="0"/>
                <w:sz w:val="22"/>
                <w:szCs w:val="22"/>
              </w:rPr>
              <w:t>Water Charge (Infrastructure) Rules</w:t>
            </w:r>
            <w:r w:rsidRPr="00D714FC">
              <w:rPr>
                <w:b w:val="0"/>
                <w:sz w:val="22"/>
                <w:szCs w:val="22"/>
              </w:rPr>
              <w:t xml:space="preserve">. </w:t>
            </w:r>
          </w:p>
        </w:tc>
        <w:tc>
          <w:tcPr>
            <w:tcW w:w="2375" w:type="dxa"/>
            <w:shd w:val="clear" w:color="auto" w:fill="D9D9D9" w:themeFill="background1" w:themeFillShade="D9"/>
          </w:tcPr>
          <w:p w:rsidR="006B4C78" w:rsidRPr="00D714FC" w:rsidRDefault="006B4C78" w:rsidP="00C6733C">
            <w:pPr>
              <w:pStyle w:val="tabletext"/>
              <w:tabs>
                <w:tab w:val="left" w:pos="426"/>
              </w:tabs>
              <w:cnfStyle w:val="000000100000" w:firstRow="0" w:lastRow="0" w:firstColumn="0" w:lastColumn="0" w:oddVBand="0" w:evenVBand="0" w:oddHBand="1" w:evenHBand="0" w:firstRowFirstColumn="0" w:firstRowLastColumn="0" w:lastRowFirstColumn="0" w:lastRowLastColumn="0"/>
            </w:pPr>
            <w:r w:rsidRPr="00D714FC">
              <w:t xml:space="preserve">5.2, 5.3, 5.5 </w:t>
            </w:r>
          </w:p>
        </w:tc>
      </w:tr>
      <w:tr w:rsidR="006B4C78" w:rsidRPr="00D714FC" w:rsidTr="005609C4">
        <w:trPr>
          <w:trHeight w:val="20"/>
        </w:trPr>
        <w:tc>
          <w:tcPr>
            <w:cnfStyle w:val="001000000000" w:firstRow="0" w:lastRow="0" w:firstColumn="1" w:lastColumn="0" w:oddVBand="0" w:evenVBand="0" w:oddHBand="0" w:evenHBand="0" w:firstRowFirstColumn="0" w:firstRowLastColumn="0" w:lastRowFirstColumn="0" w:lastRowLastColumn="0"/>
            <w:tcW w:w="6912" w:type="dxa"/>
          </w:tcPr>
          <w:p w:rsidR="006B4C78" w:rsidRPr="00D714FC" w:rsidRDefault="006B4C78" w:rsidP="00C6733C">
            <w:pPr>
              <w:pStyle w:val="tabletext"/>
              <w:tabs>
                <w:tab w:val="left" w:pos="426"/>
              </w:tabs>
              <w:rPr>
                <w:b w:val="0"/>
                <w:sz w:val="22"/>
                <w:szCs w:val="22"/>
              </w:rPr>
            </w:pPr>
            <w:r w:rsidRPr="00D714FC">
              <w:rPr>
                <w:b w:val="0"/>
                <w:sz w:val="22"/>
                <w:szCs w:val="22"/>
              </w:rPr>
              <w:t xml:space="preserve">2(b) The current process for accreditation of Basin States’ regulators, the effectiveness in applying water charging regimes by different regulators, and the form and content of charge determinations by all regulators. </w:t>
            </w:r>
          </w:p>
        </w:tc>
        <w:tc>
          <w:tcPr>
            <w:tcW w:w="2375" w:type="dxa"/>
          </w:tcPr>
          <w:p w:rsidR="006B4C78" w:rsidRPr="00D714FC" w:rsidRDefault="005609C4"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pPr>
            <w:r>
              <w:t>5.6</w:t>
            </w:r>
            <w:r w:rsidR="006B4C78" w:rsidRPr="00D714FC">
              <w:t>, 5.9, 5.10, 5.12, 5.13</w:t>
            </w:r>
          </w:p>
        </w:tc>
      </w:tr>
      <w:tr w:rsidR="006B4C78" w:rsidRPr="00D714FC" w:rsidTr="00C52A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shd w:val="clear" w:color="auto" w:fill="D9D9D9" w:themeFill="background1" w:themeFillShade="D9"/>
          </w:tcPr>
          <w:p w:rsidR="006B4C78" w:rsidRPr="00D714FC" w:rsidRDefault="006B4C78" w:rsidP="00C6733C">
            <w:pPr>
              <w:pStyle w:val="tabletext"/>
              <w:tabs>
                <w:tab w:val="left" w:pos="426"/>
              </w:tabs>
              <w:rPr>
                <w:b w:val="0"/>
                <w:sz w:val="22"/>
                <w:szCs w:val="22"/>
              </w:rPr>
            </w:pPr>
            <w:r w:rsidRPr="00D714FC">
              <w:rPr>
                <w:b w:val="0"/>
                <w:sz w:val="22"/>
                <w:szCs w:val="22"/>
              </w:rPr>
              <w:t xml:space="preserve">2(c) Opportunities for advancing the consistent application of the water charging objectives and principles, including options to rank objectives and define terms. </w:t>
            </w:r>
          </w:p>
        </w:tc>
        <w:tc>
          <w:tcPr>
            <w:tcW w:w="2375" w:type="dxa"/>
            <w:shd w:val="clear" w:color="auto" w:fill="D9D9D9" w:themeFill="background1" w:themeFillShade="D9"/>
          </w:tcPr>
          <w:p w:rsidR="006B4C78" w:rsidRPr="00D714FC" w:rsidRDefault="006B4C78" w:rsidP="00C6733C">
            <w:pPr>
              <w:pStyle w:val="tabletext"/>
              <w:tabs>
                <w:tab w:val="left" w:pos="426"/>
              </w:tabs>
              <w:cnfStyle w:val="000000100000" w:firstRow="0" w:lastRow="0" w:firstColumn="0" w:lastColumn="0" w:oddVBand="0" w:evenVBand="0" w:oddHBand="1" w:evenHBand="0" w:firstRowFirstColumn="0" w:firstRowLastColumn="0" w:lastRowFirstColumn="0" w:lastRowLastColumn="0"/>
            </w:pPr>
            <w:r w:rsidRPr="00D714FC">
              <w:t>4.2</w:t>
            </w:r>
          </w:p>
          <w:p w:rsidR="006B4C78" w:rsidRPr="00D714FC" w:rsidRDefault="006B4C78" w:rsidP="00C6733C">
            <w:pPr>
              <w:pStyle w:val="tabletext"/>
              <w:tabs>
                <w:tab w:val="left" w:pos="426"/>
              </w:tabs>
              <w:cnfStyle w:val="000000100000" w:firstRow="0" w:lastRow="0" w:firstColumn="0" w:lastColumn="0" w:oddVBand="0" w:evenVBand="0" w:oddHBand="1" w:evenHBand="0" w:firstRowFirstColumn="0" w:firstRowLastColumn="0" w:lastRowFirstColumn="0" w:lastRowLastColumn="0"/>
            </w:pPr>
            <w:r w:rsidRPr="00D714FC">
              <w:t>5.6.3, 5.9, 5.10</w:t>
            </w:r>
          </w:p>
        </w:tc>
      </w:tr>
      <w:tr w:rsidR="006B4C78" w:rsidRPr="00D714FC" w:rsidTr="005609C4">
        <w:trPr>
          <w:trHeight w:val="20"/>
        </w:trPr>
        <w:tc>
          <w:tcPr>
            <w:cnfStyle w:val="001000000000" w:firstRow="0" w:lastRow="0" w:firstColumn="1" w:lastColumn="0" w:oddVBand="0" w:evenVBand="0" w:oddHBand="0" w:evenHBand="0" w:firstRowFirstColumn="0" w:firstRowLastColumn="0" w:lastRowFirstColumn="0" w:lastRowLastColumn="0"/>
            <w:tcW w:w="6912" w:type="dxa"/>
          </w:tcPr>
          <w:p w:rsidR="006B4C78" w:rsidRPr="000864B4" w:rsidRDefault="006B4C78" w:rsidP="00C6733C">
            <w:pPr>
              <w:pStyle w:val="tabletext"/>
              <w:tabs>
                <w:tab w:val="left" w:pos="426"/>
              </w:tabs>
              <w:rPr>
                <w:b w:val="0"/>
                <w:sz w:val="22"/>
                <w:szCs w:val="22"/>
              </w:rPr>
            </w:pPr>
            <w:r w:rsidRPr="000864B4">
              <w:rPr>
                <w:b w:val="0"/>
                <w:sz w:val="22"/>
                <w:szCs w:val="22"/>
              </w:rPr>
              <w:t xml:space="preserve">2(d) </w:t>
            </w:r>
            <w:r w:rsidRPr="000864B4">
              <w:rPr>
                <w:b w:val="0"/>
                <w:color w:val="000000"/>
                <w:sz w:val="22"/>
                <w:szCs w:val="22"/>
              </w:rPr>
              <w:t>Lessons learned from other sectors in relation to appeal mechanisms.</w:t>
            </w:r>
          </w:p>
        </w:tc>
        <w:tc>
          <w:tcPr>
            <w:tcW w:w="2375" w:type="dxa"/>
          </w:tcPr>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pPr>
            <w:r w:rsidRPr="00D714FC">
              <w:t>5.8</w:t>
            </w:r>
          </w:p>
        </w:tc>
      </w:tr>
      <w:tr w:rsidR="006B4C78" w:rsidRPr="00D714FC" w:rsidTr="00C52A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shd w:val="clear" w:color="auto" w:fill="D9D9D9" w:themeFill="background1" w:themeFillShade="D9"/>
          </w:tcPr>
          <w:p w:rsidR="006B4C78" w:rsidRPr="00D714FC" w:rsidRDefault="006B4C78" w:rsidP="00C6733C">
            <w:pPr>
              <w:pStyle w:val="tabletext"/>
              <w:tabs>
                <w:tab w:val="left" w:pos="426"/>
              </w:tabs>
              <w:rPr>
                <w:b w:val="0"/>
                <w:sz w:val="22"/>
                <w:szCs w:val="22"/>
              </w:rPr>
            </w:pPr>
            <w:r w:rsidRPr="00D714FC">
              <w:rPr>
                <w:b w:val="0"/>
                <w:sz w:val="22"/>
                <w:szCs w:val="22"/>
              </w:rPr>
              <w:t xml:space="preserve">2(e) Opportunities to combine the water charge rules and </w:t>
            </w:r>
            <w:r w:rsidRPr="00167477">
              <w:rPr>
                <w:b w:val="0"/>
                <w:sz w:val="22"/>
                <w:szCs w:val="22"/>
              </w:rPr>
              <w:t>Water Market Rules</w:t>
            </w:r>
            <w:r w:rsidRPr="00D714FC">
              <w:rPr>
                <w:b w:val="0"/>
                <w:sz w:val="22"/>
                <w:szCs w:val="22"/>
              </w:rPr>
              <w:t xml:space="preserve"> in one instrument.</w:t>
            </w:r>
          </w:p>
        </w:tc>
        <w:tc>
          <w:tcPr>
            <w:tcW w:w="2375" w:type="dxa"/>
            <w:shd w:val="clear" w:color="auto" w:fill="D9D9D9" w:themeFill="background1" w:themeFillShade="D9"/>
          </w:tcPr>
          <w:p w:rsidR="006B4C78" w:rsidRPr="00D714FC" w:rsidRDefault="006B4C78" w:rsidP="00C6733C">
            <w:pPr>
              <w:pStyle w:val="tabletext"/>
              <w:tabs>
                <w:tab w:val="left" w:pos="426"/>
              </w:tabs>
              <w:cnfStyle w:val="000000100000" w:firstRow="0" w:lastRow="0" w:firstColumn="0" w:lastColumn="0" w:oddVBand="0" w:evenVBand="0" w:oddHBand="1" w:evenHBand="0" w:firstRowFirstColumn="0" w:firstRowLastColumn="0" w:lastRowFirstColumn="0" w:lastRowLastColumn="0"/>
            </w:pPr>
            <w:r w:rsidRPr="00D714FC">
              <w:t>4.3.1</w:t>
            </w:r>
          </w:p>
        </w:tc>
      </w:tr>
      <w:tr w:rsidR="006B4C78" w:rsidRPr="00D714FC" w:rsidTr="005609C4">
        <w:trPr>
          <w:trHeight w:val="20"/>
        </w:trPr>
        <w:tc>
          <w:tcPr>
            <w:cnfStyle w:val="001000000000" w:firstRow="0" w:lastRow="0" w:firstColumn="1" w:lastColumn="0" w:oddVBand="0" w:evenVBand="0" w:oddHBand="0" w:evenHBand="0" w:firstRowFirstColumn="0" w:firstRowLastColumn="0" w:lastRowFirstColumn="0" w:lastRowLastColumn="0"/>
            <w:tcW w:w="6912" w:type="dxa"/>
          </w:tcPr>
          <w:p w:rsidR="006B4C78" w:rsidRPr="00D714FC" w:rsidRDefault="006B4C78" w:rsidP="00C6733C">
            <w:pPr>
              <w:pStyle w:val="tabletext"/>
              <w:tabs>
                <w:tab w:val="left" w:pos="426"/>
              </w:tabs>
              <w:rPr>
                <w:b w:val="0"/>
                <w:sz w:val="22"/>
                <w:szCs w:val="22"/>
              </w:rPr>
            </w:pPr>
            <w:r w:rsidRPr="00D714FC">
              <w:rPr>
                <w:b w:val="0"/>
                <w:sz w:val="22"/>
                <w:szCs w:val="22"/>
              </w:rPr>
              <w:t xml:space="preserve">2(f) Consistency with the Australian Government’s deregulation objectives. </w:t>
            </w:r>
          </w:p>
        </w:tc>
        <w:tc>
          <w:tcPr>
            <w:tcW w:w="2375" w:type="dxa"/>
          </w:tcPr>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pPr>
            <w:r w:rsidRPr="00D714FC">
              <w:t>All issues throughout chapters 4-9, but especially</w:t>
            </w:r>
            <w:r w:rsidR="00F910F4">
              <w:t>:</w:t>
            </w:r>
          </w:p>
          <w:p w:rsidR="006B4C78" w:rsidRPr="00D714FC" w:rsidRDefault="00746AD7"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pPr>
            <w:r w:rsidRPr="00D714FC">
              <w:t xml:space="preserve">5.5, </w:t>
            </w:r>
            <w:r w:rsidR="00F910F4">
              <w:t>5.6</w:t>
            </w:r>
          </w:p>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pPr>
          </w:p>
        </w:tc>
      </w:tr>
      <w:tr w:rsidR="006B4C78" w:rsidRPr="00D714FC" w:rsidTr="00C52AE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shd w:val="clear" w:color="auto" w:fill="D9D9D9" w:themeFill="background1" w:themeFillShade="D9"/>
          </w:tcPr>
          <w:p w:rsidR="006B4C78" w:rsidRPr="00D714FC" w:rsidRDefault="006B4C78" w:rsidP="00C6733C">
            <w:pPr>
              <w:pStyle w:val="tabletext"/>
              <w:tabs>
                <w:tab w:val="left" w:pos="426"/>
              </w:tabs>
              <w:rPr>
                <w:b w:val="0"/>
                <w:sz w:val="22"/>
                <w:szCs w:val="22"/>
              </w:rPr>
            </w:pPr>
            <w:r w:rsidRPr="00D714FC">
              <w:rPr>
                <w:b w:val="0"/>
                <w:sz w:val="22"/>
                <w:szCs w:val="22"/>
              </w:rPr>
              <w:t xml:space="preserve">2(g) The effectiveness of the </w:t>
            </w:r>
            <w:r w:rsidRPr="00167477">
              <w:rPr>
                <w:b w:val="0"/>
                <w:sz w:val="22"/>
                <w:szCs w:val="22"/>
              </w:rPr>
              <w:t>Water Charge (Planning and Management Information) Rules</w:t>
            </w:r>
            <w:r w:rsidRPr="00D714FC">
              <w:rPr>
                <w:b w:val="0"/>
                <w:sz w:val="22"/>
                <w:szCs w:val="22"/>
              </w:rPr>
              <w:t xml:space="preserve">, the extent to which their effectiveness could be enhanced and the likely impacts if they were to be repealed. </w:t>
            </w:r>
          </w:p>
        </w:tc>
        <w:tc>
          <w:tcPr>
            <w:tcW w:w="2375" w:type="dxa"/>
            <w:shd w:val="clear" w:color="auto" w:fill="D9D9D9" w:themeFill="background1" w:themeFillShade="D9"/>
          </w:tcPr>
          <w:p w:rsidR="006B4C78" w:rsidRPr="00D714FC" w:rsidRDefault="006B4C78" w:rsidP="00C6733C">
            <w:pPr>
              <w:pStyle w:val="tabletext"/>
              <w:tabs>
                <w:tab w:val="left" w:pos="426"/>
              </w:tabs>
              <w:cnfStyle w:val="000000100000" w:firstRow="0" w:lastRow="0" w:firstColumn="0" w:lastColumn="0" w:oddVBand="0" w:evenVBand="0" w:oddHBand="1" w:evenHBand="0" w:firstRowFirstColumn="0" w:firstRowLastColumn="0" w:lastRowFirstColumn="0" w:lastRowLastColumn="0"/>
            </w:pPr>
            <w:r w:rsidRPr="00D714FC">
              <w:t>4.4</w:t>
            </w:r>
          </w:p>
          <w:p w:rsidR="006B4C78" w:rsidRPr="00D714FC" w:rsidRDefault="006B4C78" w:rsidP="00C6733C">
            <w:pPr>
              <w:pStyle w:val="tabletext"/>
              <w:tabs>
                <w:tab w:val="left" w:pos="426"/>
              </w:tabs>
              <w:cnfStyle w:val="000000100000" w:firstRow="0" w:lastRow="0" w:firstColumn="0" w:lastColumn="0" w:oddVBand="0" w:evenVBand="0" w:oddHBand="1" w:evenHBand="0" w:firstRowFirstColumn="0" w:firstRowLastColumn="0" w:lastRowFirstColumn="0" w:lastRowLastColumn="0"/>
            </w:pPr>
            <w:r w:rsidRPr="00D714FC">
              <w:t>7.2, 7.3, 7.4</w:t>
            </w:r>
          </w:p>
        </w:tc>
      </w:tr>
      <w:tr w:rsidR="006B4C78" w:rsidRPr="00D714FC" w:rsidTr="005609C4">
        <w:trPr>
          <w:trHeight w:val="20"/>
        </w:trPr>
        <w:tc>
          <w:tcPr>
            <w:cnfStyle w:val="001000000000" w:firstRow="0" w:lastRow="0" w:firstColumn="1" w:lastColumn="0" w:oddVBand="0" w:evenVBand="0" w:oddHBand="0" w:evenHBand="0" w:firstRowFirstColumn="0" w:firstRowLastColumn="0" w:lastRowFirstColumn="0" w:lastRowLastColumn="0"/>
            <w:tcW w:w="6912" w:type="dxa"/>
          </w:tcPr>
          <w:p w:rsidR="006B4C78" w:rsidRPr="00D714FC" w:rsidRDefault="006B4C78" w:rsidP="004F6BD0">
            <w:pPr>
              <w:pStyle w:val="tabletext"/>
              <w:tabs>
                <w:tab w:val="left" w:pos="426"/>
              </w:tabs>
              <w:rPr>
                <w:b w:val="0"/>
                <w:sz w:val="22"/>
                <w:szCs w:val="22"/>
              </w:rPr>
            </w:pPr>
            <w:r w:rsidRPr="00D714FC">
              <w:rPr>
                <w:b w:val="0"/>
                <w:sz w:val="22"/>
                <w:szCs w:val="22"/>
              </w:rPr>
              <w:t>3</w:t>
            </w:r>
            <w:r w:rsidR="004F6BD0">
              <w:rPr>
                <w:b w:val="0"/>
                <w:sz w:val="22"/>
                <w:szCs w:val="22"/>
              </w:rPr>
              <w:tab/>
            </w:r>
            <w:r w:rsidRPr="00D714FC">
              <w:rPr>
                <w:b w:val="0"/>
                <w:sz w:val="22"/>
                <w:szCs w:val="22"/>
              </w:rPr>
              <w:t xml:space="preserve">The ACCC’s advice is also requested on other opportunities for amending the rules to improve regulatory clarity or efficiency, or to reduce regulatory burdens while maintaining effective standards. </w:t>
            </w:r>
          </w:p>
        </w:tc>
        <w:tc>
          <w:tcPr>
            <w:tcW w:w="2375" w:type="dxa"/>
          </w:tcPr>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pPr>
            <w:r w:rsidRPr="00D714FC">
              <w:t>All issues throughout chapters 4-9, but especially</w:t>
            </w:r>
            <w:r w:rsidR="00F910F4">
              <w:t>:</w:t>
            </w:r>
          </w:p>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pPr>
            <w:r w:rsidRPr="00D714FC">
              <w:t>4.3, 4.5, 4.6</w:t>
            </w:r>
          </w:p>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pPr>
            <w:r w:rsidRPr="00D714FC">
              <w:t xml:space="preserve">5.3, 5.4, </w:t>
            </w:r>
            <w:r w:rsidR="00746AD7" w:rsidRPr="00D714FC">
              <w:t xml:space="preserve">5.5, </w:t>
            </w:r>
            <w:r w:rsidRPr="00D714FC">
              <w:t>5.6, 5.7, 5.11, 5.13</w:t>
            </w:r>
          </w:p>
          <w:p w:rsidR="006B4C78" w:rsidRPr="00D714FC" w:rsidRDefault="006B4C78" w:rsidP="00C6733C">
            <w:pPr>
              <w:pStyle w:val="tabletext"/>
              <w:tabs>
                <w:tab w:val="left" w:pos="426"/>
              </w:tabs>
              <w:cnfStyle w:val="000000000000" w:firstRow="0" w:lastRow="0" w:firstColumn="0" w:lastColumn="0" w:oddVBand="0" w:evenVBand="0" w:oddHBand="0" w:evenHBand="0" w:firstRowFirstColumn="0" w:firstRowLastColumn="0" w:lastRowFirstColumn="0" w:lastRowLastColumn="0"/>
              <w:rPr>
                <w:color w:val="000000"/>
              </w:rPr>
            </w:pPr>
            <w:r w:rsidRPr="00D714FC">
              <w:t>6.2, 6.3, 6.4</w:t>
            </w:r>
          </w:p>
        </w:tc>
      </w:tr>
    </w:tbl>
    <w:p w:rsidR="006B4C78" w:rsidRPr="00D714FC" w:rsidRDefault="006B4C78" w:rsidP="00A82DE6">
      <w:pPr>
        <w:pStyle w:val="Lvl1Bulletpoint"/>
        <w:numPr>
          <w:ilvl w:val="0"/>
          <w:numId w:val="0"/>
        </w:numPr>
      </w:pPr>
    </w:p>
    <w:p w:rsidR="006B4C78" w:rsidRPr="00D714FC" w:rsidRDefault="006B4C78" w:rsidP="006B4C78">
      <w:pPr>
        <w:rPr>
          <w:rFonts w:eastAsia="Arial" w:cs="Times New Roman"/>
          <w:b/>
          <w:sz w:val="24"/>
        </w:rPr>
      </w:pPr>
      <w:r w:rsidRPr="00D714FC">
        <w:rPr>
          <w:rFonts w:cs="Times New Roman"/>
        </w:rPr>
        <w:t>A copy of the Minister’s request</w:t>
      </w:r>
      <w:r w:rsidR="00BB1504" w:rsidRPr="00D714FC">
        <w:rPr>
          <w:rFonts w:cs="Times New Roman"/>
        </w:rPr>
        <w:t xml:space="preserve"> for advice</w:t>
      </w:r>
      <w:r w:rsidRPr="00D714FC">
        <w:rPr>
          <w:rFonts w:cs="Times New Roman"/>
        </w:rPr>
        <w:t xml:space="preserve"> and the complete terms of reference for the review are included at </w:t>
      </w:r>
      <w:r w:rsidRPr="00D714FC">
        <w:rPr>
          <w:rFonts w:cs="Times New Roman"/>
          <w:b/>
        </w:rPr>
        <w:t>Appendix A</w:t>
      </w:r>
      <w:r w:rsidRPr="00D714FC">
        <w:rPr>
          <w:rFonts w:cs="Times New Roman"/>
        </w:rPr>
        <w:t>.</w:t>
      </w:r>
    </w:p>
    <w:p w:rsidR="006B4C78" w:rsidRPr="00D714FC" w:rsidRDefault="006B4C78" w:rsidP="00616672">
      <w:pPr>
        <w:pStyle w:val="Heading2"/>
      </w:pPr>
      <w:bookmarkStart w:id="73" w:name="_Toc432780111"/>
      <w:bookmarkStart w:id="74" w:name="_Ref433968484"/>
      <w:bookmarkStart w:id="75" w:name="_Toc436122265"/>
      <w:bookmarkStart w:id="76" w:name="_Toc436122760"/>
      <w:bookmarkStart w:id="77" w:name="_Toc436124115"/>
      <w:bookmarkStart w:id="78" w:name="_Toc456785770"/>
      <w:bookmarkStart w:id="79" w:name="_Toc461630681"/>
      <w:r w:rsidRPr="00D714FC">
        <w:t>Consultation process and timeline</w:t>
      </w:r>
      <w:bookmarkEnd w:id="73"/>
      <w:bookmarkEnd w:id="74"/>
      <w:bookmarkEnd w:id="75"/>
      <w:bookmarkEnd w:id="76"/>
      <w:bookmarkEnd w:id="77"/>
      <w:bookmarkEnd w:id="78"/>
      <w:bookmarkEnd w:id="79"/>
    </w:p>
    <w:p w:rsidR="00911935" w:rsidRDefault="006B4C78" w:rsidP="00911935">
      <w:pPr>
        <w:spacing w:before="180" w:after="150"/>
        <w:rPr>
          <w:rFonts w:eastAsia="Times New Roman" w:cs="Times New Roman"/>
          <w:color w:val="363535"/>
          <w:lang w:val="en"/>
        </w:rPr>
      </w:pPr>
      <w:r w:rsidRPr="00D714FC">
        <w:rPr>
          <w:rFonts w:eastAsia="Times New Roman" w:cs="Times New Roman"/>
          <w:lang w:val="en"/>
        </w:rPr>
        <w:t>The ACCC has engaged in extensive consultation with stakeholders in the process of developing its advice.</w:t>
      </w:r>
      <w:r w:rsidR="00911935" w:rsidRPr="00911935">
        <w:rPr>
          <w:rFonts w:eastAsia="Times New Roman" w:cs="Times New Roman"/>
          <w:color w:val="363535"/>
          <w:lang w:val="en"/>
        </w:rPr>
        <w:t xml:space="preserve"> </w:t>
      </w:r>
    </w:p>
    <w:p w:rsidR="00911935" w:rsidRPr="00D714FC" w:rsidRDefault="00911935" w:rsidP="00911935">
      <w:pPr>
        <w:spacing w:before="180" w:after="150"/>
        <w:rPr>
          <w:rFonts w:eastAsia="Times New Roman" w:cs="Times New Roman"/>
          <w:color w:val="363535"/>
          <w:lang w:val="en"/>
        </w:rPr>
      </w:pPr>
      <w:r w:rsidRPr="00D714FC">
        <w:rPr>
          <w:rFonts w:eastAsia="Times New Roman" w:cs="Times New Roman"/>
          <w:color w:val="363535"/>
          <w:lang w:val="en"/>
        </w:rPr>
        <w:t xml:space="preserve">Throughout the consultation process, the ACCC has held meetings with various industry stakeholders, including: infrastructure operators, irrigators, Basin State governments and regulators, industry groups and other stakeholders. </w:t>
      </w:r>
      <w:r w:rsidR="006E6BDC">
        <w:rPr>
          <w:rFonts w:eastAsia="Times New Roman" w:cs="Times New Roman"/>
          <w:color w:val="363535"/>
          <w:lang w:val="en"/>
        </w:rPr>
        <w:t>The ACCC also surveyed irrigators directly, first in the early part of 2015 and again in March / April 2016.</w:t>
      </w:r>
      <w:r w:rsidR="00D956FB">
        <w:rPr>
          <w:rStyle w:val="FootnoteReference"/>
          <w:rFonts w:eastAsia="Times New Roman" w:cs="Times New Roman"/>
          <w:color w:val="363535"/>
          <w:lang w:val="en"/>
        </w:rPr>
        <w:footnoteReference w:id="7"/>
      </w:r>
      <w:r w:rsidR="006E6BDC">
        <w:rPr>
          <w:rFonts w:eastAsia="Times New Roman" w:cs="Times New Roman"/>
          <w:color w:val="363535"/>
          <w:lang w:val="en"/>
        </w:rPr>
        <w:t xml:space="preserve"> </w:t>
      </w:r>
      <w:r w:rsidRPr="00D714FC">
        <w:rPr>
          <w:rFonts w:eastAsia="Times New Roman" w:cs="Times New Roman"/>
          <w:color w:val="363535"/>
          <w:lang w:val="en"/>
        </w:rPr>
        <w:t xml:space="preserve">The purpose of this consultation was to engage with stakeholders </w:t>
      </w:r>
      <w:r w:rsidR="00146F5B">
        <w:rPr>
          <w:rFonts w:eastAsia="Times New Roman" w:cs="Times New Roman"/>
          <w:color w:val="363535"/>
          <w:lang w:val="en"/>
        </w:rPr>
        <w:t>throughout</w:t>
      </w:r>
      <w:r w:rsidRPr="00D714FC">
        <w:rPr>
          <w:rFonts w:eastAsia="Times New Roman" w:cs="Times New Roman"/>
          <w:color w:val="363535"/>
          <w:lang w:val="en"/>
        </w:rPr>
        <w:t xml:space="preserve"> the review process and to inform the drafting of the </w:t>
      </w:r>
      <w:r w:rsidR="00146F5B">
        <w:rPr>
          <w:rFonts w:eastAsia="Times New Roman" w:cs="Times New Roman"/>
          <w:color w:val="363535"/>
          <w:lang w:val="en"/>
        </w:rPr>
        <w:t>Final</w:t>
      </w:r>
      <w:r w:rsidRPr="00D714FC">
        <w:rPr>
          <w:rFonts w:eastAsia="Times New Roman" w:cs="Times New Roman"/>
          <w:color w:val="363535"/>
          <w:lang w:val="en"/>
        </w:rPr>
        <w:t xml:space="preserve"> Advice</w:t>
      </w:r>
      <w:r w:rsidR="00146F5B">
        <w:rPr>
          <w:rFonts w:eastAsia="Times New Roman" w:cs="Times New Roman"/>
          <w:color w:val="363535"/>
          <w:lang w:val="en"/>
        </w:rPr>
        <w:t xml:space="preserve"> and proposed water charge rules</w:t>
      </w:r>
      <w:r w:rsidRPr="00D714FC">
        <w:rPr>
          <w:rFonts w:eastAsia="Times New Roman" w:cs="Times New Roman"/>
          <w:color w:val="363535"/>
          <w:lang w:val="en"/>
        </w:rPr>
        <w:t xml:space="preserve">. </w:t>
      </w:r>
    </w:p>
    <w:p w:rsidR="00146F5B" w:rsidRPr="00146F5B" w:rsidRDefault="00911935" w:rsidP="00146F5B">
      <w:pPr>
        <w:spacing w:before="180" w:after="150"/>
        <w:rPr>
          <w:rFonts w:eastAsia="Times New Roman" w:cs="Times New Roman"/>
          <w:lang w:val="en"/>
        </w:rPr>
      </w:pPr>
      <w:r w:rsidRPr="00146F5B">
        <w:rPr>
          <w:lang w:val="en"/>
        </w:rPr>
        <w:t>The Water Regulations 2008 set out consultation requirements in relation to proposals to amend the water charge rules.</w:t>
      </w:r>
      <w:r w:rsidRPr="00146F5B">
        <w:rPr>
          <w:vertAlign w:val="superscript"/>
          <w:lang w:val="en"/>
        </w:rPr>
        <w:footnoteReference w:id="8"/>
      </w:r>
      <w:r w:rsidRPr="00146F5B">
        <w:rPr>
          <w:lang w:val="en"/>
        </w:rPr>
        <w:t xml:space="preserve"> These include requirements to consult with relevant minister for each Basin State, infrastructure operators and the broader public. Details of key steps in the consultation process are below.</w:t>
      </w:r>
      <w:r w:rsidR="002955C5" w:rsidRPr="00146F5B">
        <w:rPr>
          <w:lang w:val="en"/>
        </w:rPr>
        <w:t xml:space="preserve"> </w:t>
      </w:r>
    </w:p>
    <w:p w:rsidR="00911935" w:rsidRPr="0082647F" w:rsidRDefault="00911935" w:rsidP="0082647F">
      <w:pPr>
        <w:pStyle w:val="Subheading"/>
        <w:rPr>
          <w:i w:val="0"/>
          <w:lang w:val="en"/>
        </w:rPr>
      </w:pPr>
      <w:r w:rsidRPr="0082647F">
        <w:rPr>
          <w:i w:val="0"/>
          <w:lang w:val="en"/>
        </w:rPr>
        <w:t>Issues Paper</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On 4 May 2015, the ACCC released an Issues Paper</w:t>
      </w:r>
      <w:r w:rsidRPr="00D714FC">
        <w:rPr>
          <w:rStyle w:val="FootnoteReference"/>
          <w:rFonts w:eastAsia="Times New Roman" w:cs="Times New Roman"/>
          <w:color w:val="363535"/>
          <w:lang w:val="en"/>
        </w:rPr>
        <w:footnoteReference w:id="9"/>
      </w:r>
      <w:r w:rsidRPr="00D714FC">
        <w:rPr>
          <w:rFonts w:eastAsia="Times New Roman" w:cs="Times New Roman"/>
          <w:color w:val="363535"/>
          <w:lang w:val="en"/>
        </w:rPr>
        <w:t xml:space="preserve"> to facilitate stakeholder input to the advice. The Issues Paper: </w:t>
      </w:r>
    </w:p>
    <w:p w:rsidR="006B4C78" w:rsidRPr="00D714FC" w:rsidRDefault="006B4C78" w:rsidP="00A82DE6">
      <w:pPr>
        <w:pStyle w:val="Lvl1Bulletpoint"/>
        <w:rPr>
          <w:rFonts w:eastAsia="Times New Roman"/>
          <w:lang w:val="en"/>
        </w:rPr>
      </w:pPr>
      <w:r w:rsidRPr="00D714FC">
        <w:rPr>
          <w:rFonts w:eastAsia="Times New Roman"/>
          <w:lang w:val="en"/>
        </w:rPr>
        <w:t>outlined the rationale for the water charge rules</w:t>
      </w:r>
    </w:p>
    <w:p w:rsidR="006B4C78" w:rsidRPr="00D714FC" w:rsidRDefault="006B4C78" w:rsidP="00A82DE6">
      <w:pPr>
        <w:pStyle w:val="Lvl1Bulletpoint"/>
        <w:rPr>
          <w:rFonts w:eastAsia="Times New Roman"/>
          <w:lang w:val="en"/>
        </w:rPr>
      </w:pPr>
      <w:r w:rsidRPr="00D714FC">
        <w:rPr>
          <w:rFonts w:eastAsia="Times New Roman"/>
          <w:lang w:val="en"/>
        </w:rPr>
        <w:t xml:space="preserve">discussed concerns and issues with these rules, including those raised during the Water Act Review, and </w:t>
      </w:r>
    </w:p>
    <w:p w:rsidR="006B4C78" w:rsidRPr="00D714FC" w:rsidRDefault="006B4C78" w:rsidP="00A82DE6">
      <w:pPr>
        <w:pStyle w:val="Lvl1Bulletpoint"/>
        <w:rPr>
          <w:rFonts w:eastAsia="Times New Roman"/>
          <w:lang w:val="en"/>
        </w:rPr>
      </w:pPr>
      <w:r w:rsidRPr="00D714FC">
        <w:rPr>
          <w:rFonts w:eastAsia="Times New Roman"/>
          <w:lang w:val="en"/>
        </w:rPr>
        <w:t xml:space="preserve">invited interested parties to respond to questions about these and any other relevant issues. </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Stakeholder submissions were due on 29 June 2015. The ACCC received 28 public submissions from a range of stakeholders. These submissions are available on the ACCC website.</w:t>
      </w:r>
      <w:r w:rsidRPr="00D714FC">
        <w:rPr>
          <w:rStyle w:val="FootnoteReference"/>
          <w:rFonts w:eastAsia="Times New Roman" w:cs="Times New Roman"/>
          <w:color w:val="363535"/>
          <w:lang w:val="en"/>
        </w:rPr>
        <w:footnoteReference w:id="10"/>
      </w:r>
      <w:r w:rsidRPr="00D714FC">
        <w:rPr>
          <w:rFonts w:eastAsia="Times New Roman" w:cs="Times New Roman"/>
          <w:color w:val="363535"/>
          <w:lang w:val="en"/>
        </w:rPr>
        <w:t xml:space="preserve"> The ACCC also received one confidential submission.</w:t>
      </w:r>
    </w:p>
    <w:p w:rsidR="00EF40C3" w:rsidRPr="0082647F" w:rsidRDefault="00EF40C3" w:rsidP="0082647F">
      <w:pPr>
        <w:pStyle w:val="Subheading"/>
        <w:rPr>
          <w:i w:val="0"/>
          <w:lang w:val="en"/>
        </w:rPr>
      </w:pPr>
      <w:r w:rsidRPr="0082647F">
        <w:rPr>
          <w:i w:val="0"/>
          <w:lang w:val="en"/>
        </w:rPr>
        <w:t>Public forums</w:t>
      </w:r>
    </w:p>
    <w:p w:rsidR="006B4C78" w:rsidRPr="00D714FC"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During July and August</w:t>
      </w:r>
      <w:r w:rsidR="00146F5B">
        <w:rPr>
          <w:rFonts w:eastAsia="Times New Roman" w:cs="Times New Roman"/>
          <w:color w:val="363535"/>
          <w:lang w:val="en"/>
        </w:rPr>
        <w:t xml:space="preserve"> 2015</w:t>
      </w:r>
      <w:r w:rsidRPr="00D714FC">
        <w:rPr>
          <w:rFonts w:eastAsia="Times New Roman" w:cs="Times New Roman"/>
          <w:color w:val="363535"/>
          <w:lang w:val="en"/>
        </w:rPr>
        <w:t>, the ACCC held public forums in a number of regional areas throughout the Murray-Darling Basin</w:t>
      </w:r>
      <w:r w:rsidR="00B35F50">
        <w:rPr>
          <w:rFonts w:eastAsia="Times New Roman" w:cs="Times New Roman"/>
          <w:color w:val="363535"/>
          <w:lang w:val="en"/>
        </w:rPr>
        <w:t xml:space="preserve"> (MDB)</w:t>
      </w:r>
      <w:r w:rsidRPr="00D714FC">
        <w:rPr>
          <w:rFonts w:eastAsia="Times New Roman" w:cs="Times New Roman"/>
          <w:color w:val="363535"/>
          <w:lang w:val="en"/>
        </w:rPr>
        <w:t>. Public forums were held in: Mildura (27 July), Renmark (28 July), Shepparton (3 August), Deniliquin (3 August), Griffith (4 August), St George (5 August), Tamworth (24 August) and Dubbo (25 August). These public forums were an opportunity to discuss water charging arrangements and contribute to the ACCC’s advice on possible amendments to the water charge rules.</w:t>
      </w:r>
    </w:p>
    <w:p w:rsidR="00911935" w:rsidRPr="0082647F" w:rsidRDefault="00911935" w:rsidP="0082647F">
      <w:pPr>
        <w:pStyle w:val="Subheading"/>
        <w:rPr>
          <w:i w:val="0"/>
          <w:lang w:val="en"/>
        </w:rPr>
      </w:pPr>
      <w:r w:rsidRPr="0082647F">
        <w:rPr>
          <w:i w:val="0"/>
          <w:lang w:val="en"/>
        </w:rPr>
        <w:t>Draft Advice</w:t>
      </w:r>
    </w:p>
    <w:p w:rsidR="00911935" w:rsidRPr="006E6BDC" w:rsidRDefault="00911935" w:rsidP="006E6BDC">
      <w:pPr>
        <w:spacing w:before="180" w:after="150"/>
        <w:rPr>
          <w:rFonts w:eastAsia="Times New Roman" w:cs="Times New Roman"/>
          <w:color w:val="363535"/>
          <w:lang w:val="en"/>
        </w:rPr>
      </w:pPr>
      <w:r w:rsidRPr="006E6BDC">
        <w:rPr>
          <w:rFonts w:eastAsia="Times New Roman" w:cs="Times New Roman"/>
          <w:color w:val="363535"/>
          <w:lang w:val="en"/>
        </w:rPr>
        <w:t>On 24 November 2015, the ACCC released its Draft Advice</w:t>
      </w:r>
      <w:r w:rsidRPr="006E6BDC">
        <w:rPr>
          <w:rFonts w:eastAsia="Times New Roman" w:cs="Times New Roman"/>
          <w:color w:val="363535"/>
          <w:vertAlign w:val="superscript"/>
        </w:rPr>
        <w:footnoteReference w:id="11"/>
      </w:r>
      <w:r w:rsidRPr="006E6BDC">
        <w:rPr>
          <w:rFonts w:eastAsia="Times New Roman" w:cs="Times New Roman"/>
          <w:color w:val="363535"/>
          <w:lang w:val="en"/>
        </w:rPr>
        <w:t xml:space="preserve"> and </w:t>
      </w:r>
      <w:r w:rsidR="0009514D">
        <w:rPr>
          <w:rFonts w:eastAsia="Times New Roman" w:cs="Times New Roman"/>
          <w:color w:val="363535"/>
          <w:lang w:val="en"/>
        </w:rPr>
        <w:t xml:space="preserve">draft </w:t>
      </w:r>
      <w:r w:rsidRPr="006E6BDC">
        <w:rPr>
          <w:rFonts w:eastAsia="Times New Roman" w:cs="Times New Roman"/>
          <w:color w:val="363535"/>
          <w:lang w:val="en"/>
        </w:rPr>
        <w:t>proposed water charge rules</w:t>
      </w:r>
      <w:r w:rsidRPr="006E6BDC">
        <w:rPr>
          <w:rFonts w:eastAsia="Times New Roman" w:cs="Times New Roman"/>
          <w:color w:val="363535"/>
          <w:vertAlign w:val="superscript"/>
        </w:rPr>
        <w:footnoteReference w:id="12"/>
      </w:r>
      <w:r w:rsidRPr="006E6BDC">
        <w:rPr>
          <w:rFonts w:eastAsia="Times New Roman" w:cs="Times New Roman"/>
          <w:color w:val="363535"/>
          <w:lang w:val="en"/>
        </w:rPr>
        <w:t xml:space="preserve"> for consultation. Stakeholder submissions were</w:t>
      </w:r>
      <w:r w:rsidR="003D50F8">
        <w:rPr>
          <w:rFonts w:eastAsia="Times New Roman" w:cs="Times New Roman"/>
          <w:color w:val="363535"/>
          <w:lang w:val="en"/>
        </w:rPr>
        <w:t xml:space="preserve"> initially</w:t>
      </w:r>
      <w:r w:rsidRPr="006E6BDC">
        <w:rPr>
          <w:rFonts w:eastAsia="Times New Roman" w:cs="Times New Roman"/>
          <w:color w:val="363535"/>
          <w:lang w:val="en"/>
        </w:rPr>
        <w:t xml:space="preserve"> due on 5 February 2016</w:t>
      </w:r>
      <w:r w:rsidR="003D50F8">
        <w:rPr>
          <w:rFonts w:eastAsia="Times New Roman" w:cs="Times New Roman"/>
          <w:color w:val="363535"/>
          <w:lang w:val="en"/>
        </w:rPr>
        <w:t>, but this was extended to 4 March 2016</w:t>
      </w:r>
      <w:r w:rsidRPr="006E6BDC">
        <w:rPr>
          <w:rFonts w:eastAsia="Times New Roman" w:cs="Times New Roman"/>
          <w:color w:val="363535"/>
          <w:lang w:val="en"/>
        </w:rPr>
        <w:t xml:space="preserve">. The ACCC received </w:t>
      </w:r>
      <w:r w:rsidR="00146F5B" w:rsidRPr="006E6BDC">
        <w:rPr>
          <w:rFonts w:eastAsia="Times New Roman" w:cs="Times New Roman"/>
          <w:color w:val="363535"/>
          <w:lang w:val="en"/>
        </w:rPr>
        <w:t>34</w:t>
      </w:r>
      <w:r w:rsidRPr="006E6BDC">
        <w:rPr>
          <w:rFonts w:eastAsia="Times New Roman" w:cs="Times New Roman"/>
          <w:color w:val="363535"/>
          <w:lang w:val="en"/>
        </w:rPr>
        <w:t xml:space="preserve"> public submissions</w:t>
      </w:r>
      <w:r w:rsidR="005609C4">
        <w:rPr>
          <w:rFonts w:eastAsia="Times New Roman" w:cs="Times New Roman"/>
          <w:color w:val="363535"/>
          <w:lang w:val="en"/>
        </w:rPr>
        <w:t xml:space="preserve"> on its Draft Advice</w:t>
      </w:r>
      <w:r w:rsidRPr="006E6BDC">
        <w:rPr>
          <w:rFonts w:eastAsia="Times New Roman" w:cs="Times New Roman"/>
          <w:color w:val="363535"/>
          <w:lang w:val="en"/>
        </w:rPr>
        <w:t>.</w:t>
      </w:r>
      <w:r w:rsidRPr="006E6BDC">
        <w:rPr>
          <w:rFonts w:eastAsia="Times New Roman" w:cs="Times New Roman"/>
          <w:color w:val="363535"/>
          <w:vertAlign w:val="superscript"/>
        </w:rPr>
        <w:footnoteReference w:id="13"/>
      </w:r>
      <w:r w:rsidRPr="006E6BDC">
        <w:rPr>
          <w:rFonts w:eastAsia="Times New Roman" w:cs="Times New Roman"/>
          <w:color w:val="363535"/>
          <w:lang w:val="en"/>
        </w:rPr>
        <w:t xml:space="preserve"> </w:t>
      </w:r>
    </w:p>
    <w:p w:rsidR="00EF40C3" w:rsidRPr="0082647F" w:rsidRDefault="00EF40C3" w:rsidP="0082647F">
      <w:pPr>
        <w:pStyle w:val="Subheading"/>
        <w:rPr>
          <w:i w:val="0"/>
          <w:lang w:val="en"/>
        </w:rPr>
      </w:pPr>
      <w:r w:rsidRPr="0082647F">
        <w:rPr>
          <w:i w:val="0"/>
          <w:lang w:val="en"/>
        </w:rPr>
        <w:t>Timing</w:t>
      </w:r>
    </w:p>
    <w:p w:rsidR="006B4C78" w:rsidRDefault="006B4C78" w:rsidP="006B4C78">
      <w:pPr>
        <w:spacing w:before="180" w:after="150"/>
        <w:rPr>
          <w:rFonts w:eastAsia="Times New Roman" w:cs="Times New Roman"/>
          <w:color w:val="363535"/>
          <w:lang w:val="en"/>
        </w:rPr>
      </w:pPr>
      <w:r w:rsidRPr="00D714FC">
        <w:rPr>
          <w:rFonts w:eastAsia="Times New Roman" w:cs="Times New Roman"/>
          <w:color w:val="363535"/>
          <w:lang w:val="en"/>
        </w:rPr>
        <w:t xml:space="preserve">The original terms of reference requested the ACCC’s </w:t>
      </w:r>
      <w:r w:rsidR="005B7802">
        <w:rPr>
          <w:rFonts w:eastAsia="Times New Roman" w:cs="Times New Roman"/>
          <w:color w:val="363535"/>
          <w:lang w:val="en"/>
        </w:rPr>
        <w:t>F</w:t>
      </w:r>
      <w:r w:rsidRPr="00D714FC">
        <w:rPr>
          <w:rFonts w:eastAsia="Times New Roman" w:cs="Times New Roman"/>
          <w:color w:val="363535"/>
          <w:lang w:val="en"/>
        </w:rPr>
        <w:t xml:space="preserve">inal </w:t>
      </w:r>
      <w:r w:rsidR="005B7802">
        <w:rPr>
          <w:rFonts w:eastAsia="Times New Roman" w:cs="Times New Roman"/>
          <w:color w:val="363535"/>
          <w:lang w:val="en"/>
        </w:rPr>
        <w:t>A</w:t>
      </w:r>
      <w:r w:rsidRPr="00D714FC">
        <w:rPr>
          <w:rFonts w:eastAsia="Times New Roman" w:cs="Times New Roman"/>
          <w:color w:val="363535"/>
          <w:lang w:val="en"/>
        </w:rPr>
        <w:t>dvice by the end of December 2015. The Minister ha</w:t>
      </w:r>
      <w:r w:rsidR="00D956FB">
        <w:rPr>
          <w:rFonts w:eastAsia="Times New Roman" w:cs="Times New Roman"/>
          <w:color w:val="363535"/>
          <w:lang w:val="en"/>
        </w:rPr>
        <w:t>s</w:t>
      </w:r>
      <w:r w:rsidRPr="00D714FC">
        <w:rPr>
          <w:rFonts w:eastAsia="Times New Roman" w:cs="Times New Roman"/>
          <w:color w:val="363535"/>
          <w:lang w:val="en"/>
        </w:rPr>
        <w:t xml:space="preserve"> extended this period to the end of Ma</w:t>
      </w:r>
      <w:r w:rsidR="00EF40C3">
        <w:rPr>
          <w:rFonts w:eastAsia="Times New Roman" w:cs="Times New Roman"/>
          <w:color w:val="363535"/>
          <w:lang w:val="en"/>
        </w:rPr>
        <w:t>y</w:t>
      </w:r>
      <w:r w:rsidRPr="00D714FC">
        <w:rPr>
          <w:rFonts w:eastAsia="Times New Roman" w:cs="Times New Roman"/>
          <w:color w:val="363535"/>
          <w:lang w:val="en"/>
        </w:rPr>
        <w:t xml:space="preserve"> 2016 to ensure irrigators and other stakeholders have sufficient time to respond to this Draft Advice</w:t>
      </w:r>
      <w:r w:rsidR="00EF40C3">
        <w:rPr>
          <w:rFonts w:eastAsia="Times New Roman" w:cs="Times New Roman"/>
          <w:color w:val="363535"/>
          <w:lang w:val="en"/>
        </w:rPr>
        <w:t>, and that the ACCC had sufficient time to incorporate these views</w:t>
      </w:r>
      <w:r w:rsidRPr="00D714FC">
        <w:rPr>
          <w:rFonts w:eastAsia="Times New Roman" w:cs="Times New Roman"/>
          <w:color w:val="363535"/>
          <w:lang w:val="en"/>
        </w:rPr>
        <w:t>.</w:t>
      </w:r>
    </w:p>
    <w:p w:rsidR="00EF40C3" w:rsidRPr="00D714FC" w:rsidRDefault="00F55CF2" w:rsidP="006B4C78">
      <w:pPr>
        <w:spacing w:before="180" w:after="150"/>
        <w:rPr>
          <w:rFonts w:eastAsia="Times New Roman" w:cs="Times New Roman"/>
          <w:color w:val="363535"/>
          <w:lang w:val="en"/>
        </w:rPr>
      </w:pPr>
      <w:r>
        <w:rPr>
          <w:rFonts w:eastAsia="Times New Roman" w:cs="Times New Roman"/>
          <w:color w:val="363535"/>
          <w:lang w:val="en"/>
        </w:rPr>
        <w:t>In early May</w:t>
      </w:r>
      <w:r w:rsidR="00EF40C3">
        <w:rPr>
          <w:rFonts w:eastAsia="Times New Roman" w:cs="Times New Roman"/>
          <w:color w:val="363535"/>
          <w:lang w:val="en"/>
        </w:rPr>
        <w:t>, the Government entered caretaker mode</w:t>
      </w:r>
      <w:r>
        <w:rPr>
          <w:rFonts w:eastAsia="Times New Roman" w:cs="Times New Roman"/>
          <w:color w:val="363535"/>
          <w:lang w:val="en"/>
        </w:rPr>
        <w:t xml:space="preserve"> and t</w:t>
      </w:r>
      <w:r w:rsidR="00EF40C3">
        <w:rPr>
          <w:rFonts w:eastAsia="Times New Roman" w:cs="Times New Roman"/>
          <w:color w:val="363535"/>
          <w:lang w:val="en"/>
        </w:rPr>
        <w:t xml:space="preserve">he ACCC wrote to the Minister to advise that the </w:t>
      </w:r>
      <w:r w:rsidR="005B7802">
        <w:rPr>
          <w:rFonts w:eastAsia="Times New Roman" w:cs="Times New Roman"/>
          <w:color w:val="363535"/>
          <w:lang w:val="en"/>
        </w:rPr>
        <w:t>F</w:t>
      </w:r>
      <w:r w:rsidR="00EF40C3">
        <w:rPr>
          <w:rFonts w:eastAsia="Times New Roman" w:cs="Times New Roman"/>
          <w:color w:val="363535"/>
          <w:lang w:val="en"/>
        </w:rPr>
        <w:t xml:space="preserve">inal </w:t>
      </w:r>
      <w:r w:rsidR="005B7802">
        <w:rPr>
          <w:rFonts w:eastAsia="Times New Roman" w:cs="Times New Roman"/>
          <w:color w:val="363535"/>
          <w:lang w:val="en"/>
        </w:rPr>
        <w:t>A</w:t>
      </w:r>
      <w:r w:rsidR="00EF40C3">
        <w:rPr>
          <w:rFonts w:eastAsia="Times New Roman" w:cs="Times New Roman"/>
          <w:color w:val="363535"/>
          <w:lang w:val="en"/>
        </w:rPr>
        <w:t xml:space="preserve">dvice would be deferred until after the caretaker period. </w:t>
      </w:r>
    </w:p>
    <w:p w:rsidR="006B4C78" w:rsidRPr="00D714FC" w:rsidRDefault="006B4C78" w:rsidP="00616672">
      <w:pPr>
        <w:pStyle w:val="Heading2"/>
      </w:pPr>
      <w:bookmarkStart w:id="80" w:name="_Toc432780114"/>
      <w:bookmarkStart w:id="81" w:name="_Toc436122268"/>
      <w:bookmarkStart w:id="82" w:name="_Toc436122763"/>
      <w:bookmarkStart w:id="83" w:name="_Toc436124118"/>
      <w:bookmarkStart w:id="84" w:name="_Toc456785771"/>
      <w:bookmarkStart w:id="85" w:name="_Toc461630682"/>
      <w:r w:rsidRPr="00D714FC">
        <w:t xml:space="preserve">Structure of the </w:t>
      </w:r>
      <w:r w:rsidR="00C16E12">
        <w:t>Final</w:t>
      </w:r>
      <w:r w:rsidR="00C16E12" w:rsidRPr="00D714FC">
        <w:t xml:space="preserve"> </w:t>
      </w:r>
      <w:r w:rsidRPr="00D714FC">
        <w:t>Advice</w:t>
      </w:r>
      <w:bookmarkEnd w:id="80"/>
      <w:bookmarkEnd w:id="81"/>
      <w:bookmarkEnd w:id="82"/>
      <w:bookmarkEnd w:id="83"/>
      <w:bookmarkEnd w:id="84"/>
      <w:bookmarkEnd w:id="85"/>
    </w:p>
    <w:p w:rsidR="006B4C78" w:rsidRPr="00D714FC" w:rsidRDefault="006B4C78" w:rsidP="006B4C78">
      <w:pPr>
        <w:rPr>
          <w:rFonts w:cs="Times New Roman"/>
        </w:rPr>
      </w:pPr>
      <w:r w:rsidRPr="00D714FC">
        <w:rPr>
          <w:rFonts w:cs="Times New Roman"/>
        </w:rPr>
        <w:t xml:space="preserve">Generally, the </w:t>
      </w:r>
      <w:r w:rsidR="00911935">
        <w:rPr>
          <w:rFonts w:cs="Times New Roman"/>
        </w:rPr>
        <w:t xml:space="preserve">Final </w:t>
      </w:r>
      <w:r w:rsidRPr="00D714FC">
        <w:rPr>
          <w:rFonts w:cs="Times New Roman"/>
        </w:rPr>
        <w:t xml:space="preserve">Advice follows the same structure as the </w:t>
      </w:r>
      <w:r w:rsidR="00911935">
        <w:rPr>
          <w:rFonts w:cs="Times New Roman"/>
        </w:rPr>
        <w:t>Draft Advice</w:t>
      </w:r>
      <w:r w:rsidRPr="00D714FC">
        <w:rPr>
          <w:rFonts w:cs="Times New Roman"/>
        </w:rPr>
        <w:t xml:space="preserve">. </w:t>
      </w:r>
      <w:r w:rsidR="002955C5">
        <w:rPr>
          <w:rFonts w:cs="Times New Roman"/>
        </w:rPr>
        <w:t>As in t</w:t>
      </w:r>
      <w:r w:rsidRPr="00D714FC">
        <w:rPr>
          <w:rFonts w:cs="Times New Roman"/>
        </w:rPr>
        <w:t>he Draft Advice</w:t>
      </w:r>
      <w:r w:rsidR="002955C5">
        <w:rPr>
          <w:rFonts w:cs="Times New Roman"/>
        </w:rPr>
        <w:t>, the Final Advice</w:t>
      </w:r>
      <w:r w:rsidRPr="00D714FC">
        <w:rPr>
          <w:rFonts w:cs="Times New Roman"/>
        </w:rPr>
        <w:t xml:space="preserve"> contains numbered ‘rule advice’ and ‘recommendations’:</w:t>
      </w:r>
    </w:p>
    <w:p w:rsidR="006B4C78" w:rsidRPr="00D714FC" w:rsidRDefault="006B4C78" w:rsidP="00A82DE6">
      <w:pPr>
        <w:pStyle w:val="Lvl1Bulletpoint"/>
      </w:pPr>
      <w:r w:rsidRPr="00D714FC">
        <w:t>Rule advice: the ACCC’s proposed amendments to the water charge rules to address the issues identified (where rule amendments are considered the preferred course of action)</w:t>
      </w:r>
      <w:r w:rsidR="00084380">
        <w:t xml:space="preserve">. </w:t>
      </w:r>
    </w:p>
    <w:p w:rsidR="006B4C78" w:rsidRPr="00D714FC" w:rsidRDefault="006B4C78" w:rsidP="00A82DE6">
      <w:pPr>
        <w:pStyle w:val="Lvl1Bulletpoint"/>
      </w:pPr>
      <w:r w:rsidRPr="00D714FC">
        <w:t>Recommendations: the ACCC’s view on some other course of action that should be taken in order to address the issues identified</w:t>
      </w:r>
      <w:r w:rsidR="005609C4">
        <w:t>.</w:t>
      </w:r>
      <w:r w:rsidRPr="00D714FC">
        <w:t xml:space="preserve"> </w:t>
      </w:r>
    </w:p>
    <w:p w:rsidR="006B4C78" w:rsidRPr="00D714FC" w:rsidRDefault="006B4C78" w:rsidP="006B4C78">
      <w:pPr>
        <w:rPr>
          <w:rFonts w:cs="Times New Roman"/>
        </w:rPr>
      </w:pPr>
      <w:r w:rsidRPr="00D714FC">
        <w:rPr>
          <w:rFonts w:cs="Times New Roman"/>
        </w:rPr>
        <w:t xml:space="preserve">The </w:t>
      </w:r>
      <w:r w:rsidR="002955C5">
        <w:rPr>
          <w:rFonts w:cs="Times New Roman"/>
        </w:rPr>
        <w:t xml:space="preserve">Final </w:t>
      </w:r>
      <w:r w:rsidRPr="00D714FC">
        <w:rPr>
          <w:rFonts w:cs="Times New Roman"/>
        </w:rPr>
        <w:t>Advice contains the following chapters:</w:t>
      </w:r>
    </w:p>
    <w:p w:rsidR="006B4C78" w:rsidRPr="00D714FC" w:rsidRDefault="006B4C78" w:rsidP="006B4C78">
      <w:pPr>
        <w:rPr>
          <w:rFonts w:cs="Times New Roman"/>
          <w:b/>
        </w:rPr>
      </w:pPr>
      <w:r w:rsidRPr="00D714FC">
        <w:rPr>
          <w:rFonts w:cs="Times New Roman"/>
          <w:b/>
        </w:rPr>
        <w:t>Chapter 2—Overview of water charging arrangements</w:t>
      </w:r>
    </w:p>
    <w:p w:rsidR="006B4C78" w:rsidRPr="00D714FC" w:rsidRDefault="006B4C78" w:rsidP="006B4C78">
      <w:pPr>
        <w:rPr>
          <w:rFonts w:cs="Times New Roman"/>
        </w:rPr>
      </w:pPr>
      <w:r w:rsidRPr="00D714FC">
        <w:rPr>
          <w:rFonts w:cs="Times New Roman"/>
        </w:rPr>
        <w:t xml:space="preserve">This </w:t>
      </w:r>
      <w:r w:rsidR="00D64AA5" w:rsidRPr="00D714FC">
        <w:rPr>
          <w:rFonts w:cs="Times New Roman"/>
        </w:rPr>
        <w:t>c</w:t>
      </w:r>
      <w:r w:rsidRPr="00D714FC">
        <w:rPr>
          <w:rFonts w:cs="Times New Roman"/>
        </w:rPr>
        <w:t>hapter provide</w:t>
      </w:r>
      <w:r w:rsidR="00426C8B">
        <w:rPr>
          <w:rFonts w:cs="Times New Roman"/>
        </w:rPr>
        <w:t>s</w:t>
      </w:r>
      <w:r w:rsidRPr="00D714FC">
        <w:rPr>
          <w:rFonts w:cs="Times New Roman"/>
        </w:rPr>
        <w:t xml:space="preserve"> an overview of water charging arrangements in the Murray-Darling Basin</w:t>
      </w:r>
      <w:r w:rsidR="00B35F50">
        <w:rPr>
          <w:rFonts w:cs="Times New Roman"/>
        </w:rPr>
        <w:t xml:space="preserve"> (MDB)</w:t>
      </w:r>
      <w:r w:rsidRPr="00D714FC">
        <w:rPr>
          <w:rFonts w:cs="Times New Roman"/>
        </w:rPr>
        <w:t>. In particular,</w:t>
      </w:r>
      <w:r w:rsidR="004F6BD0">
        <w:rPr>
          <w:rFonts w:cs="Times New Roman"/>
        </w:rPr>
        <w:t xml:space="preserve"> this chapter explains</w:t>
      </w:r>
      <w:r w:rsidRPr="00D714FC">
        <w:rPr>
          <w:rFonts w:cs="Times New Roman"/>
        </w:rPr>
        <w:t xml:space="preserve"> the interrelationships between types of:</w:t>
      </w:r>
    </w:p>
    <w:p w:rsidR="006B4C78" w:rsidRPr="00D714FC" w:rsidRDefault="006B4C78" w:rsidP="00A82DE6">
      <w:pPr>
        <w:pStyle w:val="Lvl1Bulletpoint"/>
      </w:pPr>
      <w:r w:rsidRPr="00D714FC">
        <w:t>infrastructure operators and other charging entities</w:t>
      </w:r>
    </w:p>
    <w:p w:rsidR="006B4C78" w:rsidRPr="00D714FC" w:rsidRDefault="006B4C78" w:rsidP="00A82DE6">
      <w:pPr>
        <w:pStyle w:val="Lvl1Bulletpoint"/>
      </w:pPr>
      <w:r w:rsidRPr="00D714FC">
        <w:t>infrastructure services</w:t>
      </w:r>
    </w:p>
    <w:p w:rsidR="006B4C78" w:rsidRPr="00D714FC" w:rsidRDefault="006B4C78" w:rsidP="00A82DE6">
      <w:pPr>
        <w:pStyle w:val="Lvl1Bulletpoint"/>
      </w:pPr>
      <w:r w:rsidRPr="00D714FC">
        <w:t>customers</w:t>
      </w:r>
    </w:p>
    <w:p w:rsidR="006B4C78" w:rsidRPr="00D714FC" w:rsidRDefault="006B4C78" w:rsidP="00A82DE6">
      <w:pPr>
        <w:pStyle w:val="Lvl1Bulletpoint"/>
      </w:pPr>
      <w:r w:rsidRPr="00D714FC">
        <w:t>regulated water charges, and</w:t>
      </w:r>
    </w:p>
    <w:p w:rsidR="006B4C78" w:rsidRPr="00D714FC" w:rsidRDefault="006B4C78" w:rsidP="00A82DE6">
      <w:pPr>
        <w:pStyle w:val="Lvl1Bulletpoint"/>
      </w:pPr>
      <w:r w:rsidRPr="00D714FC">
        <w:t>tradeable water rights</w:t>
      </w:r>
      <w:r w:rsidR="005609C4">
        <w:t>.</w:t>
      </w:r>
    </w:p>
    <w:p w:rsidR="006B4C78" w:rsidRPr="00D714FC" w:rsidRDefault="006B4C78" w:rsidP="006B4C78">
      <w:pPr>
        <w:rPr>
          <w:rFonts w:cs="Times New Roman"/>
          <w:b/>
        </w:rPr>
      </w:pPr>
      <w:r w:rsidRPr="00D714FC">
        <w:rPr>
          <w:rFonts w:cs="Times New Roman"/>
          <w:b/>
        </w:rPr>
        <w:t>Chapter 3—Legislative framework</w:t>
      </w:r>
    </w:p>
    <w:p w:rsidR="006B4C78" w:rsidRPr="00D714FC" w:rsidRDefault="006B4C78" w:rsidP="006B4C78">
      <w:pPr>
        <w:rPr>
          <w:rFonts w:cs="Times New Roman"/>
        </w:rPr>
      </w:pPr>
      <w:r w:rsidRPr="00D714FC">
        <w:rPr>
          <w:rFonts w:cs="Times New Roman"/>
        </w:rPr>
        <w:t xml:space="preserve">This chapter provides information on the legislative framework applicable to the water charge rules, including the interaction between this review process and the Government’s response to the recommendations of the Water Act Review. </w:t>
      </w:r>
    </w:p>
    <w:p w:rsidR="006B4C78" w:rsidRPr="00D714FC" w:rsidRDefault="006B4C78" w:rsidP="006B4C78">
      <w:pPr>
        <w:rPr>
          <w:rFonts w:cs="Times New Roman"/>
          <w:b/>
        </w:rPr>
      </w:pPr>
      <w:r w:rsidRPr="00D714FC">
        <w:rPr>
          <w:rFonts w:cs="Times New Roman"/>
          <w:b/>
        </w:rPr>
        <w:t xml:space="preserve">Chapter 4—General issues </w:t>
      </w:r>
    </w:p>
    <w:p w:rsidR="006B4C78" w:rsidRPr="00D714FC" w:rsidRDefault="006B4C78" w:rsidP="006B4C78">
      <w:pPr>
        <w:rPr>
          <w:rFonts w:cs="Times New Roman"/>
          <w:b/>
        </w:rPr>
      </w:pPr>
      <w:r w:rsidRPr="00D714FC">
        <w:rPr>
          <w:rFonts w:cs="Times New Roman"/>
          <w:b/>
        </w:rPr>
        <w:t>Chapter 5—Water Charge (Infrastructure) Rules 2010</w:t>
      </w:r>
    </w:p>
    <w:p w:rsidR="006B4C78" w:rsidRPr="00D714FC" w:rsidRDefault="006B4C78" w:rsidP="006B4C78">
      <w:pPr>
        <w:rPr>
          <w:rFonts w:cs="Times New Roman"/>
          <w:b/>
        </w:rPr>
      </w:pPr>
      <w:r w:rsidRPr="00D714FC">
        <w:rPr>
          <w:rFonts w:cs="Times New Roman"/>
          <w:b/>
        </w:rPr>
        <w:t>Chapter 6—Water Charge (Termination Fees) Rules 2009</w:t>
      </w:r>
    </w:p>
    <w:p w:rsidR="006B4C78" w:rsidRPr="00D714FC" w:rsidRDefault="006B4C78" w:rsidP="006B4C78">
      <w:pPr>
        <w:rPr>
          <w:rFonts w:cs="Times New Roman"/>
          <w:b/>
        </w:rPr>
      </w:pPr>
      <w:r w:rsidRPr="00D714FC">
        <w:rPr>
          <w:rFonts w:cs="Times New Roman"/>
          <w:b/>
        </w:rPr>
        <w:t>Chapter 7—Water Charge (Planning and Management Information) Rules 2010</w:t>
      </w:r>
    </w:p>
    <w:p w:rsidR="006B4C78" w:rsidRPr="00D714FC" w:rsidRDefault="006B4C78" w:rsidP="006B4C78">
      <w:pPr>
        <w:rPr>
          <w:rFonts w:cs="Times New Roman"/>
        </w:rPr>
      </w:pPr>
      <w:r w:rsidRPr="00D714FC">
        <w:rPr>
          <w:rFonts w:cs="Times New Roman"/>
        </w:rPr>
        <w:t>Chapters 4 to 7 describe the key issues considered by the review in relation to each of the three sets of water charge rules, and for the rules generally. Each section within these chapters includes:</w:t>
      </w:r>
    </w:p>
    <w:p w:rsidR="00F55CF2" w:rsidRPr="00D714FC" w:rsidRDefault="00F55CF2" w:rsidP="00A82DE6">
      <w:pPr>
        <w:pStyle w:val="Lvl1Bulletpoint"/>
      </w:pPr>
      <w:r w:rsidRPr="00D714FC">
        <w:t>where relevant, rule advice and / or recommendations.</w:t>
      </w:r>
    </w:p>
    <w:p w:rsidR="006B4C78" w:rsidRPr="00D714FC" w:rsidRDefault="006B4C78" w:rsidP="00A82DE6">
      <w:pPr>
        <w:pStyle w:val="Lvl1Bulletpoint"/>
      </w:pPr>
      <w:r w:rsidRPr="00D714FC">
        <w:t>background information</w:t>
      </w:r>
    </w:p>
    <w:p w:rsidR="006B4C78" w:rsidRPr="00D714FC" w:rsidRDefault="006B4C78" w:rsidP="00A82DE6">
      <w:pPr>
        <w:pStyle w:val="Lvl1Bulletpoint"/>
      </w:pPr>
      <w:r w:rsidRPr="00D714FC">
        <w:t>a summary of stakeholder views</w:t>
      </w:r>
      <w:r w:rsidR="00F55CF2">
        <w:t>, and</w:t>
      </w:r>
    </w:p>
    <w:p w:rsidR="006B4C78" w:rsidRDefault="00F55CF2" w:rsidP="00A82DE6">
      <w:pPr>
        <w:pStyle w:val="Lvl1Bulletpoint"/>
      </w:pPr>
      <w:r>
        <w:t>ACCC assessment</w:t>
      </w:r>
      <w:r w:rsidR="000F43CC">
        <w:t>.</w:t>
      </w:r>
    </w:p>
    <w:p w:rsidR="001F5759" w:rsidRPr="00D714FC" w:rsidRDefault="001F5759" w:rsidP="001F5759">
      <w:r>
        <w:t xml:space="preserve">The ACCC’s assessment considers options and alternatives put forward by stakeholders or otherwise considered by the ACCC. Further, it sets out the reasons for the proposed rule amendments made by the ACCC. The ACCC has proposed amendments to the </w:t>
      </w:r>
      <w:r w:rsidR="00510C65">
        <w:t xml:space="preserve">water charge </w:t>
      </w:r>
      <w:r>
        <w:t>rules w</w:t>
      </w:r>
      <w:r w:rsidR="001C2722">
        <w:t>h</w:t>
      </w:r>
      <w:r>
        <w:t xml:space="preserve">ere it considers </w:t>
      </w:r>
      <w:r w:rsidR="00510C65">
        <w:t>such amendments to be the best option contributing to the achievement of the Basin Water Charge Objectives and Principles, taking into account the need to reduce or avoid regulatory costs wherever practical.</w:t>
      </w:r>
    </w:p>
    <w:p w:rsidR="006B4C78" w:rsidRPr="00D714FC" w:rsidRDefault="006B4C78" w:rsidP="006B4C78">
      <w:pPr>
        <w:rPr>
          <w:rFonts w:cs="Times New Roman"/>
          <w:b/>
        </w:rPr>
      </w:pPr>
      <w:r w:rsidRPr="00D714FC">
        <w:rPr>
          <w:rFonts w:cs="Times New Roman"/>
          <w:b/>
        </w:rPr>
        <w:t>Chapter 8—Other issues of concern</w:t>
      </w:r>
    </w:p>
    <w:p w:rsidR="006B4C78" w:rsidRPr="00D714FC" w:rsidRDefault="006B4C78" w:rsidP="006B4C78">
      <w:pPr>
        <w:rPr>
          <w:rFonts w:cs="Times New Roman"/>
        </w:rPr>
      </w:pPr>
      <w:r w:rsidRPr="00D714FC">
        <w:rPr>
          <w:rFonts w:cs="Times New Roman"/>
        </w:rPr>
        <w:t>This chapter discusses issues raised by stakeholders, particularly at the public forums, which fall outside the scope of the water charge rules review. Some recommendations are made in relation to these issues.</w:t>
      </w:r>
    </w:p>
    <w:p w:rsidR="006B4C78" w:rsidRPr="00D714FC" w:rsidRDefault="006B4C78" w:rsidP="006B4C78">
      <w:pPr>
        <w:rPr>
          <w:rFonts w:cs="Times New Roman"/>
          <w:b/>
        </w:rPr>
      </w:pPr>
      <w:r w:rsidRPr="00D714FC">
        <w:rPr>
          <w:rFonts w:cs="Times New Roman"/>
          <w:b/>
        </w:rPr>
        <w:t>Chapter</w:t>
      </w:r>
      <w:r w:rsidR="00EB4ACA" w:rsidRPr="00D714FC">
        <w:rPr>
          <w:rFonts w:cs="Times New Roman"/>
          <w:b/>
        </w:rPr>
        <w:t xml:space="preserve"> </w:t>
      </w:r>
      <w:r w:rsidRPr="00D714FC">
        <w:rPr>
          <w:rFonts w:cs="Times New Roman"/>
          <w:b/>
        </w:rPr>
        <w:t>9—Assessment of the</w:t>
      </w:r>
      <w:r w:rsidR="00EB4ACA" w:rsidRPr="00D714FC">
        <w:rPr>
          <w:rFonts w:cs="Times New Roman"/>
          <w:b/>
        </w:rPr>
        <w:t xml:space="preserve"> change in</w:t>
      </w:r>
      <w:r w:rsidRPr="00D714FC">
        <w:rPr>
          <w:rFonts w:cs="Times New Roman"/>
          <w:b/>
        </w:rPr>
        <w:t xml:space="preserve"> regulatory </w:t>
      </w:r>
      <w:r w:rsidR="00EB4ACA" w:rsidRPr="00D714FC">
        <w:rPr>
          <w:rFonts w:cs="Times New Roman"/>
          <w:b/>
        </w:rPr>
        <w:t>cost under the proposed amendments to the water charge rules</w:t>
      </w:r>
    </w:p>
    <w:p w:rsidR="006B4C78" w:rsidRPr="00D714FC" w:rsidRDefault="006B4C78" w:rsidP="006B4C78">
      <w:pPr>
        <w:rPr>
          <w:rFonts w:cs="Times New Roman"/>
        </w:rPr>
      </w:pPr>
      <w:r w:rsidRPr="00D714FC">
        <w:rPr>
          <w:rFonts w:cs="Times New Roman"/>
        </w:rPr>
        <w:t xml:space="preserve">Where the ACCC has made rule advice (proposing amendments to the water charge rules), it has estimated the change in the regulatory </w:t>
      </w:r>
      <w:r w:rsidR="00EB4ACA" w:rsidRPr="00D714FC">
        <w:rPr>
          <w:rFonts w:cs="Times New Roman"/>
        </w:rPr>
        <w:t xml:space="preserve">cost </w:t>
      </w:r>
      <w:r w:rsidRPr="00D714FC">
        <w:rPr>
          <w:rFonts w:cs="Times New Roman"/>
        </w:rPr>
        <w:t xml:space="preserve">of </w:t>
      </w:r>
      <w:r w:rsidR="00EB4ACA" w:rsidRPr="00D714FC">
        <w:rPr>
          <w:rFonts w:cs="Times New Roman"/>
        </w:rPr>
        <w:t>the proposed amendments</w:t>
      </w:r>
      <w:r w:rsidRPr="00D714FC">
        <w:rPr>
          <w:rFonts w:cs="Times New Roman"/>
        </w:rPr>
        <w:t xml:space="preserve">. This </w:t>
      </w:r>
      <w:r w:rsidR="00EB4ACA" w:rsidRPr="00D714FC">
        <w:rPr>
          <w:rFonts w:cs="Times New Roman"/>
        </w:rPr>
        <w:t>c</w:t>
      </w:r>
      <w:r w:rsidRPr="00D714FC">
        <w:rPr>
          <w:rFonts w:cs="Times New Roman"/>
        </w:rPr>
        <w:t>hapter sets out the methodology the ACCC has used</w:t>
      </w:r>
      <w:r w:rsidR="001C2722">
        <w:rPr>
          <w:rFonts w:cs="Times New Roman"/>
        </w:rPr>
        <w:t>,</w:t>
      </w:r>
      <w:r w:rsidRPr="00D714FC">
        <w:rPr>
          <w:rFonts w:cs="Times New Roman"/>
        </w:rPr>
        <w:t xml:space="preserve"> </w:t>
      </w:r>
      <w:r w:rsidR="00D64AA5" w:rsidRPr="00D714FC">
        <w:rPr>
          <w:rFonts w:cs="Times New Roman"/>
        </w:rPr>
        <w:t xml:space="preserve">as well as the </w:t>
      </w:r>
      <w:r w:rsidR="00EB4ACA" w:rsidRPr="00D714FC">
        <w:rPr>
          <w:rFonts w:cs="Times New Roman"/>
        </w:rPr>
        <w:t>estimated change in regulatory cost</w:t>
      </w:r>
      <w:r w:rsidRPr="00D714FC">
        <w:rPr>
          <w:rFonts w:cs="Times New Roman"/>
        </w:rPr>
        <w:t xml:space="preserve"> </w:t>
      </w:r>
      <w:r w:rsidR="00D64AA5" w:rsidRPr="00D714FC">
        <w:rPr>
          <w:rFonts w:cs="Times New Roman"/>
        </w:rPr>
        <w:t>for the proposed amendments</w:t>
      </w:r>
      <w:r w:rsidRPr="00D714FC">
        <w:rPr>
          <w:rFonts w:cs="Times New Roman"/>
        </w:rPr>
        <w:t xml:space="preserve">. </w:t>
      </w:r>
    </w:p>
    <w:p w:rsidR="00AF7842" w:rsidRPr="00D714FC" w:rsidRDefault="00AF7842" w:rsidP="006B4C78">
      <w:pPr>
        <w:rPr>
          <w:rFonts w:cs="Times New Roman"/>
          <w:b/>
        </w:rPr>
      </w:pPr>
      <w:r w:rsidRPr="00D714FC">
        <w:rPr>
          <w:rFonts w:cs="Times New Roman"/>
          <w:b/>
        </w:rPr>
        <w:t>Appendices</w:t>
      </w:r>
    </w:p>
    <w:p w:rsidR="00AF7842" w:rsidRPr="00D714FC" w:rsidRDefault="00AF7842" w:rsidP="006B4C78">
      <w:pPr>
        <w:rPr>
          <w:rFonts w:cs="Times New Roman"/>
          <w:b/>
        </w:rPr>
      </w:pPr>
      <w:r w:rsidRPr="00D714FC">
        <w:rPr>
          <w:rFonts w:cs="Times New Roman"/>
          <w:b/>
        </w:rPr>
        <w:t>A – Request for advice and terms of reference</w:t>
      </w:r>
    </w:p>
    <w:p w:rsidR="00AF7842" w:rsidRPr="00D714FC" w:rsidRDefault="00AF7842" w:rsidP="006B4C78">
      <w:pPr>
        <w:rPr>
          <w:rFonts w:cs="Times New Roman"/>
          <w:b/>
        </w:rPr>
      </w:pPr>
      <w:r w:rsidRPr="00D714FC">
        <w:rPr>
          <w:rFonts w:cs="Times New Roman"/>
          <w:b/>
        </w:rPr>
        <w:t>B – Basin water charging objectives and principles</w:t>
      </w:r>
    </w:p>
    <w:p w:rsidR="00075B70" w:rsidRPr="00075B70" w:rsidRDefault="00075B70" w:rsidP="00075B70">
      <w:pPr>
        <w:rPr>
          <w:lang w:val="en"/>
        </w:rPr>
      </w:pPr>
      <w:bookmarkStart w:id="86" w:name="_Toc436122269"/>
      <w:bookmarkStart w:id="87" w:name="_Toc436122764"/>
      <w:bookmarkStart w:id="88" w:name="_Toc436124119"/>
      <w:r>
        <w:t>The terms of reference requested the ACCC provide draft rule amendments as part of its advice. The ACCC has done so in a separate document—t</w:t>
      </w:r>
      <w:r w:rsidRPr="00075B70">
        <w:rPr>
          <w:lang w:val="en"/>
        </w:rPr>
        <w:t xml:space="preserve">he </w:t>
      </w:r>
      <w:r w:rsidR="007C4E98">
        <w:rPr>
          <w:lang w:val="en"/>
        </w:rPr>
        <w:t>‘</w:t>
      </w:r>
      <w:r w:rsidRPr="007C4E98">
        <w:rPr>
          <w:iCs/>
          <w:lang w:val="en"/>
        </w:rPr>
        <w:t xml:space="preserve">Proposed </w:t>
      </w:r>
      <w:r w:rsidR="007C4E98" w:rsidRPr="007C4E98">
        <w:rPr>
          <w:iCs/>
          <w:lang w:val="en"/>
        </w:rPr>
        <w:t>w</w:t>
      </w:r>
      <w:r w:rsidRPr="007C4E98">
        <w:rPr>
          <w:iCs/>
          <w:lang w:val="en"/>
        </w:rPr>
        <w:t xml:space="preserve">ater </w:t>
      </w:r>
      <w:r w:rsidR="007C4E98" w:rsidRPr="007C4E98">
        <w:rPr>
          <w:iCs/>
          <w:lang w:val="en"/>
        </w:rPr>
        <w:t>c</w:t>
      </w:r>
      <w:r w:rsidRPr="007C4E98">
        <w:rPr>
          <w:iCs/>
          <w:lang w:val="en"/>
        </w:rPr>
        <w:t xml:space="preserve">harge </w:t>
      </w:r>
      <w:r w:rsidR="007C4E98" w:rsidRPr="007C4E98">
        <w:rPr>
          <w:iCs/>
          <w:lang w:val="en"/>
        </w:rPr>
        <w:t>r</w:t>
      </w:r>
      <w:r w:rsidRPr="007C4E98">
        <w:rPr>
          <w:iCs/>
          <w:lang w:val="en"/>
        </w:rPr>
        <w:t>ules</w:t>
      </w:r>
      <w:r w:rsidR="000F43CC" w:rsidRPr="007C4E98">
        <w:rPr>
          <w:iCs/>
          <w:lang w:val="en"/>
        </w:rPr>
        <w:t>—</w:t>
      </w:r>
      <w:r w:rsidR="007C4E98" w:rsidRPr="007C4E98">
        <w:rPr>
          <w:iCs/>
          <w:lang w:val="en"/>
        </w:rPr>
        <w:t>a</w:t>
      </w:r>
      <w:r w:rsidRPr="007C4E98">
        <w:rPr>
          <w:iCs/>
          <w:lang w:val="en"/>
        </w:rPr>
        <w:t xml:space="preserve">mending </w:t>
      </w:r>
      <w:r w:rsidR="007C4E98" w:rsidRPr="007C4E98">
        <w:rPr>
          <w:iCs/>
          <w:lang w:val="en"/>
        </w:rPr>
        <w:t>i</w:t>
      </w:r>
      <w:r w:rsidRPr="007C4E98">
        <w:rPr>
          <w:iCs/>
          <w:lang w:val="en"/>
        </w:rPr>
        <w:t>nstrument</w:t>
      </w:r>
      <w:r w:rsidR="007C4E98">
        <w:rPr>
          <w:iCs/>
          <w:lang w:val="en"/>
        </w:rPr>
        <w:t>’</w:t>
      </w:r>
      <w:r w:rsidRPr="00075B70">
        <w:rPr>
          <w:i/>
          <w:iCs/>
          <w:lang w:val="en"/>
        </w:rPr>
        <w:t xml:space="preserve"> </w:t>
      </w:r>
      <w:r w:rsidRPr="00075B70">
        <w:rPr>
          <w:lang w:val="en"/>
        </w:rPr>
        <w:t xml:space="preserve">sets out the legislative amendments required to give effect to the </w:t>
      </w:r>
      <w:r>
        <w:rPr>
          <w:lang w:val="en"/>
        </w:rPr>
        <w:t>rule advices set out in the Final Advice</w:t>
      </w:r>
      <w:r w:rsidRPr="00075B70">
        <w:rPr>
          <w:lang w:val="en"/>
        </w:rPr>
        <w:t>.</w:t>
      </w:r>
      <w:r>
        <w:rPr>
          <w:lang w:val="en"/>
        </w:rPr>
        <w:t xml:space="preserve"> The ACCC has provided an additional document—t</w:t>
      </w:r>
      <w:r w:rsidRPr="00075B70">
        <w:rPr>
          <w:lang w:val="en"/>
        </w:rPr>
        <w:t xml:space="preserve">he </w:t>
      </w:r>
      <w:r w:rsidR="007C4E98">
        <w:rPr>
          <w:lang w:val="en"/>
        </w:rPr>
        <w:t>‘</w:t>
      </w:r>
      <w:r w:rsidRPr="007C4E98">
        <w:rPr>
          <w:iCs/>
          <w:lang w:val="en"/>
        </w:rPr>
        <w:t xml:space="preserve">Proposed </w:t>
      </w:r>
      <w:r w:rsidR="007C4E98" w:rsidRPr="007C4E98">
        <w:rPr>
          <w:iCs/>
          <w:lang w:val="en"/>
        </w:rPr>
        <w:t>w</w:t>
      </w:r>
      <w:r w:rsidRPr="007C4E98">
        <w:rPr>
          <w:iCs/>
          <w:lang w:val="en"/>
        </w:rPr>
        <w:t xml:space="preserve">ater </w:t>
      </w:r>
      <w:r w:rsidR="007C4E98" w:rsidRPr="007C4E98">
        <w:rPr>
          <w:iCs/>
          <w:lang w:val="en"/>
        </w:rPr>
        <w:t>c</w:t>
      </w:r>
      <w:r w:rsidRPr="007C4E98">
        <w:rPr>
          <w:iCs/>
          <w:lang w:val="en"/>
        </w:rPr>
        <w:t xml:space="preserve">harge </w:t>
      </w:r>
      <w:r w:rsidR="007C4E98" w:rsidRPr="007C4E98">
        <w:rPr>
          <w:iCs/>
          <w:lang w:val="en"/>
        </w:rPr>
        <w:t>r</w:t>
      </w:r>
      <w:r w:rsidRPr="007C4E98">
        <w:rPr>
          <w:iCs/>
          <w:lang w:val="en"/>
        </w:rPr>
        <w:t>ules</w:t>
      </w:r>
      <w:r w:rsidR="007C4E98">
        <w:rPr>
          <w:iCs/>
          <w:lang w:val="en"/>
        </w:rPr>
        <w:t>’</w:t>
      </w:r>
      <w:r>
        <w:rPr>
          <w:i/>
          <w:iCs/>
          <w:lang w:val="en"/>
        </w:rPr>
        <w:t>—</w:t>
      </w:r>
      <w:r>
        <w:rPr>
          <w:iCs/>
          <w:lang w:val="en"/>
        </w:rPr>
        <w:t xml:space="preserve">to show </w:t>
      </w:r>
      <w:r w:rsidRPr="00075B70">
        <w:rPr>
          <w:lang w:val="en"/>
        </w:rPr>
        <w:t>the legislative instrument that would result if these amendments were adopted.</w:t>
      </w:r>
    </w:p>
    <w:p w:rsidR="006B4C78" w:rsidRPr="00D714FC" w:rsidRDefault="006B4C78" w:rsidP="00A946C7">
      <w:pPr>
        <w:pStyle w:val="Heading1"/>
        <w:numPr>
          <w:ilvl w:val="0"/>
          <w:numId w:val="6"/>
        </w:numPr>
        <w:ind w:left="360" w:hanging="360"/>
        <w:rPr>
          <w:rFonts w:ascii="Times New Roman" w:hAnsi="Times New Roman" w:cs="Times New Roman"/>
        </w:rPr>
      </w:pPr>
      <w:bookmarkStart w:id="89" w:name="_Toc456785772"/>
      <w:bookmarkStart w:id="90" w:name="_Toc461630683"/>
      <w:r w:rsidRPr="00D714FC">
        <w:rPr>
          <w:rFonts w:ascii="Times New Roman" w:hAnsi="Times New Roman" w:cs="Times New Roman"/>
        </w:rPr>
        <w:t>Water charging arrangements</w:t>
      </w:r>
      <w:bookmarkEnd w:id="86"/>
      <w:bookmarkEnd w:id="87"/>
      <w:bookmarkEnd w:id="88"/>
      <w:bookmarkEnd w:id="89"/>
      <w:bookmarkEnd w:id="90"/>
    </w:p>
    <w:p w:rsidR="006B4C78" w:rsidRPr="00D714FC" w:rsidRDefault="006B4C78" w:rsidP="006B4C78">
      <w:pPr>
        <w:rPr>
          <w:rFonts w:cs="Times New Roman"/>
        </w:rPr>
      </w:pPr>
      <w:r w:rsidRPr="00D714FC">
        <w:rPr>
          <w:rFonts w:cs="Times New Roman"/>
        </w:rPr>
        <w:t xml:space="preserve">The water charge rules, and this review, relate to regulated water charges (as defined in section 91 of the </w:t>
      </w:r>
      <w:r w:rsidR="00280654" w:rsidRPr="00280654">
        <w:rPr>
          <w:rFonts w:cs="Times New Roman"/>
          <w:i/>
        </w:rPr>
        <w:t xml:space="preserve">Water </w:t>
      </w:r>
      <w:r w:rsidRPr="00280654">
        <w:rPr>
          <w:rFonts w:cs="Times New Roman"/>
          <w:i/>
        </w:rPr>
        <w:t>Act</w:t>
      </w:r>
      <w:r w:rsidR="00280654" w:rsidRPr="00280654">
        <w:rPr>
          <w:rFonts w:cs="Times New Roman"/>
          <w:i/>
        </w:rPr>
        <w:t xml:space="preserve"> 2007</w:t>
      </w:r>
      <w:r w:rsidRPr="00D714FC">
        <w:rPr>
          <w:rFonts w:cs="Times New Roman"/>
        </w:rPr>
        <w:t>). These charges are imposed at various stages of the rural water supply chain. This chapter provides an overview of</w:t>
      </w:r>
      <w:r w:rsidR="00426C8B">
        <w:rPr>
          <w:rFonts w:cs="Times New Roman"/>
        </w:rPr>
        <w:t xml:space="preserve"> the characteristics of</w:t>
      </w:r>
      <w:r w:rsidR="00F55CF2">
        <w:rPr>
          <w:rFonts w:cs="Times New Roman"/>
        </w:rPr>
        <w:t>,</w:t>
      </w:r>
      <w:r w:rsidR="00426C8B">
        <w:rPr>
          <w:rFonts w:cs="Times New Roman"/>
        </w:rPr>
        <w:t xml:space="preserve"> an</w:t>
      </w:r>
      <w:r w:rsidR="00F55CF2">
        <w:rPr>
          <w:rFonts w:cs="Times New Roman"/>
        </w:rPr>
        <w:t>d</w:t>
      </w:r>
      <w:r w:rsidR="00426C8B">
        <w:rPr>
          <w:rFonts w:cs="Times New Roman"/>
        </w:rPr>
        <w:t xml:space="preserve"> inter-relationships between</w:t>
      </w:r>
      <w:r w:rsidRPr="00D714FC">
        <w:rPr>
          <w:rFonts w:cs="Times New Roman"/>
        </w:rPr>
        <w:t>:</w:t>
      </w:r>
    </w:p>
    <w:p w:rsidR="006B4C78" w:rsidRPr="00D714FC" w:rsidRDefault="006B4C78" w:rsidP="00A82DE6">
      <w:pPr>
        <w:pStyle w:val="Lvl1Bulletpoint"/>
      </w:pPr>
      <w:r w:rsidRPr="00D714FC">
        <w:t>participants in the rural water supply chain</w:t>
      </w:r>
    </w:p>
    <w:p w:rsidR="006B4C78" w:rsidRPr="00D714FC" w:rsidRDefault="006B4C78" w:rsidP="00A82DE6">
      <w:pPr>
        <w:pStyle w:val="Lvl1Bulletpoint"/>
      </w:pPr>
      <w:r w:rsidRPr="00D714FC">
        <w:t>tradeable water rights</w:t>
      </w:r>
    </w:p>
    <w:p w:rsidR="006B4C78" w:rsidRPr="00D714FC" w:rsidRDefault="006B4C78" w:rsidP="00A82DE6">
      <w:pPr>
        <w:pStyle w:val="Lvl1Bulletpoint"/>
      </w:pPr>
      <w:r w:rsidRPr="00D714FC">
        <w:t>regulated water charges</w:t>
      </w:r>
      <w:r w:rsidR="001C2722">
        <w:t>.</w:t>
      </w:r>
    </w:p>
    <w:p w:rsidR="006B4C78" w:rsidRPr="00D714FC" w:rsidRDefault="006B4C78" w:rsidP="00616672">
      <w:pPr>
        <w:pStyle w:val="Heading2"/>
      </w:pPr>
      <w:bookmarkStart w:id="91" w:name="_Ref435438931"/>
      <w:bookmarkStart w:id="92" w:name="_Toc436122270"/>
      <w:bookmarkStart w:id="93" w:name="_Toc436122765"/>
      <w:bookmarkStart w:id="94" w:name="_Toc436124120"/>
      <w:bookmarkStart w:id="95" w:name="_Toc456785773"/>
      <w:bookmarkStart w:id="96" w:name="_Toc461630684"/>
      <w:r w:rsidRPr="00D714FC">
        <w:t>Rural water supply chain participants</w:t>
      </w:r>
      <w:bookmarkEnd w:id="91"/>
      <w:bookmarkEnd w:id="92"/>
      <w:bookmarkEnd w:id="93"/>
      <w:bookmarkEnd w:id="94"/>
      <w:bookmarkEnd w:id="95"/>
      <w:bookmarkEnd w:id="96"/>
    </w:p>
    <w:p w:rsidR="006B4C78" w:rsidRPr="00D714FC" w:rsidRDefault="006B4C78" w:rsidP="00CE67EB">
      <w:pPr>
        <w:pStyle w:val="Heading3Un-numbered"/>
      </w:pPr>
      <w:r w:rsidRPr="00D714FC">
        <w:t>Government departments and authorities involved in planning and management</w:t>
      </w:r>
    </w:p>
    <w:p w:rsidR="006B4C78" w:rsidRPr="00D714FC" w:rsidRDefault="006B4C78" w:rsidP="006B4C78">
      <w:pPr>
        <w:rPr>
          <w:rFonts w:cs="Times New Roman"/>
        </w:rPr>
      </w:pPr>
      <w:r w:rsidRPr="00D714FC">
        <w:rPr>
          <w:rFonts w:cs="Times New Roman"/>
        </w:rPr>
        <w:t>Government departments and water authorities undertake water planning and management (WPM) activities to plan for and manage water resources. These activities include:</w:t>
      </w:r>
    </w:p>
    <w:p w:rsidR="006B4C78" w:rsidRPr="00D714FC" w:rsidRDefault="006B4C78" w:rsidP="00A82DE6">
      <w:pPr>
        <w:pStyle w:val="Lvl1Bulletpoint"/>
      </w:pPr>
      <w:r w:rsidRPr="00D714FC">
        <w:t xml:space="preserve">managing water access entitlements </w:t>
      </w:r>
    </w:p>
    <w:p w:rsidR="006B4C78" w:rsidRPr="00D714FC" w:rsidRDefault="006B4C78" w:rsidP="00A82DE6">
      <w:pPr>
        <w:pStyle w:val="Lvl1Bulletpoint"/>
      </w:pPr>
      <w:r w:rsidRPr="00D714FC">
        <w:t xml:space="preserve">managing trade registers </w:t>
      </w:r>
    </w:p>
    <w:p w:rsidR="006B4C78" w:rsidRPr="00D714FC" w:rsidRDefault="006B4C78" w:rsidP="00A82DE6">
      <w:pPr>
        <w:pStyle w:val="Lvl1Bulletpoint"/>
      </w:pPr>
      <w:r w:rsidRPr="00D714FC">
        <w:t>making water allocation decisions</w:t>
      </w:r>
    </w:p>
    <w:p w:rsidR="006B4C78" w:rsidRPr="00D714FC" w:rsidRDefault="006B4C78" w:rsidP="00A82DE6">
      <w:pPr>
        <w:pStyle w:val="Lvl1Bulletpoint"/>
      </w:pPr>
      <w:r w:rsidRPr="00D714FC">
        <w:t xml:space="preserve">water monitoring </w:t>
      </w:r>
    </w:p>
    <w:p w:rsidR="006B4C78" w:rsidRPr="00D714FC" w:rsidRDefault="006B4C78" w:rsidP="00A82DE6">
      <w:pPr>
        <w:pStyle w:val="Lvl1Bulletpoint"/>
      </w:pPr>
      <w:r w:rsidRPr="00D714FC">
        <w:t xml:space="preserve">environmental works to minimise the negative impacts of consumptive use. </w:t>
      </w:r>
    </w:p>
    <w:p w:rsidR="006B4C78" w:rsidRPr="00D714FC" w:rsidRDefault="006B4C78" w:rsidP="006B4C78">
      <w:pPr>
        <w:rPr>
          <w:rFonts w:cs="Times New Roman"/>
        </w:rPr>
      </w:pPr>
      <w:r w:rsidRPr="00D714FC">
        <w:rPr>
          <w:rFonts w:cs="Times New Roman"/>
        </w:rPr>
        <w:t>Governments may recover some or all of these costs through planning and management charges. These charges may be levied on infrastructure operators or on water users directly.</w:t>
      </w:r>
    </w:p>
    <w:p w:rsidR="006B4C78" w:rsidRPr="00D714FC" w:rsidRDefault="006B4C78" w:rsidP="00CE67EB">
      <w:pPr>
        <w:pStyle w:val="Heading3Un-numbered"/>
      </w:pPr>
      <w:r w:rsidRPr="00D714FC">
        <w:t>Infrastructure operators</w:t>
      </w:r>
    </w:p>
    <w:p w:rsidR="006B4C78" w:rsidRPr="00D714FC" w:rsidRDefault="006B4C78" w:rsidP="006B4C78">
      <w:pPr>
        <w:rPr>
          <w:rFonts w:cs="Times New Roman"/>
        </w:rPr>
      </w:pPr>
      <w:r w:rsidRPr="00D714FC">
        <w:rPr>
          <w:rFonts w:cs="Times New Roman"/>
        </w:rPr>
        <w:t>Infrastructure operators are those entities that own or operate infrastructure for the purpose of:</w:t>
      </w:r>
    </w:p>
    <w:p w:rsidR="006B4C78" w:rsidRPr="00D714FC" w:rsidRDefault="006B4C78" w:rsidP="00A82DE6">
      <w:pPr>
        <w:pStyle w:val="Lvl1Bulletpoint"/>
      </w:pPr>
      <w:r w:rsidRPr="00D714FC">
        <w:t>storing water</w:t>
      </w:r>
    </w:p>
    <w:p w:rsidR="006B4C78" w:rsidRPr="00D714FC" w:rsidRDefault="006B4C78" w:rsidP="00A82DE6">
      <w:pPr>
        <w:pStyle w:val="Lvl1Bulletpoint"/>
      </w:pPr>
      <w:r w:rsidRPr="00D714FC">
        <w:t>delivering water</w:t>
      </w:r>
    </w:p>
    <w:p w:rsidR="006B4C78" w:rsidRPr="00D714FC" w:rsidRDefault="006B4C78" w:rsidP="00A82DE6">
      <w:pPr>
        <w:pStyle w:val="Lvl1Bulletpoint"/>
      </w:pPr>
      <w:r w:rsidRPr="00D714FC">
        <w:t>draining water</w:t>
      </w:r>
    </w:p>
    <w:p w:rsidR="006B4C78" w:rsidRPr="00D714FC" w:rsidRDefault="006B4C78" w:rsidP="006B4C78">
      <w:pPr>
        <w:rPr>
          <w:rFonts w:cs="Times New Roman"/>
        </w:rPr>
      </w:pPr>
      <w:r w:rsidRPr="00D714FC">
        <w:rPr>
          <w:rFonts w:cs="Times New Roman"/>
        </w:rPr>
        <w:t>for the purpose of providing a service to another person.</w:t>
      </w:r>
    </w:p>
    <w:p w:rsidR="006B4C78" w:rsidRPr="00D714FC" w:rsidRDefault="006B4C78" w:rsidP="006B4C78">
      <w:pPr>
        <w:rPr>
          <w:rFonts w:cs="Times New Roman"/>
        </w:rPr>
      </w:pPr>
      <w:r w:rsidRPr="00D714FC">
        <w:rPr>
          <w:rFonts w:cs="Times New Roman"/>
        </w:rPr>
        <w:t xml:space="preserve">This infrastructure can include dams, weirs, channels, pipes and associated equipment, and is collectively referred to as the </w:t>
      </w:r>
      <w:r w:rsidR="006C39B0">
        <w:rPr>
          <w:rFonts w:cs="Times New Roman"/>
        </w:rPr>
        <w:t>infrastructure operator</w:t>
      </w:r>
      <w:r w:rsidR="006C39B0" w:rsidRPr="00D714FC">
        <w:rPr>
          <w:rFonts w:cs="Times New Roman"/>
        </w:rPr>
        <w:t xml:space="preserve">’s </w:t>
      </w:r>
      <w:r w:rsidRPr="00D714FC">
        <w:rPr>
          <w:rFonts w:cs="Times New Roman"/>
          <w:b/>
          <w:i/>
        </w:rPr>
        <w:t>water service infrastructure</w:t>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An </w:t>
      </w:r>
      <w:r w:rsidR="006C39B0">
        <w:rPr>
          <w:rFonts w:cs="Times New Roman"/>
        </w:rPr>
        <w:t>infrastructure operator</w:t>
      </w:r>
      <w:r w:rsidRPr="00D714FC">
        <w:rPr>
          <w:rFonts w:cs="Times New Roman"/>
        </w:rPr>
        <w:t xml:space="preserve"> provides </w:t>
      </w:r>
      <w:r w:rsidRPr="00D714FC">
        <w:rPr>
          <w:rFonts w:cs="Times New Roman"/>
          <w:b/>
          <w:i/>
        </w:rPr>
        <w:t xml:space="preserve">infrastructure services </w:t>
      </w:r>
      <w:r w:rsidRPr="00D714FC">
        <w:rPr>
          <w:rFonts w:cs="Times New Roman"/>
        </w:rPr>
        <w:t>to its customers in the form of access, or service provided in relation to access, to water service infrastructure</w:t>
      </w:r>
      <w:r w:rsidR="008A63D0">
        <w:rPr>
          <w:rFonts w:cs="Times New Roman"/>
        </w:rPr>
        <w:t xml:space="preserve">. This includes services for </w:t>
      </w:r>
      <w:r w:rsidRPr="00D714FC">
        <w:rPr>
          <w:rFonts w:cs="Times New Roman"/>
        </w:rPr>
        <w:t>the storage, delivery, drainage and taking of water.</w:t>
      </w:r>
    </w:p>
    <w:p w:rsidR="008A63D0" w:rsidRPr="00D714FC" w:rsidRDefault="008A63D0" w:rsidP="008A63D0">
      <w:pPr>
        <w:rPr>
          <w:rFonts w:cs="Times New Roman"/>
        </w:rPr>
      </w:pPr>
      <w:r>
        <w:rPr>
          <w:rFonts w:cs="Times New Roman"/>
        </w:rPr>
        <w:t>I</w:t>
      </w:r>
      <w:r w:rsidRPr="00D714FC">
        <w:rPr>
          <w:rFonts w:cs="Times New Roman"/>
        </w:rPr>
        <w:t>n some cases</w:t>
      </w:r>
      <w:r>
        <w:rPr>
          <w:rFonts w:cs="Times New Roman"/>
        </w:rPr>
        <w:t>, th</w:t>
      </w:r>
      <w:r w:rsidR="00FC3443">
        <w:rPr>
          <w:rFonts w:cs="Times New Roman"/>
        </w:rPr>
        <w:t>is</w:t>
      </w:r>
      <w:r>
        <w:rPr>
          <w:rFonts w:cs="Times New Roman"/>
        </w:rPr>
        <w:t xml:space="preserve"> </w:t>
      </w:r>
      <w:r w:rsidR="005B7802">
        <w:rPr>
          <w:rFonts w:cs="Times New Roman"/>
        </w:rPr>
        <w:t>F</w:t>
      </w:r>
      <w:r w:rsidR="00426C8B">
        <w:rPr>
          <w:rFonts w:cs="Times New Roman"/>
        </w:rPr>
        <w:t xml:space="preserve">inal </w:t>
      </w:r>
      <w:r w:rsidR="005B7802">
        <w:rPr>
          <w:rFonts w:cs="Times New Roman"/>
        </w:rPr>
        <w:t>A</w:t>
      </w:r>
      <w:r>
        <w:rPr>
          <w:rFonts w:cs="Times New Roman"/>
        </w:rPr>
        <w:t xml:space="preserve">dvice </w:t>
      </w:r>
      <w:r w:rsidRPr="00D714FC">
        <w:rPr>
          <w:rFonts w:cs="Times New Roman"/>
        </w:rPr>
        <w:t>refer</w:t>
      </w:r>
      <w:r>
        <w:rPr>
          <w:rFonts w:cs="Times New Roman"/>
        </w:rPr>
        <w:t>s</w:t>
      </w:r>
      <w:r w:rsidRPr="00D714FC">
        <w:rPr>
          <w:rFonts w:cs="Times New Roman"/>
        </w:rPr>
        <w:t xml:space="preserve"> to a particular subset of </w:t>
      </w:r>
      <w:r w:rsidR="006C39B0">
        <w:rPr>
          <w:rFonts w:cs="Times New Roman"/>
        </w:rPr>
        <w:t>infrastructure operators</w:t>
      </w:r>
      <w:r w:rsidRPr="00D714FC">
        <w:rPr>
          <w:rFonts w:cs="Times New Roman"/>
        </w:rPr>
        <w:t xml:space="preserve"> that deliver water for the primary purpose of being used for irrigation: this type of </w:t>
      </w:r>
      <w:r w:rsidR="006C39B0">
        <w:rPr>
          <w:rFonts w:cs="Times New Roman"/>
        </w:rPr>
        <w:t>infrastructure operator</w:t>
      </w:r>
      <w:r w:rsidRPr="00D714FC">
        <w:rPr>
          <w:rFonts w:cs="Times New Roman"/>
        </w:rPr>
        <w:t xml:space="preserve"> is an </w:t>
      </w:r>
      <w:r w:rsidR="00426C8B">
        <w:rPr>
          <w:rFonts w:cs="Times New Roman"/>
          <w:b/>
          <w:i/>
        </w:rPr>
        <w:t xml:space="preserve">irrigation infrastructure operator </w:t>
      </w:r>
      <w:r w:rsidR="00426C8B" w:rsidRPr="00426C8B">
        <w:rPr>
          <w:rFonts w:cs="Times New Roman"/>
        </w:rPr>
        <w:t>(</w:t>
      </w:r>
      <w:r w:rsidRPr="00D714FC">
        <w:rPr>
          <w:rFonts w:cs="Times New Roman"/>
        </w:rPr>
        <w:t>IIO</w:t>
      </w:r>
      <w:r w:rsidR="00426C8B">
        <w:rPr>
          <w:rFonts w:cs="Times New Roman"/>
        </w:rPr>
        <w:t>)</w:t>
      </w:r>
      <w:r w:rsidRPr="00D714FC">
        <w:rPr>
          <w:rFonts w:cs="Times New Roman"/>
        </w:rPr>
        <w:t xml:space="preserve"> and its water service infrastructure is considered an </w:t>
      </w:r>
      <w:r w:rsidRPr="00D714FC">
        <w:rPr>
          <w:rFonts w:cs="Times New Roman"/>
          <w:b/>
          <w:i/>
        </w:rPr>
        <w:t>irrigation network</w:t>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An </w:t>
      </w:r>
      <w:r w:rsidR="006C39B0">
        <w:rPr>
          <w:rFonts w:cs="Times New Roman"/>
        </w:rPr>
        <w:t>infrastructure operator</w:t>
      </w:r>
      <w:r w:rsidRPr="00D714FC">
        <w:rPr>
          <w:rFonts w:cs="Times New Roman"/>
        </w:rPr>
        <w:t>’s customers can include irrigators, environmental water holders, commercial operations, or other infrastructure operators (including urban water supply networks).</w:t>
      </w:r>
    </w:p>
    <w:p w:rsidR="006B4C78" w:rsidRPr="00D714FC" w:rsidRDefault="006B4C78" w:rsidP="006B4C78">
      <w:pPr>
        <w:rPr>
          <w:rFonts w:cs="Times New Roman"/>
        </w:rPr>
      </w:pPr>
      <w:r w:rsidRPr="00D714FC">
        <w:rPr>
          <w:rFonts w:cs="Times New Roman"/>
        </w:rPr>
        <w:t xml:space="preserve">The infrastructure services that an </w:t>
      </w:r>
      <w:r w:rsidR="006C39B0">
        <w:rPr>
          <w:rFonts w:cs="Times New Roman"/>
        </w:rPr>
        <w:t>infrastructure operator</w:t>
      </w:r>
      <w:r w:rsidRPr="00D714FC">
        <w:rPr>
          <w:rFonts w:cs="Times New Roman"/>
        </w:rPr>
        <w:t xml:space="preserve"> provides can be considered either ‘on-river’ or ‘off-river’:</w:t>
      </w:r>
    </w:p>
    <w:p w:rsidR="006B4C78" w:rsidRPr="00D714FC" w:rsidRDefault="006B4C78" w:rsidP="00A82DE6">
      <w:pPr>
        <w:pStyle w:val="Lvl1Bulletpoint"/>
      </w:pPr>
      <w:r w:rsidRPr="00D714FC">
        <w:rPr>
          <w:b/>
          <w:i/>
        </w:rPr>
        <w:t>On-river infrastructure services</w:t>
      </w:r>
      <w:r w:rsidRPr="00D714FC">
        <w:t xml:space="preserve"> include harvesting and storing water through infrastructure such as dams, lakes, weirs and reservoirs, and delivering water</w:t>
      </w:r>
      <w:r w:rsidR="00A26EFC">
        <w:t>, primarily</w:t>
      </w:r>
      <w:r w:rsidRPr="00D714FC">
        <w:t xml:space="preserve"> through natural watercourses</w:t>
      </w:r>
      <w:r w:rsidR="00A534EF">
        <w:t>,</w:t>
      </w:r>
      <w:r w:rsidRPr="00D714FC">
        <w:t xml:space="preserve"> to a point of extraction </w:t>
      </w:r>
      <w:r w:rsidR="00A534EF">
        <w:t>on a natural watercourse</w:t>
      </w:r>
      <w:r w:rsidRPr="00D714FC">
        <w:t xml:space="preserve">; or </w:t>
      </w:r>
    </w:p>
    <w:p w:rsidR="006B4C78" w:rsidRPr="00D714FC" w:rsidRDefault="006B4C78" w:rsidP="00A82DE6">
      <w:pPr>
        <w:pStyle w:val="Lvl1Bulletpoint"/>
      </w:pPr>
      <w:r w:rsidRPr="00D714FC">
        <w:rPr>
          <w:b/>
          <w:i/>
        </w:rPr>
        <w:t>Off-river infrastructure services</w:t>
      </w:r>
      <w:r w:rsidRPr="00D714FC">
        <w:t xml:space="preserve"> include the delivery of water from the natural watercourse through a network consisting of channels and / or pipes (which can be gravity-fed or pressurised) to a customer’s extraction point.</w:t>
      </w:r>
      <w:r w:rsidRPr="00D714FC">
        <w:rPr>
          <w:rStyle w:val="FootnoteReference"/>
          <w:rFonts w:cs="Times New Roman"/>
        </w:rPr>
        <w:footnoteReference w:id="14"/>
      </w:r>
      <w:r w:rsidRPr="00D714FC">
        <w:t xml:space="preserve"> </w:t>
      </w:r>
    </w:p>
    <w:p w:rsidR="006B4C78" w:rsidRPr="00D714FC" w:rsidRDefault="006B4C78" w:rsidP="006B4C78">
      <w:pPr>
        <w:rPr>
          <w:rFonts w:cs="Times New Roman"/>
        </w:rPr>
      </w:pPr>
      <w:r w:rsidRPr="00D714FC">
        <w:rPr>
          <w:rFonts w:cs="Times New Roman"/>
        </w:rPr>
        <w:t>On-river infrastructure services are sometimes referred to as ‘bulk water services’</w:t>
      </w:r>
      <w:r w:rsidR="001C2A66">
        <w:rPr>
          <w:rFonts w:cs="Times New Roman"/>
        </w:rPr>
        <w:t>.</w:t>
      </w:r>
      <w:r w:rsidRPr="00D714FC">
        <w:rPr>
          <w:rFonts w:cs="Times New Roman"/>
        </w:rPr>
        <w:t xml:space="preserve"> </w:t>
      </w:r>
      <w:r w:rsidR="006C39B0">
        <w:rPr>
          <w:rFonts w:cs="Times New Roman"/>
        </w:rPr>
        <w:t>Infrastructure operator</w:t>
      </w:r>
      <w:r w:rsidRPr="00D714FC">
        <w:rPr>
          <w:rFonts w:cs="Times New Roman"/>
        </w:rPr>
        <w:t xml:space="preserve">s providing these services are sometimes referred to as ‘bulk water suppliers’, and the charges are sometimes referred to as ‘bulk water charges’. Similarly, </w:t>
      </w:r>
      <w:r w:rsidR="006C39B0">
        <w:rPr>
          <w:rFonts w:cs="Times New Roman"/>
        </w:rPr>
        <w:t>infrastructure operator</w:t>
      </w:r>
      <w:r w:rsidRPr="00D714FC">
        <w:rPr>
          <w:rFonts w:cs="Times New Roman"/>
        </w:rPr>
        <w:t xml:space="preserve">s providing off-river infrastructure services are often referred to as IIOs and the charges they impose have been referred to as ‘irrigation network charges’. </w:t>
      </w:r>
      <w:r w:rsidR="008A63D0" w:rsidRPr="00D714FC">
        <w:rPr>
          <w:rFonts w:cs="Times New Roman"/>
        </w:rPr>
        <w:t>IIOs typically only provide off-river infrastructure services, however this is not always the case.</w:t>
      </w:r>
    </w:p>
    <w:p w:rsidR="006B4C78" w:rsidRPr="00D714FC" w:rsidRDefault="00FC3443" w:rsidP="001C2A66">
      <w:pPr>
        <w:rPr>
          <w:rFonts w:cs="Times New Roman"/>
        </w:rPr>
      </w:pPr>
      <w:r>
        <w:rPr>
          <w:rFonts w:cs="Times New Roman"/>
        </w:rPr>
        <w:t>I</w:t>
      </w:r>
      <w:r w:rsidR="001C2A66">
        <w:rPr>
          <w:rFonts w:cs="Times New Roman"/>
        </w:rPr>
        <w:t>n general</w:t>
      </w:r>
      <w:r>
        <w:rPr>
          <w:rFonts w:cs="Times New Roman"/>
        </w:rPr>
        <w:t>, this Final Advice</w:t>
      </w:r>
      <w:r w:rsidR="001C2A66">
        <w:rPr>
          <w:rFonts w:cs="Times New Roman"/>
        </w:rPr>
        <w:t xml:space="preserve"> </w:t>
      </w:r>
      <w:r w:rsidR="006B4C78" w:rsidRPr="00D714FC">
        <w:rPr>
          <w:rFonts w:cs="Times New Roman"/>
        </w:rPr>
        <w:t>simply refer</w:t>
      </w:r>
      <w:r>
        <w:rPr>
          <w:rFonts w:cs="Times New Roman"/>
        </w:rPr>
        <w:t>s</w:t>
      </w:r>
      <w:r w:rsidR="006B4C78" w:rsidRPr="00D714FC">
        <w:rPr>
          <w:rFonts w:cs="Times New Roman"/>
        </w:rPr>
        <w:t xml:space="preserve"> to ‘infrastructure operators’</w:t>
      </w:r>
      <w:r>
        <w:rPr>
          <w:rFonts w:cs="Times New Roman"/>
        </w:rPr>
        <w:t xml:space="preserve"> and, w</w:t>
      </w:r>
      <w:r w:rsidR="006B4C78" w:rsidRPr="00D714FC">
        <w:rPr>
          <w:rFonts w:cs="Times New Roman"/>
        </w:rPr>
        <w:t xml:space="preserve">here necessary will differentiate between </w:t>
      </w:r>
      <w:r w:rsidR="006C39B0">
        <w:rPr>
          <w:rFonts w:cs="Times New Roman"/>
        </w:rPr>
        <w:t>infrastructure operator</w:t>
      </w:r>
      <w:r w:rsidR="006B4C78" w:rsidRPr="00D714FC">
        <w:rPr>
          <w:rFonts w:cs="Times New Roman"/>
        </w:rPr>
        <w:t xml:space="preserve">s providing on-river infrastructure services, </w:t>
      </w:r>
      <w:r w:rsidR="006C39B0">
        <w:rPr>
          <w:rFonts w:cs="Times New Roman"/>
        </w:rPr>
        <w:t>infrastructure operator</w:t>
      </w:r>
      <w:r w:rsidR="006B4C78" w:rsidRPr="00D714FC">
        <w:rPr>
          <w:rFonts w:cs="Times New Roman"/>
        </w:rPr>
        <w:t xml:space="preserve">s providing off-river infrastructure services and </w:t>
      </w:r>
      <w:r w:rsidR="006C39B0">
        <w:rPr>
          <w:rFonts w:cs="Times New Roman"/>
        </w:rPr>
        <w:t>infrastructure operator</w:t>
      </w:r>
      <w:r w:rsidR="006B4C78" w:rsidRPr="00D714FC">
        <w:rPr>
          <w:rFonts w:cs="Times New Roman"/>
        </w:rPr>
        <w:t xml:space="preserve">s that provide both on-river and off-river infrastructure services. </w:t>
      </w:r>
    </w:p>
    <w:p w:rsidR="006B4C78" w:rsidRPr="00D714FC" w:rsidRDefault="006B4C78" w:rsidP="006B4C78">
      <w:pPr>
        <w:rPr>
          <w:rFonts w:cs="Times New Roman"/>
        </w:rPr>
      </w:pPr>
      <w:r w:rsidRPr="00D714FC">
        <w:rPr>
          <w:rFonts w:cs="Times New Roman"/>
        </w:rPr>
        <w:t>Similarly, charges that an infrastructure operator imposes for on-river and off-river infrastructure services are referred to respectively as ‘on-river infrastructure charges’ and ‘off-river infrastructure charges’</w:t>
      </w:r>
      <w:r w:rsidR="00B40F66">
        <w:rPr>
          <w:rFonts w:cs="Times New Roman"/>
        </w:rPr>
        <w:t xml:space="preserve"> where relevant</w:t>
      </w:r>
      <w:r w:rsidRPr="00D714FC">
        <w:rPr>
          <w:rFonts w:cs="Times New Roman"/>
        </w:rPr>
        <w:t>.</w:t>
      </w:r>
    </w:p>
    <w:p w:rsidR="006B4C78" w:rsidRPr="00D714FC" w:rsidRDefault="006B4C78" w:rsidP="00CE67EB">
      <w:pPr>
        <w:pStyle w:val="Heading3Un-numbered"/>
      </w:pPr>
      <w:r w:rsidRPr="00D714FC">
        <w:t>Water users</w:t>
      </w:r>
    </w:p>
    <w:p w:rsidR="006B4C78" w:rsidRPr="00D714FC" w:rsidRDefault="006B4C78" w:rsidP="006B4C78">
      <w:pPr>
        <w:rPr>
          <w:rFonts w:cs="Times New Roman"/>
        </w:rPr>
      </w:pPr>
      <w:r w:rsidRPr="00D714FC">
        <w:rPr>
          <w:rFonts w:cs="Times New Roman"/>
        </w:rPr>
        <w:t>The overwhelming majority of water use in the Murray-Darling Basin</w:t>
      </w:r>
      <w:r w:rsidR="00EB716D">
        <w:rPr>
          <w:rFonts w:cs="Times New Roman"/>
        </w:rPr>
        <w:t xml:space="preserve"> (MDB)</w:t>
      </w:r>
      <w:r w:rsidRPr="00D714FC">
        <w:rPr>
          <w:rFonts w:cs="Times New Roman"/>
        </w:rPr>
        <w:t xml:space="preserve"> is for irrigation.</w:t>
      </w:r>
      <w:r w:rsidRPr="00D714FC">
        <w:rPr>
          <w:rStyle w:val="FootnoteReference"/>
          <w:rFonts w:cs="Times New Roman"/>
        </w:rPr>
        <w:footnoteReference w:id="15"/>
      </w:r>
      <w:r w:rsidRPr="00D714FC">
        <w:rPr>
          <w:rFonts w:cs="Times New Roman"/>
        </w:rPr>
        <w:t xml:space="preserve"> </w:t>
      </w:r>
    </w:p>
    <w:p w:rsidR="006B4C78" w:rsidRPr="00D714FC" w:rsidRDefault="006B4C78" w:rsidP="006B4C78">
      <w:pPr>
        <w:rPr>
          <w:rFonts w:cs="Times New Roman"/>
        </w:rPr>
      </w:pPr>
      <w:r w:rsidRPr="00D714FC">
        <w:rPr>
          <w:rFonts w:cs="Times New Roman"/>
        </w:rPr>
        <w:t>Irrigators can be located either on-river (and are therefore considered ‘private diverters’) or off-river and rely on channels / pipes for the delivery of water to their property.</w:t>
      </w:r>
    </w:p>
    <w:p w:rsidR="006B4C78" w:rsidRPr="00D714FC" w:rsidRDefault="006B4C78" w:rsidP="006B4C78">
      <w:pPr>
        <w:rPr>
          <w:rFonts w:cs="Times New Roman"/>
        </w:rPr>
      </w:pPr>
      <w:r w:rsidRPr="00D714FC">
        <w:rPr>
          <w:rFonts w:cs="Times New Roman"/>
        </w:rPr>
        <w:t>In recent years, the proportion of water held and used by environmental water holders has increased significantly.</w:t>
      </w:r>
      <w:r w:rsidR="00F73336">
        <w:rPr>
          <w:rFonts w:cs="Times New Roman"/>
        </w:rPr>
        <w:t xml:space="preserve"> </w:t>
      </w:r>
      <w:r w:rsidRPr="00D714FC">
        <w:rPr>
          <w:rFonts w:cs="Times New Roman"/>
        </w:rPr>
        <w:t>Other water users include:</w:t>
      </w:r>
    </w:p>
    <w:p w:rsidR="006B4C78" w:rsidRPr="00D714FC" w:rsidRDefault="006B4C78" w:rsidP="00A82DE6">
      <w:pPr>
        <w:pStyle w:val="Lvl1Bulletpoint"/>
      </w:pPr>
      <w:r w:rsidRPr="00D714FC">
        <w:t>rural stock and domestic users</w:t>
      </w:r>
    </w:p>
    <w:p w:rsidR="006B4C78" w:rsidRPr="00D714FC" w:rsidRDefault="006B4C78" w:rsidP="00A82DE6">
      <w:pPr>
        <w:pStyle w:val="Lvl1Bulletpoint"/>
      </w:pPr>
      <w:r w:rsidRPr="00D714FC">
        <w:t>manufacturing and processing operations</w:t>
      </w:r>
    </w:p>
    <w:p w:rsidR="006B4C78" w:rsidRPr="00D714FC" w:rsidRDefault="006B4C78" w:rsidP="00A82DE6">
      <w:pPr>
        <w:pStyle w:val="Lvl1Bulletpoint"/>
      </w:pPr>
      <w:r w:rsidRPr="00D714FC">
        <w:t>commercial plantations (e.g. forestry)</w:t>
      </w:r>
    </w:p>
    <w:p w:rsidR="006B4C78" w:rsidRPr="00D714FC" w:rsidRDefault="006B4C78" w:rsidP="00A82DE6">
      <w:pPr>
        <w:pStyle w:val="Lvl1Bulletpoint"/>
      </w:pPr>
      <w:r w:rsidRPr="00D714FC">
        <w:t>mining operations</w:t>
      </w:r>
    </w:p>
    <w:p w:rsidR="006B4C78" w:rsidRPr="00D714FC" w:rsidRDefault="006B4C78" w:rsidP="00A82DE6">
      <w:pPr>
        <w:pStyle w:val="Lvl1Bulletpoint"/>
      </w:pPr>
      <w:r w:rsidRPr="00D714FC">
        <w:t>operators of urban water supply networks.</w:t>
      </w:r>
      <w:r w:rsidRPr="00D714FC">
        <w:rPr>
          <w:rStyle w:val="FootnoteReference"/>
          <w:rFonts w:cs="Times New Roman"/>
        </w:rPr>
        <w:footnoteReference w:id="16"/>
      </w:r>
    </w:p>
    <w:p w:rsidR="006B4C78" w:rsidRPr="00D714FC" w:rsidRDefault="006B4C78" w:rsidP="006B4C78">
      <w:pPr>
        <w:rPr>
          <w:rFonts w:cs="Times New Roman"/>
        </w:rPr>
      </w:pPr>
      <w:r w:rsidRPr="00D714FC">
        <w:rPr>
          <w:rFonts w:cs="Times New Roman"/>
        </w:rPr>
        <w:t xml:space="preserve">Just like irrigators, these other water users require infrastructure services for the storage and delivery of water access rights that they hold. Typically, they will incur the same types of charges as irrigators where they use the same infrastructure services. </w:t>
      </w:r>
    </w:p>
    <w:p w:rsidR="001972F6" w:rsidRPr="00D714FC" w:rsidRDefault="001972F6" w:rsidP="001972F6">
      <w:pPr>
        <w:rPr>
          <w:rFonts w:cs="Times New Roman"/>
        </w:rPr>
      </w:pPr>
      <w:r w:rsidRPr="00D714FC">
        <w:rPr>
          <w:rFonts w:cs="Times New Roman"/>
        </w:rPr>
        <w:t>Figure 2.1 below provides a pictorial representation of the rural water supply chain for three irrigators with different infrastructure service needs.</w:t>
      </w:r>
    </w:p>
    <w:p w:rsidR="000D5B9F" w:rsidRDefault="000D5B9F" w:rsidP="000D5B9F">
      <w:pPr>
        <w:pStyle w:val="Tabletitle"/>
      </w:pPr>
      <w:r w:rsidRPr="00D714FC">
        <w:t>Figure 2.1</w:t>
      </w:r>
      <w:r w:rsidRPr="00D714FC">
        <w:tab/>
        <w:t>Rural water users</w:t>
      </w:r>
    </w:p>
    <w:p w:rsidR="005A011A" w:rsidRDefault="005A011A" w:rsidP="000D5B9F">
      <w:pPr>
        <w:pStyle w:val="Tabletitle"/>
      </w:pPr>
      <w:r>
        <w:rPr>
          <w:noProof/>
          <w:lang w:eastAsia="en-AU"/>
        </w:rPr>
        <w:drawing>
          <wp:anchor distT="0" distB="0" distL="114300" distR="114300" simplePos="0" relativeHeight="251660288" behindDoc="0" locked="0" layoutInCell="1" allowOverlap="1" wp14:anchorId="4B74E648" wp14:editId="5EB33644">
            <wp:simplePos x="0" y="0"/>
            <wp:positionH relativeFrom="column">
              <wp:posOffset>-388620</wp:posOffset>
            </wp:positionH>
            <wp:positionV relativeFrom="paragraph">
              <wp:posOffset>116840</wp:posOffset>
            </wp:positionV>
            <wp:extent cx="6475730" cy="4160520"/>
            <wp:effectExtent l="0" t="0" r="0" b="0"/>
            <wp:wrapNone/>
            <wp:docPr id="2" name="Picture 2" descr="This image gives examples of the different type of irrigation water users. There is the citrus farmer and dairy irrigator who receives water through their irrigation infrastructure operator; and the rice farmer who, as a private diverter, gets their water straight from the river. Each user faces a very different charge structure. " title="Rural wate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 Rural water supply chain - Updated for Draft Advice - portrait.jpg"/>
                    <pic:cNvPicPr/>
                  </pic:nvPicPr>
                  <pic:blipFill>
                    <a:blip r:embed="rId16">
                      <a:extLst>
                        <a:ext uri="{28A0092B-C50C-407E-A947-70E740481C1C}">
                          <a14:useLocalDpi xmlns:a14="http://schemas.microsoft.com/office/drawing/2010/main" val="0"/>
                        </a:ext>
                      </a:extLst>
                    </a:blip>
                    <a:stretch>
                      <a:fillRect/>
                    </a:stretch>
                  </pic:blipFill>
                  <pic:spPr>
                    <a:xfrm>
                      <a:off x="0" y="0"/>
                      <a:ext cx="6475730" cy="4160520"/>
                    </a:xfrm>
                    <a:prstGeom prst="rect">
                      <a:avLst/>
                    </a:prstGeom>
                  </pic:spPr>
                </pic:pic>
              </a:graphicData>
            </a:graphic>
            <wp14:sizeRelH relativeFrom="page">
              <wp14:pctWidth>0</wp14:pctWidth>
            </wp14:sizeRelH>
            <wp14:sizeRelV relativeFrom="page">
              <wp14:pctHeight>0</wp14:pctHeight>
            </wp14:sizeRelV>
          </wp:anchor>
        </w:drawing>
      </w: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5A011A" w:rsidRDefault="005A011A" w:rsidP="000D5B9F">
      <w:pPr>
        <w:pStyle w:val="Tabletitle"/>
      </w:pPr>
    </w:p>
    <w:p w:rsidR="006B4C78" w:rsidRPr="00D714FC" w:rsidRDefault="006B4C78" w:rsidP="005A011A">
      <w:pPr>
        <w:pStyle w:val="Heading2"/>
        <w:ind w:left="567"/>
      </w:pPr>
      <w:bookmarkStart w:id="97" w:name="_Toc415654445"/>
      <w:bookmarkStart w:id="98" w:name="_Toc436122271"/>
      <w:bookmarkStart w:id="99" w:name="_Toc436122766"/>
      <w:bookmarkStart w:id="100" w:name="_Toc436124121"/>
      <w:bookmarkStart w:id="101" w:name="_Toc456785774"/>
      <w:bookmarkStart w:id="102" w:name="_Toc461630685"/>
      <w:r w:rsidRPr="00D714FC">
        <w:t>Types of tradeable water rights</w:t>
      </w:r>
      <w:bookmarkEnd w:id="97"/>
      <w:bookmarkEnd w:id="98"/>
      <w:bookmarkEnd w:id="99"/>
      <w:bookmarkEnd w:id="100"/>
      <w:bookmarkEnd w:id="101"/>
      <w:bookmarkEnd w:id="102"/>
    </w:p>
    <w:p w:rsidR="006B4C78" w:rsidRPr="00D714FC" w:rsidRDefault="006B4C78" w:rsidP="006B4C78">
      <w:pPr>
        <w:rPr>
          <w:rFonts w:cs="Times New Roman"/>
        </w:rPr>
      </w:pPr>
      <w:r w:rsidRPr="00D714FC">
        <w:rPr>
          <w:rFonts w:cs="Times New Roman"/>
        </w:rPr>
        <w:t>Water markets in the M</w:t>
      </w:r>
      <w:r w:rsidR="008E61D7">
        <w:rPr>
          <w:rFonts w:cs="Times New Roman"/>
        </w:rPr>
        <w:t>urray-</w:t>
      </w:r>
      <w:r w:rsidRPr="00D714FC">
        <w:rPr>
          <w:rFonts w:cs="Times New Roman"/>
        </w:rPr>
        <w:t>D</w:t>
      </w:r>
      <w:r w:rsidR="008E61D7">
        <w:rPr>
          <w:rFonts w:cs="Times New Roman"/>
        </w:rPr>
        <w:t xml:space="preserve">arling </w:t>
      </w:r>
      <w:r w:rsidRPr="00D714FC">
        <w:rPr>
          <w:rFonts w:cs="Times New Roman"/>
        </w:rPr>
        <w:t>B</w:t>
      </w:r>
      <w:r w:rsidR="008E61D7">
        <w:rPr>
          <w:rFonts w:cs="Times New Roman"/>
        </w:rPr>
        <w:t>asin (MDB)</w:t>
      </w:r>
      <w:r w:rsidRPr="00D714FC">
        <w:rPr>
          <w:rFonts w:cs="Times New Roman"/>
        </w:rPr>
        <w:t xml:space="preserve"> enable the following types of rights to be traded between different water users and different locations:</w:t>
      </w:r>
    </w:p>
    <w:p w:rsidR="006B4C78" w:rsidRPr="00D714FC" w:rsidRDefault="006B4C78" w:rsidP="00A82DE6">
      <w:pPr>
        <w:pStyle w:val="Lvl1Bulletpoint"/>
      </w:pPr>
      <w:r w:rsidRPr="00D714FC">
        <w:t>Water access right—a statutory right to hold / take water</w:t>
      </w:r>
      <w:r w:rsidR="00C52217">
        <w:t xml:space="preserve"> (includes </w:t>
      </w:r>
      <w:r w:rsidR="00C52217">
        <w:rPr>
          <w:i/>
        </w:rPr>
        <w:t>water access entitlement</w:t>
      </w:r>
      <w:r w:rsidR="00912A0D">
        <w:rPr>
          <w:i/>
        </w:rPr>
        <w:t xml:space="preserve"> </w:t>
      </w:r>
      <w:r w:rsidR="00C52217">
        <w:t xml:space="preserve">and </w:t>
      </w:r>
      <w:r w:rsidR="00C52217">
        <w:rPr>
          <w:i/>
        </w:rPr>
        <w:t>water allocation</w:t>
      </w:r>
      <w:r w:rsidR="00C52217">
        <w:t>)</w:t>
      </w:r>
      <w:r w:rsidRPr="00D714FC">
        <w:t xml:space="preserve">. </w:t>
      </w:r>
    </w:p>
    <w:p w:rsidR="006B4C78" w:rsidRPr="00D714FC" w:rsidRDefault="006B4C78" w:rsidP="00A82DE6">
      <w:pPr>
        <w:pStyle w:val="Lvl1Bulletpoint"/>
      </w:pPr>
      <w:r w:rsidRPr="00D714FC">
        <w:t xml:space="preserve">Irrigation right—a right that a person holds against an </w:t>
      </w:r>
      <w:r w:rsidR="00397DB4">
        <w:t>irrigation infrastructure operator (</w:t>
      </w:r>
      <w:r w:rsidRPr="00D714FC">
        <w:t>IIO</w:t>
      </w:r>
      <w:r w:rsidR="00397DB4">
        <w:t>)</w:t>
      </w:r>
      <w:r w:rsidRPr="00D714FC">
        <w:t xml:space="preserve"> to receive water (which is not a water access right or a water delivery right).</w:t>
      </w:r>
    </w:p>
    <w:p w:rsidR="006B4C78" w:rsidRPr="00D714FC" w:rsidRDefault="006B4C78" w:rsidP="00A82DE6">
      <w:pPr>
        <w:pStyle w:val="Lvl1Bulletpoint"/>
      </w:pPr>
      <w:r w:rsidRPr="00D714FC">
        <w:t xml:space="preserve">Water delivery right—a right to have water delivered by an infrastructure operator. </w:t>
      </w:r>
    </w:p>
    <w:p w:rsidR="006B4C78" w:rsidRPr="00D714FC" w:rsidRDefault="006B4C78" w:rsidP="006B4C78">
      <w:pPr>
        <w:rPr>
          <w:rFonts w:cs="Times New Roman"/>
        </w:rPr>
      </w:pPr>
      <w:r w:rsidRPr="00D714FC">
        <w:rPr>
          <w:rFonts w:cs="Times New Roman"/>
        </w:rPr>
        <w:t>Water markets across the MDB have differing levels of maturity. Some markets are well-established and have high trade volumes (for example, trade of water allocation) and other markets are relatively new (for example, trade of water delivery right).</w:t>
      </w:r>
    </w:p>
    <w:p w:rsidR="006B4C78" w:rsidRPr="00D714FC" w:rsidRDefault="006B4C78" w:rsidP="006B4C78">
      <w:pPr>
        <w:rPr>
          <w:rFonts w:cs="Times New Roman"/>
        </w:rPr>
      </w:pPr>
      <w:r w:rsidRPr="00D714FC">
        <w:rPr>
          <w:rFonts w:cs="Times New Roman"/>
        </w:rPr>
        <w:t>More detail on each of these types of tradeable water rights is provided in the following sections.</w:t>
      </w:r>
    </w:p>
    <w:p w:rsidR="006B4C78" w:rsidRPr="00D714FC" w:rsidRDefault="006B4C78" w:rsidP="00B40F66">
      <w:pPr>
        <w:pStyle w:val="Heading3"/>
      </w:pPr>
      <w:bookmarkStart w:id="103" w:name="_Toc436122272"/>
      <w:bookmarkStart w:id="104" w:name="_Toc436122767"/>
      <w:bookmarkStart w:id="105" w:name="_Toc436124122"/>
      <w:bookmarkStart w:id="106" w:name="_Toc456785775"/>
      <w:bookmarkStart w:id="107" w:name="_Toc461630686"/>
      <w:bookmarkStart w:id="108" w:name="_Toc415654446"/>
      <w:r w:rsidRPr="00D714FC">
        <w:t>Water access rights</w:t>
      </w:r>
      <w:bookmarkEnd w:id="103"/>
      <w:bookmarkEnd w:id="104"/>
      <w:bookmarkEnd w:id="105"/>
      <w:bookmarkEnd w:id="106"/>
      <w:bookmarkEnd w:id="107"/>
    </w:p>
    <w:p w:rsidR="006B4C78" w:rsidRPr="00D714FC" w:rsidRDefault="006B4C78" w:rsidP="00075B40">
      <w:pPr>
        <w:keepNext/>
        <w:spacing w:after="120"/>
        <w:rPr>
          <w:rFonts w:cs="Times New Roman"/>
        </w:rPr>
      </w:pPr>
      <w:r w:rsidRPr="00D714FC">
        <w:rPr>
          <w:rFonts w:cs="Times New Roman"/>
        </w:rPr>
        <w:t>The term ‘water access right’ includes:</w:t>
      </w:r>
    </w:p>
    <w:p w:rsidR="006B4C78" w:rsidRPr="00D714FC" w:rsidRDefault="00471CAE" w:rsidP="00A82DE6">
      <w:pPr>
        <w:pStyle w:val="Lvl1Bulletpoint"/>
      </w:pPr>
      <w:r>
        <w:t>water access entitlement (</w:t>
      </w:r>
      <w:r w:rsidR="00832A68">
        <w:t>WAE</w:t>
      </w:r>
      <w:r>
        <w:t>)</w:t>
      </w:r>
      <w:r w:rsidR="006B4C78" w:rsidRPr="00D714FC">
        <w:t xml:space="preserve">—a perpetual or ongoing entitlement to exclusive access to a share of a water resource. Trade of a </w:t>
      </w:r>
      <w:r w:rsidR="00832A68">
        <w:t>WAE</w:t>
      </w:r>
      <w:r w:rsidR="006B4C78" w:rsidRPr="00D714FC">
        <w:t xml:space="preserve"> is sometimes referred to as a 'permanent trade'. It is also possible to lease a </w:t>
      </w:r>
      <w:r w:rsidR="00832A68">
        <w:t>WAE</w:t>
      </w:r>
      <w:r w:rsidR="006B4C78" w:rsidRPr="00D714FC">
        <w:t>.</w:t>
      </w:r>
    </w:p>
    <w:p w:rsidR="006B4C78" w:rsidRPr="00D714FC" w:rsidRDefault="006B4C78" w:rsidP="00A82DE6">
      <w:pPr>
        <w:pStyle w:val="Lvl1Bulletpoint"/>
      </w:pPr>
      <w:r w:rsidRPr="00D714FC">
        <w:t xml:space="preserve">water allocation—a specific volume of water allocated to a </w:t>
      </w:r>
      <w:r w:rsidR="00832A68">
        <w:t>WAE</w:t>
      </w:r>
      <w:r w:rsidRPr="00D714FC">
        <w:t xml:space="preserve"> in a given water accounting period. Trade of a water allocation is sometimes referred to as a 'temporary trade'.</w:t>
      </w:r>
      <w:r w:rsidRPr="00877C09">
        <w:rPr>
          <w:rStyle w:val="FootnoteReference"/>
          <w:rFonts w:cs="Times New Roman"/>
        </w:rPr>
        <w:footnoteReference w:id="17"/>
      </w:r>
    </w:p>
    <w:p w:rsidR="006B4C78" w:rsidRPr="00D714FC" w:rsidRDefault="006B4C78" w:rsidP="006B4C78">
      <w:pPr>
        <w:rPr>
          <w:rFonts w:cs="Times New Roman"/>
        </w:rPr>
      </w:pPr>
      <w:r w:rsidRPr="00D714FC">
        <w:rPr>
          <w:rFonts w:cs="Times New Roman"/>
        </w:rPr>
        <w:t>When water access rights are traded, the Basin Plan water trading rules</w:t>
      </w:r>
      <w:r w:rsidR="00116C7F">
        <w:rPr>
          <w:rFonts w:cs="Times New Roman"/>
        </w:rPr>
        <w:t xml:space="preserve"> </w:t>
      </w:r>
      <w:r w:rsidRPr="00D714FC">
        <w:rPr>
          <w:rFonts w:cs="Times New Roman"/>
        </w:rPr>
        <w:t>require the seller to notify the approval authority or registration authority in writing of the price agreed for the trade.</w:t>
      </w:r>
      <w:r w:rsidRPr="00D714FC">
        <w:rPr>
          <w:rStyle w:val="FootnoteReference"/>
          <w:rFonts w:cs="Times New Roman"/>
        </w:rPr>
        <w:footnoteReference w:id="18"/>
      </w:r>
      <w:r w:rsidRPr="00D714FC">
        <w:rPr>
          <w:rFonts w:cs="Times New Roman"/>
        </w:rPr>
        <w:t xml:space="preserve"> These trade prices are </w:t>
      </w:r>
      <w:r w:rsidRPr="00D714FC">
        <w:rPr>
          <w:rFonts w:cs="Times New Roman"/>
          <w:u w:val="single"/>
        </w:rPr>
        <w:t>not</w:t>
      </w:r>
      <w:r w:rsidRPr="00D714FC">
        <w:rPr>
          <w:rFonts w:cs="Times New Roman"/>
        </w:rPr>
        <w:t xml:space="preserve"> regulated water charges but instead represent the value of the water access right in question.</w:t>
      </w:r>
    </w:p>
    <w:p w:rsidR="006B4C78" w:rsidRPr="00D714FC" w:rsidRDefault="006B4C78" w:rsidP="006B4C78">
      <w:pPr>
        <w:rPr>
          <w:rFonts w:cs="Times New Roman"/>
        </w:rPr>
      </w:pPr>
      <w:r w:rsidRPr="00D714FC">
        <w:rPr>
          <w:rFonts w:cs="Times New Roman"/>
        </w:rPr>
        <w:t xml:space="preserve">Similarly, infrastructure charges imposed by </w:t>
      </w:r>
      <w:r w:rsidR="006C39B0">
        <w:rPr>
          <w:rFonts w:cs="Times New Roman"/>
        </w:rPr>
        <w:t>infrastructure operator</w:t>
      </w:r>
      <w:r w:rsidRPr="00D714FC">
        <w:rPr>
          <w:rFonts w:cs="Times New Roman"/>
        </w:rPr>
        <w:t xml:space="preserve">s are </w:t>
      </w:r>
      <w:r w:rsidRPr="00D714FC">
        <w:rPr>
          <w:rFonts w:cs="Times New Roman"/>
          <w:u w:val="single"/>
        </w:rPr>
        <w:t>not</w:t>
      </w:r>
      <w:r w:rsidRPr="00D714FC">
        <w:rPr>
          <w:rFonts w:cs="Times New Roman"/>
        </w:rPr>
        <w:t xml:space="preserve"> charges for the physical water or water access rights, but are instead charges for infrastructure services (see section </w:t>
      </w:r>
      <w:r w:rsidR="007F659D">
        <w:rPr>
          <w:rFonts w:cs="Times New Roman"/>
        </w:rPr>
        <w:t>2.3.2</w:t>
      </w:r>
      <w:r w:rsidRPr="00D714FC">
        <w:rPr>
          <w:rFonts w:cs="Times New Roman"/>
        </w:rPr>
        <w:t xml:space="preserve">). However, infrastructure operators often use the volume of a water access right held or used by a customer as a proxy for that customer’s consumption of infrastructure services and therefore their liability for infrastructure charges (see section </w:t>
      </w:r>
      <w:r w:rsidR="007F659D">
        <w:rPr>
          <w:rFonts w:cs="Times New Roman"/>
        </w:rPr>
        <w:t>2.3</w:t>
      </w:r>
      <w:r w:rsidRPr="00D714FC">
        <w:rPr>
          <w:rFonts w:cs="Times New Roman"/>
        </w:rPr>
        <w:t>).</w:t>
      </w:r>
    </w:p>
    <w:p w:rsidR="006B4C78" w:rsidRDefault="000C034E" w:rsidP="005837C0">
      <w:pPr>
        <w:pStyle w:val="Tabletitle"/>
        <w:rPr>
          <w:rFonts w:cs="Times New Roman"/>
        </w:rPr>
      </w:pPr>
      <w:bookmarkStart w:id="109" w:name="_Ref435118707"/>
      <w:r w:rsidRPr="00D714FC">
        <w:rPr>
          <w:rFonts w:cs="Times New Roman"/>
        </w:rPr>
        <w:t xml:space="preserve">Box </w:t>
      </w:r>
      <w:r w:rsidR="007F659D">
        <w:rPr>
          <w:rFonts w:cs="Times New Roman"/>
          <w:noProof/>
        </w:rPr>
        <w:t>2</w:t>
      </w:r>
      <w:r w:rsidR="004B0631" w:rsidRPr="00D714FC">
        <w:rPr>
          <w:rFonts w:cs="Times New Roman"/>
        </w:rPr>
        <w:t>.</w:t>
      </w:r>
      <w:r w:rsidR="007F659D">
        <w:rPr>
          <w:rFonts w:cs="Times New Roman"/>
          <w:noProof/>
        </w:rPr>
        <w:t>1</w:t>
      </w:r>
      <w:bookmarkEnd w:id="109"/>
      <w:r w:rsidR="00073B62">
        <w:rPr>
          <w:rFonts w:cs="Times New Roman"/>
        </w:rPr>
        <w:t xml:space="preserve"> </w:t>
      </w:r>
      <w:r w:rsidR="006B4C78" w:rsidRPr="00D714FC">
        <w:rPr>
          <w:rFonts w:cs="Times New Roman"/>
        </w:rPr>
        <w:t xml:space="preserve">Case study—a private diverter with a NSW with a </w:t>
      </w:r>
      <w:r w:rsidR="001C2722">
        <w:rPr>
          <w:rFonts w:cs="Times New Roman"/>
        </w:rPr>
        <w:t>water access entitlement (</w:t>
      </w:r>
      <w:r w:rsidR="00832A68">
        <w:rPr>
          <w:rFonts w:cs="Times New Roman"/>
        </w:rPr>
        <w:t>WAE</w:t>
      </w:r>
      <w:r w:rsidR="001C2722">
        <w:rPr>
          <w:rFonts w:cs="Times New Roman"/>
        </w:rPr>
        <w:t>)</w:t>
      </w:r>
    </w:p>
    <w:tbl>
      <w:tblPr>
        <w:tblStyle w:val="TableGrid"/>
        <w:tblW w:w="0" w:type="auto"/>
        <w:tblLook w:val="04A0" w:firstRow="1" w:lastRow="0" w:firstColumn="1" w:lastColumn="0" w:noHBand="0" w:noVBand="1"/>
      </w:tblPr>
      <w:tblGrid>
        <w:gridCol w:w="9242"/>
      </w:tblGrid>
      <w:tr w:rsidR="005837C0" w:rsidRPr="00D714FC" w:rsidTr="000A4709">
        <w:tc>
          <w:tcPr>
            <w:tcW w:w="9242" w:type="dxa"/>
            <w:tcBorders>
              <w:top w:val="single" w:sz="4" w:space="0" w:color="auto"/>
              <w:bottom w:val="single" w:sz="4" w:space="0" w:color="auto"/>
            </w:tcBorders>
            <w:shd w:val="clear" w:color="auto" w:fill="D9D9D9" w:themeFill="background1" w:themeFillShade="D9"/>
          </w:tcPr>
          <w:p w:rsidR="005837C0" w:rsidRPr="005837C0" w:rsidRDefault="005837C0" w:rsidP="00510C65">
            <w:pPr>
              <w:pStyle w:val="tabletext"/>
            </w:pPr>
            <w:r w:rsidRPr="005837C0">
              <w:t>Ella Howard owns a farm near the town of Gundagai in NSW</w:t>
            </w:r>
            <w:r w:rsidR="006C39B0">
              <w:t>,</w:t>
            </w:r>
            <w:r w:rsidRPr="005837C0">
              <w:t xml:space="preserve"> which she primarily uses to grow wheat, barley and hay. Ella relies on the water available in the Murrumbidgee catchment to water her crops.</w:t>
            </w:r>
          </w:p>
          <w:p w:rsidR="005837C0" w:rsidRPr="005837C0" w:rsidRDefault="005837C0" w:rsidP="00510C65">
            <w:pPr>
              <w:pStyle w:val="tabletext"/>
            </w:pPr>
            <w:r w:rsidRPr="005837C0">
              <w:t>Ella holds a WAE issued under NSW water management law. This is in the form of a NSW water access licence with a ‘share component’ of 100 ML. This provides Ella with an ongoing right to a specified proportion of water available in the Murrumbidgee regulated river water source. The amount of water allocation that Ella has access to in a particular water year depends on the announced allocation made by NSW Department of Primary Industries</w:t>
            </w:r>
            <w:r w:rsidR="00836844">
              <w:t>—Water</w:t>
            </w:r>
            <w:r w:rsidRPr="005837C0">
              <w:t xml:space="preserve"> (DPI</w:t>
            </w:r>
            <w:r w:rsidR="00836844">
              <w:t xml:space="preserve"> Water</w:t>
            </w:r>
            <w:r w:rsidRPr="005837C0">
              <w:t xml:space="preserve">) (formerly NSW Office of Water) for the Murrumbidgee regulated river water source. If the announced allocation is 100 per cent, Ella’s account will be credited with 100 ML of water allocation. </w:t>
            </w:r>
          </w:p>
          <w:p w:rsidR="005837C0" w:rsidRPr="005837C0" w:rsidRDefault="005837C0" w:rsidP="00510C65">
            <w:pPr>
              <w:pStyle w:val="tabletext"/>
            </w:pPr>
            <w:r w:rsidRPr="005837C0">
              <w:t>Ella’s farm is located near the Murrumbidgee River, so Ella uses her own equipment to extract the available water from the river for use on her farm. WaterNSW (formerly known as State Water) is responsible for delivering water in the Murrumbidgee and manages Burrinjuck and Blowering dams for this purpose. Ella pays infrastructure charges to WaterNSW for the storage and delivery of her water.</w:t>
            </w:r>
          </w:p>
          <w:p w:rsidR="005837C0" w:rsidRPr="005837C0" w:rsidRDefault="005837C0" w:rsidP="00510C65">
            <w:pPr>
              <w:pStyle w:val="tabletext"/>
            </w:pPr>
            <w:r w:rsidRPr="005837C0">
              <w:t>In a particular year the announced allocation is 70 per cent. This means that Ella can extract, trade or carryover 70 ML of water allocation.</w:t>
            </w:r>
          </w:p>
          <w:p w:rsidR="005837C0" w:rsidRPr="005837C0" w:rsidRDefault="005837C0" w:rsidP="00510C65">
            <w:pPr>
              <w:pStyle w:val="tabletext"/>
            </w:pPr>
            <w:r w:rsidRPr="005837C0">
              <w:t>Ella is considering selling her water to reduce debt. Ella has the following options available to her:</w:t>
            </w:r>
          </w:p>
          <w:p w:rsidR="005837C0" w:rsidRPr="003170A7" w:rsidRDefault="005837C0" w:rsidP="003170A7">
            <w:pPr>
              <w:pStyle w:val="tabletextindentbullet"/>
            </w:pPr>
            <w:r w:rsidRPr="003170A7">
              <w:t xml:space="preserve">Sell her entire WAE. The perpetual right to 100 ML of water will pass on to the purchaser. Ella will no longer be entitled to water allocations announced in future years. </w:t>
            </w:r>
          </w:p>
          <w:p w:rsidR="005837C0" w:rsidRPr="003170A7" w:rsidRDefault="005837C0" w:rsidP="003170A7">
            <w:pPr>
              <w:pStyle w:val="tabletextindentbullet"/>
            </w:pPr>
            <w:r w:rsidRPr="003170A7">
              <w:t>Sell a portion of her WAE (for example 50 ML). Ella’s perpetual right under the WAE will reduce to 50 ML. Ella will be entitled to receive 50 ML in future years when the announced allocation is 100 per cent.</w:t>
            </w:r>
          </w:p>
          <w:p w:rsidR="005837C0" w:rsidRPr="003170A7" w:rsidRDefault="005837C0" w:rsidP="003170A7">
            <w:pPr>
              <w:pStyle w:val="tabletextindentbullet"/>
            </w:pPr>
            <w:r w:rsidRPr="003170A7">
              <w:t>Sell her entire water allocation for this year (70 ML). Ella will not be able to use her WAE to receive water this year. However, she will be entitled to any water allocations announced in future years.</w:t>
            </w:r>
          </w:p>
          <w:p w:rsidR="005837C0" w:rsidRPr="003170A7" w:rsidRDefault="005837C0" w:rsidP="003170A7">
            <w:pPr>
              <w:pStyle w:val="tabletextindentbullet"/>
            </w:pPr>
            <w:r w:rsidRPr="003170A7">
              <w:t>Sell a portion of her water allocation for this year (for example 30 ML of the 70 ML available in that particular year). Ella can divert the remaining 40 ML for use on her farm this year.</w:t>
            </w:r>
          </w:p>
          <w:p w:rsidR="005837C0" w:rsidRPr="00D714FC" w:rsidRDefault="005837C0" w:rsidP="00510C65">
            <w:pPr>
              <w:pStyle w:val="tabletext"/>
            </w:pPr>
            <w:r w:rsidRPr="005837C0">
              <w:t>In each of these scenarios, once Ella finds a buyer she would need to obtain approval for the trade from the relevant NSW approval authority.</w:t>
            </w:r>
          </w:p>
        </w:tc>
      </w:tr>
    </w:tbl>
    <w:p w:rsidR="006B4C78" w:rsidRPr="00D714FC" w:rsidRDefault="006B4C78" w:rsidP="00616672">
      <w:pPr>
        <w:pStyle w:val="Heading3"/>
      </w:pPr>
      <w:bookmarkStart w:id="110" w:name="_Toc436122273"/>
      <w:bookmarkStart w:id="111" w:name="_Toc436122768"/>
      <w:bookmarkStart w:id="112" w:name="_Toc436124123"/>
      <w:bookmarkStart w:id="113" w:name="_Toc456785776"/>
      <w:bookmarkStart w:id="114" w:name="_Toc461630687"/>
      <w:r w:rsidRPr="00D714FC">
        <w:t>Irrigation rights and transformation</w:t>
      </w:r>
      <w:bookmarkEnd w:id="108"/>
      <w:bookmarkEnd w:id="110"/>
      <w:bookmarkEnd w:id="111"/>
      <w:bookmarkEnd w:id="112"/>
      <w:bookmarkEnd w:id="113"/>
      <w:bookmarkEnd w:id="114"/>
    </w:p>
    <w:p w:rsidR="006B4C78" w:rsidRPr="00D714FC" w:rsidRDefault="006B4C78" w:rsidP="006B4C78">
      <w:pPr>
        <w:rPr>
          <w:rFonts w:cs="Times New Roman"/>
        </w:rPr>
      </w:pPr>
      <w:r w:rsidRPr="00D714FC">
        <w:rPr>
          <w:rFonts w:cs="Times New Roman"/>
        </w:rPr>
        <w:t xml:space="preserve">Irrigators who hold irrigation rights can transform these rights into a </w:t>
      </w:r>
      <w:r w:rsidR="00832A68">
        <w:rPr>
          <w:rFonts w:cs="Times New Roman"/>
        </w:rPr>
        <w:t>WAE</w:t>
      </w:r>
      <w:r w:rsidRPr="00D714FC">
        <w:rPr>
          <w:rFonts w:cs="Times New Roman"/>
        </w:rPr>
        <w:t xml:space="preserve"> held in their own name. This allows the irrigator to sell or lease some or all of their </w:t>
      </w:r>
      <w:r w:rsidR="00832A68">
        <w:rPr>
          <w:rFonts w:cs="Times New Roman"/>
        </w:rPr>
        <w:t>WAE</w:t>
      </w:r>
      <w:r w:rsidRPr="00D714FC">
        <w:rPr>
          <w:rFonts w:cs="Times New Roman"/>
        </w:rPr>
        <w:t xml:space="preserve"> or water allocation, without seeking </w:t>
      </w:r>
      <w:r w:rsidR="00B743F5">
        <w:rPr>
          <w:rFonts w:cs="Times New Roman"/>
        </w:rPr>
        <w:t xml:space="preserve">their </w:t>
      </w:r>
      <w:r w:rsidRPr="00D714FC">
        <w:rPr>
          <w:rFonts w:cs="Times New Roman"/>
        </w:rPr>
        <w:t>IIO</w:t>
      </w:r>
      <w:r w:rsidR="00B743F5">
        <w:rPr>
          <w:rFonts w:cs="Times New Roman"/>
        </w:rPr>
        <w:t>’s</w:t>
      </w:r>
      <w:r w:rsidRPr="00D714FC">
        <w:rPr>
          <w:rFonts w:cs="Times New Roman"/>
        </w:rPr>
        <w:t xml:space="preserve"> approval. </w:t>
      </w:r>
      <w:r w:rsidR="00836844">
        <w:rPr>
          <w:rFonts w:cs="Times New Roman"/>
        </w:rPr>
        <w:t xml:space="preserve">Water allocated to a WAE can also be used in areas outside the IIO’s irrigation network. </w:t>
      </w:r>
      <w:r w:rsidRPr="00D714FC">
        <w:rPr>
          <w:rFonts w:cs="Times New Roman"/>
        </w:rPr>
        <w:t xml:space="preserve">The irrigator can also use the </w:t>
      </w:r>
      <w:r w:rsidR="00832A68">
        <w:rPr>
          <w:rFonts w:cs="Times New Roman"/>
        </w:rPr>
        <w:t>WAE</w:t>
      </w:r>
      <w:r w:rsidRPr="00D714FC">
        <w:rPr>
          <w:rFonts w:cs="Times New Roman"/>
        </w:rPr>
        <w:t xml:space="preserve"> as a form of security in obtaining finance and gaining greater control over carryover decisions. </w:t>
      </w:r>
    </w:p>
    <w:p w:rsidR="006B4C78" w:rsidRPr="00D714FC" w:rsidRDefault="006B4C78" w:rsidP="006B4C78">
      <w:pPr>
        <w:rPr>
          <w:rFonts w:cs="Times New Roman"/>
        </w:rPr>
      </w:pPr>
      <w:r w:rsidRPr="00D714FC">
        <w:rPr>
          <w:rFonts w:cs="Times New Roman"/>
        </w:rPr>
        <w:t xml:space="preserve">Alternatively, an irrigator can transform their irrigation right into a </w:t>
      </w:r>
      <w:r w:rsidR="00832A68">
        <w:rPr>
          <w:rFonts w:cs="Times New Roman"/>
        </w:rPr>
        <w:t>WAE</w:t>
      </w:r>
      <w:r w:rsidRPr="00D714FC">
        <w:rPr>
          <w:rFonts w:cs="Times New Roman"/>
        </w:rPr>
        <w:t xml:space="preserve"> held in the name of another person. This can be done as part of a trade of water for use outside of the IIO's irrigation network. In either case, this process is known as transformation and is regulated by the </w:t>
      </w:r>
      <w:r w:rsidRPr="00167477">
        <w:rPr>
          <w:rFonts w:cs="Times New Roman"/>
        </w:rPr>
        <w:t>Water Market Rules 2009</w:t>
      </w:r>
      <w:r w:rsidRPr="008E7452">
        <w:rPr>
          <w:rFonts w:cs="Times New Roman"/>
        </w:rPr>
        <w:t xml:space="preserve"> (</w:t>
      </w:r>
      <w:r w:rsidRPr="00D714FC">
        <w:rPr>
          <w:rFonts w:cs="Times New Roman"/>
        </w:rPr>
        <w:t>WMR).</w:t>
      </w:r>
    </w:p>
    <w:p w:rsidR="006B4C78" w:rsidRPr="00D714FC" w:rsidRDefault="007F659D" w:rsidP="006B4C78">
      <w:pPr>
        <w:rPr>
          <w:rFonts w:cs="Times New Roman"/>
        </w:rPr>
      </w:pPr>
      <w:r w:rsidRPr="00D714FC">
        <w:rPr>
          <w:rFonts w:cs="Times New Roman"/>
        </w:rPr>
        <w:t xml:space="preserve">Box </w:t>
      </w:r>
      <w:r>
        <w:rPr>
          <w:rFonts w:cs="Times New Roman"/>
          <w:noProof/>
        </w:rPr>
        <w:t>2</w:t>
      </w:r>
      <w:r w:rsidRPr="00D714FC">
        <w:rPr>
          <w:rFonts w:cs="Times New Roman"/>
          <w:noProof/>
        </w:rPr>
        <w:t>.</w:t>
      </w:r>
      <w:r>
        <w:rPr>
          <w:rFonts w:cs="Times New Roman"/>
          <w:noProof/>
        </w:rPr>
        <w:t>2</w:t>
      </w:r>
      <w:r w:rsidR="006B4C78" w:rsidRPr="00D714FC">
        <w:rPr>
          <w:rFonts w:cs="Times New Roman"/>
        </w:rPr>
        <w:t xml:space="preserve"> below sets out a simplified example of the process of transformation.</w:t>
      </w:r>
    </w:p>
    <w:p w:rsidR="006B4C78" w:rsidRPr="00D714FC" w:rsidRDefault="000C034E" w:rsidP="000C034E">
      <w:pPr>
        <w:pStyle w:val="Tabletitle"/>
        <w:rPr>
          <w:rFonts w:cs="Times New Roman"/>
        </w:rPr>
      </w:pPr>
      <w:bookmarkStart w:id="115" w:name="_Ref435104737"/>
      <w:r w:rsidRPr="00D714FC">
        <w:rPr>
          <w:rFonts w:cs="Times New Roman"/>
        </w:rPr>
        <w:t xml:space="preserve">Box </w:t>
      </w:r>
      <w:r w:rsidR="007F659D">
        <w:rPr>
          <w:rFonts w:cs="Times New Roman"/>
          <w:noProof/>
        </w:rPr>
        <w:t>2</w:t>
      </w:r>
      <w:r w:rsidR="004B0631" w:rsidRPr="00D714FC">
        <w:rPr>
          <w:rFonts w:cs="Times New Roman"/>
        </w:rPr>
        <w:t>.</w:t>
      </w:r>
      <w:r w:rsidR="007F659D">
        <w:rPr>
          <w:rFonts w:cs="Times New Roman"/>
          <w:noProof/>
        </w:rPr>
        <w:t>2</w:t>
      </w:r>
      <w:bookmarkEnd w:id="115"/>
      <w:r w:rsidR="006B4C78" w:rsidRPr="00D714FC">
        <w:rPr>
          <w:rFonts w:cs="Times New Roman"/>
        </w:rPr>
        <w:tab/>
      </w:r>
      <w:r w:rsidR="00073B62">
        <w:rPr>
          <w:rFonts w:cs="Times New Roman"/>
        </w:rPr>
        <w:t xml:space="preserve"> </w:t>
      </w:r>
      <w:r w:rsidR="006B4C78" w:rsidRPr="00D714FC">
        <w:rPr>
          <w:rFonts w:cs="Times New Roman"/>
        </w:rPr>
        <w:t>Transformation process</w:t>
      </w:r>
    </w:p>
    <w:tbl>
      <w:tblPr>
        <w:tblStyle w:val="TableGrid"/>
        <w:tblW w:w="0" w:type="auto"/>
        <w:tblLook w:val="04A0" w:firstRow="1" w:lastRow="0" w:firstColumn="1" w:lastColumn="0" w:noHBand="0" w:noVBand="1"/>
      </w:tblPr>
      <w:tblGrid>
        <w:gridCol w:w="9242"/>
      </w:tblGrid>
      <w:tr w:rsidR="006B4C78" w:rsidRPr="00D714FC" w:rsidTr="009B0FDC">
        <w:tc>
          <w:tcPr>
            <w:tcW w:w="9242" w:type="dxa"/>
            <w:tcBorders>
              <w:top w:val="single" w:sz="4" w:space="0" w:color="auto"/>
              <w:bottom w:val="single" w:sz="4" w:space="0" w:color="auto"/>
            </w:tcBorders>
            <w:shd w:val="clear" w:color="auto" w:fill="D9D9D9" w:themeFill="background1" w:themeFillShade="D9"/>
          </w:tcPr>
          <w:p w:rsidR="006B4C78" w:rsidRPr="00D714FC" w:rsidRDefault="006B4C78" w:rsidP="00510C65">
            <w:pPr>
              <w:pStyle w:val="tabletext"/>
              <w:rPr>
                <w:b/>
              </w:rPr>
            </w:pPr>
            <w:r w:rsidRPr="00D714FC">
              <w:t xml:space="preserve">An IIO holds 3000 ML of </w:t>
            </w:r>
            <w:r w:rsidR="00832A68">
              <w:t>WAE</w:t>
            </w:r>
            <w:r w:rsidRPr="00D714FC">
              <w:t xml:space="preserve"> and its customers hold an entitlement to this water in the form of irrigation rights against the IIO. Irrigators A and B both hold 100 ML of irrigation right, while other customers hold a combined total of 2800 ML of irrigation right.</w:t>
            </w:r>
          </w:p>
          <w:p w:rsidR="006B4C78" w:rsidRPr="00D714FC" w:rsidRDefault="006B4C78" w:rsidP="00510C65">
            <w:pPr>
              <w:pStyle w:val="tabletext"/>
              <w:rPr>
                <w:b/>
              </w:rPr>
            </w:pPr>
            <w:r w:rsidRPr="00D714FC">
              <w:t xml:space="preserve">Irrigator A wishes to transform all of their irrigation right without selling their water. Figure 2.2 below shows that irrigator A transforms all of their irrigation right and is issued with a 100 ML </w:t>
            </w:r>
            <w:r w:rsidR="00832A68">
              <w:t>WAE</w:t>
            </w:r>
            <w:r w:rsidRPr="00D714FC">
              <w:t xml:space="preserve">. </w:t>
            </w:r>
          </w:p>
          <w:p w:rsidR="006B4C78" w:rsidRPr="00D714FC" w:rsidRDefault="006B4C78" w:rsidP="00510C65">
            <w:pPr>
              <w:pStyle w:val="tabletext"/>
              <w:rPr>
                <w:b/>
              </w:rPr>
            </w:pPr>
            <w:r w:rsidRPr="00D714FC">
              <w:t xml:space="preserve">Irrigator B wishes to transform all of their irrigation right and immediately sell it to another person. Figure 2.2 below shows that irrigator B transforms all of their irrigation right and the purchaser is issued with 100 ML of </w:t>
            </w:r>
            <w:r w:rsidR="00832A68">
              <w:t>WAE</w:t>
            </w:r>
            <w:r w:rsidRPr="00D714FC">
              <w:t xml:space="preserve">. The </w:t>
            </w:r>
            <w:r w:rsidR="00832A68">
              <w:t>WAE</w:t>
            </w:r>
            <w:r w:rsidRPr="00D714FC">
              <w:t xml:space="preserve"> held by the IIO has been reduced by 100 ML from each respective transformation, leaving the IIO with 2800 ML of </w:t>
            </w:r>
            <w:r w:rsidR="00832A68">
              <w:t>WAE</w:t>
            </w:r>
            <w:r w:rsidRPr="00D714FC">
              <w:t>. The volume of irrigation right held against the IIO has also been reduced from 3000 ML to 2800 ML.</w:t>
            </w:r>
          </w:p>
          <w:p w:rsidR="006B4C78" w:rsidRPr="00D714FC" w:rsidRDefault="006B4C78" w:rsidP="004F6BD0">
            <w:pPr>
              <w:pStyle w:val="Tabletitle"/>
              <w:tabs>
                <w:tab w:val="left" w:pos="1418"/>
              </w:tabs>
              <w:rPr>
                <w:rFonts w:cs="Times New Roman"/>
              </w:rPr>
            </w:pPr>
            <w:r w:rsidRPr="00D714FC">
              <w:rPr>
                <w:rFonts w:cs="Times New Roman"/>
              </w:rPr>
              <w:t>Figure 2.2</w:t>
            </w:r>
            <w:r w:rsidR="004F6BD0">
              <w:rPr>
                <w:rFonts w:cs="Times New Roman"/>
              </w:rPr>
              <w:tab/>
            </w:r>
            <w:r w:rsidRPr="00D714FC">
              <w:rPr>
                <w:rFonts w:cs="Times New Roman"/>
              </w:rPr>
              <w:t>Transformation process</w:t>
            </w:r>
          </w:p>
          <w:p w:rsidR="006B4C78" w:rsidRPr="00D714FC" w:rsidRDefault="006B4C78" w:rsidP="009B0FDC">
            <w:pPr>
              <w:rPr>
                <w:rFonts w:cs="Times New Roman"/>
              </w:rPr>
            </w:pPr>
            <w:r w:rsidRPr="00D714FC">
              <w:rPr>
                <w:rFonts w:cs="Times New Roman"/>
                <w:noProof/>
              </w:rPr>
              <w:drawing>
                <wp:inline distT="0" distB="0" distL="0" distR="0" wp14:anchorId="1C35ADF1" wp14:editId="525EA4DB">
                  <wp:extent cx="4922874" cy="3199156"/>
                  <wp:effectExtent l="0" t="0" r="0" b="0"/>
                  <wp:docPr id="3" name="Picture 3" descr="This figure shows that an individual irrigator can require an irrigation infrastructure operator (IIO) to transform water access entitlements held by the IIO for which the irrigator has a contractual right to, to a water access entitlement owned by the irrigator. The irrigator can then sell this water access entitlement to others. " title="Transform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4727" cy="3213357"/>
                          </a:xfrm>
                          <a:prstGeom prst="rect">
                            <a:avLst/>
                          </a:prstGeom>
                          <a:noFill/>
                        </pic:spPr>
                      </pic:pic>
                    </a:graphicData>
                  </a:graphic>
                </wp:inline>
              </w:drawing>
            </w:r>
          </w:p>
        </w:tc>
      </w:tr>
    </w:tbl>
    <w:p w:rsidR="006B4C78" w:rsidRPr="00D714FC" w:rsidRDefault="006B4C78" w:rsidP="006B4C78">
      <w:pPr>
        <w:rPr>
          <w:rFonts w:cs="Times New Roman"/>
        </w:rPr>
      </w:pPr>
      <w:bookmarkStart w:id="116" w:name="_Toc415654447"/>
    </w:p>
    <w:p w:rsidR="006B4C78" w:rsidRPr="00D714FC" w:rsidRDefault="000C034E" w:rsidP="000C034E">
      <w:pPr>
        <w:pStyle w:val="Tabletitle"/>
        <w:rPr>
          <w:rFonts w:cs="Times New Roman"/>
        </w:rPr>
      </w:pPr>
      <w:r w:rsidRPr="00D714FC">
        <w:rPr>
          <w:rFonts w:cs="Times New Roman"/>
        </w:rPr>
        <w:t xml:space="preserve">Box </w:t>
      </w:r>
      <w:r w:rsidR="007F659D">
        <w:rPr>
          <w:rFonts w:cs="Times New Roman"/>
          <w:noProof/>
        </w:rPr>
        <w:t>2</w:t>
      </w:r>
      <w:r w:rsidR="004B0631" w:rsidRPr="00D714FC">
        <w:rPr>
          <w:rFonts w:cs="Times New Roman"/>
        </w:rPr>
        <w:t>.</w:t>
      </w:r>
      <w:r w:rsidR="007F659D">
        <w:rPr>
          <w:rFonts w:cs="Times New Roman"/>
          <w:noProof/>
        </w:rPr>
        <w:t>3</w:t>
      </w:r>
      <w:r w:rsidR="006B4C78" w:rsidRPr="00D714FC">
        <w:rPr>
          <w:rFonts w:cs="Times New Roman"/>
        </w:rPr>
        <w:tab/>
      </w:r>
      <w:r w:rsidR="00073B62">
        <w:rPr>
          <w:rFonts w:cs="Times New Roman"/>
        </w:rPr>
        <w:t xml:space="preserve"> </w:t>
      </w:r>
      <w:r w:rsidR="006B4C78" w:rsidRPr="00D714FC">
        <w:rPr>
          <w:rFonts w:cs="Times New Roman"/>
        </w:rPr>
        <w:t>Case study – an IIO customer with irrigation right</w:t>
      </w:r>
    </w:p>
    <w:tbl>
      <w:tblPr>
        <w:tblStyle w:val="TableGrid"/>
        <w:tblW w:w="0" w:type="auto"/>
        <w:tblLook w:val="04A0" w:firstRow="1" w:lastRow="0" w:firstColumn="1" w:lastColumn="0" w:noHBand="0" w:noVBand="1"/>
      </w:tblPr>
      <w:tblGrid>
        <w:gridCol w:w="9242"/>
      </w:tblGrid>
      <w:tr w:rsidR="006B4C78" w:rsidRPr="00D714FC" w:rsidTr="009B0FDC">
        <w:tc>
          <w:tcPr>
            <w:tcW w:w="9242" w:type="dxa"/>
            <w:tcBorders>
              <w:top w:val="single" w:sz="4" w:space="0" w:color="auto"/>
              <w:bottom w:val="single" w:sz="4" w:space="0" w:color="auto"/>
            </w:tcBorders>
            <w:shd w:val="clear" w:color="auto" w:fill="D9D9D9" w:themeFill="background1" w:themeFillShade="D9"/>
          </w:tcPr>
          <w:p w:rsidR="006B4C78" w:rsidRPr="00D714FC" w:rsidRDefault="006B4C78" w:rsidP="00510C65">
            <w:pPr>
              <w:pStyle w:val="tabletext"/>
            </w:pPr>
            <w:r w:rsidRPr="00D714FC">
              <w:t>Harry Smith owns a farm near the town of Leeton NSW, which he uses to grow rice. Harry is a member and shareholder of Murrumbidgee Irrigation Limited (MI).</w:t>
            </w:r>
          </w:p>
          <w:p w:rsidR="006B4C78" w:rsidRPr="00D714FC" w:rsidRDefault="006B4C78" w:rsidP="00510C65">
            <w:pPr>
              <w:pStyle w:val="tabletext"/>
            </w:pPr>
            <w:r w:rsidRPr="00D714FC">
              <w:t xml:space="preserve">Harry does not hold a </w:t>
            </w:r>
            <w:r w:rsidR="00832A68">
              <w:t>WAE</w:t>
            </w:r>
            <w:r w:rsidRPr="00D714FC">
              <w:t xml:space="preserve">. The </w:t>
            </w:r>
            <w:r w:rsidR="00832A68">
              <w:t>WAE</w:t>
            </w:r>
            <w:r w:rsidRPr="00D714FC">
              <w:t xml:space="preserve"> is held by MI and entitles MI to an ongoing right to a specified proportion of water available in the Murrumbidgee regulated river water source. </w:t>
            </w:r>
          </w:p>
          <w:p w:rsidR="006B4C78" w:rsidRPr="00D714FC" w:rsidRDefault="006B4C78" w:rsidP="00510C65">
            <w:pPr>
              <w:pStyle w:val="tabletext"/>
            </w:pPr>
            <w:r w:rsidRPr="00D714FC">
              <w:t xml:space="preserve">Each of MI’s members is entitled to a share of this water specified under their water entitlement contract with MI. MI has issued Harry an Entitlement Certificate which specifies that Harry has a right to a share of 100 ML of water from MI’s </w:t>
            </w:r>
            <w:r w:rsidR="00832A68">
              <w:t>WAE</w:t>
            </w:r>
            <w:r w:rsidRPr="00D714FC">
              <w:t xml:space="preserve">. This is Harry’s ‘irrigation right’. If </w:t>
            </w:r>
            <w:r w:rsidR="00162B38">
              <w:t>DPI</w:t>
            </w:r>
            <w:r w:rsidR="00836844">
              <w:t xml:space="preserve"> Water</w:t>
            </w:r>
            <w:r w:rsidR="00D3791E" w:rsidRPr="00D714FC">
              <w:t xml:space="preserve"> </w:t>
            </w:r>
            <w:r w:rsidRPr="00D714FC">
              <w:t xml:space="preserve">announces 100 per cent water allocation Harry is entitled to receive 100 ML of water. If </w:t>
            </w:r>
            <w:r w:rsidR="00EA0B7C" w:rsidRPr="00D714FC">
              <w:t>DPI</w:t>
            </w:r>
            <w:r w:rsidR="00D3791E" w:rsidRPr="00D714FC">
              <w:t xml:space="preserve"> </w:t>
            </w:r>
            <w:r w:rsidR="00836844">
              <w:t xml:space="preserve">Water </w:t>
            </w:r>
            <w:r w:rsidRPr="00D714FC">
              <w:t>only announces 50 per cent water allocation, Harry will only be entitled to receive 50 ML of water. However, the exercise of this irrigation right is subject to the terms and conditions of Harry’s water entitlement contract with MI.</w:t>
            </w:r>
          </w:p>
          <w:p w:rsidR="006B4C78" w:rsidRPr="00D714FC" w:rsidRDefault="006B4C78" w:rsidP="00510C65">
            <w:pPr>
              <w:pStyle w:val="tabletext"/>
            </w:pPr>
            <w:r w:rsidRPr="00D714FC">
              <w:t xml:space="preserve">Harry does not have an individual right to extract water from the Murrumbidgee River himself. Rather, Harry has entered into a water delivery contract with MI, which obliges MI to use its infrastructure to extract water from the Murrumbidgee River and deliver it to Harry’s farm (this is an off-river infrastructure service). The delivery contract specifies Harry’s share of the capacity of MI’s network (expressed in the units of water delivery rights). </w:t>
            </w:r>
          </w:p>
          <w:p w:rsidR="006B4C78" w:rsidRPr="00D714FC" w:rsidRDefault="006B4C78" w:rsidP="00510C65">
            <w:pPr>
              <w:pStyle w:val="tabletext"/>
            </w:pPr>
            <w:r w:rsidRPr="00D714FC">
              <w:t>Harry pays infrastructure charges to MI based on the number of units of water delivery right held, the volume of water actually delivered and other factors such as the number of connections to the irrigation network.</w:t>
            </w:r>
          </w:p>
          <w:p w:rsidR="006B4C78" w:rsidRPr="00D714FC" w:rsidRDefault="006B4C78" w:rsidP="00510C65">
            <w:pPr>
              <w:pStyle w:val="tabletext"/>
            </w:pPr>
            <w:r w:rsidRPr="00D714FC">
              <w:t xml:space="preserve">MI pays infrastructure charges to </w:t>
            </w:r>
            <w:r w:rsidR="00603284" w:rsidRPr="00D714FC">
              <w:t>WaterNSW</w:t>
            </w:r>
            <w:r w:rsidRPr="00D714FC">
              <w:t xml:space="preserve"> for the storage and delivery of water to its point of extraction on the Murrumbidgee River (this is an on-river infrastructure service). MI also incurs planning and management charges collected by </w:t>
            </w:r>
            <w:r w:rsidR="00603284" w:rsidRPr="00D714FC">
              <w:t>WaterNSW</w:t>
            </w:r>
            <w:r w:rsidRPr="00D714FC">
              <w:t xml:space="preserve"> on behalf of </w:t>
            </w:r>
            <w:r w:rsidR="00D3791E" w:rsidRPr="00D714FC">
              <w:t>DPI</w:t>
            </w:r>
            <w:r w:rsidR="00836844">
              <w:t xml:space="preserve"> Water</w:t>
            </w:r>
            <w:r w:rsidRPr="00D714FC">
              <w:t xml:space="preserve">. MI imposes charges on Harry to recover these </w:t>
            </w:r>
            <w:r w:rsidR="00603284" w:rsidRPr="00D714FC">
              <w:t>WaterNSW</w:t>
            </w:r>
            <w:r w:rsidRPr="00D714FC">
              <w:t xml:space="preserve"> and </w:t>
            </w:r>
            <w:r w:rsidR="00D3791E" w:rsidRPr="00D714FC">
              <w:t xml:space="preserve">DPI </w:t>
            </w:r>
            <w:r w:rsidR="00836844">
              <w:t xml:space="preserve">Water </w:t>
            </w:r>
            <w:r w:rsidRPr="00D714FC">
              <w:t>costs.</w:t>
            </w:r>
          </w:p>
          <w:p w:rsidR="006B4C78" w:rsidRPr="00D714FC" w:rsidRDefault="006B4C78" w:rsidP="00510C65">
            <w:pPr>
              <w:pStyle w:val="tabletext"/>
            </w:pPr>
            <w:r w:rsidRPr="00D714FC">
              <w:t>In a particular year, the announced allocation is 70 per cent. MI has informed Harry that under his water entitlement contract, he is entitled to receive 70 ML of water.</w:t>
            </w:r>
          </w:p>
          <w:p w:rsidR="006B4C78" w:rsidRPr="00D714FC" w:rsidRDefault="006B4C78" w:rsidP="00510C65">
            <w:pPr>
              <w:pStyle w:val="tabletext"/>
            </w:pPr>
            <w:r w:rsidRPr="00D714FC">
              <w:t>Harry is considering selling his water to upgrade his on-farm infrastructure. Harry has the following options available to him:</w:t>
            </w:r>
          </w:p>
          <w:p w:rsidR="006B4C78" w:rsidRPr="00D714FC" w:rsidRDefault="006B4C78" w:rsidP="00510C65">
            <w:pPr>
              <w:pStyle w:val="tabletextindentbullet"/>
            </w:pPr>
            <w:r w:rsidRPr="00D714FC">
              <w:t>sell some or all of his ongoing irrigation right (for example 100 ML) to another member of MI. Harry must obtain MI’s approval for this internal</w:t>
            </w:r>
            <w:r w:rsidR="003F52F7">
              <w:t xml:space="preserve"> (‘permanent’)</w:t>
            </w:r>
            <w:r w:rsidRPr="00D714FC">
              <w:t xml:space="preserve"> trade</w:t>
            </w:r>
            <w:r w:rsidR="003F52F7">
              <w:t>.</w:t>
            </w:r>
            <w:r w:rsidR="00C6733C">
              <w:t xml:space="preserve"> </w:t>
            </w:r>
          </w:p>
          <w:p w:rsidR="006B4C78" w:rsidRPr="00D714FC" w:rsidRDefault="006B4C78" w:rsidP="00510C65">
            <w:pPr>
              <w:pStyle w:val="tabletextindentbullet"/>
            </w:pPr>
            <w:r w:rsidRPr="00D714FC">
              <w:t>sell some or all of his share of MI’s internal water allocation (for example</w:t>
            </w:r>
            <w:r w:rsidR="003F52F7">
              <w:t>,</w:t>
            </w:r>
            <w:r w:rsidRPr="00D714FC">
              <w:t xml:space="preserve"> 70 ML) to another member of MI or a person outside MI’s irrigation network. This trade requires the approval of both MI and the relevant Basin State approval authorities</w:t>
            </w:r>
            <w:r w:rsidR="003F52F7">
              <w:t>.</w:t>
            </w:r>
          </w:p>
          <w:p w:rsidR="006B4C78" w:rsidRPr="00D714FC" w:rsidRDefault="006B4C78" w:rsidP="00510C65">
            <w:pPr>
              <w:pStyle w:val="tabletextindentbullet"/>
            </w:pPr>
            <w:r w:rsidRPr="00D714FC">
              <w:t xml:space="preserve">sell some or all of his ongoing irrigation right (for example 100 ML) to a person outside MI’s irrigation network. Harry must apply to MI to ‘transform’ his irrigation right into a separately held </w:t>
            </w:r>
            <w:r w:rsidR="00832A68">
              <w:t>WAE</w:t>
            </w:r>
            <w:r w:rsidR="00832EB1">
              <w:t xml:space="preserve"> to be held by</w:t>
            </w:r>
            <w:r w:rsidR="003F52F7">
              <w:t xml:space="preserve"> a person outside MI’s irrigation network</w:t>
            </w:r>
            <w:r w:rsidRPr="00D714FC">
              <w:t>.</w:t>
            </w:r>
          </w:p>
          <w:p w:rsidR="006B4C78" w:rsidRPr="00D714FC" w:rsidRDefault="006B4C78" w:rsidP="00510C65">
            <w:pPr>
              <w:pStyle w:val="tabletext"/>
            </w:pPr>
            <w:r w:rsidRPr="00D714FC">
              <w:t xml:space="preserve">Even though Harry has sold some or all of his water, Harry may wish not to make any changes to his water delivery contract with MI. In these circumstances, Harry will continue to pay the same fixed infrastructure charges to MI. If Harry decides to reduce his right of access to MI’s infrastructure, Harry would have to apply to MI to terminate a specified number of units of water delivery rights and pay a corresponding termination fee (see </w:t>
            </w:r>
            <w:r w:rsidR="00256F00">
              <w:t xml:space="preserve">section </w:t>
            </w:r>
            <w:r w:rsidR="007F659D">
              <w:t>2.2.3</w:t>
            </w:r>
            <w:r w:rsidRPr="00D714FC">
              <w:t>).</w:t>
            </w:r>
          </w:p>
        </w:tc>
      </w:tr>
    </w:tbl>
    <w:p w:rsidR="006B4C78" w:rsidRPr="00D714FC" w:rsidRDefault="006B4C78" w:rsidP="00616672">
      <w:pPr>
        <w:pStyle w:val="Heading3"/>
      </w:pPr>
      <w:bookmarkStart w:id="117" w:name="_Ref432974765"/>
      <w:bookmarkStart w:id="118" w:name="_Toc436122274"/>
      <w:bookmarkStart w:id="119" w:name="_Toc436122769"/>
      <w:bookmarkStart w:id="120" w:name="_Toc436124124"/>
      <w:bookmarkStart w:id="121" w:name="_Toc456785777"/>
      <w:bookmarkStart w:id="122" w:name="_Toc461630688"/>
      <w:r w:rsidRPr="00D714FC">
        <w:t>Water delivery rights and termination</w:t>
      </w:r>
      <w:bookmarkEnd w:id="116"/>
      <w:bookmarkEnd w:id="117"/>
      <w:bookmarkEnd w:id="118"/>
      <w:bookmarkEnd w:id="119"/>
      <w:bookmarkEnd w:id="120"/>
      <w:bookmarkEnd w:id="121"/>
      <w:bookmarkEnd w:id="122"/>
    </w:p>
    <w:p w:rsidR="006B4C78" w:rsidRPr="00D714FC" w:rsidRDefault="006B4C78" w:rsidP="006B4C78">
      <w:pPr>
        <w:rPr>
          <w:rFonts w:cs="Times New Roman"/>
        </w:rPr>
      </w:pPr>
      <w:r w:rsidRPr="00D714FC">
        <w:rPr>
          <w:rFonts w:cs="Times New Roman"/>
        </w:rPr>
        <w:t xml:space="preserve">Many irrigators in the MDB use the services of an infrastructure operator to deliver their water from the watercourse extraction point specified on the </w:t>
      </w:r>
      <w:r w:rsidR="00832A68">
        <w:rPr>
          <w:rFonts w:cs="Times New Roman"/>
        </w:rPr>
        <w:t>WAE</w:t>
      </w:r>
      <w:r w:rsidRPr="00D714FC">
        <w:rPr>
          <w:rFonts w:cs="Times New Roman"/>
        </w:rPr>
        <w:t xml:space="preserve"> (held by the irrigator or the operator) to their property. This is an off-river infrastructure service. For this purpose, these irrigators have a contractual and / or statutory right of access to the operator's infrastructure</w:t>
      </w:r>
      <w:r w:rsidR="006C39B0">
        <w:rPr>
          <w:rFonts w:cs="Times New Roman"/>
        </w:rPr>
        <w:t>,</w:t>
      </w:r>
      <w:r w:rsidRPr="00D714FC">
        <w:rPr>
          <w:rFonts w:cs="Times New Roman"/>
        </w:rPr>
        <w:t xml:space="preserve"> which typically includes the right to the delivery of water through the infrastructure (a water delivery right)</w:t>
      </w:r>
      <w:r w:rsidRPr="00D714FC">
        <w:rPr>
          <w:rStyle w:val="FootnoteReference"/>
          <w:rFonts w:cs="Times New Roman"/>
        </w:rPr>
        <w:footnoteReference w:id="19"/>
      </w:r>
      <w:r w:rsidRPr="00D714FC">
        <w:rPr>
          <w:rFonts w:cs="Times New Roman"/>
        </w:rPr>
        <w:t xml:space="preserve"> and may also include a right to the drainage of water.</w:t>
      </w:r>
    </w:p>
    <w:p w:rsidR="006B4C78" w:rsidRPr="00D714FC" w:rsidRDefault="006B4C78" w:rsidP="006B4C78">
      <w:pPr>
        <w:rPr>
          <w:rFonts w:cs="Times New Roman"/>
        </w:rPr>
      </w:pPr>
      <w:r w:rsidRPr="00D714FC">
        <w:rPr>
          <w:rFonts w:cs="Times New Roman"/>
        </w:rPr>
        <w:t xml:space="preserve">An irrigator may decide to modify their right of access. For example an irrigator that sells a </w:t>
      </w:r>
      <w:r w:rsidR="00832A68">
        <w:rPr>
          <w:rFonts w:cs="Times New Roman"/>
        </w:rPr>
        <w:t>WAE</w:t>
      </w:r>
      <w:r w:rsidRPr="00D714FC">
        <w:rPr>
          <w:rFonts w:cs="Times New Roman"/>
        </w:rPr>
        <w:t xml:space="preserve"> and switches to dryland farming may no longer require water to be delivered to their property. As such, they may no longer require access to the operator’s infrastructure and wish to cease paying ongoing fixed infrastructure charges to the operator. In such circumstances, the customer may want to terminate their right of access and the operator may impose a termination fee (see section </w:t>
      </w:r>
      <w:r w:rsidR="007F659D">
        <w:rPr>
          <w:rFonts w:cs="Times New Roman"/>
        </w:rPr>
        <w:t>2.3.3</w:t>
      </w:r>
      <w:r w:rsidRPr="00D714FC">
        <w:rPr>
          <w:rFonts w:cs="Times New Roman"/>
        </w:rPr>
        <w:t>).</w:t>
      </w:r>
    </w:p>
    <w:p w:rsidR="006B4C78" w:rsidRPr="00D714FC" w:rsidRDefault="003F52F7" w:rsidP="006B4C78">
      <w:pPr>
        <w:rPr>
          <w:rFonts w:cs="Times New Roman"/>
        </w:rPr>
      </w:pPr>
      <w:r>
        <w:rPr>
          <w:rFonts w:cs="Times New Roman"/>
        </w:rPr>
        <w:t>Alternatively, i</w:t>
      </w:r>
      <w:r w:rsidR="006B4C78" w:rsidRPr="00D714FC">
        <w:rPr>
          <w:rFonts w:cs="Times New Roman"/>
        </w:rPr>
        <w:t xml:space="preserve">nstead of terminating their right of access an irrigator may want to sell water delivery rights to other irrigators located in the area serviced by their infrastructure operator. From 1 July 2014, the </w:t>
      </w:r>
      <w:r w:rsidR="006B1DA2">
        <w:rPr>
          <w:rFonts w:cs="Times New Roman"/>
        </w:rPr>
        <w:t>Basin Plan water trading rules</w:t>
      </w:r>
      <w:r w:rsidR="006B1DA2" w:rsidRPr="00D714FC">
        <w:rPr>
          <w:rFonts w:cs="Times New Roman"/>
        </w:rPr>
        <w:t xml:space="preserve"> </w:t>
      </w:r>
      <w:r w:rsidR="006B4C78" w:rsidRPr="00D714FC">
        <w:rPr>
          <w:rFonts w:cs="Times New Roman"/>
        </w:rPr>
        <w:t>prohibit IIO</w:t>
      </w:r>
      <w:r w:rsidR="0067525F">
        <w:rPr>
          <w:rFonts w:cs="Times New Roman"/>
        </w:rPr>
        <w:t>s</w:t>
      </w:r>
      <w:r w:rsidR="006B4C78" w:rsidRPr="00D714FC">
        <w:rPr>
          <w:rStyle w:val="FootnoteReference"/>
          <w:rFonts w:cs="Times New Roman"/>
        </w:rPr>
        <w:footnoteReference w:id="20"/>
      </w:r>
      <w:r w:rsidR="006B4C78" w:rsidRPr="00D714FC">
        <w:rPr>
          <w:rFonts w:cs="Times New Roman"/>
        </w:rPr>
        <w:t xml:space="preserve"> </w:t>
      </w:r>
      <w:r w:rsidR="0067525F">
        <w:rPr>
          <w:rFonts w:cs="Times New Roman"/>
        </w:rPr>
        <w:t xml:space="preserve">placing unreasonable </w:t>
      </w:r>
      <w:r w:rsidR="006B4C78" w:rsidRPr="00D714FC">
        <w:rPr>
          <w:rFonts w:cs="Times New Roman"/>
        </w:rPr>
        <w:t>restrictions on the trade of water delivery rights. The</w:t>
      </w:r>
      <w:r w:rsidR="006C39B0" w:rsidRPr="006C39B0">
        <w:rPr>
          <w:rFonts w:cs="Times New Roman"/>
        </w:rPr>
        <w:t xml:space="preserve"> </w:t>
      </w:r>
      <w:r w:rsidR="006C39B0" w:rsidRPr="00D714FC">
        <w:rPr>
          <w:rFonts w:cs="Times New Roman"/>
        </w:rPr>
        <w:t>Murray-Darling Basin Authority</w:t>
      </w:r>
      <w:r w:rsidR="006C39B0">
        <w:rPr>
          <w:rFonts w:cs="Times New Roman"/>
        </w:rPr>
        <w:t xml:space="preserve"> (MDBA)</w:t>
      </w:r>
      <w:r w:rsidR="006B4C78" w:rsidRPr="00D714FC">
        <w:rPr>
          <w:rFonts w:cs="Times New Roman"/>
        </w:rPr>
        <w:t xml:space="preserve"> enforce</w:t>
      </w:r>
      <w:r w:rsidR="006C39B0">
        <w:rPr>
          <w:rFonts w:cs="Times New Roman"/>
        </w:rPr>
        <w:t xml:space="preserve">s the </w:t>
      </w:r>
      <w:r w:rsidR="006B1DA2">
        <w:rPr>
          <w:rFonts w:cs="Times New Roman"/>
        </w:rPr>
        <w:t>Basin Plan water trading rules</w:t>
      </w:r>
      <w:r w:rsidR="006B4C78" w:rsidRPr="00D714FC">
        <w:rPr>
          <w:rFonts w:cs="Times New Roman"/>
        </w:rPr>
        <w:t>.</w:t>
      </w:r>
    </w:p>
    <w:p w:rsidR="006B4C78" w:rsidRPr="00D714FC" w:rsidRDefault="006B4C78" w:rsidP="00616672">
      <w:pPr>
        <w:pStyle w:val="Heading2"/>
      </w:pPr>
      <w:bookmarkStart w:id="123" w:name="_Toc415654450"/>
      <w:bookmarkStart w:id="124" w:name="_Ref432974682"/>
      <w:bookmarkStart w:id="125" w:name="_Toc436122275"/>
      <w:bookmarkStart w:id="126" w:name="_Toc436122770"/>
      <w:bookmarkStart w:id="127" w:name="_Toc436124125"/>
      <w:bookmarkStart w:id="128" w:name="_Toc456785778"/>
      <w:bookmarkStart w:id="129" w:name="_Toc461630689"/>
      <w:r w:rsidRPr="00D714FC">
        <w:t>Types of regulated water charges</w:t>
      </w:r>
      <w:bookmarkEnd w:id="123"/>
      <w:bookmarkEnd w:id="124"/>
      <w:bookmarkEnd w:id="125"/>
      <w:bookmarkEnd w:id="126"/>
      <w:bookmarkEnd w:id="127"/>
      <w:bookmarkEnd w:id="128"/>
      <w:bookmarkEnd w:id="129"/>
    </w:p>
    <w:p w:rsidR="006B4C78" w:rsidRPr="00D714FC" w:rsidRDefault="006B4C78" w:rsidP="006B4C78">
      <w:pPr>
        <w:rPr>
          <w:rFonts w:cs="Times New Roman"/>
        </w:rPr>
      </w:pPr>
      <w:r w:rsidRPr="00D714FC">
        <w:rPr>
          <w:rFonts w:cs="Times New Roman"/>
        </w:rPr>
        <w:t xml:space="preserve">Regulated water charges can be characterised as either </w:t>
      </w:r>
      <w:r w:rsidRPr="00D714FC">
        <w:rPr>
          <w:rFonts w:cs="Times New Roman"/>
          <w:b/>
          <w:i/>
        </w:rPr>
        <w:t xml:space="preserve">volumetric </w:t>
      </w:r>
      <w:r w:rsidRPr="00D714FC">
        <w:rPr>
          <w:rFonts w:cs="Times New Roman"/>
        </w:rPr>
        <w:t xml:space="preserve">or </w:t>
      </w:r>
      <w:r w:rsidRPr="00D714FC">
        <w:rPr>
          <w:rFonts w:cs="Times New Roman"/>
          <w:b/>
          <w:i/>
        </w:rPr>
        <w:t>non-volumetric</w:t>
      </w:r>
      <w:r w:rsidRPr="00D714FC">
        <w:rPr>
          <w:rFonts w:cs="Times New Roman"/>
        </w:rPr>
        <w:t xml:space="preserve">, based on how they are levied. </w:t>
      </w:r>
    </w:p>
    <w:p w:rsidR="006B4C78" w:rsidRPr="00D714FC" w:rsidRDefault="006B4C78" w:rsidP="006B4C78">
      <w:pPr>
        <w:rPr>
          <w:rFonts w:cs="Times New Roman"/>
        </w:rPr>
      </w:pPr>
      <w:r w:rsidRPr="00D714FC">
        <w:rPr>
          <w:rFonts w:cs="Times New Roman"/>
        </w:rPr>
        <w:t xml:space="preserve">A </w:t>
      </w:r>
      <w:r w:rsidRPr="00D714FC">
        <w:rPr>
          <w:rFonts w:cs="Times New Roman"/>
          <w:b/>
          <w:i/>
        </w:rPr>
        <w:t>volumetric charge</w:t>
      </w:r>
      <w:r w:rsidRPr="00D714FC">
        <w:rPr>
          <w:rFonts w:cs="Times New Roman"/>
        </w:rPr>
        <w:t xml:space="preserve"> is one</w:t>
      </w:r>
      <w:r w:rsidR="006C39B0">
        <w:rPr>
          <w:rFonts w:cs="Times New Roman"/>
        </w:rPr>
        <w:t>,</w:t>
      </w:r>
      <w:r w:rsidRPr="00D714FC">
        <w:rPr>
          <w:rFonts w:cs="Times New Roman"/>
        </w:rPr>
        <w:t xml:space="preserve"> which is set according to the volume of a right or physical amount of water. It can in turn be a:</w:t>
      </w:r>
    </w:p>
    <w:p w:rsidR="006B4C78" w:rsidRPr="00D714FC" w:rsidRDefault="006B4C78" w:rsidP="00A82DE6">
      <w:pPr>
        <w:pStyle w:val="Lvl1Bulletpoint"/>
      </w:pPr>
      <w:r w:rsidRPr="00D714FC">
        <w:rPr>
          <w:b/>
          <w:i/>
        </w:rPr>
        <w:t>fixed volumetric charge</w:t>
      </w:r>
      <w:r w:rsidR="00EC40D7">
        <w:t>: a charge which is</w:t>
      </w:r>
      <w:r w:rsidRPr="00D714FC">
        <w:t xml:space="preserve"> based on the volume of a water right</w:t>
      </w:r>
      <w:r w:rsidRPr="00D714FC">
        <w:rPr>
          <w:rStyle w:val="FootnoteReference"/>
          <w:rFonts w:cs="Times New Roman"/>
        </w:rPr>
        <w:footnoteReference w:id="21"/>
      </w:r>
      <w:r w:rsidRPr="00D714FC">
        <w:t xml:space="preserve"> held</w:t>
      </w:r>
      <w:r w:rsidR="00EC40D7">
        <w:t>;</w:t>
      </w:r>
    </w:p>
    <w:p w:rsidR="006B4C78" w:rsidRPr="00D714FC" w:rsidRDefault="006B4C78" w:rsidP="00A82DE6">
      <w:pPr>
        <w:pStyle w:val="Lvl1Bulletpoint"/>
      </w:pPr>
      <w:r w:rsidRPr="00D714FC">
        <w:rPr>
          <w:b/>
          <w:i/>
        </w:rPr>
        <w:t>variable volumetric charge</w:t>
      </w:r>
      <w:r w:rsidR="00EC40D7">
        <w:t xml:space="preserve">: instead of referencing the volume of a water right </w:t>
      </w:r>
      <w:r w:rsidR="00EC40D7">
        <w:rPr>
          <w:i/>
        </w:rPr>
        <w:t>held</w:t>
      </w:r>
      <w:r w:rsidR="00EC40D7">
        <w:t xml:space="preserve">, a variable volumetric charge references the volume of the right that is utilised in a particular manner, for example, the volume of physical water delivered, the volume of water allocation traded, the volume of water carried over, </w:t>
      </w:r>
      <w:r w:rsidR="00B40F66">
        <w:t xml:space="preserve">volume of water allocation that is allocated to a customer, </w:t>
      </w:r>
      <w:r w:rsidR="00EC40D7">
        <w:t>etc.</w:t>
      </w:r>
      <w:r w:rsidRPr="00D714FC">
        <w:rPr>
          <w:rStyle w:val="FootnoteReference"/>
          <w:rFonts w:cs="Times New Roman"/>
        </w:rPr>
        <w:footnoteReference w:id="22"/>
      </w:r>
    </w:p>
    <w:p w:rsidR="006B4C78" w:rsidRPr="00D714FC" w:rsidRDefault="006B4C78" w:rsidP="006B4C78">
      <w:pPr>
        <w:rPr>
          <w:rFonts w:cs="Times New Roman"/>
        </w:rPr>
      </w:pPr>
      <w:r w:rsidRPr="00D714FC">
        <w:rPr>
          <w:rFonts w:cs="Times New Roman"/>
        </w:rPr>
        <w:t xml:space="preserve">For example, an infrastructure operator may </w:t>
      </w:r>
      <w:r w:rsidR="003F52F7" w:rsidRPr="00D714FC">
        <w:rPr>
          <w:rFonts w:cs="Times New Roman"/>
        </w:rPr>
        <w:t>lev</w:t>
      </w:r>
      <w:r w:rsidR="003F52F7">
        <w:rPr>
          <w:rFonts w:cs="Times New Roman"/>
        </w:rPr>
        <w:t>y</w:t>
      </w:r>
      <w:r w:rsidR="003F52F7" w:rsidRPr="00D714FC">
        <w:rPr>
          <w:rFonts w:cs="Times New Roman"/>
        </w:rPr>
        <w:t xml:space="preserve"> </w:t>
      </w:r>
      <w:r w:rsidRPr="00D714FC">
        <w:rPr>
          <w:rFonts w:cs="Times New Roman"/>
        </w:rPr>
        <w:t xml:space="preserve">a fixed volumetric charge based on the volume of a </w:t>
      </w:r>
      <w:r w:rsidR="00EC40D7">
        <w:rPr>
          <w:rFonts w:cs="Times New Roman"/>
        </w:rPr>
        <w:t>customer</w:t>
      </w:r>
      <w:r w:rsidR="00EC40D7" w:rsidRPr="00D714FC">
        <w:rPr>
          <w:rFonts w:cs="Times New Roman"/>
        </w:rPr>
        <w:t xml:space="preserve">’s </w:t>
      </w:r>
      <w:r w:rsidRPr="00D714FC">
        <w:rPr>
          <w:rFonts w:cs="Times New Roman"/>
        </w:rPr>
        <w:t>water access entitlement</w:t>
      </w:r>
      <w:r w:rsidR="00795FD5">
        <w:rPr>
          <w:rFonts w:cs="Times New Roman"/>
        </w:rPr>
        <w:t xml:space="preserve"> (</w:t>
      </w:r>
      <w:r w:rsidR="00832A68">
        <w:rPr>
          <w:rFonts w:cs="Times New Roman"/>
        </w:rPr>
        <w:t>WAE</w:t>
      </w:r>
      <w:r w:rsidR="00795FD5">
        <w:rPr>
          <w:rFonts w:cs="Times New Roman"/>
        </w:rPr>
        <w:t>)</w:t>
      </w:r>
      <w:r w:rsidRPr="00D714FC">
        <w:rPr>
          <w:rFonts w:cs="Times New Roman"/>
        </w:rPr>
        <w:t xml:space="preserve">, irrigation right or water delivery right holdings; and a variable volumetric charge based on the volume of water </w:t>
      </w:r>
      <w:r w:rsidRPr="00EC40D7">
        <w:rPr>
          <w:rFonts w:cs="Times New Roman"/>
          <w:i/>
        </w:rPr>
        <w:t>delivered</w:t>
      </w:r>
      <w:r w:rsidRPr="00D714FC">
        <w:rPr>
          <w:rFonts w:cs="Times New Roman"/>
        </w:rPr>
        <w:t xml:space="preserve"> to </w:t>
      </w:r>
      <w:r w:rsidR="00EC40D7">
        <w:rPr>
          <w:rFonts w:cs="Times New Roman"/>
        </w:rPr>
        <w:t xml:space="preserve">the customer </w:t>
      </w:r>
      <w:r w:rsidRPr="00D714FC">
        <w:rPr>
          <w:rFonts w:cs="Times New Roman"/>
        </w:rPr>
        <w:t>under their water allocation or irrigation right.</w:t>
      </w:r>
      <w:r w:rsidR="00EC40D7">
        <w:rPr>
          <w:rFonts w:cs="Times New Roman"/>
        </w:rPr>
        <w:t xml:space="preserve"> </w:t>
      </w:r>
    </w:p>
    <w:p w:rsidR="006B4C78" w:rsidRPr="00D714FC" w:rsidRDefault="006B4C78" w:rsidP="006B4C78">
      <w:pPr>
        <w:rPr>
          <w:rFonts w:cs="Times New Roman"/>
        </w:rPr>
      </w:pPr>
      <w:r w:rsidRPr="00D714FC">
        <w:rPr>
          <w:rFonts w:cs="Times New Roman"/>
        </w:rPr>
        <w:t xml:space="preserve">A </w:t>
      </w:r>
      <w:r w:rsidRPr="00D714FC">
        <w:rPr>
          <w:rFonts w:cs="Times New Roman"/>
          <w:b/>
          <w:i/>
        </w:rPr>
        <w:t>non-volumetric charge</w:t>
      </w:r>
      <w:r w:rsidRPr="00D714FC">
        <w:rPr>
          <w:rFonts w:cs="Times New Roman"/>
        </w:rPr>
        <w:t xml:space="preserve"> is one that does not reference a volume of a water right. </w:t>
      </w:r>
    </w:p>
    <w:p w:rsidR="006B4C78" w:rsidRPr="00D714FC" w:rsidRDefault="006B4C78" w:rsidP="006B4C78">
      <w:pPr>
        <w:rPr>
          <w:rFonts w:cs="Times New Roman"/>
        </w:rPr>
      </w:pPr>
      <w:r w:rsidRPr="00D714FC">
        <w:rPr>
          <w:rFonts w:cs="Times New Roman"/>
        </w:rPr>
        <w:t>For example, a customer may incur a non-volumetric charge levied:</w:t>
      </w:r>
    </w:p>
    <w:p w:rsidR="006B4C78" w:rsidRPr="00D714FC" w:rsidRDefault="006B4C78" w:rsidP="00A82DE6">
      <w:pPr>
        <w:pStyle w:val="Lvl1Bulletpoint"/>
      </w:pPr>
      <w:r w:rsidRPr="00D714FC">
        <w:t>per account (regardless of the volume of water right they hold)</w:t>
      </w:r>
    </w:p>
    <w:p w:rsidR="006B4C78" w:rsidRPr="00D714FC" w:rsidRDefault="006B4C78" w:rsidP="00A82DE6">
      <w:pPr>
        <w:pStyle w:val="Lvl1Bulletpoint"/>
      </w:pPr>
      <w:r w:rsidRPr="00D714FC">
        <w:t>per outlet or meter</w:t>
      </w:r>
    </w:p>
    <w:p w:rsidR="006B4C78" w:rsidRPr="00D714FC" w:rsidRDefault="006B4C78" w:rsidP="00A82DE6">
      <w:pPr>
        <w:pStyle w:val="Lvl1Bulletpoint"/>
      </w:pPr>
      <w:r w:rsidRPr="00D714FC">
        <w:t>based on the size of their landholdings</w:t>
      </w:r>
    </w:p>
    <w:p w:rsidR="006B4C78" w:rsidRPr="00D714FC" w:rsidRDefault="006B4C78" w:rsidP="00A82DE6">
      <w:pPr>
        <w:pStyle w:val="Lvl1Bulletpoint"/>
      </w:pPr>
      <w:r w:rsidRPr="00D714FC">
        <w:t>when they undertake a transaction (for example, a trade application fee)</w:t>
      </w:r>
    </w:p>
    <w:p w:rsidR="006B4C78" w:rsidRPr="00D714FC" w:rsidRDefault="006B4C78" w:rsidP="00A82DE6">
      <w:pPr>
        <w:pStyle w:val="Lvl1Bulletpoint"/>
      </w:pPr>
      <w:r w:rsidRPr="00D714FC">
        <w:t>as a flat charge on all customers with a particular characteristic.</w:t>
      </w:r>
    </w:p>
    <w:p w:rsidR="006B4C78" w:rsidRPr="00D714FC" w:rsidRDefault="006B4C78" w:rsidP="006B4C78">
      <w:pPr>
        <w:rPr>
          <w:rFonts w:cs="Times New Roman"/>
        </w:rPr>
      </w:pPr>
      <w:r w:rsidRPr="00D714FC">
        <w:rPr>
          <w:rFonts w:cs="Times New Roman"/>
        </w:rPr>
        <w:t>The three broad types of regulated water charges covered by the water charge rules are set out in the sections that follow.</w:t>
      </w:r>
    </w:p>
    <w:p w:rsidR="006B4C78" w:rsidRPr="00D714FC" w:rsidRDefault="006B4C78" w:rsidP="00616672">
      <w:pPr>
        <w:pStyle w:val="Heading3"/>
      </w:pPr>
      <w:bookmarkStart w:id="130" w:name="_Toc415654451"/>
      <w:bookmarkStart w:id="131" w:name="_Toc436122276"/>
      <w:bookmarkStart w:id="132" w:name="_Toc436122771"/>
      <w:bookmarkStart w:id="133" w:name="_Toc436124126"/>
      <w:bookmarkStart w:id="134" w:name="_Toc456785779"/>
      <w:bookmarkStart w:id="135" w:name="_Toc461630690"/>
      <w:r w:rsidRPr="00D714FC">
        <w:t>Planning and management charges</w:t>
      </w:r>
      <w:bookmarkEnd w:id="130"/>
      <w:bookmarkEnd w:id="131"/>
      <w:bookmarkEnd w:id="132"/>
      <w:bookmarkEnd w:id="133"/>
      <w:bookmarkEnd w:id="134"/>
      <w:bookmarkEnd w:id="135"/>
    </w:p>
    <w:p w:rsidR="006B4C78" w:rsidRPr="00D714FC" w:rsidRDefault="006B4C78" w:rsidP="006B4C78">
      <w:pPr>
        <w:rPr>
          <w:rFonts w:cs="Times New Roman"/>
        </w:rPr>
      </w:pPr>
      <w:r w:rsidRPr="00D714FC">
        <w:rPr>
          <w:rFonts w:cs="Times New Roman"/>
        </w:rPr>
        <w:t>Basin State ministers, water departments and water authorities</w:t>
      </w:r>
      <w:r w:rsidR="006C39B0">
        <w:rPr>
          <w:rFonts w:cs="Times New Roman"/>
        </w:rPr>
        <w:t xml:space="preserve"> determine planning and management charges</w:t>
      </w:r>
      <w:r w:rsidRPr="00D714FC">
        <w:rPr>
          <w:rFonts w:cs="Times New Roman"/>
        </w:rPr>
        <w:t xml:space="preserve"> to recover the costs of </w:t>
      </w:r>
      <w:r w:rsidR="006350CC">
        <w:rPr>
          <w:rFonts w:cs="Times New Roman"/>
        </w:rPr>
        <w:t>water planning and management (</w:t>
      </w:r>
      <w:r w:rsidRPr="00D714FC">
        <w:rPr>
          <w:rFonts w:cs="Times New Roman"/>
        </w:rPr>
        <w:t>WPM</w:t>
      </w:r>
      <w:r w:rsidR="006350CC">
        <w:rPr>
          <w:rFonts w:cs="Times New Roman"/>
        </w:rPr>
        <w:t>)</w:t>
      </w:r>
      <w:r w:rsidRPr="00D714FC">
        <w:rPr>
          <w:rFonts w:cs="Times New Roman"/>
        </w:rPr>
        <w:t xml:space="preserve"> activities.</w:t>
      </w:r>
    </w:p>
    <w:p w:rsidR="006B4C78" w:rsidRPr="00D714FC" w:rsidRDefault="006B4C78" w:rsidP="006B4C78">
      <w:pPr>
        <w:rPr>
          <w:rFonts w:cs="Times New Roman"/>
        </w:rPr>
      </w:pPr>
      <w:r w:rsidRPr="00D714FC">
        <w:rPr>
          <w:rFonts w:cs="Times New Roman"/>
        </w:rPr>
        <w:t xml:space="preserve">Volumetric planning and management charges are usually levied on the basis of </w:t>
      </w:r>
      <w:r w:rsidR="00832A68">
        <w:rPr>
          <w:rFonts w:cs="Times New Roman"/>
        </w:rPr>
        <w:t>WAE</w:t>
      </w:r>
      <w:r w:rsidRPr="00D714FC">
        <w:rPr>
          <w:rFonts w:cs="Times New Roman"/>
        </w:rPr>
        <w:t xml:space="preserve"> held or water allocation used.</w:t>
      </w:r>
    </w:p>
    <w:p w:rsidR="006B4C78" w:rsidRPr="00D714FC" w:rsidRDefault="006B4C78" w:rsidP="00075B40">
      <w:pPr>
        <w:spacing w:after="120"/>
        <w:rPr>
          <w:rFonts w:cs="Times New Roman"/>
        </w:rPr>
      </w:pPr>
      <w:r w:rsidRPr="00D714FC">
        <w:rPr>
          <w:rFonts w:cs="Times New Roman"/>
        </w:rPr>
        <w:t>Non-volumetric planning and management charges can be a mix of:</w:t>
      </w:r>
    </w:p>
    <w:p w:rsidR="006B4C78" w:rsidRPr="00D714FC" w:rsidRDefault="006B4C78" w:rsidP="00A82DE6">
      <w:pPr>
        <w:pStyle w:val="Lvl1Bulletpoint"/>
      </w:pPr>
      <w:r w:rsidRPr="00D714FC">
        <w:t xml:space="preserve">broad based levies which apply directly or indirectly on water users to fund a specific set of WPM activities and </w:t>
      </w:r>
    </w:p>
    <w:p w:rsidR="006B4C78" w:rsidRPr="00D714FC" w:rsidRDefault="006B4C78" w:rsidP="00A82DE6">
      <w:pPr>
        <w:pStyle w:val="Lvl1Bulletpoint"/>
      </w:pPr>
      <w:r w:rsidRPr="00D714FC">
        <w:t xml:space="preserve">transaction </w:t>
      </w:r>
      <w:r w:rsidR="001C7D1A">
        <w:t>charges</w:t>
      </w:r>
      <w:r w:rsidRPr="00D714FC">
        <w:t xml:space="preserve">, including include fees for applications for the trade, transfer or variation of water access rights or lodgement of a transaction with a water registry. </w:t>
      </w:r>
    </w:p>
    <w:p w:rsidR="006B4C78" w:rsidRPr="00D714FC" w:rsidRDefault="006C39B0" w:rsidP="006B4C78">
      <w:pPr>
        <w:rPr>
          <w:rFonts w:cs="Times New Roman"/>
        </w:rPr>
      </w:pPr>
      <w:r>
        <w:rPr>
          <w:rFonts w:cs="Times New Roman"/>
        </w:rPr>
        <w:t>Infrastructure operators and water users pay t</w:t>
      </w:r>
      <w:r w:rsidR="006B4C78" w:rsidRPr="00D714FC">
        <w:rPr>
          <w:rFonts w:cs="Times New Roman"/>
        </w:rPr>
        <w:t>hese charges</w:t>
      </w:r>
      <w:r>
        <w:rPr>
          <w:rFonts w:cs="Times New Roman"/>
        </w:rPr>
        <w:t>.</w:t>
      </w:r>
      <w:r w:rsidR="006B4C78" w:rsidRPr="00D714FC">
        <w:rPr>
          <w:rFonts w:cs="Times New Roman"/>
        </w:rPr>
        <w:t xml:space="preserve"> Where planning and management charges are imposed on an </w:t>
      </w:r>
      <w:r>
        <w:rPr>
          <w:rFonts w:cs="Times New Roman"/>
        </w:rPr>
        <w:t>infrastructure operator</w:t>
      </w:r>
      <w:r w:rsidR="006B4C78" w:rsidRPr="00D714FC">
        <w:rPr>
          <w:rFonts w:cs="Times New Roman"/>
        </w:rPr>
        <w:t xml:space="preserve">, the charges (or the costs incurred by the </w:t>
      </w:r>
      <w:r>
        <w:rPr>
          <w:rFonts w:cs="Times New Roman"/>
        </w:rPr>
        <w:t>infrastructure operator</w:t>
      </w:r>
      <w:r w:rsidR="006B4C78" w:rsidRPr="00D714FC">
        <w:rPr>
          <w:rFonts w:cs="Times New Roman"/>
        </w:rPr>
        <w:t xml:space="preserve"> because of these charges) are typically passed on to their customers. </w:t>
      </w:r>
    </w:p>
    <w:p w:rsidR="006B4C78" w:rsidRPr="00D714FC" w:rsidRDefault="006B4C78" w:rsidP="006B4C78">
      <w:pPr>
        <w:rPr>
          <w:rFonts w:cs="Times New Roman"/>
        </w:rPr>
      </w:pPr>
      <w:r w:rsidRPr="00D714FC">
        <w:rPr>
          <w:rFonts w:cs="Times New Roman"/>
        </w:rPr>
        <w:t xml:space="preserve">Planning and management charges are currently regulated by the </w:t>
      </w:r>
      <w:r w:rsidR="008555EC" w:rsidRPr="00167477">
        <w:rPr>
          <w:rFonts w:cs="Times New Roman"/>
        </w:rPr>
        <w:t xml:space="preserve">Water Charge (Planning and Management Information) Rules 2010 </w:t>
      </w:r>
      <w:r w:rsidR="008555EC">
        <w:rPr>
          <w:rFonts w:cs="Times New Roman"/>
        </w:rPr>
        <w:t>(</w:t>
      </w:r>
      <w:r w:rsidR="00115C5D" w:rsidRPr="002B6129">
        <w:rPr>
          <w:rFonts w:cs="Times New Roman"/>
        </w:rPr>
        <w:t>WCPMIR</w:t>
      </w:r>
      <w:r w:rsidR="008555EC">
        <w:rPr>
          <w:rFonts w:cs="Times New Roman"/>
        </w:rPr>
        <w:t>)</w:t>
      </w:r>
      <w:r w:rsidRPr="00D714FC">
        <w:rPr>
          <w:rFonts w:cs="Times New Roman"/>
        </w:rPr>
        <w:t xml:space="preserve">, </w:t>
      </w:r>
      <w:r w:rsidR="00EC40D7">
        <w:rPr>
          <w:rFonts w:cs="Times New Roman"/>
        </w:rPr>
        <w:t xml:space="preserve">and are </w:t>
      </w:r>
      <w:r w:rsidRPr="00D714FC">
        <w:rPr>
          <w:rFonts w:cs="Times New Roman"/>
        </w:rPr>
        <w:t xml:space="preserve">discussed in </w:t>
      </w:r>
      <w:r w:rsidR="00B9494D">
        <w:rPr>
          <w:rFonts w:cs="Times New Roman"/>
        </w:rPr>
        <w:t>c</w:t>
      </w:r>
      <w:r w:rsidR="00EC40D7" w:rsidRPr="00D714FC">
        <w:rPr>
          <w:rFonts w:cs="Times New Roman"/>
        </w:rPr>
        <w:t xml:space="preserve">hapter </w:t>
      </w:r>
      <w:r w:rsidRPr="00D714FC">
        <w:rPr>
          <w:rFonts w:cs="Times New Roman"/>
        </w:rPr>
        <w:t>7.</w:t>
      </w:r>
    </w:p>
    <w:p w:rsidR="006B4C78" w:rsidRPr="00D714FC" w:rsidRDefault="006B4C78" w:rsidP="00616672">
      <w:pPr>
        <w:pStyle w:val="Heading3"/>
      </w:pPr>
      <w:bookmarkStart w:id="136" w:name="_Toc415654452"/>
      <w:bookmarkStart w:id="137" w:name="_Ref432957962"/>
      <w:bookmarkStart w:id="138" w:name="_Toc436122277"/>
      <w:bookmarkStart w:id="139" w:name="_Toc436122772"/>
      <w:bookmarkStart w:id="140" w:name="_Toc436124127"/>
      <w:bookmarkStart w:id="141" w:name="_Toc456785780"/>
      <w:bookmarkStart w:id="142" w:name="_Toc461630691"/>
      <w:r w:rsidRPr="00D714FC">
        <w:t>Infrastructure charges</w:t>
      </w:r>
      <w:bookmarkEnd w:id="136"/>
      <w:bookmarkEnd w:id="137"/>
      <w:bookmarkEnd w:id="138"/>
      <w:bookmarkEnd w:id="139"/>
      <w:bookmarkEnd w:id="140"/>
      <w:bookmarkEnd w:id="141"/>
      <w:bookmarkEnd w:id="142"/>
    </w:p>
    <w:p w:rsidR="006B4C78" w:rsidRPr="00D714FC" w:rsidRDefault="006B4C78" w:rsidP="006B4C78">
      <w:pPr>
        <w:rPr>
          <w:rFonts w:cs="Times New Roman"/>
        </w:rPr>
      </w:pPr>
      <w:r w:rsidRPr="00D714FC">
        <w:rPr>
          <w:rFonts w:cs="Times New Roman"/>
        </w:rPr>
        <w:t xml:space="preserve">Infrastructure charges are the charges infrastructure operators impose for access to their water service infrastructure, and services provided in relation to that access—collectively referred to as ‘infrastructure services’. </w:t>
      </w:r>
    </w:p>
    <w:p w:rsidR="006B4C78" w:rsidRPr="00D714FC" w:rsidRDefault="006B4C78" w:rsidP="006B4C78">
      <w:pPr>
        <w:pStyle w:val="Heading4"/>
        <w:rPr>
          <w:rFonts w:ascii="Times New Roman" w:hAnsi="Times New Roman" w:cs="Times New Roman"/>
        </w:rPr>
      </w:pPr>
      <w:r w:rsidRPr="00D714FC">
        <w:rPr>
          <w:rFonts w:ascii="Times New Roman" w:hAnsi="Times New Roman" w:cs="Times New Roman"/>
        </w:rPr>
        <w:t>Infrastructure charges for on-river infrastructure services</w:t>
      </w:r>
    </w:p>
    <w:p w:rsidR="006B4C78" w:rsidRPr="00D714FC" w:rsidRDefault="006B4C78" w:rsidP="00075B40">
      <w:pPr>
        <w:spacing w:after="120"/>
        <w:rPr>
          <w:rFonts w:cs="Times New Roman"/>
        </w:rPr>
      </w:pPr>
      <w:r w:rsidRPr="00D714FC">
        <w:rPr>
          <w:rFonts w:cs="Times New Roman"/>
        </w:rPr>
        <w:t xml:space="preserve">Infrastructure </w:t>
      </w:r>
      <w:r w:rsidR="00EC40D7">
        <w:rPr>
          <w:rFonts w:cs="Times New Roman"/>
        </w:rPr>
        <w:t xml:space="preserve">operators </w:t>
      </w:r>
      <w:r w:rsidRPr="00D714FC">
        <w:rPr>
          <w:rFonts w:cs="Times New Roman"/>
        </w:rPr>
        <w:t>that provide on-river infrastructure services impose infrastructure charges to recover the costs associated with:</w:t>
      </w:r>
    </w:p>
    <w:p w:rsidR="006B4C78" w:rsidRPr="00D714FC" w:rsidRDefault="006B4C78" w:rsidP="00A82DE6">
      <w:pPr>
        <w:pStyle w:val="Lvl1Bulletpoint"/>
      </w:pPr>
      <w:r w:rsidRPr="00D714FC">
        <w:t>water harvesting and storage</w:t>
      </w:r>
      <w:r w:rsidRPr="00D714FC">
        <w:rPr>
          <w:rStyle w:val="FootnoteReference"/>
          <w:rFonts w:cs="Times New Roman"/>
        </w:rPr>
        <w:footnoteReference w:id="23"/>
      </w:r>
      <w:r w:rsidR="002B6129">
        <w:t xml:space="preserve"> and</w:t>
      </w:r>
      <w:r w:rsidRPr="00D714FC">
        <w:t xml:space="preserve"> </w:t>
      </w:r>
    </w:p>
    <w:p w:rsidR="006B4C78" w:rsidRPr="00D714FC" w:rsidRDefault="006B4C78" w:rsidP="00A82DE6">
      <w:pPr>
        <w:pStyle w:val="Lvl1Bulletpoint"/>
      </w:pPr>
      <w:r w:rsidRPr="00D714FC">
        <w:t>water transportation and delivery.</w:t>
      </w:r>
      <w:r w:rsidRPr="00D714FC">
        <w:rPr>
          <w:rStyle w:val="FootnoteReference"/>
          <w:rFonts w:cs="Times New Roman"/>
        </w:rPr>
        <w:footnoteReference w:id="24"/>
      </w:r>
      <w:r w:rsidR="00C6733C">
        <w:t xml:space="preserve"> </w:t>
      </w:r>
    </w:p>
    <w:p w:rsidR="006B4C78" w:rsidRPr="00D714FC" w:rsidRDefault="006B4C78" w:rsidP="00075B40">
      <w:pPr>
        <w:spacing w:after="120"/>
        <w:rPr>
          <w:rFonts w:cs="Times New Roman"/>
        </w:rPr>
      </w:pPr>
      <w:r w:rsidRPr="00D714FC">
        <w:rPr>
          <w:rFonts w:cs="Times New Roman"/>
        </w:rPr>
        <w:t>Although these costs relate to water service infrastructure, infrastructure charges for on-river infrastructure services generally take the form of:</w:t>
      </w:r>
    </w:p>
    <w:p w:rsidR="006B4C78" w:rsidRPr="00D714FC" w:rsidRDefault="006B4C78" w:rsidP="00A82DE6">
      <w:pPr>
        <w:pStyle w:val="Lvl1Bulletpoint"/>
      </w:pPr>
      <w:r w:rsidRPr="00D714FC">
        <w:t xml:space="preserve">fixed volumetric infrastructure charges levied on the volume of </w:t>
      </w:r>
      <w:r w:rsidR="00832A68">
        <w:t>WAE</w:t>
      </w:r>
      <w:r w:rsidRPr="00D714FC">
        <w:t xml:space="preserve"> held by the customer</w:t>
      </w:r>
    </w:p>
    <w:p w:rsidR="006B4C78" w:rsidRPr="00D714FC" w:rsidRDefault="006B4C78" w:rsidP="00A82DE6">
      <w:pPr>
        <w:pStyle w:val="Lvl1Bulletpoint"/>
      </w:pPr>
      <w:r w:rsidRPr="00D714FC">
        <w:t xml:space="preserve">variable volumetric infrastructure charges levied according to the amount of water allocation delivered to a customer’s extraction point </w:t>
      </w:r>
    </w:p>
    <w:p w:rsidR="006B4C78" w:rsidRPr="00D714FC" w:rsidRDefault="00683C73" w:rsidP="00A82DE6">
      <w:pPr>
        <w:pStyle w:val="Lvl1Bulletpoint"/>
      </w:pPr>
      <w:r>
        <w:t>n</w:t>
      </w:r>
      <w:r w:rsidR="006B4C78" w:rsidRPr="00D714FC">
        <w:t xml:space="preserve">on-volumetric charges levied per account or per meter / outlet </w:t>
      </w:r>
    </w:p>
    <w:p w:rsidR="006B4C78" w:rsidRPr="00D714FC" w:rsidRDefault="006B4C78" w:rsidP="006B4C78">
      <w:pPr>
        <w:rPr>
          <w:rFonts w:cs="Times New Roman"/>
        </w:rPr>
      </w:pPr>
      <w:r w:rsidRPr="00D714FC">
        <w:rPr>
          <w:rFonts w:cs="Times New Roman"/>
        </w:rPr>
        <w:t>Infrastructure operators rely overwhelmingly on volumetric charges to obtain their required revenue</w:t>
      </w:r>
      <w:r w:rsidR="00683C73">
        <w:rPr>
          <w:rFonts w:cs="Times New Roman"/>
        </w:rPr>
        <w:t>;</w:t>
      </w:r>
      <w:r w:rsidRPr="00D714FC">
        <w:rPr>
          <w:rFonts w:cs="Times New Roman"/>
        </w:rPr>
        <w:t xml:space="preserve"> however</w:t>
      </w:r>
      <w:r w:rsidR="00683C73">
        <w:rPr>
          <w:rFonts w:cs="Times New Roman"/>
        </w:rPr>
        <w:t>,</w:t>
      </w:r>
      <w:r w:rsidRPr="00D714FC">
        <w:rPr>
          <w:rFonts w:cs="Times New Roman"/>
        </w:rPr>
        <w:t xml:space="preserve"> </w:t>
      </w:r>
      <w:r w:rsidR="00683C73">
        <w:rPr>
          <w:rFonts w:cs="Times New Roman"/>
        </w:rPr>
        <w:t>the amount of revenue recovered via fixed volumetric charges relative to revenue from variable volumetric charges differs considerably across operators</w:t>
      </w:r>
      <w:r w:rsidRPr="00D714FC">
        <w:rPr>
          <w:rFonts w:cs="Times New Roman"/>
        </w:rPr>
        <w:t xml:space="preserve">. </w:t>
      </w:r>
    </w:p>
    <w:p w:rsidR="006B4C78" w:rsidRPr="00D714FC" w:rsidRDefault="006B4C78" w:rsidP="006B4C78">
      <w:pPr>
        <w:pStyle w:val="Heading4"/>
        <w:rPr>
          <w:rFonts w:ascii="Times New Roman" w:hAnsi="Times New Roman" w:cs="Times New Roman"/>
        </w:rPr>
      </w:pPr>
      <w:bookmarkStart w:id="143" w:name="_Toc415654453"/>
      <w:r w:rsidRPr="00D714FC">
        <w:rPr>
          <w:rFonts w:ascii="Times New Roman" w:hAnsi="Times New Roman" w:cs="Times New Roman"/>
        </w:rPr>
        <w:t xml:space="preserve">Infrastructure charges for off-river </w:t>
      </w:r>
      <w:bookmarkEnd w:id="143"/>
      <w:r w:rsidRPr="00D714FC">
        <w:rPr>
          <w:rFonts w:ascii="Times New Roman" w:hAnsi="Times New Roman" w:cs="Times New Roman"/>
        </w:rPr>
        <w:t>infrastructure services</w:t>
      </w:r>
    </w:p>
    <w:p w:rsidR="006B4C78" w:rsidRPr="00D714FC" w:rsidRDefault="006C39B0" w:rsidP="00075B40">
      <w:pPr>
        <w:spacing w:after="120"/>
        <w:rPr>
          <w:rFonts w:cs="Times New Roman"/>
        </w:rPr>
      </w:pPr>
      <w:r>
        <w:rPr>
          <w:rFonts w:cs="Times New Roman"/>
        </w:rPr>
        <w:t>Infrastructure operator</w:t>
      </w:r>
      <w:r w:rsidR="006B4C78" w:rsidRPr="00D714FC">
        <w:rPr>
          <w:rFonts w:cs="Times New Roman"/>
        </w:rPr>
        <w:t>s that provide off-river infrastructure services—usually for the delivery of water from a natural watercourse through channels / pipes to a customer—impose infrastructure charges to recover their costs. These costs are associated with:</w:t>
      </w:r>
    </w:p>
    <w:p w:rsidR="006B4C78" w:rsidRPr="00D714FC" w:rsidRDefault="006B4C78" w:rsidP="00A82DE6">
      <w:pPr>
        <w:pStyle w:val="Lvl1Bulletpoint"/>
      </w:pPr>
      <w:r w:rsidRPr="00D714FC">
        <w:t>the day to day operation of their infrastructure</w:t>
      </w:r>
    </w:p>
    <w:p w:rsidR="006B4C78" w:rsidRPr="00D714FC" w:rsidRDefault="006B4C78" w:rsidP="00A82DE6">
      <w:pPr>
        <w:pStyle w:val="Lvl1Bulletpoint"/>
      </w:pPr>
      <w:r w:rsidRPr="00D714FC">
        <w:t>maintaining and renewing their infrastructure</w:t>
      </w:r>
      <w:r w:rsidR="001C7D1A">
        <w:t>,</w:t>
      </w:r>
      <w:r w:rsidRPr="00D714FC">
        <w:t xml:space="preserve"> and</w:t>
      </w:r>
    </w:p>
    <w:p w:rsidR="006B4C78" w:rsidRPr="00D714FC" w:rsidRDefault="006B4C78" w:rsidP="00A82DE6">
      <w:pPr>
        <w:pStyle w:val="Lvl1Bulletpoint"/>
      </w:pPr>
      <w:r w:rsidRPr="00D714FC">
        <w:t>meeting overheads.</w:t>
      </w:r>
    </w:p>
    <w:p w:rsidR="006B4C78" w:rsidRPr="00D714FC" w:rsidRDefault="006B4C78" w:rsidP="00075B40">
      <w:pPr>
        <w:spacing w:after="120"/>
        <w:rPr>
          <w:rFonts w:cs="Times New Roman"/>
        </w:rPr>
      </w:pPr>
      <w:r w:rsidRPr="00D714FC">
        <w:rPr>
          <w:rFonts w:cs="Times New Roman"/>
        </w:rPr>
        <w:t>Charges for off-river infrastructure services generally take the form of:</w:t>
      </w:r>
    </w:p>
    <w:p w:rsidR="006B4C78" w:rsidRPr="00D714FC" w:rsidRDefault="006B4C78" w:rsidP="00A82DE6">
      <w:pPr>
        <w:pStyle w:val="Lvl1Bulletpoint"/>
      </w:pPr>
      <w:r w:rsidRPr="00D714FC">
        <w:t>fixed volumetric charges levied on the volume of water delivery right held by the customer</w:t>
      </w:r>
    </w:p>
    <w:p w:rsidR="006B4C78" w:rsidRPr="00D714FC" w:rsidRDefault="006B4C78" w:rsidP="00A82DE6">
      <w:pPr>
        <w:pStyle w:val="Lvl1Bulletpoint"/>
      </w:pPr>
      <w:r w:rsidRPr="00D714FC">
        <w:t>variable volumetric charges levied on the volume of water delivered to the customer (under a water access right or irrigation right) up to the volume of water delivery right held (with higher charges applying to volumes delivered over this amount)</w:t>
      </w:r>
      <w:r w:rsidRPr="00D714FC">
        <w:rPr>
          <w:rStyle w:val="FootnoteReference"/>
          <w:rFonts w:cs="Times New Roman"/>
        </w:rPr>
        <w:footnoteReference w:id="25"/>
      </w:r>
    </w:p>
    <w:p w:rsidR="006B4C78" w:rsidRPr="00D714FC" w:rsidRDefault="00683C73" w:rsidP="00A82DE6">
      <w:pPr>
        <w:pStyle w:val="Lvl1Bulletpoint"/>
      </w:pPr>
      <w:r>
        <w:t>n</w:t>
      </w:r>
      <w:r w:rsidR="006B4C78" w:rsidRPr="00D714FC">
        <w:t>on-volumetric charges levied per account, per meter / outlet or with reference to landholdings</w:t>
      </w:r>
      <w:r>
        <w:t>.</w:t>
      </w:r>
    </w:p>
    <w:p w:rsidR="006B4C78" w:rsidRPr="00D714FC" w:rsidRDefault="00683C73" w:rsidP="006B4C78">
      <w:pPr>
        <w:rPr>
          <w:rFonts w:cs="Times New Roman"/>
        </w:rPr>
      </w:pPr>
      <w:r>
        <w:rPr>
          <w:rFonts w:cs="Times New Roman"/>
        </w:rPr>
        <w:t>As is the case for infrastructure operators who provide on-river infrastructure services, i</w:t>
      </w:r>
      <w:r w:rsidR="006B4C78" w:rsidRPr="00D714FC">
        <w:rPr>
          <w:rFonts w:cs="Times New Roman"/>
        </w:rPr>
        <w:t xml:space="preserve">nfrastructure operators </w:t>
      </w:r>
      <w:r>
        <w:rPr>
          <w:rFonts w:cs="Times New Roman"/>
        </w:rPr>
        <w:t xml:space="preserve">providing off-river infrastructure services also </w:t>
      </w:r>
      <w:r w:rsidR="006B4C78" w:rsidRPr="00D714FC">
        <w:rPr>
          <w:rFonts w:cs="Times New Roman"/>
        </w:rPr>
        <w:t>rely on volumetric charges to obtain their required revenue</w:t>
      </w:r>
      <w:r>
        <w:rPr>
          <w:rFonts w:cs="Times New Roman"/>
        </w:rPr>
        <w:t>. Again</w:t>
      </w:r>
      <w:r w:rsidR="006B4C78" w:rsidRPr="00D714FC">
        <w:rPr>
          <w:rFonts w:cs="Times New Roman"/>
        </w:rPr>
        <w:t xml:space="preserve"> their relative reliance on fixed and variable volumetric charges may differ considerably.</w:t>
      </w:r>
    </w:p>
    <w:p w:rsidR="006B4C78" w:rsidRPr="00D714FC" w:rsidRDefault="00683C73" w:rsidP="006B4C78">
      <w:pPr>
        <w:rPr>
          <w:rFonts w:cs="Times New Roman"/>
        </w:rPr>
      </w:pPr>
      <w:r>
        <w:rPr>
          <w:rFonts w:cs="Times New Roman"/>
        </w:rPr>
        <w:t>I</w:t>
      </w:r>
      <w:r w:rsidR="006B4C78" w:rsidRPr="00D714FC">
        <w:rPr>
          <w:rFonts w:cs="Times New Roman"/>
        </w:rPr>
        <w:t xml:space="preserve">nfrastructure operators that only provide off-river infrastructure services may levy other charges on their customers to pass through, or recover the cost of, infrastructure charges for on-river infrastructure services, or planning and management charges, that they have incurred </w:t>
      </w:r>
      <w:r>
        <w:rPr>
          <w:rFonts w:cs="Times New Roman"/>
        </w:rPr>
        <w:t xml:space="preserve">on behalf of </w:t>
      </w:r>
      <w:r w:rsidR="006B4C78" w:rsidRPr="00D714FC">
        <w:rPr>
          <w:rFonts w:cs="Times New Roman"/>
        </w:rPr>
        <w:t xml:space="preserve">their customers </w:t>
      </w:r>
      <w:r w:rsidR="006D7D61">
        <w:rPr>
          <w:rFonts w:cs="Times New Roman"/>
        </w:rPr>
        <w:t xml:space="preserve">or otherwise in the course of providing infrastructure services to them </w:t>
      </w:r>
      <w:r w:rsidR="006B4C78" w:rsidRPr="00D714FC">
        <w:rPr>
          <w:rFonts w:cs="Times New Roman"/>
        </w:rPr>
        <w:t>(see section</w:t>
      </w:r>
      <w:r w:rsidR="00510C65">
        <w:rPr>
          <w:rFonts w:cs="Times New Roman"/>
        </w:rPr>
        <w:t> 5.13</w:t>
      </w:r>
      <w:r w:rsidR="006B4C78" w:rsidRPr="00D714FC">
        <w:rPr>
          <w:rFonts w:cs="Times New Roman"/>
        </w:rPr>
        <w:t>).</w:t>
      </w:r>
    </w:p>
    <w:p w:rsidR="006B4C78" w:rsidRPr="00D714FC" w:rsidRDefault="006B4C78" w:rsidP="006B4C78">
      <w:pPr>
        <w:rPr>
          <w:rFonts w:cs="Times New Roman"/>
        </w:rPr>
      </w:pPr>
      <w:r w:rsidRPr="00D714FC">
        <w:rPr>
          <w:rFonts w:cs="Times New Roman"/>
        </w:rPr>
        <w:t>In some cases, infrastructure operators may also collect infrastructure charges or planning and management charges on behalf of other entities.</w:t>
      </w:r>
    </w:p>
    <w:p w:rsidR="006B4C78" w:rsidRPr="00D714FC" w:rsidRDefault="006B4C78" w:rsidP="006B4C78">
      <w:pPr>
        <w:rPr>
          <w:rFonts w:cs="Times New Roman"/>
        </w:rPr>
      </w:pPr>
      <w:r w:rsidRPr="00D714FC">
        <w:rPr>
          <w:rFonts w:cs="Times New Roman"/>
        </w:rPr>
        <w:t xml:space="preserve">Infrastructure charges are currently regulated by the </w:t>
      </w:r>
      <w:r w:rsidRPr="00167477">
        <w:rPr>
          <w:rFonts w:cs="Times New Roman"/>
        </w:rPr>
        <w:t>Water Charge (Infrastructure) Rules 2010</w:t>
      </w:r>
      <w:r w:rsidR="0001065E">
        <w:rPr>
          <w:rFonts w:cs="Times New Roman"/>
          <w:i/>
        </w:rPr>
        <w:t xml:space="preserve"> </w:t>
      </w:r>
      <w:r w:rsidR="0001065E" w:rsidRPr="0001065E">
        <w:rPr>
          <w:rFonts w:cs="Times New Roman"/>
        </w:rPr>
        <w:t>(</w:t>
      </w:r>
      <w:r w:rsidR="0001065E">
        <w:rPr>
          <w:rFonts w:cs="Times New Roman"/>
        </w:rPr>
        <w:t>WCIR)</w:t>
      </w:r>
      <w:r w:rsidRPr="00D714FC">
        <w:rPr>
          <w:rFonts w:cs="Times New Roman"/>
        </w:rPr>
        <w:t xml:space="preserve">, discussed in </w:t>
      </w:r>
      <w:r w:rsidR="00B9494D">
        <w:rPr>
          <w:rFonts w:cs="Times New Roman"/>
        </w:rPr>
        <w:t>c</w:t>
      </w:r>
      <w:r w:rsidRPr="00D714FC">
        <w:rPr>
          <w:rFonts w:cs="Times New Roman"/>
        </w:rPr>
        <w:t>hapter 5.</w:t>
      </w:r>
    </w:p>
    <w:p w:rsidR="006B4C78" w:rsidRPr="00D714FC" w:rsidRDefault="006B4C78" w:rsidP="00616672">
      <w:pPr>
        <w:pStyle w:val="Heading3"/>
      </w:pPr>
      <w:bookmarkStart w:id="144" w:name="_Ref432956919"/>
      <w:bookmarkStart w:id="145" w:name="_Toc436122278"/>
      <w:bookmarkStart w:id="146" w:name="_Toc436122773"/>
      <w:bookmarkStart w:id="147" w:name="_Toc436124128"/>
      <w:bookmarkStart w:id="148" w:name="_Toc456785781"/>
      <w:bookmarkStart w:id="149" w:name="_Toc461630692"/>
      <w:r w:rsidRPr="00616672">
        <w:t>Termination</w:t>
      </w:r>
      <w:r w:rsidRPr="00D714FC">
        <w:t xml:space="preserve"> fees</w:t>
      </w:r>
      <w:bookmarkEnd w:id="144"/>
      <w:bookmarkEnd w:id="145"/>
      <w:bookmarkEnd w:id="146"/>
      <w:bookmarkEnd w:id="147"/>
      <w:bookmarkEnd w:id="148"/>
      <w:bookmarkEnd w:id="149"/>
    </w:p>
    <w:p w:rsidR="006B4C78" w:rsidRPr="00D714FC" w:rsidRDefault="00EA0B7C" w:rsidP="006B4C78">
      <w:pPr>
        <w:rPr>
          <w:rFonts w:cs="Times New Roman"/>
        </w:rPr>
      </w:pPr>
      <w:r w:rsidRPr="00D714FC">
        <w:rPr>
          <w:rFonts w:cs="Times New Roman"/>
        </w:rPr>
        <w:t>Infrastructure o</w:t>
      </w:r>
      <w:r w:rsidR="006B4C78" w:rsidRPr="00D714FC">
        <w:rPr>
          <w:rFonts w:cs="Times New Roman"/>
        </w:rPr>
        <w:t>perators face costs for operating their infrastructure. Many of these costs are ongoing—that is, the operator</w:t>
      </w:r>
      <w:r w:rsidR="006C39B0">
        <w:rPr>
          <w:rFonts w:cs="Times New Roman"/>
        </w:rPr>
        <w:t xml:space="preserve"> incurs these costs</w:t>
      </w:r>
      <w:r w:rsidR="006B4C78" w:rsidRPr="00D714FC">
        <w:rPr>
          <w:rFonts w:cs="Times New Roman"/>
        </w:rPr>
        <w:t xml:space="preserve"> whether or not a particular irrigator chooses to terminate access. The imposition of a termination fee on an irrigator that is terminating their right of access ensures a contribution from exiting irrigators for the ongoing fixed costs of operating the infrastructure. This provides a degree of revenue certainty for infrastructure operators. </w:t>
      </w:r>
      <w:r w:rsidR="006C39B0">
        <w:rPr>
          <w:rFonts w:cs="Times New Roman"/>
        </w:rPr>
        <w:t>Operators can use the r</w:t>
      </w:r>
      <w:r w:rsidR="006B4C78" w:rsidRPr="00D714FC">
        <w:rPr>
          <w:rFonts w:cs="Times New Roman"/>
        </w:rPr>
        <w:t>evenue from termination fees to limit future increases in charges for those customers who maintain their connection or to fund network rationalisation to lower ongoing costs.</w:t>
      </w:r>
    </w:p>
    <w:p w:rsidR="006B4C78" w:rsidRPr="00D714FC" w:rsidRDefault="006B4C78" w:rsidP="006B4C78">
      <w:pPr>
        <w:rPr>
          <w:rFonts w:cs="Times New Roman"/>
        </w:rPr>
      </w:pPr>
      <w:r w:rsidRPr="00D714FC">
        <w:rPr>
          <w:rFonts w:cs="Times New Roman"/>
        </w:rPr>
        <w:t xml:space="preserve">The level of termination fees and the circumstances in which they can be charged are currently regulated by the </w:t>
      </w:r>
      <w:r w:rsidRPr="00A16AFC">
        <w:rPr>
          <w:rFonts w:cs="Times New Roman"/>
          <w:i/>
        </w:rPr>
        <w:t>Water Charge (Termination Fees) Rules 2009</w:t>
      </w:r>
      <w:r w:rsidRPr="00D714FC">
        <w:rPr>
          <w:rFonts w:cs="Times New Roman"/>
        </w:rPr>
        <w:t xml:space="preserve"> (WCTFR), discussed in </w:t>
      </w:r>
      <w:r w:rsidR="00B9494D">
        <w:rPr>
          <w:rFonts w:cs="Times New Roman"/>
        </w:rPr>
        <w:t>c</w:t>
      </w:r>
      <w:r w:rsidRPr="00D714FC">
        <w:rPr>
          <w:rFonts w:cs="Times New Roman"/>
        </w:rPr>
        <w:t>hapter 6.</w:t>
      </w:r>
    </w:p>
    <w:p w:rsidR="006B4C78" w:rsidRPr="00D714FC" w:rsidRDefault="006B4C78" w:rsidP="00616672">
      <w:pPr>
        <w:pStyle w:val="Heading2"/>
      </w:pPr>
      <w:bookmarkStart w:id="150" w:name="_Toc436122279"/>
      <w:bookmarkStart w:id="151" w:name="_Toc436122774"/>
      <w:bookmarkStart w:id="152" w:name="_Toc436124129"/>
      <w:bookmarkStart w:id="153" w:name="_Toc456785782"/>
      <w:bookmarkStart w:id="154" w:name="_Toc461630693"/>
      <w:r w:rsidRPr="00D714FC">
        <w:t>Summary of water charging arrangements</w:t>
      </w:r>
      <w:bookmarkEnd w:id="150"/>
      <w:bookmarkEnd w:id="151"/>
      <w:bookmarkEnd w:id="152"/>
      <w:bookmarkEnd w:id="153"/>
      <w:bookmarkEnd w:id="154"/>
    </w:p>
    <w:p w:rsidR="006B4C78" w:rsidRPr="00D714FC" w:rsidRDefault="006B4C78" w:rsidP="006B4C78">
      <w:pPr>
        <w:rPr>
          <w:rFonts w:cs="Times New Roman"/>
        </w:rPr>
      </w:pPr>
      <w:r w:rsidRPr="00D714FC">
        <w:rPr>
          <w:rFonts w:cs="Times New Roman"/>
        </w:rPr>
        <w:t xml:space="preserve">The regulated water charges that apply to a person will depend upon the nature of their activities and the type of tradeable water right they hold or use. Regulated water charges are ultimately borne by water users, either directly or indirectly. </w:t>
      </w:r>
    </w:p>
    <w:p w:rsidR="006B4C78" w:rsidRPr="00D714FC" w:rsidRDefault="006B4C78" w:rsidP="006B4C78">
      <w:pPr>
        <w:rPr>
          <w:rFonts w:cs="Times New Roman"/>
        </w:rPr>
      </w:pPr>
      <w:r w:rsidRPr="00D714FC">
        <w:rPr>
          <w:rFonts w:cs="Times New Roman"/>
        </w:rPr>
        <w:t xml:space="preserve">Figure 2.3 below provides an overview of the relationship between the types of regulated water charges and the entities imposing / paying them. </w:t>
      </w:r>
    </w:p>
    <w:p w:rsidR="006B4C78" w:rsidRPr="00D714FC" w:rsidRDefault="006B4C78" w:rsidP="006B4C78">
      <w:pPr>
        <w:rPr>
          <w:rFonts w:cs="Times New Roman"/>
        </w:rPr>
      </w:pPr>
      <w:r w:rsidRPr="00D714FC">
        <w:rPr>
          <w:rFonts w:cs="Times New Roman"/>
        </w:rPr>
        <w:t xml:space="preserve">Planning and management charges can apply directly to water users as well as to infrastructure operators. Infrastructure operators typically pass such charges on to their customers alongside the charges they impose to fund their own activities (these are shown as grey lines in </w:t>
      </w:r>
      <w:r w:rsidR="00284C22">
        <w:rPr>
          <w:rFonts w:cs="Times New Roman"/>
        </w:rPr>
        <w:t>F</w:t>
      </w:r>
      <w:r w:rsidRPr="00D714FC">
        <w:rPr>
          <w:rFonts w:cs="Times New Roman"/>
        </w:rPr>
        <w:t xml:space="preserve">igure </w:t>
      </w:r>
      <w:r w:rsidR="00D3791E" w:rsidRPr="00D714FC">
        <w:rPr>
          <w:rFonts w:cs="Times New Roman"/>
        </w:rPr>
        <w:t>2.3</w:t>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Infrastructure </w:t>
      </w:r>
      <w:r w:rsidR="006C39B0">
        <w:rPr>
          <w:rFonts w:cs="Times New Roman"/>
        </w:rPr>
        <w:t xml:space="preserve">operators impose </w:t>
      </w:r>
      <w:r w:rsidRPr="00D714FC">
        <w:rPr>
          <w:rFonts w:cs="Times New Roman"/>
        </w:rPr>
        <w:t xml:space="preserve">charges on to their customers. The </w:t>
      </w:r>
      <w:r w:rsidR="00D3791E" w:rsidRPr="00D714FC">
        <w:rPr>
          <w:rFonts w:cs="Times New Roman"/>
        </w:rPr>
        <w:t xml:space="preserve">figure </w:t>
      </w:r>
      <w:r w:rsidRPr="00D714FC">
        <w:rPr>
          <w:rFonts w:cs="Times New Roman"/>
        </w:rPr>
        <w:t xml:space="preserve">below distinguishes between infrastructure charges for on-river infrastructure services (shown as dark blue lines) and off-river infrastructure services (shown as red lines in </w:t>
      </w:r>
      <w:r w:rsidR="00284C22">
        <w:rPr>
          <w:rFonts w:cs="Times New Roman"/>
        </w:rPr>
        <w:t>F</w:t>
      </w:r>
      <w:r w:rsidRPr="00D714FC">
        <w:rPr>
          <w:rFonts w:cs="Times New Roman"/>
        </w:rPr>
        <w:t>igure</w:t>
      </w:r>
      <w:r w:rsidR="00D3791E" w:rsidRPr="00D714FC">
        <w:rPr>
          <w:rFonts w:cs="Times New Roman"/>
        </w:rPr>
        <w:t xml:space="preserve"> 2.3</w:t>
      </w:r>
      <w:r w:rsidRPr="00D714FC">
        <w:rPr>
          <w:rFonts w:cs="Times New Roman"/>
        </w:rPr>
        <w:t xml:space="preserve">). </w:t>
      </w:r>
    </w:p>
    <w:p w:rsidR="006B4C78" w:rsidRPr="00D714FC" w:rsidRDefault="00D3791E" w:rsidP="006B4C78">
      <w:pPr>
        <w:rPr>
          <w:rFonts w:cs="Times New Roman"/>
        </w:rPr>
      </w:pPr>
      <w:r w:rsidRPr="00D714FC">
        <w:rPr>
          <w:rFonts w:cs="Times New Roman"/>
        </w:rPr>
        <w:t>S</w:t>
      </w:r>
      <w:r w:rsidR="006B4C78" w:rsidRPr="00D714FC">
        <w:rPr>
          <w:rFonts w:cs="Times New Roman"/>
        </w:rPr>
        <w:t xml:space="preserve">ome infrastructure operators are vertically integrated. That is, they provide both on-river and off-river infrastructure services (this is not shown in </w:t>
      </w:r>
      <w:r w:rsidR="00284C22">
        <w:rPr>
          <w:rFonts w:cs="Times New Roman"/>
        </w:rPr>
        <w:t>F</w:t>
      </w:r>
      <w:r w:rsidR="006B4C78" w:rsidRPr="00D714FC">
        <w:rPr>
          <w:rFonts w:cs="Times New Roman"/>
        </w:rPr>
        <w:t xml:space="preserve">igure </w:t>
      </w:r>
      <w:r w:rsidRPr="00D714FC">
        <w:rPr>
          <w:rFonts w:cs="Times New Roman"/>
        </w:rPr>
        <w:t>2.3</w:t>
      </w:r>
      <w:r w:rsidR="006B4C78" w:rsidRPr="00D714FC">
        <w:rPr>
          <w:rFonts w:cs="Times New Roman"/>
        </w:rPr>
        <w:t>). Separate charges should be levied for these two types of infrastructure services.</w:t>
      </w:r>
    </w:p>
    <w:p w:rsidR="003E1B68" w:rsidRDefault="006B4C78">
      <w:pPr>
        <w:rPr>
          <w:rFonts w:eastAsiaTheme="minorHAnsi" w:cs="Times New Roman"/>
          <w:b/>
          <w:szCs w:val="20"/>
          <w:lang w:eastAsia="en-US"/>
        </w:rPr>
      </w:pPr>
      <w:r w:rsidRPr="00D714FC">
        <w:rPr>
          <w:rFonts w:cs="Times New Roman"/>
        </w:rPr>
        <w:t xml:space="preserve">It should also be noted that the regulation of charges under the </w:t>
      </w:r>
      <w:r w:rsidRPr="00280654">
        <w:rPr>
          <w:rFonts w:cs="Times New Roman"/>
          <w:i/>
        </w:rPr>
        <w:t>Water Act</w:t>
      </w:r>
      <w:r w:rsidR="00280654" w:rsidRPr="00280654">
        <w:rPr>
          <w:rFonts w:cs="Times New Roman"/>
          <w:i/>
        </w:rPr>
        <w:t xml:space="preserve"> 2007</w:t>
      </w:r>
      <w:r w:rsidR="00280654">
        <w:rPr>
          <w:rFonts w:cs="Times New Roman"/>
        </w:rPr>
        <w:t xml:space="preserve"> (the Act)</w:t>
      </w:r>
      <w:r w:rsidRPr="00D714FC">
        <w:rPr>
          <w:rFonts w:cs="Times New Roman"/>
        </w:rPr>
        <w:t xml:space="preserve"> does not extend to charges in respect of urban water supply activities beyond the point at which water has been removed from a Basin water resource (shown as black lines in </w:t>
      </w:r>
      <w:r w:rsidR="00284C22">
        <w:rPr>
          <w:rFonts w:cs="Times New Roman"/>
        </w:rPr>
        <w:t>F</w:t>
      </w:r>
      <w:r w:rsidRPr="00D714FC">
        <w:rPr>
          <w:rFonts w:cs="Times New Roman"/>
        </w:rPr>
        <w:t xml:space="preserve">igure </w:t>
      </w:r>
      <w:r w:rsidR="00D3791E" w:rsidRPr="00D714FC">
        <w:rPr>
          <w:rFonts w:cs="Times New Roman"/>
        </w:rPr>
        <w:t>2.3</w:t>
      </w:r>
      <w:r w:rsidRPr="00D714FC">
        <w:rPr>
          <w:rFonts w:cs="Times New Roman"/>
        </w:rPr>
        <w:t>).</w:t>
      </w:r>
      <w:r w:rsidRPr="00D714FC">
        <w:rPr>
          <w:rStyle w:val="FootnoteReference"/>
          <w:rFonts w:cs="Times New Roman"/>
        </w:rPr>
        <w:footnoteReference w:id="26"/>
      </w:r>
    </w:p>
    <w:p w:rsidR="006B4C78" w:rsidRDefault="006B4C78" w:rsidP="000C034E">
      <w:pPr>
        <w:pStyle w:val="Tabletitle"/>
        <w:rPr>
          <w:rFonts w:cs="Times New Roman"/>
          <w:noProof/>
        </w:rPr>
      </w:pPr>
      <w:r w:rsidRPr="00D714FC">
        <w:rPr>
          <w:rFonts w:cs="Times New Roman"/>
        </w:rPr>
        <w:t>Figure 2.3</w:t>
      </w:r>
      <w:r w:rsidRPr="00D714FC">
        <w:rPr>
          <w:rFonts w:cs="Times New Roman"/>
        </w:rPr>
        <w:tab/>
        <w:t>Overview of regulated water charge arrangements</w:t>
      </w:r>
      <w:r w:rsidRPr="00D714FC">
        <w:rPr>
          <w:rFonts w:cs="Times New Roman"/>
          <w:noProof/>
        </w:rPr>
        <w:t xml:space="preserve"> </w:t>
      </w:r>
    </w:p>
    <w:p w:rsidR="002742D6" w:rsidRPr="00D714FC" w:rsidRDefault="002742D6" w:rsidP="000C034E">
      <w:pPr>
        <w:pStyle w:val="Tabletitle"/>
        <w:rPr>
          <w:rFonts w:cs="Times New Roman"/>
          <w:noProof/>
        </w:rPr>
      </w:pPr>
      <w:r>
        <w:rPr>
          <w:rFonts w:cs="Times New Roman"/>
          <w:noProof/>
          <w:lang w:eastAsia="en-AU"/>
        </w:rPr>
        <w:drawing>
          <wp:anchor distT="0" distB="0" distL="114300" distR="114300" simplePos="0" relativeHeight="251661312" behindDoc="0" locked="0" layoutInCell="1" allowOverlap="1" wp14:anchorId="13E74924" wp14:editId="2AEDACEA">
            <wp:simplePos x="0" y="0"/>
            <wp:positionH relativeFrom="column">
              <wp:posOffset>0</wp:posOffset>
            </wp:positionH>
            <wp:positionV relativeFrom="paragraph">
              <wp:posOffset>32672</wp:posOffset>
            </wp:positionV>
            <wp:extent cx="5637244" cy="4306529"/>
            <wp:effectExtent l="0" t="0" r="0" b="0"/>
            <wp:wrapNone/>
            <wp:docPr id="5" name="Picture 5" descr="This figure shows how regulated water charges flow through to customers. Infrastructure operators providing on-river services levy charges on infrastructure operators providing off-river infrastructure services and also directly on some customers (for example, private diverters). Infrastructure operators providing off-river services may levy charges on their customers (including urban customers and irrigation network customers)." title="Overview of regualted water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4392" cy="431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C78" w:rsidRPr="00D714FC" w:rsidRDefault="006B4C78" w:rsidP="006B4C78">
      <w:pPr>
        <w:rPr>
          <w:rFonts w:eastAsia="Arial" w:cs="Times New Roman"/>
          <w:b/>
          <w:bCs/>
          <w:color w:val="365F91" w:themeColor="accent1" w:themeShade="BF"/>
          <w:sz w:val="28"/>
          <w:szCs w:val="28"/>
        </w:rPr>
      </w:pPr>
      <w:bookmarkStart w:id="155" w:name="_Toc432780116"/>
      <w:r w:rsidRPr="00D714FC">
        <w:rPr>
          <w:rFonts w:cs="Times New Roman"/>
        </w:rPr>
        <w:br w:type="page"/>
      </w:r>
    </w:p>
    <w:p w:rsidR="006B4C78" w:rsidRPr="00D714FC" w:rsidRDefault="006B4C78" w:rsidP="006B4C78">
      <w:pPr>
        <w:pStyle w:val="Heading1"/>
        <w:rPr>
          <w:rFonts w:ascii="Times New Roman" w:hAnsi="Times New Roman" w:cs="Times New Roman"/>
        </w:rPr>
        <w:sectPr w:rsidR="006B4C78" w:rsidRPr="00D714FC" w:rsidSect="009845D5">
          <w:footerReference w:type="default" r:id="rId19"/>
          <w:pgSz w:w="11907" w:h="16839" w:code="9"/>
          <w:pgMar w:top="1440" w:right="1440" w:bottom="1440" w:left="1440" w:header="708" w:footer="708" w:gutter="0"/>
          <w:pgNumType w:start="1"/>
          <w:cols w:space="708"/>
          <w:docGrid w:linePitch="360"/>
        </w:sectPr>
      </w:pPr>
    </w:p>
    <w:p w:rsidR="006B4C78" w:rsidRPr="00D714FC" w:rsidRDefault="006B4C78" w:rsidP="006B4C78">
      <w:pPr>
        <w:pStyle w:val="Heading1"/>
        <w:rPr>
          <w:rFonts w:ascii="Times New Roman" w:hAnsi="Times New Roman" w:cs="Times New Roman"/>
        </w:rPr>
      </w:pPr>
      <w:bookmarkStart w:id="156" w:name="_Toc436122280"/>
      <w:bookmarkStart w:id="157" w:name="_Toc436122775"/>
      <w:bookmarkStart w:id="158" w:name="_Toc436124130"/>
      <w:bookmarkStart w:id="159" w:name="_Toc456785783"/>
      <w:bookmarkStart w:id="160" w:name="_Toc461630694"/>
      <w:r w:rsidRPr="00D714FC">
        <w:rPr>
          <w:rFonts w:ascii="Times New Roman" w:hAnsi="Times New Roman" w:cs="Times New Roman"/>
        </w:rPr>
        <w:t>Legislative framework</w:t>
      </w:r>
      <w:bookmarkEnd w:id="155"/>
      <w:bookmarkEnd w:id="156"/>
      <w:bookmarkEnd w:id="157"/>
      <w:bookmarkEnd w:id="158"/>
      <w:bookmarkEnd w:id="159"/>
      <w:bookmarkEnd w:id="160"/>
      <w:r w:rsidRPr="00D714FC">
        <w:rPr>
          <w:rFonts w:ascii="Times New Roman" w:hAnsi="Times New Roman" w:cs="Times New Roman"/>
        </w:rPr>
        <w:tab/>
        <w:t xml:space="preserve"> </w:t>
      </w:r>
    </w:p>
    <w:p w:rsidR="006B4C78" w:rsidRPr="00D714FC" w:rsidRDefault="006B4C78" w:rsidP="00616672">
      <w:pPr>
        <w:pStyle w:val="Heading2"/>
      </w:pPr>
      <w:bookmarkStart w:id="161" w:name="_Toc432780117"/>
      <w:bookmarkStart w:id="162" w:name="_Toc436122281"/>
      <w:bookmarkStart w:id="163" w:name="_Toc436122776"/>
      <w:bookmarkStart w:id="164" w:name="_Toc436124131"/>
      <w:bookmarkStart w:id="165" w:name="_Toc456785784"/>
      <w:bookmarkStart w:id="166" w:name="_Toc461630695"/>
      <w:r w:rsidRPr="00D714FC">
        <w:t>Development of the water charge rules</w:t>
      </w:r>
      <w:bookmarkEnd w:id="161"/>
      <w:bookmarkEnd w:id="162"/>
      <w:bookmarkEnd w:id="163"/>
      <w:bookmarkEnd w:id="164"/>
      <w:bookmarkEnd w:id="165"/>
      <w:bookmarkEnd w:id="166"/>
      <w:r w:rsidRPr="00D714FC">
        <w:tab/>
      </w:r>
    </w:p>
    <w:p w:rsidR="006B4C78" w:rsidRPr="00D714FC" w:rsidRDefault="006B4C78" w:rsidP="006B4C78">
      <w:pPr>
        <w:rPr>
          <w:rFonts w:cs="Times New Roman"/>
        </w:rPr>
      </w:pPr>
      <w:r w:rsidRPr="00D714FC">
        <w:rPr>
          <w:rFonts w:cs="Times New Roman"/>
        </w:rPr>
        <w:t xml:space="preserve">The </w:t>
      </w:r>
      <w:r w:rsidRPr="00D714FC">
        <w:rPr>
          <w:rFonts w:cs="Times New Roman"/>
          <w:i/>
        </w:rPr>
        <w:t>Water Act 2007</w:t>
      </w:r>
      <w:r w:rsidRPr="00D714FC">
        <w:rPr>
          <w:rFonts w:cs="Times New Roman"/>
        </w:rPr>
        <w:t xml:space="preserve"> </w:t>
      </w:r>
      <w:r w:rsidR="00F95C66" w:rsidRPr="00D714FC">
        <w:rPr>
          <w:rFonts w:cs="Times New Roman"/>
        </w:rPr>
        <w:t xml:space="preserve">(the Act) </w:t>
      </w:r>
      <w:r w:rsidRPr="00D714FC">
        <w:rPr>
          <w:rFonts w:cs="Times New Roman"/>
        </w:rPr>
        <w:t xml:space="preserve">has an objective of enabling the Commonwealth, in conjunction with the Basin States, to manage Murray-Darling Basin </w:t>
      </w:r>
      <w:r w:rsidR="00EB716D">
        <w:rPr>
          <w:rFonts w:cs="Times New Roman"/>
        </w:rPr>
        <w:t xml:space="preserve">(MDB) </w:t>
      </w:r>
      <w:r w:rsidRPr="00D714FC">
        <w:rPr>
          <w:rFonts w:cs="Times New Roman"/>
        </w:rPr>
        <w:t xml:space="preserve">water resources in the national interest. This includes by promoting the use and management of the Basin water resources in a way that optimises economic, social and environmental outcomes. </w:t>
      </w:r>
    </w:p>
    <w:p w:rsidR="006B4C78" w:rsidRPr="00D714FC" w:rsidRDefault="006B4C78" w:rsidP="006B4C78">
      <w:pPr>
        <w:rPr>
          <w:rFonts w:cs="Times New Roman"/>
        </w:rPr>
      </w:pPr>
      <w:r w:rsidRPr="00D714FC">
        <w:rPr>
          <w:rFonts w:cs="Times New Roman"/>
        </w:rPr>
        <w:t xml:space="preserve">Section 92 of the Act allows the </w:t>
      </w:r>
      <w:r w:rsidR="00F95C66" w:rsidRPr="00D714FC">
        <w:rPr>
          <w:rFonts w:cs="Times New Roman"/>
        </w:rPr>
        <w:t xml:space="preserve">relevant </w:t>
      </w:r>
      <w:r w:rsidRPr="00D714FC">
        <w:rPr>
          <w:rFonts w:cs="Times New Roman"/>
        </w:rPr>
        <w:t>Minister to make water charge rules that:</w:t>
      </w:r>
    </w:p>
    <w:p w:rsidR="006B4C78" w:rsidRPr="00D714FC" w:rsidRDefault="006B4C78" w:rsidP="00A82DE6">
      <w:pPr>
        <w:pStyle w:val="Lvl1Bulletpoint"/>
      </w:pPr>
      <w:r w:rsidRPr="00D714FC">
        <w:t>relate to ‘regulated water charges’ as defined in section 91 of the Act</w:t>
      </w:r>
    </w:p>
    <w:p w:rsidR="006B4C78" w:rsidRPr="00D714FC" w:rsidRDefault="006B4C78" w:rsidP="00A82DE6">
      <w:pPr>
        <w:pStyle w:val="Lvl1Bulletpoint"/>
      </w:pPr>
      <w:r w:rsidRPr="00D714FC">
        <w:t xml:space="preserve">deal with particular matters as set out in </w:t>
      </w:r>
      <w:r w:rsidR="009B5565">
        <w:t>sub</w:t>
      </w:r>
      <w:r w:rsidRPr="00D714FC">
        <w:t>section 92(3) of the Act</w:t>
      </w:r>
    </w:p>
    <w:p w:rsidR="006B4C78" w:rsidRPr="00D714FC" w:rsidRDefault="006B4C78" w:rsidP="00A82DE6">
      <w:pPr>
        <w:pStyle w:val="Lvl1Bulletpoint"/>
      </w:pPr>
      <w:r w:rsidRPr="00D714FC">
        <w:t xml:space="preserve">contribute to achieving the Basin </w:t>
      </w:r>
      <w:r w:rsidR="003218CC">
        <w:t>W</w:t>
      </w:r>
      <w:r w:rsidRPr="00D714FC">
        <w:t xml:space="preserve">ater </w:t>
      </w:r>
      <w:r w:rsidR="003218CC">
        <w:t>C</w:t>
      </w:r>
      <w:r w:rsidRPr="00D714FC">
        <w:t xml:space="preserve">harging </w:t>
      </w:r>
      <w:r w:rsidR="003218CC">
        <w:t>O</w:t>
      </w:r>
      <w:r w:rsidRPr="00D714FC">
        <w:t xml:space="preserve">bjectives and </w:t>
      </w:r>
      <w:r w:rsidR="003218CC">
        <w:t>P</w:t>
      </w:r>
      <w:r w:rsidRPr="00D714FC">
        <w:t>rinciples</w:t>
      </w:r>
      <w:r w:rsidR="003218CC">
        <w:t xml:space="preserve"> (BWCOP)</w:t>
      </w:r>
      <w:r w:rsidRPr="00D714FC">
        <w:t xml:space="preserve">, as set out in </w:t>
      </w:r>
      <w:r w:rsidR="008A0693">
        <w:t>S</w:t>
      </w:r>
      <w:r w:rsidRPr="00D714FC">
        <w:t>chedule 2 of the Act</w:t>
      </w:r>
      <w:r w:rsidR="00795DF4" w:rsidRPr="00D714FC">
        <w:t xml:space="preserve"> (see section </w:t>
      </w:r>
      <w:r w:rsidR="007F659D">
        <w:t>4.2</w:t>
      </w:r>
      <w:r w:rsidR="00683C73">
        <w:t xml:space="preserve"> </w:t>
      </w:r>
      <w:r w:rsidR="00795DF4" w:rsidRPr="00D714FC">
        <w:t>and appendix B)</w:t>
      </w:r>
      <w:r w:rsidR="008A0693">
        <w:t>.</w:t>
      </w:r>
    </w:p>
    <w:p w:rsidR="006B4C78" w:rsidRPr="00D714FC" w:rsidRDefault="006B4C78" w:rsidP="006B4C78">
      <w:pPr>
        <w:rPr>
          <w:rFonts w:cs="Times New Roman"/>
        </w:rPr>
      </w:pPr>
      <w:r w:rsidRPr="00D714FC">
        <w:rPr>
          <w:rFonts w:cs="Times New Roman"/>
        </w:rPr>
        <w:t xml:space="preserve">If the Minister chooses to make, amend or repeal the water charge rules, they are required to seek the ACCC’s advice. </w:t>
      </w:r>
    </w:p>
    <w:p w:rsidR="006B4C78" w:rsidRPr="00D714FC" w:rsidRDefault="006B4C78" w:rsidP="006B4C78">
      <w:pPr>
        <w:rPr>
          <w:rFonts w:cs="Times New Roman"/>
        </w:rPr>
      </w:pPr>
      <w:r w:rsidRPr="00D714FC">
        <w:rPr>
          <w:rFonts w:cs="Times New Roman"/>
        </w:rPr>
        <w:t>The Minister first sought ACCC advice on making water charge rules in December 2007. The ACCC’s earlier advice on the water charge rules is available on the ACCC website.</w:t>
      </w:r>
      <w:r w:rsidRPr="00D714FC">
        <w:rPr>
          <w:rStyle w:val="FootnoteReference"/>
          <w:rFonts w:cs="Times New Roman"/>
        </w:rPr>
        <w:footnoteReference w:id="27"/>
      </w:r>
      <w:r w:rsidRPr="00D714FC">
        <w:rPr>
          <w:rFonts w:cs="Times New Roman"/>
        </w:rPr>
        <w:t xml:space="preserve"> </w:t>
      </w:r>
    </w:p>
    <w:p w:rsidR="006B4C78" w:rsidRPr="00D714FC" w:rsidRDefault="006B4C78" w:rsidP="006B4C78">
      <w:pPr>
        <w:rPr>
          <w:rFonts w:cs="Times New Roman"/>
        </w:rPr>
      </w:pPr>
      <w:r w:rsidRPr="00D714FC">
        <w:rPr>
          <w:rFonts w:cs="Times New Roman"/>
        </w:rPr>
        <w:t xml:space="preserve">To date, three sets of water charge rules have been made: </w:t>
      </w:r>
    </w:p>
    <w:p w:rsidR="006B4C78" w:rsidRPr="00167477" w:rsidRDefault="006B4C78" w:rsidP="00A82DE6">
      <w:pPr>
        <w:pStyle w:val="Lvl1Bulletpoint"/>
      </w:pPr>
      <w:r w:rsidRPr="00167477">
        <w:t>Water Charge (Infrastructure) Rules 2010 (WCIR)</w:t>
      </w:r>
    </w:p>
    <w:p w:rsidR="006B4C78" w:rsidRPr="00167477" w:rsidRDefault="006B4C78" w:rsidP="00A82DE6">
      <w:pPr>
        <w:pStyle w:val="Lvl1Bulletpoint"/>
      </w:pPr>
      <w:r w:rsidRPr="00167477">
        <w:t>Water Charge (Termination Fees) Rules 2009 (WCTFR)</w:t>
      </w:r>
    </w:p>
    <w:p w:rsidR="006B4C78" w:rsidRPr="00167477" w:rsidRDefault="006B4C78" w:rsidP="00A82DE6">
      <w:pPr>
        <w:pStyle w:val="Lvl1Bulletpoint"/>
      </w:pPr>
      <w:r w:rsidRPr="00167477">
        <w:t xml:space="preserve">Water Charge (Planning and Management Information) Rules 2010 (WCPMIR) </w:t>
      </w:r>
    </w:p>
    <w:p w:rsidR="006B4C78" w:rsidRPr="00D714FC" w:rsidRDefault="006B4C78" w:rsidP="006B4C78">
      <w:pPr>
        <w:rPr>
          <w:rFonts w:cs="Times New Roman"/>
        </w:rPr>
      </w:pPr>
      <w:r w:rsidRPr="00D714FC">
        <w:rPr>
          <w:rFonts w:cs="Times New Roman"/>
        </w:rPr>
        <w:t xml:space="preserve">The ACCC has also provided advice on, and the Minister has made, the </w:t>
      </w:r>
      <w:r w:rsidRPr="00167477">
        <w:rPr>
          <w:rFonts w:cs="Times New Roman"/>
        </w:rPr>
        <w:t>Water Market Rules 2009</w:t>
      </w:r>
      <w:r w:rsidRPr="00D714FC">
        <w:rPr>
          <w:rFonts w:cs="Times New Roman"/>
        </w:rPr>
        <w:t xml:space="preserve"> (WMR) relating to the transformation of an irrigator’s irrigation right into a statutory water access entitlement</w:t>
      </w:r>
      <w:r w:rsidR="00795FD5">
        <w:rPr>
          <w:rFonts w:cs="Times New Roman"/>
        </w:rPr>
        <w:t xml:space="preserve"> (</w:t>
      </w:r>
      <w:r w:rsidR="00832A68">
        <w:rPr>
          <w:rFonts w:cs="Times New Roman"/>
        </w:rPr>
        <w:t>WAE</w:t>
      </w:r>
      <w:r w:rsidR="00795FD5">
        <w:rPr>
          <w:rFonts w:cs="Times New Roman"/>
        </w:rPr>
        <w:t>)</w:t>
      </w:r>
      <w:r w:rsidRPr="00D714FC">
        <w:rPr>
          <w:rFonts w:cs="Times New Roman"/>
        </w:rPr>
        <w:t xml:space="preserve">. </w:t>
      </w:r>
    </w:p>
    <w:p w:rsidR="006B4C78" w:rsidRPr="00D714FC" w:rsidRDefault="006B1DA2" w:rsidP="006B4C78">
      <w:pPr>
        <w:rPr>
          <w:rFonts w:cs="Times New Roman"/>
        </w:rPr>
      </w:pPr>
      <w:r>
        <w:rPr>
          <w:rFonts w:cs="Times New Roman"/>
        </w:rPr>
        <w:t>The Basin Plan w</w:t>
      </w:r>
      <w:r w:rsidR="006B4C78" w:rsidRPr="00D714FC">
        <w:rPr>
          <w:rFonts w:cs="Times New Roman"/>
        </w:rPr>
        <w:t>ater trading rules have also been made as part of the Murray-Darling Basin Plan 2012 following ACCC advice to the Murray-Darling Basin Authority (MDBA).</w:t>
      </w:r>
      <w:r w:rsidR="006B4C78" w:rsidRPr="00D714FC">
        <w:rPr>
          <w:rStyle w:val="FootnoteReference"/>
          <w:rFonts w:cs="Times New Roman"/>
        </w:rPr>
        <w:footnoteReference w:id="28"/>
      </w:r>
      <w:r w:rsidR="00C6733C">
        <w:rPr>
          <w:rFonts w:cs="Times New Roman"/>
        </w:rPr>
        <w:t xml:space="preserve"> </w:t>
      </w:r>
    </w:p>
    <w:p w:rsidR="006B4C78" w:rsidRPr="00D714FC" w:rsidRDefault="006B4C78" w:rsidP="006B4C78">
      <w:pPr>
        <w:rPr>
          <w:rFonts w:cs="Times New Roman"/>
        </w:rPr>
      </w:pPr>
      <w:r w:rsidRPr="00D714FC">
        <w:rPr>
          <w:rFonts w:cs="Times New Roman"/>
        </w:rPr>
        <w:t xml:space="preserve">Under the Act, the ACCC is the ‘appropriate enforcement agency’ for the water charge rules and the </w:t>
      </w:r>
      <w:r w:rsidR="008E7452">
        <w:rPr>
          <w:rFonts w:cs="Times New Roman"/>
        </w:rPr>
        <w:t>WMR</w:t>
      </w:r>
      <w:r w:rsidRPr="00D714FC">
        <w:rPr>
          <w:rFonts w:cs="Times New Roman"/>
        </w:rPr>
        <w:t>.</w:t>
      </w:r>
      <w:r w:rsidRPr="00D714FC">
        <w:rPr>
          <w:rStyle w:val="FootnoteReference"/>
          <w:rFonts w:cs="Times New Roman"/>
        </w:rPr>
        <w:footnoteReference w:id="29"/>
      </w:r>
      <w:r w:rsidRPr="00D714FC">
        <w:rPr>
          <w:rFonts w:cs="Times New Roman"/>
        </w:rPr>
        <w:t xml:space="preserve"> The ACCC has produced a range of guidance material for infrastructure operators, irrigators and governments on the water charge rules (this is further considered in section </w:t>
      </w:r>
      <w:r w:rsidR="00861949">
        <w:rPr>
          <w:rFonts w:cs="Times New Roman"/>
        </w:rPr>
        <w:t>4.4</w:t>
      </w:r>
      <w:r w:rsidRPr="00D714FC">
        <w:rPr>
          <w:rFonts w:cs="Times New Roman"/>
        </w:rPr>
        <w:t>).</w:t>
      </w:r>
      <w:r w:rsidRPr="00D714FC">
        <w:rPr>
          <w:rStyle w:val="FootnoteReference"/>
          <w:rFonts w:cs="Times New Roman"/>
        </w:rPr>
        <w:footnoteReference w:id="30"/>
      </w:r>
    </w:p>
    <w:p w:rsidR="006B4C78" w:rsidRPr="00D714FC" w:rsidRDefault="006B4C78" w:rsidP="00616672">
      <w:pPr>
        <w:pStyle w:val="Heading2"/>
      </w:pPr>
      <w:bookmarkStart w:id="167" w:name="_Toc432780118"/>
      <w:bookmarkStart w:id="168" w:name="_Ref432793390"/>
      <w:bookmarkStart w:id="169" w:name="_Toc436122282"/>
      <w:bookmarkStart w:id="170" w:name="_Toc436122777"/>
      <w:bookmarkStart w:id="171" w:name="_Toc436124132"/>
      <w:bookmarkStart w:id="172" w:name="_Toc456785785"/>
      <w:bookmarkStart w:id="173" w:name="_Toc461630696"/>
      <w:r w:rsidRPr="00D714FC">
        <w:t>Water Act Review recommendations</w:t>
      </w:r>
      <w:bookmarkEnd w:id="167"/>
      <w:r w:rsidRPr="00D714FC">
        <w:t xml:space="preserve"> and conclusions</w:t>
      </w:r>
      <w:bookmarkEnd w:id="168"/>
      <w:bookmarkEnd w:id="169"/>
      <w:bookmarkEnd w:id="170"/>
      <w:bookmarkEnd w:id="171"/>
      <w:bookmarkEnd w:id="172"/>
      <w:bookmarkEnd w:id="173"/>
      <w:r w:rsidRPr="00D714FC">
        <w:tab/>
      </w:r>
    </w:p>
    <w:p w:rsidR="006B4C78" w:rsidRPr="00D714FC" w:rsidRDefault="006B4C78" w:rsidP="006B4C78">
      <w:pPr>
        <w:rPr>
          <w:rFonts w:eastAsia="Arial" w:cs="Times New Roman"/>
        </w:rPr>
      </w:pPr>
      <w:r w:rsidRPr="00D714FC">
        <w:rPr>
          <w:rFonts w:eastAsia="Arial" w:cs="Times New Roman"/>
        </w:rPr>
        <w:t xml:space="preserve">In May 2014 the </w:t>
      </w:r>
      <w:r w:rsidR="00E059CB">
        <w:rPr>
          <w:rFonts w:eastAsia="Arial" w:cs="Times New Roman"/>
        </w:rPr>
        <w:t>Australian</w:t>
      </w:r>
      <w:r w:rsidR="00E059CB" w:rsidRPr="00D714FC">
        <w:rPr>
          <w:rFonts w:eastAsia="Arial" w:cs="Times New Roman"/>
        </w:rPr>
        <w:t xml:space="preserve"> </w:t>
      </w:r>
      <w:r w:rsidRPr="00D714FC">
        <w:rPr>
          <w:rFonts w:eastAsia="Arial" w:cs="Times New Roman"/>
        </w:rPr>
        <w:t xml:space="preserve">Government announced that the </w:t>
      </w:r>
      <w:r w:rsidR="00280654" w:rsidRPr="00280654">
        <w:rPr>
          <w:rFonts w:eastAsia="Arial" w:cs="Times New Roman"/>
          <w:i/>
        </w:rPr>
        <w:t xml:space="preserve">Water </w:t>
      </w:r>
      <w:r w:rsidRPr="00280654">
        <w:rPr>
          <w:rFonts w:eastAsia="Arial" w:cs="Times New Roman"/>
          <w:i/>
        </w:rPr>
        <w:t>Act</w:t>
      </w:r>
      <w:r w:rsidR="00280654" w:rsidRPr="00280654">
        <w:rPr>
          <w:rFonts w:eastAsia="Arial" w:cs="Times New Roman"/>
          <w:i/>
        </w:rPr>
        <w:t xml:space="preserve"> 2007</w:t>
      </w:r>
      <w:r w:rsidRPr="00D714FC">
        <w:rPr>
          <w:rFonts w:eastAsia="Arial" w:cs="Times New Roman"/>
        </w:rPr>
        <w:t xml:space="preserve"> </w:t>
      </w:r>
      <w:r w:rsidR="00280654">
        <w:rPr>
          <w:rFonts w:eastAsia="Arial" w:cs="Times New Roman"/>
        </w:rPr>
        <w:t xml:space="preserve">(the Act) </w:t>
      </w:r>
      <w:r w:rsidRPr="00D714FC">
        <w:rPr>
          <w:rFonts w:eastAsia="Arial" w:cs="Times New Roman"/>
        </w:rPr>
        <w:t xml:space="preserve">would be reviewed by an </w:t>
      </w:r>
      <w:r w:rsidR="007B0C59">
        <w:rPr>
          <w:rFonts w:eastAsia="Arial" w:cs="Times New Roman"/>
        </w:rPr>
        <w:t>I</w:t>
      </w:r>
      <w:r w:rsidRPr="00D714FC">
        <w:rPr>
          <w:rFonts w:eastAsia="Arial" w:cs="Times New Roman"/>
        </w:rPr>
        <w:t xml:space="preserve">ndependent </w:t>
      </w:r>
      <w:r w:rsidR="007B0C59">
        <w:rPr>
          <w:rFonts w:eastAsia="Arial" w:cs="Times New Roman"/>
        </w:rPr>
        <w:t>E</w:t>
      </w:r>
      <w:r w:rsidRPr="00D714FC">
        <w:rPr>
          <w:rFonts w:eastAsia="Arial" w:cs="Times New Roman"/>
        </w:rPr>
        <w:t xml:space="preserve">xpert </w:t>
      </w:r>
      <w:r w:rsidR="007B0C59">
        <w:rPr>
          <w:rFonts w:eastAsia="Arial" w:cs="Times New Roman"/>
        </w:rPr>
        <w:t>P</w:t>
      </w:r>
      <w:r w:rsidRPr="00D714FC">
        <w:rPr>
          <w:rFonts w:eastAsia="Arial" w:cs="Times New Roman"/>
        </w:rPr>
        <w:t xml:space="preserve">anel (the Panel). The Act Review focused on the operation of the Act and the extent to which the objects of the Act were being achieved. </w:t>
      </w:r>
    </w:p>
    <w:p w:rsidR="006B4C78" w:rsidRPr="00D714FC" w:rsidRDefault="006B4C78" w:rsidP="006B4C78">
      <w:pPr>
        <w:rPr>
          <w:rFonts w:eastAsia="Arial" w:cs="Times New Roman"/>
        </w:rPr>
      </w:pPr>
      <w:r w:rsidRPr="00D714FC">
        <w:rPr>
          <w:rFonts w:eastAsia="Arial" w:cs="Times New Roman"/>
        </w:rPr>
        <w:t xml:space="preserve">In the course of the Act Review, the Panel received submissions from stakeholders on a wide range of matters, including issues that related to the requirements and operation of the water charge rules. </w:t>
      </w:r>
    </w:p>
    <w:p w:rsidR="006B4C78" w:rsidRPr="00D714FC" w:rsidRDefault="006B4C78" w:rsidP="006B4C78">
      <w:pPr>
        <w:rPr>
          <w:rFonts w:eastAsia="Arial" w:cs="Times New Roman"/>
        </w:rPr>
      </w:pPr>
      <w:r w:rsidRPr="00D714FC">
        <w:rPr>
          <w:rFonts w:eastAsia="Arial" w:cs="Times New Roman"/>
        </w:rPr>
        <w:t xml:space="preserve">Generally, the Panel considered that those issues relating to the water charge rules were outside the scope of the Act Review’s terms of reference. Nonetheless, the Panel was concerned to ensure that appropriate consideration was given to stakeholders’ concerns. </w:t>
      </w:r>
    </w:p>
    <w:p w:rsidR="006B4C78" w:rsidRPr="00D714FC" w:rsidRDefault="006B4C78" w:rsidP="006B4C78">
      <w:pPr>
        <w:rPr>
          <w:rFonts w:eastAsia="Arial" w:cs="Times New Roman"/>
        </w:rPr>
      </w:pPr>
      <w:r w:rsidRPr="00D714FC">
        <w:rPr>
          <w:rFonts w:eastAsia="Arial" w:cs="Times New Roman"/>
        </w:rPr>
        <w:t xml:space="preserve">The </w:t>
      </w:r>
      <w:r w:rsidR="00795DF4" w:rsidRPr="00280654">
        <w:rPr>
          <w:rFonts w:eastAsia="Arial" w:cs="Times New Roman"/>
          <w:i/>
        </w:rPr>
        <w:t>Report of the Independent Review of the Water Act 2007</w:t>
      </w:r>
      <w:r w:rsidRPr="00D714FC">
        <w:rPr>
          <w:rFonts w:eastAsia="Arial" w:cs="Times New Roman"/>
        </w:rPr>
        <w:t xml:space="preserve">, tabled in Parliament in December 2014, recommended that the ACCC conduct a review of the water charge rules. The </w:t>
      </w:r>
      <w:r w:rsidR="00D77AAB">
        <w:rPr>
          <w:rFonts w:eastAsia="Arial" w:cs="Times New Roman"/>
        </w:rPr>
        <w:t>Australian</w:t>
      </w:r>
      <w:r w:rsidR="00D77AAB" w:rsidRPr="00D714FC">
        <w:rPr>
          <w:rFonts w:eastAsia="Arial" w:cs="Times New Roman"/>
        </w:rPr>
        <w:t xml:space="preserve"> </w:t>
      </w:r>
      <w:r w:rsidRPr="00D714FC">
        <w:rPr>
          <w:rFonts w:eastAsia="Arial" w:cs="Times New Roman"/>
        </w:rPr>
        <w:t xml:space="preserve">Government’s interim response to the Report accepted this recommendation and, as described in </w:t>
      </w:r>
      <w:r w:rsidR="00B9494D">
        <w:rPr>
          <w:rFonts w:eastAsia="Arial" w:cs="Times New Roman"/>
        </w:rPr>
        <w:t>c</w:t>
      </w:r>
      <w:r w:rsidRPr="00D714FC">
        <w:rPr>
          <w:rFonts w:eastAsia="Arial" w:cs="Times New Roman"/>
        </w:rPr>
        <w:t xml:space="preserve">hapter </w:t>
      </w:r>
      <w:r w:rsidR="00795DF4" w:rsidRPr="00D714FC">
        <w:rPr>
          <w:rFonts w:eastAsia="Arial" w:cs="Times New Roman"/>
        </w:rPr>
        <w:t>1</w:t>
      </w:r>
      <w:r w:rsidRPr="00D714FC">
        <w:rPr>
          <w:rFonts w:eastAsia="Arial" w:cs="Times New Roman"/>
        </w:rPr>
        <w:t xml:space="preserve">, the Minister has asked that the ACCC undertake this review and provide advice on possible amendments to the water charge rules. </w:t>
      </w:r>
    </w:p>
    <w:p w:rsidR="003258E4" w:rsidRDefault="005012D0" w:rsidP="006B4C78">
      <w:pPr>
        <w:rPr>
          <w:rFonts w:eastAsia="Arial" w:cs="Times New Roman"/>
          <w:lang w:val="en"/>
        </w:rPr>
      </w:pPr>
      <w:r w:rsidRPr="005012D0">
        <w:rPr>
          <w:rFonts w:eastAsia="Arial" w:cs="Times New Roman"/>
          <w:lang w:val="en"/>
        </w:rPr>
        <w:t xml:space="preserve">On 3 December 2015, the Australian Government tabled the </w:t>
      </w:r>
      <w:r w:rsidRPr="00280654">
        <w:rPr>
          <w:rFonts w:eastAsia="Arial" w:cs="Times New Roman"/>
          <w:i/>
          <w:lang w:val="en"/>
        </w:rPr>
        <w:t>Government’s Response to the</w:t>
      </w:r>
      <w:r w:rsidRPr="005012D0">
        <w:rPr>
          <w:rFonts w:eastAsia="Arial" w:cs="Times New Roman"/>
          <w:lang w:val="en"/>
        </w:rPr>
        <w:t> </w:t>
      </w:r>
      <w:r w:rsidRPr="005012D0">
        <w:rPr>
          <w:rFonts w:eastAsia="Arial" w:cs="Times New Roman"/>
          <w:i/>
          <w:iCs/>
          <w:lang w:val="en"/>
        </w:rPr>
        <w:t>Report of the Independent Review of the Water Act 2007</w:t>
      </w:r>
      <w:r w:rsidRPr="005012D0">
        <w:rPr>
          <w:rFonts w:eastAsia="Arial" w:cs="Times New Roman"/>
          <w:lang w:val="en"/>
        </w:rPr>
        <w:t xml:space="preserve"> and introduced </w:t>
      </w:r>
      <w:r>
        <w:rPr>
          <w:rFonts w:eastAsia="Arial" w:cs="Times New Roman"/>
          <w:lang w:val="en"/>
        </w:rPr>
        <w:t>a bill to implement the Government’s response.</w:t>
      </w:r>
      <w:r>
        <w:rPr>
          <w:rStyle w:val="FootnoteReference"/>
          <w:rFonts w:eastAsia="Arial" w:cs="Times New Roman"/>
          <w:lang w:val="en"/>
        </w:rPr>
        <w:footnoteReference w:id="31"/>
      </w:r>
      <w:r>
        <w:rPr>
          <w:rFonts w:eastAsia="Arial" w:cs="Times New Roman"/>
          <w:lang w:val="en"/>
        </w:rPr>
        <w:t xml:space="preserve"> </w:t>
      </w:r>
    </w:p>
    <w:p w:rsidR="003258E4" w:rsidRDefault="005012D0" w:rsidP="006B4C78">
      <w:pPr>
        <w:rPr>
          <w:rFonts w:eastAsia="Arial" w:cs="Times New Roman"/>
          <w:lang w:val="en"/>
        </w:rPr>
      </w:pPr>
      <w:r>
        <w:rPr>
          <w:rFonts w:eastAsia="Arial" w:cs="Times New Roman"/>
          <w:lang w:val="en"/>
        </w:rPr>
        <w:t>T</w:t>
      </w:r>
      <w:r w:rsidRPr="005012D0">
        <w:rPr>
          <w:rFonts w:eastAsia="Arial" w:cs="Times New Roman"/>
          <w:lang w:val="en"/>
        </w:rPr>
        <w:t>he </w:t>
      </w:r>
      <w:r w:rsidRPr="005012D0">
        <w:rPr>
          <w:rFonts w:eastAsia="Arial" w:cs="Times New Roman"/>
          <w:i/>
          <w:iCs/>
          <w:lang w:val="en"/>
        </w:rPr>
        <w:t xml:space="preserve">Water Amendment (Review Implementation and Other Measures) </w:t>
      </w:r>
      <w:r>
        <w:rPr>
          <w:rFonts w:eastAsia="Arial" w:cs="Times New Roman"/>
          <w:i/>
          <w:iCs/>
          <w:lang w:val="en"/>
        </w:rPr>
        <w:t>Act</w:t>
      </w:r>
      <w:r w:rsidRPr="005012D0">
        <w:rPr>
          <w:rFonts w:eastAsia="Arial" w:cs="Times New Roman"/>
          <w:i/>
          <w:iCs/>
          <w:lang w:val="en"/>
        </w:rPr>
        <w:t xml:space="preserve"> 201</w:t>
      </w:r>
      <w:r>
        <w:rPr>
          <w:rFonts w:eastAsia="Arial" w:cs="Times New Roman"/>
          <w:i/>
          <w:iCs/>
          <w:lang w:val="en"/>
        </w:rPr>
        <w:t>6</w:t>
      </w:r>
      <w:r w:rsidR="00C6733C">
        <w:rPr>
          <w:rFonts w:eastAsia="Arial" w:cs="Times New Roman"/>
          <w:lang w:val="en"/>
        </w:rPr>
        <w:t xml:space="preserve"> </w:t>
      </w:r>
      <w:r>
        <w:rPr>
          <w:rFonts w:eastAsia="Arial" w:cs="Times New Roman"/>
          <w:lang w:val="en"/>
        </w:rPr>
        <w:t>received royal assent on 4 May 2016</w:t>
      </w:r>
      <w:r w:rsidR="003258E4">
        <w:rPr>
          <w:rFonts w:eastAsia="Arial" w:cs="Times New Roman"/>
          <w:lang w:val="en"/>
        </w:rPr>
        <w:t>, and makes a number of amendments to provisions relevant to the water charge rules.</w:t>
      </w:r>
    </w:p>
    <w:p w:rsidR="00207E2A" w:rsidRDefault="003258E4" w:rsidP="003258E4">
      <w:pPr>
        <w:rPr>
          <w:rFonts w:eastAsia="Arial" w:cs="Times New Roman"/>
          <w:lang w:val="en"/>
        </w:rPr>
      </w:pPr>
      <w:r>
        <w:rPr>
          <w:rFonts w:eastAsia="Arial" w:cs="Times New Roman"/>
          <w:lang w:val="en"/>
        </w:rPr>
        <w:t>The definitions of ‘infrastructure operator’</w:t>
      </w:r>
      <w:r w:rsidR="00207E2A">
        <w:rPr>
          <w:rFonts w:eastAsia="Arial" w:cs="Times New Roman"/>
          <w:lang w:val="en"/>
        </w:rPr>
        <w:t xml:space="preserve"> and</w:t>
      </w:r>
      <w:r>
        <w:rPr>
          <w:rFonts w:eastAsia="Arial" w:cs="Times New Roman"/>
          <w:lang w:val="en"/>
        </w:rPr>
        <w:t xml:space="preserve"> ‘irrigation infrastructure operator</w:t>
      </w:r>
      <w:r w:rsidR="003F241C">
        <w:rPr>
          <w:rFonts w:eastAsia="Arial" w:cs="Times New Roman"/>
          <w:lang w:val="en"/>
        </w:rPr>
        <w:t xml:space="preserve"> (IIO)</w:t>
      </w:r>
      <w:r>
        <w:rPr>
          <w:rFonts w:eastAsia="Arial" w:cs="Times New Roman"/>
          <w:lang w:val="en"/>
        </w:rPr>
        <w:t xml:space="preserve">’ </w:t>
      </w:r>
      <w:r w:rsidR="00207E2A">
        <w:rPr>
          <w:rFonts w:eastAsia="Arial" w:cs="Times New Roman"/>
          <w:lang w:val="en"/>
        </w:rPr>
        <w:t>(in section 7 of the Act) were amended to clarify that:</w:t>
      </w:r>
    </w:p>
    <w:p w:rsidR="00207E2A" w:rsidRPr="00207E2A" w:rsidRDefault="00207E2A" w:rsidP="00A82DE6">
      <w:pPr>
        <w:pStyle w:val="Lvl1Bulletpoint"/>
        <w:rPr>
          <w:rFonts w:eastAsia="Arial"/>
          <w:lang w:val="en"/>
        </w:rPr>
      </w:pPr>
      <w:r w:rsidRPr="00207E2A">
        <w:rPr>
          <w:rFonts w:eastAsia="Arial"/>
        </w:rPr>
        <w:t xml:space="preserve">if a person owns or operates infrastructure for the purposes of storing, delivering or draining water (or for more than one of those purposes) for the purpose of providing a service to </w:t>
      </w:r>
      <w:r w:rsidRPr="00207E2A">
        <w:rPr>
          <w:rFonts w:eastAsia="Arial"/>
          <w:i/>
        </w:rPr>
        <w:t>a person who is not the owner or operator of the infrastructure</w:t>
      </w:r>
      <w:r w:rsidRPr="00207E2A">
        <w:rPr>
          <w:rFonts w:eastAsia="Arial"/>
        </w:rPr>
        <w:t>, the person is an infrastructure operator and the infrastructure is water service infrastructure</w:t>
      </w:r>
    </w:p>
    <w:p w:rsidR="00207E2A" w:rsidRPr="00207E2A" w:rsidRDefault="00207E2A" w:rsidP="00A82DE6">
      <w:pPr>
        <w:pStyle w:val="Lvl1Bulletpoint"/>
        <w:rPr>
          <w:rFonts w:eastAsia="Arial"/>
          <w:lang w:val="en"/>
        </w:rPr>
      </w:pPr>
      <w:r w:rsidRPr="00207E2A">
        <w:rPr>
          <w:rFonts w:eastAsia="Arial"/>
        </w:rPr>
        <w:t xml:space="preserve">if a person is an </w:t>
      </w:r>
      <w:r w:rsidR="001C7D1A">
        <w:rPr>
          <w:rFonts w:eastAsia="Arial"/>
        </w:rPr>
        <w:t>i</w:t>
      </w:r>
      <w:r w:rsidRPr="00207E2A">
        <w:rPr>
          <w:rFonts w:eastAsia="Arial"/>
        </w:rPr>
        <w:t xml:space="preserve">nfrastructure </w:t>
      </w:r>
      <w:r w:rsidR="001C7D1A">
        <w:rPr>
          <w:rFonts w:eastAsia="Arial"/>
        </w:rPr>
        <w:t>o</w:t>
      </w:r>
      <w:r w:rsidRPr="00207E2A">
        <w:rPr>
          <w:rFonts w:eastAsia="Arial"/>
        </w:rPr>
        <w:t xml:space="preserve">perator by virtue of being an </w:t>
      </w:r>
      <w:r w:rsidRPr="00207E2A">
        <w:rPr>
          <w:rFonts w:eastAsia="Arial"/>
          <w:i/>
        </w:rPr>
        <w:t>owner</w:t>
      </w:r>
      <w:r w:rsidRPr="00207E2A">
        <w:rPr>
          <w:rFonts w:eastAsia="Arial"/>
        </w:rPr>
        <w:t xml:space="preserve"> of water service infrastructure (according to </w:t>
      </w:r>
      <w:r w:rsidR="009B5565">
        <w:rPr>
          <w:rFonts w:eastAsia="Arial"/>
        </w:rPr>
        <w:t>sub</w:t>
      </w:r>
      <w:r w:rsidRPr="00207E2A">
        <w:rPr>
          <w:rFonts w:eastAsia="Arial"/>
        </w:rPr>
        <w:t>section 7(1)) but their infrastructure is operated by another person for the purpose of delivering water for the primary purpose of being used for irrigation, the owner will also be an IIO.</w:t>
      </w:r>
      <w:r w:rsidRPr="00207E2A">
        <w:rPr>
          <w:rFonts w:eastAsia="Arial"/>
          <w:lang w:val="en"/>
        </w:rPr>
        <w:t xml:space="preserve"> </w:t>
      </w:r>
    </w:p>
    <w:p w:rsidR="003258E4" w:rsidRDefault="00207E2A" w:rsidP="003258E4">
      <w:pPr>
        <w:rPr>
          <w:rFonts w:cs="Times New Roman"/>
        </w:rPr>
      </w:pPr>
      <w:r>
        <w:rPr>
          <w:rFonts w:eastAsia="Arial" w:cs="Times New Roman"/>
          <w:lang w:val="en"/>
        </w:rPr>
        <w:t xml:space="preserve">The definition of </w:t>
      </w:r>
      <w:r w:rsidR="003258E4">
        <w:rPr>
          <w:rFonts w:eastAsia="Arial" w:cs="Times New Roman"/>
          <w:lang w:val="en"/>
        </w:rPr>
        <w:t>‘bulk water charge’ ha</w:t>
      </w:r>
      <w:r w:rsidR="001C7D1A">
        <w:rPr>
          <w:rFonts w:eastAsia="Arial" w:cs="Times New Roman"/>
          <w:lang w:val="en"/>
        </w:rPr>
        <w:t>s</w:t>
      </w:r>
      <w:r w:rsidR="003258E4">
        <w:rPr>
          <w:rFonts w:eastAsia="Arial" w:cs="Times New Roman"/>
          <w:lang w:val="en"/>
        </w:rPr>
        <w:t xml:space="preserve"> been revised.</w:t>
      </w:r>
      <w:r>
        <w:t xml:space="preserve">to clarify that it means charges that are payable for </w:t>
      </w:r>
      <w:r w:rsidRPr="00207E2A">
        <w:rPr>
          <w:i/>
        </w:rPr>
        <w:t>either or both</w:t>
      </w:r>
      <w:r w:rsidRPr="00CA619E">
        <w:t xml:space="preserve"> the storage of water </w:t>
      </w:r>
      <w:r>
        <w:t>for, or the delivery of water to, the persons described in the definition.</w:t>
      </w:r>
    </w:p>
    <w:p w:rsidR="006B4C78" w:rsidRPr="00D714FC" w:rsidRDefault="006B4C78" w:rsidP="003258E4">
      <w:pPr>
        <w:rPr>
          <w:rFonts w:eastAsia="Arial" w:cs="Times New Roman"/>
        </w:rPr>
      </w:pPr>
      <w:r w:rsidRPr="00D714FC">
        <w:rPr>
          <w:rFonts w:eastAsia="Arial" w:cs="Times New Roman"/>
        </w:rPr>
        <w:t xml:space="preserve">The ACCC acknowledges that </w:t>
      </w:r>
      <w:r w:rsidR="003258E4">
        <w:rPr>
          <w:rFonts w:eastAsia="Arial" w:cs="Times New Roman"/>
        </w:rPr>
        <w:t>the</w:t>
      </w:r>
      <w:r w:rsidR="003258E4" w:rsidRPr="00D714FC">
        <w:rPr>
          <w:rFonts w:eastAsia="Arial" w:cs="Times New Roman"/>
        </w:rPr>
        <w:t xml:space="preserve"> </w:t>
      </w:r>
      <w:r w:rsidRPr="00D714FC">
        <w:rPr>
          <w:rFonts w:eastAsia="Arial" w:cs="Times New Roman"/>
        </w:rPr>
        <w:t xml:space="preserve">amendments to these definitions are not intended to alter the meaning of these terms, but rather reduce or eliminate the scope for confusion or uncertainty among stakeholders, which will in turn assist with the efficient operation of the water charge rules. </w:t>
      </w:r>
    </w:p>
    <w:p w:rsidR="006B4C78" w:rsidRPr="00D714FC" w:rsidRDefault="00207E2A" w:rsidP="00B2331D">
      <w:pPr>
        <w:keepNext/>
        <w:rPr>
          <w:rFonts w:eastAsia="Arial" w:cs="Times New Roman"/>
        </w:rPr>
      </w:pPr>
      <w:r>
        <w:rPr>
          <w:rFonts w:cs="Times New Roman"/>
        </w:rPr>
        <w:t>S</w:t>
      </w:r>
      <w:r w:rsidR="009B5565">
        <w:rPr>
          <w:rFonts w:cs="Times New Roman"/>
        </w:rPr>
        <w:t>ubs</w:t>
      </w:r>
      <w:r w:rsidR="006B4C78" w:rsidRPr="00D714FC">
        <w:rPr>
          <w:rFonts w:cs="Times New Roman"/>
        </w:rPr>
        <w:t xml:space="preserve">ection 92(4) of the Act </w:t>
      </w:r>
      <w:r>
        <w:rPr>
          <w:rFonts w:cs="Times New Roman"/>
        </w:rPr>
        <w:t xml:space="preserve">was also </w:t>
      </w:r>
      <w:r w:rsidR="006B4C78" w:rsidRPr="00D714FC">
        <w:rPr>
          <w:rFonts w:cs="Times New Roman"/>
        </w:rPr>
        <w:t xml:space="preserve">amended to give </w:t>
      </w:r>
      <w:r w:rsidR="00B2331D">
        <w:rPr>
          <w:rFonts w:cs="Times New Roman"/>
        </w:rPr>
        <w:t xml:space="preserve">the ACCC, in </w:t>
      </w:r>
      <w:r w:rsidR="006B4C78" w:rsidRPr="00D714FC">
        <w:rPr>
          <w:rFonts w:cs="Times New Roman"/>
        </w:rPr>
        <w:t xml:space="preserve">applying the </w:t>
      </w:r>
      <w:r w:rsidR="006B4C78" w:rsidRPr="00167477">
        <w:rPr>
          <w:rFonts w:cs="Times New Roman"/>
        </w:rPr>
        <w:t>Water Charge (Infrastructure) Rules</w:t>
      </w:r>
      <w:r w:rsidR="00A16AFC" w:rsidRPr="00167477">
        <w:rPr>
          <w:rFonts w:cs="Times New Roman"/>
        </w:rPr>
        <w:t xml:space="preserve"> 2010</w:t>
      </w:r>
      <w:r w:rsidR="000F3AEC" w:rsidRPr="00167477">
        <w:rPr>
          <w:rFonts w:cs="Times New Roman"/>
        </w:rPr>
        <w:t xml:space="preserve"> </w:t>
      </w:r>
      <w:r w:rsidR="000F3AEC">
        <w:rPr>
          <w:rFonts w:cs="Times New Roman"/>
        </w:rPr>
        <w:t>(WCIR)</w:t>
      </w:r>
      <w:r w:rsidR="00B2331D">
        <w:rPr>
          <w:rFonts w:cs="Times New Roman"/>
        </w:rPr>
        <w:t>,</w:t>
      </w:r>
      <w:r w:rsidR="006B4C78" w:rsidRPr="00D714FC">
        <w:rPr>
          <w:rFonts w:cs="Times New Roman"/>
        </w:rPr>
        <w:t xml:space="preserve"> </w:t>
      </w:r>
      <w:r w:rsidR="00D11567" w:rsidRPr="00D11567">
        <w:rPr>
          <w:rFonts w:cs="Times New Roman"/>
        </w:rPr>
        <w:t>the discretion to extend the period of a determination beyond the default period set in the rules</w:t>
      </w:r>
      <w:r w:rsidR="006B4C78" w:rsidRPr="00D714FC">
        <w:rPr>
          <w:rFonts w:cs="Times New Roman"/>
        </w:rPr>
        <w:t>.</w:t>
      </w:r>
      <w:r w:rsidR="00B2331D">
        <w:rPr>
          <w:rFonts w:cs="Times New Roman"/>
        </w:rPr>
        <w:t xml:space="preserve"> The length of the regulatory period is considered further in s</w:t>
      </w:r>
      <w:r w:rsidR="006B4C78" w:rsidRPr="00D714FC">
        <w:rPr>
          <w:rFonts w:eastAsia="Arial" w:cs="Times New Roman"/>
        </w:rPr>
        <w:t>ection 5.6.2.</w:t>
      </w:r>
    </w:p>
    <w:p w:rsidR="006B4C78" w:rsidRPr="00D714FC" w:rsidRDefault="006B4C78" w:rsidP="006B4C78">
      <w:pPr>
        <w:rPr>
          <w:rFonts w:cs="Times New Roman"/>
        </w:rPr>
      </w:pPr>
      <w:r w:rsidRPr="00D714FC">
        <w:rPr>
          <w:rFonts w:cs="Times New Roman"/>
        </w:rPr>
        <w:t xml:space="preserve">Where relevant, the </w:t>
      </w:r>
      <w:r w:rsidR="001C7D1A">
        <w:rPr>
          <w:rFonts w:cs="Times New Roman"/>
        </w:rPr>
        <w:t>Final</w:t>
      </w:r>
      <w:r w:rsidR="001C7D1A" w:rsidRPr="00D714FC">
        <w:rPr>
          <w:rFonts w:cs="Times New Roman"/>
        </w:rPr>
        <w:t xml:space="preserve"> </w:t>
      </w:r>
      <w:r w:rsidRPr="00D714FC">
        <w:rPr>
          <w:rFonts w:cs="Times New Roman"/>
        </w:rPr>
        <w:t>Advice also references other recommendations and conclusions of the Panel, consistent with item 5 in the Terms of Reference for the review of the water charge rules. These references are set out in table</w:t>
      </w:r>
      <w:r w:rsidR="00600B3A" w:rsidRPr="00D714FC">
        <w:rPr>
          <w:rFonts w:cs="Times New Roman"/>
        </w:rPr>
        <w:t xml:space="preserve"> 3.1</w:t>
      </w:r>
      <w:r w:rsidRPr="00D714FC">
        <w:rPr>
          <w:rFonts w:cs="Times New Roman"/>
        </w:rPr>
        <w:t xml:space="preserve"> below.</w:t>
      </w:r>
    </w:p>
    <w:p w:rsidR="006B4C78" w:rsidRPr="00D714FC" w:rsidRDefault="006B4C78" w:rsidP="00E560FF">
      <w:pPr>
        <w:pStyle w:val="Tabletitle"/>
      </w:pPr>
      <w:r w:rsidRPr="00D714FC">
        <w:t>Table 3.</w:t>
      </w:r>
      <w:r w:rsidR="00600B3A" w:rsidRPr="00D714FC">
        <w:t>1</w:t>
      </w:r>
      <w:r w:rsidRPr="00D714FC">
        <w:t xml:space="preserve"> – Review of the Act:</w:t>
      </w:r>
      <w:r w:rsidR="00D11567">
        <w:t xml:space="preserve"> other</w:t>
      </w:r>
      <w:r w:rsidRPr="00D714FC">
        <w:t xml:space="preserve"> recommendations and conclusions referenced in the </w:t>
      </w:r>
      <w:r w:rsidR="003258E4">
        <w:t>Final</w:t>
      </w:r>
      <w:r w:rsidR="00D11567">
        <w:t> </w:t>
      </w:r>
      <w:r w:rsidRPr="00D714FC">
        <w:t>Advice</w:t>
      </w:r>
    </w:p>
    <w:tbl>
      <w:tblPr>
        <w:tblStyle w:val="LightShading"/>
        <w:tblW w:w="0" w:type="auto"/>
        <w:tblLook w:val="04A0" w:firstRow="1" w:lastRow="0" w:firstColumn="1" w:lastColumn="0" w:noHBand="0" w:noVBand="1"/>
      </w:tblPr>
      <w:tblGrid>
        <w:gridCol w:w="2235"/>
        <w:gridCol w:w="4961"/>
        <w:gridCol w:w="2046"/>
      </w:tblGrid>
      <w:tr w:rsidR="006B4C78" w:rsidRPr="00D714FC" w:rsidTr="00775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Recommendation / Conclusion</w:t>
            </w:r>
          </w:p>
        </w:tc>
        <w:tc>
          <w:tcPr>
            <w:tcW w:w="4961" w:type="dxa"/>
          </w:tcPr>
          <w:p w:rsidR="006B4C78" w:rsidRPr="00D714FC" w:rsidRDefault="006B4C78" w:rsidP="00073B62">
            <w:pPr>
              <w:pStyle w:val="tabletext"/>
              <w:cnfStyle w:val="100000000000" w:firstRow="1" w:lastRow="0" w:firstColumn="0" w:lastColumn="0" w:oddVBand="0" w:evenVBand="0" w:oddHBand="0" w:evenHBand="0" w:firstRowFirstColumn="0" w:firstRowLastColumn="0" w:lastRowFirstColumn="0" w:lastRowLastColumn="0"/>
            </w:pPr>
            <w:r w:rsidRPr="00D714FC">
              <w:t>Subject matter</w:t>
            </w:r>
          </w:p>
        </w:tc>
        <w:tc>
          <w:tcPr>
            <w:tcW w:w="2046" w:type="dxa"/>
          </w:tcPr>
          <w:p w:rsidR="006B4C78" w:rsidRPr="00D714FC" w:rsidRDefault="006B4C78" w:rsidP="00B2331D">
            <w:pPr>
              <w:pStyle w:val="tabletext"/>
              <w:cnfStyle w:val="100000000000" w:firstRow="1" w:lastRow="0" w:firstColumn="0" w:lastColumn="0" w:oddVBand="0" w:evenVBand="0" w:oddHBand="0" w:evenHBand="0" w:firstRowFirstColumn="0" w:firstRowLastColumn="0" w:lastRowFirstColumn="0" w:lastRowLastColumn="0"/>
            </w:pPr>
            <w:r w:rsidRPr="00D714FC">
              <w:t xml:space="preserve">Relevant section of the </w:t>
            </w:r>
            <w:r w:rsidR="00B2331D">
              <w:t>Final</w:t>
            </w:r>
            <w:r w:rsidR="00B2331D" w:rsidRPr="00D714FC">
              <w:t xml:space="preserve"> </w:t>
            </w:r>
            <w:r w:rsidRPr="00D714FC">
              <w:t>Advice</w:t>
            </w:r>
          </w:p>
        </w:tc>
      </w:tr>
      <w:tr w:rsidR="006B4C78" w:rsidRPr="00D714FC" w:rsidTr="00C52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B4C78" w:rsidRPr="00D714FC" w:rsidRDefault="006B4C78" w:rsidP="00073B62">
            <w:pPr>
              <w:pStyle w:val="tabletext"/>
            </w:pPr>
            <w:r w:rsidRPr="00D714FC">
              <w:t>Recommendation 9</w:t>
            </w:r>
          </w:p>
        </w:tc>
        <w:tc>
          <w:tcPr>
            <w:tcW w:w="4961" w:type="dxa"/>
            <w:shd w:val="clear" w:color="auto" w:fill="D9D9D9" w:themeFill="background1" w:themeFillShade="D9"/>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The regulation of water market intermediaries</w:t>
            </w:r>
          </w:p>
        </w:tc>
        <w:tc>
          <w:tcPr>
            <w:tcW w:w="2046" w:type="dxa"/>
            <w:shd w:val="clear" w:color="auto" w:fill="D9D9D9" w:themeFill="background1" w:themeFillShade="D9"/>
          </w:tcPr>
          <w:p w:rsidR="006B4C78" w:rsidRPr="00D714FC" w:rsidRDefault="00BE45C1" w:rsidP="00073B62">
            <w:pPr>
              <w:pStyle w:val="tabletext"/>
              <w:cnfStyle w:val="000000100000" w:firstRow="0" w:lastRow="0" w:firstColumn="0" w:lastColumn="0" w:oddVBand="0" w:evenVBand="0" w:oddHBand="1" w:evenHBand="0" w:firstRowFirstColumn="0" w:firstRowLastColumn="0" w:lastRowFirstColumn="0" w:lastRowLastColumn="0"/>
              <w:rPr>
                <w:highlight w:val="yellow"/>
              </w:rPr>
            </w:pPr>
            <w:r>
              <w:t>8.1.1</w:t>
            </w:r>
          </w:p>
        </w:tc>
      </w:tr>
      <w:tr w:rsidR="00EE778F" w:rsidRPr="00D714FC" w:rsidTr="0077594E">
        <w:tc>
          <w:tcPr>
            <w:cnfStyle w:val="001000000000" w:firstRow="0" w:lastRow="0" w:firstColumn="1" w:lastColumn="0" w:oddVBand="0" w:evenVBand="0" w:oddHBand="0" w:evenHBand="0" w:firstRowFirstColumn="0" w:firstRowLastColumn="0" w:lastRowFirstColumn="0" w:lastRowLastColumn="0"/>
            <w:tcW w:w="2235" w:type="dxa"/>
          </w:tcPr>
          <w:p w:rsidR="00EE778F" w:rsidRPr="00D714FC" w:rsidRDefault="00EE778F" w:rsidP="00073B62">
            <w:pPr>
              <w:pStyle w:val="tabletext"/>
            </w:pPr>
            <w:r>
              <w:t>Recommendation 18</w:t>
            </w:r>
          </w:p>
        </w:tc>
        <w:tc>
          <w:tcPr>
            <w:tcW w:w="4961" w:type="dxa"/>
          </w:tcPr>
          <w:p w:rsidR="00EE778F" w:rsidRPr="00D714FC" w:rsidRDefault="00EE778F" w:rsidP="00EE778F">
            <w:pPr>
              <w:pStyle w:val="tabletext"/>
              <w:cnfStyle w:val="000000000000" w:firstRow="0" w:lastRow="0" w:firstColumn="0" w:lastColumn="0" w:oddVBand="0" w:evenVBand="0" w:oddHBand="0" w:evenHBand="0" w:firstRowFirstColumn="0" w:firstRowLastColumn="0" w:lastRowFirstColumn="0" w:lastRowLastColumn="0"/>
            </w:pPr>
            <w:r>
              <w:t xml:space="preserve">Inter-agency working group on water information reporting </w:t>
            </w:r>
          </w:p>
        </w:tc>
        <w:tc>
          <w:tcPr>
            <w:tcW w:w="2046" w:type="dxa"/>
          </w:tcPr>
          <w:p w:rsidR="00EE778F" w:rsidRDefault="0077594E" w:rsidP="00073B62">
            <w:pPr>
              <w:pStyle w:val="tabletext"/>
              <w:cnfStyle w:val="000000000000" w:firstRow="0" w:lastRow="0" w:firstColumn="0" w:lastColumn="0" w:oddVBand="0" w:evenVBand="0" w:oddHBand="0" w:evenHBand="0" w:firstRowFirstColumn="0" w:firstRowLastColumn="0" w:lastRowFirstColumn="0" w:lastRowLastColumn="0"/>
            </w:pPr>
            <w:r>
              <w:t>4.5</w:t>
            </w:r>
          </w:p>
        </w:tc>
      </w:tr>
      <w:tr w:rsidR="006B4C78" w:rsidRPr="00D714FC" w:rsidTr="00C52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B4C78" w:rsidRPr="00D714FC" w:rsidRDefault="006B4C78" w:rsidP="00073B62">
            <w:pPr>
              <w:pStyle w:val="tabletext"/>
            </w:pPr>
            <w:r w:rsidRPr="00D714FC">
              <w:t>Recommendation 19</w:t>
            </w:r>
          </w:p>
        </w:tc>
        <w:tc>
          <w:tcPr>
            <w:tcW w:w="4961" w:type="dxa"/>
            <w:shd w:val="clear" w:color="auto" w:fill="D9D9D9" w:themeFill="background1" w:themeFillShade="D9"/>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The prescription of types of enforceable undertakings</w:t>
            </w:r>
          </w:p>
        </w:tc>
        <w:tc>
          <w:tcPr>
            <w:tcW w:w="2046" w:type="dxa"/>
            <w:shd w:val="clear" w:color="auto" w:fill="D9D9D9" w:themeFill="background1" w:themeFillShade="D9"/>
          </w:tcPr>
          <w:p w:rsidR="006B4C78" w:rsidRPr="00D714FC" w:rsidRDefault="0077594E" w:rsidP="00073B62">
            <w:pPr>
              <w:pStyle w:val="tabletext"/>
              <w:cnfStyle w:val="000000100000" w:firstRow="0" w:lastRow="0" w:firstColumn="0" w:lastColumn="0" w:oddVBand="0" w:evenVBand="0" w:oddHBand="1" w:evenHBand="0" w:firstRowFirstColumn="0" w:firstRowLastColumn="0" w:lastRowFirstColumn="0" w:lastRowLastColumn="0"/>
            </w:pPr>
            <w:r>
              <w:t>4.5</w:t>
            </w:r>
          </w:p>
        </w:tc>
      </w:tr>
      <w:tr w:rsidR="006B4C78" w:rsidRPr="00D714FC" w:rsidTr="0077594E">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BE45C1" w:rsidP="00073B62">
            <w:pPr>
              <w:pStyle w:val="tabletext"/>
            </w:pPr>
            <w:r w:rsidRPr="00D714FC">
              <w:t>Conclusion 4.3</w:t>
            </w:r>
          </w:p>
        </w:tc>
        <w:tc>
          <w:tcPr>
            <w:tcW w:w="4961"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pPr>
            <w:r w:rsidRPr="00D714FC">
              <w:t>Interoperability and efficiency of Basin State water registers</w:t>
            </w:r>
          </w:p>
        </w:tc>
        <w:tc>
          <w:tcPr>
            <w:tcW w:w="2046" w:type="dxa"/>
          </w:tcPr>
          <w:p w:rsidR="006B4C78" w:rsidRPr="00D714FC" w:rsidRDefault="00BE45C1" w:rsidP="00073B62">
            <w:pPr>
              <w:pStyle w:val="tabletext"/>
              <w:cnfStyle w:val="000000000000" w:firstRow="0" w:lastRow="0" w:firstColumn="0" w:lastColumn="0" w:oddVBand="0" w:evenVBand="0" w:oddHBand="0" w:evenHBand="0" w:firstRowFirstColumn="0" w:firstRowLastColumn="0" w:lastRowFirstColumn="0" w:lastRowLastColumn="0"/>
              <w:rPr>
                <w:highlight w:val="yellow"/>
              </w:rPr>
            </w:pPr>
            <w:r>
              <w:t>8.1.1</w:t>
            </w:r>
          </w:p>
        </w:tc>
      </w:tr>
      <w:tr w:rsidR="006B4C78" w:rsidRPr="00D714FC" w:rsidTr="00C52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B4C78" w:rsidRPr="00D714FC" w:rsidRDefault="006B4C78" w:rsidP="00073B62">
            <w:pPr>
              <w:pStyle w:val="tabletext"/>
            </w:pPr>
            <w:r w:rsidRPr="00D714FC">
              <w:t>Conclusion 4.6</w:t>
            </w:r>
          </w:p>
        </w:tc>
        <w:tc>
          <w:tcPr>
            <w:tcW w:w="4961" w:type="dxa"/>
            <w:shd w:val="clear" w:color="auto" w:fill="D9D9D9" w:themeFill="background1" w:themeFillShade="D9"/>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Electronic access to water charge information</w:t>
            </w:r>
          </w:p>
        </w:tc>
        <w:tc>
          <w:tcPr>
            <w:tcW w:w="2046" w:type="dxa"/>
            <w:shd w:val="clear" w:color="auto" w:fill="D9D9D9" w:themeFill="background1" w:themeFillShade="D9"/>
          </w:tcPr>
          <w:p w:rsidR="006B4C78" w:rsidRPr="00D714FC" w:rsidRDefault="001C7D1A" w:rsidP="001C7D1A">
            <w:pPr>
              <w:pStyle w:val="tabletext"/>
              <w:cnfStyle w:val="000000100000" w:firstRow="0" w:lastRow="0" w:firstColumn="0" w:lastColumn="0" w:oddVBand="0" w:evenVBand="0" w:oddHBand="1" w:evenHBand="0" w:firstRowFirstColumn="0" w:firstRowLastColumn="0" w:lastRowFirstColumn="0" w:lastRowLastColumn="0"/>
            </w:pPr>
            <w:r>
              <w:t>5.4.2</w:t>
            </w:r>
          </w:p>
        </w:tc>
      </w:tr>
      <w:tr w:rsidR="006B4C78" w:rsidRPr="00D714FC" w:rsidTr="0077594E">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Conclusion 7.2</w:t>
            </w:r>
          </w:p>
        </w:tc>
        <w:tc>
          <w:tcPr>
            <w:tcW w:w="4961"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pPr>
            <w:r w:rsidRPr="00D714FC">
              <w:t>Water information: reporting requirements</w:t>
            </w:r>
          </w:p>
        </w:tc>
        <w:tc>
          <w:tcPr>
            <w:tcW w:w="2046" w:type="dxa"/>
          </w:tcPr>
          <w:p w:rsidR="006B4C78" w:rsidRPr="00D714FC" w:rsidRDefault="0077594E" w:rsidP="00073B62">
            <w:pPr>
              <w:pStyle w:val="tabletext"/>
              <w:cnfStyle w:val="000000000000" w:firstRow="0" w:lastRow="0" w:firstColumn="0" w:lastColumn="0" w:oddVBand="0" w:evenVBand="0" w:oddHBand="0" w:evenHBand="0" w:firstRowFirstColumn="0" w:firstRowLastColumn="0" w:lastRowFirstColumn="0" w:lastRowLastColumn="0"/>
            </w:pPr>
            <w:r>
              <w:t>4.5</w:t>
            </w:r>
          </w:p>
        </w:tc>
      </w:tr>
      <w:tr w:rsidR="006B4C78" w:rsidRPr="00D714FC" w:rsidTr="00C52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B4C78" w:rsidRPr="00D714FC" w:rsidRDefault="006B4C78" w:rsidP="008A63D0">
            <w:pPr>
              <w:pStyle w:val="tabletext"/>
            </w:pPr>
            <w:r w:rsidRPr="00D714FC">
              <w:t>Conclusio</w:t>
            </w:r>
            <w:r w:rsidR="002B6129">
              <w:t xml:space="preserve">n </w:t>
            </w:r>
            <w:r w:rsidRPr="00D714FC">
              <w:t>8.1</w:t>
            </w:r>
          </w:p>
        </w:tc>
        <w:tc>
          <w:tcPr>
            <w:tcW w:w="4961" w:type="dxa"/>
            <w:shd w:val="clear" w:color="auto" w:fill="D9D9D9" w:themeFill="background1" w:themeFillShade="D9"/>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Enforcement</w:t>
            </w:r>
          </w:p>
        </w:tc>
        <w:tc>
          <w:tcPr>
            <w:tcW w:w="2046" w:type="dxa"/>
            <w:shd w:val="clear" w:color="auto" w:fill="D9D9D9" w:themeFill="background1" w:themeFillShade="D9"/>
          </w:tcPr>
          <w:p w:rsidR="006B4C78" w:rsidRPr="00D714FC" w:rsidRDefault="0077594E" w:rsidP="00073B62">
            <w:pPr>
              <w:pStyle w:val="tabletext"/>
              <w:cnfStyle w:val="000000100000" w:firstRow="0" w:lastRow="0" w:firstColumn="0" w:lastColumn="0" w:oddVBand="0" w:evenVBand="0" w:oddHBand="1" w:evenHBand="0" w:firstRowFirstColumn="0" w:firstRowLastColumn="0" w:lastRowFirstColumn="0" w:lastRowLastColumn="0"/>
            </w:pPr>
            <w:r>
              <w:t>4.5</w:t>
            </w:r>
          </w:p>
        </w:tc>
      </w:tr>
      <w:tr w:rsidR="006B4C78" w:rsidRPr="00D714FC" w:rsidTr="0077594E">
        <w:tc>
          <w:tcPr>
            <w:cnfStyle w:val="001000000000" w:firstRow="0" w:lastRow="0" w:firstColumn="1" w:lastColumn="0" w:oddVBand="0" w:evenVBand="0" w:oddHBand="0" w:evenHBand="0" w:firstRowFirstColumn="0" w:firstRowLastColumn="0" w:lastRowFirstColumn="0" w:lastRowLastColumn="0"/>
            <w:tcW w:w="2235" w:type="dxa"/>
          </w:tcPr>
          <w:p w:rsidR="006B4C78" w:rsidRPr="00D714FC" w:rsidRDefault="006B4C78" w:rsidP="00073B62">
            <w:pPr>
              <w:pStyle w:val="tabletext"/>
            </w:pPr>
            <w:r w:rsidRPr="00D714FC">
              <w:t>Conclusion 9.1</w:t>
            </w:r>
          </w:p>
        </w:tc>
        <w:tc>
          <w:tcPr>
            <w:tcW w:w="4961" w:type="dxa"/>
          </w:tcPr>
          <w:p w:rsidR="006B4C78" w:rsidRPr="00D714FC" w:rsidRDefault="006B4C78" w:rsidP="00073B62">
            <w:pPr>
              <w:pStyle w:val="tabletext"/>
              <w:cnfStyle w:val="000000000000" w:firstRow="0" w:lastRow="0" w:firstColumn="0" w:lastColumn="0" w:oddVBand="0" w:evenVBand="0" w:oddHBand="0" w:evenHBand="0" w:firstRowFirstColumn="0" w:firstRowLastColumn="0" w:lastRowFirstColumn="0" w:lastRowLastColumn="0"/>
            </w:pPr>
            <w:r w:rsidRPr="00D714FC">
              <w:t>Murray-Darling Basin Authority: Transparency of Basin Plan and River Murray Operations</w:t>
            </w:r>
            <w:r w:rsidR="005C7AC5">
              <w:t>’</w:t>
            </w:r>
            <w:r w:rsidRPr="00D714FC">
              <w:t xml:space="preserve"> functions</w:t>
            </w:r>
          </w:p>
        </w:tc>
        <w:tc>
          <w:tcPr>
            <w:tcW w:w="2046" w:type="dxa"/>
          </w:tcPr>
          <w:p w:rsidR="006B4C78" w:rsidRPr="00D714FC" w:rsidRDefault="001C7D1A" w:rsidP="00073B62">
            <w:pPr>
              <w:pStyle w:val="tabletext"/>
              <w:cnfStyle w:val="000000000000" w:firstRow="0" w:lastRow="0" w:firstColumn="0" w:lastColumn="0" w:oddVBand="0" w:evenVBand="0" w:oddHBand="0" w:evenHBand="0" w:firstRowFirstColumn="0" w:firstRowLastColumn="0" w:lastRowFirstColumn="0" w:lastRowLastColumn="0"/>
            </w:pPr>
            <w:r>
              <w:t>5.12</w:t>
            </w:r>
          </w:p>
        </w:tc>
      </w:tr>
      <w:tr w:rsidR="006B4C78" w:rsidRPr="00D714FC" w:rsidTr="00C52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tcPr>
          <w:p w:rsidR="006B4C78" w:rsidRPr="00D714FC" w:rsidRDefault="006B4C78" w:rsidP="00073B62">
            <w:pPr>
              <w:pStyle w:val="tabletext"/>
            </w:pPr>
            <w:r w:rsidRPr="00D714FC">
              <w:t>Conclusion 9.3</w:t>
            </w:r>
          </w:p>
        </w:tc>
        <w:tc>
          <w:tcPr>
            <w:tcW w:w="4961" w:type="dxa"/>
            <w:shd w:val="clear" w:color="auto" w:fill="D9D9D9" w:themeFill="background1" w:themeFillShade="D9"/>
          </w:tcPr>
          <w:p w:rsidR="006B4C78" w:rsidRPr="00D714FC" w:rsidRDefault="006B4C78" w:rsidP="00073B62">
            <w:pPr>
              <w:pStyle w:val="tabletext"/>
              <w:cnfStyle w:val="000000100000" w:firstRow="0" w:lastRow="0" w:firstColumn="0" w:lastColumn="0" w:oddVBand="0" w:evenVBand="0" w:oddHBand="1" w:evenHBand="0" w:firstRowFirstColumn="0" w:firstRowLastColumn="0" w:lastRowFirstColumn="0" w:lastRowLastColumn="0"/>
            </w:pPr>
            <w:r w:rsidRPr="00D714FC">
              <w:t>Murray-Darling Basin Authority: River Murray Operations</w:t>
            </w:r>
            <w:r w:rsidR="005C7AC5">
              <w:t>’</w:t>
            </w:r>
            <w:r w:rsidRPr="00D714FC">
              <w:t xml:space="preserve"> budget and costs</w:t>
            </w:r>
          </w:p>
        </w:tc>
        <w:tc>
          <w:tcPr>
            <w:tcW w:w="2046" w:type="dxa"/>
            <w:shd w:val="clear" w:color="auto" w:fill="D9D9D9" w:themeFill="background1" w:themeFillShade="D9"/>
          </w:tcPr>
          <w:p w:rsidR="006B4C78" w:rsidRPr="00D714FC" w:rsidRDefault="001C7D1A" w:rsidP="00073B62">
            <w:pPr>
              <w:pStyle w:val="tabletext"/>
              <w:cnfStyle w:val="000000100000" w:firstRow="0" w:lastRow="0" w:firstColumn="0" w:lastColumn="0" w:oddVBand="0" w:evenVBand="0" w:oddHBand="1" w:evenHBand="0" w:firstRowFirstColumn="0" w:firstRowLastColumn="0" w:lastRowFirstColumn="0" w:lastRowLastColumn="0"/>
            </w:pPr>
            <w:r>
              <w:t>5.12</w:t>
            </w:r>
          </w:p>
        </w:tc>
      </w:tr>
    </w:tbl>
    <w:p w:rsidR="00E573B7" w:rsidRDefault="00E573B7" w:rsidP="00E573B7"/>
    <w:p w:rsidR="00E573B7" w:rsidRDefault="00E573B7" w:rsidP="00E573B7">
      <w:pPr>
        <w:rPr>
          <w:rFonts w:eastAsia="Arial"/>
          <w:color w:val="365F91" w:themeColor="accent1" w:themeShade="BF"/>
          <w:sz w:val="28"/>
          <w:szCs w:val="28"/>
        </w:rPr>
      </w:pPr>
      <w:r>
        <w:br w:type="page"/>
      </w:r>
    </w:p>
    <w:p w:rsidR="00E161B2" w:rsidRPr="00D714FC" w:rsidRDefault="00F970BC" w:rsidP="00075838">
      <w:pPr>
        <w:pStyle w:val="Heading1"/>
        <w:rPr>
          <w:rFonts w:ascii="Times New Roman" w:hAnsi="Times New Roman" w:cs="Times New Roman"/>
        </w:rPr>
      </w:pPr>
      <w:bookmarkStart w:id="174" w:name="_Toc436122283"/>
      <w:bookmarkStart w:id="175" w:name="_Toc436122778"/>
      <w:bookmarkStart w:id="176" w:name="_Toc436124133"/>
      <w:bookmarkStart w:id="177" w:name="_Toc456785786"/>
      <w:bookmarkStart w:id="178" w:name="_Toc461630697"/>
      <w:r w:rsidRPr="00D714FC">
        <w:rPr>
          <w:rFonts w:ascii="Times New Roman" w:hAnsi="Times New Roman" w:cs="Times New Roman"/>
        </w:rPr>
        <w:t>General matters</w:t>
      </w:r>
      <w:bookmarkEnd w:id="174"/>
      <w:bookmarkEnd w:id="175"/>
      <w:bookmarkEnd w:id="176"/>
      <w:bookmarkEnd w:id="177"/>
      <w:bookmarkEnd w:id="178"/>
      <w:r w:rsidRPr="00D714FC">
        <w:rPr>
          <w:rFonts w:ascii="Times New Roman" w:hAnsi="Times New Roman" w:cs="Times New Roman"/>
        </w:rPr>
        <w:tab/>
      </w:r>
    </w:p>
    <w:p w:rsidR="00F94EBF" w:rsidRPr="00D714FC" w:rsidRDefault="00F94EBF" w:rsidP="00B525C1">
      <w:pPr>
        <w:spacing w:after="0"/>
        <w:rPr>
          <w:rFonts w:cs="Times New Roman"/>
        </w:rPr>
      </w:pPr>
      <w:r w:rsidRPr="00D714FC">
        <w:rPr>
          <w:rFonts w:cs="Times New Roman"/>
        </w:rPr>
        <w:t xml:space="preserve">The terms of reference require the </w:t>
      </w:r>
      <w:r w:rsidR="009130C6">
        <w:rPr>
          <w:rFonts w:cs="Times New Roman"/>
        </w:rPr>
        <w:t>Australian Competition and Consumer Commission (</w:t>
      </w:r>
      <w:r w:rsidRPr="00D714FC">
        <w:rPr>
          <w:rFonts w:cs="Times New Roman"/>
        </w:rPr>
        <w:t>ACCC</w:t>
      </w:r>
      <w:r w:rsidR="009130C6">
        <w:rPr>
          <w:rFonts w:cs="Times New Roman"/>
        </w:rPr>
        <w:t>)</w:t>
      </w:r>
      <w:r w:rsidRPr="00D714FC">
        <w:rPr>
          <w:rFonts w:cs="Times New Roman"/>
        </w:rPr>
        <w:t xml:space="preserve"> to consider a number of matters that apply to all three sets of water charge rules. This section sets out the ACCC’s </w:t>
      </w:r>
      <w:r w:rsidR="00B2331D">
        <w:rPr>
          <w:rFonts w:cs="Times New Roman"/>
        </w:rPr>
        <w:t>a</w:t>
      </w:r>
      <w:r w:rsidRPr="00D714FC">
        <w:rPr>
          <w:rFonts w:cs="Times New Roman"/>
        </w:rPr>
        <w:t xml:space="preserve">dvice and recommendations on these overarching issues. </w:t>
      </w:r>
    </w:p>
    <w:p w:rsidR="00F94EBF" w:rsidRPr="00D714FC" w:rsidRDefault="00F94EBF" w:rsidP="00616672">
      <w:pPr>
        <w:pStyle w:val="Heading2"/>
      </w:pPr>
      <w:bookmarkStart w:id="179" w:name="_Toc436122284"/>
      <w:bookmarkStart w:id="180" w:name="_Toc436122779"/>
      <w:bookmarkStart w:id="181" w:name="_Toc436124134"/>
      <w:bookmarkStart w:id="182" w:name="_Toc456785787"/>
      <w:bookmarkStart w:id="183" w:name="_Toc461630698"/>
      <w:r w:rsidRPr="00D714FC">
        <w:t>Opportunities to reduce cost to industry and governments</w:t>
      </w:r>
      <w:bookmarkEnd w:id="179"/>
      <w:bookmarkEnd w:id="180"/>
      <w:bookmarkEnd w:id="181"/>
      <w:bookmarkEnd w:id="182"/>
      <w:bookmarkEnd w:id="183"/>
      <w:r w:rsidRPr="00D714FC">
        <w:tab/>
      </w:r>
    </w:p>
    <w:p w:rsidR="00F94EBF" w:rsidRPr="00D714FC" w:rsidRDefault="00F94EBF" w:rsidP="00CE67EB">
      <w:pPr>
        <w:pStyle w:val="Heading3Un-numbered"/>
      </w:pPr>
      <w:r w:rsidRPr="00D714FC">
        <w:t xml:space="preserve">Background </w:t>
      </w:r>
    </w:p>
    <w:p w:rsidR="00F94EBF" w:rsidRPr="00D714FC" w:rsidRDefault="00F94EBF" w:rsidP="00F94EBF">
      <w:pPr>
        <w:rPr>
          <w:rFonts w:cs="Times New Roman"/>
        </w:rPr>
      </w:pPr>
      <w:r w:rsidRPr="00D714FC">
        <w:rPr>
          <w:rFonts w:cs="Times New Roman"/>
        </w:rPr>
        <w:t xml:space="preserve">The terms of reference for the ACCC’s review of the water charge rules include requirements to consider the </w:t>
      </w:r>
      <w:r w:rsidR="00D77AAB">
        <w:rPr>
          <w:rFonts w:cs="Times New Roman"/>
        </w:rPr>
        <w:t>Australian</w:t>
      </w:r>
      <w:r w:rsidR="00D77AAB" w:rsidRPr="00D714FC">
        <w:rPr>
          <w:rFonts w:cs="Times New Roman"/>
        </w:rPr>
        <w:t xml:space="preserve"> </w:t>
      </w:r>
      <w:r w:rsidRPr="00D714FC">
        <w:rPr>
          <w:rFonts w:cs="Times New Roman"/>
        </w:rPr>
        <w:t>Government’s deregulation objectives and to identify opportunities for amending the rules to improve regulatory clarity or efficiency, or to reduce regulatory burdens while maintaining effective standards.</w:t>
      </w:r>
    </w:p>
    <w:p w:rsidR="00F94EBF" w:rsidRPr="00D714FC" w:rsidRDefault="00F94EBF" w:rsidP="00F94EBF">
      <w:pPr>
        <w:rPr>
          <w:rFonts w:cs="Times New Roman"/>
        </w:rPr>
      </w:pPr>
      <w:r w:rsidRPr="00D714FC">
        <w:rPr>
          <w:rFonts w:cs="Times New Roman"/>
        </w:rPr>
        <w:t>The objects of</w:t>
      </w:r>
      <w:r w:rsidR="00CE696D">
        <w:rPr>
          <w:rFonts w:cs="Times New Roman"/>
        </w:rPr>
        <w:t xml:space="preserve"> the</w:t>
      </w:r>
      <w:r w:rsidRPr="00D714FC">
        <w:rPr>
          <w:rFonts w:cs="Times New Roman"/>
        </w:rPr>
        <w:t xml:space="preserve"> </w:t>
      </w:r>
      <w:r w:rsidR="00AD42A2" w:rsidRPr="00AD42A2">
        <w:rPr>
          <w:rFonts w:cs="Times New Roman"/>
          <w:i/>
        </w:rPr>
        <w:t>Water Act 2007</w:t>
      </w:r>
      <w:r w:rsidR="00AD42A2">
        <w:rPr>
          <w:rFonts w:cs="Times New Roman"/>
        </w:rPr>
        <w:t xml:space="preserve"> (</w:t>
      </w:r>
      <w:r w:rsidRPr="00D714FC">
        <w:rPr>
          <w:rFonts w:cs="Times New Roman"/>
        </w:rPr>
        <w:t>the Act</w:t>
      </w:r>
      <w:r w:rsidR="00AD42A2">
        <w:rPr>
          <w:rFonts w:cs="Times New Roman"/>
        </w:rPr>
        <w:t>)</w:t>
      </w:r>
      <w:r w:rsidRPr="00D714FC">
        <w:rPr>
          <w:rFonts w:cs="Times New Roman"/>
        </w:rPr>
        <w:t xml:space="preserve"> include ‘promot[ing] the use and management of the Basin water resources in a way that optimises economic, social and environmental outcomes;’ and ‘achiev[ing] efficient and cost-effective water management and administrative practices in relation to Basin water resources.’ </w:t>
      </w:r>
    </w:p>
    <w:p w:rsidR="00F94EBF" w:rsidRPr="00D714FC" w:rsidRDefault="00F94EBF" w:rsidP="00F94EBF">
      <w:pPr>
        <w:rPr>
          <w:rFonts w:cs="Times New Roman"/>
        </w:rPr>
      </w:pPr>
      <w:r w:rsidRPr="00D714FC">
        <w:rPr>
          <w:rFonts w:cs="Times New Roman"/>
        </w:rPr>
        <w:t>In reviewing the water charge rules, the ACCC is interested to identify opportunities to simplify and clarify the requirements of the rules in a way that will reduce unnecessary regulatory burden while still achieving effective regulation that promotes the objects of the Act.</w:t>
      </w:r>
    </w:p>
    <w:p w:rsidR="00F94EBF" w:rsidRPr="00B2331D" w:rsidRDefault="00F94EBF" w:rsidP="00B2331D">
      <w:pPr>
        <w:rPr>
          <w:rFonts w:cs="Times New Roman"/>
        </w:rPr>
      </w:pPr>
      <w:r w:rsidRPr="00B2331D">
        <w:rPr>
          <w:rFonts w:cs="Times New Roman"/>
        </w:rPr>
        <w:t xml:space="preserve">In the Issues Paper, the ACCC specifically asked stakeholders to identify areas where they thought the rules could be simplified or shortened, and where the costs of compliance outweigh the benefits achieved by the </w:t>
      </w:r>
      <w:r w:rsidR="00A72F10" w:rsidRPr="00B2331D">
        <w:rPr>
          <w:rFonts w:cs="Times New Roman"/>
        </w:rPr>
        <w:t xml:space="preserve">water charge </w:t>
      </w:r>
      <w:r w:rsidRPr="00B2331D">
        <w:rPr>
          <w:rFonts w:cs="Times New Roman"/>
        </w:rPr>
        <w:t xml:space="preserve">rules. </w:t>
      </w:r>
    </w:p>
    <w:p w:rsidR="00F94EBF" w:rsidRPr="00D714FC" w:rsidRDefault="00F94EBF" w:rsidP="00CE67EB">
      <w:pPr>
        <w:pStyle w:val="Heading3Un-numbered"/>
      </w:pPr>
      <w:r w:rsidRPr="00D714FC">
        <w:t>Stakeholder feedback</w:t>
      </w:r>
    </w:p>
    <w:p w:rsidR="006A414E" w:rsidRDefault="006A414E" w:rsidP="00B2331D">
      <w:pPr>
        <w:rPr>
          <w:rFonts w:cs="Times New Roman"/>
        </w:rPr>
      </w:pPr>
      <w:r>
        <w:rPr>
          <w:rFonts w:cs="Times New Roman"/>
        </w:rPr>
        <w:t>In response to the ACCC’s issues paper, s</w:t>
      </w:r>
      <w:r w:rsidR="00F94EBF" w:rsidRPr="00B2331D">
        <w:rPr>
          <w:rFonts w:cs="Times New Roman"/>
        </w:rPr>
        <w:t xml:space="preserve">takeholders provided a range of examples where they felt the regulatory burden of the </w:t>
      </w:r>
      <w:r w:rsidR="00A72F10" w:rsidRPr="00B2331D">
        <w:rPr>
          <w:rFonts w:cs="Times New Roman"/>
        </w:rPr>
        <w:t xml:space="preserve">water charge </w:t>
      </w:r>
      <w:r w:rsidR="00F94EBF" w:rsidRPr="00B2331D">
        <w:rPr>
          <w:rFonts w:cs="Times New Roman"/>
        </w:rPr>
        <w:t xml:space="preserve">rules should be reduced. </w:t>
      </w:r>
    </w:p>
    <w:p w:rsidR="006A414E" w:rsidRDefault="00F94EBF" w:rsidP="00B2331D">
      <w:pPr>
        <w:rPr>
          <w:rFonts w:cs="Times New Roman"/>
        </w:rPr>
      </w:pPr>
      <w:r w:rsidRPr="00B2331D">
        <w:rPr>
          <w:rFonts w:cs="Times New Roman"/>
        </w:rPr>
        <w:t xml:space="preserve">In particular, stakeholders expressed strong concerns regarding the regulatory burden of requirements relating to publishing </w:t>
      </w:r>
      <w:r w:rsidR="00325FB2">
        <w:rPr>
          <w:rFonts w:cs="Times New Roman"/>
        </w:rPr>
        <w:t>S</w:t>
      </w:r>
      <w:r w:rsidRPr="00B2331D">
        <w:rPr>
          <w:rFonts w:cs="Times New Roman"/>
        </w:rPr>
        <w:t xml:space="preserve">chedules of </w:t>
      </w:r>
      <w:r w:rsidR="00325FB2">
        <w:rPr>
          <w:rFonts w:cs="Times New Roman"/>
        </w:rPr>
        <w:t>C</w:t>
      </w:r>
      <w:r w:rsidRPr="00B2331D">
        <w:rPr>
          <w:rFonts w:cs="Times New Roman"/>
        </w:rPr>
        <w:t xml:space="preserve">harges (see section 5.4), </w:t>
      </w:r>
      <w:r w:rsidR="00A72F10" w:rsidRPr="00B2331D">
        <w:rPr>
          <w:rFonts w:cs="Times New Roman"/>
        </w:rPr>
        <w:t>N</w:t>
      </w:r>
      <w:r w:rsidRPr="00B2331D">
        <w:rPr>
          <w:rFonts w:cs="Times New Roman"/>
        </w:rPr>
        <w:t xml:space="preserve">etwork </w:t>
      </w:r>
      <w:r w:rsidR="00A72F10" w:rsidRPr="00B2331D">
        <w:rPr>
          <w:rFonts w:cs="Times New Roman"/>
        </w:rPr>
        <w:t>S</w:t>
      </w:r>
      <w:r w:rsidRPr="00B2331D">
        <w:rPr>
          <w:rFonts w:cs="Times New Roman"/>
        </w:rPr>
        <w:t xml:space="preserve">ervice </w:t>
      </w:r>
      <w:r w:rsidR="00A72F10" w:rsidRPr="00B2331D">
        <w:rPr>
          <w:rFonts w:cs="Times New Roman"/>
        </w:rPr>
        <w:t>P</w:t>
      </w:r>
      <w:r w:rsidRPr="00B2331D">
        <w:rPr>
          <w:rFonts w:cs="Times New Roman"/>
        </w:rPr>
        <w:t>lans</w:t>
      </w:r>
      <w:r w:rsidR="00071C0C">
        <w:rPr>
          <w:rFonts w:cs="Times New Roman"/>
        </w:rPr>
        <w:t xml:space="preserve"> (NSPs)</w:t>
      </w:r>
      <w:r w:rsidRPr="00B2331D">
        <w:rPr>
          <w:rFonts w:cs="Times New Roman"/>
        </w:rPr>
        <w:t xml:space="preserve"> (see section 5.5) </w:t>
      </w:r>
      <w:r w:rsidR="00EA0B7C" w:rsidRPr="00B2331D">
        <w:rPr>
          <w:rFonts w:cs="Times New Roman"/>
        </w:rPr>
        <w:t>and in</w:t>
      </w:r>
      <w:r w:rsidRPr="00B2331D">
        <w:rPr>
          <w:rFonts w:cs="Times New Roman"/>
        </w:rPr>
        <w:t xml:space="preserve"> relation to planning and management charges (see chapter 7).</w:t>
      </w:r>
    </w:p>
    <w:p w:rsidR="00F94EBF" w:rsidRDefault="00F94EBF" w:rsidP="00B2331D">
      <w:pPr>
        <w:rPr>
          <w:rFonts w:cs="Times New Roman"/>
        </w:rPr>
      </w:pPr>
      <w:r w:rsidRPr="00B2331D">
        <w:rPr>
          <w:rFonts w:cs="Times New Roman"/>
        </w:rPr>
        <w:t xml:space="preserve">The ACCC also received feedback from stakeholders on the regulatory burden imposed by its requests for information as part of the ACCC’s statutory water monitoring role. The ACCC’s approach to compliance and enforcement is considered in section </w:t>
      </w:r>
      <w:r w:rsidR="00832EB1" w:rsidRPr="00B2331D">
        <w:rPr>
          <w:rFonts w:cs="Times New Roman"/>
        </w:rPr>
        <w:t>4.5</w:t>
      </w:r>
      <w:r w:rsidRPr="00B2331D">
        <w:rPr>
          <w:rFonts w:cs="Times New Roman"/>
        </w:rPr>
        <w:t>.</w:t>
      </w:r>
    </w:p>
    <w:p w:rsidR="00D43563" w:rsidRDefault="00D43563" w:rsidP="00D43563">
      <w:r>
        <w:t>In response to the Draft Advice, the National Irrigators’ Council (NIC), National Farmers’ Federation (NFF) and NSW Irrigators’ Council</w:t>
      </w:r>
      <w:r w:rsidR="00BC5421">
        <w:t xml:space="preserve"> (NSWIC)</w:t>
      </w:r>
      <w:r>
        <w:t xml:space="preserve"> submitted that the proposed amendments to the water charge rules represent an increase in regulatory burden for member-owned operators and irrigation infrastructure operators </w:t>
      </w:r>
      <w:r w:rsidR="003F241C">
        <w:t xml:space="preserve">(IIO) </w:t>
      </w:r>
      <w:r>
        <w:t>which, the NFF argued, could result in higher customer charges.</w:t>
      </w:r>
      <w:r>
        <w:rPr>
          <w:rStyle w:val="FootnoteReference"/>
        </w:rPr>
        <w:footnoteReference w:id="32"/>
      </w:r>
      <w:r>
        <w:t xml:space="preserve"> </w:t>
      </w:r>
    </w:p>
    <w:p w:rsidR="00D43563" w:rsidRDefault="00D43563" w:rsidP="00D43563">
      <w:r>
        <w:t xml:space="preserve">The NIC and </w:t>
      </w:r>
      <w:r w:rsidR="00BC5421">
        <w:t>NSWIC</w:t>
      </w:r>
      <w:r>
        <w:t xml:space="preserve"> argue that the increase in regulatory burden is inconsistent with the terms of reference.</w:t>
      </w:r>
      <w:r w:rsidRPr="00D43563">
        <w:rPr>
          <w:vertAlign w:val="superscript"/>
        </w:rPr>
        <w:footnoteReference w:id="33"/>
      </w:r>
      <w:r>
        <w:t xml:space="preserve"> </w:t>
      </w:r>
    </w:p>
    <w:p w:rsidR="00D43563" w:rsidRDefault="00D43563" w:rsidP="00D43563">
      <w:r>
        <w:t xml:space="preserve">The NIC </w:t>
      </w:r>
      <w:r w:rsidR="009B5A80">
        <w:t>noted that smaller operators may face increased regulatory costs without the offsetting savings accruing to larger operators.</w:t>
      </w:r>
      <w:r w:rsidR="009B5A80" w:rsidRPr="009B5A80">
        <w:rPr>
          <w:vertAlign w:val="superscript"/>
        </w:rPr>
        <w:t xml:space="preserve"> </w:t>
      </w:r>
      <w:r w:rsidR="009B5A80" w:rsidRPr="009B5A80">
        <w:rPr>
          <w:vertAlign w:val="superscript"/>
        </w:rPr>
        <w:footnoteReference w:id="34"/>
      </w:r>
      <w:r w:rsidR="009B5A80">
        <w:t xml:space="preserve"> The NIC </w:t>
      </w:r>
      <w:r>
        <w:t>also submitted its view that the ACCC has not “effectively engaged” all infrastructure operators during the review of the water charge rules, adding that “many of the smaller operators are either unaware of the existence of the ACCC’s Draft Advice or do not understand it”.</w:t>
      </w:r>
      <w:r w:rsidRPr="009B5A80">
        <w:rPr>
          <w:vertAlign w:val="superscript"/>
        </w:rPr>
        <w:footnoteReference w:id="35"/>
      </w:r>
    </w:p>
    <w:p w:rsidR="00D43563" w:rsidRDefault="00D43563" w:rsidP="00D43563">
      <w:r>
        <w:t xml:space="preserve">The NIC considers that the ACCC has underestimated regulatory costs in terms of the (initial and ongoing) costs that </w:t>
      </w:r>
      <w:r w:rsidR="003F241C">
        <w:t>IIOs</w:t>
      </w:r>
      <w:r>
        <w:t xml:space="preserve"> will incur to modify their charging arrangements and </w:t>
      </w:r>
      <w:r w:rsidR="00325FB2">
        <w:t>S</w:t>
      </w:r>
      <w:r>
        <w:t xml:space="preserve">chedule of </w:t>
      </w:r>
      <w:r w:rsidR="00325FB2">
        <w:t>C</w:t>
      </w:r>
      <w:r>
        <w:t>harges to achieve compliance with the proposed amendments.</w:t>
      </w:r>
      <w:r w:rsidRPr="009B5A80">
        <w:rPr>
          <w:vertAlign w:val="superscript"/>
        </w:rPr>
        <w:footnoteReference w:id="36"/>
      </w:r>
      <w:r>
        <w:t xml:space="preserve"> The NIC also noted that the estimates of regulatory costs do not include</w:t>
      </w:r>
      <w:r w:rsidR="009B5A80">
        <w:t xml:space="preserve"> </w:t>
      </w:r>
      <w:r>
        <w:t>the compliance costs incurred by governments</w:t>
      </w:r>
      <w:r w:rsidR="009B5A80">
        <w:t xml:space="preserve"> or </w:t>
      </w:r>
      <w:r>
        <w:t>infrastructure operators’ legal costs to implement, and ensure compliance with, the proposed amendments.</w:t>
      </w:r>
    </w:p>
    <w:p w:rsidR="008924A1" w:rsidRDefault="008924A1" w:rsidP="00D43563">
      <w:r>
        <w:t xml:space="preserve">More specific stakeholder feedback regarding the regulatory cost of proposed rule amendments is set out where relevant throughout the Final Advice. </w:t>
      </w:r>
    </w:p>
    <w:p w:rsidR="00F94EBF" w:rsidRPr="00D714FC" w:rsidRDefault="0079321E" w:rsidP="00CE67EB">
      <w:pPr>
        <w:pStyle w:val="Heading3Un-numbered"/>
        <w:rPr>
          <w:rFonts w:ascii="Times New Roman" w:hAnsi="Times New Roman"/>
        </w:rPr>
      </w:pPr>
      <w:r>
        <w:t>ACCC assessment</w:t>
      </w:r>
    </w:p>
    <w:p w:rsidR="003B5EF2" w:rsidRDefault="00F94EBF" w:rsidP="003B5EF2">
      <w:pPr>
        <w:rPr>
          <w:rFonts w:cs="Times New Roman"/>
        </w:rPr>
      </w:pPr>
      <w:r w:rsidRPr="00E73416">
        <w:rPr>
          <w:rFonts w:cs="Times New Roman"/>
        </w:rPr>
        <w:t xml:space="preserve">The ACCC has taken into account stakeholder views throughout the </w:t>
      </w:r>
      <w:r w:rsidR="009376BF" w:rsidRPr="00E73416">
        <w:rPr>
          <w:rFonts w:cs="Times New Roman"/>
        </w:rPr>
        <w:t xml:space="preserve">Final </w:t>
      </w:r>
      <w:r w:rsidR="00A72F10" w:rsidRPr="00E73416">
        <w:rPr>
          <w:rFonts w:cs="Times New Roman"/>
        </w:rPr>
        <w:t>A</w:t>
      </w:r>
      <w:r w:rsidRPr="00E73416">
        <w:rPr>
          <w:rFonts w:cs="Times New Roman"/>
        </w:rPr>
        <w:t xml:space="preserve">dvice. Where rule advice proposes an amendment to the water charge rules, the ACCC has estimated the </w:t>
      </w:r>
      <w:r w:rsidR="00A72F10" w:rsidRPr="00E73416">
        <w:rPr>
          <w:rFonts w:cs="Times New Roman"/>
        </w:rPr>
        <w:t>change</w:t>
      </w:r>
      <w:r w:rsidRPr="00E73416">
        <w:rPr>
          <w:rFonts w:cs="Times New Roman"/>
        </w:rPr>
        <w:t xml:space="preserve"> in the regulatory </w:t>
      </w:r>
      <w:r w:rsidR="00B2331D" w:rsidRPr="00E73416">
        <w:rPr>
          <w:rFonts w:cs="Times New Roman"/>
        </w:rPr>
        <w:t>cost</w:t>
      </w:r>
      <w:r w:rsidRPr="00E73416">
        <w:rPr>
          <w:rFonts w:cs="Times New Roman"/>
        </w:rPr>
        <w:t xml:space="preserve"> of the </w:t>
      </w:r>
      <w:r w:rsidR="00B2331D" w:rsidRPr="00E73416">
        <w:rPr>
          <w:rFonts w:cs="Times New Roman"/>
        </w:rPr>
        <w:t>proposals</w:t>
      </w:r>
      <w:r w:rsidRPr="00E73416">
        <w:rPr>
          <w:rFonts w:cs="Times New Roman"/>
        </w:rPr>
        <w:t>. The methodology used by the ACCC, which is consistent with the Office of Best Practice Regulation (OBPR)</w:t>
      </w:r>
      <w:r w:rsidR="001C7D1A">
        <w:rPr>
          <w:rFonts w:cs="Times New Roman"/>
        </w:rPr>
        <w:t xml:space="preserve"> guidelines</w:t>
      </w:r>
      <w:r w:rsidRPr="00E73416">
        <w:rPr>
          <w:rFonts w:cs="Times New Roman"/>
        </w:rPr>
        <w:t xml:space="preserve">, is set out in chapter 9, along with estimates of the likely change in regulatory </w:t>
      </w:r>
      <w:r w:rsidR="00E032CF">
        <w:rPr>
          <w:rFonts w:cs="Times New Roman"/>
        </w:rPr>
        <w:t>costs</w:t>
      </w:r>
      <w:r w:rsidRPr="00E73416">
        <w:rPr>
          <w:rFonts w:cs="Times New Roman"/>
        </w:rPr>
        <w:t xml:space="preserve">. </w:t>
      </w:r>
    </w:p>
    <w:p w:rsidR="0015415B" w:rsidRDefault="001C7D1A" w:rsidP="0015415B">
      <w:pPr>
        <w:rPr>
          <w:rFonts w:eastAsia="Calibri" w:cs="Times New Roman"/>
        </w:rPr>
      </w:pPr>
      <w:r>
        <w:rPr>
          <w:rFonts w:cs="Times New Roman"/>
        </w:rPr>
        <w:t xml:space="preserve">A number of the ACCC’s proposed rule amendments will result in significant reductions in regulatory costs. </w:t>
      </w:r>
      <w:r w:rsidR="0098008D">
        <w:rPr>
          <w:rFonts w:cs="Times New Roman"/>
        </w:rPr>
        <w:t>T</w:t>
      </w:r>
      <w:r w:rsidR="00B2757B">
        <w:rPr>
          <w:rFonts w:eastAsia="Calibri" w:cs="Times New Roman"/>
        </w:rPr>
        <w:t xml:space="preserve">he ACCC </w:t>
      </w:r>
      <w:r w:rsidR="0098008D">
        <w:rPr>
          <w:rFonts w:eastAsia="Calibri" w:cs="Times New Roman"/>
        </w:rPr>
        <w:t xml:space="preserve">also </w:t>
      </w:r>
      <w:r w:rsidR="00B2757B">
        <w:rPr>
          <w:rFonts w:eastAsia="Calibri" w:cs="Times New Roman"/>
        </w:rPr>
        <w:t xml:space="preserve">acknowledges that some of the rule advice </w:t>
      </w:r>
      <w:r w:rsidR="00E55E69">
        <w:rPr>
          <w:rFonts w:eastAsia="Calibri" w:cs="Times New Roman"/>
        </w:rPr>
        <w:t xml:space="preserve">in this Final Advice will, if implemented, </w:t>
      </w:r>
      <w:r w:rsidR="00B2757B">
        <w:rPr>
          <w:rFonts w:eastAsia="Calibri" w:cs="Times New Roman"/>
        </w:rPr>
        <w:t>involve both up-front and ongoing regulatory costs on infrastructure operators</w:t>
      </w:r>
      <w:r w:rsidR="00E55E69">
        <w:rPr>
          <w:rFonts w:eastAsia="Calibri" w:cs="Times New Roman"/>
        </w:rPr>
        <w:t>. H</w:t>
      </w:r>
      <w:r w:rsidR="00B2757B">
        <w:rPr>
          <w:rFonts w:eastAsia="Calibri" w:cs="Times New Roman"/>
        </w:rPr>
        <w:t>owever</w:t>
      </w:r>
      <w:r w:rsidR="006C5176">
        <w:rPr>
          <w:rFonts w:eastAsia="Calibri" w:cs="Times New Roman"/>
        </w:rPr>
        <w:t>,</w:t>
      </w:r>
      <w:r w:rsidR="00B2757B">
        <w:rPr>
          <w:rFonts w:eastAsia="Calibri" w:cs="Times New Roman"/>
        </w:rPr>
        <w:t xml:space="preserve"> the ACCC </w:t>
      </w:r>
      <w:r w:rsidR="0098008D">
        <w:rPr>
          <w:rFonts w:eastAsia="Calibri" w:cs="Times New Roman"/>
        </w:rPr>
        <w:t xml:space="preserve">does not consider </w:t>
      </w:r>
      <w:r w:rsidR="00B2757B">
        <w:rPr>
          <w:rFonts w:eastAsia="Calibri" w:cs="Times New Roman"/>
        </w:rPr>
        <w:t xml:space="preserve">that these proposals are therefore inconsistent with the terms of reference for the review. </w:t>
      </w:r>
    </w:p>
    <w:p w:rsidR="0015415B" w:rsidRDefault="0015415B" w:rsidP="0015415B">
      <w:r>
        <w:t xml:space="preserve">The terms of reference for the ACCC’s review </w:t>
      </w:r>
      <w:r w:rsidR="00EB0117">
        <w:t>(set out at Attachment A) a</w:t>
      </w:r>
      <w:r>
        <w:t>re not limited to only considering amendments involving a reduction in regulatory costs. The terms of reference specifically request the ACCC’s advice on other opportunities to amend the rules to improve regulatory clarity or efficiency.</w:t>
      </w:r>
    </w:p>
    <w:p w:rsidR="0015415B" w:rsidRPr="00D714FC" w:rsidRDefault="00171371" w:rsidP="0015415B">
      <w:pPr>
        <w:rPr>
          <w:rFonts w:eastAsia="Calibri" w:cs="Times New Roman"/>
        </w:rPr>
      </w:pPr>
      <w:r>
        <w:t>T</w:t>
      </w:r>
      <w:r w:rsidR="0015415B">
        <w:t xml:space="preserve">he proposals set out in the Final Advice represent significant reforms to the regulation of regulated water charges. They will, if implemented, </w:t>
      </w:r>
      <w:r w:rsidR="0015415B">
        <w:rPr>
          <w:rFonts w:eastAsia="Calibri" w:cs="Times New Roman"/>
        </w:rPr>
        <w:t>improve the operation of the water charge rules, increase safeguards for irrigators and other customers, improve pricing transparency or otherwise contribute to the achievement of the Basin Water Charging Objectives and Principles</w:t>
      </w:r>
      <w:r w:rsidR="003E2874">
        <w:rPr>
          <w:rFonts w:eastAsia="Calibri" w:cs="Times New Roman"/>
        </w:rPr>
        <w:t xml:space="preserve"> (BWCOP)</w:t>
      </w:r>
      <w:r w:rsidR="0015415B">
        <w:rPr>
          <w:rFonts w:eastAsia="Calibri" w:cs="Times New Roman"/>
        </w:rPr>
        <w:t>.</w:t>
      </w:r>
    </w:p>
    <w:p w:rsidR="003B5EF2" w:rsidRDefault="003B5EF2" w:rsidP="0015415B">
      <w:r>
        <w:t>Nevertheless, i</w:t>
      </w:r>
      <w:r>
        <w:rPr>
          <w:rFonts w:cs="Times New Roman"/>
        </w:rPr>
        <w:t>n response to general stakeholder feedback, the estimated time infrastructure operators will need to comply with the proposed amendments has been increased in the costings set out in chapter 9.</w:t>
      </w:r>
    </w:p>
    <w:p w:rsidR="003B5EF2" w:rsidRDefault="00171371" w:rsidP="0015415B">
      <w:r>
        <w:t>The ACCC</w:t>
      </w:r>
      <w:r w:rsidR="003B5EF2">
        <w:t xml:space="preserve"> also</w:t>
      </w:r>
      <w:r w:rsidR="0015415B">
        <w:t xml:space="preserve"> acknowledge</w:t>
      </w:r>
      <w:r>
        <w:t>s</w:t>
      </w:r>
      <w:r w:rsidR="0015415B">
        <w:t xml:space="preserve"> that operators may incur costs in obtaining legal advice on the implementation of rule amendments. </w:t>
      </w:r>
      <w:r>
        <w:t xml:space="preserve">Such costs have been included in the revised estimates of the change in regulatory cost. </w:t>
      </w:r>
    </w:p>
    <w:p w:rsidR="00171371" w:rsidRDefault="00171371" w:rsidP="0015415B">
      <w:r>
        <w:t xml:space="preserve">The ACCC notes that the need for </w:t>
      </w:r>
      <w:r w:rsidR="00EB0117">
        <w:t>operators to obtain legal advice, and regulatory costs generally, are reduced where:</w:t>
      </w:r>
    </w:p>
    <w:p w:rsidR="00EB0117" w:rsidRDefault="00EB0117" w:rsidP="00A82DE6">
      <w:pPr>
        <w:pStyle w:val="Lvl1Bulletpoint"/>
      </w:pPr>
      <w:r>
        <w:t>the rules are drafted in clear terms (see section 4.3)</w:t>
      </w:r>
    </w:p>
    <w:p w:rsidR="00171371" w:rsidRDefault="00EB0117" w:rsidP="00A82DE6">
      <w:pPr>
        <w:pStyle w:val="Lvl1Bulletpoint"/>
      </w:pPr>
      <w:r>
        <w:t>there is accessible and comprehensive guidance material</w:t>
      </w:r>
      <w:r w:rsidR="00171371">
        <w:t xml:space="preserve"> </w:t>
      </w:r>
      <w:r>
        <w:t xml:space="preserve">available </w:t>
      </w:r>
      <w:r w:rsidR="0015415B">
        <w:t>(</w:t>
      </w:r>
      <w:r w:rsidR="00171371">
        <w:t xml:space="preserve">see </w:t>
      </w:r>
      <w:r w:rsidR="0015415B">
        <w:t xml:space="preserve">section 4.4) </w:t>
      </w:r>
    </w:p>
    <w:p w:rsidR="00EB0117" w:rsidRDefault="003B5EF2" w:rsidP="00A82DE6">
      <w:pPr>
        <w:pStyle w:val="Lvl1Bulletpoint"/>
      </w:pPr>
      <w:r>
        <w:t>infrastructure operators are able to inquire directly with the ACCC regarding their current or proposed arrangements (see section 4.5)</w:t>
      </w:r>
    </w:p>
    <w:p w:rsidR="0015415B" w:rsidRDefault="00EB0117" w:rsidP="00A82DE6">
      <w:pPr>
        <w:pStyle w:val="Lvl1Bulletpoint"/>
      </w:pPr>
      <w:r>
        <w:t xml:space="preserve">the </w:t>
      </w:r>
      <w:r w:rsidR="0015415B">
        <w:t xml:space="preserve">private right of action </w:t>
      </w:r>
      <w:r w:rsidR="00171371">
        <w:t xml:space="preserve">in relation to </w:t>
      </w:r>
      <w:r w:rsidR="0015415B">
        <w:t xml:space="preserve">the rules </w:t>
      </w:r>
      <w:r>
        <w:t xml:space="preserve">is reduced or removed </w:t>
      </w:r>
      <w:r w:rsidR="0015415B">
        <w:t>(</w:t>
      </w:r>
      <w:r w:rsidR="00171371">
        <w:t xml:space="preserve">see </w:t>
      </w:r>
      <w:r w:rsidR="0015415B">
        <w:t>section 4.5)</w:t>
      </w:r>
    </w:p>
    <w:p w:rsidR="004D2EC7" w:rsidRDefault="004D2EC7" w:rsidP="004D2EC7">
      <w:r>
        <w:t xml:space="preserve">Compliance costs incurred by Governments are specifically excluded from the OBPR guidelines. </w:t>
      </w:r>
    </w:p>
    <w:p w:rsidR="0015415B" w:rsidRDefault="00A24799" w:rsidP="0015415B">
      <w:r>
        <w:t xml:space="preserve">The Draft Advice is a large document that considers a very wide range of issues and responds to each argument put forward by stakeholders. </w:t>
      </w:r>
      <w:r w:rsidR="0015415B">
        <w:t>The ACCC has sought to engage with stakeholders</w:t>
      </w:r>
      <w:r>
        <w:t xml:space="preserve"> </w:t>
      </w:r>
      <w:r w:rsidR="0015415B">
        <w:t xml:space="preserve">at various stages throughout the course of </w:t>
      </w:r>
      <w:r w:rsidR="008A5A98">
        <w:t xml:space="preserve">its </w:t>
      </w:r>
      <w:r w:rsidR="0015415B">
        <w:t>review</w:t>
      </w:r>
      <w:r>
        <w:t>, including with smaller infrastructure operators (that are not generally member</w:t>
      </w:r>
      <w:r w:rsidR="006C5176">
        <w:t>s</w:t>
      </w:r>
      <w:r>
        <w:t xml:space="preserve"> of industry groups such as the </w:t>
      </w:r>
      <w:r w:rsidR="00BC5421">
        <w:t>NSWIC</w:t>
      </w:r>
      <w:r>
        <w:t xml:space="preserve"> or NIC).</w:t>
      </w:r>
      <w:r w:rsidR="0015415B">
        <w:t xml:space="preserve"> </w:t>
      </w:r>
      <w:r>
        <w:t>The ACCC will continue to work closely with smaller infrastructure operators to provide the assistance necessary to ensure compliance with the water charge rules.</w:t>
      </w:r>
    </w:p>
    <w:p w:rsidR="00F94EBF" w:rsidRPr="00D714FC" w:rsidRDefault="00F94EBF" w:rsidP="00616672">
      <w:pPr>
        <w:pStyle w:val="Heading2"/>
      </w:pPr>
      <w:bookmarkStart w:id="184" w:name="_Ref435114766"/>
      <w:bookmarkStart w:id="185" w:name="_Toc436122285"/>
      <w:bookmarkStart w:id="186" w:name="_Toc436122780"/>
      <w:bookmarkStart w:id="187" w:name="_Toc436124135"/>
      <w:bookmarkStart w:id="188" w:name="_Toc456785788"/>
      <w:bookmarkStart w:id="189" w:name="_Toc461630699"/>
      <w:r w:rsidRPr="00D714FC">
        <w:t>The Basin Water Charging Objectives and Principles</w:t>
      </w:r>
      <w:bookmarkEnd w:id="184"/>
      <w:bookmarkEnd w:id="185"/>
      <w:bookmarkEnd w:id="186"/>
      <w:bookmarkEnd w:id="187"/>
      <w:bookmarkEnd w:id="188"/>
      <w:bookmarkEnd w:id="189"/>
    </w:p>
    <w:p w:rsidR="00FF770C" w:rsidRPr="00FC64B5" w:rsidRDefault="00FF770C" w:rsidP="00FC64B5">
      <w:pPr>
        <w:pStyle w:val="Heading3Un-numbered"/>
        <w:spacing w:before="0" w:after="0"/>
        <w:rPr>
          <w:rFonts w:ascii="Times New Roman" w:hAnsi="Times New Roman"/>
          <w:color w:val="FFFFFF" w:themeColor="background1"/>
          <w:sz w:val="12"/>
          <w:szCs w:val="12"/>
        </w:rPr>
      </w:pPr>
      <w:r w:rsidRPr="00FC64B5">
        <w:rPr>
          <w:rStyle w:val="Hyperlink"/>
          <w:rFonts w:asciiTheme="minorHAnsi" w:hAnsiTheme="minorHAnsi"/>
          <w:color w:val="FFFFFF" w:themeColor="background1"/>
          <w:sz w:val="12"/>
          <w:szCs w:val="12"/>
          <w:u w:val="none"/>
        </w:rPr>
        <w:fldChar w:fldCharType="begin"/>
      </w:r>
      <w:r w:rsidRPr="00FC64B5">
        <w:rPr>
          <w:rFonts w:ascii="Times New Roman" w:hAnsi="Times New Roman"/>
          <w:color w:val="FFFFFF" w:themeColor="background1"/>
          <w:sz w:val="12"/>
          <w:szCs w:val="12"/>
        </w:rPr>
        <w:instrText xml:space="preserve"> REF _Ref456942933 \h </w:instrText>
      </w:r>
      <w:r w:rsidRPr="00FC64B5">
        <w:rPr>
          <w:rStyle w:val="Hyperlink"/>
          <w:rFonts w:asciiTheme="minorHAnsi" w:hAnsiTheme="minorHAnsi"/>
          <w:color w:val="FFFFFF" w:themeColor="background1"/>
          <w:sz w:val="12"/>
          <w:szCs w:val="12"/>
          <w:u w:val="none"/>
        </w:rPr>
        <w:instrText xml:space="preserve"> \* MERGEFORMAT </w:instrText>
      </w:r>
      <w:r w:rsidRPr="00FC64B5">
        <w:rPr>
          <w:rStyle w:val="Hyperlink"/>
          <w:rFonts w:asciiTheme="minorHAnsi" w:hAnsiTheme="minorHAnsi"/>
          <w:color w:val="FFFFFF" w:themeColor="background1"/>
          <w:sz w:val="12"/>
          <w:szCs w:val="12"/>
          <w:u w:val="none"/>
        </w:rPr>
      </w:r>
      <w:r w:rsidRPr="00FC64B5">
        <w:rPr>
          <w:rStyle w:val="Hyperlink"/>
          <w:rFonts w:asciiTheme="minorHAnsi" w:hAnsiTheme="minorHAnsi"/>
          <w:color w:val="FFFFFF" w:themeColor="background1"/>
          <w:sz w:val="12"/>
          <w:szCs w:val="12"/>
          <w:u w:val="none"/>
        </w:rPr>
        <w:fldChar w:fldCharType="separate"/>
      </w:r>
      <w:r w:rsidR="00BD218B" w:rsidRPr="00BD218B">
        <w:rPr>
          <w:rStyle w:val="Hyperlink"/>
          <w:rFonts w:asciiTheme="minorHAnsi" w:hAnsiTheme="minorHAnsi"/>
          <w:color w:val="FFFFFF" w:themeColor="background1"/>
          <w:sz w:val="12"/>
          <w:szCs w:val="12"/>
          <w:u w:val="none"/>
        </w:rPr>
        <w:t xml:space="preserve">ACCC </w:t>
      </w:r>
      <w:r w:rsidR="00BD218B" w:rsidRPr="00BD218B">
        <w:rPr>
          <w:color w:val="FFFFFF" w:themeColor="background1"/>
          <w:sz w:val="12"/>
          <w:szCs w:val="12"/>
        </w:rPr>
        <w:t>Recommendations</w:t>
      </w:r>
      <w:r w:rsidRPr="00FC64B5">
        <w:rPr>
          <w:rStyle w:val="Hyperlink"/>
          <w:rFonts w:asciiTheme="minorHAnsi" w:hAnsiTheme="minorHAnsi"/>
          <w:color w:val="FFFFFF" w:themeColor="background1"/>
          <w:sz w:val="12"/>
          <w:szCs w:val="12"/>
          <w:u w:val="none"/>
        </w:rPr>
        <w:fldChar w:fldCharType="end"/>
      </w:r>
    </w:p>
    <w:tbl>
      <w:tblPr>
        <w:tblStyle w:val="TableGrid"/>
        <w:tblW w:w="0" w:type="auto"/>
        <w:shd w:val="clear" w:color="auto" w:fill="F2F2F2" w:themeFill="background1" w:themeFillShade="F2"/>
        <w:tblLook w:val="04A0" w:firstRow="1" w:lastRow="0" w:firstColumn="1" w:lastColumn="0" w:noHBand="0" w:noVBand="1"/>
      </w:tblPr>
      <w:tblGrid>
        <w:gridCol w:w="9242"/>
      </w:tblGrid>
      <w:tr w:rsidR="00764CA8" w:rsidTr="00C27C0E">
        <w:tc>
          <w:tcPr>
            <w:tcW w:w="9242" w:type="dxa"/>
            <w:tcBorders>
              <w:top w:val="nil"/>
              <w:left w:val="nil"/>
              <w:bottom w:val="nil"/>
              <w:right w:val="nil"/>
            </w:tcBorders>
            <w:shd w:val="clear" w:color="auto" w:fill="F2F2F2" w:themeFill="background1" w:themeFillShade="F2"/>
          </w:tcPr>
          <w:p w:rsidR="00764CA8" w:rsidRPr="00564F18" w:rsidRDefault="00764CA8" w:rsidP="00AF7032">
            <w:pPr>
              <w:pStyle w:val="Recommendationheading"/>
            </w:pPr>
            <w:bookmarkStart w:id="190" w:name="_Toc456784182"/>
            <w:bookmarkStart w:id="191" w:name="_Toc433975221"/>
            <w:r w:rsidRPr="00D714FC">
              <w:t xml:space="preserve">Recommendation </w:t>
            </w:r>
            <w:r w:rsidR="007F659D">
              <w:rPr>
                <w:noProof/>
              </w:rPr>
              <w:t>4</w:t>
            </w:r>
            <w:r>
              <w:noBreakHyphen/>
            </w:r>
            <w:r w:rsidR="007F659D">
              <w:rPr>
                <w:noProof/>
              </w:rPr>
              <w:t>A</w:t>
            </w:r>
            <w:bookmarkEnd w:id="190"/>
            <w:r w:rsidRPr="00564F18">
              <w:t xml:space="preserve"> </w:t>
            </w:r>
          </w:p>
          <w:p w:rsidR="00764CA8" w:rsidRPr="00B514CB" w:rsidRDefault="00764CA8" w:rsidP="00764CA8">
            <w:pPr>
              <w:pStyle w:val="Heading7"/>
              <w:outlineLvl w:val="6"/>
            </w:pPr>
            <w:bookmarkStart w:id="192" w:name="_Toc433384211"/>
            <w:bookmarkStart w:id="193" w:name="_Toc433975222"/>
            <w:bookmarkStart w:id="194" w:name="_Toc456784183"/>
            <w:bookmarkStart w:id="195" w:name="Recommendation_4A"/>
            <w:r w:rsidRPr="00B514CB">
              <w:t>The ACCC will review its guidance materials and work with Basin State regulators and other industry stakeholders to develop more practical and detailed guidance on the interpretation of, and the interaction between, the Basin Water Charging Objectives and Principles.</w:t>
            </w:r>
            <w:bookmarkEnd w:id="192"/>
            <w:bookmarkEnd w:id="193"/>
            <w:bookmarkEnd w:id="194"/>
            <w:r w:rsidRPr="00B514CB">
              <w:t xml:space="preserve"> </w:t>
            </w:r>
          </w:p>
          <w:p w:rsidR="00764CA8" w:rsidRPr="00B514CB" w:rsidRDefault="00764CA8" w:rsidP="00764CA8">
            <w:pPr>
              <w:pStyle w:val="Heading7"/>
              <w:outlineLvl w:val="6"/>
            </w:pPr>
            <w:bookmarkStart w:id="196" w:name="_Toc433384212"/>
            <w:bookmarkStart w:id="197" w:name="_Toc433975223"/>
            <w:bookmarkStart w:id="198" w:name="_Toc456784184"/>
            <w:r w:rsidRPr="00B514CB">
              <w:t>This will include:</w:t>
            </w:r>
            <w:bookmarkEnd w:id="196"/>
            <w:bookmarkEnd w:id="197"/>
            <w:bookmarkEnd w:id="198"/>
          </w:p>
          <w:p w:rsidR="00764CA8" w:rsidRPr="00B514CB" w:rsidRDefault="00764CA8" w:rsidP="00A946C7">
            <w:pPr>
              <w:pStyle w:val="Heading7"/>
              <w:numPr>
                <w:ilvl w:val="0"/>
                <w:numId w:val="41"/>
              </w:numPr>
              <w:spacing w:after="120"/>
              <w:ind w:left="714" w:hanging="357"/>
              <w:outlineLvl w:val="6"/>
            </w:pPr>
            <w:bookmarkStart w:id="199" w:name="_Toc433384213"/>
            <w:bookmarkStart w:id="200" w:name="_Toc433975224"/>
            <w:bookmarkStart w:id="201" w:name="_Toc456784185"/>
            <w:r w:rsidRPr="00B514CB">
              <w:t>interpretation of key terms such as “perverse or unintended pricing outcomes”;</w:t>
            </w:r>
            <w:bookmarkEnd w:id="199"/>
            <w:bookmarkEnd w:id="200"/>
            <w:bookmarkEnd w:id="201"/>
          </w:p>
          <w:p w:rsidR="00764CA8" w:rsidRPr="00B514CB" w:rsidRDefault="00764CA8" w:rsidP="00A946C7">
            <w:pPr>
              <w:pStyle w:val="Heading7"/>
              <w:numPr>
                <w:ilvl w:val="0"/>
                <w:numId w:val="41"/>
              </w:numPr>
              <w:spacing w:after="120"/>
              <w:ind w:left="714" w:hanging="357"/>
              <w:outlineLvl w:val="6"/>
            </w:pPr>
            <w:bookmarkStart w:id="202" w:name="_Toc433384214"/>
            <w:bookmarkStart w:id="203" w:name="_Toc433975225"/>
            <w:bookmarkStart w:id="204" w:name="_Toc456784186"/>
            <w:r w:rsidRPr="00B514CB">
              <w:t>improved identification of and links between the infrastructure services provided and how infrastructure charges are determined to recover the costs of service provision; and</w:t>
            </w:r>
            <w:bookmarkEnd w:id="202"/>
            <w:bookmarkEnd w:id="203"/>
            <w:bookmarkEnd w:id="204"/>
          </w:p>
          <w:p w:rsidR="00764CA8" w:rsidRPr="00B345C4" w:rsidRDefault="00764CA8" w:rsidP="00A946C7">
            <w:pPr>
              <w:pStyle w:val="Heading7"/>
              <w:numPr>
                <w:ilvl w:val="0"/>
                <w:numId w:val="41"/>
              </w:numPr>
              <w:spacing w:after="120"/>
              <w:ind w:left="714" w:hanging="357"/>
              <w:outlineLvl w:val="6"/>
            </w:pPr>
            <w:bookmarkStart w:id="205" w:name="_Toc433384215"/>
            <w:bookmarkStart w:id="206" w:name="_Toc433975226"/>
            <w:bookmarkStart w:id="207" w:name="_Toc456784187"/>
            <w:r w:rsidRPr="00B514CB">
              <w:t>cost allocation and the basis for determining charging areas (for example, where charging areas are based on geographic areas).</w:t>
            </w:r>
            <w:bookmarkEnd w:id="195"/>
            <w:bookmarkEnd w:id="205"/>
            <w:bookmarkEnd w:id="206"/>
            <w:bookmarkEnd w:id="207"/>
          </w:p>
        </w:tc>
      </w:tr>
    </w:tbl>
    <w:bookmarkEnd w:id="191"/>
    <w:p w:rsidR="006246A8" w:rsidRPr="006246A8" w:rsidRDefault="006246A8" w:rsidP="00FC64B5">
      <w:pPr>
        <w:pStyle w:val="Heading3Un-numbered"/>
      </w:pPr>
      <w:r>
        <w:t>Background</w:t>
      </w:r>
    </w:p>
    <w:p w:rsidR="00F94EBF" w:rsidRPr="00D714FC" w:rsidRDefault="00F94EBF" w:rsidP="00B4363E">
      <w:pPr>
        <w:rPr>
          <w:rFonts w:eastAsia="Calibri" w:cs="Times New Roman"/>
        </w:rPr>
      </w:pPr>
      <w:r w:rsidRPr="00D714FC">
        <w:rPr>
          <w:rFonts w:eastAsia="Calibri" w:cs="Times New Roman"/>
        </w:rPr>
        <w:t xml:space="preserve">The water charge rules are required to contribute to the achievement of the Basin </w:t>
      </w:r>
      <w:r w:rsidR="003218CC">
        <w:rPr>
          <w:rFonts w:eastAsia="Calibri" w:cs="Times New Roman"/>
        </w:rPr>
        <w:t>W</w:t>
      </w:r>
      <w:r w:rsidRPr="00D714FC">
        <w:rPr>
          <w:rFonts w:eastAsia="Calibri" w:cs="Times New Roman"/>
        </w:rPr>
        <w:t xml:space="preserve">ater </w:t>
      </w:r>
      <w:r w:rsidR="003218CC">
        <w:rPr>
          <w:rFonts w:eastAsia="Calibri" w:cs="Times New Roman"/>
        </w:rPr>
        <w:t>C</w:t>
      </w:r>
      <w:r w:rsidRPr="00D714FC">
        <w:rPr>
          <w:rFonts w:eastAsia="Calibri" w:cs="Times New Roman"/>
        </w:rPr>
        <w:t>harg</w:t>
      </w:r>
      <w:r w:rsidR="003218CC">
        <w:rPr>
          <w:rFonts w:eastAsia="Calibri" w:cs="Times New Roman"/>
        </w:rPr>
        <w:t>ing</w:t>
      </w:r>
      <w:r w:rsidRPr="00D714FC">
        <w:rPr>
          <w:rFonts w:eastAsia="Calibri" w:cs="Times New Roman"/>
        </w:rPr>
        <w:t xml:space="preserve"> </w:t>
      </w:r>
      <w:r w:rsidR="003218CC">
        <w:rPr>
          <w:rFonts w:eastAsia="Calibri" w:cs="Times New Roman"/>
        </w:rPr>
        <w:t>O</w:t>
      </w:r>
      <w:r w:rsidRPr="00D714FC">
        <w:rPr>
          <w:rFonts w:eastAsia="Calibri" w:cs="Times New Roman"/>
        </w:rPr>
        <w:t xml:space="preserve">bjectives and </w:t>
      </w:r>
      <w:r w:rsidR="003218CC">
        <w:rPr>
          <w:rFonts w:eastAsia="Calibri" w:cs="Times New Roman"/>
        </w:rPr>
        <w:t>P</w:t>
      </w:r>
      <w:r w:rsidRPr="00D714FC">
        <w:rPr>
          <w:rFonts w:eastAsia="Calibri" w:cs="Times New Roman"/>
        </w:rPr>
        <w:t xml:space="preserve">rinciples (BWCOP) set out in Schedule 2 of the </w:t>
      </w:r>
      <w:r w:rsidR="003218CC" w:rsidRPr="003218CC">
        <w:rPr>
          <w:rFonts w:eastAsia="Calibri" w:cs="Times New Roman"/>
          <w:i/>
        </w:rPr>
        <w:t xml:space="preserve">Water </w:t>
      </w:r>
      <w:r w:rsidRPr="003218CC">
        <w:rPr>
          <w:rFonts w:eastAsia="Calibri" w:cs="Times New Roman"/>
          <w:i/>
        </w:rPr>
        <w:t>Act</w:t>
      </w:r>
      <w:r w:rsidR="003218CC" w:rsidRPr="003218CC">
        <w:rPr>
          <w:rFonts w:eastAsia="Calibri" w:cs="Times New Roman"/>
          <w:i/>
        </w:rPr>
        <w:t xml:space="preserve"> 2007</w:t>
      </w:r>
      <w:r w:rsidR="003218CC">
        <w:rPr>
          <w:rFonts w:eastAsia="Calibri" w:cs="Times New Roman"/>
        </w:rPr>
        <w:t xml:space="preserve"> (the Act)</w:t>
      </w:r>
      <w:r w:rsidRPr="00D714FC">
        <w:rPr>
          <w:rFonts w:eastAsia="Calibri" w:cs="Times New Roman"/>
        </w:rPr>
        <w:t>.</w:t>
      </w:r>
    </w:p>
    <w:p w:rsidR="00F94EBF" w:rsidRPr="00D714FC" w:rsidRDefault="00F94EBF" w:rsidP="00B4363E">
      <w:pPr>
        <w:rPr>
          <w:rFonts w:eastAsia="Calibri" w:cs="Times New Roman"/>
        </w:rPr>
      </w:pPr>
      <w:r w:rsidRPr="00D714FC">
        <w:rPr>
          <w:rFonts w:eastAsia="Calibri" w:cs="Times New Roman"/>
        </w:rPr>
        <w:t>These objectives and principles are based on those set out in clauses 64 to 77 of the National Water Initiative</w:t>
      </w:r>
      <w:r w:rsidR="002A1564">
        <w:rPr>
          <w:rFonts w:eastAsia="Calibri" w:cs="Times New Roman"/>
        </w:rPr>
        <w:t xml:space="preserve"> (NWI)</w:t>
      </w:r>
      <w:r w:rsidRPr="00D714FC">
        <w:rPr>
          <w:rFonts w:eastAsia="Calibri" w:cs="Times New Roman"/>
        </w:rPr>
        <w:t>, an intergovernmental agreement signed by all states and territories, and the Commonwealth. The water charging objectives are:</w:t>
      </w:r>
    </w:p>
    <w:p w:rsidR="00F21AFE" w:rsidRPr="003170A7" w:rsidRDefault="00F21AFE" w:rsidP="00A82DE6">
      <w:pPr>
        <w:pStyle w:val="Lvl1Bulletpoint"/>
      </w:pPr>
      <w:r w:rsidRPr="003170A7">
        <w:t>to promote the economically efficient and sustainable use of:</w:t>
      </w:r>
    </w:p>
    <w:p w:rsidR="00F21AFE" w:rsidRPr="003170A7" w:rsidRDefault="00F94EBF" w:rsidP="00A82DE6">
      <w:pPr>
        <w:pStyle w:val="Lvl1Bulletpoint"/>
      </w:pPr>
      <w:r w:rsidRPr="003170A7">
        <w:t>water resources; and</w:t>
      </w:r>
      <w:r w:rsidR="00F21AFE" w:rsidRPr="003170A7">
        <w:t xml:space="preserve"> </w:t>
      </w:r>
    </w:p>
    <w:p w:rsidR="00F21AFE" w:rsidRPr="003170A7" w:rsidRDefault="00F94EBF" w:rsidP="00A82DE6">
      <w:pPr>
        <w:pStyle w:val="Lvl1Bulletpoint"/>
      </w:pPr>
      <w:r w:rsidRPr="003170A7">
        <w:t>water infrastructure assets; and</w:t>
      </w:r>
      <w:r w:rsidR="00F21AFE" w:rsidRPr="003170A7">
        <w:t xml:space="preserve"> </w:t>
      </w:r>
    </w:p>
    <w:p w:rsidR="00F94EBF" w:rsidRPr="003170A7" w:rsidRDefault="00F94EBF" w:rsidP="00A82DE6">
      <w:pPr>
        <w:pStyle w:val="Lvl1Bulletpoint"/>
      </w:pPr>
      <w:r w:rsidRPr="003170A7">
        <w:t>government resources devoted to the management of water resources; and</w:t>
      </w:r>
    </w:p>
    <w:p w:rsidR="00F94EBF" w:rsidRPr="003170A7" w:rsidRDefault="00F94EBF" w:rsidP="00A82DE6">
      <w:pPr>
        <w:pStyle w:val="Lvl1Bulletpoint"/>
      </w:pPr>
      <w:r w:rsidRPr="003170A7">
        <w:t>to ensure sufficient revenue streams to allow efficient delivery of the required services; and</w:t>
      </w:r>
    </w:p>
    <w:p w:rsidR="00F94EBF" w:rsidRPr="003170A7" w:rsidRDefault="00F94EBF" w:rsidP="00A82DE6">
      <w:pPr>
        <w:pStyle w:val="Lvl1Bulletpoint"/>
      </w:pPr>
      <w:r w:rsidRPr="003170A7">
        <w:t>to facilitate the efficient functioning of water markets (including inter-jurisdictional water markets, and in both rural and urban settings); and</w:t>
      </w:r>
    </w:p>
    <w:p w:rsidR="00F94EBF" w:rsidRPr="003170A7" w:rsidRDefault="00F94EBF" w:rsidP="00A82DE6">
      <w:pPr>
        <w:pStyle w:val="Lvl1Bulletpoint"/>
      </w:pPr>
      <w:r w:rsidRPr="003170A7">
        <w:t>to give effect to the principles of user-pays and achieve pricing transparency in respect of water storage and delivery in irrigation systems and cost recovery for water planning and management; and</w:t>
      </w:r>
    </w:p>
    <w:p w:rsidR="00F94EBF" w:rsidRPr="003170A7" w:rsidRDefault="00F94EBF" w:rsidP="00A82DE6">
      <w:pPr>
        <w:pStyle w:val="Lvl1Bulletpoint"/>
      </w:pPr>
      <w:r w:rsidRPr="003170A7">
        <w:t>to avoid perverse or unintended pricing outcomes.</w:t>
      </w:r>
    </w:p>
    <w:p w:rsidR="00F94EBF" w:rsidRPr="00D714FC" w:rsidRDefault="00F94EBF" w:rsidP="00F94EBF">
      <w:pPr>
        <w:spacing w:after="0"/>
        <w:rPr>
          <w:rFonts w:eastAsia="Calibri" w:cs="Times New Roman"/>
        </w:rPr>
      </w:pPr>
      <w:r w:rsidRPr="00D714FC">
        <w:rPr>
          <w:rFonts w:eastAsia="Calibri" w:cs="Times New Roman"/>
        </w:rPr>
        <w:t>There are 16 water charging principles, divided into four groupings:</w:t>
      </w:r>
    </w:p>
    <w:p w:rsidR="00F94EBF" w:rsidRPr="003170A7" w:rsidRDefault="00F94EBF" w:rsidP="00A82DE6">
      <w:pPr>
        <w:pStyle w:val="Lvl1Bulletpoint"/>
      </w:pPr>
      <w:r w:rsidRPr="003170A7">
        <w:t>water storage and delivery</w:t>
      </w:r>
    </w:p>
    <w:p w:rsidR="00F94EBF" w:rsidRPr="003170A7" w:rsidRDefault="00F94EBF" w:rsidP="00A82DE6">
      <w:pPr>
        <w:pStyle w:val="Lvl1Bulletpoint"/>
      </w:pPr>
      <w:r w:rsidRPr="003170A7">
        <w:t>cost recovery for planning and management</w:t>
      </w:r>
    </w:p>
    <w:p w:rsidR="00F94EBF" w:rsidRPr="003170A7" w:rsidRDefault="00F94EBF" w:rsidP="00A82DE6">
      <w:pPr>
        <w:pStyle w:val="Lvl1Bulletpoint"/>
      </w:pPr>
      <w:r w:rsidRPr="003170A7">
        <w:t>environmental externalities</w:t>
      </w:r>
    </w:p>
    <w:p w:rsidR="00F94EBF" w:rsidRPr="003170A7" w:rsidRDefault="00F94EBF" w:rsidP="00A82DE6">
      <w:pPr>
        <w:pStyle w:val="Lvl1Bulletpoint"/>
      </w:pPr>
      <w:r w:rsidRPr="003170A7">
        <w:t>benchmarking and efficiency reviews.</w:t>
      </w:r>
    </w:p>
    <w:p w:rsidR="00F94EBF" w:rsidRPr="00D714FC" w:rsidRDefault="00F94EBF" w:rsidP="00295A8D">
      <w:pPr>
        <w:tabs>
          <w:tab w:val="left" w:pos="454"/>
        </w:tabs>
        <w:rPr>
          <w:rFonts w:eastAsia="Calibri" w:cs="Times New Roman"/>
        </w:rPr>
      </w:pPr>
      <w:r w:rsidRPr="00D714FC">
        <w:rPr>
          <w:rFonts w:eastAsia="Calibri" w:cs="Times New Roman"/>
        </w:rPr>
        <w:t xml:space="preserve">The terms of reference for the </w:t>
      </w:r>
      <w:r w:rsidR="00F21AFE" w:rsidRPr="00D714FC">
        <w:rPr>
          <w:rFonts w:eastAsia="Calibri" w:cs="Times New Roman"/>
        </w:rPr>
        <w:t>review of the water charge rule</w:t>
      </w:r>
      <w:r w:rsidR="00EA0B7C" w:rsidRPr="00D714FC">
        <w:rPr>
          <w:rFonts w:eastAsia="Calibri" w:cs="Times New Roman"/>
        </w:rPr>
        <w:t>s</w:t>
      </w:r>
      <w:r w:rsidR="00F21AFE" w:rsidRPr="00D714FC">
        <w:rPr>
          <w:rFonts w:eastAsia="Calibri" w:cs="Times New Roman"/>
        </w:rPr>
        <w:t xml:space="preserve"> </w:t>
      </w:r>
      <w:r w:rsidRPr="00D714FC">
        <w:rPr>
          <w:rFonts w:eastAsia="Calibri" w:cs="Times New Roman"/>
        </w:rPr>
        <w:t>specifically request</w:t>
      </w:r>
      <w:r w:rsidR="00F21AFE" w:rsidRPr="00D714FC">
        <w:rPr>
          <w:rFonts w:eastAsia="Calibri" w:cs="Times New Roman"/>
        </w:rPr>
        <w:t>s</w:t>
      </w:r>
      <w:r w:rsidRPr="00D714FC">
        <w:rPr>
          <w:rFonts w:eastAsia="Calibri" w:cs="Times New Roman"/>
        </w:rPr>
        <w:t xml:space="preserve"> the ACCC to provide advice on the merits of several matters raised by the Independent </w:t>
      </w:r>
      <w:r w:rsidR="00E059CB">
        <w:rPr>
          <w:rFonts w:eastAsia="Calibri" w:cs="Times New Roman"/>
        </w:rPr>
        <w:t xml:space="preserve">Expert </w:t>
      </w:r>
      <w:r w:rsidRPr="00D714FC">
        <w:rPr>
          <w:rFonts w:eastAsia="Calibri" w:cs="Times New Roman"/>
        </w:rPr>
        <w:t xml:space="preserve">Panel’s review of </w:t>
      </w:r>
      <w:r w:rsidR="00AD42A2">
        <w:rPr>
          <w:rFonts w:eastAsia="Calibri" w:cs="Times New Roman"/>
        </w:rPr>
        <w:t>the Act</w:t>
      </w:r>
      <w:r w:rsidRPr="00D714FC">
        <w:rPr>
          <w:rFonts w:eastAsia="Calibri" w:cs="Times New Roman"/>
        </w:rPr>
        <w:t xml:space="preserve">, one of which was opportunities for advancing the consistent application of the </w:t>
      </w:r>
      <w:r w:rsidR="00D159FC" w:rsidRPr="00D714FC">
        <w:rPr>
          <w:rFonts w:eastAsia="Calibri" w:cs="Times New Roman"/>
        </w:rPr>
        <w:t>BWCOP</w:t>
      </w:r>
      <w:r w:rsidRPr="00D714FC">
        <w:rPr>
          <w:rFonts w:eastAsia="Calibri" w:cs="Times New Roman"/>
        </w:rPr>
        <w:t xml:space="preserve">, including options to rank objectives and define terms. Neither the objectives nor principles are currently ranked in any way. </w:t>
      </w:r>
    </w:p>
    <w:p w:rsidR="00F94EBF" w:rsidRPr="00D714FC" w:rsidRDefault="00F94EBF" w:rsidP="00295A8D">
      <w:pPr>
        <w:tabs>
          <w:tab w:val="left" w:pos="454"/>
        </w:tabs>
        <w:rPr>
          <w:rFonts w:eastAsia="Calibri" w:cs="Times New Roman"/>
        </w:rPr>
      </w:pPr>
      <w:r w:rsidRPr="00D714FC">
        <w:rPr>
          <w:rFonts w:eastAsia="Calibri" w:cs="Times New Roman"/>
        </w:rPr>
        <w:t>In its Issues Paper, the ACCC sought feedback on ways that the water charge rules could more effectively contribute to achieving the BWCOP (Question 3).</w:t>
      </w:r>
    </w:p>
    <w:p w:rsidR="00F94EBF" w:rsidRPr="00D714FC" w:rsidRDefault="00F94EBF" w:rsidP="00FC64B5">
      <w:pPr>
        <w:pStyle w:val="Heading3Un-numbered"/>
      </w:pPr>
      <w:r w:rsidRPr="00D714FC">
        <w:t>Stakeholder feedback</w:t>
      </w:r>
    </w:p>
    <w:p w:rsidR="00F94EBF" w:rsidRDefault="00F94EBF" w:rsidP="00F94EBF">
      <w:pPr>
        <w:rPr>
          <w:rFonts w:eastAsia="Calibri" w:cs="Times New Roman"/>
        </w:rPr>
      </w:pPr>
      <w:r w:rsidRPr="00D714FC">
        <w:rPr>
          <w:rFonts w:eastAsia="Calibri" w:cs="Times New Roman"/>
        </w:rPr>
        <w:t xml:space="preserve">Several submissions to the Act review recommended that the Act be amended to provide a hierarchy in </w:t>
      </w:r>
      <w:r w:rsidR="00D159FC" w:rsidRPr="00D714FC">
        <w:rPr>
          <w:rFonts w:eastAsia="Calibri" w:cs="Times New Roman"/>
        </w:rPr>
        <w:t>BWCOP</w:t>
      </w:r>
      <w:r w:rsidRPr="00D714FC">
        <w:rPr>
          <w:rFonts w:eastAsia="Calibri" w:cs="Times New Roman"/>
        </w:rPr>
        <w:t xml:space="preserve"> in order to indicate which objectives should be given greater weight in charge determinations.</w:t>
      </w:r>
      <w:r w:rsidR="009376BF" w:rsidRPr="00D714FC">
        <w:rPr>
          <w:rStyle w:val="FootnoteReference"/>
          <w:rFonts w:eastAsia="Calibri" w:cs="Times New Roman"/>
        </w:rPr>
        <w:footnoteReference w:id="37"/>
      </w:r>
      <w:r w:rsidRPr="00D714FC">
        <w:rPr>
          <w:rFonts w:eastAsia="Calibri" w:cs="Times New Roman"/>
        </w:rPr>
        <w:t xml:space="preserve"> </w:t>
      </w:r>
    </w:p>
    <w:p w:rsidR="00BB13BC" w:rsidRDefault="009376BF" w:rsidP="00F94EBF">
      <w:pPr>
        <w:rPr>
          <w:rFonts w:cs="Times New Roman"/>
        </w:rPr>
      </w:pPr>
      <w:r>
        <w:rPr>
          <w:rFonts w:eastAsia="Calibri" w:cs="Times New Roman"/>
        </w:rPr>
        <w:t>Several submissions to the ACCC’s Issues Paper also supported ranking the BWCOP.</w:t>
      </w:r>
      <w:r w:rsidRPr="00D714FC">
        <w:rPr>
          <w:rStyle w:val="FootnoteReference"/>
          <w:rFonts w:cs="Times New Roman"/>
        </w:rPr>
        <w:footnoteReference w:id="38"/>
      </w:r>
      <w:r>
        <w:rPr>
          <w:rFonts w:eastAsia="Calibri" w:cs="Times New Roman"/>
        </w:rPr>
        <w:t xml:space="preserve"> These submitters were generally concerned that the current BWCOP are conflicting, and do not provide sufficient guidance for a regulator in interpreting them.</w:t>
      </w:r>
      <w:r w:rsidR="00BB13BC">
        <w:rPr>
          <w:rFonts w:eastAsia="Calibri" w:cs="Times New Roman"/>
        </w:rPr>
        <w:t xml:space="preserve"> Also, several submitters commented that the ACCC’s existing guidance on the interpretation of the BWCOP was insufficient, either because the nature of th</w:t>
      </w:r>
      <w:r w:rsidR="00D55266">
        <w:rPr>
          <w:rFonts w:eastAsia="Calibri" w:cs="Times New Roman"/>
        </w:rPr>
        <w:t xml:space="preserve">is material </w:t>
      </w:r>
      <w:r w:rsidR="00BB13BC">
        <w:rPr>
          <w:rFonts w:eastAsia="Calibri" w:cs="Times New Roman"/>
        </w:rPr>
        <w:t>as guidance material only resulted in the BWCOP being interpreted on an ad hoc basis,</w:t>
      </w:r>
      <w:r w:rsidR="0011610B" w:rsidRPr="0011610B">
        <w:rPr>
          <w:rStyle w:val="FootnoteReference"/>
          <w:rFonts w:cs="Times New Roman"/>
          <w:vertAlign w:val="baseline"/>
        </w:rPr>
        <w:t xml:space="preserve"> </w:t>
      </w:r>
      <w:r w:rsidR="00BB13BC">
        <w:rPr>
          <w:rFonts w:eastAsia="Calibri" w:cs="Times New Roman"/>
        </w:rPr>
        <w:t>or because the guidance provided is too broad.</w:t>
      </w:r>
      <w:r w:rsidR="00BB13BC">
        <w:rPr>
          <w:rFonts w:cs="Times New Roman"/>
        </w:rPr>
        <w:t xml:space="preserve"> </w:t>
      </w:r>
    </w:p>
    <w:p w:rsidR="009376BF" w:rsidRDefault="00BB13BC" w:rsidP="00F94EBF">
      <w:pPr>
        <w:rPr>
          <w:rFonts w:cs="Times New Roman"/>
        </w:rPr>
      </w:pPr>
      <w:r>
        <w:rPr>
          <w:rFonts w:cs="Times New Roman"/>
        </w:rPr>
        <w:t>Other submissions to the Issues Paper opposed ranking the BWCOP, arguing that this provides less discretion for the regulator to take into account specific circumstances.</w:t>
      </w:r>
      <w:r w:rsidR="00C6733C">
        <w:rPr>
          <w:rFonts w:cs="Times New Roman"/>
        </w:rPr>
        <w:t xml:space="preserve"> </w:t>
      </w:r>
    </w:p>
    <w:p w:rsidR="00BB13BC" w:rsidRPr="00BB13BC" w:rsidRDefault="00BB13BC" w:rsidP="00F94EBF">
      <w:pPr>
        <w:rPr>
          <w:rFonts w:eastAsia="Calibri" w:cs="Times New Roman"/>
        </w:rPr>
      </w:pPr>
      <w:r>
        <w:rPr>
          <w:rFonts w:cs="Times New Roman"/>
        </w:rPr>
        <w:t>Finally, some submitters commented on whether specific objectives or principles were being achieved under the current rules</w:t>
      </w:r>
      <w:r w:rsidR="0079321E">
        <w:rPr>
          <w:rFonts w:cs="Times New Roman"/>
        </w:rPr>
        <w:t xml:space="preserve">, particularly in relation to the objectives of full cost recovery and avoiding perverse or unintended pricing outcomes, and implementing the principle of ‘user pays’. Several submitters requested the ACCC to provide definitions and further guidance on the BWCOP in its Pricing Principles. </w:t>
      </w:r>
    </w:p>
    <w:p w:rsidR="00D24CB8" w:rsidRPr="00D24CB8" w:rsidRDefault="00D24CB8" w:rsidP="00D24CB8">
      <w:pPr>
        <w:rPr>
          <w:rFonts w:eastAsia="Calibri" w:cs="Times New Roman"/>
        </w:rPr>
      </w:pPr>
      <w:r>
        <w:rPr>
          <w:rFonts w:eastAsia="Calibri" w:cs="Times New Roman"/>
        </w:rPr>
        <w:t xml:space="preserve">In response to the ACCC’s Draft Advice, </w:t>
      </w:r>
      <w:r w:rsidRPr="00D24CB8">
        <w:rPr>
          <w:rFonts w:eastAsia="Calibri" w:cs="Times New Roman"/>
        </w:rPr>
        <w:t>Goulburn-Murray Water (GMW) submitted that it supports Recommendation 4-A, noting that it would particularly support guidance in relation to pricing and cost-reflectivity.</w:t>
      </w:r>
      <w:r w:rsidRPr="00D24CB8">
        <w:rPr>
          <w:rFonts w:eastAsia="Calibri" w:cs="Times New Roman"/>
          <w:vertAlign w:val="superscript"/>
        </w:rPr>
        <w:footnoteReference w:id="39"/>
      </w:r>
      <w:r w:rsidRPr="00D24CB8">
        <w:rPr>
          <w:rFonts w:eastAsia="Calibri" w:cs="Times New Roman"/>
        </w:rPr>
        <w:t xml:space="preserve"> GMW added that the BWCOP (or the ACCC’s guidance material) should allow “sufficient flexibility” for infrastructure operators to:</w:t>
      </w:r>
    </w:p>
    <w:p w:rsidR="00D24CB8" w:rsidRPr="00D24CB8" w:rsidRDefault="00D24CB8" w:rsidP="00A82DE6">
      <w:pPr>
        <w:pStyle w:val="Lvl1Bulletpoint"/>
        <w:rPr>
          <w:rFonts w:eastAsia="Calibri"/>
        </w:rPr>
      </w:pPr>
      <w:r w:rsidRPr="00D24CB8">
        <w:rPr>
          <w:rFonts w:eastAsia="Calibri"/>
        </w:rPr>
        <w:t>identify an “appropriate trade-off” between the simplicity of the charging structure and cost-reflectivity.</w:t>
      </w:r>
      <w:r w:rsidRPr="00D24CB8">
        <w:rPr>
          <w:rFonts w:eastAsia="Calibri"/>
          <w:vertAlign w:val="superscript"/>
        </w:rPr>
        <w:footnoteReference w:id="40"/>
      </w:r>
      <w:r w:rsidRPr="00D24CB8">
        <w:rPr>
          <w:rFonts w:eastAsia="Calibri"/>
        </w:rPr>
        <w:t xml:space="preserve"> GMW considers that this is particularly important in relation to the modernisation of irrigation services.</w:t>
      </w:r>
    </w:p>
    <w:p w:rsidR="00D24CB8" w:rsidRPr="00D24CB8" w:rsidRDefault="00D24CB8" w:rsidP="00A82DE6">
      <w:pPr>
        <w:pStyle w:val="Lvl1Bulletpoint"/>
        <w:rPr>
          <w:rFonts w:eastAsia="Calibri"/>
        </w:rPr>
      </w:pPr>
      <w:r w:rsidRPr="00D24CB8">
        <w:rPr>
          <w:rFonts w:eastAsia="Calibri"/>
        </w:rPr>
        <w:t>“adequately address the unique geographical and historical circumstances to improve efficiency”.</w:t>
      </w:r>
    </w:p>
    <w:p w:rsidR="00D24CB8" w:rsidRPr="00D24CB8" w:rsidRDefault="00D24CB8" w:rsidP="00D24CB8">
      <w:pPr>
        <w:rPr>
          <w:rFonts w:eastAsia="Calibri" w:cs="Times New Roman"/>
        </w:rPr>
      </w:pPr>
      <w:r w:rsidRPr="00D24CB8">
        <w:rPr>
          <w:rFonts w:eastAsia="Calibri" w:cs="Times New Roman"/>
        </w:rPr>
        <w:t>Three stakeholders commented on Recommendation 4-A. Peel Valley stakeholders (Peel Valley Water Users Association</w:t>
      </w:r>
      <w:r w:rsidR="0066660E">
        <w:rPr>
          <w:rFonts w:eastAsia="Calibri" w:cs="Times New Roman"/>
        </w:rPr>
        <w:t xml:space="preserve"> (PVWUA)</w:t>
      </w:r>
      <w:r w:rsidRPr="00D24CB8">
        <w:rPr>
          <w:rFonts w:eastAsia="Calibri" w:cs="Times New Roman"/>
        </w:rPr>
        <w:t xml:space="preserve"> and Tamworth Regional Council) remain concerned about the level of charges in the Peel Valley. Tamworth Regional Council noted that it was pleased to see that the ACCC had devoted a section to the Draft Advice for addressing water charges in the Peel Valley.</w:t>
      </w:r>
      <w:r w:rsidRPr="00D24CB8">
        <w:rPr>
          <w:rFonts w:eastAsia="Calibri" w:cs="Times New Roman"/>
          <w:vertAlign w:val="superscript"/>
        </w:rPr>
        <w:footnoteReference w:id="41"/>
      </w:r>
      <w:r w:rsidRPr="00D24CB8">
        <w:rPr>
          <w:rFonts w:eastAsia="Calibri" w:cs="Times New Roman"/>
        </w:rPr>
        <w:t xml:space="preserve"> However, Tamworth Regional Council is of the view that the ACCC had not proposed any amendments which would positively affect the level of charges in the Peel Valley. Similarly, the </w:t>
      </w:r>
      <w:r w:rsidR="0066660E">
        <w:rPr>
          <w:rFonts w:eastAsia="Calibri" w:cs="Times New Roman"/>
        </w:rPr>
        <w:t>PVWUA</w:t>
      </w:r>
      <w:r w:rsidRPr="00D24CB8">
        <w:rPr>
          <w:rFonts w:eastAsia="Calibri" w:cs="Times New Roman"/>
        </w:rPr>
        <w:t xml:space="preserve"> remains critical of interpretations, and explanations about the application, of the </w:t>
      </w:r>
      <w:r w:rsidR="003E2874">
        <w:rPr>
          <w:rFonts w:eastAsia="Calibri" w:cs="Times New Roman"/>
        </w:rPr>
        <w:t>BWCOP</w:t>
      </w:r>
      <w:r w:rsidRPr="00D24CB8">
        <w:rPr>
          <w:rFonts w:eastAsia="Calibri" w:cs="Times New Roman"/>
        </w:rPr>
        <w:t xml:space="preserve"> in relation to avoiding perverse or unintended consequences.</w:t>
      </w:r>
      <w:r w:rsidRPr="00D24CB8">
        <w:rPr>
          <w:rFonts w:eastAsia="Calibri" w:cs="Times New Roman"/>
          <w:vertAlign w:val="superscript"/>
        </w:rPr>
        <w:footnoteReference w:id="42"/>
      </w:r>
      <w:r w:rsidRPr="00D24CB8">
        <w:rPr>
          <w:rFonts w:eastAsia="Calibri" w:cs="Times New Roman"/>
        </w:rPr>
        <w:t xml:space="preserve"> The </w:t>
      </w:r>
      <w:r w:rsidR="0066660E">
        <w:rPr>
          <w:rFonts w:eastAsia="Calibri" w:cs="Times New Roman"/>
        </w:rPr>
        <w:t>PVWUA</w:t>
      </w:r>
      <w:r w:rsidRPr="00D24CB8">
        <w:rPr>
          <w:rFonts w:eastAsia="Calibri" w:cs="Times New Roman"/>
        </w:rPr>
        <w:t xml:space="preserve"> considers that the recommendation “is too vague to be helpful”. </w:t>
      </w:r>
    </w:p>
    <w:p w:rsidR="00D24CB8" w:rsidRDefault="00D24CB8" w:rsidP="00D24CB8">
      <w:pPr>
        <w:rPr>
          <w:rFonts w:eastAsia="Calibri" w:cs="Times New Roman"/>
        </w:rPr>
      </w:pPr>
      <w:r w:rsidRPr="00D24CB8">
        <w:rPr>
          <w:rFonts w:eastAsia="Calibri" w:cs="Times New Roman"/>
        </w:rPr>
        <w:t>Both entities discussed their preferred approaches for dealing with the level of charges in the Peel Valley, which includes departing from the current approach of valley-based pricing. This feedback is discussed in section 5.10.</w:t>
      </w:r>
    </w:p>
    <w:p w:rsidR="00764CA8" w:rsidRDefault="00D24CB8" w:rsidP="00D24CB8">
      <w:pPr>
        <w:rPr>
          <w:rFonts w:eastAsia="Calibri" w:cs="Times New Roman"/>
        </w:rPr>
      </w:pPr>
      <w:r>
        <w:rPr>
          <w:rFonts w:eastAsia="Calibri" w:cs="Times New Roman"/>
        </w:rPr>
        <w:t>More generally, s</w:t>
      </w:r>
      <w:r w:rsidRPr="00D24CB8">
        <w:rPr>
          <w:rFonts w:eastAsia="Calibri" w:cs="Times New Roman"/>
        </w:rPr>
        <w:t xml:space="preserve">takeholders also provided feedback on the extent to which specific amendments support, or are in contrast to, one or more of the </w:t>
      </w:r>
      <w:r w:rsidR="003E2874">
        <w:rPr>
          <w:rFonts w:eastAsia="Calibri" w:cs="Times New Roman"/>
        </w:rPr>
        <w:t>BWCOP</w:t>
      </w:r>
      <w:r w:rsidRPr="00D24CB8">
        <w:rPr>
          <w:rFonts w:eastAsia="Calibri" w:cs="Times New Roman"/>
        </w:rPr>
        <w:t xml:space="preserve">. Where this feedback was provided, it is summarised or noted in each relevant section of the Final Advice. </w:t>
      </w:r>
    </w:p>
    <w:p w:rsidR="00D24CB8" w:rsidRDefault="00764CA8" w:rsidP="00D24CB8">
      <w:pPr>
        <w:rPr>
          <w:rFonts w:cs="Times New Roman"/>
        </w:rPr>
      </w:pPr>
      <w:r>
        <w:rPr>
          <w:rFonts w:eastAsia="Calibri" w:cs="Times New Roman"/>
        </w:rPr>
        <w:t>Stakeholder views on ACCC guidance material more generally are considered in section 4.4.</w:t>
      </w:r>
    </w:p>
    <w:p w:rsidR="00D24CB8" w:rsidRPr="00316D3E" w:rsidRDefault="0079321E" w:rsidP="00FC64B5">
      <w:pPr>
        <w:pStyle w:val="Heading3Un-numbered"/>
      </w:pPr>
      <w:r w:rsidRPr="00316D3E">
        <w:t>ACCC assessment</w:t>
      </w:r>
    </w:p>
    <w:p w:rsidR="00D24CB8" w:rsidRDefault="00D24CB8" w:rsidP="00D24CB8">
      <w:pPr>
        <w:rPr>
          <w:rFonts w:cs="Times New Roman"/>
        </w:rPr>
      </w:pPr>
      <w:r>
        <w:rPr>
          <w:rFonts w:eastAsia="Calibri" w:cs="Times New Roman"/>
        </w:rPr>
        <w:t>As noted in the Draft Advice, c</w:t>
      </w:r>
      <w:r w:rsidR="00F94EBF" w:rsidRPr="00D714FC">
        <w:rPr>
          <w:rFonts w:eastAsia="Calibri" w:cs="Times New Roman"/>
        </w:rPr>
        <w:t>onsiderations of how to improve the consistent application of the BWCOP and whether there is a need to rank them, acknowledge that the individual objectives and principles may not always be mutually reinforcing. For example, there may be significant costs involved in fully implementing the objective of user pays, and it is possible that the costs would outweigh the benefit</w:t>
      </w:r>
      <w:r w:rsidR="008F5FC2">
        <w:rPr>
          <w:rFonts w:eastAsia="Calibri" w:cs="Times New Roman"/>
        </w:rPr>
        <w:t>s</w:t>
      </w:r>
      <w:r w:rsidR="00F94EBF" w:rsidRPr="00D714FC">
        <w:rPr>
          <w:rFonts w:eastAsia="Calibri" w:cs="Times New Roman"/>
        </w:rPr>
        <w:t>.</w:t>
      </w:r>
      <w:r w:rsidR="00476389">
        <w:rPr>
          <w:rFonts w:eastAsia="Calibri" w:cs="Times New Roman"/>
        </w:rPr>
        <w:t xml:space="preserve"> </w:t>
      </w:r>
      <w:r w:rsidR="00F94EBF" w:rsidRPr="00D714FC">
        <w:rPr>
          <w:rFonts w:eastAsia="Calibri" w:cs="Times New Roman"/>
        </w:rPr>
        <w:t xml:space="preserve">If this occurred, full implementation of the user pays principle could come at a cost to economic efficiency. </w:t>
      </w:r>
    </w:p>
    <w:p w:rsidR="00D24CB8" w:rsidRDefault="00F94EBF" w:rsidP="00D24CB8">
      <w:pPr>
        <w:rPr>
          <w:rFonts w:eastAsia="Calibri" w:cs="Times New Roman"/>
          <w:i/>
        </w:rPr>
      </w:pPr>
      <w:r w:rsidRPr="00D714FC">
        <w:rPr>
          <w:rFonts w:eastAsia="Calibri" w:cs="Times New Roman"/>
        </w:rPr>
        <w:t xml:space="preserve">Furthermore, transitioning towards the objective of user pays and the principle of full cost recovery raises difficult questions of how to deal with legacy issues and the costs of adjustments. Principles (3) and (4) under </w:t>
      </w:r>
      <w:r w:rsidR="007E3378">
        <w:rPr>
          <w:rFonts w:eastAsia="Calibri" w:cs="Times New Roman"/>
        </w:rPr>
        <w:t>s</w:t>
      </w:r>
      <w:r w:rsidRPr="00D714FC">
        <w:rPr>
          <w:rFonts w:eastAsia="Calibri" w:cs="Times New Roman"/>
        </w:rPr>
        <w:t>ection 3 (water storage and delivery), in particular, acknowledge some of these practical issues by directly including feasibility considerations:</w:t>
      </w:r>
    </w:p>
    <w:p w:rsidR="00D24CB8" w:rsidRDefault="00D24CB8" w:rsidP="00D24CB8">
      <w:pPr>
        <w:rPr>
          <w:rFonts w:eastAsia="Calibri" w:cs="Times New Roman"/>
          <w:i/>
        </w:rPr>
      </w:pPr>
      <w:r>
        <w:rPr>
          <w:rFonts w:eastAsia="Calibri" w:cs="Times New Roman"/>
          <w:i/>
        </w:rPr>
        <w:t xml:space="preserve">(3) </w:t>
      </w:r>
      <w:r w:rsidR="00F94EBF" w:rsidRPr="00D714FC">
        <w:rPr>
          <w:rFonts w:eastAsia="Calibri" w:cs="Times New Roman"/>
          <w:i/>
        </w:rPr>
        <w:t>Water charges are to be based on full cost recovery for water services to ensure business viability and avoid monopoly rents, including recovery of environmental externalities where feasible and practical.</w:t>
      </w:r>
    </w:p>
    <w:p w:rsidR="00D24CB8" w:rsidRPr="00D714FC" w:rsidRDefault="00D24CB8" w:rsidP="00D24CB8">
      <w:pPr>
        <w:rPr>
          <w:rFonts w:eastAsia="Calibri" w:cs="Times New Roman"/>
          <w:i/>
        </w:rPr>
      </w:pPr>
      <w:r>
        <w:rPr>
          <w:rFonts w:eastAsia="Calibri" w:cs="Times New Roman"/>
          <w:i/>
        </w:rPr>
        <w:t xml:space="preserve">(4) </w:t>
      </w:r>
      <w:r w:rsidR="00F94EBF" w:rsidRPr="00D714FC">
        <w:rPr>
          <w:rFonts w:eastAsia="Calibri" w:cs="Times New Roman"/>
          <w:i/>
        </w:rPr>
        <w:t>Water charges in the rural water sector are to continue to move towards upper bound pricing where practicable.</w:t>
      </w:r>
    </w:p>
    <w:p w:rsidR="00D24CB8" w:rsidRDefault="00F94EBF" w:rsidP="00D24CB8">
      <w:pPr>
        <w:rPr>
          <w:rFonts w:eastAsia="Calibri" w:cs="Times New Roman"/>
        </w:rPr>
      </w:pPr>
      <w:r w:rsidRPr="00D714FC">
        <w:rPr>
          <w:rFonts w:eastAsia="Calibri" w:cs="Times New Roman"/>
        </w:rPr>
        <w:t xml:space="preserve">Given the costs of fully achieving all the objectives and principles, as well as the possibility of conflict or tension between them, there is a need to balance efforts to achieve any single objective or principle with a consideration of the BWCOP as a whole. This means that there is no single objective or principle which takes precedence over others, which precludes ranking or otherwise providing a hierarchy. However, the ACCC </w:t>
      </w:r>
      <w:r w:rsidR="008F5FC2">
        <w:rPr>
          <w:rFonts w:eastAsia="Calibri" w:cs="Times New Roman"/>
        </w:rPr>
        <w:t>acknowledges</w:t>
      </w:r>
      <w:r w:rsidR="006D4E2A" w:rsidRPr="00D714FC">
        <w:rPr>
          <w:rFonts w:eastAsia="Calibri" w:cs="Times New Roman"/>
        </w:rPr>
        <w:t xml:space="preserve"> </w:t>
      </w:r>
      <w:r w:rsidRPr="00D714FC">
        <w:rPr>
          <w:rFonts w:eastAsia="Calibri" w:cs="Times New Roman"/>
        </w:rPr>
        <w:t>that the lack of a clear hierarchy can create uncertainty in cases where one objective or principle appears to be in opposition to another. The ACCC therefore recognises the importance of adequate guidance material on the interpretation of the BWCOP, and how they should be balanced.</w:t>
      </w:r>
    </w:p>
    <w:p w:rsidR="00D24CB8" w:rsidRPr="00D714FC" w:rsidRDefault="00AD170A" w:rsidP="00D24CB8">
      <w:pPr>
        <w:rPr>
          <w:rFonts w:eastAsia="Calibri" w:cs="Times New Roman"/>
        </w:rPr>
      </w:pPr>
      <w:r w:rsidRPr="00D714FC">
        <w:rPr>
          <w:rFonts w:eastAsia="Calibri" w:cs="Times New Roman"/>
        </w:rPr>
        <w:t>The ACCC considers that infrastructure charging for on-river infrastructure services is one example of an area where it has proved difficult to apply the BWCOP. This has been the case particularly in relation to implementing ‘user-pays’ and achieving pricing transparency for the operation of large storages which contribute to general water availability and</w:t>
      </w:r>
      <w:r w:rsidR="00B96301">
        <w:rPr>
          <w:rFonts w:eastAsia="Calibri" w:cs="Times New Roman"/>
        </w:rPr>
        <w:t xml:space="preserve"> </w:t>
      </w:r>
      <w:r w:rsidRPr="00D714FC">
        <w:rPr>
          <w:rFonts w:eastAsia="Calibri" w:cs="Times New Roman"/>
        </w:rPr>
        <w:t>/</w:t>
      </w:r>
      <w:r w:rsidR="00B96301">
        <w:rPr>
          <w:rFonts w:eastAsia="Calibri" w:cs="Times New Roman"/>
        </w:rPr>
        <w:t xml:space="preserve"> </w:t>
      </w:r>
      <w:r w:rsidRPr="00D714FC">
        <w:rPr>
          <w:rFonts w:eastAsia="Calibri" w:cs="Times New Roman"/>
        </w:rPr>
        <w:t xml:space="preserve">or improve reliability for water access entitlements and provide other services such as carryover. </w:t>
      </w:r>
      <w:r w:rsidR="007F659D" w:rsidRPr="00D714FC">
        <w:rPr>
          <w:rFonts w:cs="Times New Roman"/>
        </w:rPr>
        <w:t xml:space="preserve">Box </w:t>
      </w:r>
      <w:r w:rsidR="007F659D">
        <w:rPr>
          <w:rFonts w:cs="Times New Roman"/>
          <w:noProof/>
        </w:rPr>
        <w:t>4</w:t>
      </w:r>
      <w:r w:rsidR="007F659D" w:rsidRPr="00D714FC">
        <w:rPr>
          <w:rFonts w:cs="Times New Roman"/>
          <w:noProof/>
        </w:rPr>
        <w:t>.</w:t>
      </w:r>
      <w:r w:rsidR="007F659D">
        <w:rPr>
          <w:rFonts w:cs="Times New Roman"/>
          <w:noProof/>
        </w:rPr>
        <w:t>1</w:t>
      </w:r>
      <w:r w:rsidR="000C034E" w:rsidRPr="00D714FC">
        <w:rPr>
          <w:rFonts w:eastAsia="Calibri" w:cs="Times New Roman"/>
        </w:rPr>
        <w:t xml:space="preserve"> </w:t>
      </w:r>
      <w:r w:rsidRPr="00D714FC">
        <w:rPr>
          <w:rFonts w:eastAsia="Calibri" w:cs="Times New Roman"/>
        </w:rPr>
        <w:t xml:space="preserve">presents a case study of how issues with implementing the BWCOP have arisen in relation to on-river infrastructure charges in the Peel </w:t>
      </w:r>
      <w:r w:rsidR="00242658">
        <w:rPr>
          <w:rFonts w:eastAsia="Calibri" w:cs="Times New Roman"/>
        </w:rPr>
        <w:t>V</w:t>
      </w:r>
      <w:r w:rsidRPr="00D714FC">
        <w:rPr>
          <w:rFonts w:eastAsia="Calibri" w:cs="Times New Roman"/>
        </w:rPr>
        <w:t>alley in NSW. Examples where full user pays and</w:t>
      </w:r>
      <w:r w:rsidR="00B96301">
        <w:rPr>
          <w:rFonts w:eastAsia="Calibri" w:cs="Times New Roman"/>
        </w:rPr>
        <w:t xml:space="preserve"> </w:t>
      </w:r>
      <w:r w:rsidRPr="00D714FC">
        <w:rPr>
          <w:rFonts w:eastAsia="Calibri" w:cs="Times New Roman"/>
        </w:rPr>
        <w:t>/</w:t>
      </w:r>
      <w:r w:rsidR="00B96301">
        <w:rPr>
          <w:rFonts w:eastAsia="Calibri" w:cs="Times New Roman"/>
        </w:rPr>
        <w:t xml:space="preserve"> </w:t>
      </w:r>
      <w:r w:rsidRPr="00D714FC">
        <w:rPr>
          <w:rFonts w:eastAsia="Calibri" w:cs="Times New Roman"/>
        </w:rPr>
        <w:t>or full pricing transparency has yet to be implemented in relation to on-river infrastructure services include:</w:t>
      </w:r>
    </w:p>
    <w:p w:rsidR="00D24CB8" w:rsidRDefault="00AD170A" w:rsidP="00A82DE6">
      <w:pPr>
        <w:pStyle w:val="Lvl1Bulletpoint"/>
      </w:pPr>
      <w:r w:rsidRPr="00D24CB8">
        <w:t>no direct charges for carryover</w:t>
      </w:r>
    </w:p>
    <w:p w:rsidR="00D24CB8" w:rsidRDefault="00AD170A" w:rsidP="00A82DE6">
      <w:pPr>
        <w:pStyle w:val="Lvl1Bulletpoint"/>
      </w:pPr>
      <w:r w:rsidRPr="009F1EAC">
        <w:t>water users who forfeit water do not pay variable charges relating to storage services received</w:t>
      </w:r>
    </w:p>
    <w:p w:rsidR="00D24CB8" w:rsidRPr="00D24CB8" w:rsidRDefault="00AD170A" w:rsidP="00A82DE6">
      <w:pPr>
        <w:pStyle w:val="Lvl1Bulletpoint"/>
        <w:rPr>
          <w:rFonts w:eastAsia="Calibri"/>
        </w:rPr>
      </w:pPr>
      <w:r w:rsidRPr="009F1EAC">
        <w:t>lack of clarity and clear charging structure in relation to water for the environment, particularly in relation to infrastructure services provided for environmental flows mandated by water resource plans but having the characteristics of held environmental water (for example, the ability to order water)</w:t>
      </w:r>
      <w:r w:rsidR="002D627D">
        <w:t>.</w:t>
      </w:r>
    </w:p>
    <w:p w:rsidR="000C034E" w:rsidRDefault="00AD170A" w:rsidP="00D24CB8">
      <w:pPr>
        <w:rPr>
          <w:rFonts w:eastAsia="Calibri" w:cs="Times New Roman"/>
        </w:rPr>
      </w:pPr>
      <w:r w:rsidRPr="00D714FC">
        <w:rPr>
          <w:rFonts w:eastAsia="Calibri" w:cs="Times New Roman"/>
        </w:rPr>
        <w:t>Moreover, infrastructure operators who provide on-river infrastructure services may also provide a range of other services for which there is no clear charging structure, for example recreational services and amenity values</w:t>
      </w:r>
      <w:r w:rsidRPr="00C44A31">
        <w:rPr>
          <w:rFonts w:eastAsia="Calibri" w:cs="Times New Roman"/>
        </w:rPr>
        <w:t xml:space="preserve">. </w:t>
      </w:r>
    </w:p>
    <w:p w:rsidR="003F06E1" w:rsidRPr="00D714FC" w:rsidRDefault="000C034E" w:rsidP="007E1B3F">
      <w:pPr>
        <w:pStyle w:val="Tabletitle"/>
        <w:widowControl w:val="0"/>
        <w:rPr>
          <w:rFonts w:eastAsia="Calibri" w:cs="Times New Roman"/>
        </w:rPr>
      </w:pPr>
      <w:bookmarkStart w:id="208" w:name="_Ref435104663"/>
      <w:r w:rsidRPr="00D714FC">
        <w:rPr>
          <w:rFonts w:cs="Times New Roman"/>
        </w:rPr>
        <w:t xml:space="preserve">Box </w:t>
      </w:r>
      <w:r w:rsidR="007F659D">
        <w:rPr>
          <w:rFonts w:cs="Times New Roman"/>
          <w:noProof/>
        </w:rPr>
        <w:t>4</w:t>
      </w:r>
      <w:r w:rsidR="004B0631" w:rsidRPr="00D714FC">
        <w:rPr>
          <w:rFonts w:cs="Times New Roman"/>
        </w:rPr>
        <w:t>.</w:t>
      </w:r>
      <w:r w:rsidR="007F659D">
        <w:rPr>
          <w:rFonts w:cs="Times New Roman"/>
          <w:noProof/>
        </w:rPr>
        <w:t>1</w:t>
      </w:r>
      <w:bookmarkEnd w:id="208"/>
      <w:r w:rsidRPr="00D714FC">
        <w:rPr>
          <w:rFonts w:cs="Times New Roman"/>
        </w:rPr>
        <w:t xml:space="preserve">: </w:t>
      </w:r>
      <w:r w:rsidR="003F06E1" w:rsidRPr="00D714FC">
        <w:rPr>
          <w:rFonts w:eastAsia="Calibri" w:cs="Times New Roman"/>
        </w:rPr>
        <w:t>On-river infrastructure charges in the Peel Valley</w:t>
      </w:r>
    </w:p>
    <w:tbl>
      <w:tblPr>
        <w:tblStyle w:val="TableGrid"/>
        <w:tblW w:w="0" w:type="auto"/>
        <w:tblLook w:val="04A0" w:firstRow="1" w:lastRow="0" w:firstColumn="1" w:lastColumn="0" w:noHBand="0" w:noVBand="1"/>
      </w:tblPr>
      <w:tblGrid>
        <w:gridCol w:w="9242"/>
      </w:tblGrid>
      <w:tr w:rsidR="007E1B3F" w:rsidRPr="00D714FC" w:rsidTr="007E1B3F">
        <w:trPr>
          <w:trHeight w:val="2665"/>
        </w:trPr>
        <w:tc>
          <w:tcPr>
            <w:tcW w:w="9242" w:type="dxa"/>
            <w:shd w:val="clear" w:color="auto" w:fill="D9D9D9" w:themeFill="background1" w:themeFillShade="D9"/>
          </w:tcPr>
          <w:p w:rsidR="007E1B3F" w:rsidRPr="007E1B3F" w:rsidRDefault="007E1B3F" w:rsidP="007E1B3F">
            <w:pPr>
              <w:pStyle w:val="tabletext"/>
            </w:pPr>
            <w:r w:rsidRPr="00D714FC">
              <w:rPr>
                <w:rFonts w:eastAsia="Calibri"/>
              </w:rPr>
              <w:t xml:space="preserve">One prominent example raised by stakeholders of the need to have adequate guidance on the interpretation and balancing of the BWCOP </w:t>
            </w:r>
            <w:r>
              <w:rPr>
                <w:rFonts w:eastAsia="Calibri"/>
              </w:rPr>
              <w:t xml:space="preserve">is the level of </w:t>
            </w:r>
            <w:r w:rsidRPr="00D714FC">
              <w:rPr>
                <w:rFonts w:eastAsia="Calibri"/>
              </w:rPr>
              <w:t>charges payable for on-river infrastructure services in the Peel Valley in NSW. The Peel Valley Water Users Association (PVWUA), in both their submission</w:t>
            </w:r>
            <w:r>
              <w:rPr>
                <w:rFonts w:eastAsia="Calibri"/>
              </w:rPr>
              <w:t xml:space="preserve"> to the Issues Paper</w:t>
            </w:r>
            <w:r w:rsidRPr="00D714FC">
              <w:rPr>
                <w:rFonts w:eastAsia="Calibri"/>
              </w:rPr>
              <w:t xml:space="preserve"> and via the ACCC’s public forum in Tamworth, argued that the current infrastructure charges for the Peel Valley, levied by WaterNSW and determined by the ACCC, ignore the principle of “avoid[ing] perverse or unintended pricing outcomes” because they are high relative to charges paid by water users in </w:t>
            </w:r>
            <w:r>
              <w:rPr>
                <w:rFonts w:eastAsia="Calibri"/>
              </w:rPr>
              <w:t>other MDB valleys</w:t>
            </w:r>
            <w:r w:rsidRPr="00D714FC">
              <w:rPr>
                <w:rFonts w:eastAsia="Calibri"/>
              </w:rPr>
              <w:t xml:space="preserve"> (for example, </w:t>
            </w:r>
            <w:r>
              <w:rPr>
                <w:rFonts w:eastAsia="Calibri"/>
              </w:rPr>
              <w:t xml:space="preserve">the adjacent </w:t>
            </w:r>
            <w:r w:rsidRPr="00D714FC">
              <w:rPr>
                <w:rFonts w:eastAsia="Calibri"/>
              </w:rPr>
              <w:t>Namoi</w:t>
            </w:r>
            <w:r>
              <w:rPr>
                <w:rFonts w:eastAsia="Calibri"/>
              </w:rPr>
              <w:t xml:space="preserve"> valley</w:t>
            </w:r>
            <w:r w:rsidRPr="00D714FC">
              <w:rPr>
                <w:rFonts w:eastAsia="Calibri"/>
              </w:rPr>
              <w:t>).</w:t>
            </w:r>
            <w:r w:rsidRPr="00D714FC">
              <w:rPr>
                <w:rStyle w:val="FootnoteReference"/>
                <w:rFonts w:eastAsia="Calibri"/>
              </w:rPr>
              <w:footnoteReference w:id="43"/>
            </w:r>
            <w:r w:rsidRPr="00D714FC">
              <w:rPr>
                <w:rFonts w:eastAsia="Calibri"/>
              </w:rPr>
              <w:t xml:space="preserve"> The Hon. Kevin And</w:t>
            </w:r>
            <w:r>
              <w:rPr>
                <w:rFonts w:eastAsia="Calibri"/>
              </w:rPr>
              <w:t>erson</w:t>
            </w:r>
            <w:r w:rsidRPr="00D714FC">
              <w:rPr>
                <w:rFonts w:eastAsia="Calibri"/>
              </w:rPr>
              <w:t xml:space="preserve">, </w:t>
            </w:r>
            <w:r>
              <w:rPr>
                <w:rFonts w:eastAsia="Calibri"/>
              </w:rPr>
              <w:t xml:space="preserve">State </w:t>
            </w:r>
            <w:r w:rsidRPr="00D714FC">
              <w:rPr>
                <w:rFonts w:eastAsia="Calibri"/>
              </w:rPr>
              <w:t xml:space="preserve">MP for Tamworth contended at the Tamworth public forum that Chaffey Dam, which provides water storage for certain Peel water users, was </w:t>
            </w:r>
            <w:r w:rsidRPr="00D714FC">
              <w:t xml:space="preserve">never built for cost recovery, and outlined the legacy issues involved with moving towards </w:t>
            </w:r>
            <w:r>
              <w:t xml:space="preserve">full </w:t>
            </w:r>
            <w:r w:rsidRPr="00D714FC">
              <w:t>cost recovery.</w:t>
            </w:r>
            <w:r w:rsidRPr="00D714FC">
              <w:rPr>
                <w:rStyle w:val="FootnoteReference"/>
              </w:rPr>
              <w:footnoteReference w:id="44"/>
            </w:r>
            <w:r>
              <w:t xml:space="preserve"> </w:t>
            </w:r>
          </w:p>
        </w:tc>
      </w:tr>
      <w:tr w:rsidR="003A5F1C" w:rsidRPr="00D714FC" w:rsidTr="007E1B3F">
        <w:trPr>
          <w:trHeight w:val="1531"/>
        </w:trPr>
        <w:tc>
          <w:tcPr>
            <w:tcW w:w="9242" w:type="dxa"/>
            <w:shd w:val="clear" w:color="auto" w:fill="D9D9D9" w:themeFill="background1" w:themeFillShade="D9"/>
          </w:tcPr>
          <w:p w:rsidR="003A5F1C" w:rsidRPr="00D714FC" w:rsidRDefault="003A5F1C" w:rsidP="007E1B3F">
            <w:pPr>
              <w:pStyle w:val="tabletext"/>
            </w:pPr>
            <w:r w:rsidRPr="00D714FC">
              <w:t xml:space="preserve">Stakeholders attending the Tamworth public forum </w:t>
            </w:r>
            <w:r w:rsidR="003F06E1" w:rsidRPr="00D714FC">
              <w:t xml:space="preserve">also </w:t>
            </w:r>
            <w:r w:rsidRPr="00D714FC">
              <w:t xml:space="preserve">submitted that the principle of user pays was not achieved in the charging arrangements for </w:t>
            </w:r>
            <w:r w:rsidR="008F5FC2">
              <w:t xml:space="preserve">the </w:t>
            </w:r>
            <w:r w:rsidRPr="00D714FC">
              <w:t>Peel because, in their view, a significant proportion of flows through the Peel River (whether from Chaffey Dam or from non-regulated tributary inflow</w:t>
            </w:r>
            <w:r w:rsidRPr="00D714FC">
              <w:rPr>
                <w:rStyle w:val="FootnoteReference"/>
              </w:rPr>
              <w:footnoteReference w:id="45"/>
            </w:r>
            <w:r w:rsidRPr="00D714FC">
              <w:t>) were used by downstream water users, such as irrigators in the Namoi Valley, who are not required to pay infrastructure charges in relation to water service infrastructure in the Peel Valley.</w:t>
            </w:r>
            <w:r w:rsidRPr="00D714FC">
              <w:rPr>
                <w:rStyle w:val="FootnoteReference"/>
              </w:rPr>
              <w:footnoteReference w:id="46"/>
            </w:r>
            <w:r w:rsidRPr="00D714FC">
              <w:t xml:space="preserve"> In contrast, a letter received by the ACCC from the Split Rock Water Users Association</w:t>
            </w:r>
            <w:r w:rsidRPr="00D714FC">
              <w:rPr>
                <w:rStyle w:val="FootnoteReference"/>
              </w:rPr>
              <w:footnoteReference w:id="47"/>
            </w:r>
            <w:r w:rsidRPr="00D714FC">
              <w:t xml:space="preserve"> (located in the Namoi Valley) raised strong objections to the prospect of paying infrastructure charges relating to Peel Valley infrastructure, arguing that Namoi water users already pay charges in relation to other storages but did not use the Chaffey Dam or associated Peel Valley infrastructure. Another stakeholder also pointed out that recreational users of Chaffey Dam are not required to pay infrastructure charges, which in their view is also inconsistent with the user-pays objective.</w:t>
            </w:r>
            <w:r w:rsidRPr="00D714FC">
              <w:rPr>
                <w:rStyle w:val="FootnoteReference"/>
              </w:rPr>
              <w:footnoteReference w:id="48"/>
            </w:r>
            <w:r w:rsidRPr="00D714FC">
              <w:t xml:space="preserve"> These differing perspectives highlight the practical difficulties that can arise in identifying who exactly is a “user” of infrastructure services. In particular, the demarcation of geographical areas such as valleys for charging purposes is an important parameter that can have significant consequences for the incidence of charges (i.e. who pays for which infrastructure services).</w:t>
            </w:r>
            <w:r w:rsidR="00271208" w:rsidRPr="00D714FC">
              <w:t xml:space="preserve"> This issue is discussed further in section </w:t>
            </w:r>
            <w:r w:rsidR="007F659D">
              <w:t>5.10.2</w:t>
            </w:r>
            <w:r w:rsidR="00271208" w:rsidRPr="00D714FC">
              <w:t>.</w:t>
            </w:r>
          </w:p>
          <w:p w:rsidR="001B6920" w:rsidRPr="00D714FC" w:rsidRDefault="003F06E1" w:rsidP="007E1B3F">
            <w:pPr>
              <w:pStyle w:val="tabletext"/>
              <w:rPr>
                <w:rFonts w:eastAsia="Calibri"/>
              </w:rPr>
            </w:pPr>
            <w:r w:rsidRPr="00D714FC">
              <w:t xml:space="preserve">The ACCC acknowledges the high on-river infrastructure charges levied in the Peel </w:t>
            </w:r>
            <w:r w:rsidR="00326871">
              <w:t>V</w:t>
            </w:r>
            <w:r w:rsidRPr="00D714FC">
              <w:t xml:space="preserve">alley relative to other valleys in NSW, and the </w:t>
            </w:r>
            <w:r w:rsidR="001B26B7" w:rsidRPr="00D714FC">
              <w:t>impacts on</w:t>
            </w:r>
            <w:r w:rsidRPr="00D714FC">
              <w:t xml:space="preserve"> stakeholders required to pay these charges. In its 2014 final decision on State</w:t>
            </w:r>
            <w:r w:rsidR="00D4606C">
              <w:t xml:space="preserve"> </w:t>
            </w:r>
            <w:r w:rsidRPr="00D714FC">
              <w:t xml:space="preserve">Water’s </w:t>
            </w:r>
            <w:r w:rsidR="00096246" w:rsidRPr="00D714FC">
              <w:t xml:space="preserve">(now WaterNSW) </w:t>
            </w:r>
            <w:r w:rsidRPr="00D714FC">
              <w:t>infrastructure charges, the ACCC decided to implement a 10</w:t>
            </w:r>
            <w:r w:rsidR="0043382C">
              <w:t xml:space="preserve"> per cent</w:t>
            </w:r>
            <w:r w:rsidRPr="00D714FC">
              <w:t xml:space="preserve"> cap on real annual price increases in the Peel valley. </w:t>
            </w:r>
          </w:p>
          <w:p w:rsidR="003F06E1" w:rsidRPr="00D714FC" w:rsidRDefault="00271208" w:rsidP="007E1B3F">
            <w:pPr>
              <w:pStyle w:val="tabletext"/>
              <w:rPr>
                <w:rFonts w:eastAsia="Calibri"/>
              </w:rPr>
            </w:pPr>
            <w:r w:rsidRPr="00D714FC">
              <w:rPr>
                <w:rFonts w:eastAsia="Calibri"/>
              </w:rPr>
              <w:t>However, stakeholders in the Peel have submitted that even the current level of cost recovery has produced infrastructure charges in that valley which are unduly burdensome. This concern has been raised both in relation to the actual level of charges levied on Peel users, and the relative level of charges compared to those levied in other valleys.</w:t>
            </w:r>
          </w:p>
          <w:p w:rsidR="00C417A3" w:rsidRPr="00D714FC" w:rsidRDefault="00271208" w:rsidP="007E1B3F">
            <w:pPr>
              <w:pStyle w:val="tabletext"/>
              <w:rPr>
                <w:rFonts w:eastAsia="Calibri"/>
              </w:rPr>
            </w:pPr>
            <w:r w:rsidRPr="00D714FC">
              <w:rPr>
                <w:rFonts w:eastAsia="Calibri"/>
              </w:rPr>
              <w:t xml:space="preserve">As discussed in section </w:t>
            </w:r>
            <w:r w:rsidR="007F659D">
              <w:t>5.10.2</w:t>
            </w:r>
            <w:r w:rsidRPr="00D714FC">
              <w:t>, t</w:t>
            </w:r>
            <w:r w:rsidRPr="00D714FC">
              <w:rPr>
                <w:rFonts w:eastAsia="Calibri"/>
              </w:rPr>
              <w:t>he ACCC considers the current valley-based approach to pricing on-river infrastructure se</w:t>
            </w:r>
            <w:r w:rsidR="00C417A3" w:rsidRPr="00D714FC">
              <w:rPr>
                <w:rFonts w:eastAsia="Calibri"/>
              </w:rPr>
              <w:t>rvices in NSW to be appropriate. As such, the ACCC does not consider that relative differ</w:t>
            </w:r>
            <w:r w:rsidR="00C3511B" w:rsidRPr="00D714FC">
              <w:rPr>
                <w:rFonts w:eastAsia="Calibri"/>
              </w:rPr>
              <w:t>ences in infrastructure charges</w:t>
            </w:r>
            <w:r w:rsidR="00C417A3" w:rsidRPr="00D714FC">
              <w:rPr>
                <w:rFonts w:eastAsia="Calibri"/>
              </w:rPr>
              <w:t xml:space="preserve"> should </w:t>
            </w:r>
            <w:r w:rsidR="00C3511B" w:rsidRPr="00D714FC">
              <w:rPr>
                <w:rFonts w:eastAsia="Calibri"/>
              </w:rPr>
              <w:t xml:space="preserve">necessarily </w:t>
            </w:r>
            <w:r w:rsidR="00C417A3" w:rsidRPr="00D714FC">
              <w:rPr>
                <w:rFonts w:eastAsia="Calibri"/>
              </w:rPr>
              <w:t>be cause for concern.</w:t>
            </w:r>
            <w:r w:rsidRPr="00D714FC">
              <w:rPr>
                <w:rFonts w:eastAsia="Calibri"/>
              </w:rPr>
              <w:t xml:space="preserve"> </w:t>
            </w:r>
            <w:r w:rsidR="00C417A3" w:rsidRPr="00D714FC">
              <w:rPr>
                <w:rFonts w:eastAsia="Calibri"/>
              </w:rPr>
              <w:t xml:space="preserve">The ACCC emphasises that infrastructure charges do not represent charges for water as an input or a commodity, but are set to recover the costs of operating and maintaining water service infrastructure. Where these costs differ across valleys, infrastructure charges should likewise differ. </w:t>
            </w:r>
          </w:p>
          <w:p w:rsidR="00271208" w:rsidRPr="00D714FC" w:rsidRDefault="00C417A3" w:rsidP="007E1B3F">
            <w:pPr>
              <w:pStyle w:val="tabletext"/>
              <w:rPr>
                <w:rFonts w:eastAsia="Calibri"/>
              </w:rPr>
            </w:pPr>
            <w:r w:rsidRPr="00D714FC">
              <w:rPr>
                <w:rFonts w:eastAsia="Calibri"/>
              </w:rPr>
              <w:t xml:space="preserve">In relation to the absolute level of infrastructure charges levied in the Peel </w:t>
            </w:r>
            <w:r w:rsidR="00242658">
              <w:rPr>
                <w:rFonts w:eastAsia="Calibri"/>
              </w:rPr>
              <w:t>V</w:t>
            </w:r>
            <w:r w:rsidRPr="00D714FC">
              <w:rPr>
                <w:rFonts w:eastAsia="Calibri"/>
              </w:rPr>
              <w:t xml:space="preserve">alley, </w:t>
            </w:r>
            <w:r w:rsidR="009E5ED7" w:rsidRPr="00D714FC">
              <w:rPr>
                <w:rFonts w:eastAsia="Calibri"/>
              </w:rPr>
              <w:t>a</w:t>
            </w:r>
            <w:r w:rsidR="00714E3B" w:rsidRPr="00D714FC">
              <w:rPr>
                <w:rFonts w:eastAsia="Calibri"/>
              </w:rPr>
              <w:t>s detailed above</w:t>
            </w:r>
            <w:r w:rsidR="002D627D">
              <w:rPr>
                <w:rFonts w:eastAsia="Calibri"/>
              </w:rPr>
              <w:t>,</w:t>
            </w:r>
            <w:r w:rsidR="00714E3B" w:rsidRPr="00D714FC">
              <w:rPr>
                <w:rFonts w:eastAsia="Calibri"/>
              </w:rPr>
              <w:t xml:space="preserve"> some stakeholders have submitted that legacy issues have resulted in charges for current users being higher. </w:t>
            </w:r>
            <w:r w:rsidR="00B84AC7" w:rsidRPr="00D714FC">
              <w:rPr>
                <w:rFonts w:eastAsia="Calibri"/>
              </w:rPr>
              <w:t xml:space="preserve">Much of the current infrastructure cost can be related to decisions made prior to NWI commitments by Basin States (particularly the commitment to move towards full cost recovery), and as such may not have given full consideration as to the amount of costs that would be recovered from future users. </w:t>
            </w:r>
            <w:r w:rsidR="00714E3B" w:rsidRPr="00D714FC">
              <w:rPr>
                <w:rFonts w:eastAsia="Calibri"/>
              </w:rPr>
              <w:t xml:space="preserve">The ACCC notes the previous decision by IPART to </w:t>
            </w:r>
            <w:r w:rsidR="00E63C12" w:rsidRPr="00D714FC">
              <w:rPr>
                <w:rFonts w:eastAsia="Calibri"/>
              </w:rPr>
              <w:t>adopt a ‘line-in-the-sand’ approach to write down all pre 1 July 1997 assets to zero value</w:t>
            </w:r>
            <w:r w:rsidR="0008785F">
              <w:rPr>
                <w:rFonts w:eastAsia="Calibri"/>
              </w:rPr>
              <w:t xml:space="preserve"> </w:t>
            </w:r>
            <w:r w:rsidR="00E63C12" w:rsidRPr="00D714FC">
              <w:rPr>
                <w:rFonts w:eastAsia="Calibri"/>
              </w:rPr>
              <w:t>for pricing purposes,</w:t>
            </w:r>
            <w:r w:rsidR="00E63C12" w:rsidRPr="00D714FC">
              <w:rPr>
                <w:rStyle w:val="FootnoteReference"/>
                <w:rFonts w:eastAsia="Calibri"/>
              </w:rPr>
              <w:footnoteReference w:id="49"/>
            </w:r>
            <w:r w:rsidR="00E63C12" w:rsidRPr="00D714FC">
              <w:rPr>
                <w:rFonts w:eastAsia="Calibri"/>
              </w:rPr>
              <w:t xml:space="preserve"> which </w:t>
            </w:r>
            <w:r w:rsidR="00714E3B" w:rsidRPr="00D714FC">
              <w:rPr>
                <w:rFonts w:eastAsia="Calibri"/>
              </w:rPr>
              <w:t xml:space="preserve">has had the effect of lessening the impact of such legacy issues </w:t>
            </w:r>
            <w:r w:rsidR="009E5ED7" w:rsidRPr="00D714FC">
              <w:rPr>
                <w:rFonts w:eastAsia="Calibri"/>
              </w:rPr>
              <w:t>on current infrastructure charges</w:t>
            </w:r>
            <w:r w:rsidR="00714E3B" w:rsidRPr="00D714FC">
              <w:rPr>
                <w:rFonts w:eastAsia="Calibri"/>
              </w:rPr>
              <w:t xml:space="preserve">. </w:t>
            </w:r>
            <w:r w:rsidR="009E5ED7" w:rsidRPr="00D714FC">
              <w:rPr>
                <w:rFonts w:eastAsia="Calibri"/>
              </w:rPr>
              <w:t xml:space="preserve">The high </w:t>
            </w:r>
            <w:r w:rsidR="00122491" w:rsidRPr="00D714FC">
              <w:rPr>
                <w:rFonts w:eastAsia="Calibri"/>
              </w:rPr>
              <w:t xml:space="preserve">current </w:t>
            </w:r>
            <w:r w:rsidR="009E5ED7" w:rsidRPr="00D714FC">
              <w:rPr>
                <w:rFonts w:eastAsia="Calibri"/>
              </w:rPr>
              <w:t>level of charges are largely the result not of legacy capital costs, but rather of high operating costs in per user terms of operating Chaffey Dam and providing associated infrastructure services.</w:t>
            </w:r>
            <w:r w:rsidR="009E5ED7" w:rsidRPr="00D714FC">
              <w:rPr>
                <w:rStyle w:val="FootnoteReference"/>
                <w:rFonts w:eastAsia="Calibri"/>
              </w:rPr>
              <w:footnoteReference w:id="50"/>
            </w:r>
            <w:r w:rsidR="009E5ED7" w:rsidRPr="00D714FC">
              <w:rPr>
                <w:rFonts w:eastAsia="Calibri"/>
              </w:rPr>
              <w:t xml:space="preserve"> </w:t>
            </w:r>
          </w:p>
          <w:p w:rsidR="00A43172" w:rsidRPr="00D714FC" w:rsidRDefault="009E5ED7" w:rsidP="007E1B3F">
            <w:pPr>
              <w:pStyle w:val="tabletext"/>
              <w:rPr>
                <w:rFonts w:eastAsia="Calibri"/>
              </w:rPr>
            </w:pPr>
            <w:r w:rsidRPr="00D714FC">
              <w:rPr>
                <w:rFonts w:eastAsia="Calibri"/>
              </w:rPr>
              <w:t xml:space="preserve">The ACCC notes that one </w:t>
            </w:r>
            <w:r w:rsidR="001B26B7" w:rsidRPr="00D714FC">
              <w:rPr>
                <w:rFonts w:eastAsia="Calibri"/>
              </w:rPr>
              <w:t xml:space="preserve">potential </w:t>
            </w:r>
            <w:r w:rsidRPr="00D714FC">
              <w:rPr>
                <w:rFonts w:eastAsia="Calibri"/>
              </w:rPr>
              <w:t xml:space="preserve">option to decrease charges faced by </w:t>
            </w:r>
            <w:r w:rsidR="001B6920" w:rsidRPr="00D714FC">
              <w:rPr>
                <w:rFonts w:eastAsia="Calibri"/>
              </w:rPr>
              <w:t xml:space="preserve">individual </w:t>
            </w:r>
            <w:r w:rsidRPr="00D714FC">
              <w:rPr>
                <w:rFonts w:eastAsia="Calibri"/>
              </w:rPr>
              <w:t xml:space="preserve">users is to expand the user base from which costs are recovered. There may be users who pay relatively less of the total share of costs recovered from users than is consistent with the principle of user pays. An example of such a user could be a </w:t>
            </w:r>
            <w:r w:rsidR="001B26B7" w:rsidRPr="00D714FC">
              <w:rPr>
                <w:rFonts w:eastAsia="Calibri"/>
              </w:rPr>
              <w:t xml:space="preserve">person </w:t>
            </w:r>
            <w:r w:rsidRPr="00D714FC">
              <w:rPr>
                <w:rFonts w:eastAsia="Calibri"/>
              </w:rPr>
              <w:t xml:space="preserve">who avoids payment of variable infrastructure charges by forfeiture of water, in a context where variable charges are used to recover fixed costs (as is the case in NSW). There may also be other categories of users </w:t>
            </w:r>
            <w:r w:rsidR="00375648">
              <w:rPr>
                <w:rFonts w:eastAsia="Calibri"/>
              </w:rPr>
              <w:t>that do not pay the full cost of the infrastructure services they use</w:t>
            </w:r>
            <w:r w:rsidRPr="00D714FC">
              <w:rPr>
                <w:rFonts w:eastAsia="Calibri"/>
              </w:rPr>
              <w:t xml:space="preserve">. The ACCC considers that it may be appropriate for WaterNSW to reassess its charging structure </w:t>
            </w:r>
            <w:r w:rsidR="00E2185A" w:rsidRPr="00D714FC">
              <w:rPr>
                <w:rFonts w:eastAsia="Calibri"/>
              </w:rPr>
              <w:t>with a view to identifying whether all users are appropriately charged for the infrastructure services they receive.</w:t>
            </w:r>
            <w:r w:rsidR="006D4E2A" w:rsidRPr="00D714FC">
              <w:rPr>
                <w:rFonts w:eastAsia="Calibri"/>
              </w:rPr>
              <w:t xml:space="preserve"> </w:t>
            </w:r>
          </w:p>
          <w:p w:rsidR="006D4E2A" w:rsidRDefault="006D4E2A" w:rsidP="007E1B3F">
            <w:pPr>
              <w:pStyle w:val="tabletext"/>
              <w:rPr>
                <w:rFonts w:eastAsia="Calibri"/>
              </w:rPr>
            </w:pPr>
            <w:r w:rsidRPr="00D714FC">
              <w:rPr>
                <w:rFonts w:eastAsia="Calibri"/>
              </w:rPr>
              <w:t xml:space="preserve">The ACCC also recognises the concerns submitted by water users in the Peel Valley about lack of pricing transparency about water charges, in terms of ‘who is paying’ and ‘what are users paying for’. These concerns are discussed in section 5.13 of this paper; however, it is appropriate to note here that the ACCC’s proposed pass through rules and other pricing transparency reforms should improve clarity on these issues for Peel users. </w:t>
            </w:r>
          </w:p>
          <w:p w:rsidR="007C0EFC" w:rsidRPr="00764CA8" w:rsidRDefault="007C0EFC" w:rsidP="007E1B3F">
            <w:pPr>
              <w:pStyle w:val="tabletext"/>
              <w:rPr>
                <w:rFonts w:eastAsia="Calibri"/>
              </w:rPr>
            </w:pPr>
            <w:r>
              <w:rPr>
                <w:rFonts w:eastAsia="Calibri"/>
              </w:rPr>
              <w:t xml:space="preserve">Finally, the ACCC notes that WaterNSW’s infrastructure charges for the 2017-21 regulatory period will be approved / determined by IPART pursuant to their accreditation under Part 9 of the </w:t>
            </w:r>
            <w:r w:rsidR="00F8300B" w:rsidRPr="00167477">
              <w:rPr>
                <w:rFonts w:eastAsia="Calibri"/>
              </w:rPr>
              <w:t>Water Charge (Infrastructure) Rules 2010 (</w:t>
            </w:r>
            <w:r>
              <w:rPr>
                <w:rFonts w:eastAsia="Calibri"/>
              </w:rPr>
              <w:t>WCIR</w:t>
            </w:r>
            <w:r w:rsidR="00F8300B">
              <w:rPr>
                <w:rFonts w:eastAsia="Calibri"/>
              </w:rPr>
              <w:t>)</w:t>
            </w:r>
            <w:r>
              <w:rPr>
                <w:rFonts w:eastAsia="Calibri"/>
              </w:rPr>
              <w:t>.</w:t>
            </w:r>
          </w:p>
        </w:tc>
      </w:tr>
    </w:tbl>
    <w:p w:rsidR="007C0EFC" w:rsidRPr="007C0EFC" w:rsidRDefault="007C0EFC" w:rsidP="00A23802">
      <w:pPr>
        <w:keepNext/>
        <w:rPr>
          <w:rFonts w:eastAsia="Calibri" w:cs="Times New Roman"/>
          <w:sz w:val="2"/>
        </w:rPr>
      </w:pPr>
    </w:p>
    <w:p w:rsidR="00C35EDC" w:rsidRPr="00D714FC" w:rsidRDefault="00CA7447" w:rsidP="003E1B68">
      <w:pPr>
        <w:rPr>
          <w:rFonts w:eastAsia="Calibri" w:cs="Times New Roman"/>
        </w:rPr>
      </w:pPr>
      <w:r w:rsidRPr="00D714FC">
        <w:rPr>
          <w:rFonts w:eastAsia="Calibri" w:cs="Times New Roman"/>
        </w:rPr>
        <w:t xml:space="preserve">The discussion above has used examples relating to on-river infrastructure services, but issues of balancing and interpretation of the BWCOP are relevant to infrastructure charges for </w:t>
      </w:r>
      <w:r w:rsidR="00375648">
        <w:rPr>
          <w:rFonts w:eastAsia="Calibri" w:cs="Times New Roman"/>
        </w:rPr>
        <w:t xml:space="preserve">both on-river and </w:t>
      </w:r>
      <w:r w:rsidRPr="00D714FC">
        <w:rPr>
          <w:rFonts w:eastAsia="Calibri" w:cs="Times New Roman"/>
        </w:rPr>
        <w:t xml:space="preserve">off-river infrastructure services. </w:t>
      </w:r>
      <w:r w:rsidR="00F94EBF" w:rsidRPr="00D714FC">
        <w:rPr>
          <w:rFonts w:eastAsia="Calibri" w:cs="Times New Roman"/>
        </w:rPr>
        <w:t xml:space="preserve">To ensure the full </w:t>
      </w:r>
      <w:r w:rsidR="00C35EDC" w:rsidRPr="00D714FC">
        <w:rPr>
          <w:rFonts w:eastAsia="Calibri" w:cs="Times New Roman"/>
        </w:rPr>
        <w:t>implementation of</w:t>
      </w:r>
      <w:r w:rsidR="00F94EBF" w:rsidRPr="00D714FC">
        <w:rPr>
          <w:rFonts w:eastAsia="Calibri" w:cs="Times New Roman"/>
        </w:rPr>
        <w:t xml:space="preserve"> user pays via the </w:t>
      </w:r>
      <w:r w:rsidR="00685A2C" w:rsidRPr="00D714FC">
        <w:rPr>
          <w:rFonts w:eastAsia="Calibri" w:cs="Times New Roman"/>
        </w:rPr>
        <w:t>water charge rules</w:t>
      </w:r>
      <w:r w:rsidR="00F94EBF" w:rsidRPr="00D714FC">
        <w:rPr>
          <w:rFonts w:eastAsia="Calibri" w:cs="Times New Roman"/>
        </w:rPr>
        <w:t xml:space="preserve"> would require the regulator to approve or determine the charges of each and every infrastructure operator</w:t>
      </w:r>
      <w:r w:rsidR="00AD170A" w:rsidRPr="00D714FC">
        <w:rPr>
          <w:rFonts w:eastAsia="Calibri" w:cs="Times New Roman"/>
        </w:rPr>
        <w:t>;</w:t>
      </w:r>
      <w:r w:rsidR="00F94EBF" w:rsidRPr="00D714FC">
        <w:rPr>
          <w:rFonts w:eastAsia="Calibri" w:cs="Times New Roman"/>
        </w:rPr>
        <w:t xml:space="preserve"> </w:t>
      </w:r>
      <w:r w:rsidR="00AD170A" w:rsidRPr="00D714FC">
        <w:rPr>
          <w:rFonts w:eastAsia="Calibri" w:cs="Times New Roman"/>
        </w:rPr>
        <w:t>h</w:t>
      </w:r>
      <w:r w:rsidR="00685A2C" w:rsidRPr="00D714FC">
        <w:rPr>
          <w:rFonts w:eastAsia="Calibri" w:cs="Times New Roman"/>
        </w:rPr>
        <w:t>owever, t</w:t>
      </w:r>
      <w:r w:rsidR="00F94EBF" w:rsidRPr="00D714FC">
        <w:rPr>
          <w:rFonts w:eastAsia="Calibri" w:cs="Times New Roman"/>
        </w:rPr>
        <w:t>he ACCC does not consider this to be appropriate. First, considerable cost would be incurred in undertaking the approvals</w:t>
      </w:r>
      <w:r w:rsidR="00DE07B1">
        <w:rPr>
          <w:rFonts w:eastAsia="Calibri" w:cs="Times New Roman"/>
        </w:rPr>
        <w:t xml:space="preserve"> </w:t>
      </w:r>
      <w:r w:rsidR="00F94EBF" w:rsidRPr="00D714FC">
        <w:rPr>
          <w:rFonts w:eastAsia="Calibri" w:cs="Times New Roman"/>
        </w:rPr>
        <w:t>/</w:t>
      </w:r>
      <w:r w:rsidR="00DE07B1">
        <w:rPr>
          <w:rFonts w:eastAsia="Calibri" w:cs="Times New Roman"/>
        </w:rPr>
        <w:t xml:space="preserve"> </w:t>
      </w:r>
      <w:r w:rsidR="00F94EBF" w:rsidRPr="00D714FC">
        <w:rPr>
          <w:rFonts w:eastAsia="Calibri" w:cs="Times New Roman"/>
        </w:rPr>
        <w:t xml:space="preserve">determinations, much of which would ultimately be borne by the operator and its customers. Second, it is not clear that the benefit gained would outweigh the cost, meaning that the outcome may detract from the objective of promoting economic efficiency and sustainability in the rural water sector. </w:t>
      </w:r>
    </w:p>
    <w:p w:rsidR="00F94EBF" w:rsidRPr="00D714FC" w:rsidRDefault="00F94EBF" w:rsidP="003E1B68">
      <w:pPr>
        <w:rPr>
          <w:rFonts w:eastAsia="Calibri" w:cs="Times New Roman"/>
        </w:rPr>
      </w:pPr>
      <w:r w:rsidRPr="00D714FC">
        <w:rPr>
          <w:rFonts w:eastAsia="Calibri" w:cs="Times New Roman"/>
        </w:rPr>
        <w:t xml:space="preserve">The ACCC considers that a more appropriate course is for the </w:t>
      </w:r>
      <w:r w:rsidR="00685A2C" w:rsidRPr="00D714FC">
        <w:rPr>
          <w:rFonts w:eastAsia="Calibri" w:cs="Times New Roman"/>
        </w:rPr>
        <w:t>water charge rule</w:t>
      </w:r>
      <w:r w:rsidRPr="00D714FC">
        <w:rPr>
          <w:rFonts w:eastAsia="Calibri" w:cs="Times New Roman"/>
        </w:rPr>
        <w:t xml:space="preserve">s to promote </w:t>
      </w:r>
      <w:r w:rsidR="00C35EDC" w:rsidRPr="00D714FC">
        <w:rPr>
          <w:rFonts w:eastAsia="Calibri" w:cs="Times New Roman"/>
        </w:rPr>
        <w:t>the BWCOP as a whole</w:t>
      </w:r>
      <w:r w:rsidRPr="00D714FC">
        <w:rPr>
          <w:rFonts w:eastAsia="Calibri" w:cs="Times New Roman"/>
        </w:rPr>
        <w:t xml:space="preserve"> by enhancing pricing transparency and prohibiting key forms of discriminato</w:t>
      </w:r>
      <w:r w:rsidR="00242658">
        <w:rPr>
          <w:rFonts w:eastAsia="Calibri" w:cs="Times New Roman"/>
        </w:rPr>
        <w:t>ry charging practices</w:t>
      </w:r>
      <w:r w:rsidRPr="00D714FC">
        <w:rPr>
          <w:rFonts w:eastAsia="Calibri" w:cs="Times New Roman"/>
        </w:rPr>
        <w:t>. In order to promote consistency in operators’ approaches to setting charges, the ACCC considers that such requirements should apply to all infrastructure operators, regardless of the mix of infrastructure services (e.g. on-river versus off-river, or both) a particular operator provides.</w:t>
      </w:r>
    </w:p>
    <w:p w:rsidR="00F94EBF" w:rsidRPr="00D714FC" w:rsidRDefault="00F94EBF" w:rsidP="003E1B68">
      <w:pPr>
        <w:rPr>
          <w:rFonts w:eastAsia="Calibri" w:cs="Times New Roman"/>
        </w:rPr>
      </w:pPr>
      <w:r w:rsidRPr="00D714FC">
        <w:rPr>
          <w:rFonts w:eastAsia="Calibri" w:cs="Times New Roman"/>
        </w:rPr>
        <w:t>Clarity on how charges are determined, what infrastructure services they relate to, and by whom they are payable will assist customers, operators and the regulator in evaluating progress towards the user pays and economic efficiency objectives, and the principle of full cost recovery. Specific rule advice and recommendations to enhance pricing transparency are discussed in sections 5.4 and 5.13.</w:t>
      </w:r>
    </w:p>
    <w:p w:rsidR="00F94EBF" w:rsidRPr="00D714FC" w:rsidRDefault="00F94EBF" w:rsidP="003170A7">
      <w:pPr>
        <w:rPr>
          <w:rFonts w:eastAsia="Calibri" w:cs="Times New Roman"/>
        </w:rPr>
      </w:pPr>
      <w:r w:rsidRPr="00D714FC">
        <w:rPr>
          <w:rFonts w:eastAsia="Calibri" w:cs="Times New Roman"/>
        </w:rPr>
        <w:t xml:space="preserve">Pricing discrimination arises in cases where an operator systematically sets charges with reference to a particular underlying characteristic (such as the class of user, or according to the purpose for which water is used), such that a particular person or group pays more (or less) than if charges were allocated according to the principle of user pays. The ACCC acknowledges that, due to the costs involved, it is not feasible to ensure that no price discrimination can occur (or, put differently, that the principle of user pays is fully implemented), but has made rule advice to prohibit </w:t>
      </w:r>
      <w:r w:rsidR="00435BCA">
        <w:rPr>
          <w:rFonts w:eastAsia="Calibri" w:cs="Times New Roman"/>
        </w:rPr>
        <w:t>operators from unreasonably levying different charges between their customers, or unreasonably limiting the availability of their infrastructure services</w:t>
      </w:r>
      <w:r w:rsidRPr="00D714FC">
        <w:rPr>
          <w:rFonts w:eastAsia="Calibri" w:cs="Times New Roman"/>
        </w:rPr>
        <w:t>. This is discussed in section 5.3</w:t>
      </w:r>
      <w:r w:rsidR="00DE07B1">
        <w:rPr>
          <w:rFonts w:eastAsia="Calibri" w:cs="Times New Roman"/>
        </w:rPr>
        <w:t>.1</w:t>
      </w:r>
      <w:r w:rsidRPr="00D714FC">
        <w:rPr>
          <w:rFonts w:eastAsia="Calibri" w:cs="Times New Roman"/>
        </w:rPr>
        <w:t>.</w:t>
      </w:r>
    </w:p>
    <w:p w:rsidR="00F94EBF" w:rsidRDefault="00F94EBF" w:rsidP="007E1B3F">
      <w:pPr>
        <w:rPr>
          <w:rFonts w:eastAsia="Calibri" w:cs="Times New Roman"/>
        </w:rPr>
      </w:pPr>
      <w:r w:rsidRPr="00D714FC">
        <w:rPr>
          <w:rFonts w:eastAsia="Calibri" w:cs="Times New Roman"/>
        </w:rPr>
        <w:t xml:space="preserve">On balance, the ACCC believes that any additional clarity that could be obtained by ordering or prescribing a hierarchy within the BWCOP, either in the </w:t>
      </w:r>
      <w:r w:rsidR="00685A2C" w:rsidRPr="00D714FC">
        <w:rPr>
          <w:rFonts w:eastAsia="Calibri" w:cs="Times New Roman"/>
        </w:rPr>
        <w:t xml:space="preserve">water charge </w:t>
      </w:r>
      <w:r w:rsidRPr="00D714FC">
        <w:rPr>
          <w:rFonts w:eastAsia="Calibri" w:cs="Times New Roman"/>
        </w:rPr>
        <w:t>rules or otherwise</w:t>
      </w:r>
      <w:r w:rsidR="00C35EDC" w:rsidRPr="00D714FC">
        <w:rPr>
          <w:rFonts w:eastAsia="Calibri" w:cs="Times New Roman"/>
        </w:rPr>
        <w:t>,</w:t>
      </w:r>
      <w:r w:rsidRPr="00D714FC">
        <w:rPr>
          <w:rFonts w:eastAsia="Calibri" w:cs="Times New Roman"/>
        </w:rPr>
        <w:t xml:space="preserve"> would be outweighed by the loss of flexibility for regulators to respond to circumstances specific to </w:t>
      </w:r>
      <w:r w:rsidR="00C35EDC" w:rsidRPr="00D714FC">
        <w:rPr>
          <w:rFonts w:eastAsia="Calibri" w:cs="Times New Roman"/>
        </w:rPr>
        <w:t xml:space="preserve">particular </w:t>
      </w:r>
      <w:r w:rsidRPr="00D714FC">
        <w:rPr>
          <w:rFonts w:eastAsia="Calibri" w:cs="Times New Roman"/>
        </w:rPr>
        <w:t>infrastructure operators and their customers. However</w:t>
      </w:r>
      <w:r w:rsidR="00685A2C" w:rsidRPr="00D714FC">
        <w:rPr>
          <w:rFonts w:eastAsia="Calibri" w:cs="Times New Roman"/>
        </w:rPr>
        <w:t>,</w:t>
      </w:r>
      <w:r w:rsidRPr="00D714FC">
        <w:rPr>
          <w:rFonts w:eastAsia="Calibri" w:cs="Times New Roman"/>
        </w:rPr>
        <w:t xml:space="preserve"> the ACCC also acknowledges the importance of guidance material on the interpretation of the BWCOP and how they should be </w:t>
      </w:r>
      <w:r w:rsidR="00E17403">
        <w:rPr>
          <w:rFonts w:eastAsia="Calibri" w:cs="Times New Roman"/>
        </w:rPr>
        <w:t>applied</w:t>
      </w:r>
      <w:r w:rsidRPr="00D714FC">
        <w:rPr>
          <w:rFonts w:eastAsia="Calibri" w:cs="Times New Roman"/>
        </w:rPr>
        <w:t>.</w:t>
      </w:r>
      <w:r w:rsidR="00AD170A" w:rsidRPr="00D714FC">
        <w:rPr>
          <w:rFonts w:eastAsia="Calibri" w:cs="Times New Roman"/>
        </w:rPr>
        <w:t xml:space="preserve"> In particular, the ACCC agrees with stakeholders in the Peel </w:t>
      </w:r>
      <w:r w:rsidR="00764CA8">
        <w:rPr>
          <w:rFonts w:eastAsia="Calibri" w:cs="Times New Roman"/>
        </w:rPr>
        <w:t>V</w:t>
      </w:r>
      <w:r w:rsidR="00AD170A" w:rsidRPr="00D714FC">
        <w:rPr>
          <w:rFonts w:eastAsia="Calibri" w:cs="Times New Roman"/>
        </w:rPr>
        <w:t xml:space="preserve">alley that interpretation of the term ‘perverse or unintended pricing outcomes’ requires further guidance. </w:t>
      </w:r>
    </w:p>
    <w:p w:rsidR="00F94EBF" w:rsidRPr="00D714FC" w:rsidRDefault="00F94EBF" w:rsidP="007E1B3F">
      <w:pPr>
        <w:pStyle w:val="Heading2"/>
      </w:pPr>
      <w:bookmarkStart w:id="209" w:name="_Toc436122286"/>
      <w:bookmarkStart w:id="210" w:name="_Toc436122781"/>
      <w:bookmarkStart w:id="211" w:name="_Toc436124136"/>
      <w:bookmarkStart w:id="212" w:name="_Toc456785789"/>
      <w:bookmarkStart w:id="213" w:name="_Toc461630700"/>
      <w:r w:rsidRPr="00D714FC">
        <w:t>Drafting amendments to improve clarity</w:t>
      </w:r>
      <w:bookmarkEnd w:id="209"/>
      <w:bookmarkEnd w:id="210"/>
      <w:bookmarkEnd w:id="211"/>
      <w:bookmarkEnd w:id="212"/>
      <w:bookmarkEnd w:id="213"/>
      <w:r w:rsidRPr="00D714FC">
        <w:rPr>
          <w:rFonts w:eastAsia="Calibri"/>
        </w:rPr>
        <w:tab/>
      </w:r>
    </w:p>
    <w:p w:rsidR="00F94EBF" w:rsidRPr="00D714FC" w:rsidRDefault="00F94EBF" w:rsidP="00CE67EB">
      <w:pPr>
        <w:pStyle w:val="Heading3Un-numbered"/>
      </w:pPr>
      <w:r w:rsidRPr="00D714FC">
        <w:t xml:space="preserve">Background </w:t>
      </w:r>
    </w:p>
    <w:p w:rsidR="00F94EBF" w:rsidRPr="00D714FC" w:rsidRDefault="002A44C5" w:rsidP="007E1B3F">
      <w:pPr>
        <w:keepNext/>
        <w:rPr>
          <w:rFonts w:cs="Times New Roman"/>
        </w:rPr>
      </w:pPr>
      <w:r>
        <w:rPr>
          <w:rFonts w:eastAsia="Arial" w:cs="Times New Roman"/>
        </w:rPr>
        <w:t>L</w:t>
      </w:r>
      <w:r w:rsidR="00F94EBF" w:rsidRPr="00D714FC">
        <w:rPr>
          <w:rFonts w:cs="Times New Roman"/>
        </w:rPr>
        <w:t xml:space="preserve">egislative drafting that is difficult to understand can increase the burden on regulated entities and can create uncertainty for regulators. The ACCC has produced a range of guidance material seeking to explain its interpretation of the rules and how the requirements can be satisfied (see section </w:t>
      </w:r>
      <w:r w:rsidR="00764CA8">
        <w:rPr>
          <w:rFonts w:cs="Times New Roman"/>
        </w:rPr>
        <w:t>4.4</w:t>
      </w:r>
      <w:r w:rsidR="00F94EBF" w:rsidRPr="00D714FC">
        <w:rPr>
          <w:rFonts w:cs="Times New Roman"/>
        </w:rPr>
        <w:t xml:space="preserve">). However, there may be some areas where the rules could be re-drafted to improve clarity. If done carefully, such an exercise </w:t>
      </w:r>
      <w:r w:rsidR="008F5FC2">
        <w:rPr>
          <w:rFonts w:cs="Times New Roman"/>
        </w:rPr>
        <w:t>should</w:t>
      </w:r>
      <w:r w:rsidR="008F5FC2" w:rsidRPr="00D714FC">
        <w:rPr>
          <w:rFonts w:cs="Times New Roman"/>
        </w:rPr>
        <w:t xml:space="preserve"> </w:t>
      </w:r>
      <w:r w:rsidR="00F94EBF" w:rsidRPr="00D714FC">
        <w:rPr>
          <w:rFonts w:cs="Times New Roman"/>
        </w:rPr>
        <w:t>decrease the regulatory burden imposed on regulated entities.</w:t>
      </w:r>
    </w:p>
    <w:p w:rsidR="00F94EBF" w:rsidRPr="00D714FC" w:rsidRDefault="00F94EBF" w:rsidP="00CE67EB">
      <w:pPr>
        <w:pStyle w:val="Heading3Un-numbered"/>
      </w:pPr>
      <w:r w:rsidRPr="00D714FC">
        <w:t>Stakeholder feedback</w:t>
      </w:r>
    </w:p>
    <w:p w:rsidR="00D0560A" w:rsidRPr="00D714FC" w:rsidRDefault="00D0560A" w:rsidP="003E1B68">
      <w:pPr>
        <w:rPr>
          <w:rFonts w:eastAsia="Arial" w:cs="Times New Roman"/>
        </w:rPr>
      </w:pPr>
      <w:r w:rsidRPr="00D714FC">
        <w:rPr>
          <w:rFonts w:eastAsia="Arial" w:cs="Times New Roman"/>
        </w:rPr>
        <w:t>The Issues Paper asked stakeholders to identify if there were any particular provisions of the water charge rules that are not clearly drafted, unnecessarily complex or otherwise ambiguous.</w:t>
      </w:r>
    </w:p>
    <w:p w:rsidR="00F94EBF" w:rsidRPr="00D714FC" w:rsidRDefault="00D91853" w:rsidP="003E1B68">
      <w:pPr>
        <w:rPr>
          <w:rFonts w:cs="Times New Roman"/>
        </w:rPr>
      </w:pPr>
      <w:r>
        <w:rPr>
          <w:rFonts w:cs="Times New Roman"/>
        </w:rPr>
        <w:t>During its consultation, the ACCC heard that some stakeholders had difficulties in clearly understanding the current drafting of the rules.</w:t>
      </w:r>
      <w:r>
        <w:rPr>
          <w:rStyle w:val="FootnoteReference"/>
          <w:rFonts w:cs="Times New Roman"/>
        </w:rPr>
        <w:footnoteReference w:id="51"/>
      </w:r>
      <w:r>
        <w:rPr>
          <w:rFonts w:cs="Times New Roman"/>
        </w:rPr>
        <w:t xml:space="preserve"> S</w:t>
      </w:r>
      <w:r w:rsidR="00F94EBF" w:rsidRPr="00D714FC">
        <w:rPr>
          <w:rFonts w:cs="Times New Roman"/>
        </w:rPr>
        <w:t xml:space="preserve">pecific </w:t>
      </w:r>
      <w:r>
        <w:rPr>
          <w:rFonts w:cs="Times New Roman"/>
        </w:rPr>
        <w:t xml:space="preserve">feedback on </w:t>
      </w:r>
      <w:r w:rsidR="00F94EBF" w:rsidRPr="00D714FC">
        <w:rPr>
          <w:rFonts w:cs="Times New Roman"/>
        </w:rPr>
        <w:t xml:space="preserve">areas of the </w:t>
      </w:r>
      <w:r w:rsidR="004426EA" w:rsidRPr="00D714FC">
        <w:rPr>
          <w:rFonts w:cs="Times New Roman"/>
        </w:rPr>
        <w:t xml:space="preserve">water charge </w:t>
      </w:r>
      <w:r w:rsidR="00F94EBF" w:rsidRPr="00D714FC">
        <w:rPr>
          <w:rFonts w:cs="Times New Roman"/>
        </w:rPr>
        <w:t xml:space="preserve">rules that should be re-drafted to improve clarity </w:t>
      </w:r>
      <w:r>
        <w:rPr>
          <w:rFonts w:cs="Times New Roman"/>
        </w:rPr>
        <w:t xml:space="preserve">is included </w:t>
      </w:r>
      <w:r w:rsidR="00F94EBF" w:rsidRPr="00D714FC">
        <w:rPr>
          <w:rFonts w:cs="Times New Roman"/>
        </w:rPr>
        <w:t xml:space="preserve">throughout this </w:t>
      </w:r>
      <w:r>
        <w:rPr>
          <w:rFonts w:cs="Times New Roman"/>
        </w:rPr>
        <w:t>Final</w:t>
      </w:r>
      <w:r w:rsidRPr="00D714FC">
        <w:rPr>
          <w:rFonts w:cs="Times New Roman"/>
        </w:rPr>
        <w:t xml:space="preserve"> </w:t>
      </w:r>
      <w:r w:rsidR="004426EA" w:rsidRPr="00D714FC">
        <w:rPr>
          <w:rFonts w:cs="Times New Roman"/>
        </w:rPr>
        <w:t>A</w:t>
      </w:r>
      <w:r w:rsidR="00F94EBF" w:rsidRPr="00D714FC">
        <w:rPr>
          <w:rFonts w:cs="Times New Roman"/>
        </w:rPr>
        <w:t xml:space="preserve">dvice (for example, ambiguity about the publication requirements in relation to </w:t>
      </w:r>
      <w:r w:rsidR="00613E2E">
        <w:rPr>
          <w:rFonts w:cs="Times New Roman"/>
        </w:rPr>
        <w:t>S</w:t>
      </w:r>
      <w:r w:rsidR="00375648">
        <w:rPr>
          <w:rFonts w:cs="Times New Roman"/>
        </w:rPr>
        <w:t xml:space="preserve">chedules of </w:t>
      </w:r>
      <w:r w:rsidR="00613E2E">
        <w:rPr>
          <w:rFonts w:cs="Times New Roman"/>
        </w:rPr>
        <w:t>C</w:t>
      </w:r>
      <w:r w:rsidR="00375648">
        <w:rPr>
          <w:rFonts w:cs="Times New Roman"/>
        </w:rPr>
        <w:t>harges</w:t>
      </w:r>
      <w:r>
        <w:rPr>
          <w:rFonts w:cs="Times New Roman"/>
        </w:rPr>
        <w:t xml:space="preserve"> is</w:t>
      </w:r>
      <w:r w:rsidR="00375648">
        <w:rPr>
          <w:rFonts w:cs="Times New Roman"/>
        </w:rPr>
        <w:t xml:space="preserve"> </w:t>
      </w:r>
      <w:r>
        <w:rPr>
          <w:rFonts w:cs="Times New Roman"/>
        </w:rPr>
        <w:t xml:space="preserve">discussed </w:t>
      </w:r>
      <w:r w:rsidR="00F94EBF" w:rsidRPr="00D714FC">
        <w:rPr>
          <w:rFonts w:cs="Times New Roman"/>
        </w:rPr>
        <w:t xml:space="preserve">in section </w:t>
      </w:r>
      <w:r w:rsidR="002A44C5">
        <w:rPr>
          <w:rFonts w:cs="Times New Roman"/>
        </w:rPr>
        <w:t>5.</w:t>
      </w:r>
      <w:r w:rsidR="00375648">
        <w:rPr>
          <w:rFonts w:cs="Times New Roman"/>
        </w:rPr>
        <w:t>4</w:t>
      </w:r>
      <w:r w:rsidR="00F94EBF" w:rsidRPr="00D714FC">
        <w:rPr>
          <w:rFonts w:cs="Times New Roman"/>
        </w:rPr>
        <w:t xml:space="preserve">). </w:t>
      </w:r>
    </w:p>
    <w:p w:rsidR="00F94EBF" w:rsidRPr="00D714FC" w:rsidRDefault="0079321E" w:rsidP="00CE67EB">
      <w:pPr>
        <w:pStyle w:val="Heading3Un-numbered"/>
        <w:rPr>
          <w:rFonts w:ascii="Times New Roman" w:hAnsi="Times New Roman"/>
        </w:rPr>
      </w:pPr>
      <w:r>
        <w:t>ACCC assessment</w:t>
      </w:r>
    </w:p>
    <w:p w:rsidR="00F94EBF" w:rsidRDefault="00F94EBF" w:rsidP="003E1B68">
      <w:pPr>
        <w:rPr>
          <w:rFonts w:eastAsia="Arial" w:cs="Times New Roman"/>
        </w:rPr>
      </w:pPr>
      <w:r w:rsidRPr="00D714FC">
        <w:rPr>
          <w:rFonts w:eastAsia="Arial" w:cs="Times New Roman"/>
        </w:rPr>
        <w:t xml:space="preserve">As noted above, a number of key areas of the rules will be re-drafted as a consequence of the proposed advice (if adopted), which provides an opportunity to improve the clarity of the rules. This is particularly the case in relation to requirements for an infrastructure operator’s </w:t>
      </w:r>
      <w:r w:rsidR="00325FB2">
        <w:rPr>
          <w:rFonts w:eastAsia="Arial" w:cs="Times New Roman"/>
        </w:rPr>
        <w:t>S</w:t>
      </w:r>
      <w:r w:rsidRPr="00D714FC">
        <w:rPr>
          <w:rFonts w:eastAsia="Arial" w:cs="Times New Roman"/>
        </w:rPr>
        <w:t xml:space="preserve">chedule of </w:t>
      </w:r>
      <w:r w:rsidR="00325FB2">
        <w:rPr>
          <w:rFonts w:eastAsia="Arial" w:cs="Times New Roman"/>
        </w:rPr>
        <w:t>C</w:t>
      </w:r>
      <w:r w:rsidRPr="00D714FC">
        <w:rPr>
          <w:rFonts w:eastAsia="Arial" w:cs="Times New Roman"/>
        </w:rPr>
        <w:t xml:space="preserve">harges (see section </w:t>
      </w:r>
      <w:r w:rsidR="00D91853">
        <w:rPr>
          <w:rFonts w:eastAsia="Arial" w:cs="Times New Roman"/>
        </w:rPr>
        <w:t>5.4</w:t>
      </w:r>
      <w:r w:rsidRPr="00D714FC">
        <w:rPr>
          <w:rFonts w:eastAsia="Arial" w:cs="Times New Roman"/>
        </w:rPr>
        <w:t xml:space="preserve">) and the calculation of termination fees (see section </w:t>
      </w:r>
      <w:r w:rsidR="00510C65">
        <w:rPr>
          <w:rFonts w:eastAsia="Arial" w:cs="Times New Roman"/>
        </w:rPr>
        <w:t>6.2</w:t>
      </w:r>
      <w:r w:rsidRPr="00D714FC">
        <w:rPr>
          <w:rFonts w:eastAsia="Arial" w:cs="Times New Roman"/>
        </w:rPr>
        <w:t xml:space="preserve">). </w:t>
      </w:r>
    </w:p>
    <w:p w:rsidR="002A44C5" w:rsidRPr="00D714FC" w:rsidRDefault="008117EC" w:rsidP="003E1B68">
      <w:pPr>
        <w:rPr>
          <w:rFonts w:eastAsia="Arial" w:cs="Times New Roman"/>
        </w:rPr>
      </w:pPr>
      <w:r>
        <w:rPr>
          <w:rFonts w:eastAsia="Arial" w:cs="Times New Roman"/>
        </w:rPr>
        <w:t xml:space="preserve">While the ACCC acknowledges an upfront regulatory cost for infrastructure operators to become familiar with </w:t>
      </w:r>
      <w:r w:rsidR="00E55E35">
        <w:rPr>
          <w:rFonts w:eastAsia="Arial" w:cs="Times New Roman"/>
        </w:rPr>
        <w:t xml:space="preserve">the proposed new legislative drafting (giving effect to either new / amended requirements, or more clearly setting out existing requirements), it considers the ongoing </w:t>
      </w:r>
      <w:r>
        <w:rPr>
          <w:rFonts w:eastAsia="Arial" w:cs="Times New Roman"/>
        </w:rPr>
        <w:t xml:space="preserve">benefits of improved clarity outweigh these costs. </w:t>
      </w:r>
    </w:p>
    <w:p w:rsidR="00E55E35" w:rsidRDefault="00F94EBF" w:rsidP="00464189">
      <w:pPr>
        <w:pStyle w:val="Heading3"/>
        <w:keepNext w:val="0"/>
      </w:pPr>
      <w:bookmarkStart w:id="214" w:name="_Toc436122287"/>
      <w:bookmarkStart w:id="215" w:name="_Toc436122782"/>
      <w:bookmarkStart w:id="216" w:name="_Toc436124137"/>
      <w:bookmarkStart w:id="217" w:name="_Toc456785790"/>
      <w:bookmarkStart w:id="218" w:name="_Toc461630701"/>
      <w:r w:rsidRPr="00D714FC">
        <w:t>Combining the water charge rules and water market rules</w:t>
      </w:r>
      <w:bookmarkEnd w:id="214"/>
      <w:bookmarkEnd w:id="215"/>
      <w:bookmarkEnd w:id="216"/>
      <w:bookmarkEnd w:id="217"/>
      <w:bookmarkEnd w:id="218"/>
    </w:p>
    <w:p w:rsidR="00C21C88" w:rsidRPr="00D07E1E" w:rsidRDefault="00D07E1E" w:rsidP="00464189">
      <w:pPr>
        <w:pStyle w:val="Heading4"/>
        <w:keepNext w:val="0"/>
        <w:spacing w:before="0" w:after="0"/>
        <w:rPr>
          <w:rFonts w:ascii="Times New Roman" w:hAnsi="Times New Roman" w:cs="Times New Roman"/>
          <w:color w:val="FFFFFF" w:themeColor="background1"/>
          <w:sz w:val="8"/>
          <w:szCs w:val="16"/>
        </w:rPr>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p>
    <w:tbl>
      <w:tblPr>
        <w:tblStyle w:val="TableGrid"/>
        <w:tblW w:w="9306" w:type="dxa"/>
        <w:tblLook w:val="04A0" w:firstRow="1" w:lastRow="0" w:firstColumn="1" w:lastColumn="0" w:noHBand="0" w:noVBand="1"/>
      </w:tblPr>
      <w:tblGrid>
        <w:gridCol w:w="9306"/>
      </w:tblGrid>
      <w:tr w:rsidR="00464189" w:rsidTr="00464189">
        <w:trPr>
          <w:trHeight w:val="3345"/>
        </w:trPr>
        <w:tc>
          <w:tcPr>
            <w:tcW w:w="9306" w:type="dxa"/>
            <w:tcBorders>
              <w:top w:val="nil"/>
              <w:left w:val="nil"/>
              <w:bottom w:val="nil"/>
              <w:right w:val="nil"/>
            </w:tcBorders>
            <w:shd w:val="clear" w:color="auto" w:fill="D9D9D9" w:themeFill="background1" w:themeFillShade="D9"/>
          </w:tcPr>
          <w:p w:rsidR="00464189" w:rsidRPr="0000691D" w:rsidRDefault="00464189" w:rsidP="00464189">
            <w:pPr>
              <w:pStyle w:val="Caption"/>
              <w:keepNext w:val="0"/>
              <w:keepLines w:val="0"/>
            </w:pPr>
            <w:bookmarkStart w:id="219" w:name="_Toc436123200"/>
            <w:bookmarkStart w:id="220" w:name="_Toc456783750"/>
            <w:r w:rsidRPr="0000691D">
              <w:t xml:space="preserve">Rule advice </w:t>
            </w:r>
            <w:r>
              <w:rPr>
                <w:noProof/>
              </w:rPr>
              <w:t>4</w:t>
            </w:r>
            <w:r>
              <w:noBreakHyphen/>
            </w:r>
            <w:r>
              <w:rPr>
                <w:noProof/>
              </w:rPr>
              <w:t>A</w:t>
            </w:r>
            <w:bookmarkEnd w:id="219"/>
            <w:bookmarkEnd w:id="220"/>
            <w:r w:rsidRPr="0000691D">
              <w:t xml:space="preserve"> </w:t>
            </w:r>
          </w:p>
          <w:p w:rsidR="00464189" w:rsidRDefault="00464189" w:rsidP="00464189">
            <w:pPr>
              <w:pStyle w:val="Heading8"/>
              <w:outlineLvl w:val="7"/>
            </w:pPr>
            <w:bookmarkStart w:id="221" w:name="_Toc456783751"/>
            <w:bookmarkStart w:id="222" w:name="_Toc432937459"/>
            <w:bookmarkStart w:id="223" w:name="_Toc433384226"/>
            <w:bookmarkStart w:id="224" w:name="_Toc433975228"/>
            <w:bookmarkStart w:id="225" w:name="_Toc436123201"/>
            <w:bookmarkStart w:id="226" w:name="Rule_Advice_4A"/>
            <w:r w:rsidRPr="0000691D">
              <w:t>The three sets of water charge rules</w:t>
            </w:r>
            <w:r>
              <w:t>:</w:t>
            </w:r>
            <w:bookmarkEnd w:id="221"/>
          </w:p>
          <w:p w:rsidR="00464189" w:rsidRPr="00020517" w:rsidRDefault="00464189" w:rsidP="00020517">
            <w:pPr>
              <w:pStyle w:val="Ruleadvicebullet"/>
            </w:pPr>
            <w:bookmarkStart w:id="227" w:name="_Toc456783752"/>
            <w:r w:rsidRPr="00020517">
              <w:t>Water Charge (Infrastructure) Rules 2010 (WCIR)</w:t>
            </w:r>
            <w:bookmarkEnd w:id="227"/>
          </w:p>
          <w:p w:rsidR="00464189" w:rsidRPr="00020517" w:rsidRDefault="00464189" w:rsidP="00020517">
            <w:pPr>
              <w:pStyle w:val="Ruleadvicebullet"/>
            </w:pPr>
            <w:bookmarkStart w:id="228" w:name="_Toc456783753"/>
            <w:r w:rsidRPr="00020517">
              <w:t xml:space="preserve">Water Charge (Termination Fees) Rules 2009 (WCTFR) </w:t>
            </w:r>
            <w:bookmarkEnd w:id="228"/>
          </w:p>
          <w:p w:rsidR="00464189" w:rsidRPr="00020517" w:rsidRDefault="00464189" w:rsidP="00020517">
            <w:pPr>
              <w:pStyle w:val="Ruleadvicebullet"/>
            </w:pPr>
            <w:bookmarkStart w:id="229" w:name="_Toc456783754"/>
            <w:r w:rsidRPr="00020517">
              <w:t>Water Charge (Planning and Management Information) Rules 2010 (WCPMIR)</w:t>
            </w:r>
            <w:bookmarkEnd w:id="229"/>
          </w:p>
          <w:p w:rsidR="00464189" w:rsidRPr="00002EDE" w:rsidRDefault="00464189" w:rsidP="00464189">
            <w:pPr>
              <w:pStyle w:val="Heading8"/>
              <w:outlineLvl w:val="7"/>
            </w:pPr>
            <w:bookmarkStart w:id="230" w:name="_Toc456783755"/>
            <w:r w:rsidRPr="00002EDE">
              <w:t>should be combined into a single instrument by incorporating the relevant provisions of the WCTFR and WCPMIR into the WCIR and renaming this as the Water Charge Rules. The Water Market Rules 2009 (WMR) should not be combined with the water charge rules.</w:t>
            </w:r>
            <w:bookmarkEnd w:id="222"/>
            <w:bookmarkEnd w:id="223"/>
            <w:bookmarkEnd w:id="224"/>
            <w:bookmarkEnd w:id="225"/>
            <w:bookmarkEnd w:id="230"/>
          </w:p>
          <w:p w:rsidR="00464189" w:rsidRPr="0000691D" w:rsidRDefault="00464189" w:rsidP="00464189">
            <w:pPr>
              <w:pStyle w:val="Heading8"/>
              <w:outlineLvl w:val="7"/>
            </w:pPr>
            <w:bookmarkStart w:id="231" w:name="_Toc436123202"/>
            <w:bookmarkStart w:id="232" w:name="_Toc456783756"/>
            <w:r>
              <w:rPr>
                <w:rFonts w:ascii="Times New Roman" w:hAnsi="Times New Roman"/>
              </w:rPr>
              <w:t>This rule advice affects all three sets of water charge rules (WCIR, WCTFR and WCPMIR).</w:t>
            </w:r>
            <w:bookmarkEnd w:id="231"/>
            <w:bookmarkEnd w:id="232"/>
            <w:r w:rsidRPr="00D714FC">
              <w:rPr>
                <w:rFonts w:ascii="Times New Roman" w:hAnsi="Times New Roman"/>
              </w:rPr>
              <w:t xml:space="preserve"> </w:t>
            </w:r>
            <w:bookmarkEnd w:id="226"/>
          </w:p>
        </w:tc>
      </w:tr>
      <w:tr w:rsidR="00E55E35" w:rsidTr="00464189">
        <w:trPr>
          <w:trHeight w:val="3572"/>
        </w:trPr>
        <w:tc>
          <w:tcPr>
            <w:tcW w:w="9306" w:type="dxa"/>
            <w:tcBorders>
              <w:top w:val="nil"/>
              <w:left w:val="nil"/>
              <w:bottom w:val="nil"/>
              <w:right w:val="nil"/>
            </w:tcBorders>
            <w:shd w:val="clear" w:color="auto" w:fill="D9D9D9" w:themeFill="background1" w:themeFillShade="D9"/>
          </w:tcPr>
          <w:p w:rsidR="00E55E35" w:rsidRPr="00D714FC" w:rsidRDefault="00E55E35" w:rsidP="00464189">
            <w:pPr>
              <w:pStyle w:val="Caption"/>
              <w:keepNext w:val="0"/>
              <w:keepLines w:val="0"/>
            </w:pPr>
            <w:bookmarkStart w:id="233" w:name="_Toc436123203"/>
            <w:bookmarkStart w:id="234" w:name="_Toc456783757"/>
            <w:bookmarkStart w:id="235" w:name="_Ref435117320"/>
            <w:bookmarkStart w:id="236" w:name="_Toc433975229"/>
            <w:bookmarkStart w:id="237" w:name="_Toc433384228"/>
            <w:bookmarkStart w:id="238" w:name="_Toc432937461"/>
            <w:bookmarkStart w:id="239" w:name="_Toc432768968"/>
            <w:bookmarkStart w:id="240" w:name="_Toc432769288"/>
            <w:bookmarkStart w:id="241" w:name="_Toc433975227"/>
            <w:bookmarkStart w:id="242" w:name="_Toc433384225"/>
            <w:bookmarkStart w:id="243" w:name="_Toc432937458"/>
            <w:bookmarkStart w:id="244" w:name="_Toc432768967"/>
            <w:bookmarkStart w:id="245" w:name="_Toc432769287"/>
            <w:r w:rsidRPr="00D714FC">
              <w:t xml:space="preserve">Rule advice </w:t>
            </w:r>
            <w:r w:rsidR="007F659D">
              <w:rPr>
                <w:noProof/>
              </w:rPr>
              <w:t>4</w:t>
            </w:r>
            <w:r>
              <w:noBreakHyphen/>
            </w:r>
            <w:r w:rsidR="007F659D">
              <w:rPr>
                <w:noProof/>
              </w:rPr>
              <w:t>B</w:t>
            </w:r>
            <w:bookmarkEnd w:id="233"/>
            <w:bookmarkEnd w:id="234"/>
            <w:bookmarkEnd w:id="235"/>
            <w:r w:rsidRPr="00D714FC">
              <w:t xml:space="preserve"> </w:t>
            </w:r>
            <w:bookmarkEnd w:id="236"/>
            <w:bookmarkEnd w:id="237"/>
            <w:bookmarkEnd w:id="238"/>
            <w:bookmarkEnd w:id="239"/>
            <w:bookmarkEnd w:id="240"/>
          </w:p>
          <w:p w:rsidR="00E55E35" w:rsidRPr="0000691D" w:rsidRDefault="00E55E35" w:rsidP="00464189">
            <w:pPr>
              <w:pStyle w:val="Heading8"/>
              <w:outlineLvl w:val="7"/>
            </w:pPr>
            <w:bookmarkStart w:id="246" w:name="_Toc432937462"/>
            <w:bookmarkStart w:id="247" w:name="_Toc433384229"/>
            <w:bookmarkStart w:id="248" w:name="_Toc433975230"/>
            <w:bookmarkStart w:id="249" w:name="_Toc436123204"/>
            <w:bookmarkStart w:id="250" w:name="_Toc456783758"/>
            <w:bookmarkStart w:id="251" w:name="Rule_Advice_4B"/>
            <w:r w:rsidRPr="0000691D">
              <w:t>The proposed single set of wate</w:t>
            </w:r>
            <w:r>
              <w:t>r charge rules should apply to ‘</w:t>
            </w:r>
            <w:r w:rsidRPr="0000691D">
              <w:t>regulated water charges</w:t>
            </w:r>
            <w:r>
              <w:t>’</w:t>
            </w:r>
            <w:r w:rsidRPr="0000691D">
              <w:t xml:space="preserve"> as set out in the Act and Regulations, with separate definitions for:</w:t>
            </w:r>
            <w:bookmarkEnd w:id="246"/>
            <w:bookmarkEnd w:id="247"/>
            <w:bookmarkEnd w:id="248"/>
            <w:bookmarkEnd w:id="249"/>
            <w:bookmarkEnd w:id="250"/>
            <w:r w:rsidRPr="0000691D">
              <w:t xml:space="preserve"> </w:t>
            </w:r>
          </w:p>
          <w:p w:rsidR="00E55E35" w:rsidRPr="0000691D" w:rsidRDefault="00E55E35" w:rsidP="00020517">
            <w:pPr>
              <w:pStyle w:val="Ruleadvicebullet"/>
            </w:pPr>
            <w:bookmarkStart w:id="252" w:name="_Toc432937463"/>
            <w:bookmarkStart w:id="253" w:name="_Toc433384230"/>
            <w:bookmarkStart w:id="254" w:name="_Toc433975231"/>
            <w:bookmarkStart w:id="255" w:name="_Toc436123205"/>
            <w:bookmarkStart w:id="256" w:name="_Toc456783759"/>
            <w:r w:rsidRPr="002A686F">
              <w:rPr>
                <w:i/>
              </w:rPr>
              <w:t>infrastructure charge</w:t>
            </w:r>
            <w:r w:rsidR="0098008D">
              <w:t>—</w:t>
            </w:r>
            <w:r w:rsidRPr="0000691D">
              <w:t>corresponding with the definition of ‘regulated charge’ in the WCIR</w:t>
            </w:r>
            <w:bookmarkEnd w:id="252"/>
            <w:bookmarkEnd w:id="253"/>
            <w:bookmarkEnd w:id="254"/>
            <w:bookmarkEnd w:id="255"/>
            <w:bookmarkEnd w:id="256"/>
            <w:r w:rsidR="00646888">
              <w:t>.</w:t>
            </w:r>
          </w:p>
          <w:p w:rsidR="00E55E35" w:rsidRPr="0000691D" w:rsidRDefault="00E55E35" w:rsidP="00020517">
            <w:pPr>
              <w:pStyle w:val="Ruleadvicebullet"/>
            </w:pPr>
            <w:bookmarkStart w:id="257" w:name="_Toc432937464"/>
            <w:bookmarkStart w:id="258" w:name="_Toc433384231"/>
            <w:bookmarkStart w:id="259" w:name="_Toc433975232"/>
            <w:bookmarkStart w:id="260" w:name="_Toc436123206"/>
            <w:bookmarkStart w:id="261" w:name="_Toc456783760"/>
            <w:r w:rsidRPr="002A686F">
              <w:rPr>
                <w:i/>
              </w:rPr>
              <w:t>planning and management charge</w:t>
            </w:r>
            <w:r w:rsidR="0098008D" w:rsidRPr="002A686F">
              <w:t>—</w:t>
            </w:r>
            <w:r w:rsidRPr="002A686F">
              <w:t xml:space="preserve">corresponding with the definition of </w:t>
            </w:r>
            <w:r w:rsidRPr="0000691D">
              <w:t>‘regulated charge’ in the WCPMIR</w:t>
            </w:r>
            <w:bookmarkEnd w:id="257"/>
            <w:bookmarkEnd w:id="258"/>
            <w:bookmarkEnd w:id="259"/>
            <w:bookmarkEnd w:id="260"/>
            <w:r w:rsidR="007C0EFC">
              <w:t xml:space="preserve">, </w:t>
            </w:r>
            <w:r w:rsidR="00621408">
              <w:t>but limited to such charges determined by or on behalf of an agency of the Commonwealth or an agency of a State</w:t>
            </w:r>
            <w:bookmarkEnd w:id="261"/>
            <w:r w:rsidR="00646888">
              <w:t xml:space="preserve"> excluding charges determined by a local government body.</w:t>
            </w:r>
            <w:r w:rsidR="007C0EFC">
              <w:t xml:space="preserve"> </w:t>
            </w:r>
          </w:p>
          <w:p w:rsidR="00E55E35" w:rsidRDefault="00E55E35" w:rsidP="00020517">
            <w:pPr>
              <w:pStyle w:val="Ruleadvicebullet"/>
            </w:pPr>
            <w:bookmarkStart w:id="262" w:name="_Toc432937465"/>
            <w:bookmarkStart w:id="263" w:name="_Toc433384232"/>
            <w:bookmarkStart w:id="264" w:name="_Toc433975233"/>
            <w:bookmarkStart w:id="265" w:name="_Toc436123207"/>
            <w:bookmarkStart w:id="266" w:name="_Toc456783761"/>
            <w:r w:rsidRPr="002A686F">
              <w:rPr>
                <w:i/>
              </w:rPr>
              <w:t>termination fee</w:t>
            </w:r>
            <w:r w:rsidR="0098008D" w:rsidRPr="002A686F">
              <w:t>—</w:t>
            </w:r>
            <w:r w:rsidRPr="002A686F">
              <w:t xml:space="preserve">corresponding with a charge allowed for under the current </w:t>
            </w:r>
            <w:r w:rsidRPr="0000691D">
              <w:t>WCTFR</w:t>
            </w:r>
            <w:bookmarkEnd w:id="262"/>
            <w:r w:rsidRPr="0000691D">
              <w:t xml:space="preserve"> rule 6</w:t>
            </w:r>
            <w:r w:rsidR="00646888">
              <w:t xml:space="preserve"> </w:t>
            </w:r>
            <w:r w:rsidRPr="0000691D">
              <w:t>or rule 8</w:t>
            </w:r>
            <w:bookmarkEnd w:id="263"/>
            <w:bookmarkEnd w:id="264"/>
            <w:bookmarkEnd w:id="265"/>
            <w:bookmarkEnd w:id="266"/>
            <w:r w:rsidR="001336F7">
              <w:t xml:space="preserve"> (</w:t>
            </w:r>
            <w:r w:rsidR="00A67DBD">
              <w:t>proposed rule 71</w:t>
            </w:r>
            <w:r w:rsidR="001336F7">
              <w:t>)</w:t>
            </w:r>
            <w:r w:rsidR="00646888">
              <w:t>.</w:t>
            </w:r>
          </w:p>
          <w:p w:rsidR="00E55E35" w:rsidRPr="00A831C1" w:rsidRDefault="00E55E35" w:rsidP="00464189">
            <w:pPr>
              <w:pStyle w:val="Heading8"/>
              <w:outlineLvl w:val="7"/>
              <w:rPr>
                <w:rFonts w:ascii="Times New Roman" w:hAnsi="Times New Roman"/>
              </w:rPr>
            </w:pPr>
            <w:bookmarkStart w:id="267" w:name="_Toc436123208"/>
            <w:bookmarkStart w:id="268" w:name="_Toc456783762"/>
            <w:r>
              <w:rPr>
                <w:rFonts w:ascii="Times New Roman" w:hAnsi="Times New Roman"/>
              </w:rPr>
              <w:t xml:space="preserve">This rule advice is reflected throughout the proposed </w:t>
            </w:r>
            <w:r w:rsidR="003F77BE">
              <w:rPr>
                <w:rFonts w:ascii="Times New Roman" w:hAnsi="Times New Roman"/>
              </w:rPr>
              <w:t>W</w:t>
            </w:r>
            <w:r>
              <w:rPr>
                <w:rFonts w:ascii="Times New Roman" w:hAnsi="Times New Roman"/>
              </w:rPr>
              <w:t xml:space="preserve">ater </w:t>
            </w:r>
            <w:r w:rsidR="003F77BE">
              <w:rPr>
                <w:rFonts w:ascii="Times New Roman" w:hAnsi="Times New Roman"/>
              </w:rPr>
              <w:t>C</w:t>
            </w:r>
            <w:r>
              <w:rPr>
                <w:rFonts w:ascii="Times New Roman" w:hAnsi="Times New Roman"/>
              </w:rPr>
              <w:t xml:space="preserve">harge </w:t>
            </w:r>
            <w:r w:rsidR="003F77BE">
              <w:rPr>
                <w:rFonts w:ascii="Times New Roman" w:hAnsi="Times New Roman"/>
              </w:rPr>
              <w:t>R</w:t>
            </w:r>
            <w:r>
              <w:rPr>
                <w:rFonts w:ascii="Times New Roman" w:hAnsi="Times New Roman"/>
              </w:rPr>
              <w:t xml:space="preserve">ules, and terms are defined in Part 1, </w:t>
            </w:r>
            <w:r w:rsidR="00207A65">
              <w:rPr>
                <w:rFonts w:ascii="Times New Roman" w:hAnsi="Times New Roman"/>
              </w:rPr>
              <w:t>r</w:t>
            </w:r>
            <w:r>
              <w:rPr>
                <w:rFonts w:ascii="Times New Roman" w:hAnsi="Times New Roman"/>
              </w:rPr>
              <w:t>ule 3.</w:t>
            </w:r>
            <w:bookmarkEnd w:id="267"/>
            <w:bookmarkEnd w:id="268"/>
            <w:r w:rsidRPr="00D714FC">
              <w:rPr>
                <w:rFonts w:ascii="Times New Roman" w:hAnsi="Times New Roman"/>
              </w:rPr>
              <w:t xml:space="preserve"> </w:t>
            </w:r>
            <w:bookmarkEnd w:id="251"/>
          </w:p>
        </w:tc>
      </w:tr>
    </w:tbl>
    <w:bookmarkEnd w:id="241"/>
    <w:bookmarkEnd w:id="242"/>
    <w:bookmarkEnd w:id="243"/>
    <w:bookmarkEnd w:id="244"/>
    <w:bookmarkEnd w:id="245"/>
    <w:p w:rsidR="00F94EBF" w:rsidRPr="00D714FC" w:rsidRDefault="00F94EBF" w:rsidP="00CE67EB">
      <w:pPr>
        <w:pStyle w:val="Heading4"/>
      </w:pPr>
      <w:r w:rsidRPr="00D714FC">
        <w:t>Background</w:t>
      </w:r>
    </w:p>
    <w:p w:rsidR="003448AC" w:rsidRPr="00D714FC" w:rsidRDefault="003448AC" w:rsidP="003E1B68">
      <w:pPr>
        <w:rPr>
          <w:rFonts w:cs="Times New Roman"/>
        </w:rPr>
      </w:pPr>
      <w:r w:rsidRPr="00D714FC">
        <w:rPr>
          <w:rFonts w:cs="Times New Roman"/>
        </w:rPr>
        <w:t xml:space="preserve">The terms of reference require the ACCC to consider whether the water charge rules should be combined into a single instrument and / or combined with the </w:t>
      </w:r>
      <w:r w:rsidR="0037210E" w:rsidRPr="00167477">
        <w:rPr>
          <w:rFonts w:cs="Times New Roman"/>
        </w:rPr>
        <w:t>Water Market Rules 2009</w:t>
      </w:r>
      <w:r w:rsidR="0037210E">
        <w:rPr>
          <w:rFonts w:cs="Times New Roman"/>
        </w:rPr>
        <w:t xml:space="preserve"> (</w:t>
      </w:r>
      <w:r>
        <w:rPr>
          <w:rFonts w:cs="Times New Roman"/>
        </w:rPr>
        <w:t>WMR</w:t>
      </w:r>
      <w:r w:rsidR="0037210E">
        <w:rPr>
          <w:rFonts w:cs="Times New Roman"/>
        </w:rPr>
        <w:t>)</w:t>
      </w:r>
      <w:r w:rsidRPr="00D714FC">
        <w:rPr>
          <w:rFonts w:cs="Times New Roman"/>
        </w:rPr>
        <w:t>.</w:t>
      </w:r>
    </w:p>
    <w:p w:rsidR="00F94EBF" w:rsidRPr="00D714FC" w:rsidRDefault="00F94EBF" w:rsidP="003E1B68">
      <w:pPr>
        <w:rPr>
          <w:rFonts w:cs="Times New Roman"/>
        </w:rPr>
      </w:pPr>
      <w:r w:rsidRPr="00D714FC">
        <w:rPr>
          <w:rFonts w:cs="Times New Roman"/>
        </w:rPr>
        <w:t xml:space="preserve">The three sets of water charge rules, and the WMR were made at different times </w:t>
      </w:r>
      <w:r w:rsidR="004426EA" w:rsidRPr="00D714FC">
        <w:rPr>
          <w:rFonts w:cs="Times New Roman"/>
        </w:rPr>
        <w:t>between</w:t>
      </w:r>
      <w:r w:rsidRPr="00D714FC">
        <w:rPr>
          <w:rFonts w:cs="Times New Roman"/>
        </w:rPr>
        <w:t xml:space="preserve"> 2009 and 2010. The rules share a number of common terms and in some cases, charges regulated under one set of rules may be referred to in another set of rules (for example, termination fees). </w:t>
      </w:r>
    </w:p>
    <w:p w:rsidR="00F94EBF" w:rsidRDefault="00F94EBF" w:rsidP="003E1B68">
      <w:pPr>
        <w:rPr>
          <w:rFonts w:cs="Times New Roman"/>
        </w:rPr>
      </w:pPr>
      <w:r w:rsidRPr="00D714FC">
        <w:rPr>
          <w:rFonts w:cs="Times New Roman"/>
        </w:rPr>
        <w:t xml:space="preserve">The </w:t>
      </w:r>
      <w:r w:rsidR="00F8300B" w:rsidRPr="00167477">
        <w:rPr>
          <w:rFonts w:cs="Times New Roman"/>
        </w:rPr>
        <w:t>Water Charge (Infrastructure) Rules 2010</w:t>
      </w:r>
      <w:r w:rsidR="00F8300B">
        <w:rPr>
          <w:rFonts w:cs="Times New Roman"/>
        </w:rPr>
        <w:t xml:space="preserve"> (</w:t>
      </w:r>
      <w:r w:rsidRPr="00D714FC">
        <w:rPr>
          <w:rFonts w:cs="Times New Roman"/>
        </w:rPr>
        <w:t>WCIR</w:t>
      </w:r>
      <w:r w:rsidR="00F8300B">
        <w:rPr>
          <w:rFonts w:cs="Times New Roman"/>
        </w:rPr>
        <w:t>)</w:t>
      </w:r>
      <w:r w:rsidRPr="00D714FC">
        <w:rPr>
          <w:rFonts w:cs="Times New Roman"/>
        </w:rPr>
        <w:t xml:space="preserve"> apply to all infrastructure operators, while the WMR </w:t>
      </w:r>
      <w:r w:rsidRPr="00167477">
        <w:rPr>
          <w:rFonts w:cs="Times New Roman"/>
        </w:rPr>
        <w:t xml:space="preserve">and </w:t>
      </w:r>
      <w:r w:rsidR="001E763F" w:rsidRPr="00167477">
        <w:rPr>
          <w:rFonts w:cs="Times New Roman"/>
        </w:rPr>
        <w:t>the Water Charge (Termination Fee</w:t>
      </w:r>
      <w:r w:rsidR="00FE5641">
        <w:rPr>
          <w:rFonts w:cs="Times New Roman"/>
        </w:rPr>
        <w:t>s</w:t>
      </w:r>
      <w:r w:rsidR="001E763F" w:rsidRPr="00167477">
        <w:rPr>
          <w:rFonts w:cs="Times New Roman"/>
        </w:rPr>
        <w:t>) Rules 2009</w:t>
      </w:r>
      <w:r w:rsidR="001E763F" w:rsidRPr="00D714FC">
        <w:rPr>
          <w:rFonts w:cs="Times New Roman"/>
        </w:rPr>
        <w:t xml:space="preserve"> </w:t>
      </w:r>
      <w:r w:rsidR="001E763F">
        <w:rPr>
          <w:rFonts w:cs="Times New Roman"/>
        </w:rPr>
        <w:t>(</w:t>
      </w:r>
      <w:r w:rsidRPr="00D714FC">
        <w:rPr>
          <w:rFonts w:cs="Times New Roman"/>
        </w:rPr>
        <w:t>WCTFR</w:t>
      </w:r>
      <w:r w:rsidR="001E763F">
        <w:rPr>
          <w:rFonts w:cs="Times New Roman"/>
        </w:rPr>
        <w:t>)</w:t>
      </w:r>
      <w:r w:rsidRPr="00D714FC">
        <w:rPr>
          <w:rFonts w:cs="Times New Roman"/>
        </w:rPr>
        <w:t xml:space="preserve"> currently apply </w:t>
      </w:r>
      <w:r w:rsidR="008F5FC2">
        <w:rPr>
          <w:rFonts w:cs="Times New Roman"/>
        </w:rPr>
        <w:t xml:space="preserve">only </w:t>
      </w:r>
      <w:r w:rsidRPr="00D714FC">
        <w:rPr>
          <w:rFonts w:cs="Times New Roman"/>
        </w:rPr>
        <w:t xml:space="preserve">to </w:t>
      </w:r>
      <w:r w:rsidR="00D0560A">
        <w:rPr>
          <w:rFonts w:cs="Times New Roman"/>
        </w:rPr>
        <w:t>irrigation infrastructure operators</w:t>
      </w:r>
      <w:r w:rsidR="003F241C">
        <w:rPr>
          <w:rFonts w:cs="Times New Roman"/>
        </w:rPr>
        <w:t xml:space="preserve"> (IIOs)</w:t>
      </w:r>
      <w:r w:rsidR="00D0560A">
        <w:rPr>
          <w:rFonts w:cs="Times New Roman"/>
        </w:rPr>
        <w:t>, and not infrastructure operators generally</w:t>
      </w:r>
      <w:r w:rsidRPr="00D714FC">
        <w:rPr>
          <w:rFonts w:cs="Times New Roman"/>
        </w:rPr>
        <w:t xml:space="preserve">. The </w:t>
      </w:r>
      <w:r w:rsidR="008555EC" w:rsidRPr="00167477">
        <w:rPr>
          <w:rFonts w:cs="Times New Roman"/>
        </w:rPr>
        <w:t xml:space="preserve">Water Charge (Planning and Management Information) Rules 2010 </w:t>
      </w:r>
      <w:r w:rsidR="008555EC">
        <w:rPr>
          <w:rFonts w:cs="Times New Roman"/>
        </w:rPr>
        <w:t>(</w:t>
      </w:r>
      <w:r w:rsidRPr="00D714FC">
        <w:rPr>
          <w:rFonts w:cs="Times New Roman"/>
        </w:rPr>
        <w:t>WCPMIR</w:t>
      </w:r>
      <w:r w:rsidR="008555EC">
        <w:rPr>
          <w:rFonts w:cs="Times New Roman"/>
        </w:rPr>
        <w:t>)</w:t>
      </w:r>
      <w:r w:rsidRPr="00D714FC">
        <w:rPr>
          <w:rFonts w:cs="Times New Roman"/>
        </w:rPr>
        <w:t xml:space="preserve"> apply to persons determining a planning and management charge (which could include Basin State departments or certain infrastructure operators in their capacity as delegates of a Minister). </w:t>
      </w:r>
    </w:p>
    <w:p w:rsidR="00834F24" w:rsidRPr="00D714FC" w:rsidRDefault="00834F24" w:rsidP="00FE665C">
      <w:pPr>
        <w:spacing w:after="120"/>
        <w:rPr>
          <w:rFonts w:cs="Times New Roman"/>
        </w:rPr>
      </w:pPr>
      <w:r>
        <w:rPr>
          <w:rFonts w:cs="Times New Roman"/>
        </w:rPr>
        <w:t>The ACCC</w:t>
      </w:r>
      <w:r w:rsidR="007C0EFC">
        <w:rPr>
          <w:rFonts w:cs="Times New Roman"/>
        </w:rPr>
        <w:t>’s</w:t>
      </w:r>
      <w:r>
        <w:rPr>
          <w:rFonts w:cs="Times New Roman"/>
        </w:rPr>
        <w:t xml:space="preserve"> </w:t>
      </w:r>
      <w:r w:rsidR="007C0EFC">
        <w:rPr>
          <w:rFonts w:cs="Times New Roman"/>
        </w:rPr>
        <w:t>D</w:t>
      </w:r>
      <w:r>
        <w:rPr>
          <w:rFonts w:cs="Times New Roman"/>
        </w:rPr>
        <w:t xml:space="preserve">raft </w:t>
      </w:r>
      <w:r w:rsidR="007C0EFC">
        <w:rPr>
          <w:rFonts w:cs="Times New Roman"/>
        </w:rPr>
        <w:t>A</w:t>
      </w:r>
      <w:r>
        <w:rPr>
          <w:rFonts w:cs="Times New Roman"/>
        </w:rPr>
        <w:t xml:space="preserve">dvice </w:t>
      </w:r>
      <w:r w:rsidR="007C0EFC">
        <w:rPr>
          <w:rFonts w:cs="Times New Roman"/>
        </w:rPr>
        <w:t xml:space="preserve">proposed </w:t>
      </w:r>
      <w:r>
        <w:rPr>
          <w:rFonts w:cs="Times New Roman"/>
        </w:rPr>
        <w:t>that the three sets of water charge rules should be combined into a single legislative instrument (draft rule advice 4-A).</w:t>
      </w:r>
      <w:r w:rsidRPr="00834F24">
        <w:rPr>
          <w:rFonts w:cs="Times New Roman"/>
        </w:rPr>
        <w:t xml:space="preserve"> </w:t>
      </w:r>
      <w:r>
        <w:rPr>
          <w:rFonts w:cs="Times New Roman"/>
        </w:rPr>
        <w:t>In making this draft advice, t</w:t>
      </w:r>
      <w:r w:rsidRPr="00D714FC">
        <w:rPr>
          <w:rFonts w:cs="Times New Roman"/>
        </w:rPr>
        <w:t>he ACCC consider</w:t>
      </w:r>
      <w:r>
        <w:rPr>
          <w:rFonts w:cs="Times New Roman"/>
        </w:rPr>
        <w:t>ed</w:t>
      </w:r>
      <w:r w:rsidRPr="00D714FC">
        <w:rPr>
          <w:rFonts w:cs="Times New Roman"/>
        </w:rPr>
        <w:t xml:space="preserve"> that combining separate sets of rules into one instrument may offer opportunities to: </w:t>
      </w:r>
    </w:p>
    <w:p w:rsidR="00834F24" w:rsidRPr="00D714FC" w:rsidRDefault="00834F24" w:rsidP="00A946C7">
      <w:pPr>
        <w:pStyle w:val="ListParagraph"/>
        <w:numPr>
          <w:ilvl w:val="0"/>
          <w:numId w:val="29"/>
        </w:numPr>
        <w:rPr>
          <w:rFonts w:cs="Times New Roman"/>
        </w:rPr>
      </w:pPr>
      <w:r w:rsidRPr="00D714FC">
        <w:rPr>
          <w:rFonts w:cs="Times New Roman"/>
        </w:rPr>
        <w:t>improve understanding of these rules and how they interact</w:t>
      </w:r>
    </w:p>
    <w:p w:rsidR="00834F24" w:rsidRPr="00D714FC" w:rsidRDefault="00834F24" w:rsidP="00A946C7">
      <w:pPr>
        <w:pStyle w:val="ListParagraph"/>
        <w:numPr>
          <w:ilvl w:val="0"/>
          <w:numId w:val="29"/>
        </w:numPr>
        <w:rPr>
          <w:rFonts w:cs="Times New Roman"/>
        </w:rPr>
      </w:pPr>
      <w:r w:rsidRPr="00D714FC">
        <w:rPr>
          <w:rFonts w:cs="Times New Roman"/>
        </w:rPr>
        <w:t>reduce the compliance burden for regulated entities</w:t>
      </w:r>
    </w:p>
    <w:p w:rsidR="00834F24" w:rsidRPr="00D714FC" w:rsidRDefault="00834F24" w:rsidP="00A946C7">
      <w:pPr>
        <w:pStyle w:val="ListParagraph"/>
        <w:numPr>
          <w:ilvl w:val="0"/>
          <w:numId w:val="29"/>
        </w:numPr>
        <w:rPr>
          <w:rFonts w:cs="Times New Roman"/>
        </w:rPr>
      </w:pPr>
      <w:r w:rsidRPr="00D714FC">
        <w:rPr>
          <w:rFonts w:cs="Times New Roman"/>
        </w:rPr>
        <w:t>ensure that there are no ‘regulatory gaps’</w:t>
      </w:r>
    </w:p>
    <w:p w:rsidR="00834F24" w:rsidRPr="00D714FC" w:rsidRDefault="00834F24" w:rsidP="00A946C7">
      <w:pPr>
        <w:pStyle w:val="ListParagraph"/>
        <w:numPr>
          <w:ilvl w:val="0"/>
          <w:numId w:val="29"/>
        </w:numPr>
        <w:rPr>
          <w:rFonts w:cs="Times New Roman"/>
        </w:rPr>
      </w:pPr>
      <w:r w:rsidRPr="00D714FC">
        <w:rPr>
          <w:rFonts w:cs="Times New Roman"/>
        </w:rPr>
        <w:t>eliminate redundant transition clauses.</w:t>
      </w:r>
    </w:p>
    <w:p w:rsidR="00834F24" w:rsidRPr="00D714FC" w:rsidRDefault="00834F24" w:rsidP="003E1B68">
      <w:pPr>
        <w:rPr>
          <w:rFonts w:cs="Times New Roman"/>
        </w:rPr>
      </w:pPr>
      <w:r w:rsidRPr="00D714FC">
        <w:rPr>
          <w:rFonts w:cs="Times New Roman"/>
        </w:rPr>
        <w:t xml:space="preserve">In developing </w:t>
      </w:r>
      <w:r>
        <w:rPr>
          <w:rFonts w:cs="Times New Roman"/>
        </w:rPr>
        <w:t>this</w:t>
      </w:r>
      <w:r w:rsidRPr="00D714FC">
        <w:rPr>
          <w:rFonts w:cs="Times New Roman"/>
        </w:rPr>
        <w:t xml:space="preserve"> </w:t>
      </w:r>
      <w:r w:rsidR="007C0EFC">
        <w:rPr>
          <w:rFonts w:cs="Times New Roman"/>
        </w:rPr>
        <w:t>position</w:t>
      </w:r>
      <w:r w:rsidRPr="00D714FC">
        <w:rPr>
          <w:rFonts w:cs="Times New Roman"/>
        </w:rPr>
        <w:t xml:space="preserve">, </w:t>
      </w:r>
      <w:r>
        <w:rPr>
          <w:rFonts w:cs="Times New Roman"/>
        </w:rPr>
        <w:t>the ACCC noted</w:t>
      </w:r>
      <w:r w:rsidRPr="00D714FC">
        <w:rPr>
          <w:rFonts w:cs="Times New Roman"/>
        </w:rPr>
        <w:t xml:space="preserve"> that the </w:t>
      </w:r>
      <w:r w:rsidR="00EE4D1B" w:rsidRPr="00EE4D1B">
        <w:rPr>
          <w:rFonts w:cs="Times New Roman"/>
          <w:i/>
        </w:rPr>
        <w:t>Water Act 2007</w:t>
      </w:r>
      <w:r w:rsidR="00EE4D1B">
        <w:rPr>
          <w:rFonts w:cs="Times New Roman"/>
        </w:rPr>
        <w:t xml:space="preserve"> (the </w:t>
      </w:r>
      <w:r w:rsidRPr="00D714FC">
        <w:rPr>
          <w:rFonts w:cs="Times New Roman"/>
        </w:rPr>
        <w:t>Act</w:t>
      </w:r>
      <w:r w:rsidR="00EE4D1B">
        <w:rPr>
          <w:rFonts w:cs="Times New Roman"/>
        </w:rPr>
        <w:t>)</w:t>
      </w:r>
      <w:r w:rsidRPr="00D714FC">
        <w:rPr>
          <w:rFonts w:cs="Times New Roman"/>
        </w:rPr>
        <w:t xml:space="preserve"> refers simply to ‘water charge rules’ and does not require separate sets of rules for different types of regulated water charges.</w:t>
      </w:r>
      <w:r w:rsidRPr="00D714FC">
        <w:rPr>
          <w:rStyle w:val="FootnoteReference"/>
          <w:rFonts w:cs="Times New Roman"/>
        </w:rPr>
        <w:footnoteReference w:id="52"/>
      </w:r>
      <w:r w:rsidRPr="00D714FC">
        <w:rPr>
          <w:rFonts w:cs="Times New Roman"/>
        </w:rPr>
        <w:t xml:space="preserve"> The ACCC consider</w:t>
      </w:r>
      <w:r w:rsidR="003448AC">
        <w:rPr>
          <w:rFonts w:cs="Times New Roman"/>
        </w:rPr>
        <w:t>ed that</w:t>
      </w:r>
      <w:r w:rsidRPr="00D714FC">
        <w:rPr>
          <w:rFonts w:cs="Times New Roman"/>
        </w:rPr>
        <w:t xml:space="preserve"> this review of the water charge rules provides a good opportunity to combine the three sets of water charge rules that were made in succession in 2009 and 2010 into one legislative instrument</w:t>
      </w:r>
      <w:r>
        <w:rPr>
          <w:rFonts w:cs="Times New Roman"/>
        </w:rPr>
        <w:t xml:space="preserve">, being </w:t>
      </w:r>
      <w:r w:rsidRPr="00D714FC">
        <w:rPr>
          <w:rFonts w:cs="Times New Roman"/>
        </w:rPr>
        <w:t xml:space="preserve">mindful that this should be done in such a way that it does not inadvertently change the scope of the rules or what is required by the rules. </w:t>
      </w:r>
    </w:p>
    <w:p w:rsidR="00834F24" w:rsidRPr="00D714FC" w:rsidRDefault="00834F24" w:rsidP="00834F24">
      <w:pPr>
        <w:keepNext/>
        <w:rPr>
          <w:rFonts w:cs="Times New Roman"/>
        </w:rPr>
      </w:pPr>
      <w:r>
        <w:rPr>
          <w:rFonts w:cs="Times New Roman"/>
        </w:rPr>
        <w:t>T</w:t>
      </w:r>
      <w:r w:rsidRPr="00D714FC">
        <w:rPr>
          <w:rFonts w:cs="Times New Roman"/>
        </w:rPr>
        <w:t xml:space="preserve">he ACCC </w:t>
      </w:r>
      <w:r>
        <w:rPr>
          <w:rFonts w:cs="Times New Roman"/>
        </w:rPr>
        <w:t xml:space="preserve">also </w:t>
      </w:r>
      <w:r w:rsidRPr="00D714FC">
        <w:rPr>
          <w:rFonts w:cs="Times New Roman"/>
        </w:rPr>
        <w:t xml:space="preserve">considered the extent of any overlap or duplication in the definitions used in the three sets of water charge rules. For example, the WCIR and WCPMIR both use the term ‘regulated charge’, but refer to very different sub-categories of regulated water charges as defined by section 91 of the Act. As part of combining the three sets of water charge rules, definitions in the water charge rules should also be revised to remove duplication and inconsistencies in order to improve clarity. </w:t>
      </w:r>
    </w:p>
    <w:p w:rsidR="00834F24" w:rsidRPr="00D714FC" w:rsidRDefault="00834F24" w:rsidP="00834F24">
      <w:pPr>
        <w:keepNext/>
        <w:rPr>
          <w:rFonts w:cs="Times New Roman"/>
        </w:rPr>
      </w:pPr>
      <w:r>
        <w:rPr>
          <w:rFonts w:cs="Times New Roman"/>
        </w:rPr>
        <w:t>The ACCC</w:t>
      </w:r>
      <w:r w:rsidR="007C0EFC">
        <w:rPr>
          <w:rFonts w:cs="Times New Roman"/>
        </w:rPr>
        <w:t xml:space="preserve">’s Draft Advice </w:t>
      </w:r>
      <w:r>
        <w:rPr>
          <w:rFonts w:cs="Times New Roman"/>
        </w:rPr>
        <w:t xml:space="preserve">also </w:t>
      </w:r>
      <w:r w:rsidR="007C0EFC">
        <w:rPr>
          <w:rFonts w:cs="Times New Roman"/>
        </w:rPr>
        <w:t xml:space="preserve">proposed </w:t>
      </w:r>
      <w:r>
        <w:rPr>
          <w:rFonts w:cs="Times New Roman"/>
        </w:rPr>
        <w:t xml:space="preserve">that the </w:t>
      </w:r>
      <w:r w:rsidRPr="00D714FC">
        <w:rPr>
          <w:rFonts w:cs="Times New Roman"/>
        </w:rPr>
        <w:t>terms ‘infrastructure charge’, ‘planning and management charge’</w:t>
      </w:r>
      <w:r w:rsidRPr="00D714FC">
        <w:rPr>
          <w:rStyle w:val="FootnoteReference"/>
          <w:rFonts w:cs="Times New Roman"/>
        </w:rPr>
        <w:footnoteReference w:id="53"/>
      </w:r>
      <w:r w:rsidRPr="00D714FC">
        <w:rPr>
          <w:rFonts w:cs="Times New Roman"/>
        </w:rPr>
        <w:t xml:space="preserve"> and ‘termination fee’ be defined to refer to the specific types of regulated water charges currently regulated by the WCIR, WPMIR and WCTFR respectively</w:t>
      </w:r>
      <w:r>
        <w:rPr>
          <w:rFonts w:cs="Times New Roman"/>
        </w:rPr>
        <w:t xml:space="preserve"> (draft rule advice 4-B)</w:t>
      </w:r>
      <w:r w:rsidRPr="00D714FC">
        <w:rPr>
          <w:rFonts w:cs="Times New Roman"/>
        </w:rPr>
        <w:t>.</w:t>
      </w:r>
      <w:r>
        <w:rPr>
          <w:rFonts w:cs="Times New Roman"/>
        </w:rPr>
        <w:t xml:space="preserve"> </w:t>
      </w:r>
      <w:r w:rsidRPr="00D714FC">
        <w:rPr>
          <w:rFonts w:cs="Times New Roman"/>
        </w:rPr>
        <w:t>The ACCC consider</w:t>
      </w:r>
      <w:r>
        <w:rPr>
          <w:rFonts w:cs="Times New Roman"/>
        </w:rPr>
        <w:t>ed</w:t>
      </w:r>
      <w:r w:rsidRPr="00D714FC">
        <w:rPr>
          <w:rFonts w:cs="Times New Roman"/>
        </w:rPr>
        <w:t xml:space="preserve"> the definition of ‘infrastructure charge’ </w:t>
      </w:r>
      <w:r>
        <w:rPr>
          <w:rFonts w:cs="Times New Roman"/>
        </w:rPr>
        <w:t>to be</w:t>
      </w:r>
      <w:r w:rsidRPr="00D714FC">
        <w:rPr>
          <w:rFonts w:cs="Times New Roman"/>
        </w:rPr>
        <w:t xml:space="preserve"> particularly important as it may help dispel the widely held</w:t>
      </w:r>
      <w:r w:rsidR="00A1363B">
        <w:rPr>
          <w:rFonts w:cs="Times New Roman"/>
        </w:rPr>
        <w:t>, but generally incorrect,</w:t>
      </w:r>
      <w:r w:rsidRPr="00D714FC">
        <w:rPr>
          <w:rFonts w:cs="Times New Roman"/>
        </w:rPr>
        <w:t xml:space="preserve"> notion that such charges are for the water stored and delivered through the infrastructure.</w:t>
      </w:r>
    </w:p>
    <w:p w:rsidR="003B5EF2" w:rsidRDefault="00834F24" w:rsidP="00E55E35">
      <w:r w:rsidRPr="00D43563">
        <w:t xml:space="preserve">The ACCC considered there would be little merit in combining the water charge rules with the WMR, as the WMR are more closely related to the </w:t>
      </w:r>
      <w:r w:rsidR="006B1DA2">
        <w:t>Basin Plan water trading rules</w:t>
      </w:r>
      <w:r w:rsidR="006B1DA2" w:rsidRPr="00D43563">
        <w:t xml:space="preserve"> </w:t>
      </w:r>
      <w:r w:rsidRPr="00D43563">
        <w:t>than the water charge rules.</w:t>
      </w:r>
      <w:r>
        <w:t xml:space="preserve"> </w:t>
      </w:r>
    </w:p>
    <w:p w:rsidR="00051394" w:rsidRDefault="003B5EF2" w:rsidP="00051394">
      <w:pPr>
        <w:rPr>
          <w:rFonts w:cs="Times New Roman"/>
        </w:rPr>
      </w:pPr>
      <w:r>
        <w:t>The ACCC acknowledge</w:t>
      </w:r>
      <w:r w:rsidR="007C0EFC">
        <w:t>d</w:t>
      </w:r>
      <w:r>
        <w:t xml:space="preserve"> that refinements in drafting are required throughout the proposed rules to further improve clarity or minimise the chance of stakeholders misinterpreting the effect of the provisions</w:t>
      </w:r>
      <w:r w:rsidR="00E55E35">
        <w:t xml:space="preserve"> (see also section 4.3 above)</w:t>
      </w:r>
      <w:r>
        <w:t>.</w:t>
      </w:r>
    </w:p>
    <w:p w:rsidR="00F94EBF" w:rsidRPr="00D714FC" w:rsidRDefault="00F94EBF" w:rsidP="00051394">
      <w:pPr>
        <w:pStyle w:val="Heading4"/>
        <w:keepNext w:val="0"/>
        <w:rPr>
          <w:rFonts w:ascii="Times New Roman" w:hAnsi="Times New Roman" w:cs="Times New Roman"/>
        </w:rPr>
      </w:pPr>
      <w:r w:rsidRPr="00D714FC">
        <w:rPr>
          <w:rFonts w:ascii="Times New Roman" w:hAnsi="Times New Roman" w:cs="Times New Roman"/>
        </w:rPr>
        <w:t>Stakeholder feedback</w:t>
      </w:r>
    </w:p>
    <w:p w:rsidR="00E55E35" w:rsidRDefault="00F94EBF" w:rsidP="00051394">
      <w:pPr>
        <w:rPr>
          <w:rFonts w:cs="Times New Roman"/>
        </w:rPr>
      </w:pPr>
      <w:r w:rsidRPr="00D714FC">
        <w:rPr>
          <w:rFonts w:cs="Times New Roman"/>
        </w:rPr>
        <w:t xml:space="preserve">The majority of stakeholder submissions </w:t>
      </w:r>
      <w:r w:rsidR="00834F24">
        <w:rPr>
          <w:rFonts w:cs="Times New Roman"/>
        </w:rPr>
        <w:t>received in response to the ACCC’s Issues Paper and feedback from the ACCC’s public forum</w:t>
      </w:r>
      <w:r w:rsidR="00D43563">
        <w:rPr>
          <w:rFonts w:cs="Times New Roman"/>
        </w:rPr>
        <w:t>s</w:t>
      </w:r>
      <w:r w:rsidR="00834F24">
        <w:rPr>
          <w:rFonts w:cs="Times New Roman"/>
        </w:rPr>
        <w:t xml:space="preserve"> </w:t>
      </w:r>
      <w:r w:rsidRPr="00D714FC">
        <w:rPr>
          <w:rFonts w:cs="Times New Roman"/>
        </w:rPr>
        <w:t>w</w:t>
      </w:r>
      <w:r w:rsidR="00D43563">
        <w:rPr>
          <w:rFonts w:cs="Times New Roman"/>
        </w:rPr>
        <w:t xml:space="preserve">as generally </w:t>
      </w:r>
      <w:r w:rsidRPr="00D714FC">
        <w:rPr>
          <w:rFonts w:cs="Times New Roman"/>
        </w:rPr>
        <w:t>in favour of combining the three sets of water charge rules into one instrument</w:t>
      </w:r>
      <w:r w:rsidR="00834F24">
        <w:rPr>
          <w:rFonts w:cs="Times New Roman"/>
        </w:rPr>
        <w:t>.</w:t>
      </w:r>
      <w:r w:rsidRPr="00D714FC">
        <w:rPr>
          <w:rStyle w:val="FootnoteReference"/>
          <w:rFonts w:cs="Times New Roman"/>
        </w:rPr>
        <w:footnoteReference w:id="54"/>
      </w:r>
      <w:r w:rsidRPr="00D714FC">
        <w:rPr>
          <w:rFonts w:cs="Times New Roman"/>
        </w:rPr>
        <w:t xml:space="preserve"> </w:t>
      </w:r>
    </w:p>
    <w:p w:rsidR="00E55E35" w:rsidRPr="00E55E35" w:rsidRDefault="00E55E35" w:rsidP="00FE665C">
      <w:pPr>
        <w:spacing w:after="120"/>
        <w:rPr>
          <w:rFonts w:cs="Times New Roman"/>
        </w:rPr>
      </w:pPr>
      <w:r>
        <w:rPr>
          <w:rFonts w:cs="Times New Roman"/>
        </w:rPr>
        <w:t>In response to the Draft Advice, a</w:t>
      </w:r>
      <w:r w:rsidRPr="00E55E35">
        <w:rPr>
          <w:rFonts w:cs="Times New Roman"/>
        </w:rPr>
        <w:t xml:space="preserve"> number of stakeholders submitted that they support </w:t>
      </w:r>
      <w:r>
        <w:rPr>
          <w:rFonts w:cs="Times New Roman"/>
        </w:rPr>
        <w:t>combining</w:t>
      </w:r>
      <w:r w:rsidRPr="00E55E35">
        <w:rPr>
          <w:rFonts w:cs="Times New Roman"/>
        </w:rPr>
        <w:t xml:space="preserve"> the three sets of water charge rules (Goulburn-Murray Water</w:t>
      </w:r>
      <w:r w:rsidR="00DA3505">
        <w:rPr>
          <w:rFonts w:cs="Times New Roman"/>
        </w:rPr>
        <w:t xml:space="preserve"> (GWM)</w:t>
      </w:r>
      <w:r w:rsidRPr="00E55E35">
        <w:rPr>
          <w:rFonts w:cs="Times New Roman"/>
        </w:rPr>
        <w:t>, Queensland Treasury and Department of Energy and Water Supply</w:t>
      </w:r>
      <w:r w:rsidR="000A0202">
        <w:rPr>
          <w:rFonts w:cs="Times New Roman"/>
        </w:rPr>
        <w:t xml:space="preserve"> (QTDEWS)</w:t>
      </w:r>
      <w:r w:rsidRPr="00E55E35">
        <w:rPr>
          <w:rFonts w:cs="Times New Roman"/>
        </w:rPr>
        <w:t>, Commonwealth Environmental Water Holder (CEWH), Queensland Farmers</w:t>
      </w:r>
      <w:r w:rsidR="008E524B">
        <w:rPr>
          <w:rFonts w:cs="Times New Roman"/>
        </w:rPr>
        <w:t>’</w:t>
      </w:r>
      <w:r w:rsidRPr="00E55E35">
        <w:rPr>
          <w:rFonts w:cs="Times New Roman"/>
        </w:rPr>
        <w:t xml:space="preserve"> Federation (QFF) and Waterfind). Some of the reasons provided by stakeholders as to why they support combining these rules include:</w:t>
      </w:r>
    </w:p>
    <w:p w:rsidR="00E55E35" w:rsidRPr="00E55E35" w:rsidRDefault="00A1363B" w:rsidP="00A82DE6">
      <w:pPr>
        <w:pStyle w:val="Lvl1Bulletpoint"/>
      </w:pPr>
      <w:r>
        <w:t>greater</w:t>
      </w:r>
      <w:r w:rsidR="00E55E35" w:rsidRPr="00E55E35">
        <w:t xml:space="preserve"> clarity</w:t>
      </w:r>
      <w:r w:rsidR="00E55E35" w:rsidRPr="00E55E35">
        <w:rPr>
          <w:vertAlign w:val="superscript"/>
        </w:rPr>
        <w:footnoteReference w:id="55"/>
      </w:r>
    </w:p>
    <w:p w:rsidR="00E55E35" w:rsidRPr="00E55E35" w:rsidRDefault="00E55E35" w:rsidP="00A82DE6">
      <w:pPr>
        <w:pStyle w:val="Lvl1Bulletpoint"/>
      </w:pPr>
      <w:r w:rsidRPr="00E55E35">
        <w:t>consistency in the regulation of water charges</w:t>
      </w:r>
      <w:r w:rsidRPr="00E55E35">
        <w:rPr>
          <w:vertAlign w:val="superscript"/>
        </w:rPr>
        <w:footnoteReference w:id="56"/>
      </w:r>
    </w:p>
    <w:p w:rsidR="00E55E35" w:rsidRPr="00E55E35" w:rsidRDefault="00E55E35" w:rsidP="00A82DE6">
      <w:pPr>
        <w:pStyle w:val="Lvl1Bulletpoint"/>
      </w:pPr>
      <w:r w:rsidRPr="00E55E35">
        <w:t>simplification in the regulation of water charges</w:t>
      </w:r>
      <w:r w:rsidRPr="00E55E35">
        <w:rPr>
          <w:vertAlign w:val="superscript"/>
        </w:rPr>
        <w:footnoteReference w:id="57"/>
      </w:r>
    </w:p>
    <w:p w:rsidR="00E55E35" w:rsidRPr="00E55E35" w:rsidRDefault="00E55E35" w:rsidP="00A82DE6">
      <w:pPr>
        <w:pStyle w:val="Lvl1Bulletpoint"/>
      </w:pPr>
      <w:r w:rsidRPr="00E55E35">
        <w:t>an opportunity to revise terminology across the three sets of existing water charge rules to ensure consistency</w:t>
      </w:r>
      <w:r w:rsidR="0008785F">
        <w:t>.</w:t>
      </w:r>
      <w:r w:rsidRPr="00E55E35">
        <w:rPr>
          <w:vertAlign w:val="superscript"/>
        </w:rPr>
        <w:footnoteReference w:id="58"/>
      </w:r>
    </w:p>
    <w:p w:rsidR="00E55E35" w:rsidRPr="00E55E35" w:rsidRDefault="00E55E35" w:rsidP="00051394">
      <w:pPr>
        <w:rPr>
          <w:rFonts w:cs="Times New Roman"/>
        </w:rPr>
      </w:pPr>
      <w:r w:rsidRPr="00E55E35">
        <w:rPr>
          <w:rFonts w:cs="Times New Roman"/>
        </w:rPr>
        <w:t>The National Irrigators’ Council</w:t>
      </w:r>
      <w:r w:rsidR="00FC0E8C">
        <w:rPr>
          <w:rFonts w:cs="Times New Roman"/>
        </w:rPr>
        <w:t xml:space="preserve"> (NIC)</w:t>
      </w:r>
      <w:r w:rsidRPr="00E55E35">
        <w:rPr>
          <w:rFonts w:cs="Times New Roman"/>
        </w:rPr>
        <w:t xml:space="preserve"> was the only stakeholder that did not support combining the three sets of water charge rules.</w:t>
      </w:r>
      <w:r w:rsidRPr="00E55E35">
        <w:rPr>
          <w:rFonts w:cs="Times New Roman"/>
          <w:vertAlign w:val="superscript"/>
        </w:rPr>
        <w:footnoteReference w:id="59"/>
      </w:r>
      <w:r w:rsidRPr="00E55E35">
        <w:rPr>
          <w:rFonts w:cs="Times New Roman"/>
        </w:rPr>
        <w:t xml:space="preserve"> The NIC put forward its view that the benefits are “marginal, and it appears that the ACCC is instead taking the opportunity to rewrite and expand the rules significantly”. </w:t>
      </w:r>
    </w:p>
    <w:p w:rsidR="00E55E35" w:rsidRPr="00E55E35" w:rsidRDefault="00E55E35" w:rsidP="00051394">
      <w:pPr>
        <w:rPr>
          <w:rFonts w:cs="Times New Roman"/>
        </w:rPr>
      </w:pPr>
      <w:r w:rsidRPr="00E55E35">
        <w:rPr>
          <w:rFonts w:cs="Times New Roman"/>
        </w:rPr>
        <w:t>The CEWH support</w:t>
      </w:r>
      <w:r w:rsidR="00051394">
        <w:rPr>
          <w:rFonts w:cs="Times New Roman"/>
        </w:rPr>
        <w:t xml:space="preserve">ed the Draft Advice approach of </w:t>
      </w:r>
      <w:r w:rsidR="00051394">
        <w:rPr>
          <w:rFonts w:cs="Times New Roman"/>
          <w:i/>
        </w:rPr>
        <w:t xml:space="preserve">not </w:t>
      </w:r>
      <w:r w:rsidR="00051394">
        <w:rPr>
          <w:rFonts w:cs="Times New Roman"/>
        </w:rPr>
        <w:t xml:space="preserve">combining the </w:t>
      </w:r>
      <w:r w:rsidR="0037210E">
        <w:rPr>
          <w:rFonts w:cs="Times New Roman"/>
        </w:rPr>
        <w:t>WMR</w:t>
      </w:r>
      <w:r w:rsidR="00051394">
        <w:rPr>
          <w:rFonts w:cs="Times New Roman"/>
        </w:rPr>
        <w:t xml:space="preserve"> with the water charge rules</w:t>
      </w:r>
      <w:r w:rsidRPr="00E55E35">
        <w:rPr>
          <w:rFonts w:cs="Times New Roman"/>
        </w:rPr>
        <w:t>.</w:t>
      </w:r>
      <w:r w:rsidRPr="00E55E35">
        <w:rPr>
          <w:rFonts w:cs="Times New Roman"/>
          <w:vertAlign w:val="superscript"/>
        </w:rPr>
        <w:footnoteReference w:id="60"/>
      </w:r>
      <w:r w:rsidRPr="00E55E35">
        <w:rPr>
          <w:rFonts w:cs="Times New Roman"/>
        </w:rPr>
        <w:t xml:space="preserve"> Waterfind</w:t>
      </w:r>
      <w:r w:rsidR="00310970" w:rsidRPr="00E55E35">
        <w:rPr>
          <w:vertAlign w:val="superscript"/>
        </w:rPr>
        <w:footnoteReference w:id="61"/>
      </w:r>
      <w:r w:rsidRPr="00E55E35">
        <w:rPr>
          <w:rFonts w:cs="Times New Roman"/>
        </w:rPr>
        <w:t xml:space="preserve"> requested “addition clarification and justification” for this position. Waterfind is of the view that the water charge rules should be combined with the WMR for the following reasons:</w:t>
      </w:r>
    </w:p>
    <w:p w:rsidR="00E55E35" w:rsidRPr="00E55E35" w:rsidRDefault="00E55E35" w:rsidP="00A82DE6">
      <w:pPr>
        <w:pStyle w:val="Lvl1Bulletpoint"/>
      </w:pPr>
      <w:r w:rsidRPr="00E55E35">
        <w:t>to provide clarity to end users by reducing the need to refer to multiple documents</w:t>
      </w:r>
      <w:r w:rsidR="0037210E">
        <w:t>.</w:t>
      </w:r>
    </w:p>
    <w:p w:rsidR="00E55E35" w:rsidRPr="00E55E35" w:rsidRDefault="00E55E35" w:rsidP="00A82DE6">
      <w:pPr>
        <w:pStyle w:val="Lvl1Bulletpoint"/>
      </w:pPr>
      <w:r w:rsidRPr="00E55E35">
        <w:t>the WMR “have very little merit as standalone rules”</w:t>
      </w:r>
      <w:r w:rsidR="0037210E">
        <w:t>.</w:t>
      </w:r>
    </w:p>
    <w:p w:rsidR="00E55E35" w:rsidRPr="00E55E35" w:rsidRDefault="00E55E35" w:rsidP="00A82DE6">
      <w:pPr>
        <w:pStyle w:val="Lvl1Bulletpoint"/>
      </w:pPr>
      <w:r w:rsidRPr="00E55E35">
        <w:t>rules dealing with termination fees are very similar in nature to the WMR; the ACCC’s justification for extending the application of the WCTFR to all infrastructure operators can be applied to the case for combining the water charge rules with WMR</w:t>
      </w:r>
      <w:r w:rsidR="0037210E">
        <w:t>.</w:t>
      </w:r>
      <w:r w:rsidRPr="00E55E35">
        <w:t xml:space="preserve"> </w:t>
      </w:r>
    </w:p>
    <w:p w:rsidR="00E55E35" w:rsidRPr="00E55E35" w:rsidRDefault="00E55E35" w:rsidP="00A82DE6">
      <w:pPr>
        <w:pStyle w:val="Lvl1Bulletpoint"/>
      </w:pPr>
      <w:r w:rsidRPr="00E55E35">
        <w:t>Waterfind “cannot see any clear negatives to this”.</w:t>
      </w:r>
    </w:p>
    <w:p w:rsidR="00E55E35" w:rsidRPr="00E55E35" w:rsidRDefault="00E55E35" w:rsidP="00051394">
      <w:pPr>
        <w:rPr>
          <w:rFonts w:cs="Times New Roman"/>
        </w:rPr>
      </w:pPr>
      <w:r w:rsidRPr="00E55E35">
        <w:rPr>
          <w:rFonts w:cs="Times New Roman"/>
        </w:rPr>
        <w:t xml:space="preserve">Waterfind suggested that an alternative could be to combine the WMR with the Basin Plan water trading rules, noting that there is some overlap between the matters dealt with in each of these sets of rules. </w:t>
      </w:r>
    </w:p>
    <w:p w:rsidR="00F94EBF" w:rsidRPr="00D714FC" w:rsidRDefault="00E55E35" w:rsidP="00051394">
      <w:pPr>
        <w:rPr>
          <w:rFonts w:cs="Times New Roman"/>
        </w:rPr>
      </w:pPr>
      <w:r w:rsidRPr="00E55E35">
        <w:rPr>
          <w:rFonts w:cs="Times New Roman"/>
        </w:rPr>
        <w:t xml:space="preserve">Some stakeholders also commented on </w:t>
      </w:r>
      <w:r w:rsidR="00051394">
        <w:rPr>
          <w:rFonts w:cs="Times New Roman"/>
        </w:rPr>
        <w:t xml:space="preserve">draft </w:t>
      </w:r>
      <w:r w:rsidR="00207A65">
        <w:rPr>
          <w:rFonts w:cs="Times New Roman"/>
        </w:rPr>
        <w:t>r</w:t>
      </w:r>
      <w:r w:rsidRPr="00E55E35">
        <w:rPr>
          <w:rFonts w:cs="Times New Roman"/>
        </w:rPr>
        <w:t xml:space="preserve">ule </w:t>
      </w:r>
      <w:r w:rsidR="00207A65">
        <w:rPr>
          <w:rFonts w:cs="Times New Roman"/>
        </w:rPr>
        <w:t>a</w:t>
      </w:r>
      <w:r w:rsidRPr="00E55E35">
        <w:rPr>
          <w:rFonts w:cs="Times New Roman"/>
        </w:rPr>
        <w:t>dvice 4-B</w:t>
      </w:r>
      <w:r w:rsidR="00051394">
        <w:rPr>
          <w:rFonts w:cs="Times New Roman"/>
        </w:rPr>
        <w:t>—</w:t>
      </w:r>
      <w:r w:rsidRPr="00E55E35">
        <w:rPr>
          <w:rFonts w:cs="Times New Roman"/>
        </w:rPr>
        <w:t xml:space="preserve">including separate definitions for </w:t>
      </w:r>
      <w:r w:rsidR="00051394">
        <w:rPr>
          <w:rFonts w:cs="Times New Roman"/>
        </w:rPr>
        <w:t>‘</w:t>
      </w:r>
      <w:r w:rsidRPr="00E55E35">
        <w:rPr>
          <w:rFonts w:cs="Times New Roman"/>
        </w:rPr>
        <w:t>infrastructure charge</w:t>
      </w:r>
      <w:r w:rsidR="00051394">
        <w:rPr>
          <w:rFonts w:cs="Times New Roman"/>
        </w:rPr>
        <w:t>’</w:t>
      </w:r>
      <w:r w:rsidRPr="00E55E35">
        <w:rPr>
          <w:rFonts w:cs="Times New Roman"/>
        </w:rPr>
        <w:t xml:space="preserve">, </w:t>
      </w:r>
      <w:r w:rsidR="00051394">
        <w:rPr>
          <w:rFonts w:cs="Times New Roman"/>
        </w:rPr>
        <w:t>‘</w:t>
      </w:r>
      <w:r w:rsidRPr="00E55E35">
        <w:rPr>
          <w:rFonts w:cs="Times New Roman"/>
        </w:rPr>
        <w:t>planning and management charge</w:t>
      </w:r>
      <w:r w:rsidR="00051394">
        <w:rPr>
          <w:rFonts w:cs="Times New Roman"/>
        </w:rPr>
        <w:t>’</w:t>
      </w:r>
      <w:r w:rsidRPr="00E55E35">
        <w:rPr>
          <w:rFonts w:cs="Times New Roman"/>
        </w:rPr>
        <w:t xml:space="preserve"> and </w:t>
      </w:r>
      <w:r w:rsidR="00051394">
        <w:rPr>
          <w:rFonts w:cs="Times New Roman"/>
        </w:rPr>
        <w:t>‘</w:t>
      </w:r>
      <w:r w:rsidRPr="00E55E35">
        <w:rPr>
          <w:rFonts w:cs="Times New Roman"/>
        </w:rPr>
        <w:t>termination fee</w:t>
      </w:r>
      <w:r w:rsidR="00051394">
        <w:rPr>
          <w:rFonts w:cs="Times New Roman"/>
        </w:rPr>
        <w:t>’</w:t>
      </w:r>
      <w:r w:rsidRPr="00E55E35">
        <w:rPr>
          <w:rFonts w:cs="Times New Roman"/>
        </w:rPr>
        <w:t xml:space="preserve"> in the combined water charge rules. The QFF submitted that it supports this rule advice. Waterfind asked for greater clarity about the types of charges that would constitute a planning and management charge.</w:t>
      </w:r>
      <w:r w:rsidRPr="00E55E35">
        <w:rPr>
          <w:rFonts w:cs="Times New Roman"/>
          <w:vertAlign w:val="superscript"/>
        </w:rPr>
        <w:footnoteReference w:id="62"/>
      </w:r>
      <w:r w:rsidRPr="00E55E35">
        <w:rPr>
          <w:rFonts w:cs="Times New Roman"/>
        </w:rPr>
        <w:t xml:space="preserve"> </w:t>
      </w:r>
    </w:p>
    <w:p w:rsidR="00F94EBF" w:rsidRPr="00D714FC" w:rsidRDefault="00834F24" w:rsidP="00A23802">
      <w:pPr>
        <w:pStyle w:val="Heading4"/>
        <w:rPr>
          <w:rFonts w:ascii="Times New Roman" w:hAnsi="Times New Roman" w:cs="Times New Roman"/>
        </w:rPr>
      </w:pPr>
      <w:r>
        <w:rPr>
          <w:rFonts w:ascii="Times New Roman" w:hAnsi="Times New Roman" w:cs="Times New Roman"/>
        </w:rPr>
        <w:t>ACCC assessment</w:t>
      </w:r>
      <w:r w:rsidRPr="00D714FC">
        <w:rPr>
          <w:rFonts w:ascii="Times New Roman" w:hAnsi="Times New Roman" w:cs="Times New Roman"/>
        </w:rPr>
        <w:t xml:space="preserve"> </w:t>
      </w:r>
    </w:p>
    <w:p w:rsidR="00F94EBF" w:rsidRPr="00D714FC" w:rsidRDefault="00051394" w:rsidP="00FE665C">
      <w:pPr>
        <w:keepNext/>
        <w:spacing w:after="120"/>
        <w:rPr>
          <w:rFonts w:cs="Times New Roman"/>
        </w:rPr>
      </w:pPr>
      <w:r>
        <w:rPr>
          <w:rFonts w:cs="Times New Roman"/>
        </w:rPr>
        <w:t xml:space="preserve">For the reasons set out in the Draft Advice, as summarised in the ‘Background’ section above, the ACCC considers there is benefit in combining the </w:t>
      </w:r>
      <w:r w:rsidR="00F94EBF" w:rsidRPr="00D714FC">
        <w:rPr>
          <w:rFonts w:cs="Times New Roman"/>
        </w:rPr>
        <w:t xml:space="preserve">three sets of water charge rules by: </w:t>
      </w:r>
    </w:p>
    <w:p w:rsidR="00F94EBF" w:rsidRPr="00D714FC" w:rsidRDefault="00F94EBF" w:rsidP="00A82DE6">
      <w:pPr>
        <w:pStyle w:val="Lvl1Bulletpoint"/>
      </w:pPr>
      <w:r w:rsidRPr="00D714FC">
        <w:t>incorporating the provisions of the current WCTFR as a new Part (Part 10) of the WCIR</w:t>
      </w:r>
    </w:p>
    <w:p w:rsidR="00F94EBF" w:rsidRPr="00D714FC" w:rsidRDefault="00F94EBF" w:rsidP="00A82DE6">
      <w:pPr>
        <w:pStyle w:val="Lvl1Bulletpoint"/>
      </w:pPr>
      <w:r w:rsidRPr="00D714FC">
        <w:t>combining most of the pricing transparency requirements of the WCPMIR into the pricing transparency requirements in Part 4 of the WCIR</w:t>
      </w:r>
    </w:p>
    <w:p w:rsidR="00F94EBF" w:rsidRPr="00D714FC" w:rsidRDefault="00F94EBF" w:rsidP="00A82DE6">
      <w:pPr>
        <w:pStyle w:val="Lvl1Bulletpoint"/>
      </w:pPr>
      <w:r w:rsidRPr="00D714FC">
        <w:t>retaining the existing part and section numbers of the WCIR; and</w:t>
      </w:r>
    </w:p>
    <w:p w:rsidR="003448AC" w:rsidRDefault="00F94EBF" w:rsidP="00A82DE6">
      <w:pPr>
        <w:pStyle w:val="Lvl1Bulletpoint"/>
      </w:pPr>
      <w:r w:rsidRPr="00D714FC">
        <w:t>renaming the WCIR so they are simply referred to as the Water Charge Rules</w:t>
      </w:r>
      <w:r w:rsidR="005B5F7E">
        <w:t>.</w:t>
      </w:r>
      <w:r w:rsidRPr="00D714FC">
        <w:t xml:space="preserve"> </w:t>
      </w:r>
      <w:bookmarkStart w:id="269" w:name="_Ref435454381"/>
      <w:bookmarkStart w:id="270" w:name="_Ref435455648"/>
      <w:bookmarkStart w:id="271" w:name="_Toc436122288"/>
      <w:bookmarkStart w:id="272" w:name="_Toc436122783"/>
      <w:bookmarkStart w:id="273" w:name="_Toc436124138"/>
    </w:p>
    <w:p w:rsidR="009263BE" w:rsidRDefault="009263BE" w:rsidP="00051394">
      <w:r>
        <w:t>In relation to the NIC’s concerns, the ACCC notes that other changes to the rules are considered in detail in other parts of this Final Advice.</w:t>
      </w:r>
    </w:p>
    <w:p w:rsidR="009263BE" w:rsidRDefault="009263BE" w:rsidP="00051394">
      <w:r>
        <w:t xml:space="preserve">The ACCC also maintains the view that there is little benefit in combining the </w:t>
      </w:r>
      <w:r w:rsidR="0037210E">
        <w:t>WMR</w:t>
      </w:r>
      <w:r>
        <w:t xml:space="preserve"> with the water charge rules. The Act provides for </w:t>
      </w:r>
      <w:r w:rsidR="0037210E">
        <w:t>WMR</w:t>
      </w:r>
      <w:r>
        <w:t xml:space="preserve"> separately from water charge rules. In addition, the </w:t>
      </w:r>
      <w:r w:rsidR="0037210E">
        <w:t>WMR</w:t>
      </w:r>
      <w:r>
        <w:t xml:space="preserve"> will necessarily only apply to certain </w:t>
      </w:r>
      <w:r w:rsidR="003F241C">
        <w:t>IIOs</w:t>
      </w:r>
      <w:r>
        <w:t xml:space="preserve">, rather than infrastructure operators more generally. </w:t>
      </w:r>
    </w:p>
    <w:p w:rsidR="00051394" w:rsidRDefault="009263BE" w:rsidP="00051394">
      <w:r>
        <w:t xml:space="preserve">Finally, while the ACCC acknowledges some similarity between the </w:t>
      </w:r>
      <w:r w:rsidR="0037210E">
        <w:t>WMR</w:t>
      </w:r>
      <w:r>
        <w:t xml:space="preserve"> and the Basin Plan water trading rules, the ACCC did not consider the merits of combining these two sets of rules as this fell outside the scope of the terms of reference for this review.</w:t>
      </w:r>
    </w:p>
    <w:p w:rsidR="00EE75EE" w:rsidRDefault="00EE75EE" w:rsidP="00EE75EE">
      <w:r>
        <w:t>The single set of water charge rules should contain separate definitions for different types of charges, to provide greater clarity. For example, the WCIR and WCPMIR currently both employ the term ‘regulated charge’ but to mean different things. The WCTFR does not define ‘termination fee’ at all. These definitions will add clarity and certainty for stakeholders.</w:t>
      </w:r>
    </w:p>
    <w:p w:rsidR="00EE75EE" w:rsidRPr="00E55E35" w:rsidRDefault="00EE75EE" w:rsidP="00464189">
      <w:pPr>
        <w:spacing w:after="0"/>
      </w:pPr>
      <w:r>
        <w:t xml:space="preserve">The ACCC also notes that the current definition of ‘regulated charge’ in the WCPMIR is not limited to charges determined by or on behalf of government. The proposed </w:t>
      </w:r>
      <w:r w:rsidR="003F77BE">
        <w:t>W</w:t>
      </w:r>
      <w:r>
        <w:t xml:space="preserve">ater </w:t>
      </w:r>
      <w:r w:rsidR="003F77BE">
        <w:t>C</w:t>
      </w:r>
      <w:r>
        <w:t xml:space="preserve">harge </w:t>
      </w:r>
      <w:r w:rsidR="003F77BE">
        <w:t>R</w:t>
      </w:r>
      <w:r>
        <w:t>ules included with the Draft Advice addresse</w:t>
      </w:r>
      <w:r w:rsidR="007C0EFC">
        <w:t>d</w:t>
      </w:r>
      <w:r>
        <w:t xml:space="preserve"> this by limiting the definition of ‘planning and management charge’ to charges for water planning and management </w:t>
      </w:r>
      <w:r w:rsidR="00216925">
        <w:t xml:space="preserve">(WPM) </w:t>
      </w:r>
      <w:r>
        <w:t>activities, determined by or on behalf of an agency of either the Commonwealth or a State</w:t>
      </w:r>
      <w:r w:rsidR="005B5F7E">
        <w:t xml:space="preserve"> (excluding charges determined by a local government body)</w:t>
      </w:r>
      <w:r>
        <w:t>. This aligns the definition with how this type of charge is commonly understood by stakeholders and with the ACCC’s existing guidance material. It is also consistent with the origins of the term in</w:t>
      </w:r>
      <w:r w:rsidR="007C0EFC">
        <w:t xml:space="preserve"> </w:t>
      </w:r>
      <w:r>
        <w:t>th</w:t>
      </w:r>
      <w:r w:rsidR="007C0EFC">
        <w:t>e</w:t>
      </w:r>
      <w:r>
        <w:t xml:space="preserve"> National Water Initiative</w:t>
      </w:r>
      <w:r w:rsidR="00A74192">
        <w:t xml:space="preserve"> (NWI)</w:t>
      </w:r>
      <w:r>
        <w:t>, an intergovernmental agreement between the Commonwealth and the states / territories.</w:t>
      </w:r>
      <w:r>
        <w:rPr>
          <w:rStyle w:val="FootnoteReference"/>
        </w:rPr>
        <w:footnoteReference w:id="63"/>
      </w:r>
      <w:r w:rsidR="00621408">
        <w:t xml:space="preserve"> The ACCC has updated its rule advice to directly acknowledge this clarification. </w:t>
      </w:r>
    </w:p>
    <w:p w:rsidR="00F94EBF" w:rsidRDefault="00F94EBF" w:rsidP="003448AC">
      <w:pPr>
        <w:pStyle w:val="Heading2"/>
        <w:keepNext w:val="0"/>
      </w:pPr>
      <w:bookmarkStart w:id="274" w:name="_Toc456785791"/>
      <w:bookmarkStart w:id="275" w:name="_Toc461630702"/>
      <w:r w:rsidRPr="00D714FC">
        <w:t>ACCC guidance material</w:t>
      </w:r>
      <w:r w:rsidR="00267793">
        <w:t xml:space="preserve"> </w:t>
      </w:r>
      <w:r w:rsidR="00935F9A">
        <w:t>and</w:t>
      </w:r>
      <w:r w:rsidR="00267793">
        <w:t xml:space="preserve"> </w:t>
      </w:r>
      <w:r w:rsidRPr="00D714FC">
        <w:t>ACCC WCIR pricing principles</w:t>
      </w:r>
      <w:bookmarkEnd w:id="269"/>
      <w:bookmarkEnd w:id="270"/>
      <w:bookmarkEnd w:id="271"/>
      <w:bookmarkEnd w:id="272"/>
      <w:bookmarkEnd w:id="273"/>
      <w:bookmarkEnd w:id="274"/>
      <w:bookmarkEnd w:id="275"/>
    </w:p>
    <w:p w:rsidR="00C21C88" w:rsidRPr="00CE67EB" w:rsidRDefault="00FF770C" w:rsidP="00CE67EB">
      <w:pPr>
        <w:pStyle w:val="Heading3Un-numbered"/>
        <w:spacing w:before="0" w:after="0"/>
        <w:rPr>
          <w:rFonts w:ascii="Times New Roman" w:hAnsi="Times New Roman"/>
          <w:color w:val="FFFFFF" w:themeColor="background1"/>
          <w:sz w:val="12"/>
          <w:szCs w:val="12"/>
        </w:rPr>
      </w:pPr>
      <w:r w:rsidRPr="00CE67EB">
        <w:rPr>
          <w:rStyle w:val="Hyperlink"/>
          <w:rFonts w:asciiTheme="minorHAnsi" w:hAnsiTheme="minorHAnsi"/>
          <w:color w:val="FFFFFF" w:themeColor="background1"/>
          <w:sz w:val="12"/>
          <w:szCs w:val="12"/>
          <w:u w:val="none"/>
        </w:rPr>
        <w:fldChar w:fldCharType="begin"/>
      </w:r>
      <w:r w:rsidRPr="00CE67EB">
        <w:rPr>
          <w:rFonts w:ascii="Times New Roman" w:hAnsi="Times New Roman"/>
          <w:color w:val="FFFFFF" w:themeColor="background1"/>
          <w:sz w:val="12"/>
          <w:szCs w:val="12"/>
        </w:rPr>
        <w:instrText xml:space="preserve"> REF _Ref456942933 \h </w:instrText>
      </w:r>
      <w:r w:rsidRPr="00CE67EB">
        <w:rPr>
          <w:rStyle w:val="Hyperlink"/>
          <w:rFonts w:asciiTheme="minorHAnsi" w:hAnsiTheme="minorHAnsi"/>
          <w:color w:val="FFFFFF" w:themeColor="background1"/>
          <w:sz w:val="12"/>
          <w:szCs w:val="12"/>
          <w:u w:val="none"/>
        </w:rPr>
        <w:instrText xml:space="preserve"> \* MERGEFORMAT </w:instrText>
      </w:r>
      <w:r w:rsidRPr="00CE67EB">
        <w:rPr>
          <w:rStyle w:val="Hyperlink"/>
          <w:rFonts w:asciiTheme="minorHAnsi" w:hAnsiTheme="minorHAnsi"/>
          <w:color w:val="FFFFFF" w:themeColor="background1"/>
          <w:sz w:val="12"/>
          <w:szCs w:val="12"/>
          <w:u w:val="none"/>
        </w:rPr>
      </w:r>
      <w:r w:rsidRPr="00CE67EB">
        <w:rPr>
          <w:rStyle w:val="Hyperlink"/>
          <w:rFonts w:asciiTheme="minorHAnsi" w:hAnsiTheme="minorHAnsi"/>
          <w:color w:val="FFFFFF" w:themeColor="background1"/>
          <w:sz w:val="12"/>
          <w:szCs w:val="12"/>
          <w:u w:val="none"/>
        </w:rPr>
        <w:fldChar w:fldCharType="separate"/>
      </w:r>
      <w:r w:rsidR="00BD218B" w:rsidRPr="00BD218B">
        <w:rPr>
          <w:rStyle w:val="Hyperlink"/>
          <w:rFonts w:asciiTheme="minorHAnsi" w:hAnsiTheme="minorHAnsi"/>
          <w:color w:val="FFFFFF" w:themeColor="background1"/>
          <w:sz w:val="12"/>
          <w:szCs w:val="12"/>
          <w:u w:val="none"/>
        </w:rPr>
        <w:t xml:space="preserve">ACCC </w:t>
      </w:r>
      <w:r w:rsidR="00BD218B" w:rsidRPr="00BD218B">
        <w:rPr>
          <w:color w:val="FFFFFF" w:themeColor="background1"/>
          <w:sz w:val="12"/>
          <w:szCs w:val="12"/>
        </w:rPr>
        <w:t>Recommendations</w:t>
      </w:r>
      <w:r w:rsidRPr="00CE67EB">
        <w:rPr>
          <w:rStyle w:val="Hyperlink"/>
          <w:rFonts w:asciiTheme="minorHAnsi" w:hAnsiTheme="minorHAnsi"/>
          <w:color w:val="FFFFFF" w:themeColor="background1"/>
          <w:sz w:val="12"/>
          <w:szCs w:val="12"/>
          <w:u w:val="none"/>
        </w:rPr>
        <w:fldChar w:fldCharType="end"/>
      </w:r>
    </w:p>
    <w:tbl>
      <w:tblPr>
        <w:tblStyle w:val="TableGrid"/>
        <w:tblW w:w="0" w:type="auto"/>
        <w:shd w:val="clear" w:color="auto" w:fill="F2F2F2" w:themeFill="background1" w:themeFillShade="F2"/>
        <w:tblLook w:val="04A0" w:firstRow="1" w:lastRow="0" w:firstColumn="1" w:lastColumn="0" w:noHBand="0" w:noVBand="1"/>
      </w:tblPr>
      <w:tblGrid>
        <w:gridCol w:w="9242"/>
      </w:tblGrid>
      <w:tr w:rsidR="00CD3E5A" w:rsidTr="00C27C0E">
        <w:trPr>
          <w:cantSplit/>
        </w:trPr>
        <w:tc>
          <w:tcPr>
            <w:tcW w:w="9242" w:type="dxa"/>
            <w:tcBorders>
              <w:top w:val="nil"/>
              <w:left w:val="nil"/>
              <w:bottom w:val="nil"/>
              <w:right w:val="nil"/>
            </w:tcBorders>
            <w:shd w:val="clear" w:color="auto" w:fill="F2F2F2" w:themeFill="background1" w:themeFillShade="F2"/>
          </w:tcPr>
          <w:p w:rsidR="00CD3E5A" w:rsidRPr="00536A3D" w:rsidRDefault="00CD3E5A" w:rsidP="00AF7032">
            <w:pPr>
              <w:pStyle w:val="Recommendationheading"/>
            </w:pPr>
            <w:bookmarkStart w:id="276" w:name="_Toc456784188"/>
            <w:r w:rsidRPr="00536A3D">
              <w:t xml:space="preserve">Recommendation </w:t>
            </w:r>
            <w:r w:rsidR="007F659D">
              <w:rPr>
                <w:noProof/>
              </w:rPr>
              <w:t>4</w:t>
            </w:r>
            <w:r>
              <w:noBreakHyphen/>
            </w:r>
            <w:r w:rsidR="007F659D">
              <w:rPr>
                <w:noProof/>
              </w:rPr>
              <w:t>B</w:t>
            </w:r>
            <w:bookmarkEnd w:id="276"/>
          </w:p>
          <w:p w:rsidR="0043431B" w:rsidRDefault="00F94499" w:rsidP="0043431B">
            <w:pPr>
              <w:pStyle w:val="Heading7"/>
              <w:widowControl w:val="0"/>
              <w:spacing w:after="120"/>
              <w:outlineLvl w:val="6"/>
            </w:pPr>
            <w:bookmarkStart w:id="277" w:name="_Toc456784189"/>
            <w:bookmarkStart w:id="278" w:name="Recommendation_4B"/>
            <w:r>
              <w:t>T</w:t>
            </w:r>
            <w:r w:rsidR="00BE5310">
              <w:t>he ACCC will revi</w:t>
            </w:r>
            <w:r>
              <w:t>ew</w:t>
            </w:r>
            <w:r w:rsidR="00BE5310">
              <w:t xml:space="preserve"> its existing guidance material </w:t>
            </w:r>
            <w:r>
              <w:t xml:space="preserve">and, if any amendments are made to the water charge rules, </w:t>
            </w:r>
            <w:r w:rsidR="0043431B">
              <w:t xml:space="preserve">develop new guidance material to help ensure stakeholders understand their rights and obligations under the rules. </w:t>
            </w:r>
            <w:r w:rsidR="00CD3E5A" w:rsidRPr="00D714FC">
              <w:t xml:space="preserve">Future reviews of the ACCC’s </w:t>
            </w:r>
            <w:r w:rsidR="00BE5310">
              <w:t>guidance material</w:t>
            </w:r>
            <w:r w:rsidR="00CD3E5A" w:rsidRPr="00D714FC">
              <w:t xml:space="preserve"> will be undertaken in close consultation with industry stakeholders</w:t>
            </w:r>
            <w:r w:rsidR="00BE5310">
              <w:t>.</w:t>
            </w:r>
            <w:bookmarkEnd w:id="277"/>
            <w:r w:rsidR="00BE5310">
              <w:t xml:space="preserve"> </w:t>
            </w:r>
          </w:p>
          <w:p w:rsidR="00CD3E5A" w:rsidRPr="00B345C4" w:rsidRDefault="00BE5310" w:rsidP="0043431B">
            <w:pPr>
              <w:pStyle w:val="Heading7"/>
              <w:widowControl w:val="0"/>
              <w:spacing w:after="120"/>
              <w:outlineLvl w:val="6"/>
              <w:rPr>
                <w:b/>
                <w:sz w:val="24"/>
              </w:rPr>
            </w:pPr>
            <w:bookmarkStart w:id="279" w:name="_Toc456784190"/>
            <w:r>
              <w:t>T</w:t>
            </w:r>
            <w:r w:rsidR="00CD3E5A">
              <w:t xml:space="preserve">he ACCC </w:t>
            </w:r>
            <w:r w:rsidR="00CD3E5A" w:rsidRPr="00D714FC">
              <w:t>will work with Basin State economic regulators to ensure the Pricing Principles reflect regulatory best practice. The ongoing revision of the Pricing Principles can also serve as a useful platform for the development of nationally consistent approaches to regulatory issues in the rural water sector.</w:t>
            </w:r>
            <w:bookmarkEnd w:id="278"/>
            <w:bookmarkEnd w:id="279"/>
          </w:p>
        </w:tc>
      </w:tr>
    </w:tbl>
    <w:p w:rsidR="00F94EBF" w:rsidRPr="000A4709" w:rsidRDefault="00F94EBF" w:rsidP="00FC64B5">
      <w:pPr>
        <w:pStyle w:val="Heading3Un-numbered"/>
      </w:pPr>
      <w:r w:rsidRPr="000A4709">
        <w:t>Background</w:t>
      </w:r>
    </w:p>
    <w:p w:rsidR="00F94EBF" w:rsidRPr="00D714FC" w:rsidRDefault="00F94EBF" w:rsidP="003448AC">
      <w:pPr>
        <w:rPr>
          <w:rFonts w:cs="Times New Roman"/>
        </w:rPr>
      </w:pPr>
      <w:r w:rsidRPr="00D714FC">
        <w:rPr>
          <w:rFonts w:cs="Times New Roman"/>
        </w:rPr>
        <w:t xml:space="preserve">The ACCC has published a number of guides to assist operators, irrigators and Basin State Governments to understand their rights and obligations under the water charge rules, including the </w:t>
      </w:r>
      <w:r w:rsidRPr="00D714FC">
        <w:rPr>
          <w:rFonts w:cs="Times New Roman"/>
          <w:i/>
        </w:rPr>
        <w:t xml:space="preserve">Pricing principles for price approvals </w:t>
      </w:r>
      <w:r w:rsidR="007F659D">
        <w:rPr>
          <w:rFonts w:cs="Times New Roman"/>
          <w:i/>
        </w:rPr>
        <w:t>and</w:t>
      </w:r>
      <w:r w:rsidRPr="00D714FC">
        <w:rPr>
          <w:rFonts w:cs="Times New Roman"/>
          <w:i/>
        </w:rPr>
        <w:t xml:space="preserve"> determinations under the </w:t>
      </w:r>
      <w:r w:rsidR="007F659D">
        <w:rPr>
          <w:rFonts w:cs="Times New Roman"/>
          <w:i/>
        </w:rPr>
        <w:t>W</w:t>
      </w:r>
      <w:r w:rsidRPr="00D714FC">
        <w:rPr>
          <w:rFonts w:cs="Times New Roman"/>
          <w:i/>
        </w:rPr>
        <w:t xml:space="preserve">ater </w:t>
      </w:r>
      <w:r w:rsidR="007F659D">
        <w:rPr>
          <w:rFonts w:cs="Times New Roman"/>
          <w:i/>
        </w:rPr>
        <w:t>C</w:t>
      </w:r>
      <w:r w:rsidRPr="00D714FC">
        <w:rPr>
          <w:rFonts w:cs="Times New Roman"/>
          <w:i/>
        </w:rPr>
        <w:t>harge (</w:t>
      </w:r>
      <w:r w:rsidR="007F659D">
        <w:rPr>
          <w:rFonts w:cs="Times New Roman"/>
          <w:i/>
        </w:rPr>
        <w:t>I</w:t>
      </w:r>
      <w:r w:rsidRPr="00D714FC">
        <w:rPr>
          <w:rFonts w:cs="Times New Roman"/>
          <w:i/>
        </w:rPr>
        <w:t xml:space="preserve">nfrastructure) </w:t>
      </w:r>
      <w:r w:rsidR="007F659D">
        <w:rPr>
          <w:rFonts w:cs="Times New Roman"/>
          <w:i/>
        </w:rPr>
        <w:t>R</w:t>
      </w:r>
      <w:r w:rsidRPr="00D714FC">
        <w:rPr>
          <w:rFonts w:cs="Times New Roman"/>
          <w:i/>
        </w:rPr>
        <w:t>ules</w:t>
      </w:r>
      <w:r w:rsidR="007F659D">
        <w:rPr>
          <w:rFonts w:cs="Times New Roman"/>
          <w:i/>
        </w:rPr>
        <w:t xml:space="preserve"> 2010</w:t>
      </w:r>
      <w:r w:rsidRPr="00D714FC">
        <w:rPr>
          <w:rFonts w:cs="Times New Roman"/>
        </w:rPr>
        <w:t xml:space="preserve"> (Pricing Principles). These are available on the ACCC’s website.</w:t>
      </w:r>
      <w:r w:rsidRPr="00D714FC">
        <w:rPr>
          <w:rStyle w:val="FootnoteReference"/>
          <w:rFonts w:cs="Times New Roman"/>
        </w:rPr>
        <w:footnoteReference w:id="64"/>
      </w:r>
      <w:r w:rsidR="00C6733C">
        <w:rPr>
          <w:rFonts w:cs="Times New Roman"/>
        </w:rPr>
        <w:t xml:space="preserve"> </w:t>
      </w:r>
    </w:p>
    <w:p w:rsidR="00F94EBF" w:rsidRPr="00D714FC" w:rsidRDefault="00F94EBF" w:rsidP="003448AC">
      <w:pPr>
        <w:rPr>
          <w:rFonts w:cs="Times New Roman"/>
        </w:rPr>
      </w:pPr>
      <w:r w:rsidRPr="00D714FC">
        <w:rPr>
          <w:rFonts w:cs="Times New Roman"/>
        </w:rPr>
        <w:t xml:space="preserve">In </w:t>
      </w:r>
      <w:r w:rsidR="008412C4">
        <w:rPr>
          <w:rFonts w:cs="Times New Roman"/>
        </w:rPr>
        <w:t>its Draft Advice</w:t>
      </w:r>
      <w:r w:rsidRPr="00D714FC">
        <w:rPr>
          <w:rFonts w:cs="Times New Roman"/>
        </w:rPr>
        <w:t xml:space="preserve">, the ACCC </w:t>
      </w:r>
      <w:r w:rsidR="008412C4">
        <w:rPr>
          <w:rFonts w:cs="Times New Roman"/>
        </w:rPr>
        <w:t>made a draft recommendation that f</w:t>
      </w:r>
      <w:r w:rsidR="008412C4" w:rsidRPr="008412C4">
        <w:rPr>
          <w:rFonts w:cs="Times New Roman"/>
        </w:rPr>
        <w:t xml:space="preserve">uture reviews of the ACCC’s Pricing Principles </w:t>
      </w:r>
      <w:r w:rsidR="008412C4">
        <w:rPr>
          <w:rFonts w:cs="Times New Roman"/>
        </w:rPr>
        <w:t xml:space="preserve">should </w:t>
      </w:r>
      <w:r w:rsidR="008412C4" w:rsidRPr="008412C4">
        <w:rPr>
          <w:rFonts w:cs="Times New Roman"/>
        </w:rPr>
        <w:t xml:space="preserve">be undertaken in close consultation with industry stakeholders, and </w:t>
      </w:r>
      <w:r w:rsidR="008412C4">
        <w:rPr>
          <w:rFonts w:cs="Times New Roman"/>
        </w:rPr>
        <w:t xml:space="preserve">that </w:t>
      </w:r>
      <w:r w:rsidR="008412C4" w:rsidRPr="008412C4">
        <w:rPr>
          <w:rFonts w:cs="Times New Roman"/>
        </w:rPr>
        <w:t xml:space="preserve">the ACCC will work with Basin State economic regulators to ensure the Pricing Principles reflect regulatory best practice </w:t>
      </w:r>
      <w:r w:rsidR="008412C4">
        <w:rPr>
          <w:rFonts w:cs="Times New Roman"/>
        </w:rPr>
        <w:t>(recommendation 4-B).</w:t>
      </w:r>
      <w:r w:rsidR="00C6733C">
        <w:rPr>
          <w:rFonts w:cs="Times New Roman"/>
        </w:rPr>
        <w:t xml:space="preserve"> </w:t>
      </w:r>
    </w:p>
    <w:p w:rsidR="008412C4" w:rsidRPr="00D714FC" w:rsidRDefault="008412C4" w:rsidP="003170A7">
      <w:pPr>
        <w:spacing w:after="0"/>
        <w:rPr>
          <w:rFonts w:cs="Times New Roman"/>
        </w:rPr>
      </w:pPr>
      <w:r>
        <w:rPr>
          <w:rFonts w:cs="Times New Roman"/>
        </w:rPr>
        <w:t>The ACCC noted in its Draft Advice that, f</w:t>
      </w:r>
      <w:r w:rsidRPr="00D714FC">
        <w:rPr>
          <w:rFonts w:cs="Times New Roman"/>
        </w:rPr>
        <w:t>ollowing a decision by the Minister on any amendments to the water charge rules, the ACCC will revise</w:t>
      </w:r>
      <w:r>
        <w:rPr>
          <w:rFonts w:cs="Times New Roman"/>
        </w:rPr>
        <w:t xml:space="preserve"> its</w:t>
      </w:r>
      <w:r w:rsidRPr="00D714FC">
        <w:rPr>
          <w:rFonts w:cs="Times New Roman"/>
        </w:rPr>
        <w:t xml:space="preserve"> existing guidance material or prepare new material, as required. </w:t>
      </w:r>
      <w:r>
        <w:rPr>
          <w:rFonts w:cs="Times New Roman"/>
        </w:rPr>
        <w:t>The ACCC also noted that, u</w:t>
      </w:r>
      <w:r w:rsidRPr="00D714FC">
        <w:rPr>
          <w:rFonts w:cs="Times New Roman"/>
        </w:rPr>
        <w:t xml:space="preserve">nder the </w:t>
      </w:r>
      <w:r w:rsidR="00D77AAB">
        <w:rPr>
          <w:rFonts w:cs="Times New Roman"/>
        </w:rPr>
        <w:t>Australian</w:t>
      </w:r>
      <w:r w:rsidR="00D77AAB" w:rsidRPr="00D714FC">
        <w:rPr>
          <w:rFonts w:cs="Times New Roman"/>
        </w:rPr>
        <w:t xml:space="preserve"> </w:t>
      </w:r>
      <w:r w:rsidRPr="00D714FC">
        <w:rPr>
          <w:rFonts w:cs="Times New Roman"/>
        </w:rPr>
        <w:t>Government’s new Regulator Performance Framework,</w:t>
      </w:r>
      <w:r w:rsidRPr="00D714FC">
        <w:rPr>
          <w:rStyle w:val="FootnoteReference"/>
          <w:rFonts w:cs="Times New Roman"/>
        </w:rPr>
        <w:footnoteReference w:id="65"/>
      </w:r>
      <w:r w:rsidRPr="00D714FC">
        <w:rPr>
          <w:rFonts w:cs="Times New Roman"/>
        </w:rPr>
        <w:t xml:space="preserve"> the ACCC will also report publicly on how it has sought to ensure that ‘communication with regulated entities (and other stakeholder groups) is clear, targeted and effective.’</w:t>
      </w:r>
      <w:r w:rsidRPr="00D714FC">
        <w:rPr>
          <w:rStyle w:val="FootnoteReference"/>
          <w:rFonts w:cs="Times New Roman"/>
        </w:rPr>
        <w:footnoteReference w:id="66"/>
      </w:r>
    </w:p>
    <w:p w:rsidR="00F94EBF" w:rsidRPr="00D714FC" w:rsidRDefault="00F94EBF" w:rsidP="00FC64B5">
      <w:pPr>
        <w:pStyle w:val="Heading3Un-numbered"/>
      </w:pPr>
      <w:r w:rsidRPr="00D714FC">
        <w:t>Stakeholder feedback</w:t>
      </w:r>
    </w:p>
    <w:p w:rsidR="00F94EBF" w:rsidRPr="00D714FC" w:rsidRDefault="00F94EBF" w:rsidP="008412C4">
      <w:pPr>
        <w:rPr>
          <w:rFonts w:cs="Times New Roman"/>
        </w:rPr>
      </w:pPr>
      <w:r w:rsidRPr="00D714FC">
        <w:rPr>
          <w:rFonts w:cs="Times New Roman"/>
        </w:rPr>
        <w:t>A small number of stakeholders provided feedback on the ACCC’s guidance materials in written submissions</w:t>
      </w:r>
      <w:r w:rsidR="00B27148">
        <w:rPr>
          <w:rFonts w:cs="Times New Roman"/>
        </w:rPr>
        <w:t xml:space="preserve"> to the ACCC’s Issues Paper</w:t>
      </w:r>
      <w:r w:rsidRPr="00D714FC">
        <w:rPr>
          <w:rFonts w:cs="Times New Roman"/>
        </w:rPr>
        <w:t>.</w:t>
      </w:r>
      <w:r w:rsidRPr="00D714FC">
        <w:rPr>
          <w:rStyle w:val="FootnoteReference"/>
          <w:rFonts w:cs="Times New Roman"/>
        </w:rPr>
        <w:footnoteReference w:id="67"/>
      </w:r>
      <w:r w:rsidRPr="00D714FC">
        <w:rPr>
          <w:rFonts w:cs="Times New Roman"/>
        </w:rPr>
        <w:t xml:space="preserve"> </w:t>
      </w:r>
      <w:r w:rsidR="00B27148">
        <w:rPr>
          <w:rFonts w:cs="Times New Roman"/>
        </w:rPr>
        <w:t xml:space="preserve">Many of these </w:t>
      </w:r>
      <w:r w:rsidR="00A46D60" w:rsidRPr="00D714FC">
        <w:rPr>
          <w:rFonts w:cs="Times New Roman"/>
        </w:rPr>
        <w:t>stakeholders commented that the ACCC’s guidance</w:t>
      </w:r>
      <w:r w:rsidR="00B27148">
        <w:rPr>
          <w:rFonts w:cs="Times New Roman"/>
        </w:rPr>
        <w:t>, while useful,</w:t>
      </w:r>
      <w:r w:rsidR="00A46D60" w:rsidRPr="00D714FC">
        <w:rPr>
          <w:rFonts w:cs="Times New Roman"/>
        </w:rPr>
        <w:t xml:space="preserve"> was overly complex in some areas</w:t>
      </w:r>
      <w:r w:rsidRPr="00D714FC">
        <w:rPr>
          <w:rFonts w:cs="Times New Roman"/>
        </w:rPr>
        <w:t>.</w:t>
      </w:r>
      <w:r w:rsidR="00A46D60" w:rsidRPr="00D714FC">
        <w:rPr>
          <w:rFonts w:cs="Times New Roman"/>
        </w:rPr>
        <w:t xml:space="preserve"> </w:t>
      </w:r>
      <w:r w:rsidR="00370FBC" w:rsidRPr="00D714FC">
        <w:rPr>
          <w:rFonts w:cs="Times New Roman"/>
        </w:rPr>
        <w:t>The ACCC also received verbal feedback confirming the usefulness of existing guidance materials in consultation discussions with various Basin State government departments.</w:t>
      </w:r>
    </w:p>
    <w:p w:rsidR="00F94EBF" w:rsidRDefault="00F94EBF" w:rsidP="008412C4">
      <w:pPr>
        <w:rPr>
          <w:rFonts w:cs="Times New Roman"/>
        </w:rPr>
      </w:pPr>
      <w:r w:rsidRPr="00D714FC">
        <w:rPr>
          <w:rFonts w:cs="Times New Roman"/>
        </w:rPr>
        <w:t xml:space="preserve">Some stakeholders provided suggestions on how guidance could be made of greater relevance, including through reducing complexity and by complementing written materials with targeted, face-to-face conversations. The ACCC has noted these comments, which will help inform </w:t>
      </w:r>
      <w:r w:rsidR="00EE4CE7">
        <w:rPr>
          <w:rFonts w:cs="Times New Roman"/>
        </w:rPr>
        <w:t>its</w:t>
      </w:r>
      <w:r w:rsidR="00EE4CE7" w:rsidRPr="00D714FC">
        <w:rPr>
          <w:rFonts w:cs="Times New Roman"/>
        </w:rPr>
        <w:t xml:space="preserve"> </w:t>
      </w:r>
      <w:r w:rsidRPr="00D714FC">
        <w:rPr>
          <w:rFonts w:cs="Times New Roman"/>
        </w:rPr>
        <w:t>approach to revising existing guides and developing new guidance materials.</w:t>
      </w:r>
    </w:p>
    <w:p w:rsidR="0043431B" w:rsidRDefault="0043431B" w:rsidP="00BE5310">
      <w:pPr>
        <w:rPr>
          <w:rFonts w:cs="Times New Roman"/>
        </w:rPr>
      </w:pPr>
      <w:r w:rsidRPr="00BE5310">
        <w:rPr>
          <w:rFonts w:cs="Times New Roman"/>
        </w:rPr>
        <w:t>Two submissions to the Draft Advice (Queensland Treasury and Department of Energy and Water Supply</w:t>
      </w:r>
      <w:r w:rsidR="000A0202">
        <w:rPr>
          <w:rFonts w:cs="Times New Roman"/>
        </w:rPr>
        <w:t xml:space="preserve"> (QTDEWS)</w:t>
      </w:r>
      <w:r w:rsidRPr="00BE5310">
        <w:rPr>
          <w:rFonts w:cs="Times New Roman"/>
        </w:rPr>
        <w:t xml:space="preserve">, and </w:t>
      </w:r>
      <w:r>
        <w:rPr>
          <w:rFonts w:cs="Times New Roman"/>
        </w:rPr>
        <w:t xml:space="preserve">the </w:t>
      </w:r>
      <w:r w:rsidRPr="00BE5310">
        <w:rPr>
          <w:rFonts w:cs="Times New Roman"/>
        </w:rPr>
        <w:t>Local Government Association of Queensland</w:t>
      </w:r>
      <w:r w:rsidR="008F0D6B">
        <w:rPr>
          <w:rFonts w:cs="Times New Roman"/>
        </w:rPr>
        <w:t xml:space="preserve"> (LGAQ)</w:t>
      </w:r>
      <w:r w:rsidRPr="00BE5310">
        <w:rPr>
          <w:rFonts w:cs="Times New Roman"/>
        </w:rPr>
        <w:t>) commented that they support the ACCC providing additional guidance material on the water charge rules.</w:t>
      </w:r>
      <w:r w:rsidRPr="00BE5310">
        <w:rPr>
          <w:rFonts w:cs="Times New Roman"/>
          <w:vertAlign w:val="superscript"/>
        </w:rPr>
        <w:footnoteReference w:id="68"/>
      </w:r>
      <w:r w:rsidRPr="00BE5310">
        <w:rPr>
          <w:rFonts w:cs="Times New Roman"/>
        </w:rPr>
        <w:t xml:space="preserve"> Mr Tom Loffler submitted that </w:t>
      </w:r>
      <w:r w:rsidR="00D0560A">
        <w:rPr>
          <w:rFonts w:cs="Times New Roman"/>
        </w:rPr>
        <w:t xml:space="preserve">the </w:t>
      </w:r>
      <w:r w:rsidRPr="00BE5310">
        <w:rPr>
          <w:rFonts w:cs="Times New Roman"/>
        </w:rPr>
        <w:t xml:space="preserve">“[w]ater consumer should have ready access to all relevant ACCC and infrastructure operators’ policies </w:t>
      </w:r>
      <w:r w:rsidR="00BB2073" w:rsidRPr="00BE5310">
        <w:rPr>
          <w:rFonts w:cs="Times New Roman"/>
        </w:rPr>
        <w:t>etc.</w:t>
      </w:r>
      <w:r w:rsidRPr="00BE5310">
        <w:rPr>
          <w:rFonts w:cs="Times New Roman"/>
        </w:rPr>
        <w:t xml:space="preserve"> so as to be able to make informed decisions”.</w:t>
      </w:r>
      <w:r w:rsidRPr="00BE5310">
        <w:rPr>
          <w:rFonts w:cs="Times New Roman"/>
          <w:vertAlign w:val="superscript"/>
        </w:rPr>
        <w:footnoteReference w:id="69"/>
      </w:r>
      <w:r w:rsidRPr="00BE5310">
        <w:rPr>
          <w:rFonts w:cs="Times New Roman"/>
        </w:rPr>
        <w:t xml:space="preserve"> The </w:t>
      </w:r>
      <w:r w:rsidR="00D61D6B">
        <w:rPr>
          <w:rFonts w:cs="Times New Roman"/>
        </w:rPr>
        <w:t>Commonwealth Environmental Water Holder (</w:t>
      </w:r>
      <w:r w:rsidRPr="00BE5310">
        <w:rPr>
          <w:rFonts w:cs="Times New Roman"/>
        </w:rPr>
        <w:t>CEWH</w:t>
      </w:r>
      <w:r w:rsidR="00D61D6B">
        <w:rPr>
          <w:rFonts w:cs="Times New Roman"/>
        </w:rPr>
        <w:t>)</w:t>
      </w:r>
      <w:r w:rsidRPr="00BE5310">
        <w:rPr>
          <w:rFonts w:cs="Times New Roman"/>
        </w:rPr>
        <w:t xml:space="preserve"> support</w:t>
      </w:r>
      <w:r>
        <w:rPr>
          <w:rFonts w:cs="Times New Roman"/>
        </w:rPr>
        <w:t>ed</w:t>
      </w:r>
      <w:r w:rsidRPr="00BE5310">
        <w:rPr>
          <w:rFonts w:cs="Times New Roman"/>
        </w:rPr>
        <w:t xml:space="preserve"> the development of guidance material to assist in the implementation of the Basin Water Charging Objectives and Principles</w:t>
      </w:r>
      <w:r w:rsidR="006504A6">
        <w:rPr>
          <w:rFonts w:cs="Times New Roman"/>
        </w:rPr>
        <w:t xml:space="preserve"> (BWCOP)</w:t>
      </w:r>
      <w:r w:rsidRPr="00BE5310">
        <w:rPr>
          <w:rFonts w:cs="Times New Roman"/>
        </w:rPr>
        <w:t>. The CEWH consider</w:t>
      </w:r>
      <w:r>
        <w:rPr>
          <w:rFonts w:cs="Times New Roman"/>
        </w:rPr>
        <w:t>ed</w:t>
      </w:r>
      <w:r w:rsidRPr="00BE5310">
        <w:rPr>
          <w:rFonts w:cs="Times New Roman"/>
        </w:rPr>
        <w:t xml:space="preserve"> that the guidance could draw on materials provided for existing principles such as the COAG Water Resource Pricing Principles and the </w:t>
      </w:r>
      <w:r w:rsidR="00FB3287">
        <w:rPr>
          <w:rFonts w:cs="Times New Roman"/>
        </w:rPr>
        <w:t xml:space="preserve">National </w:t>
      </w:r>
      <w:r w:rsidRPr="00BE5310">
        <w:rPr>
          <w:rFonts w:cs="Times New Roman"/>
        </w:rPr>
        <w:t>W</w:t>
      </w:r>
      <w:r w:rsidR="00FB3287">
        <w:rPr>
          <w:rFonts w:cs="Times New Roman"/>
        </w:rPr>
        <w:t xml:space="preserve">ater </w:t>
      </w:r>
      <w:r w:rsidRPr="00BE5310">
        <w:rPr>
          <w:rFonts w:cs="Times New Roman"/>
        </w:rPr>
        <w:t>I</w:t>
      </w:r>
      <w:r w:rsidR="00FB3287">
        <w:rPr>
          <w:rFonts w:cs="Times New Roman"/>
        </w:rPr>
        <w:t>nitiative</w:t>
      </w:r>
      <w:r w:rsidRPr="00BE5310">
        <w:rPr>
          <w:rFonts w:cs="Times New Roman"/>
        </w:rPr>
        <w:t xml:space="preserve"> </w:t>
      </w:r>
      <w:r w:rsidR="00FB3287">
        <w:rPr>
          <w:rFonts w:cs="Times New Roman"/>
        </w:rPr>
        <w:t xml:space="preserve">(NWI) </w:t>
      </w:r>
      <w:r w:rsidRPr="00BE5310">
        <w:rPr>
          <w:rFonts w:cs="Times New Roman"/>
        </w:rPr>
        <w:t>Pricing Principles.</w:t>
      </w:r>
      <w:r w:rsidRPr="00BE5310">
        <w:rPr>
          <w:rFonts w:cs="Times New Roman"/>
          <w:vertAlign w:val="superscript"/>
        </w:rPr>
        <w:footnoteReference w:id="70"/>
      </w:r>
      <w:r w:rsidRPr="00BE5310">
        <w:rPr>
          <w:rFonts w:cs="Times New Roman"/>
        </w:rPr>
        <w:t xml:space="preserve"> </w:t>
      </w:r>
    </w:p>
    <w:p w:rsidR="00BE5310" w:rsidRPr="00BE5310" w:rsidRDefault="00BE5310" w:rsidP="00BE5310">
      <w:pPr>
        <w:rPr>
          <w:rFonts w:cs="Times New Roman"/>
        </w:rPr>
      </w:pPr>
      <w:r w:rsidRPr="00BE5310">
        <w:rPr>
          <w:rFonts w:cs="Times New Roman"/>
        </w:rPr>
        <w:t>Three submissions to the Draft Advice support</w:t>
      </w:r>
      <w:r w:rsidR="0043431B">
        <w:rPr>
          <w:rFonts w:cs="Times New Roman"/>
        </w:rPr>
        <w:t>ed</w:t>
      </w:r>
      <w:r w:rsidRPr="00BE5310">
        <w:rPr>
          <w:rFonts w:cs="Times New Roman"/>
        </w:rPr>
        <w:t xml:space="preserve"> retaining the ACCC’s Pricing Principles. More specifically, Goulburn-Murray Water</w:t>
      </w:r>
      <w:r w:rsidR="00DA3505">
        <w:rPr>
          <w:rFonts w:cs="Times New Roman"/>
        </w:rPr>
        <w:t xml:space="preserve"> (GMW)</w:t>
      </w:r>
      <w:r w:rsidRPr="00BE5310">
        <w:rPr>
          <w:rFonts w:cs="Times New Roman"/>
        </w:rPr>
        <w:t xml:space="preserve"> and the CEWH support</w:t>
      </w:r>
      <w:r w:rsidR="0043431B">
        <w:rPr>
          <w:rFonts w:cs="Times New Roman"/>
        </w:rPr>
        <w:t>ed</w:t>
      </w:r>
      <w:r w:rsidRPr="00BE5310">
        <w:rPr>
          <w:rFonts w:cs="Times New Roman"/>
        </w:rPr>
        <w:t xml:space="preserve"> the ACCC’s </w:t>
      </w:r>
      <w:r w:rsidR="0043431B">
        <w:rPr>
          <w:rFonts w:cs="Times New Roman"/>
        </w:rPr>
        <w:t xml:space="preserve">draft </w:t>
      </w:r>
      <w:r w:rsidRPr="00BE5310">
        <w:rPr>
          <w:rFonts w:cs="Times New Roman"/>
        </w:rPr>
        <w:t>recommendation to work with industry stakeholders and Basin State regulators to use those principles to support consistency across jurisdictions and as a means for regulatory best practice.</w:t>
      </w:r>
      <w:r w:rsidRPr="00BE5310">
        <w:rPr>
          <w:rFonts w:cs="Times New Roman"/>
          <w:vertAlign w:val="superscript"/>
        </w:rPr>
        <w:footnoteReference w:id="71"/>
      </w:r>
      <w:r w:rsidRPr="00BE5310">
        <w:rPr>
          <w:rFonts w:cs="Times New Roman"/>
        </w:rPr>
        <w:t xml:space="preserve"> The LGA Q agree</w:t>
      </w:r>
      <w:r w:rsidR="0043431B">
        <w:rPr>
          <w:rFonts w:cs="Times New Roman"/>
        </w:rPr>
        <w:t>d</w:t>
      </w:r>
      <w:r w:rsidRPr="00BE5310">
        <w:rPr>
          <w:rFonts w:cs="Times New Roman"/>
        </w:rPr>
        <w:t xml:space="preserve"> that there should be support in implementing and interpreting ACCC Pricing Principles.</w:t>
      </w:r>
      <w:r w:rsidRPr="00BE5310">
        <w:rPr>
          <w:rFonts w:cs="Times New Roman"/>
          <w:vertAlign w:val="superscript"/>
        </w:rPr>
        <w:footnoteReference w:id="72"/>
      </w:r>
    </w:p>
    <w:p w:rsidR="00BE5310" w:rsidRPr="00BE5310" w:rsidRDefault="00BE5310" w:rsidP="00BE5310">
      <w:pPr>
        <w:rPr>
          <w:rFonts w:cs="Times New Roman"/>
        </w:rPr>
      </w:pPr>
      <w:r w:rsidRPr="00BE5310">
        <w:rPr>
          <w:rFonts w:cs="Times New Roman"/>
        </w:rPr>
        <w:t>The LGAQ noted that there are other pricing principles for example, from the NWI and the Queensland Competition Authority</w:t>
      </w:r>
      <w:r w:rsidR="00E45DD9">
        <w:rPr>
          <w:rFonts w:cs="Times New Roman"/>
        </w:rPr>
        <w:t xml:space="preserve"> (QCA)</w:t>
      </w:r>
      <w:r w:rsidRPr="00BE5310">
        <w:rPr>
          <w:rFonts w:cs="Times New Roman"/>
        </w:rPr>
        <w:t>.</w:t>
      </w:r>
      <w:r w:rsidRPr="00BE5310">
        <w:rPr>
          <w:rFonts w:cs="Times New Roman"/>
          <w:vertAlign w:val="superscript"/>
        </w:rPr>
        <w:footnoteReference w:id="73"/>
      </w:r>
      <w:r w:rsidRPr="00BE5310">
        <w:rPr>
          <w:rFonts w:cs="Times New Roman"/>
        </w:rPr>
        <w:t xml:space="preserve"> The </w:t>
      </w:r>
      <w:r w:rsidR="008F0D6B">
        <w:rPr>
          <w:rFonts w:cs="Times New Roman"/>
        </w:rPr>
        <w:t>LGAQ</w:t>
      </w:r>
      <w:r w:rsidRPr="00BE5310">
        <w:rPr>
          <w:rFonts w:cs="Times New Roman"/>
        </w:rPr>
        <w:t xml:space="preserve"> argues that there should be an agreement, and a balanced and holistic approach, between principles to promote more consistency in regulatory approaches. The </w:t>
      </w:r>
      <w:r w:rsidR="008F0D6B">
        <w:rPr>
          <w:rFonts w:cs="Times New Roman"/>
        </w:rPr>
        <w:t>LGAQ</w:t>
      </w:r>
      <w:r w:rsidRPr="00BE5310">
        <w:rPr>
          <w:rFonts w:cs="Times New Roman"/>
        </w:rPr>
        <w:t xml:space="preserve"> further clarified that the objective should be to achieve consistency in principle, not in the actual charges given the differing circumstances in each local area. </w:t>
      </w:r>
    </w:p>
    <w:p w:rsidR="00F94EBF" w:rsidRPr="000A4709" w:rsidRDefault="0079321E" w:rsidP="00FC64B5">
      <w:pPr>
        <w:pStyle w:val="Heading3Un-numbered"/>
      </w:pPr>
      <w:r>
        <w:t>ACCC assessment</w:t>
      </w:r>
    </w:p>
    <w:p w:rsidR="0043431B" w:rsidRDefault="0043431B" w:rsidP="0043431B">
      <w:r>
        <w:t xml:space="preserve">The ACCC acknowledges the importance of clear, practical and accessible guidance material for infrastructure operators and other stakeholders. </w:t>
      </w:r>
      <w:r w:rsidR="00AE16D2">
        <w:t xml:space="preserve">Guidance material </w:t>
      </w:r>
      <w:r w:rsidR="008E5FA6">
        <w:t>can also greatly reduce the cost to operators of familiarising themselves with the requirements set out in the rules and ensuring compliance on an ongoing basis. While guidance material cannot deal with every conceivable set of circumstances, it can and should consider how the rules will be interpreted by the ACCC in a range of common scenarios.</w:t>
      </w:r>
      <w:r w:rsidR="00C6733C">
        <w:t xml:space="preserve"> </w:t>
      </w:r>
    </w:p>
    <w:p w:rsidR="0043431B" w:rsidRDefault="0043431B" w:rsidP="0043431B">
      <w:r>
        <w:t xml:space="preserve">As noted in the Draft Advice, </w:t>
      </w:r>
      <w:r w:rsidR="00F94EBF" w:rsidRPr="00D714FC">
        <w:t>the ACCC will revise</w:t>
      </w:r>
      <w:r w:rsidR="008F5FC2">
        <w:t xml:space="preserve"> its</w:t>
      </w:r>
      <w:r w:rsidR="00F94EBF" w:rsidRPr="00D714FC">
        <w:t xml:space="preserve"> existing guidance material or prepare new material, as required</w:t>
      </w:r>
      <w:r>
        <w:t>, following a decision by the Minister on any amendments to the water charge rules</w:t>
      </w:r>
      <w:r w:rsidR="00F94EBF" w:rsidRPr="00D714FC">
        <w:t>. In doing so, we will consider format and content and will consult with stakeholders affected by the changes, including Basin State regulators,</w:t>
      </w:r>
      <w:r w:rsidR="008F5FC2">
        <w:t xml:space="preserve"> infrastructure operators and irrigators,</w:t>
      </w:r>
      <w:r w:rsidR="00F94EBF" w:rsidRPr="00D714FC">
        <w:t xml:space="preserve"> to ensure that future guidance is clear and concise and meets their needs. </w:t>
      </w:r>
    </w:p>
    <w:p w:rsidR="008412C4" w:rsidRPr="00D714FC" w:rsidRDefault="0043431B" w:rsidP="0043431B">
      <w:r>
        <w:t xml:space="preserve">The ACCC has updated its recommendation to expressly acknowledge this commitment. </w:t>
      </w:r>
    </w:p>
    <w:p w:rsidR="00F94EBF" w:rsidRPr="00D714FC" w:rsidRDefault="00F94EBF" w:rsidP="00464189">
      <w:pPr>
        <w:spacing w:after="0"/>
        <w:rPr>
          <w:rFonts w:cs="Times New Roman"/>
        </w:rPr>
      </w:pPr>
      <w:r w:rsidRPr="00D714FC">
        <w:rPr>
          <w:rFonts w:cs="Times New Roman"/>
        </w:rPr>
        <w:t>While the rule advice set out in sections 5.5 and 5.6 will, if implemented, limit the scope for the ACCC Pricing Principles to directly affect the approval or determination of infrastructure charges, the ACCC still intend</w:t>
      </w:r>
      <w:r w:rsidR="008F5FC2">
        <w:rPr>
          <w:rFonts w:cs="Times New Roman"/>
        </w:rPr>
        <w:t>s</w:t>
      </w:r>
      <w:r w:rsidRPr="00D714FC">
        <w:rPr>
          <w:rFonts w:cs="Times New Roman"/>
        </w:rPr>
        <w:t xml:space="preserve"> to thoroughly review the Pricing Principles to ensure they </w:t>
      </w:r>
      <w:r w:rsidR="00A1363B">
        <w:rPr>
          <w:rFonts w:cs="Times New Roman"/>
        </w:rPr>
        <w:t xml:space="preserve">continue to </w:t>
      </w:r>
      <w:r w:rsidRPr="00D714FC">
        <w:rPr>
          <w:rFonts w:cs="Times New Roman"/>
        </w:rPr>
        <w:t xml:space="preserve">reflect regulatory best practice. </w:t>
      </w:r>
      <w:r w:rsidR="00267793">
        <w:rPr>
          <w:rFonts w:cs="Times New Roman"/>
        </w:rPr>
        <w:t>The Pricing Principles will still guide any ACCC determinations for Part 6 or Part 7 operators</w:t>
      </w:r>
      <w:r w:rsidR="00D0560A">
        <w:rPr>
          <w:rFonts w:cs="Times New Roman"/>
        </w:rPr>
        <w:t xml:space="preserve">. They will also </w:t>
      </w:r>
      <w:r w:rsidR="00267793">
        <w:rPr>
          <w:rFonts w:cs="Times New Roman"/>
        </w:rPr>
        <w:t>deal with the interpretation of BWCOP</w:t>
      </w:r>
      <w:r w:rsidR="00D0560A">
        <w:rPr>
          <w:rFonts w:cs="Times New Roman"/>
        </w:rPr>
        <w:t>, which were</w:t>
      </w:r>
      <w:r w:rsidR="00267793">
        <w:rPr>
          <w:rFonts w:cs="Times New Roman"/>
        </w:rPr>
        <w:t xml:space="preserve"> drawn directly from the NWI committed to by the Commonwealth and all Basin States. </w:t>
      </w:r>
      <w:r w:rsidRPr="00D714FC">
        <w:rPr>
          <w:rFonts w:cs="Times New Roman"/>
        </w:rPr>
        <w:t xml:space="preserve">Recognising the significant experience of Basin State economic regulators in the rural water sector, the ACCC will consult closely with Basin State regulators during its review of the Pricing Principles. In particular, the ACCC hopes this can assist in the development of nationally consistent approaches to regulatory issues in the rural water sector. </w:t>
      </w:r>
    </w:p>
    <w:p w:rsidR="00F94EBF" w:rsidRPr="00D714FC" w:rsidRDefault="00F94EBF" w:rsidP="00616672">
      <w:pPr>
        <w:pStyle w:val="Heading2"/>
      </w:pPr>
      <w:bookmarkStart w:id="280" w:name="_Ref433910288"/>
      <w:bookmarkStart w:id="281" w:name="_Toc436122289"/>
      <w:bookmarkStart w:id="282" w:name="_Toc436122784"/>
      <w:bookmarkStart w:id="283" w:name="_Toc436124139"/>
      <w:bookmarkStart w:id="284" w:name="_Toc456785792"/>
      <w:bookmarkStart w:id="285" w:name="_Toc461630703"/>
      <w:r w:rsidRPr="00D714FC">
        <w:t>Enforcement and compliance approach</w:t>
      </w:r>
      <w:bookmarkEnd w:id="280"/>
      <w:bookmarkEnd w:id="281"/>
      <w:bookmarkEnd w:id="282"/>
      <w:bookmarkEnd w:id="283"/>
      <w:bookmarkEnd w:id="284"/>
      <w:bookmarkEnd w:id="285"/>
      <w:r w:rsidRPr="00D714FC">
        <w:tab/>
      </w:r>
    </w:p>
    <w:p w:rsidR="00FF770C" w:rsidRPr="00FC64B5" w:rsidRDefault="00D07E1E" w:rsidP="00FC64B5">
      <w:pPr>
        <w:pStyle w:val="Heading3Un-numbered"/>
        <w:spacing w:before="0" w:after="0"/>
        <w:rPr>
          <w:rFonts w:ascii="Times New Roman" w:hAnsi="Times New Roman"/>
          <w:color w:val="FFFFFF" w:themeColor="background1"/>
          <w:sz w:val="12"/>
          <w:szCs w:val="12"/>
        </w:rPr>
      </w:pPr>
      <w:r w:rsidRPr="00FC64B5">
        <w:rPr>
          <w:color w:val="FFFFFF" w:themeColor="background1"/>
          <w:sz w:val="12"/>
          <w:szCs w:val="12"/>
        </w:rPr>
        <w:fldChar w:fldCharType="begin"/>
      </w:r>
      <w:r w:rsidRPr="00FC64B5">
        <w:rPr>
          <w:color w:val="FFFFFF" w:themeColor="background1"/>
          <w:sz w:val="12"/>
          <w:szCs w:val="12"/>
        </w:rPr>
        <w:instrText xml:space="preserve"> REF _Ref434840359 \h  \* MERGEFORMAT </w:instrText>
      </w:r>
      <w:r w:rsidRPr="00FC64B5">
        <w:rPr>
          <w:color w:val="FFFFFF" w:themeColor="background1"/>
          <w:sz w:val="12"/>
          <w:szCs w:val="12"/>
        </w:rPr>
      </w:r>
      <w:r w:rsidRPr="00FC64B5">
        <w:rPr>
          <w:color w:val="FFFFFF" w:themeColor="background1"/>
          <w:sz w:val="12"/>
          <w:szCs w:val="12"/>
        </w:rPr>
        <w:fldChar w:fldCharType="separate"/>
      </w:r>
      <w:r w:rsidR="00BD218B" w:rsidRPr="00BD218B">
        <w:rPr>
          <w:color w:val="FFFFFF" w:themeColor="background1"/>
          <w:sz w:val="12"/>
          <w:szCs w:val="12"/>
        </w:rPr>
        <w:t>Rule advice</w:t>
      </w:r>
      <w:r w:rsidRPr="00FC64B5">
        <w:rPr>
          <w:color w:val="FFFFFF" w:themeColor="background1"/>
          <w:sz w:val="12"/>
          <w:szCs w:val="12"/>
        </w:rPr>
        <w:fldChar w:fldCharType="end"/>
      </w:r>
      <w:r w:rsidR="009F09D0" w:rsidRPr="00FC64B5">
        <w:rPr>
          <w:color w:val="FFFFFF" w:themeColor="background1"/>
          <w:sz w:val="12"/>
          <w:szCs w:val="12"/>
        </w:rPr>
        <w:t xml:space="preserve"> </w:t>
      </w:r>
      <w:r w:rsidR="00FF770C" w:rsidRPr="00FC64B5">
        <w:rPr>
          <w:rStyle w:val="Hyperlink"/>
          <w:rFonts w:asciiTheme="minorHAnsi" w:hAnsiTheme="minorHAnsi"/>
          <w:color w:val="FFFFFF" w:themeColor="background1"/>
          <w:sz w:val="12"/>
          <w:szCs w:val="12"/>
          <w:u w:val="none"/>
        </w:rPr>
        <w:fldChar w:fldCharType="begin"/>
      </w:r>
      <w:r w:rsidR="00FF770C" w:rsidRPr="00FC64B5">
        <w:rPr>
          <w:rFonts w:ascii="Times New Roman" w:hAnsi="Times New Roman"/>
          <w:color w:val="FFFFFF" w:themeColor="background1"/>
          <w:sz w:val="12"/>
          <w:szCs w:val="12"/>
        </w:rPr>
        <w:instrText xml:space="preserve"> REF _Ref456942933 \h </w:instrText>
      </w:r>
      <w:r w:rsidR="00FF770C" w:rsidRPr="00FC64B5">
        <w:rPr>
          <w:rStyle w:val="Hyperlink"/>
          <w:rFonts w:asciiTheme="minorHAnsi" w:hAnsiTheme="minorHAnsi"/>
          <w:color w:val="FFFFFF" w:themeColor="background1"/>
          <w:sz w:val="12"/>
          <w:szCs w:val="12"/>
          <w:u w:val="none"/>
        </w:rPr>
        <w:instrText xml:space="preserve"> \* MERGEFORMAT </w:instrText>
      </w:r>
      <w:r w:rsidR="00FF770C" w:rsidRPr="00FC64B5">
        <w:rPr>
          <w:rStyle w:val="Hyperlink"/>
          <w:rFonts w:asciiTheme="minorHAnsi" w:hAnsiTheme="minorHAnsi"/>
          <w:color w:val="FFFFFF" w:themeColor="background1"/>
          <w:sz w:val="12"/>
          <w:szCs w:val="12"/>
          <w:u w:val="none"/>
        </w:rPr>
      </w:r>
      <w:r w:rsidR="00FF770C" w:rsidRPr="00FC64B5">
        <w:rPr>
          <w:rStyle w:val="Hyperlink"/>
          <w:rFonts w:asciiTheme="minorHAnsi" w:hAnsiTheme="minorHAnsi"/>
          <w:color w:val="FFFFFF" w:themeColor="background1"/>
          <w:sz w:val="12"/>
          <w:szCs w:val="12"/>
          <w:u w:val="none"/>
        </w:rPr>
        <w:fldChar w:fldCharType="separate"/>
      </w:r>
      <w:r w:rsidR="00BD218B" w:rsidRPr="00BD218B">
        <w:rPr>
          <w:rStyle w:val="Hyperlink"/>
          <w:rFonts w:asciiTheme="minorHAnsi" w:hAnsiTheme="minorHAnsi"/>
          <w:color w:val="FFFFFF" w:themeColor="background1"/>
          <w:sz w:val="12"/>
          <w:szCs w:val="12"/>
          <w:u w:val="none"/>
        </w:rPr>
        <w:t xml:space="preserve">ACCC </w:t>
      </w:r>
      <w:r w:rsidR="00BD218B" w:rsidRPr="00BD218B">
        <w:rPr>
          <w:color w:val="FFFFFF" w:themeColor="background1"/>
          <w:sz w:val="12"/>
          <w:szCs w:val="12"/>
        </w:rPr>
        <w:t>Recommendations</w:t>
      </w:r>
      <w:r w:rsidR="00FF770C" w:rsidRPr="00FC64B5">
        <w:rPr>
          <w:rStyle w:val="Hyperlink"/>
          <w:rFonts w:asciiTheme="minorHAnsi" w:hAnsiTheme="minorHAnsi"/>
          <w:color w:val="FFFFFF" w:themeColor="background1"/>
          <w:sz w:val="12"/>
          <w:szCs w:val="12"/>
          <w:u w:val="none"/>
        </w:rPr>
        <w:fldChar w:fldCharType="end"/>
      </w:r>
    </w:p>
    <w:tbl>
      <w:tblPr>
        <w:tblStyle w:val="TableGrid"/>
        <w:tblW w:w="0" w:type="auto"/>
        <w:tblLook w:val="04A0" w:firstRow="1" w:lastRow="0" w:firstColumn="1" w:lastColumn="0" w:noHBand="0" w:noVBand="1"/>
      </w:tblPr>
      <w:tblGrid>
        <w:gridCol w:w="9242"/>
      </w:tblGrid>
      <w:tr w:rsidR="008E5FA6" w:rsidTr="007D58A0">
        <w:tc>
          <w:tcPr>
            <w:tcW w:w="9242" w:type="dxa"/>
            <w:tcBorders>
              <w:top w:val="nil"/>
              <w:left w:val="nil"/>
              <w:bottom w:val="nil"/>
              <w:right w:val="nil"/>
            </w:tcBorders>
            <w:shd w:val="clear" w:color="auto" w:fill="D9D9D9" w:themeFill="background1" w:themeFillShade="D9"/>
          </w:tcPr>
          <w:p w:rsidR="008E5FA6" w:rsidRPr="00536A3D" w:rsidRDefault="008E5FA6" w:rsidP="00FE665C">
            <w:pPr>
              <w:pStyle w:val="Caption"/>
              <w:keepNext w:val="0"/>
              <w:keepLines w:val="0"/>
            </w:pPr>
            <w:bookmarkStart w:id="286" w:name="_Toc436123209"/>
            <w:bookmarkStart w:id="287" w:name="_Toc456783763"/>
            <w:r w:rsidRPr="00536A3D">
              <w:t xml:space="preserve">Rule advice </w:t>
            </w:r>
            <w:r w:rsidR="007F659D">
              <w:rPr>
                <w:noProof/>
              </w:rPr>
              <w:t>4</w:t>
            </w:r>
            <w:r>
              <w:noBreakHyphen/>
            </w:r>
            <w:r w:rsidR="007F659D">
              <w:rPr>
                <w:noProof/>
              </w:rPr>
              <w:t>C</w:t>
            </w:r>
            <w:bookmarkEnd w:id="286"/>
            <w:bookmarkEnd w:id="287"/>
          </w:p>
          <w:p w:rsidR="008E5FA6" w:rsidRDefault="008E5FA6" w:rsidP="00FE665C">
            <w:pPr>
              <w:pStyle w:val="Heading8"/>
              <w:outlineLvl w:val="7"/>
            </w:pPr>
            <w:bookmarkStart w:id="288" w:name="_Toc436123210"/>
            <w:bookmarkStart w:id="289" w:name="_Toc456783764"/>
            <w:bookmarkStart w:id="290" w:name="Rule_Advice_4C"/>
            <w:r w:rsidRPr="00D714FC">
              <w:t xml:space="preserve">The private right of action (to recover loss or damage resulting from a breach of the rules) which currently applies to the </w:t>
            </w:r>
            <w:r w:rsidR="000F3AEC">
              <w:t>W</w:t>
            </w:r>
            <w:r w:rsidRPr="00D714FC">
              <w:t xml:space="preserve">ater </w:t>
            </w:r>
            <w:r w:rsidR="000F3AEC">
              <w:t>C</w:t>
            </w:r>
            <w:r w:rsidR="000F3AEC" w:rsidRPr="00D714FC">
              <w:t xml:space="preserve">harge </w:t>
            </w:r>
            <w:r w:rsidRPr="00D714FC">
              <w:t>(</w:t>
            </w:r>
            <w:r w:rsidR="000F3AEC">
              <w:t>I</w:t>
            </w:r>
            <w:r w:rsidRPr="00D714FC">
              <w:t xml:space="preserve">nfrastructure) </w:t>
            </w:r>
            <w:r w:rsidR="000F3AEC">
              <w:t>R</w:t>
            </w:r>
            <w:r w:rsidRPr="00D714FC">
              <w:t>ules</w:t>
            </w:r>
            <w:r w:rsidR="000F3AEC">
              <w:t xml:space="preserve"> 2010 (WCIR)</w:t>
            </w:r>
            <w:r w:rsidRPr="00D714FC">
              <w:t xml:space="preserve"> should be </w:t>
            </w:r>
            <w:r>
              <w:t xml:space="preserve">removed, and should not </w:t>
            </w:r>
            <w:r w:rsidRPr="00D714FC">
              <w:t>apply to the water charge rules more generally.</w:t>
            </w:r>
            <w:bookmarkEnd w:id="288"/>
            <w:bookmarkEnd w:id="289"/>
          </w:p>
          <w:p w:rsidR="00D07E1E" w:rsidRPr="00002EDE" w:rsidRDefault="008E5FA6" w:rsidP="00FE665C">
            <w:pPr>
              <w:pStyle w:val="Heading8"/>
              <w:outlineLvl w:val="7"/>
              <w:rPr>
                <w:rFonts w:ascii="Times New Roman" w:hAnsi="Times New Roman"/>
              </w:rPr>
            </w:pPr>
            <w:bookmarkStart w:id="291" w:name="_Toc436123211"/>
            <w:bookmarkStart w:id="292" w:name="_Toc456783765"/>
            <w:r>
              <w:rPr>
                <w:rFonts w:ascii="Times New Roman" w:hAnsi="Times New Roman"/>
              </w:rPr>
              <w:t>This rule advice is implemented by the r</w:t>
            </w:r>
            <w:r w:rsidR="003B16E9">
              <w:rPr>
                <w:rFonts w:ascii="Times New Roman" w:hAnsi="Times New Roman"/>
              </w:rPr>
              <w:t>epeal</w:t>
            </w:r>
            <w:r>
              <w:rPr>
                <w:rFonts w:ascii="Times New Roman" w:hAnsi="Times New Roman"/>
              </w:rPr>
              <w:t xml:space="preserve"> of </w:t>
            </w:r>
            <w:r w:rsidR="00207A65">
              <w:rPr>
                <w:rFonts w:ascii="Times New Roman" w:hAnsi="Times New Roman"/>
              </w:rPr>
              <w:t>r</w:t>
            </w:r>
            <w:r>
              <w:rPr>
                <w:rFonts w:ascii="Times New Roman" w:hAnsi="Times New Roman"/>
              </w:rPr>
              <w:t>ule 57</w:t>
            </w:r>
            <w:r w:rsidR="003B16E9">
              <w:rPr>
                <w:rFonts w:ascii="Times New Roman" w:hAnsi="Times New Roman"/>
              </w:rPr>
              <w:t xml:space="preserve"> of the current WCIR</w:t>
            </w:r>
            <w:r w:rsidR="00BC64F5">
              <w:rPr>
                <w:rFonts w:ascii="Times New Roman" w:hAnsi="Times New Roman"/>
              </w:rPr>
              <w:t>.</w:t>
            </w:r>
            <w:bookmarkEnd w:id="291"/>
            <w:bookmarkEnd w:id="292"/>
            <w:r w:rsidRPr="00D714FC">
              <w:rPr>
                <w:rFonts w:ascii="Times New Roman" w:hAnsi="Times New Roman"/>
              </w:rPr>
              <w:t xml:space="preserve"> </w:t>
            </w:r>
            <w:bookmarkEnd w:id="290"/>
          </w:p>
        </w:tc>
      </w:tr>
      <w:tr w:rsidR="00D07E1E" w:rsidTr="00D07E1E">
        <w:tc>
          <w:tcPr>
            <w:tcW w:w="9242" w:type="dxa"/>
            <w:tcBorders>
              <w:top w:val="nil"/>
              <w:left w:val="nil"/>
              <w:bottom w:val="nil"/>
              <w:right w:val="nil"/>
            </w:tcBorders>
            <w:shd w:val="clear" w:color="auto" w:fill="F2F2F2" w:themeFill="background1" w:themeFillShade="F2"/>
          </w:tcPr>
          <w:p w:rsidR="00D07E1E" w:rsidRPr="00D714FC" w:rsidRDefault="00D07E1E" w:rsidP="00FE665C">
            <w:pPr>
              <w:pStyle w:val="Recommendationheading"/>
              <w:keepNext w:val="0"/>
              <w:keepLines w:val="0"/>
            </w:pPr>
            <w:bookmarkStart w:id="293" w:name="_Toc456784191"/>
            <w:r w:rsidRPr="00D714FC">
              <w:t xml:space="preserve">Recommendation </w:t>
            </w:r>
            <w:r>
              <w:rPr>
                <w:noProof/>
              </w:rPr>
              <w:t>4</w:t>
            </w:r>
            <w:r>
              <w:noBreakHyphen/>
            </w:r>
            <w:r>
              <w:rPr>
                <w:noProof/>
              </w:rPr>
              <w:t>C</w:t>
            </w:r>
            <w:bookmarkEnd w:id="293"/>
            <w:r>
              <w:t xml:space="preserve"> </w:t>
            </w:r>
          </w:p>
          <w:p w:rsidR="009F09D0" w:rsidRDefault="00D07E1E" w:rsidP="00FE665C">
            <w:pPr>
              <w:pStyle w:val="Heading7"/>
              <w:spacing w:after="120"/>
              <w:outlineLvl w:val="6"/>
            </w:pPr>
            <w:bookmarkStart w:id="294" w:name="_Toc456784192"/>
            <w:bookmarkStart w:id="295" w:name="Recommendation_4C"/>
            <w:r w:rsidRPr="0000691D">
              <w:t xml:space="preserve">The ACCC will continue to monitor the necessity and benefit of asking for particular compliance information through </w:t>
            </w:r>
            <w:r>
              <w:t>its compliance monitoring</w:t>
            </w:r>
            <w:r w:rsidRPr="0000691D">
              <w:t xml:space="preserve"> processes and, in specific investigations, will continue to consider requests for extensions of time to respond to the ACCC where resourcing is a concern.</w:t>
            </w:r>
            <w:bookmarkStart w:id="296" w:name="_Toc456784193"/>
            <w:bookmarkEnd w:id="294"/>
            <w:bookmarkEnd w:id="295"/>
          </w:p>
          <w:p w:rsidR="009F09D0" w:rsidRPr="009F09D0" w:rsidRDefault="009F09D0" w:rsidP="00FE665C">
            <w:pPr>
              <w:pStyle w:val="Heading8"/>
              <w:outlineLvl w:val="7"/>
            </w:pPr>
          </w:p>
          <w:p w:rsidR="00D07E1E" w:rsidRPr="00D714FC" w:rsidRDefault="00D07E1E" w:rsidP="00FE665C">
            <w:pPr>
              <w:pStyle w:val="Recommendationheading"/>
              <w:keepNext w:val="0"/>
              <w:keepLines w:val="0"/>
            </w:pPr>
            <w:r w:rsidRPr="00D714FC">
              <w:t xml:space="preserve">Recommendation </w:t>
            </w:r>
            <w:r>
              <w:rPr>
                <w:noProof/>
              </w:rPr>
              <w:t>4</w:t>
            </w:r>
            <w:r>
              <w:noBreakHyphen/>
            </w:r>
            <w:r>
              <w:rPr>
                <w:noProof/>
              </w:rPr>
              <w:t>D</w:t>
            </w:r>
            <w:bookmarkEnd w:id="296"/>
            <w:r w:rsidRPr="00D714FC">
              <w:t xml:space="preserve"> </w:t>
            </w:r>
          </w:p>
          <w:p w:rsidR="00D07E1E" w:rsidRPr="00536A3D" w:rsidRDefault="00D07E1E" w:rsidP="00FE665C">
            <w:pPr>
              <w:pStyle w:val="Heading7"/>
              <w:spacing w:after="120"/>
              <w:outlineLvl w:val="6"/>
            </w:pPr>
            <w:bookmarkStart w:id="297" w:name="_Toc456784194"/>
            <w:bookmarkStart w:id="298" w:name="Recommendation_4D"/>
            <w:r w:rsidRPr="00D714FC">
              <w:t>The ACCC will continue to work closely with infrastructure operators to assist them in understanding and complying with any new rule requirements resulting from the ACCC’s review.</w:t>
            </w:r>
            <w:bookmarkEnd w:id="297"/>
            <w:bookmarkEnd w:id="298"/>
          </w:p>
        </w:tc>
      </w:tr>
    </w:tbl>
    <w:p w:rsidR="006246A8" w:rsidRPr="006246A8" w:rsidRDefault="006246A8" w:rsidP="00FC64B5">
      <w:pPr>
        <w:pStyle w:val="Heading3Un-numbered"/>
      </w:pPr>
      <w:r>
        <w:t>Background</w:t>
      </w:r>
    </w:p>
    <w:p w:rsidR="001055F7" w:rsidRPr="001055F7" w:rsidRDefault="001055F7" w:rsidP="00C06B07">
      <w:pPr>
        <w:pStyle w:val="Heading4-Un-numberedsubheading-Lvl5"/>
      </w:pPr>
      <w:r w:rsidRPr="001055F7">
        <w:t>ACCC enforcement and compliance approach</w:t>
      </w:r>
    </w:p>
    <w:p w:rsidR="00344A45" w:rsidRPr="00D6429E" w:rsidRDefault="00344A45" w:rsidP="00344A45">
      <w:pPr>
        <w:rPr>
          <w:rFonts w:cs="Times New Roman"/>
        </w:rPr>
      </w:pPr>
      <w:r w:rsidRPr="00D714FC">
        <w:rPr>
          <w:rFonts w:cs="Times New Roman"/>
        </w:rPr>
        <w:t xml:space="preserve">The ACCC is the responsible enforcement agency for the water charge rules and </w:t>
      </w:r>
      <w:r w:rsidR="0037210E" w:rsidRPr="00167477">
        <w:rPr>
          <w:rFonts w:cs="Times New Roman"/>
        </w:rPr>
        <w:t>W</w:t>
      </w:r>
      <w:r w:rsidRPr="00167477">
        <w:rPr>
          <w:rFonts w:cs="Times New Roman"/>
        </w:rPr>
        <w:t xml:space="preserve">ater </w:t>
      </w:r>
      <w:r w:rsidR="0037210E" w:rsidRPr="00167477">
        <w:rPr>
          <w:rFonts w:cs="Times New Roman"/>
        </w:rPr>
        <w:t>M</w:t>
      </w:r>
      <w:r w:rsidRPr="00167477">
        <w:rPr>
          <w:rFonts w:cs="Times New Roman"/>
        </w:rPr>
        <w:t xml:space="preserve">arket </w:t>
      </w:r>
      <w:r w:rsidR="0037210E" w:rsidRPr="00167477">
        <w:rPr>
          <w:rFonts w:cs="Times New Roman"/>
        </w:rPr>
        <w:t>R</w:t>
      </w:r>
      <w:r w:rsidRPr="00167477">
        <w:rPr>
          <w:rFonts w:cs="Times New Roman"/>
        </w:rPr>
        <w:t>ules</w:t>
      </w:r>
      <w:r w:rsidR="0037210E" w:rsidRPr="00167477">
        <w:rPr>
          <w:rFonts w:cs="Times New Roman"/>
        </w:rPr>
        <w:t xml:space="preserve"> 2009</w:t>
      </w:r>
      <w:r w:rsidR="0037210E">
        <w:rPr>
          <w:rFonts w:cs="Times New Roman"/>
        </w:rPr>
        <w:t xml:space="preserve"> (WMR)</w:t>
      </w:r>
      <w:r w:rsidRPr="00D714FC">
        <w:rPr>
          <w:rFonts w:cs="Times New Roman"/>
        </w:rPr>
        <w:t>. The ACCC uses the information that it collects through routine monitoring, specific information requests and the complaints and inquiries it receives to monitor compliance with the rules</w:t>
      </w:r>
      <w:r w:rsidR="00D0560A">
        <w:rPr>
          <w:rFonts w:cs="Times New Roman"/>
        </w:rPr>
        <w:t xml:space="preserve">. It takes </w:t>
      </w:r>
      <w:r w:rsidRPr="00D714FC">
        <w:rPr>
          <w:rFonts w:cs="Times New Roman"/>
        </w:rPr>
        <w:t xml:space="preserve">follow-up investigative and enforcement action, where appropriate. </w:t>
      </w:r>
    </w:p>
    <w:p w:rsidR="00670967" w:rsidRDefault="00670967" w:rsidP="00670967">
      <w:pPr>
        <w:rPr>
          <w:rFonts w:cs="Times New Roman"/>
        </w:rPr>
      </w:pPr>
      <w:r w:rsidRPr="00D714FC">
        <w:rPr>
          <w:rFonts w:cs="Times New Roman"/>
        </w:rPr>
        <w:t xml:space="preserve">The ACCC’s approach to monitoring and enforcing compliance is outlined in its </w:t>
      </w:r>
      <w:r w:rsidRPr="00D714FC">
        <w:rPr>
          <w:rFonts w:cs="Times New Roman"/>
          <w:i/>
        </w:rPr>
        <w:t>Guide to compliance and enforcement of the water market rules and water charge rules</w:t>
      </w:r>
      <w:r w:rsidRPr="00D714FC">
        <w:rPr>
          <w:rFonts w:cs="Times New Roman"/>
        </w:rPr>
        <w:t xml:space="preserve"> (2009; revised 2011). This document sets out the process that the ACCC will follow and the factors that the ACCC will consider when investigating complaints about operators and concerns about compliance with the water charge rules.</w:t>
      </w:r>
      <w:r w:rsidRPr="00D714FC">
        <w:rPr>
          <w:rStyle w:val="FootnoteReference"/>
          <w:rFonts w:cs="Times New Roman"/>
        </w:rPr>
        <w:footnoteReference w:id="74"/>
      </w:r>
      <w:r w:rsidR="00C6733C">
        <w:rPr>
          <w:rFonts w:cs="Times New Roman"/>
        </w:rPr>
        <w:t xml:space="preserve"> </w:t>
      </w:r>
      <w:r w:rsidRPr="00D714FC">
        <w:rPr>
          <w:rFonts w:cs="Times New Roman"/>
        </w:rPr>
        <w:t xml:space="preserve">The approach outlined is designed to educate water stakeholders about their rights and obligations under the rules and to minimise compliance costs. </w:t>
      </w:r>
    </w:p>
    <w:p w:rsidR="0008785F" w:rsidRDefault="00344A45" w:rsidP="00670967">
      <w:pPr>
        <w:rPr>
          <w:rFonts w:cs="Times New Roman"/>
        </w:rPr>
      </w:pPr>
      <w:r w:rsidRPr="00D714FC">
        <w:rPr>
          <w:rFonts w:cs="Times New Roman"/>
        </w:rPr>
        <w:t xml:space="preserve">In the </w:t>
      </w:r>
      <w:r w:rsidR="00EE4D1B" w:rsidRPr="00EE4D1B">
        <w:rPr>
          <w:rFonts w:cs="Times New Roman"/>
          <w:i/>
        </w:rPr>
        <w:t xml:space="preserve">Water </w:t>
      </w:r>
      <w:r w:rsidRPr="00EE4D1B">
        <w:rPr>
          <w:rFonts w:cs="Times New Roman"/>
          <w:i/>
        </w:rPr>
        <w:t>Act</w:t>
      </w:r>
      <w:r w:rsidR="00EE4D1B" w:rsidRPr="00EE4D1B">
        <w:rPr>
          <w:rFonts w:cs="Times New Roman"/>
          <w:i/>
        </w:rPr>
        <w:t xml:space="preserve"> 2007</w:t>
      </w:r>
      <w:r w:rsidR="00EE4D1B">
        <w:rPr>
          <w:rFonts w:cs="Times New Roman"/>
        </w:rPr>
        <w:t xml:space="preserve"> (the Act)</w:t>
      </w:r>
      <w:r w:rsidRPr="00D714FC">
        <w:rPr>
          <w:rFonts w:cs="Times New Roman"/>
        </w:rPr>
        <w:t xml:space="preserve"> review report, the </w:t>
      </w:r>
      <w:r w:rsidR="00E059CB">
        <w:rPr>
          <w:rFonts w:cs="Times New Roman"/>
        </w:rPr>
        <w:t xml:space="preserve">Independent Expert </w:t>
      </w:r>
      <w:r w:rsidR="00BA39E7" w:rsidRPr="00D714FC">
        <w:rPr>
          <w:rFonts w:cs="Times New Roman"/>
        </w:rPr>
        <w:t>P</w:t>
      </w:r>
      <w:r w:rsidRPr="00D714FC">
        <w:rPr>
          <w:rFonts w:cs="Times New Roman"/>
        </w:rPr>
        <w:t xml:space="preserve">anel </w:t>
      </w:r>
      <w:r w:rsidR="00E059CB">
        <w:rPr>
          <w:rFonts w:cs="Times New Roman"/>
        </w:rPr>
        <w:t xml:space="preserve">(the Panel) </w:t>
      </w:r>
      <w:r w:rsidRPr="00D714FC">
        <w:rPr>
          <w:rFonts w:cs="Times New Roman"/>
        </w:rPr>
        <w:t>commented on enforcement approaches, noting that ‘a sensible and cooperative approach to monitoring and compliance activities should be applied by regulators under the Act’</w:t>
      </w:r>
      <w:r w:rsidR="008F5FC2">
        <w:rPr>
          <w:rFonts w:cs="Times New Roman"/>
        </w:rPr>
        <w:t>,</w:t>
      </w:r>
      <w:r w:rsidR="00A8514A">
        <w:rPr>
          <w:rStyle w:val="FootnoteReference"/>
          <w:rFonts w:cs="Times New Roman"/>
        </w:rPr>
        <w:footnoteReference w:id="75"/>
      </w:r>
      <w:r w:rsidRPr="00D714FC">
        <w:rPr>
          <w:rFonts w:cs="Times New Roman"/>
        </w:rPr>
        <w:t xml:space="preserve"> and made one recommendation relating to enforcement powers in the Act.</w:t>
      </w:r>
      <w:r w:rsidRPr="00D714FC">
        <w:rPr>
          <w:rStyle w:val="FootnoteReference"/>
          <w:rFonts w:cs="Times New Roman"/>
        </w:rPr>
        <w:footnoteReference w:id="76"/>
      </w:r>
      <w:r w:rsidRPr="00D714FC">
        <w:rPr>
          <w:rFonts w:cs="Times New Roman"/>
        </w:rPr>
        <w:t xml:space="preserve"> </w:t>
      </w:r>
      <w:r w:rsidR="00670967">
        <w:rPr>
          <w:rFonts w:cs="Times New Roman"/>
        </w:rPr>
        <w:t>T</w:t>
      </w:r>
      <w:r w:rsidR="00670967" w:rsidRPr="00D714FC">
        <w:rPr>
          <w:rFonts w:cs="Times New Roman"/>
        </w:rPr>
        <w:t xml:space="preserve">he Panel </w:t>
      </w:r>
      <w:r w:rsidR="00670967">
        <w:rPr>
          <w:rFonts w:cs="Times New Roman"/>
        </w:rPr>
        <w:t xml:space="preserve">also </w:t>
      </w:r>
      <w:r w:rsidR="00670967" w:rsidRPr="00D714FC">
        <w:rPr>
          <w:rFonts w:cs="Times New Roman"/>
        </w:rPr>
        <w:t xml:space="preserve">noted that, since the water charge and market rules were made, the ACCC had used its formal enforcement powers against two operators (in relation to 5 instances of non-compliance) and had resolved a number of other cases administratively where breaches of the rules were likely but were considered minor or resulting from a genuine misunderstanding of the rules. It </w:t>
      </w:r>
      <w:r w:rsidR="00670967">
        <w:rPr>
          <w:rFonts w:cs="Times New Roman"/>
        </w:rPr>
        <w:t xml:space="preserve">commented that </w:t>
      </w:r>
      <w:r w:rsidR="00670967" w:rsidRPr="00D714FC">
        <w:rPr>
          <w:rFonts w:cs="Times New Roman"/>
        </w:rPr>
        <w:t xml:space="preserve">feedback from industry </w:t>
      </w:r>
      <w:r w:rsidR="00670967">
        <w:rPr>
          <w:rFonts w:cs="Times New Roman"/>
        </w:rPr>
        <w:t xml:space="preserve">indicated </w:t>
      </w:r>
      <w:r w:rsidR="00670967" w:rsidRPr="00D714FC">
        <w:rPr>
          <w:rFonts w:cs="Times New Roman"/>
        </w:rPr>
        <w:t>the ACCC had modified its approach over time to take a more educative role in compliance matters, including through the provision of targeted guidance to operators (especially smaller operators).</w:t>
      </w:r>
    </w:p>
    <w:p w:rsidR="00670967" w:rsidRPr="00D714FC" w:rsidRDefault="00670967" w:rsidP="00670967">
      <w:pPr>
        <w:rPr>
          <w:rFonts w:cs="Times New Roman"/>
        </w:rPr>
      </w:pPr>
      <w:r w:rsidRPr="00D714FC">
        <w:rPr>
          <w:rFonts w:cs="Times New Roman"/>
        </w:rPr>
        <w:t>The ACCC reports on the compliance and enforcement activities it has undertaken in its annual water monitoring report. Additionally, it will sometimes issue media releases or publish newspaper articles or other targeted information about the outcomes of specific investigations it has undertaken. Generally, these publications are designed to educate stakeholders and to deter others from engaging in similar, non-compliant conduct and are not principally designed to punish the subject of the investigation. Additionally, under the Regulator Performance Framework, the ACCC will now report annually on its measures to demonstrate that its compliance and monitoring approaches are streamlined and coordinated.</w:t>
      </w:r>
    </w:p>
    <w:p w:rsidR="00670967" w:rsidRDefault="00670967" w:rsidP="00670967">
      <w:pPr>
        <w:rPr>
          <w:rFonts w:cs="Times New Roman"/>
        </w:rPr>
      </w:pPr>
      <w:r w:rsidRPr="00D714FC">
        <w:rPr>
          <w:rFonts w:cs="Times New Roman"/>
        </w:rPr>
        <w:t xml:space="preserve">Noting stakeholder concerns as to the financial impacts on customers of penalties, the ACCC has not generally sought to impose monetary penalties on operators where non-compliance has been detected (only issuing three infringement notices totalling $66,000 to Murrumbidgee Irrigation </w:t>
      </w:r>
      <w:r>
        <w:rPr>
          <w:rFonts w:cs="Times New Roman"/>
        </w:rPr>
        <w:t>Limited (MI)</w:t>
      </w:r>
      <w:r w:rsidRPr="00D714FC">
        <w:rPr>
          <w:rFonts w:cs="Times New Roman"/>
        </w:rPr>
        <w:t xml:space="preserve"> in 2011 in circumstances of multiple breaches of the </w:t>
      </w:r>
      <w:r w:rsidR="00DE74BD" w:rsidRPr="00167477">
        <w:rPr>
          <w:rFonts w:cs="Times New Roman"/>
        </w:rPr>
        <w:t>Water Charge (Termination Fee</w:t>
      </w:r>
      <w:r w:rsidR="00FE5641">
        <w:rPr>
          <w:rFonts w:cs="Times New Roman"/>
        </w:rPr>
        <w:t>s</w:t>
      </w:r>
      <w:r w:rsidR="00DE74BD" w:rsidRPr="00167477">
        <w:rPr>
          <w:rFonts w:cs="Times New Roman"/>
        </w:rPr>
        <w:t>) Rules 2009</w:t>
      </w:r>
      <w:r w:rsidR="00DE74BD">
        <w:rPr>
          <w:rFonts w:cs="Times New Roman"/>
        </w:rPr>
        <w:t xml:space="preserve"> (</w:t>
      </w:r>
      <w:r>
        <w:rPr>
          <w:rFonts w:cs="Times New Roman"/>
        </w:rPr>
        <w:t>WCTFR</w:t>
      </w:r>
      <w:r w:rsidR="00DE74BD">
        <w:rPr>
          <w:rFonts w:cs="Times New Roman"/>
        </w:rPr>
        <w:t>)</w:t>
      </w:r>
      <w:r w:rsidRPr="00D714FC">
        <w:rPr>
          <w:rFonts w:cs="Times New Roman"/>
        </w:rPr>
        <w:t xml:space="preserve">). </w:t>
      </w:r>
    </w:p>
    <w:p w:rsidR="00670967" w:rsidRDefault="00670967" w:rsidP="00670967">
      <w:pPr>
        <w:rPr>
          <w:rFonts w:cs="Times New Roman"/>
        </w:rPr>
      </w:pPr>
      <w:r w:rsidRPr="00D714FC">
        <w:rPr>
          <w:rFonts w:cs="Times New Roman"/>
        </w:rPr>
        <w:t xml:space="preserve">The ACCC recognises that responding to </w:t>
      </w:r>
      <w:r>
        <w:rPr>
          <w:rFonts w:cs="Times New Roman"/>
        </w:rPr>
        <w:t xml:space="preserve">specific </w:t>
      </w:r>
      <w:r w:rsidRPr="00D714FC">
        <w:rPr>
          <w:rFonts w:cs="Times New Roman"/>
        </w:rPr>
        <w:t>information requests and investigation of complaints and compliance concerns imposes costs on operators (and ultimately customers), regardless of whether non-compliance is identified or penalties are sought</w:t>
      </w:r>
      <w:r>
        <w:rPr>
          <w:rFonts w:cs="Times New Roman"/>
        </w:rPr>
        <w:t>.</w:t>
      </w:r>
      <w:r w:rsidRPr="00D714FC">
        <w:rPr>
          <w:rFonts w:cs="Times New Roman"/>
        </w:rPr>
        <w:t xml:space="preserve"> </w:t>
      </w:r>
      <w:r>
        <w:rPr>
          <w:rFonts w:cs="Times New Roman"/>
        </w:rPr>
        <w:t xml:space="preserve">However, </w:t>
      </w:r>
      <w:r w:rsidRPr="00D714FC">
        <w:rPr>
          <w:rFonts w:cs="Times New Roman"/>
        </w:rPr>
        <w:t xml:space="preserve">these </w:t>
      </w:r>
      <w:r>
        <w:rPr>
          <w:rFonts w:cs="Times New Roman"/>
        </w:rPr>
        <w:t xml:space="preserve">costs </w:t>
      </w:r>
      <w:r w:rsidRPr="00D714FC">
        <w:rPr>
          <w:rFonts w:cs="Times New Roman"/>
        </w:rPr>
        <w:t xml:space="preserve">form part of the (reasonable) costs of doing business. In specific investigations, the ACCC will generally allow operators’ requests for extensions of time to respond or provide information to mitigate the burden of response. The risk that compliance costs will be excessive will also be mitigated at a high level by the operation of the </w:t>
      </w:r>
      <w:r w:rsidR="00D77AAB">
        <w:rPr>
          <w:rFonts w:cs="Times New Roman"/>
        </w:rPr>
        <w:t xml:space="preserve">Australian </w:t>
      </w:r>
      <w:r w:rsidRPr="00D714FC">
        <w:rPr>
          <w:rFonts w:cs="Times New Roman"/>
        </w:rPr>
        <w:t xml:space="preserve">Government’s Regulator Performance Framework and through the government’s ongoing commitment to reducing regulatory burden. </w:t>
      </w:r>
    </w:p>
    <w:p w:rsidR="00670967" w:rsidRPr="00D714FC" w:rsidRDefault="00670967" w:rsidP="00670967">
      <w:pPr>
        <w:rPr>
          <w:rFonts w:cs="Times New Roman"/>
        </w:rPr>
      </w:pPr>
      <w:r>
        <w:rPr>
          <w:rFonts w:cs="Times New Roman"/>
        </w:rPr>
        <w:t xml:space="preserve">More generally, the ACCC collects data from infrastructure operators annually as part of its monitoring role under the Act. </w:t>
      </w:r>
      <w:r w:rsidRPr="00D714FC">
        <w:rPr>
          <w:rFonts w:cs="Times New Roman"/>
        </w:rPr>
        <w:t>The ACCC recognises the costs incurred by operators in responding to its requests for information</w:t>
      </w:r>
      <w:r>
        <w:rPr>
          <w:rFonts w:cs="Times New Roman"/>
        </w:rPr>
        <w:t>.</w:t>
      </w:r>
      <w:r w:rsidRPr="00D714FC">
        <w:rPr>
          <w:rFonts w:cs="Times New Roman"/>
        </w:rPr>
        <w:t xml:space="preserve"> </w:t>
      </w:r>
      <w:r>
        <w:rPr>
          <w:rFonts w:cs="Times New Roman"/>
        </w:rPr>
        <w:t xml:space="preserve">The ACCC also agrees with the conclusion of the </w:t>
      </w:r>
      <w:r w:rsidR="00BC49EE">
        <w:rPr>
          <w:rFonts w:cs="Times New Roman"/>
        </w:rPr>
        <w:t xml:space="preserve">Panel </w:t>
      </w:r>
      <w:r>
        <w:rPr>
          <w:rFonts w:cs="Times New Roman"/>
        </w:rPr>
        <w:t>that</w:t>
      </w:r>
      <w:r w:rsidR="00BC49EE">
        <w:rPr>
          <w:rFonts w:cs="Times New Roman"/>
        </w:rPr>
        <w:t>,</w:t>
      </w:r>
      <w:r>
        <w:rPr>
          <w:rFonts w:cs="Times New Roman"/>
        </w:rPr>
        <w:t xml:space="preserve"> “</w:t>
      </w:r>
      <w:r w:rsidRPr="00D95F0F">
        <w:rPr>
          <w:rFonts w:cs="Times New Roman"/>
        </w:rPr>
        <w:t>Australian Government agencies should ensure that data collected under the Act is collected in the</w:t>
      </w:r>
      <w:r>
        <w:rPr>
          <w:rFonts w:cs="Times New Roman"/>
        </w:rPr>
        <w:t xml:space="preserve"> </w:t>
      </w:r>
      <w:r w:rsidRPr="00D95F0F">
        <w:rPr>
          <w:rFonts w:cs="Times New Roman"/>
        </w:rPr>
        <w:t>right form at the right time for the right purpose and used to create information that is of value, while</w:t>
      </w:r>
      <w:r>
        <w:rPr>
          <w:rFonts w:cs="Times New Roman"/>
        </w:rPr>
        <w:t xml:space="preserve"> </w:t>
      </w:r>
      <w:r w:rsidRPr="00D95F0F">
        <w:rPr>
          <w:rFonts w:cs="Times New Roman"/>
        </w:rPr>
        <w:t>minimising regulatory burdens and any duplication of requests imposed on data providers</w:t>
      </w:r>
      <w:r>
        <w:rPr>
          <w:rFonts w:cs="Times New Roman"/>
        </w:rPr>
        <w:t>”.</w:t>
      </w:r>
      <w:r>
        <w:rPr>
          <w:rStyle w:val="FootnoteReference"/>
          <w:rFonts w:cs="Times New Roman"/>
        </w:rPr>
        <w:footnoteReference w:id="77"/>
      </w:r>
      <w:r w:rsidRPr="00D95F0F">
        <w:rPr>
          <w:rFonts w:cs="Times New Roman"/>
        </w:rPr>
        <w:t xml:space="preserve"> </w:t>
      </w:r>
      <w:r>
        <w:rPr>
          <w:rFonts w:cs="Times New Roman"/>
        </w:rPr>
        <w:t xml:space="preserve">The ACCC </w:t>
      </w:r>
      <w:r w:rsidRPr="00D714FC">
        <w:rPr>
          <w:rFonts w:cs="Times New Roman"/>
        </w:rPr>
        <w:t>takes regular steps to refine, reduce and improve its annual requests for information</w:t>
      </w:r>
      <w:r>
        <w:rPr>
          <w:rFonts w:cs="Times New Roman"/>
        </w:rPr>
        <w:t>, while bearing in mind the transitional costs imposed on operators when information requests are altered</w:t>
      </w:r>
      <w:r w:rsidRPr="00D714FC">
        <w:rPr>
          <w:rFonts w:cs="Times New Roman"/>
        </w:rPr>
        <w:t>.</w:t>
      </w:r>
      <w:r>
        <w:rPr>
          <w:rFonts w:cs="Times New Roman"/>
        </w:rPr>
        <w:t xml:space="preserve"> The ACCC </w:t>
      </w:r>
      <w:r w:rsidR="00D0560A">
        <w:rPr>
          <w:rFonts w:cs="Times New Roman"/>
        </w:rPr>
        <w:t>ha</w:t>
      </w:r>
      <w:r>
        <w:rPr>
          <w:rFonts w:cs="Times New Roman"/>
        </w:rPr>
        <w:t>s also participat</w:t>
      </w:r>
      <w:r w:rsidR="00D0560A">
        <w:rPr>
          <w:rFonts w:cs="Times New Roman"/>
        </w:rPr>
        <w:t>ed</w:t>
      </w:r>
      <w:r>
        <w:rPr>
          <w:rFonts w:cs="Times New Roman"/>
        </w:rPr>
        <w:t xml:space="preserve"> in the Interagency Working Group </w:t>
      </w:r>
      <w:r w:rsidRPr="00D95F0F">
        <w:rPr>
          <w:rFonts w:cs="Times New Roman"/>
        </w:rPr>
        <w:t>on Review of Water Information Reporting Burdens</w:t>
      </w:r>
      <w:r>
        <w:rPr>
          <w:rFonts w:cs="Times New Roman"/>
        </w:rPr>
        <w:t>, chaired by the Bureau of Meteorology, which was formed based on Recommendation 18 of the Panel’s report.</w:t>
      </w:r>
      <w:r>
        <w:rPr>
          <w:rStyle w:val="FootnoteReference"/>
          <w:rFonts w:cs="Times New Roman"/>
        </w:rPr>
        <w:footnoteReference w:id="78"/>
      </w:r>
      <w:r>
        <w:rPr>
          <w:rFonts w:cs="Times New Roman"/>
        </w:rPr>
        <w:t xml:space="preserve"> </w:t>
      </w:r>
    </w:p>
    <w:p w:rsidR="00670967" w:rsidRPr="00D714FC" w:rsidRDefault="00670967" w:rsidP="00670967">
      <w:pPr>
        <w:rPr>
          <w:rFonts w:cs="Times New Roman"/>
        </w:rPr>
      </w:pPr>
      <w:r>
        <w:rPr>
          <w:rFonts w:cs="Times New Roman"/>
        </w:rPr>
        <w:t xml:space="preserve">The ACCC also </w:t>
      </w:r>
      <w:r w:rsidR="00A1363B">
        <w:rPr>
          <w:rFonts w:cs="Times New Roman"/>
        </w:rPr>
        <w:t xml:space="preserve">indicated it would </w:t>
      </w:r>
      <w:r>
        <w:rPr>
          <w:rFonts w:cs="Times New Roman"/>
        </w:rPr>
        <w:t xml:space="preserve">continue to monitor the necessity and benefit of its information requests, and to work with infrastructure operators </w:t>
      </w:r>
      <w:r w:rsidRPr="00670967">
        <w:rPr>
          <w:rFonts w:cs="Times New Roman"/>
        </w:rPr>
        <w:t>to assist them in understanding and complying with any new rule requirements resulting from the ACCC’s review</w:t>
      </w:r>
      <w:r>
        <w:rPr>
          <w:rFonts w:cs="Times New Roman"/>
        </w:rPr>
        <w:t xml:space="preserve"> (draft recommendations 4-C and</w:t>
      </w:r>
      <w:r w:rsidR="00A1363B">
        <w:rPr>
          <w:rFonts w:cs="Times New Roman"/>
        </w:rPr>
        <w:t> </w:t>
      </w:r>
      <w:r>
        <w:rPr>
          <w:rFonts w:cs="Times New Roman"/>
        </w:rPr>
        <w:t>4-D).</w:t>
      </w:r>
    </w:p>
    <w:p w:rsidR="001B47AB" w:rsidRPr="001B47AB" w:rsidRDefault="001B47AB" w:rsidP="00C06B07">
      <w:pPr>
        <w:pStyle w:val="Heading4-Un-numberedsubheading-Lvl5"/>
      </w:pPr>
      <w:r>
        <w:t>Private right of action</w:t>
      </w:r>
    </w:p>
    <w:p w:rsidR="00670967" w:rsidRDefault="00670967" w:rsidP="00670967">
      <w:pPr>
        <w:rPr>
          <w:rFonts w:cs="Times New Roman"/>
        </w:rPr>
      </w:pPr>
      <w:r>
        <w:rPr>
          <w:rFonts w:cs="Times New Roman"/>
        </w:rPr>
        <w:t>Noting t</w:t>
      </w:r>
      <w:r w:rsidRPr="00D714FC">
        <w:rPr>
          <w:rFonts w:cs="Times New Roman"/>
        </w:rPr>
        <w:t xml:space="preserve">he </w:t>
      </w:r>
      <w:r>
        <w:rPr>
          <w:rFonts w:cs="Times New Roman"/>
        </w:rPr>
        <w:t xml:space="preserve">limits on the </w:t>
      </w:r>
      <w:r w:rsidRPr="00D714FC">
        <w:rPr>
          <w:rFonts w:cs="Times New Roman"/>
        </w:rPr>
        <w:t>ACCC</w:t>
      </w:r>
      <w:r>
        <w:rPr>
          <w:rFonts w:cs="Times New Roman"/>
        </w:rPr>
        <w:t xml:space="preserve">’s ability to fully </w:t>
      </w:r>
      <w:r w:rsidRPr="00D714FC">
        <w:rPr>
          <w:rFonts w:cs="Times New Roman"/>
        </w:rPr>
        <w:t>investigate complaints and respond to the concerns raised with it by individual irrigators</w:t>
      </w:r>
      <w:r>
        <w:rPr>
          <w:rFonts w:cs="Times New Roman"/>
        </w:rPr>
        <w:t xml:space="preserve">, </w:t>
      </w:r>
      <w:r w:rsidRPr="00D714FC">
        <w:rPr>
          <w:rFonts w:cs="Times New Roman"/>
        </w:rPr>
        <w:t xml:space="preserve">the ACCC </w:t>
      </w:r>
      <w:r>
        <w:rPr>
          <w:rFonts w:cs="Times New Roman"/>
        </w:rPr>
        <w:t>made draft rule advice that</w:t>
      </w:r>
      <w:r w:rsidRPr="008412C4">
        <w:t xml:space="preserve"> </w:t>
      </w:r>
      <w:r>
        <w:rPr>
          <w:rFonts w:cs="Times New Roman"/>
        </w:rPr>
        <w:t>t</w:t>
      </w:r>
      <w:r w:rsidRPr="008412C4">
        <w:rPr>
          <w:rFonts w:cs="Times New Roman"/>
        </w:rPr>
        <w:t xml:space="preserve">he private right of action (to recover loss or damage resulting from a breach of the rules) which currently applies to the </w:t>
      </w:r>
      <w:r w:rsidR="002C2856">
        <w:rPr>
          <w:rFonts w:cs="Times New Roman"/>
        </w:rPr>
        <w:t>W</w:t>
      </w:r>
      <w:r w:rsidRPr="008412C4">
        <w:rPr>
          <w:rFonts w:cs="Times New Roman"/>
        </w:rPr>
        <w:t xml:space="preserve">ater </w:t>
      </w:r>
      <w:r w:rsidR="002C2856">
        <w:rPr>
          <w:rFonts w:cs="Times New Roman"/>
        </w:rPr>
        <w:t>C</w:t>
      </w:r>
      <w:r w:rsidRPr="008412C4">
        <w:rPr>
          <w:rFonts w:cs="Times New Roman"/>
        </w:rPr>
        <w:t>harge (</w:t>
      </w:r>
      <w:r w:rsidR="002C2856">
        <w:rPr>
          <w:rFonts w:cs="Times New Roman"/>
        </w:rPr>
        <w:t>I</w:t>
      </w:r>
      <w:r w:rsidRPr="008412C4">
        <w:rPr>
          <w:rFonts w:cs="Times New Roman"/>
        </w:rPr>
        <w:t xml:space="preserve">nfrastructure) </w:t>
      </w:r>
      <w:r w:rsidR="002C2856">
        <w:rPr>
          <w:rFonts w:cs="Times New Roman"/>
        </w:rPr>
        <w:t>R</w:t>
      </w:r>
      <w:r w:rsidRPr="008412C4">
        <w:rPr>
          <w:rFonts w:cs="Times New Roman"/>
        </w:rPr>
        <w:t xml:space="preserve">ules </w:t>
      </w:r>
      <w:r w:rsidR="002C2856">
        <w:rPr>
          <w:rFonts w:cs="Times New Roman"/>
        </w:rPr>
        <w:t xml:space="preserve">2010 (WCIR) </w:t>
      </w:r>
      <w:r w:rsidRPr="008412C4">
        <w:rPr>
          <w:rFonts w:cs="Times New Roman"/>
        </w:rPr>
        <w:t>should be extended to apply to the water charge rules more generally</w:t>
      </w:r>
      <w:r>
        <w:rPr>
          <w:rFonts w:cs="Times New Roman"/>
        </w:rPr>
        <w:t xml:space="preserve"> (draft rule advice 4-C)</w:t>
      </w:r>
      <w:r w:rsidRPr="008412C4">
        <w:rPr>
          <w:rFonts w:cs="Times New Roman"/>
        </w:rPr>
        <w:t>.</w:t>
      </w:r>
      <w:r>
        <w:rPr>
          <w:rFonts w:cs="Times New Roman"/>
        </w:rPr>
        <w:t xml:space="preserve"> The ACCC also recommended that </w:t>
      </w:r>
      <w:r w:rsidRPr="00D714FC">
        <w:rPr>
          <w:rFonts w:cs="Times New Roman"/>
        </w:rPr>
        <w:t>Basin States consider expanding the jurisdiction of their ombudsman schemes (where not already provided for) to include capacity to review complaints relating to State water management law</w:t>
      </w:r>
      <w:r>
        <w:rPr>
          <w:rFonts w:cs="Times New Roman"/>
        </w:rPr>
        <w:t xml:space="preserve"> (draft recommendation 8-C)</w:t>
      </w:r>
      <w:r w:rsidRPr="00D714FC">
        <w:rPr>
          <w:rFonts w:cs="Times New Roman"/>
        </w:rPr>
        <w:t xml:space="preserve">. </w:t>
      </w:r>
    </w:p>
    <w:p w:rsidR="00344A45" w:rsidRDefault="00344A45" w:rsidP="00FC64B5">
      <w:pPr>
        <w:pStyle w:val="Heading3Un-numbered"/>
      </w:pPr>
      <w:r w:rsidRPr="00D714FC">
        <w:t>Stakeholder feedback</w:t>
      </w:r>
    </w:p>
    <w:p w:rsidR="001B47AB" w:rsidRPr="001055F7" w:rsidRDefault="001B47AB" w:rsidP="00C06B07">
      <w:pPr>
        <w:pStyle w:val="Heading4-Un-numberedsubheading-Lvl5"/>
      </w:pPr>
      <w:r w:rsidRPr="001055F7">
        <w:t>ACCC enforcement and compliance approach</w:t>
      </w:r>
    </w:p>
    <w:p w:rsidR="00344A45" w:rsidRPr="00D714FC" w:rsidRDefault="00344A45" w:rsidP="00344A45">
      <w:pPr>
        <w:rPr>
          <w:rFonts w:cs="Times New Roman"/>
        </w:rPr>
      </w:pPr>
      <w:r w:rsidRPr="00D714FC">
        <w:rPr>
          <w:rFonts w:cs="Times New Roman"/>
        </w:rPr>
        <w:t xml:space="preserve">A number of submissions </w:t>
      </w:r>
      <w:r w:rsidR="008412C4">
        <w:rPr>
          <w:rFonts w:cs="Times New Roman"/>
        </w:rPr>
        <w:t>on the ACCC’s Issues Paper</w:t>
      </w:r>
      <w:r w:rsidR="00492DCC">
        <w:rPr>
          <w:rFonts w:cs="Times New Roman"/>
        </w:rPr>
        <w:t>,</w:t>
      </w:r>
      <w:r w:rsidR="008412C4">
        <w:rPr>
          <w:rFonts w:cs="Times New Roman"/>
        </w:rPr>
        <w:t xml:space="preserve"> </w:t>
      </w:r>
      <w:r w:rsidRPr="00D714FC">
        <w:rPr>
          <w:rFonts w:cs="Times New Roman"/>
        </w:rPr>
        <w:t xml:space="preserve">from </w:t>
      </w:r>
      <w:r w:rsidR="008340B8">
        <w:rPr>
          <w:rFonts w:cs="Times New Roman"/>
        </w:rPr>
        <w:t>infrastructure operators</w:t>
      </w:r>
      <w:r w:rsidR="008340B8" w:rsidRPr="00D714FC">
        <w:rPr>
          <w:rFonts w:cs="Times New Roman"/>
        </w:rPr>
        <w:t xml:space="preserve"> </w:t>
      </w:r>
      <w:r w:rsidR="00A51067" w:rsidRPr="00D714FC">
        <w:rPr>
          <w:rFonts w:cs="Times New Roman"/>
        </w:rPr>
        <w:t xml:space="preserve">and </w:t>
      </w:r>
      <w:r w:rsidRPr="00D714FC">
        <w:rPr>
          <w:rFonts w:cs="Times New Roman"/>
        </w:rPr>
        <w:t>peak industry bodies</w:t>
      </w:r>
      <w:r w:rsidR="00492DCC">
        <w:rPr>
          <w:rFonts w:cs="Times New Roman"/>
        </w:rPr>
        <w:t>,</w:t>
      </w:r>
      <w:r w:rsidRPr="00D714FC">
        <w:rPr>
          <w:rFonts w:cs="Times New Roman"/>
        </w:rPr>
        <w:t xml:space="preserve"> commented on the ACCC’s enforcement and compliance approach, with several submissions proposing that the ACCC take an ‘exception-based approach’ to compliance monitoring, and </w:t>
      </w:r>
      <w:r w:rsidR="008412C4">
        <w:rPr>
          <w:rFonts w:cs="Times New Roman"/>
        </w:rPr>
        <w:t xml:space="preserve">employ </w:t>
      </w:r>
      <w:r w:rsidRPr="00D714FC">
        <w:rPr>
          <w:rFonts w:cs="Times New Roman"/>
        </w:rPr>
        <w:t>a ‘collaborative approach’ to educating stakeholders about their obligations, with penalties being applied as a last resort.</w:t>
      </w:r>
      <w:r w:rsidR="008412C4">
        <w:rPr>
          <w:rFonts w:cs="Times New Roman"/>
        </w:rPr>
        <w:t xml:space="preserve"> Several stakeholders also</w:t>
      </w:r>
      <w:r w:rsidRPr="00D714FC">
        <w:rPr>
          <w:rFonts w:cs="Times New Roman"/>
        </w:rPr>
        <w:t xml:space="preserve"> recommended moving towards an ombudsman-type system for investigating and resolving complaints, disputes or compliance issues.</w:t>
      </w:r>
      <w:r w:rsidR="00492DCC">
        <w:rPr>
          <w:rStyle w:val="FootnoteReference"/>
          <w:rFonts w:cs="Times New Roman"/>
        </w:rPr>
        <w:footnoteReference w:id="79"/>
      </w:r>
    </w:p>
    <w:p w:rsidR="008E5FA6" w:rsidRDefault="00344A45" w:rsidP="00344A45">
      <w:pPr>
        <w:rPr>
          <w:rFonts w:cs="Times New Roman"/>
        </w:rPr>
      </w:pPr>
      <w:r w:rsidRPr="00D714FC">
        <w:rPr>
          <w:rFonts w:cs="Times New Roman"/>
        </w:rPr>
        <w:t>In discussion</w:t>
      </w:r>
      <w:r w:rsidR="008412C4">
        <w:rPr>
          <w:rFonts w:cs="Times New Roman"/>
        </w:rPr>
        <w:t>s</w:t>
      </w:r>
      <w:r w:rsidRPr="00D714FC">
        <w:rPr>
          <w:rFonts w:cs="Times New Roman"/>
        </w:rPr>
        <w:t xml:space="preserve"> at several public forums, a number of operators, especially smaller operators who had been subject to investigation by the ACCC on compliance issues, noted the time involved and the costs they faced in responding to such investigations, with a concern that any penalties imposed were effectively passed on to </w:t>
      </w:r>
      <w:r w:rsidR="00675BB5">
        <w:rPr>
          <w:rFonts w:cs="Times New Roman"/>
        </w:rPr>
        <w:t>operators’</w:t>
      </w:r>
      <w:r w:rsidR="00675BB5" w:rsidRPr="00D714FC">
        <w:rPr>
          <w:rFonts w:cs="Times New Roman"/>
        </w:rPr>
        <w:t xml:space="preserve"> </w:t>
      </w:r>
      <w:r w:rsidRPr="00D714FC">
        <w:rPr>
          <w:rFonts w:cs="Times New Roman"/>
        </w:rPr>
        <w:t>customers.</w:t>
      </w:r>
      <w:r w:rsidR="00C6733C">
        <w:rPr>
          <w:rFonts w:cs="Times New Roman"/>
        </w:rPr>
        <w:t xml:space="preserve"> </w:t>
      </w:r>
    </w:p>
    <w:p w:rsidR="008E5FA6" w:rsidRPr="008E5FA6" w:rsidRDefault="003951D2" w:rsidP="008E5FA6">
      <w:pPr>
        <w:rPr>
          <w:rFonts w:cs="Times New Roman"/>
        </w:rPr>
      </w:pPr>
      <w:r>
        <w:rPr>
          <w:rFonts w:cs="Times New Roman"/>
        </w:rPr>
        <w:t>In response to the Draft Advice, L</w:t>
      </w:r>
      <w:r w:rsidR="008E5FA6" w:rsidRPr="008E5FA6">
        <w:rPr>
          <w:rFonts w:cs="Times New Roman"/>
        </w:rPr>
        <w:t>ower</w:t>
      </w:r>
      <w:r w:rsidR="0076282A">
        <w:rPr>
          <w:rFonts w:cs="Times New Roman"/>
        </w:rPr>
        <w:t xml:space="preserve"> </w:t>
      </w:r>
      <w:r w:rsidR="008E5FA6" w:rsidRPr="008E5FA6">
        <w:rPr>
          <w:rFonts w:cs="Times New Roman"/>
        </w:rPr>
        <w:t>Murray Water (LMW) provided some commentary about its views on an ideal compliance and enforcement approach, rather than commenting on the ACCC’s approach specifically.</w:t>
      </w:r>
      <w:r w:rsidR="008E5FA6" w:rsidRPr="008E5FA6">
        <w:rPr>
          <w:rFonts w:cs="Times New Roman"/>
          <w:vertAlign w:val="superscript"/>
        </w:rPr>
        <w:footnoteReference w:id="80"/>
      </w:r>
      <w:r w:rsidR="008E5FA6" w:rsidRPr="008E5FA6">
        <w:rPr>
          <w:rFonts w:cs="Times New Roman"/>
        </w:rPr>
        <w:t xml:space="preserve"> In LMW’s view:</w:t>
      </w:r>
    </w:p>
    <w:p w:rsidR="008E5FA6" w:rsidRPr="008E5FA6" w:rsidRDefault="008E5FA6" w:rsidP="00A82DE6">
      <w:pPr>
        <w:pStyle w:val="Lvl1Bulletpoint"/>
      </w:pPr>
      <w:r w:rsidRPr="008E5FA6">
        <w:t>fines and penalties should be “an outcome of last resort”. In a not-for-profit, government business entity, fines are paid by the taxpayers/customers, “the very people LMW and the ACCC are attempting to service and protect”</w:t>
      </w:r>
    </w:p>
    <w:p w:rsidR="008E5FA6" w:rsidRPr="008E5FA6" w:rsidRDefault="008E5FA6" w:rsidP="00A82DE6">
      <w:pPr>
        <w:pStyle w:val="Lvl1Bulletpoint"/>
      </w:pPr>
      <w:r w:rsidRPr="008E5FA6">
        <w:t>the approach to compliance should be one of “cooperative rectification”.</w:t>
      </w:r>
    </w:p>
    <w:p w:rsidR="008E5FA6" w:rsidRPr="008E5FA6" w:rsidRDefault="008E5FA6" w:rsidP="008E5FA6">
      <w:pPr>
        <w:rPr>
          <w:rFonts w:cs="Times New Roman"/>
        </w:rPr>
      </w:pPr>
      <w:r w:rsidRPr="008E5FA6">
        <w:rPr>
          <w:rFonts w:cs="Times New Roman"/>
        </w:rPr>
        <w:t xml:space="preserve">LMW added that these approaches should be applied “even more so in an environment where regulation is very high and the legal instruments can be technical and the intent of the regulation is not always clear”. </w:t>
      </w:r>
    </w:p>
    <w:p w:rsidR="008E5FA6" w:rsidRDefault="008E5FA6" w:rsidP="008E5FA6">
      <w:pPr>
        <w:rPr>
          <w:rFonts w:cs="Times New Roman"/>
        </w:rPr>
      </w:pPr>
      <w:r w:rsidRPr="008E5FA6">
        <w:rPr>
          <w:rFonts w:cs="Times New Roman"/>
        </w:rPr>
        <w:t xml:space="preserve">The Local Government Association of Queensland </w:t>
      </w:r>
      <w:r w:rsidR="008F0D6B">
        <w:rPr>
          <w:rFonts w:cs="Times New Roman"/>
        </w:rPr>
        <w:t xml:space="preserve">(LGAQ) </w:t>
      </w:r>
      <w:r w:rsidRPr="008E5FA6">
        <w:rPr>
          <w:rFonts w:cs="Times New Roman"/>
        </w:rPr>
        <w:t>submitted its support for the ACCC to take “measured regulatory enforcement actions”.</w:t>
      </w:r>
      <w:r w:rsidRPr="008E5FA6">
        <w:rPr>
          <w:rFonts w:cs="Times New Roman"/>
          <w:vertAlign w:val="superscript"/>
        </w:rPr>
        <w:footnoteReference w:id="81"/>
      </w:r>
      <w:r w:rsidRPr="008E5FA6">
        <w:rPr>
          <w:rFonts w:cs="Times New Roman"/>
        </w:rPr>
        <w:t xml:space="preserve"> This comment was provided within the context of the Association’s position on the level of regulation by Commonwealth agencies, and what it views should be the role of the ACCC. In particular, the Association supports the ACCC being a “point of recourse in the implementation of the rules”</w:t>
      </w:r>
      <w:r w:rsidR="003951D2">
        <w:rPr>
          <w:rFonts w:cs="Times New Roman"/>
        </w:rPr>
        <w:t>.</w:t>
      </w:r>
    </w:p>
    <w:p w:rsidR="001B47AB" w:rsidRPr="001B47AB" w:rsidRDefault="001B47AB" w:rsidP="00C06B07">
      <w:pPr>
        <w:pStyle w:val="Heading4-Un-numberedsubheading-Lvl5"/>
      </w:pPr>
      <w:r w:rsidRPr="001B47AB">
        <w:t>Private right of action</w:t>
      </w:r>
    </w:p>
    <w:p w:rsidR="00F26055" w:rsidRPr="008E5FA6" w:rsidRDefault="00F26055" w:rsidP="008E5FA6">
      <w:pPr>
        <w:rPr>
          <w:rFonts w:cs="Times New Roman"/>
        </w:rPr>
      </w:pPr>
      <w:r>
        <w:rPr>
          <w:rFonts w:cs="Times New Roman"/>
        </w:rPr>
        <w:t>During the ACCC’s consultation meetings</w:t>
      </w:r>
      <w:r w:rsidR="001055F7">
        <w:rPr>
          <w:rFonts w:cs="Times New Roman"/>
        </w:rPr>
        <w:t xml:space="preserve"> following the release of the </w:t>
      </w:r>
      <w:r w:rsidR="00BF06E1">
        <w:rPr>
          <w:rFonts w:cs="Times New Roman"/>
        </w:rPr>
        <w:t>D</w:t>
      </w:r>
      <w:r w:rsidR="001055F7">
        <w:rPr>
          <w:rFonts w:cs="Times New Roman"/>
        </w:rPr>
        <w:t xml:space="preserve">raft </w:t>
      </w:r>
      <w:r w:rsidR="00BF06E1">
        <w:rPr>
          <w:rFonts w:cs="Times New Roman"/>
        </w:rPr>
        <w:t>A</w:t>
      </w:r>
      <w:r w:rsidR="001055F7">
        <w:rPr>
          <w:rFonts w:cs="Times New Roman"/>
        </w:rPr>
        <w:t>dvice</w:t>
      </w:r>
      <w:r>
        <w:rPr>
          <w:rFonts w:cs="Times New Roman"/>
        </w:rPr>
        <w:t xml:space="preserve">, </w:t>
      </w:r>
      <w:r w:rsidR="001055F7">
        <w:rPr>
          <w:rFonts w:cs="Times New Roman"/>
        </w:rPr>
        <w:t xml:space="preserve">some </w:t>
      </w:r>
      <w:r>
        <w:rPr>
          <w:rFonts w:cs="Times New Roman"/>
        </w:rPr>
        <w:t>infrastructure operators</w:t>
      </w:r>
      <w:r w:rsidRPr="00F26055">
        <w:rPr>
          <w:rFonts w:cs="Times New Roman"/>
        </w:rPr>
        <w:t xml:space="preserve"> argued that </w:t>
      </w:r>
      <w:r>
        <w:rPr>
          <w:rFonts w:cs="Times New Roman"/>
        </w:rPr>
        <w:t xml:space="preserve">existence of </w:t>
      </w:r>
      <w:r w:rsidRPr="00F26055">
        <w:rPr>
          <w:rFonts w:cs="Times New Roman"/>
        </w:rPr>
        <w:t xml:space="preserve">the private right of action exposes them to legal risk, even in cases where </w:t>
      </w:r>
      <w:r>
        <w:rPr>
          <w:rFonts w:cs="Times New Roman"/>
        </w:rPr>
        <w:t xml:space="preserve">charging arrangements are consistent with ACCC guidance (this concern was expressed </w:t>
      </w:r>
      <w:r w:rsidRPr="00F26055">
        <w:rPr>
          <w:rFonts w:cs="Times New Roman"/>
        </w:rPr>
        <w:t>particularly in relation to the non-discrimination provisions proposed in the Draft Advice)</w:t>
      </w:r>
      <w:r>
        <w:rPr>
          <w:rFonts w:cs="Times New Roman"/>
        </w:rPr>
        <w:t xml:space="preserve">. Operators argued that they </w:t>
      </w:r>
      <w:r w:rsidRPr="00F26055">
        <w:rPr>
          <w:rFonts w:cs="Times New Roman"/>
        </w:rPr>
        <w:t xml:space="preserve">would incur costs in responding to threats of </w:t>
      </w:r>
      <w:r>
        <w:rPr>
          <w:rFonts w:cs="Times New Roman"/>
        </w:rPr>
        <w:t>private</w:t>
      </w:r>
      <w:r w:rsidRPr="00F26055">
        <w:rPr>
          <w:rFonts w:cs="Times New Roman"/>
        </w:rPr>
        <w:t xml:space="preserve"> action by aggrieved customers</w:t>
      </w:r>
      <w:r>
        <w:rPr>
          <w:rFonts w:cs="Times New Roman"/>
        </w:rPr>
        <w:t xml:space="preserve">. </w:t>
      </w:r>
    </w:p>
    <w:p w:rsidR="008E5FA6" w:rsidRDefault="0079321E" w:rsidP="00FC64B5">
      <w:pPr>
        <w:pStyle w:val="Heading3Un-numbered"/>
      </w:pPr>
      <w:r>
        <w:t>ACCC assessment</w:t>
      </w:r>
    </w:p>
    <w:p w:rsidR="001B47AB" w:rsidRPr="001055F7" w:rsidRDefault="001B47AB" w:rsidP="00C06B07">
      <w:pPr>
        <w:pStyle w:val="Heading4-Un-numberedsubheading-Lvl5"/>
      </w:pPr>
      <w:r w:rsidRPr="001055F7">
        <w:t>ACCC enforcement and compliance approach</w:t>
      </w:r>
    </w:p>
    <w:p w:rsidR="005417D6" w:rsidRDefault="005417D6" w:rsidP="00492DCC">
      <w:r>
        <w:t>The ACCC maintains that its approach to enforcement and compliance—set out in the Draft Advice—provides a sensible balance between ensuring compliance with the rules and not imposing unnecessary costs o</w:t>
      </w:r>
      <w:r w:rsidR="00D0560A">
        <w:t>n</w:t>
      </w:r>
      <w:r>
        <w:t xml:space="preserve"> infrastructure operators. </w:t>
      </w:r>
    </w:p>
    <w:p w:rsidR="00492DCC" w:rsidRDefault="005417D6" w:rsidP="00492DCC">
      <w:r>
        <w:t>Where necessary, the ACCC will continue to seek further information from infrastructure operators to investigate potential contraventions of the rules. The ACCC acknowledges that such information requests impose costs on infrastructure operators</w:t>
      </w:r>
      <w:r w:rsidR="00084C56">
        <w:t xml:space="preserve"> which in most cases are ultimately met by customers. As such, the ACCC maintains </w:t>
      </w:r>
      <w:r w:rsidR="0078356B">
        <w:t>r</w:t>
      </w:r>
      <w:r w:rsidR="00084C56">
        <w:t xml:space="preserve">ecommendation </w:t>
      </w:r>
      <w:r w:rsidR="00DC0A17">
        <w:t xml:space="preserve">4-C </w:t>
      </w:r>
      <w:r w:rsidR="00084C56">
        <w:t>from the Draft Advice</w:t>
      </w:r>
      <w:r w:rsidR="0008785F">
        <w:t>—</w:t>
      </w:r>
      <w:r w:rsidR="00277D88">
        <w:t>that it continues to monitor the necessity and benefit of these information requests.</w:t>
      </w:r>
      <w:r>
        <w:t xml:space="preserve"> </w:t>
      </w:r>
    </w:p>
    <w:p w:rsidR="00DC0A17" w:rsidRDefault="00277D88" w:rsidP="00492DCC">
      <w:r>
        <w:t xml:space="preserve">Infrastructure operators periodically approach the ACCC to ask whether their current or proposed charging practices raise any concerns under the water charge rules. The ACCC will continue to welcome these inquiries as an opportunity to work with infrastructure operators to better understand their arrangements and provide guidance on the requirements of the rules. While the ACCC cannot provide legal advice to infrastructure operators, it is able to explain how the ACCC’s interpretation of the rules would apply in the circumstances presented. This can provide infrastructure operators with a degree of assurance about their arrangements, or otherwise highlight areas of concern that the infrastructure operator may wish to reconsider. </w:t>
      </w:r>
    </w:p>
    <w:p w:rsidR="00DC0A17" w:rsidRDefault="00DC0A17" w:rsidP="00492DCC">
      <w:r>
        <w:t xml:space="preserve">Given the strong benefits of such an approach, the ACCC maintains </w:t>
      </w:r>
      <w:r w:rsidR="0078356B">
        <w:t>r</w:t>
      </w:r>
      <w:r>
        <w:t xml:space="preserve">ecommendation 4-D from the Draft Advice, for the </w:t>
      </w:r>
      <w:r w:rsidRPr="00D714FC">
        <w:t xml:space="preserve">ACCC </w:t>
      </w:r>
      <w:r>
        <w:t>to</w:t>
      </w:r>
      <w:r w:rsidRPr="00D714FC">
        <w:t xml:space="preserve"> continue to work closely with infrastructure operators to assist them in understanding and complying with any new rule requirements resulting from the ACCC’s review.</w:t>
      </w:r>
    </w:p>
    <w:p w:rsidR="001B47AB" w:rsidRDefault="001B47AB" w:rsidP="00C06B07">
      <w:pPr>
        <w:pStyle w:val="Heading4-Un-numberedsubheading-Lvl5"/>
      </w:pPr>
      <w:r>
        <w:t>Private right of action</w:t>
      </w:r>
    </w:p>
    <w:p w:rsidR="001B47AB" w:rsidRDefault="001B47AB" w:rsidP="001B47AB">
      <w:r>
        <w:t>While the WCIR currently provides for a private right of action, where a person can take action to recover loss or damage resulting from a contravention of the rules, the ACCC is not aware of any such actions</w:t>
      </w:r>
      <w:r w:rsidR="00143390">
        <w:t xml:space="preserve"> occurring</w:t>
      </w:r>
      <w:r>
        <w:t>. The ACCC is also not aware of any specific instances where a customer has threatened such action against an infrastructure operator</w:t>
      </w:r>
      <w:r w:rsidR="00A44598">
        <w:t xml:space="preserve"> (however this is not something the ACCC is able to monitor)</w:t>
      </w:r>
      <w:r>
        <w:t xml:space="preserve">. </w:t>
      </w:r>
    </w:p>
    <w:p w:rsidR="001B47AB" w:rsidRDefault="00A44598" w:rsidP="001B47AB">
      <w:r>
        <w:t>T</w:t>
      </w:r>
      <w:r w:rsidR="001B47AB">
        <w:t xml:space="preserve">he ACCC acknowledges that the proposed amendments to the water charge rules set out elsewhere in this Final Advice (in relation to non-discrimination in particular) would broaden the potential grounds for such action (or the threat of such action) </w:t>
      </w:r>
      <w:r>
        <w:t xml:space="preserve">by customers against infrastructure </w:t>
      </w:r>
      <w:r w:rsidR="001B47AB">
        <w:t xml:space="preserve">operators. This may lead to operators taking an overly conservative approach to the interpretation of the rules, even in situations where their practices are fully consistent with ACCC guidance. </w:t>
      </w:r>
    </w:p>
    <w:p w:rsidR="001B47AB" w:rsidRDefault="001B47AB" w:rsidP="001B47AB">
      <w:r>
        <w:t>While a general private right of action does provide some benefits, it also increases uncertainty and risk for infrastructure operators</w:t>
      </w:r>
      <w:r w:rsidR="00A44598">
        <w:t xml:space="preserve">, which in turn can increase up-front and ongoing regulatory costs for infrastructure operators. The ACCC will continue to receive and consider complaints and inquiries from customers and other stakeholders. </w:t>
      </w:r>
      <w:r>
        <w:t xml:space="preserve">As such, </w:t>
      </w:r>
      <w:r w:rsidR="00A44598">
        <w:t>the ACCC has amended its rule advice 4-C, to instead recommend</w:t>
      </w:r>
      <w:r w:rsidR="00143390">
        <w:t xml:space="preserve"> the</w:t>
      </w:r>
      <w:r w:rsidR="00A44598">
        <w:t xml:space="preserve"> removal of the private right of action from all water charge rules.</w:t>
      </w:r>
    </w:p>
    <w:p w:rsidR="00E260C2" w:rsidRDefault="005417D6">
      <w:r>
        <w:t xml:space="preserve">The ACCC also notes that many disputes between infrastructure operators and their customers do not involve a potential </w:t>
      </w:r>
      <w:r w:rsidR="00621408">
        <w:t>contravention</w:t>
      </w:r>
      <w:r>
        <w:t xml:space="preserve"> of the water charge (or market) rules, such as billing / metering disputes. Section 8.3 sets out these issues in greater detail.</w:t>
      </w:r>
    </w:p>
    <w:p w:rsidR="00F94EBF" w:rsidRPr="00D714FC" w:rsidRDefault="00F94EBF" w:rsidP="00616672">
      <w:pPr>
        <w:pStyle w:val="Heading2"/>
      </w:pPr>
      <w:bookmarkStart w:id="299" w:name="_Toc436122290"/>
      <w:bookmarkStart w:id="300" w:name="_Toc436122785"/>
      <w:bookmarkStart w:id="301" w:name="_Toc436124140"/>
      <w:bookmarkStart w:id="302" w:name="_Toc456785793"/>
      <w:bookmarkStart w:id="303" w:name="_Toc461630704"/>
      <w:r w:rsidRPr="00D714FC">
        <w:t>Future reviews of the water charge rules</w:t>
      </w:r>
      <w:bookmarkEnd w:id="299"/>
      <w:bookmarkEnd w:id="300"/>
      <w:bookmarkEnd w:id="301"/>
      <w:bookmarkEnd w:id="302"/>
      <w:bookmarkEnd w:id="303"/>
      <w:r w:rsidRPr="00D714FC">
        <w:tab/>
      </w:r>
    </w:p>
    <w:p w:rsidR="006246A8" w:rsidRPr="006246A8" w:rsidRDefault="006246A8" w:rsidP="00FC64B5">
      <w:pPr>
        <w:pStyle w:val="Heading3Un-numbered"/>
      </w:pPr>
      <w:r>
        <w:t>Background</w:t>
      </w:r>
    </w:p>
    <w:p w:rsidR="00BB173F" w:rsidRPr="00D714FC" w:rsidRDefault="00BB173F" w:rsidP="00E13D31">
      <w:pPr>
        <w:keepNext/>
        <w:rPr>
          <w:rFonts w:cs="Times New Roman"/>
        </w:rPr>
      </w:pPr>
      <w:r w:rsidRPr="00D714FC">
        <w:rPr>
          <w:rFonts w:cs="Times New Roman"/>
        </w:rPr>
        <w:t xml:space="preserve">The ACCC’s current review was initiated by the Minister in response to a recommendation to </w:t>
      </w:r>
      <w:r w:rsidR="00E00169" w:rsidRPr="00D714FC">
        <w:rPr>
          <w:rFonts w:cs="Times New Roman"/>
        </w:rPr>
        <w:t xml:space="preserve">the </w:t>
      </w:r>
      <w:r w:rsidR="00D77AAB">
        <w:rPr>
          <w:rFonts w:cs="Times New Roman"/>
        </w:rPr>
        <w:t xml:space="preserve">Australian </w:t>
      </w:r>
      <w:r w:rsidRPr="00D714FC">
        <w:rPr>
          <w:rFonts w:cs="Times New Roman"/>
        </w:rPr>
        <w:t xml:space="preserve">Government following an independent review of the </w:t>
      </w:r>
      <w:r w:rsidR="00610501" w:rsidRPr="00610501">
        <w:rPr>
          <w:rFonts w:cs="Times New Roman"/>
          <w:i/>
        </w:rPr>
        <w:t xml:space="preserve">Water </w:t>
      </w:r>
      <w:r w:rsidRPr="00610501">
        <w:rPr>
          <w:rFonts w:cs="Times New Roman"/>
          <w:i/>
        </w:rPr>
        <w:t>Act</w:t>
      </w:r>
      <w:r w:rsidR="00610501" w:rsidRPr="00610501">
        <w:rPr>
          <w:rFonts w:cs="Times New Roman"/>
          <w:i/>
        </w:rPr>
        <w:t xml:space="preserve"> 2007</w:t>
      </w:r>
      <w:r w:rsidR="00610501">
        <w:rPr>
          <w:rFonts w:cs="Times New Roman"/>
        </w:rPr>
        <w:t xml:space="preserve"> (the Act)</w:t>
      </w:r>
      <w:r w:rsidRPr="00D714FC">
        <w:rPr>
          <w:rFonts w:cs="Times New Roman"/>
        </w:rPr>
        <w:t xml:space="preserve">. </w:t>
      </w:r>
    </w:p>
    <w:p w:rsidR="00BB173F" w:rsidRDefault="00BB173F" w:rsidP="00E573B7">
      <w:pPr>
        <w:keepNext/>
        <w:rPr>
          <w:rFonts w:cs="Times New Roman"/>
        </w:rPr>
      </w:pPr>
      <w:r w:rsidRPr="00D714FC">
        <w:rPr>
          <w:rFonts w:cs="Times New Roman"/>
        </w:rPr>
        <w:t>The water charge rules do not contain provisions requiring future reviews of the</w:t>
      </w:r>
      <w:r w:rsidR="00E00169" w:rsidRPr="00D714FC">
        <w:rPr>
          <w:rFonts w:cs="Times New Roman"/>
        </w:rPr>
        <w:t xml:space="preserve"> water charge</w:t>
      </w:r>
      <w:r w:rsidRPr="00D714FC">
        <w:rPr>
          <w:rFonts w:cs="Times New Roman"/>
        </w:rPr>
        <w:t xml:space="preserve"> rules or specifying dates by</w:t>
      </w:r>
      <w:r w:rsidR="0008785F">
        <w:rPr>
          <w:rFonts w:cs="Times New Roman"/>
        </w:rPr>
        <w:t xml:space="preserve"> which </w:t>
      </w:r>
      <w:r w:rsidRPr="00D714FC">
        <w:rPr>
          <w:rFonts w:cs="Times New Roman"/>
        </w:rPr>
        <w:t xml:space="preserve">future reviews of the </w:t>
      </w:r>
      <w:r w:rsidR="00E00169" w:rsidRPr="00D714FC">
        <w:rPr>
          <w:rFonts w:cs="Times New Roman"/>
        </w:rPr>
        <w:t xml:space="preserve">water charge </w:t>
      </w:r>
      <w:r w:rsidRPr="00D714FC">
        <w:rPr>
          <w:rFonts w:cs="Times New Roman"/>
        </w:rPr>
        <w:t xml:space="preserve">rules should occur. However, the Minister can request advice from the ACCC at any time. </w:t>
      </w:r>
    </w:p>
    <w:p w:rsidR="00E91CF6" w:rsidRPr="00D714FC" w:rsidRDefault="00F87F28" w:rsidP="00E91CF6">
      <w:pPr>
        <w:keepNext/>
        <w:rPr>
          <w:rFonts w:cs="Times New Roman"/>
        </w:rPr>
      </w:pPr>
      <w:r>
        <w:rPr>
          <w:rFonts w:cs="Times New Roman"/>
        </w:rPr>
        <w:t>The Draft Advice noted that a</w:t>
      </w:r>
      <w:r w:rsidR="00E91CF6" w:rsidRPr="00D714FC">
        <w:rPr>
          <w:rFonts w:cs="Times New Roman"/>
        </w:rPr>
        <w:t xml:space="preserve"> key principle in the </w:t>
      </w:r>
      <w:r w:rsidR="00E91CF6" w:rsidRPr="00D714FC">
        <w:rPr>
          <w:rFonts w:cs="Times New Roman"/>
          <w:i/>
        </w:rPr>
        <w:t>Australian Government guide to regulation</w:t>
      </w:r>
      <w:r w:rsidR="00E91CF6" w:rsidRPr="00DB3BCB">
        <w:rPr>
          <w:rStyle w:val="FootnoteReference"/>
          <w:rFonts w:cs="Times New Roman"/>
        </w:rPr>
        <w:footnoteReference w:id="82"/>
      </w:r>
      <w:r w:rsidR="00E91CF6" w:rsidRPr="00D714FC">
        <w:rPr>
          <w:rFonts w:cs="Times New Roman"/>
        </w:rPr>
        <w:t xml:space="preserve"> is that all regulation should be periodically reviewed to test its continuing relevance. Reviews provide an opportunity to consider whether regulation remains relevant, effective and efficient, and for stakeholders to comment on any issues with the operation and implementation of the rules.</w:t>
      </w:r>
    </w:p>
    <w:p w:rsidR="00E91CF6" w:rsidRPr="00D714FC" w:rsidRDefault="00E91CF6" w:rsidP="00340C72">
      <w:pPr>
        <w:rPr>
          <w:rFonts w:cs="Times New Roman"/>
        </w:rPr>
      </w:pPr>
      <w:r w:rsidRPr="00D714FC">
        <w:rPr>
          <w:rFonts w:cs="Times New Roman"/>
        </w:rPr>
        <w:t>Because reviews can be time-consuming and resource-intensive for government and for participating stakeholders, it is important that they are undertaken at an appropriate time and, where possible, are coordinated with other relevant processes and milestones to maximise their effectiveness. However, it can be difficult to anticipate the optimum timing of a review ahead of implementation of the legislative instrument.</w:t>
      </w:r>
    </w:p>
    <w:p w:rsidR="00E91CF6" w:rsidRPr="00D714FC" w:rsidRDefault="00E91CF6" w:rsidP="00340C72">
      <w:pPr>
        <w:rPr>
          <w:rFonts w:cs="Times New Roman"/>
        </w:rPr>
      </w:pPr>
      <w:r w:rsidRPr="00D714FC">
        <w:rPr>
          <w:rFonts w:cs="Times New Roman"/>
        </w:rPr>
        <w:t xml:space="preserve">As this review illustrates, the current framework provides discretion to coordinate processes or to respond to issues as they arise. Under the Act, if the Minister seeks to make, amend or repeal the water charge rules or </w:t>
      </w:r>
      <w:r w:rsidR="0037210E" w:rsidRPr="0067271D">
        <w:rPr>
          <w:rFonts w:cs="Times New Roman"/>
        </w:rPr>
        <w:t>Water Market Rules 2009</w:t>
      </w:r>
      <w:r w:rsidR="0037210E">
        <w:rPr>
          <w:rFonts w:cs="Times New Roman"/>
        </w:rPr>
        <w:t xml:space="preserve"> (</w:t>
      </w:r>
      <w:r>
        <w:rPr>
          <w:rFonts w:cs="Times New Roman"/>
        </w:rPr>
        <w:t>WMR</w:t>
      </w:r>
      <w:r w:rsidR="0037210E">
        <w:rPr>
          <w:rFonts w:cs="Times New Roman"/>
        </w:rPr>
        <w:t>)</w:t>
      </w:r>
      <w:r w:rsidRPr="00D714FC">
        <w:rPr>
          <w:rFonts w:cs="Times New Roman"/>
        </w:rPr>
        <w:t>, they must first obtain the advice of the ACCC.</w:t>
      </w:r>
      <w:r w:rsidRPr="00D714FC">
        <w:rPr>
          <w:rStyle w:val="FootnoteReference"/>
          <w:rFonts w:cs="Times New Roman"/>
        </w:rPr>
        <w:footnoteReference w:id="83"/>
      </w:r>
      <w:r w:rsidRPr="00D714FC">
        <w:rPr>
          <w:rFonts w:cs="Times New Roman"/>
        </w:rPr>
        <w:t xml:space="preserve"> </w:t>
      </w:r>
    </w:p>
    <w:p w:rsidR="00F47C4E" w:rsidRDefault="00E91CF6" w:rsidP="00340C72">
      <w:pPr>
        <w:rPr>
          <w:rFonts w:cs="Times New Roman"/>
        </w:rPr>
      </w:pPr>
      <w:r w:rsidRPr="00D714FC">
        <w:rPr>
          <w:rFonts w:cs="Times New Roman"/>
        </w:rPr>
        <w:t xml:space="preserve">The </w:t>
      </w:r>
      <w:r w:rsidRPr="00D714FC">
        <w:rPr>
          <w:rFonts w:cs="Times New Roman"/>
          <w:i/>
        </w:rPr>
        <w:t xml:space="preserve">Legislative Instruments Act </w:t>
      </w:r>
      <w:r w:rsidRPr="00D714FC">
        <w:rPr>
          <w:rFonts w:cs="Times New Roman"/>
        </w:rPr>
        <w:t xml:space="preserve">2003 sets out rules relating to sunsetting, with legislative instruments ordinarily automatically repealed on the 1 April or 1 October falling on or after the tenth anniversary of registration of the instrument. The proposal to consolidate the three sets of water charge rules into the </w:t>
      </w:r>
      <w:r w:rsidR="0008785F">
        <w:rPr>
          <w:rFonts w:cs="Times New Roman"/>
        </w:rPr>
        <w:t xml:space="preserve">current </w:t>
      </w:r>
      <w:r w:rsidR="002C2856" w:rsidRPr="0067271D">
        <w:rPr>
          <w:rFonts w:cs="Times New Roman"/>
        </w:rPr>
        <w:t>Water Charge (Infrastructure) Rules 2010</w:t>
      </w:r>
      <w:r w:rsidR="002C2856" w:rsidRPr="009321E5">
        <w:rPr>
          <w:rFonts w:cs="Times New Roman"/>
          <w:i/>
        </w:rPr>
        <w:t xml:space="preserve"> </w:t>
      </w:r>
      <w:r w:rsidR="002C2856">
        <w:rPr>
          <w:rFonts w:cs="Times New Roman"/>
        </w:rPr>
        <w:t xml:space="preserve">(WCIR) </w:t>
      </w:r>
      <w:r w:rsidRPr="00D714FC">
        <w:rPr>
          <w:rFonts w:cs="Times New Roman"/>
        </w:rPr>
        <w:t>means that, unless that instrument is exempted, the rules will sunset on 1 April 2021. Review of the water charge rules prior to this date may therefore be appropriate but can be assessed closer to that time.</w:t>
      </w:r>
    </w:p>
    <w:p w:rsidR="00E91CF6" w:rsidRPr="00D714FC" w:rsidRDefault="00F47C4E" w:rsidP="00340C72">
      <w:pPr>
        <w:rPr>
          <w:rFonts w:cs="Times New Roman"/>
        </w:rPr>
      </w:pPr>
      <w:r>
        <w:rPr>
          <w:rFonts w:cs="Times New Roman"/>
        </w:rPr>
        <w:t>The ACCC’s Draft Advice did not propose any rule amendments, or make any recommendations in relation to this issue.</w:t>
      </w:r>
    </w:p>
    <w:p w:rsidR="00BB173F" w:rsidRPr="00D714FC" w:rsidRDefault="00BB173F" w:rsidP="00FC64B5">
      <w:pPr>
        <w:pStyle w:val="Heading3Un-numbered"/>
      </w:pPr>
      <w:r w:rsidRPr="00D714FC">
        <w:t>Stakeholder feedback</w:t>
      </w:r>
    </w:p>
    <w:p w:rsidR="00F47C4E" w:rsidRDefault="00340C72" w:rsidP="00340C72">
      <w:pPr>
        <w:rPr>
          <w:rFonts w:cs="Times New Roman"/>
        </w:rPr>
      </w:pPr>
      <w:r>
        <w:rPr>
          <w:rFonts w:cs="Times New Roman"/>
        </w:rPr>
        <w:t>Submissions on the Issues Paper expressed mixed views regarding future reviews of the water charge rules, with stakeholders suggesting different time periods and differing on the need for scheduled reviews to be ‘hard wired’ into the rules. However, stakeholders all supported transparency around the scope and timing of reviews.</w:t>
      </w:r>
      <w:r>
        <w:rPr>
          <w:rStyle w:val="FootnoteReference"/>
          <w:rFonts w:cs="Times New Roman"/>
        </w:rPr>
        <w:footnoteReference w:id="84"/>
      </w:r>
      <w:r>
        <w:rPr>
          <w:rFonts w:cs="Times New Roman"/>
        </w:rPr>
        <w:t xml:space="preserve"> </w:t>
      </w:r>
    </w:p>
    <w:p w:rsidR="0003446B" w:rsidRDefault="00F47C4E" w:rsidP="00340C72">
      <w:pPr>
        <w:rPr>
          <w:rFonts w:cs="Times New Roman"/>
        </w:rPr>
      </w:pPr>
      <w:r>
        <w:rPr>
          <w:rFonts w:cs="Times New Roman"/>
        </w:rPr>
        <w:t>There was no stakeholder feedback on this issue in response to the Draft Advice.</w:t>
      </w:r>
    </w:p>
    <w:p w:rsidR="00BB173F" w:rsidRDefault="0079321E" w:rsidP="00FC64B5">
      <w:pPr>
        <w:pStyle w:val="Heading3Un-numbered"/>
      </w:pPr>
      <w:r>
        <w:t>ACCC assessment</w:t>
      </w:r>
    </w:p>
    <w:p w:rsidR="00F13B85" w:rsidRDefault="00F13B85" w:rsidP="00F13B85">
      <w:pPr>
        <w:rPr>
          <w:rFonts w:cs="Times New Roman"/>
        </w:rPr>
      </w:pPr>
      <w:r>
        <w:rPr>
          <w:rFonts w:cs="Times New Roman"/>
        </w:rPr>
        <w:t>The ACCC maintains the views set out in the Draft Advice (see ‘Background’ section above), and does not propose any rule advice or recommendations regarding future reviews of the water charge rules. The timing and scope of any future reviews are ultimately a matter for the Minister.</w:t>
      </w:r>
    </w:p>
    <w:p w:rsidR="00444D75" w:rsidRDefault="00F41DB7" w:rsidP="007430EA">
      <w:pPr>
        <w:pStyle w:val="Heading2"/>
      </w:pPr>
      <w:bookmarkStart w:id="304" w:name="_Toc456785794"/>
      <w:bookmarkStart w:id="305" w:name="_Toc461630705"/>
      <w:bookmarkStart w:id="306" w:name="_Toc433975236"/>
      <w:r>
        <w:t>Timing of rule amendments</w:t>
      </w:r>
      <w:bookmarkEnd w:id="304"/>
      <w:bookmarkEnd w:id="305"/>
    </w:p>
    <w:p w:rsidR="00FF770C" w:rsidRPr="00FC64B5" w:rsidRDefault="00FF770C" w:rsidP="00FC64B5">
      <w:pPr>
        <w:pStyle w:val="Heading3Un-numbered"/>
        <w:spacing w:before="0" w:after="0"/>
        <w:rPr>
          <w:rFonts w:ascii="Times New Roman" w:hAnsi="Times New Roman"/>
          <w:color w:val="FFFFFF" w:themeColor="background1"/>
        </w:rPr>
      </w:pPr>
      <w:r w:rsidRPr="00FC64B5">
        <w:rPr>
          <w:rStyle w:val="Hyperlink"/>
          <w:rFonts w:asciiTheme="minorHAnsi" w:hAnsiTheme="minorHAnsi"/>
          <w:color w:val="FFFFFF" w:themeColor="background1"/>
          <w:sz w:val="12"/>
          <w:u w:val="none"/>
        </w:rPr>
        <w:fldChar w:fldCharType="begin"/>
      </w:r>
      <w:r w:rsidRPr="00FC64B5">
        <w:rPr>
          <w:rFonts w:ascii="Times New Roman" w:hAnsi="Times New Roman"/>
          <w:color w:val="FFFFFF" w:themeColor="background1"/>
        </w:rPr>
        <w:instrText xml:space="preserve"> REF _Ref456942933 \h </w:instrText>
      </w:r>
      <w:r w:rsidRPr="00FC64B5">
        <w:rPr>
          <w:rStyle w:val="Hyperlink"/>
          <w:rFonts w:asciiTheme="minorHAnsi" w:hAnsiTheme="minorHAnsi"/>
          <w:color w:val="FFFFFF" w:themeColor="background1"/>
          <w:sz w:val="12"/>
          <w:u w:val="none"/>
        </w:rPr>
        <w:instrText xml:space="preserve"> \* MERGEFORMAT </w:instrText>
      </w:r>
      <w:r w:rsidRPr="00FC64B5">
        <w:rPr>
          <w:rStyle w:val="Hyperlink"/>
          <w:rFonts w:asciiTheme="minorHAnsi" w:hAnsiTheme="minorHAnsi"/>
          <w:color w:val="FFFFFF" w:themeColor="background1"/>
          <w:sz w:val="12"/>
          <w:u w:val="none"/>
        </w:rPr>
      </w:r>
      <w:r w:rsidRPr="00FC64B5">
        <w:rPr>
          <w:rStyle w:val="Hyperlink"/>
          <w:rFonts w:asciiTheme="minorHAnsi" w:hAnsiTheme="minorHAnsi"/>
          <w:color w:val="FFFFFF" w:themeColor="background1"/>
          <w:sz w:val="12"/>
          <w:u w:val="none"/>
        </w:rPr>
        <w:fldChar w:fldCharType="separate"/>
      </w:r>
      <w:r w:rsidR="00BD218B" w:rsidRPr="00BD218B">
        <w:rPr>
          <w:rStyle w:val="Hyperlink"/>
          <w:rFonts w:asciiTheme="minorHAnsi" w:hAnsiTheme="minorHAnsi"/>
          <w:color w:val="FFFFFF" w:themeColor="background1"/>
          <w:sz w:val="14"/>
          <w:u w:val="none"/>
        </w:rPr>
        <w:t xml:space="preserve">ACCC </w:t>
      </w:r>
      <w:r w:rsidR="00BD218B" w:rsidRPr="00BD218B">
        <w:rPr>
          <w:color w:val="FFFFFF" w:themeColor="background1"/>
          <w:sz w:val="14"/>
        </w:rPr>
        <w:t>Recommendations</w:t>
      </w:r>
      <w:r w:rsidRPr="00FC64B5">
        <w:rPr>
          <w:rStyle w:val="Hyperlink"/>
          <w:rFonts w:asciiTheme="minorHAnsi" w:hAnsiTheme="minorHAnsi"/>
          <w:color w:val="FFFFFF" w:themeColor="background1"/>
          <w:sz w:val="12"/>
          <w:u w:val="none"/>
        </w:rPr>
        <w:fldChar w:fldCharType="end"/>
      </w:r>
    </w:p>
    <w:tbl>
      <w:tblPr>
        <w:tblStyle w:val="TableGrid"/>
        <w:tblW w:w="0" w:type="auto"/>
        <w:shd w:val="clear" w:color="auto" w:fill="F2F2F2" w:themeFill="background1" w:themeFillShade="F2"/>
        <w:tblLook w:val="04A0" w:firstRow="1" w:lastRow="0" w:firstColumn="1" w:lastColumn="0" w:noHBand="0" w:noVBand="1"/>
      </w:tblPr>
      <w:tblGrid>
        <w:gridCol w:w="9242"/>
      </w:tblGrid>
      <w:tr w:rsidR="00F41DB7" w:rsidTr="00B62931">
        <w:trPr>
          <w:cantSplit/>
        </w:trPr>
        <w:tc>
          <w:tcPr>
            <w:tcW w:w="9242" w:type="dxa"/>
            <w:tcBorders>
              <w:top w:val="nil"/>
              <w:left w:val="nil"/>
              <w:bottom w:val="nil"/>
              <w:right w:val="nil"/>
            </w:tcBorders>
            <w:shd w:val="clear" w:color="auto" w:fill="F2F2F2" w:themeFill="background1" w:themeFillShade="F2"/>
          </w:tcPr>
          <w:p w:rsidR="00F3146C" w:rsidRPr="009C363E" w:rsidRDefault="00F3146C" w:rsidP="00AF7032">
            <w:pPr>
              <w:pStyle w:val="Recommendationheading"/>
            </w:pPr>
            <w:bookmarkStart w:id="307" w:name="_Toc456784195"/>
            <w:r w:rsidRPr="00B62931">
              <w:t xml:space="preserve">Recommendation </w:t>
            </w:r>
            <w:r w:rsidR="007F659D" w:rsidRPr="00B62931">
              <w:rPr>
                <w:noProof/>
              </w:rPr>
              <w:t>4</w:t>
            </w:r>
            <w:r w:rsidRPr="00B62931">
              <w:noBreakHyphen/>
            </w:r>
            <w:r w:rsidR="007F659D" w:rsidRPr="00B62931">
              <w:rPr>
                <w:noProof/>
              </w:rPr>
              <w:t>E</w:t>
            </w:r>
            <w:bookmarkEnd w:id="307"/>
          </w:p>
          <w:p w:rsidR="00861AAC" w:rsidRPr="009C363E" w:rsidRDefault="00861AAC" w:rsidP="00307BAF">
            <w:pPr>
              <w:pStyle w:val="Heading7"/>
              <w:outlineLvl w:val="6"/>
            </w:pPr>
            <w:bookmarkStart w:id="308" w:name="_Toc456784196"/>
            <w:bookmarkStart w:id="309" w:name="Recommendation_4E"/>
            <w:r w:rsidRPr="009C363E">
              <w:t xml:space="preserve">Should the Minister decide to adopt the ACCC’s advice for amendments to the water charge rules, and such amendments are </w:t>
            </w:r>
            <w:r w:rsidR="00271C9F">
              <w:t>introduced (through an amending instrument)</w:t>
            </w:r>
            <w:r w:rsidRPr="009C363E">
              <w:t xml:space="preserve"> before 1 March 2017, the ACCC recommends that the </w:t>
            </w:r>
            <w:r w:rsidR="00271C9F">
              <w:t xml:space="preserve">transition date (the date the amendments take effect) should be </w:t>
            </w:r>
            <w:r w:rsidRPr="009C363E">
              <w:t xml:space="preserve">1 July 2017. In the event that the proposed amendments to the rules are not </w:t>
            </w:r>
            <w:r w:rsidR="00271C9F">
              <w:t>introduced</w:t>
            </w:r>
            <w:r w:rsidRPr="009C363E">
              <w:t xml:space="preserve"> until a later date, the </w:t>
            </w:r>
            <w:r w:rsidR="00271C9F">
              <w:t>transition</w:t>
            </w:r>
            <w:r w:rsidRPr="009C363E">
              <w:t xml:space="preserve"> date for the amendments should be adjusted accordingly.</w:t>
            </w:r>
            <w:bookmarkEnd w:id="308"/>
          </w:p>
          <w:p w:rsidR="00861AAC" w:rsidRPr="00964376" w:rsidRDefault="00861AAC" w:rsidP="00307BAF">
            <w:pPr>
              <w:pStyle w:val="Heading7"/>
              <w:spacing w:before="240"/>
              <w:outlineLvl w:val="6"/>
              <w:rPr>
                <w:sz w:val="18"/>
              </w:rPr>
            </w:pPr>
            <w:bookmarkStart w:id="310" w:name="_Toc456784197"/>
            <w:r w:rsidRPr="00964376">
              <w:rPr>
                <w:i/>
                <w:sz w:val="18"/>
              </w:rPr>
              <w:t xml:space="preserve">Note: </w:t>
            </w:r>
            <w:r w:rsidR="00271C9F" w:rsidRPr="00964376">
              <w:rPr>
                <w:sz w:val="18"/>
              </w:rPr>
              <w:t xml:space="preserve">the ACCC has recommended that the </w:t>
            </w:r>
            <w:r w:rsidRPr="00964376">
              <w:rPr>
                <w:sz w:val="18"/>
              </w:rPr>
              <w:t>proposed amendments to rule 10 (non-discrimination)</w:t>
            </w:r>
            <w:r w:rsidR="00271C9F" w:rsidRPr="00964376">
              <w:rPr>
                <w:sz w:val="18"/>
              </w:rPr>
              <w:t xml:space="preserve"> apply from a later date</w:t>
            </w:r>
            <w:r w:rsidRPr="00964376">
              <w:rPr>
                <w:sz w:val="18"/>
              </w:rPr>
              <w:t>—see recommendation 5-A.</w:t>
            </w:r>
            <w:bookmarkEnd w:id="310"/>
          </w:p>
          <w:p w:rsidR="00F41DB7" w:rsidRPr="00F41DB7" w:rsidRDefault="00861AAC" w:rsidP="00071C0C">
            <w:pPr>
              <w:pStyle w:val="Heading7"/>
              <w:spacing w:before="240"/>
              <w:outlineLvl w:val="6"/>
              <w:rPr>
                <w:b/>
              </w:rPr>
            </w:pPr>
            <w:bookmarkStart w:id="311" w:name="_Toc456784198"/>
            <w:r w:rsidRPr="00964376">
              <w:rPr>
                <w:i/>
                <w:sz w:val="18"/>
              </w:rPr>
              <w:t xml:space="preserve">Note: </w:t>
            </w:r>
            <w:r w:rsidRPr="00964376">
              <w:rPr>
                <w:sz w:val="18"/>
              </w:rPr>
              <w:t xml:space="preserve">particular timing issues relating to </w:t>
            </w:r>
            <w:r w:rsidR="00071C0C" w:rsidRPr="00964376">
              <w:rPr>
                <w:sz w:val="18"/>
              </w:rPr>
              <w:t>N</w:t>
            </w:r>
            <w:r w:rsidRPr="00964376">
              <w:rPr>
                <w:sz w:val="18"/>
              </w:rPr>
              <w:t xml:space="preserve">etwork </w:t>
            </w:r>
            <w:r w:rsidR="00071C0C" w:rsidRPr="00964376">
              <w:rPr>
                <w:sz w:val="18"/>
              </w:rPr>
              <w:t>S</w:t>
            </w:r>
            <w:r w:rsidRPr="00964376">
              <w:rPr>
                <w:sz w:val="18"/>
              </w:rPr>
              <w:t xml:space="preserve">ervice </w:t>
            </w:r>
            <w:r w:rsidR="00071C0C" w:rsidRPr="00964376">
              <w:rPr>
                <w:sz w:val="18"/>
              </w:rPr>
              <w:t>P</w:t>
            </w:r>
            <w:r w:rsidRPr="00964376">
              <w:rPr>
                <w:sz w:val="18"/>
              </w:rPr>
              <w:t>lans</w:t>
            </w:r>
            <w:r w:rsidR="00071C0C" w:rsidRPr="00964376">
              <w:rPr>
                <w:sz w:val="18"/>
              </w:rPr>
              <w:t xml:space="preserve"> (NSPs)</w:t>
            </w:r>
            <w:r w:rsidRPr="00964376">
              <w:rPr>
                <w:sz w:val="18"/>
              </w:rPr>
              <w:t xml:space="preserve"> (Part 5) are considered in section 5.5.</w:t>
            </w:r>
            <w:bookmarkEnd w:id="309"/>
            <w:bookmarkEnd w:id="311"/>
          </w:p>
        </w:tc>
      </w:tr>
    </w:tbl>
    <w:p w:rsidR="00021D7B" w:rsidRDefault="00021D7B" w:rsidP="00FC64B5">
      <w:pPr>
        <w:pStyle w:val="Heading3Un-numbered"/>
      </w:pPr>
      <w:r>
        <w:t>Background</w:t>
      </w:r>
    </w:p>
    <w:p w:rsidR="00861AAC" w:rsidRDefault="00861AAC" w:rsidP="00861AAC">
      <w:r>
        <w:t xml:space="preserve">As noted in section 3.1, the </w:t>
      </w:r>
      <w:r w:rsidR="00610501" w:rsidRPr="00610501">
        <w:rPr>
          <w:i/>
        </w:rPr>
        <w:t xml:space="preserve">Water </w:t>
      </w:r>
      <w:r w:rsidRPr="00610501">
        <w:rPr>
          <w:i/>
        </w:rPr>
        <w:t>Act</w:t>
      </w:r>
      <w:r w:rsidR="00610501" w:rsidRPr="00610501">
        <w:rPr>
          <w:i/>
        </w:rPr>
        <w:t xml:space="preserve"> 2007</w:t>
      </w:r>
      <w:r w:rsidR="00610501">
        <w:t xml:space="preserve"> (the Act)</w:t>
      </w:r>
      <w:r>
        <w:t xml:space="preserve"> requires the Minister to obtain and have regard to the ACCC’s advice before making, amending or revoking the water charge rules.</w:t>
      </w:r>
      <w:r>
        <w:rPr>
          <w:rStyle w:val="FootnoteReference"/>
        </w:rPr>
        <w:footnoteReference w:id="85"/>
      </w:r>
      <w:r>
        <w:t xml:space="preserve"> </w:t>
      </w:r>
    </w:p>
    <w:p w:rsidR="00861AAC" w:rsidRDefault="00861AAC" w:rsidP="00861AAC">
      <w:r>
        <w:t>The Water Regulations (2008) (the Regulations) set out further procedural requirements applying to the Minister in relation to rule amendments.</w:t>
      </w:r>
      <w:r w:rsidR="00C6733C">
        <w:t xml:space="preserve"> </w:t>
      </w:r>
      <w:r>
        <w:t>For example, in proposing to make, amend or revoke the water charge rules, the Minister:</w:t>
      </w:r>
    </w:p>
    <w:p w:rsidR="00861AAC" w:rsidRDefault="00861AAC" w:rsidP="00A82DE6">
      <w:pPr>
        <w:pStyle w:val="Lvl1Bulletpoint"/>
      </w:pPr>
      <w:r>
        <w:t>must have regard to any records of consultation provided by the ACCC</w:t>
      </w:r>
    </w:p>
    <w:p w:rsidR="00861AAC" w:rsidRDefault="00861AAC" w:rsidP="00A82DE6">
      <w:pPr>
        <w:pStyle w:val="Lvl1Bulletpoint"/>
      </w:pPr>
      <w:r>
        <w:t>may adopt the ACCC’s draft rules with or without variation</w:t>
      </w:r>
    </w:p>
    <w:p w:rsidR="00861AAC" w:rsidRDefault="00861AAC" w:rsidP="00A82DE6">
      <w:pPr>
        <w:pStyle w:val="Lvl1Bulletpoint"/>
      </w:pPr>
      <w:r>
        <w:t>if the Minister decides not to adopt the ACCC’s draft rules – may develop, amend or revoke the rules, having regard to the ACCC’s advice.</w:t>
      </w:r>
      <w:r>
        <w:rPr>
          <w:rStyle w:val="FootnoteReference"/>
        </w:rPr>
        <w:footnoteReference w:id="86"/>
      </w:r>
      <w:r>
        <w:t xml:space="preserve"> </w:t>
      </w:r>
    </w:p>
    <w:p w:rsidR="00861AAC" w:rsidRDefault="00861AAC" w:rsidP="00861AAC">
      <w:r>
        <w:t>The Regulations also set out that the Minister, after receiving the ACCC’s advice, does not have to consult if they are satisfied that the ACCC has consulted as required.</w:t>
      </w:r>
      <w:r>
        <w:rPr>
          <w:rStyle w:val="FootnoteReference"/>
        </w:rPr>
        <w:footnoteReference w:id="87"/>
      </w:r>
      <w:r>
        <w:t xml:space="preserve"> In such cases, the Regulations do not </w:t>
      </w:r>
      <w:r w:rsidRPr="00D74499">
        <w:rPr>
          <w:i/>
        </w:rPr>
        <w:t>require</w:t>
      </w:r>
      <w:r>
        <w:t xml:space="preserve"> the Minister to consult; however, the Minister has the option to do so.</w:t>
      </w:r>
      <w:r>
        <w:rPr>
          <w:rStyle w:val="FootnoteReference"/>
        </w:rPr>
        <w:footnoteReference w:id="88"/>
      </w:r>
      <w:r>
        <w:t xml:space="preserve"> </w:t>
      </w:r>
    </w:p>
    <w:p w:rsidR="00861AAC" w:rsidRDefault="00861AAC" w:rsidP="00861AAC">
      <w:r>
        <w:t>If the Minister is considering departing from the ACCC’s advice, the Minister may also request further advice from the ACCC.</w:t>
      </w:r>
      <w:r>
        <w:rPr>
          <w:rStyle w:val="FootnoteReference"/>
        </w:rPr>
        <w:footnoteReference w:id="89"/>
      </w:r>
    </w:p>
    <w:p w:rsidR="00861AAC" w:rsidRDefault="00861AAC" w:rsidP="00861AAC">
      <w:r>
        <w:t>Neither the Act nor the Regulations specify when, or if, the Minister must respond to the ACCC’s advice. However, if the Minister proposes makin</w:t>
      </w:r>
      <w:r w:rsidRPr="008C1F9E">
        <w:t xml:space="preserve">g, amending or revoking water charge rules after receiving the ACCC’s advice, the Regulations require the </w:t>
      </w:r>
      <w:r>
        <w:t>M</w:t>
      </w:r>
      <w:r w:rsidRPr="00296269">
        <w:t xml:space="preserve">inister </w:t>
      </w:r>
      <w:r w:rsidRPr="008C1F9E">
        <w:t>to publish the ACCC’s advice on the Department’s website.</w:t>
      </w:r>
      <w:r w:rsidRPr="008C1F9E">
        <w:rPr>
          <w:rStyle w:val="FootnoteReference"/>
        </w:rPr>
        <w:footnoteReference w:id="90"/>
      </w:r>
    </w:p>
    <w:p w:rsidR="007430EA" w:rsidRDefault="00021D7B" w:rsidP="00FC64B5">
      <w:pPr>
        <w:pStyle w:val="Heading3Un-numbered"/>
      </w:pPr>
      <w:r>
        <w:t>ACCC assessment</w:t>
      </w:r>
      <w:r w:rsidR="003A4123">
        <w:t xml:space="preserve"> </w:t>
      </w:r>
    </w:p>
    <w:p w:rsidR="00861AAC" w:rsidRPr="00396946" w:rsidRDefault="00861AAC" w:rsidP="00861AAC">
      <w:r>
        <w:t>The ACCC notes that it is ultimately the decision of the Minister as to whether to proceed with the ACCC’s proposed rule amendments and if so, the timing with which those amendments should come into effect. As outlined above, the Act and the Regulations set out specific procedural matters that the Minister must follow in making, amend</w:t>
      </w:r>
      <w:r w:rsidR="0078356B">
        <w:t>ing</w:t>
      </w:r>
      <w:r>
        <w:t xml:space="preserve"> or revoking the water charge rules. </w:t>
      </w:r>
    </w:p>
    <w:p w:rsidR="006E6A46" w:rsidRDefault="006E6A46" w:rsidP="00861AAC">
      <w:r>
        <w:t>Any amendments to the rules would occur through the making of an amending instrument, which would have the effect of amending the existing water charge rules on a specified date. This specified date is referred to in the proposed water charge rules as the ‘transition date’.</w:t>
      </w:r>
    </w:p>
    <w:p w:rsidR="00861AAC" w:rsidRDefault="00861AAC" w:rsidP="00861AAC">
      <w:r w:rsidRPr="006E4008">
        <w:t>T</w:t>
      </w:r>
      <w:r>
        <w:t xml:space="preserve">he ACCC recommends that in the event that </w:t>
      </w:r>
      <w:r w:rsidR="006E6A46">
        <w:t xml:space="preserve">amendments to </w:t>
      </w:r>
      <w:r>
        <w:t xml:space="preserve">the water charge rules are </w:t>
      </w:r>
      <w:r w:rsidR="006E6A46">
        <w:t xml:space="preserve">introduced </w:t>
      </w:r>
      <w:r>
        <w:t>in response to the ACCC’s advice before 1 March 2017</w:t>
      </w:r>
      <w:r w:rsidR="00C70035">
        <w:t xml:space="preserve"> (through the making of amending instrument)</w:t>
      </w:r>
      <w:r>
        <w:t xml:space="preserve">, the </w:t>
      </w:r>
      <w:r w:rsidR="006E6A46">
        <w:t>transition date should be</w:t>
      </w:r>
      <w:r>
        <w:t xml:space="preserve"> 1 July 2017 (</w:t>
      </w:r>
      <w:r w:rsidR="004C58F1">
        <w:t xml:space="preserve">with a later start date for amendments to </w:t>
      </w:r>
      <w:r>
        <w:t xml:space="preserve">rule 10—see below). In the event that the proposed amendments to the rules are not </w:t>
      </w:r>
      <w:r w:rsidR="006E6A46">
        <w:t xml:space="preserve">introduced </w:t>
      </w:r>
      <w:r>
        <w:t xml:space="preserve">until a later date, the </w:t>
      </w:r>
      <w:r w:rsidR="006E6A46">
        <w:t xml:space="preserve">transition </w:t>
      </w:r>
      <w:r>
        <w:t>date for the amendments should be adjusted accordingly.</w:t>
      </w:r>
    </w:p>
    <w:p w:rsidR="00861AAC" w:rsidRDefault="00861AAC" w:rsidP="00861AAC">
      <w:r>
        <w:t xml:space="preserve">The ACCC considers that </w:t>
      </w:r>
      <w:r w:rsidR="0008785F">
        <w:t xml:space="preserve">providing at least four months </w:t>
      </w:r>
      <w:r>
        <w:t xml:space="preserve">between when </w:t>
      </w:r>
      <w:r w:rsidR="006E6A46">
        <w:t xml:space="preserve">amendments to </w:t>
      </w:r>
      <w:r>
        <w:t xml:space="preserve">the rules are </w:t>
      </w:r>
      <w:r w:rsidR="006E6A46">
        <w:t xml:space="preserve">introduced (through an amending instrument) </w:t>
      </w:r>
      <w:r>
        <w:t xml:space="preserve">and the </w:t>
      </w:r>
      <w:r w:rsidR="006E6A46">
        <w:t xml:space="preserve">transition </w:t>
      </w:r>
      <w:r>
        <w:t xml:space="preserve">date </w:t>
      </w:r>
      <w:r w:rsidR="006E6A46">
        <w:t xml:space="preserve">from which the amendments will take effect </w:t>
      </w:r>
      <w:r>
        <w:t xml:space="preserve">would allow the ACCC sufficient time to work with infrastructure operators and other industry stakeholders to assist regulated entities in understanding and complying with their obligations under the amended water charge rules. </w:t>
      </w:r>
    </w:p>
    <w:p w:rsidR="00861AAC" w:rsidRDefault="00861AAC" w:rsidP="00861AAC">
      <w:r>
        <w:t>Updated and practical guidance material will be an important part of the ACCC’s compliance approach to assist infrastructure operators in understanding and complying with any new rule requirements (see section 4.5 for further discussion).</w:t>
      </w:r>
    </w:p>
    <w:p w:rsidR="00861AAC" w:rsidRDefault="00861AAC" w:rsidP="00861AAC">
      <w:r>
        <w:t xml:space="preserve">The ACCC notes that many charging arrangements within the rural water sector in the Murray-Darling Basin </w:t>
      </w:r>
      <w:r w:rsidR="00B35F50">
        <w:t xml:space="preserve">(MDB) </w:t>
      </w:r>
      <w:r>
        <w:t xml:space="preserve">are aligned with the start of the financial year. The ACCC therefore considers that it is appropriate that the </w:t>
      </w:r>
      <w:r w:rsidR="00271C9F">
        <w:t>transition date for</w:t>
      </w:r>
      <w:r>
        <w:t xml:space="preserve"> any amendments to the water charge rules should align with the financial year where possible to reduce the burden on infrastructure operators in needing to change their charging practices mid-way through the financial year and irrigation season.</w:t>
      </w:r>
      <w:r w:rsidR="00143390">
        <w:rPr>
          <w:rStyle w:val="FootnoteReference"/>
        </w:rPr>
        <w:footnoteReference w:id="91"/>
      </w:r>
      <w:r>
        <w:t xml:space="preserve"> </w:t>
      </w:r>
    </w:p>
    <w:p w:rsidR="00861AAC" w:rsidRDefault="00861AAC" w:rsidP="00861AAC">
      <w:r>
        <w:t>Section 5.3.1 recommends that the proposed new non-discrimination rule (proposed rule 10, giving effect to rule advice 5-A and 5-B) should commence no earlier than 1 July 2018</w:t>
      </w:r>
      <w:r w:rsidR="00271C9F">
        <w:t xml:space="preserve"> (one year after the recommended transition date for the rules generally)</w:t>
      </w:r>
      <w:r>
        <w:t>. This is in order to give infrastructure operators ample time to work with the ACCC to understand these new requirements and, if necessary, adapt their charging arrangements to ensure compliance.</w:t>
      </w:r>
    </w:p>
    <w:p w:rsidR="003A4123" w:rsidRPr="003A4123" w:rsidRDefault="002C55FC" w:rsidP="003A4123">
      <w:r>
        <w:t xml:space="preserve">Section 5.5 contains advice that, </w:t>
      </w:r>
      <w:r>
        <w:rPr>
          <w:rFonts w:cs="Times New Roman"/>
        </w:rPr>
        <w:t xml:space="preserve">on balance, requirements in relation to </w:t>
      </w:r>
      <w:r w:rsidR="001C3437">
        <w:rPr>
          <w:rFonts w:cs="Times New Roman"/>
        </w:rPr>
        <w:t>N</w:t>
      </w:r>
      <w:r>
        <w:rPr>
          <w:rFonts w:cs="Times New Roman"/>
        </w:rPr>
        <w:t xml:space="preserve">etwork </w:t>
      </w:r>
      <w:r w:rsidR="001C3437">
        <w:rPr>
          <w:rFonts w:cs="Times New Roman"/>
        </w:rPr>
        <w:t>S</w:t>
      </w:r>
      <w:r>
        <w:rPr>
          <w:rFonts w:cs="Times New Roman"/>
        </w:rPr>
        <w:t xml:space="preserve">ervice </w:t>
      </w:r>
      <w:r w:rsidR="001C3437">
        <w:rPr>
          <w:rFonts w:cs="Times New Roman"/>
        </w:rPr>
        <w:t>P</w:t>
      </w:r>
      <w:r>
        <w:rPr>
          <w:rFonts w:cs="Times New Roman"/>
        </w:rPr>
        <w:t xml:space="preserve">lans </w:t>
      </w:r>
      <w:r w:rsidR="001C3437">
        <w:rPr>
          <w:rFonts w:cs="Times New Roman"/>
        </w:rPr>
        <w:t xml:space="preserve">(NSPs) </w:t>
      </w:r>
      <w:r>
        <w:rPr>
          <w:rFonts w:cs="Times New Roman"/>
        </w:rPr>
        <w:t>should be removed from the rules.</w:t>
      </w:r>
      <w:r w:rsidRPr="00D714FC">
        <w:rPr>
          <w:rFonts w:cs="Times New Roman"/>
        </w:rPr>
        <w:t xml:space="preserve"> Repealing Part 5 would significantly reduce the regulatory requirements and associated compliance costs of the current Part 5 operators</w:t>
      </w:r>
      <w:r>
        <w:rPr>
          <w:rFonts w:cs="Times New Roman"/>
        </w:rPr>
        <w:t xml:space="preserve">. Much of these costs are incurred in the development of new </w:t>
      </w:r>
      <w:r w:rsidR="00CF6842">
        <w:rPr>
          <w:rFonts w:cs="Times New Roman"/>
        </w:rPr>
        <w:t>NSP</w:t>
      </w:r>
      <w:r>
        <w:rPr>
          <w:rFonts w:cs="Times New Roman"/>
        </w:rPr>
        <w:t xml:space="preserve">s. </w:t>
      </w:r>
      <w:r>
        <w:t xml:space="preserve">The ACCC notes that the </w:t>
      </w:r>
      <w:r w:rsidR="00CF6842">
        <w:t>NSP</w:t>
      </w:r>
      <w:r>
        <w:t xml:space="preserve">s of infrastructure operators subject to Part 5 of the current </w:t>
      </w:r>
      <w:r w:rsidR="002C2856" w:rsidRPr="0067271D">
        <w:rPr>
          <w:rFonts w:cs="Times New Roman"/>
        </w:rPr>
        <w:t>Water Charge (Infrastructure) Rules 2010</w:t>
      </w:r>
      <w:r w:rsidR="002C2856">
        <w:rPr>
          <w:rFonts w:cs="Times New Roman"/>
        </w:rPr>
        <w:t xml:space="preserve"> (</w:t>
      </w:r>
      <w:r>
        <w:t>WCIR</w:t>
      </w:r>
      <w:r w:rsidR="002C2856">
        <w:t>)</w:t>
      </w:r>
      <w:r>
        <w:t xml:space="preserve"> will expire on </w:t>
      </w:r>
      <w:r w:rsidR="00271C9F">
        <w:t>1 </w:t>
      </w:r>
      <w:r>
        <w:t xml:space="preserve">July 2017. </w:t>
      </w:r>
      <w:r w:rsidR="00861AAC">
        <w:t>Section 5.5 of this advice notes that the Minister may wish to consider an interim response to the ACCC’s rule advice in relation to this issue</w:t>
      </w:r>
      <w:r w:rsidRPr="002C55FC">
        <w:rPr>
          <w:rFonts w:cs="Times New Roman"/>
        </w:rPr>
        <w:t xml:space="preserve"> </w:t>
      </w:r>
      <w:r>
        <w:rPr>
          <w:rFonts w:cs="Times New Roman"/>
        </w:rPr>
        <w:t>to the extent that the Minister is inclined to accept the ACCC’s rule advice 5-L to repeal the Part 5 NSP requirements</w:t>
      </w:r>
      <w:r w:rsidR="00861AAC">
        <w:t xml:space="preserve">. </w:t>
      </w:r>
    </w:p>
    <w:p w:rsidR="00E161B2" w:rsidRPr="00D714FC" w:rsidRDefault="00F970BC" w:rsidP="00E573B7">
      <w:pPr>
        <w:pStyle w:val="Heading1"/>
        <w:rPr>
          <w:rFonts w:ascii="Times New Roman" w:hAnsi="Times New Roman" w:cs="Times New Roman"/>
        </w:rPr>
      </w:pPr>
      <w:bookmarkStart w:id="312" w:name="_Toc436122291"/>
      <w:bookmarkStart w:id="313" w:name="_Toc436122786"/>
      <w:bookmarkStart w:id="314" w:name="_Toc436124141"/>
      <w:bookmarkStart w:id="315" w:name="_Toc456785795"/>
      <w:bookmarkStart w:id="316" w:name="_Toc461630706"/>
      <w:bookmarkEnd w:id="306"/>
      <w:r w:rsidRPr="00D714FC">
        <w:rPr>
          <w:rFonts w:ascii="Times New Roman" w:hAnsi="Times New Roman" w:cs="Times New Roman"/>
        </w:rPr>
        <w:t>Water Charge (Infrastructure) Rules 2010</w:t>
      </w:r>
      <w:bookmarkEnd w:id="312"/>
      <w:bookmarkEnd w:id="313"/>
      <w:bookmarkEnd w:id="314"/>
      <w:bookmarkEnd w:id="315"/>
      <w:bookmarkEnd w:id="316"/>
      <w:r w:rsidRPr="00D714FC">
        <w:rPr>
          <w:rFonts w:ascii="Times New Roman" w:hAnsi="Times New Roman" w:cs="Times New Roman"/>
        </w:rPr>
        <w:tab/>
      </w:r>
    </w:p>
    <w:p w:rsidR="006246A8" w:rsidRPr="00D714FC" w:rsidRDefault="0019194C" w:rsidP="006246A8">
      <w:pPr>
        <w:pStyle w:val="Heading2"/>
      </w:pPr>
      <w:bookmarkStart w:id="317" w:name="_Toc456785796"/>
      <w:bookmarkStart w:id="318" w:name="_Toc461630707"/>
      <w:r>
        <w:t>Rationale for the WCIR and operator ownership arrangements</w:t>
      </w:r>
      <w:bookmarkEnd w:id="317"/>
      <w:bookmarkEnd w:id="318"/>
    </w:p>
    <w:p w:rsidR="00285B27" w:rsidRPr="00D714FC" w:rsidRDefault="00285B27" w:rsidP="00FC64B5">
      <w:pPr>
        <w:pStyle w:val="Heading3Un-numbered"/>
      </w:pPr>
      <w:r w:rsidRPr="00D714FC">
        <w:t xml:space="preserve">Rationale for the WCIR – regulating charges </w:t>
      </w:r>
      <w:r w:rsidR="00E34F15" w:rsidRPr="00D714FC">
        <w:t xml:space="preserve">for water infrastructure </w:t>
      </w:r>
      <w:r w:rsidRPr="00D714FC">
        <w:t>levied by operators</w:t>
      </w:r>
      <w:r w:rsidR="002C7B89">
        <w:t xml:space="preserve"> of monopoly infrastructure</w:t>
      </w:r>
    </w:p>
    <w:p w:rsidR="003B0584" w:rsidRDefault="003B0584" w:rsidP="00E573B7">
      <w:pPr>
        <w:keepNext/>
        <w:rPr>
          <w:rFonts w:cs="Times New Roman"/>
        </w:rPr>
      </w:pPr>
      <w:r>
        <w:rPr>
          <w:rFonts w:cs="Times New Roman"/>
        </w:rPr>
        <w:t xml:space="preserve">The </w:t>
      </w:r>
      <w:r w:rsidR="00F8300B" w:rsidRPr="0067271D">
        <w:rPr>
          <w:rFonts w:cs="Times New Roman"/>
        </w:rPr>
        <w:t>Water Charge (Infrastructure) Rules 2010</w:t>
      </w:r>
      <w:r w:rsidR="00F8300B">
        <w:rPr>
          <w:rFonts w:cs="Times New Roman"/>
        </w:rPr>
        <w:t xml:space="preserve"> (</w:t>
      </w:r>
      <w:r>
        <w:rPr>
          <w:rFonts w:cs="Times New Roman"/>
        </w:rPr>
        <w:t>WCIR</w:t>
      </w:r>
      <w:r w:rsidR="00F8300B">
        <w:rPr>
          <w:rFonts w:cs="Times New Roman"/>
        </w:rPr>
        <w:t>)</w:t>
      </w:r>
      <w:r>
        <w:rPr>
          <w:rFonts w:cs="Times New Roman"/>
        </w:rPr>
        <w:t xml:space="preserve"> set requirements relating to the fee</w:t>
      </w:r>
      <w:r w:rsidR="00534093">
        <w:rPr>
          <w:rFonts w:cs="Times New Roman"/>
        </w:rPr>
        <w:t>s</w:t>
      </w:r>
      <w:r>
        <w:rPr>
          <w:rFonts w:cs="Times New Roman"/>
        </w:rPr>
        <w:t xml:space="preserve"> and charges payable to infrastructure operators for infrastructure services.</w:t>
      </w:r>
    </w:p>
    <w:p w:rsidR="00C444E9" w:rsidRPr="00D714FC" w:rsidRDefault="00C444E9" w:rsidP="00E573B7">
      <w:pPr>
        <w:keepNext/>
        <w:rPr>
          <w:rFonts w:cs="Times New Roman"/>
        </w:rPr>
      </w:pPr>
      <w:r w:rsidRPr="00D714FC">
        <w:rPr>
          <w:rFonts w:cs="Times New Roman"/>
        </w:rPr>
        <w:t xml:space="preserve">Throughout the Murray-Darling Basin (MDB), water </w:t>
      </w:r>
      <w:r w:rsidR="002D14EE" w:rsidRPr="00D714FC">
        <w:rPr>
          <w:rFonts w:cs="Times New Roman"/>
        </w:rPr>
        <w:t>service</w:t>
      </w:r>
      <w:r w:rsidRPr="00D714FC">
        <w:rPr>
          <w:rFonts w:cs="Times New Roman"/>
        </w:rPr>
        <w:t xml:space="preserve"> infrastructure involve</w:t>
      </w:r>
      <w:r w:rsidR="006C4AFC" w:rsidRPr="00D714FC">
        <w:rPr>
          <w:rFonts w:cs="Times New Roman"/>
        </w:rPr>
        <w:t>s</w:t>
      </w:r>
      <w:r w:rsidRPr="00D714FC">
        <w:rPr>
          <w:rFonts w:cs="Times New Roman"/>
        </w:rPr>
        <w:t xml:space="preserve"> large and lumpy capital investments in long-lived assets such as dams, weirs and channels. This infrastructure is used to capture, store and deliver water to a range of users. </w:t>
      </w:r>
    </w:p>
    <w:p w:rsidR="00C444E9" w:rsidRPr="00D714FC" w:rsidRDefault="00C444E9" w:rsidP="00C444E9">
      <w:pPr>
        <w:rPr>
          <w:rFonts w:cs="Times New Roman"/>
        </w:rPr>
      </w:pPr>
      <w:r w:rsidRPr="00D714FC">
        <w:rPr>
          <w:rFonts w:cs="Times New Roman"/>
        </w:rPr>
        <w:t xml:space="preserve">Services related to the storage and delivery of water that is primarily stored or delivered on-river </w:t>
      </w:r>
      <w:r w:rsidR="00305456">
        <w:rPr>
          <w:rFonts w:cs="Times New Roman"/>
        </w:rPr>
        <w:t xml:space="preserve">(‘bulk water services’) </w:t>
      </w:r>
      <w:r w:rsidRPr="00D714FC">
        <w:rPr>
          <w:rFonts w:cs="Times New Roman"/>
        </w:rPr>
        <w:t xml:space="preserve">tend to be provided by larger infrastructure operators owned by Basin State governments. These infrastructure operators deliver water to a range of customers, including environmental water holders, private diverters, and other infrastructure operators. These other infrastructure operators </w:t>
      </w:r>
      <w:r w:rsidR="00D86DFC" w:rsidRPr="00D714FC">
        <w:rPr>
          <w:rFonts w:cs="Times New Roman"/>
        </w:rPr>
        <w:t xml:space="preserve">then </w:t>
      </w:r>
      <w:r w:rsidRPr="00D714FC">
        <w:rPr>
          <w:rFonts w:cs="Times New Roman"/>
        </w:rPr>
        <w:t xml:space="preserve">deliver water through gravity-fed and / or pressurised networks operating primarily off-river. </w:t>
      </w:r>
    </w:p>
    <w:p w:rsidR="00285B27" w:rsidRPr="00D714FC" w:rsidRDefault="00285B27" w:rsidP="00285B27">
      <w:pPr>
        <w:rPr>
          <w:rFonts w:cs="Times New Roman"/>
        </w:rPr>
      </w:pPr>
      <w:r w:rsidRPr="00D714FC">
        <w:rPr>
          <w:rFonts w:cs="Times New Roman"/>
        </w:rPr>
        <w:t>The assets of an infrastructure operator tend to have few alternative uses and the investment, once made, is largely sunk. These characteristics can serve as a barrier to entry (and exit), deterring new entrants from entering the market and creating competition.</w:t>
      </w:r>
    </w:p>
    <w:p w:rsidR="00C444E9" w:rsidRPr="00D714FC" w:rsidRDefault="00C444E9" w:rsidP="00C444E9">
      <w:pPr>
        <w:rPr>
          <w:rFonts w:cs="Times New Roman"/>
        </w:rPr>
      </w:pPr>
      <w:r w:rsidRPr="00D714FC">
        <w:rPr>
          <w:rFonts w:cs="Times New Roman"/>
        </w:rPr>
        <w:t>These natural monopoly characteristics mean that direct competition is unlikely to develop between infrastructure operators. In the absence of competition, infrastructure operators hold market power, which can result in prices, quality, service levels or innovation diverging from competitive levels. As customers are not able to change service providers without incurring substantial costs, these infrastructure operators may have the ability to engage in discriminatory behaviour against customers, certain customer types or potential customers. This may undermine the efficient use of water resources and water infrastructure.</w:t>
      </w:r>
    </w:p>
    <w:p w:rsidR="00285B27" w:rsidRPr="00D714FC" w:rsidRDefault="00285B27" w:rsidP="00285B27">
      <w:pPr>
        <w:rPr>
          <w:rFonts w:cs="Times New Roman"/>
        </w:rPr>
      </w:pPr>
      <w:r w:rsidRPr="00D714FC">
        <w:rPr>
          <w:rFonts w:cs="Times New Roman"/>
        </w:rPr>
        <w:t>Water infrastructure charges send signals about the efficiency of water storage and delivery infrastructure throughout the MDB. Differences in charging practices throughout the MDB have the potential to distort these signals. In turn, they can distort water market</w:t>
      </w:r>
      <w:r w:rsidR="00534093">
        <w:rPr>
          <w:rFonts w:cs="Times New Roman"/>
        </w:rPr>
        <w:t>s</w:t>
      </w:r>
      <w:r w:rsidRPr="00D714FC">
        <w:rPr>
          <w:rFonts w:cs="Times New Roman"/>
        </w:rPr>
        <w:t>. Distortions to water market</w:t>
      </w:r>
      <w:r w:rsidR="00534093">
        <w:rPr>
          <w:rFonts w:cs="Times New Roman"/>
        </w:rPr>
        <w:t>s</w:t>
      </w:r>
      <w:r w:rsidRPr="00D714FC">
        <w:rPr>
          <w:rFonts w:cs="Times New Roman"/>
        </w:rPr>
        <w:t xml:space="preserve"> will result in less efficient water use and investment in water-related infrastructure.</w:t>
      </w:r>
    </w:p>
    <w:p w:rsidR="00400890" w:rsidRPr="00D714FC" w:rsidRDefault="006C4AFC" w:rsidP="00285B27">
      <w:pPr>
        <w:rPr>
          <w:rFonts w:cs="Times New Roman"/>
        </w:rPr>
      </w:pPr>
      <w:r w:rsidRPr="00D714FC">
        <w:rPr>
          <w:rFonts w:cs="Times New Roman"/>
        </w:rPr>
        <w:t>I</w:t>
      </w:r>
      <w:r w:rsidR="00182112" w:rsidRPr="00D714FC">
        <w:rPr>
          <w:rFonts w:cs="Times New Roman"/>
        </w:rPr>
        <w:t xml:space="preserve">nfrastructure </w:t>
      </w:r>
      <w:r w:rsidRPr="00D714FC">
        <w:rPr>
          <w:rFonts w:cs="Times New Roman"/>
        </w:rPr>
        <w:t>charges regulated by the WCIR are levied in order to recover (at least partially) capital and operational costs incurred in relation to building, maintaining, and managing the</w:t>
      </w:r>
      <w:r w:rsidR="00534093">
        <w:rPr>
          <w:rFonts w:cs="Times New Roman"/>
        </w:rPr>
        <w:t xml:space="preserve"> storage and</w:t>
      </w:r>
      <w:r w:rsidRPr="00D714FC">
        <w:rPr>
          <w:rFonts w:cs="Times New Roman"/>
        </w:rPr>
        <w:t xml:space="preserve"> delivery of water through infrastructure. </w:t>
      </w:r>
      <w:r w:rsidR="0018796A">
        <w:rPr>
          <w:rFonts w:cs="Times New Roman"/>
        </w:rPr>
        <w:t>I</w:t>
      </w:r>
      <w:r w:rsidRPr="00D714FC">
        <w:rPr>
          <w:rFonts w:cs="Times New Roman"/>
        </w:rPr>
        <w:t>nfrastructure charges do not equate to payments for the consumption or use of water directly.</w:t>
      </w:r>
      <w:r w:rsidR="00C82C1F" w:rsidRPr="00D714FC">
        <w:rPr>
          <w:rStyle w:val="FootnoteReference"/>
          <w:rFonts w:cs="Times New Roman"/>
        </w:rPr>
        <w:footnoteReference w:id="92"/>
      </w:r>
      <w:r w:rsidRPr="00D714FC">
        <w:rPr>
          <w:rFonts w:cs="Times New Roman"/>
        </w:rPr>
        <w:t xml:space="preserve"> Rather, such charges relate to the provision of infrastructure that enables holders of water access rights and irrigation rights to receive water they are able to access under those rights. This includes water service infrastructure </w:t>
      </w:r>
      <w:r w:rsidR="00400890" w:rsidRPr="00D714FC">
        <w:rPr>
          <w:rFonts w:cs="Times New Roman"/>
        </w:rPr>
        <w:t xml:space="preserve">used to provide on-river infrastructure services </w:t>
      </w:r>
      <w:r w:rsidRPr="00D714FC">
        <w:rPr>
          <w:rFonts w:cs="Times New Roman"/>
        </w:rPr>
        <w:t xml:space="preserve">(such as dams and weirs) and purpose-built infrastructure that is used </w:t>
      </w:r>
      <w:r w:rsidR="00400890" w:rsidRPr="00D714FC">
        <w:rPr>
          <w:rFonts w:cs="Times New Roman"/>
        </w:rPr>
        <w:t>to provide off-river infrastructure services (</w:t>
      </w:r>
      <w:r w:rsidRPr="00D714FC">
        <w:rPr>
          <w:rFonts w:cs="Times New Roman"/>
        </w:rPr>
        <w:t>primarily to deliver water to irrigators</w:t>
      </w:r>
      <w:r w:rsidR="00400890" w:rsidRPr="00D714FC">
        <w:rPr>
          <w:rFonts w:cs="Times New Roman"/>
        </w:rPr>
        <w:t>)</w:t>
      </w:r>
      <w:r w:rsidRPr="00D714FC">
        <w:rPr>
          <w:rFonts w:cs="Times New Roman"/>
        </w:rPr>
        <w:t>.</w:t>
      </w:r>
      <w:r w:rsidR="00956CB1" w:rsidRPr="00D714FC">
        <w:rPr>
          <w:rFonts w:cs="Times New Roman"/>
        </w:rPr>
        <w:t xml:space="preserve"> As such, charges for water infrastructure vary considerably across the MDB. </w:t>
      </w:r>
    </w:p>
    <w:p w:rsidR="006C4AFC" w:rsidRPr="00D714FC" w:rsidRDefault="00956CB1" w:rsidP="00285B27">
      <w:pPr>
        <w:rPr>
          <w:rFonts w:cs="Times New Roman"/>
        </w:rPr>
      </w:pPr>
      <w:r w:rsidRPr="00D714FC">
        <w:rPr>
          <w:rFonts w:cs="Times New Roman"/>
        </w:rPr>
        <w:t xml:space="preserve">Fundamentally, these differences are caused by differences in the types of infrastructure and infrastructure services provided, and it is appropriate that these differences should be reflected in </w:t>
      </w:r>
      <w:r w:rsidR="008F5FC2">
        <w:rPr>
          <w:rFonts w:cs="Times New Roman"/>
        </w:rPr>
        <w:t xml:space="preserve">different </w:t>
      </w:r>
      <w:r w:rsidRPr="00D714FC">
        <w:rPr>
          <w:rFonts w:cs="Times New Roman"/>
        </w:rPr>
        <w:t xml:space="preserve">infrastructure charges. Further, infrastructure charges differ due to factors such as the number of customers who receive services relating to particular infrastructure, and the </w:t>
      </w:r>
      <w:r w:rsidR="008F5FC2">
        <w:rPr>
          <w:rFonts w:cs="Times New Roman"/>
        </w:rPr>
        <w:t>degree</w:t>
      </w:r>
      <w:r w:rsidR="008F5FC2" w:rsidRPr="00D714FC">
        <w:rPr>
          <w:rFonts w:cs="Times New Roman"/>
        </w:rPr>
        <w:t xml:space="preserve"> </w:t>
      </w:r>
      <w:r w:rsidRPr="00D714FC">
        <w:rPr>
          <w:rFonts w:cs="Times New Roman"/>
        </w:rPr>
        <w:t xml:space="preserve">to which infrastructure operators recover their costs from users. </w:t>
      </w:r>
    </w:p>
    <w:p w:rsidR="00621408" w:rsidRDefault="00540EAC" w:rsidP="00540EAC">
      <w:pPr>
        <w:rPr>
          <w:rFonts w:cs="Times New Roman"/>
        </w:rPr>
      </w:pPr>
      <w:r w:rsidRPr="00D714FC">
        <w:rPr>
          <w:rFonts w:cs="Times New Roman"/>
        </w:rPr>
        <w:t xml:space="preserve">Prior to the introduction of the </w:t>
      </w:r>
      <w:r w:rsidR="00400890" w:rsidRPr="00D714FC">
        <w:rPr>
          <w:rFonts w:cs="Times New Roman"/>
        </w:rPr>
        <w:t>WCIR</w:t>
      </w:r>
      <w:r w:rsidRPr="00D714FC">
        <w:rPr>
          <w:rFonts w:cs="Times New Roman"/>
        </w:rPr>
        <w:t xml:space="preserve">, larger infrastructure operators were generally regulated by state-based regulators, </w:t>
      </w:r>
      <w:r w:rsidR="00400890" w:rsidRPr="00D714FC">
        <w:rPr>
          <w:rFonts w:cs="Times New Roman"/>
        </w:rPr>
        <w:t xml:space="preserve">although </w:t>
      </w:r>
      <w:r w:rsidRPr="00D714FC">
        <w:rPr>
          <w:rFonts w:cs="Times New Roman"/>
        </w:rPr>
        <w:t xml:space="preserve">the nature of that regulation varied across the MDB. Further, </w:t>
      </w:r>
      <w:r w:rsidR="00CD1028" w:rsidRPr="00D714FC">
        <w:rPr>
          <w:rFonts w:cs="Times New Roman"/>
        </w:rPr>
        <w:t>member-</w:t>
      </w:r>
      <w:r w:rsidRPr="00D714FC">
        <w:rPr>
          <w:rFonts w:cs="Times New Roman"/>
        </w:rPr>
        <w:t xml:space="preserve">owned </w:t>
      </w:r>
      <w:r w:rsidR="00400890" w:rsidRPr="00D714FC">
        <w:rPr>
          <w:rFonts w:cs="Times New Roman"/>
        </w:rPr>
        <w:t>operator</w:t>
      </w:r>
      <w:r w:rsidR="008F5FC2">
        <w:rPr>
          <w:rFonts w:cs="Times New Roman"/>
        </w:rPr>
        <w:t>s</w:t>
      </w:r>
      <w:r w:rsidR="00400890" w:rsidRPr="00D714FC">
        <w:rPr>
          <w:rFonts w:cs="Times New Roman"/>
        </w:rPr>
        <w:t xml:space="preserve"> </w:t>
      </w:r>
      <w:r w:rsidRPr="00D714FC">
        <w:rPr>
          <w:rFonts w:cs="Times New Roman"/>
        </w:rPr>
        <w:t xml:space="preserve">in NSW and SA were not subject to any substantive state government or independent economic regulation. </w:t>
      </w:r>
    </w:p>
    <w:p w:rsidR="00540EAC" w:rsidRPr="00D714FC" w:rsidRDefault="00540EAC" w:rsidP="00540EAC">
      <w:pPr>
        <w:rPr>
          <w:rFonts w:cs="Times New Roman"/>
          <w:color w:val="000000"/>
        </w:rPr>
      </w:pPr>
      <w:r w:rsidRPr="00D714FC">
        <w:rPr>
          <w:rFonts w:cs="Times New Roman"/>
        </w:rPr>
        <w:t>Under the WCIR, larger infrastructure operators are regulated either by the ACCC or by state regulators, where the state regulator is accredited by the ACCC under the WCIR</w:t>
      </w:r>
      <w:r w:rsidR="00621408">
        <w:rPr>
          <w:rFonts w:cs="Times New Roman"/>
        </w:rPr>
        <w:t xml:space="preserve"> (see sections 5.6 and 5.9)</w:t>
      </w:r>
      <w:r w:rsidRPr="00D714FC">
        <w:rPr>
          <w:rFonts w:cs="Times New Roman"/>
        </w:rPr>
        <w:t xml:space="preserve">. Accredited state regulators are required to act consistently with the ACCC’s Pricing Principles as a condition of their accreditation. </w:t>
      </w:r>
      <w:r w:rsidR="00AF4408" w:rsidRPr="00D714FC">
        <w:rPr>
          <w:rFonts w:cs="Times New Roman"/>
        </w:rPr>
        <w:t>Infrastructure</w:t>
      </w:r>
      <w:r w:rsidRPr="00D714FC">
        <w:rPr>
          <w:rFonts w:cs="Times New Roman"/>
        </w:rPr>
        <w:t xml:space="preserve"> charges of </w:t>
      </w:r>
      <w:r w:rsidR="00CD1028" w:rsidRPr="00D714FC">
        <w:rPr>
          <w:rFonts w:cs="Times New Roman"/>
        </w:rPr>
        <w:t>member-owned</w:t>
      </w:r>
      <w:r w:rsidRPr="00D714FC">
        <w:rPr>
          <w:rFonts w:cs="Times New Roman"/>
        </w:rPr>
        <w:t xml:space="preserve"> operators in NSW and SA, as well as SunWater in Queensland, are subject to more light-handed regulation under the WCIR. All </w:t>
      </w:r>
      <w:r w:rsidR="00B743F5">
        <w:rPr>
          <w:rFonts w:cs="Times New Roman"/>
        </w:rPr>
        <w:t>irrigation infrastructure operators (</w:t>
      </w:r>
      <w:r w:rsidR="00832A68">
        <w:rPr>
          <w:rFonts w:cs="Times New Roman"/>
        </w:rPr>
        <w:t>IIOs</w:t>
      </w:r>
      <w:r w:rsidR="00B743F5">
        <w:rPr>
          <w:rFonts w:cs="Times New Roman"/>
        </w:rPr>
        <w:t>)</w:t>
      </w:r>
      <w:r w:rsidRPr="00D714FC">
        <w:rPr>
          <w:rFonts w:cs="Times New Roman"/>
        </w:rPr>
        <w:t xml:space="preserve"> in the </w:t>
      </w:r>
      <w:r w:rsidR="00832A68">
        <w:rPr>
          <w:rFonts w:cs="Times New Roman"/>
        </w:rPr>
        <w:t>MDB</w:t>
      </w:r>
      <w:r w:rsidRPr="00D714FC">
        <w:rPr>
          <w:rFonts w:cs="Times New Roman"/>
        </w:rPr>
        <w:t xml:space="preserve"> are also subject to the </w:t>
      </w:r>
      <w:r w:rsidRPr="0067271D">
        <w:rPr>
          <w:rFonts w:cs="Times New Roman"/>
        </w:rPr>
        <w:t xml:space="preserve">Water Charge </w:t>
      </w:r>
      <w:r w:rsidR="00CC5F67" w:rsidRPr="0067271D">
        <w:rPr>
          <w:rFonts w:cs="Times New Roman"/>
        </w:rPr>
        <w:t>(</w:t>
      </w:r>
      <w:r w:rsidRPr="0067271D">
        <w:rPr>
          <w:rFonts w:cs="Times New Roman"/>
        </w:rPr>
        <w:t>Termination Fees</w:t>
      </w:r>
      <w:r w:rsidR="00CC5F67" w:rsidRPr="0067271D">
        <w:rPr>
          <w:rFonts w:cs="Times New Roman"/>
        </w:rPr>
        <w:t>)</w:t>
      </w:r>
      <w:r w:rsidRPr="0067271D">
        <w:rPr>
          <w:rFonts w:cs="Times New Roman"/>
        </w:rPr>
        <w:t xml:space="preserve"> Rules</w:t>
      </w:r>
      <w:r w:rsidR="00CC5F67" w:rsidRPr="0067271D">
        <w:rPr>
          <w:rFonts w:cs="Times New Roman"/>
        </w:rPr>
        <w:t xml:space="preserve"> 2009</w:t>
      </w:r>
      <w:r w:rsidRPr="00D714FC">
        <w:rPr>
          <w:rFonts w:cs="Times New Roman"/>
        </w:rPr>
        <w:t xml:space="preserve"> (discussed in </w:t>
      </w:r>
      <w:r w:rsidR="00B9494D">
        <w:rPr>
          <w:rFonts w:cs="Times New Roman"/>
        </w:rPr>
        <w:t>c</w:t>
      </w:r>
      <w:r w:rsidRPr="00D714FC">
        <w:rPr>
          <w:rFonts w:cs="Times New Roman"/>
        </w:rPr>
        <w:t>hapter</w:t>
      </w:r>
      <w:r w:rsidR="00621408">
        <w:rPr>
          <w:rFonts w:cs="Times New Roman"/>
        </w:rPr>
        <w:t> </w:t>
      </w:r>
      <w:r w:rsidRPr="00D714FC">
        <w:rPr>
          <w:rFonts w:cs="Times New Roman"/>
        </w:rPr>
        <w:t xml:space="preserve">6). </w:t>
      </w:r>
    </w:p>
    <w:p w:rsidR="00285B27" w:rsidRPr="00D714FC" w:rsidRDefault="00285B27" w:rsidP="00FC64B5">
      <w:pPr>
        <w:pStyle w:val="Heading3Un-numbered"/>
      </w:pPr>
      <w:r w:rsidRPr="00D714FC">
        <w:t>Infrastructure operator ownership and governance arrangements</w:t>
      </w:r>
    </w:p>
    <w:p w:rsidR="00285B27" w:rsidRPr="00D714FC" w:rsidRDefault="00285B27" w:rsidP="00285B27">
      <w:pPr>
        <w:rPr>
          <w:rFonts w:cs="Times New Roman"/>
        </w:rPr>
      </w:pPr>
      <w:r w:rsidRPr="00D714FC">
        <w:rPr>
          <w:rFonts w:cs="Times New Roman"/>
        </w:rPr>
        <w:t xml:space="preserve">There are a range of different governance and ownership arrangements for </w:t>
      </w:r>
      <w:r w:rsidR="00CD1028" w:rsidRPr="00D714FC">
        <w:rPr>
          <w:rFonts w:cs="Times New Roman"/>
        </w:rPr>
        <w:t>operator</w:t>
      </w:r>
      <w:r w:rsidRPr="00D714FC">
        <w:rPr>
          <w:rFonts w:cs="Times New Roman"/>
        </w:rPr>
        <w:t xml:space="preserve">s in the MDB. In Queensland and Victoria, irrigation water delivery activities are generally vertically integrated into a larger infrastructure operator that also provides </w:t>
      </w:r>
      <w:r w:rsidR="00B92EA4" w:rsidRPr="00D714FC">
        <w:rPr>
          <w:rFonts w:cs="Times New Roman"/>
        </w:rPr>
        <w:t>on-river infrastructure services</w:t>
      </w:r>
      <w:r w:rsidRPr="00D714FC">
        <w:rPr>
          <w:rFonts w:cs="Times New Roman"/>
        </w:rPr>
        <w:t>.</w:t>
      </w:r>
      <w:r w:rsidRPr="00D714FC">
        <w:rPr>
          <w:rStyle w:val="FootnoteReference"/>
          <w:rFonts w:cs="Times New Roman"/>
        </w:rPr>
        <w:footnoteReference w:id="93"/>
      </w:r>
      <w:r w:rsidRPr="00D714FC">
        <w:rPr>
          <w:rFonts w:cs="Times New Roman"/>
        </w:rPr>
        <w:t xml:space="preserve"> </w:t>
      </w:r>
      <w:r w:rsidR="00400890" w:rsidRPr="00D714FC">
        <w:rPr>
          <w:rFonts w:cs="Times New Roman"/>
        </w:rPr>
        <w:t xml:space="preserve">Infrastructure operators </w:t>
      </w:r>
      <w:r w:rsidRPr="00D714FC">
        <w:rPr>
          <w:rFonts w:cs="Times New Roman"/>
        </w:rPr>
        <w:t>in NSW and SA are typically member-owned</w:t>
      </w:r>
      <w:r w:rsidR="0056245F" w:rsidRPr="00D714FC">
        <w:rPr>
          <w:rFonts w:cs="Times New Roman"/>
        </w:rPr>
        <w:t xml:space="preserve"> (see section 5.2)</w:t>
      </w:r>
      <w:r w:rsidRPr="00D714FC">
        <w:rPr>
          <w:rFonts w:cs="Times New Roman"/>
        </w:rPr>
        <w:t xml:space="preserve">. </w:t>
      </w:r>
    </w:p>
    <w:p w:rsidR="007D58A0" w:rsidRDefault="00C444E9" w:rsidP="00C444E9">
      <w:pPr>
        <w:rPr>
          <w:rFonts w:cs="Times New Roman"/>
        </w:rPr>
      </w:pPr>
      <w:r w:rsidRPr="00D714FC">
        <w:rPr>
          <w:rFonts w:cs="Times New Roman"/>
        </w:rPr>
        <w:t xml:space="preserve">Ownership and governance arrangements of infrastructure operators </w:t>
      </w:r>
      <w:r w:rsidR="006533E4" w:rsidRPr="00D714FC">
        <w:rPr>
          <w:rFonts w:cs="Times New Roman"/>
        </w:rPr>
        <w:t>may affect an operator’s ability or willingness to exercise its monopoly power in certain contexts</w:t>
      </w:r>
      <w:r w:rsidRPr="00D714FC">
        <w:rPr>
          <w:rFonts w:cs="Times New Roman"/>
        </w:rPr>
        <w:t>.</w:t>
      </w:r>
      <w:r w:rsidR="006533E4" w:rsidRPr="00D714FC">
        <w:rPr>
          <w:rFonts w:cs="Times New Roman"/>
        </w:rPr>
        <w:t xml:space="preserve"> For example, where</w:t>
      </w:r>
      <w:r w:rsidRPr="00D714FC">
        <w:rPr>
          <w:rFonts w:cs="Times New Roman"/>
        </w:rPr>
        <w:t xml:space="preserve"> </w:t>
      </w:r>
      <w:r w:rsidR="006533E4" w:rsidRPr="00D714FC">
        <w:rPr>
          <w:rFonts w:cs="Times New Roman"/>
        </w:rPr>
        <w:t>b</w:t>
      </w:r>
      <w:r w:rsidRPr="00D714FC">
        <w:rPr>
          <w:rFonts w:cs="Times New Roman"/>
        </w:rPr>
        <w:t xml:space="preserve">oards of </w:t>
      </w:r>
      <w:r w:rsidR="00CD1028" w:rsidRPr="00D714FC">
        <w:rPr>
          <w:rFonts w:cs="Times New Roman"/>
        </w:rPr>
        <w:t xml:space="preserve">member-owned operators </w:t>
      </w:r>
      <w:r w:rsidR="00DA2172">
        <w:rPr>
          <w:rFonts w:cs="Times New Roman"/>
        </w:rPr>
        <w:t>are</w:t>
      </w:r>
      <w:r w:rsidRPr="00D714FC">
        <w:rPr>
          <w:rFonts w:cs="Times New Roman"/>
        </w:rPr>
        <w:t xml:space="preserve"> directly accountable to member customers</w:t>
      </w:r>
      <w:r w:rsidR="006533E4" w:rsidRPr="00D714FC">
        <w:rPr>
          <w:rFonts w:cs="Times New Roman"/>
        </w:rPr>
        <w:t>, t</w:t>
      </w:r>
      <w:r w:rsidRPr="00D714FC">
        <w:rPr>
          <w:rFonts w:cs="Times New Roman"/>
        </w:rPr>
        <w:t xml:space="preserve">his </w:t>
      </w:r>
      <w:r w:rsidR="006533E4" w:rsidRPr="00D714FC">
        <w:rPr>
          <w:rFonts w:cs="Times New Roman"/>
        </w:rPr>
        <w:t>may help</w:t>
      </w:r>
      <w:r w:rsidR="00FA1400" w:rsidRPr="00D714FC">
        <w:rPr>
          <w:rFonts w:cs="Times New Roman"/>
        </w:rPr>
        <w:t xml:space="preserve"> create</w:t>
      </w:r>
      <w:r w:rsidRPr="00D714FC">
        <w:rPr>
          <w:rFonts w:cs="Times New Roman"/>
        </w:rPr>
        <w:t xml:space="preserve"> incentives for member</w:t>
      </w:r>
      <w:r w:rsidR="00CD1028" w:rsidRPr="00D714FC">
        <w:rPr>
          <w:rFonts w:cs="Times New Roman"/>
        </w:rPr>
        <w:t>-</w:t>
      </w:r>
      <w:r w:rsidRPr="00D714FC">
        <w:rPr>
          <w:rFonts w:cs="Times New Roman"/>
        </w:rPr>
        <w:t xml:space="preserve">owned operators to pursue efficiency in </w:t>
      </w:r>
      <w:r w:rsidR="00DA2172">
        <w:rPr>
          <w:rFonts w:cs="Times New Roman"/>
        </w:rPr>
        <w:t>their</w:t>
      </w:r>
      <w:r w:rsidRPr="00D714FC">
        <w:rPr>
          <w:rFonts w:cs="Times New Roman"/>
        </w:rPr>
        <w:t xml:space="preserve"> service delivery</w:t>
      </w:r>
      <w:r w:rsidR="00DA2172">
        <w:rPr>
          <w:rFonts w:cs="Times New Roman"/>
        </w:rPr>
        <w:t xml:space="preserve"> in order to reduce costs and resulting infrastructure charges</w:t>
      </w:r>
      <w:r w:rsidRPr="00D714FC">
        <w:rPr>
          <w:rFonts w:cs="Times New Roman"/>
        </w:rPr>
        <w:t>. However, these operators still hold market power as a result of their natural monopoly infrastructure</w:t>
      </w:r>
      <w:r w:rsidR="006533E4" w:rsidRPr="00D714FC">
        <w:rPr>
          <w:rFonts w:cs="Times New Roman"/>
        </w:rPr>
        <w:t>, and governance structures may not be a sufficient deterrent against the exercise of monopoly power in all cases</w:t>
      </w:r>
      <w:r w:rsidRPr="00D714FC">
        <w:rPr>
          <w:rFonts w:cs="Times New Roman"/>
        </w:rPr>
        <w:t xml:space="preserve">. </w:t>
      </w:r>
      <w:r w:rsidR="006533E4" w:rsidRPr="00D714FC">
        <w:rPr>
          <w:rFonts w:cs="Times New Roman"/>
        </w:rPr>
        <w:t>In particular, p</w:t>
      </w:r>
      <w:r w:rsidRPr="00D714FC">
        <w:rPr>
          <w:rFonts w:cs="Times New Roman"/>
        </w:rPr>
        <w:t xml:space="preserve">ricing discrimination by infrastructure operators </w:t>
      </w:r>
      <w:r w:rsidR="006533E4" w:rsidRPr="00D714FC">
        <w:rPr>
          <w:rFonts w:cs="Times New Roman"/>
        </w:rPr>
        <w:t>in favour of particular customer groups or classes remains a significant concern</w:t>
      </w:r>
      <w:r w:rsidR="009770E0">
        <w:rPr>
          <w:rFonts w:cs="Times New Roman"/>
        </w:rPr>
        <w:t>, and can occur whether or not an infrastructure operator is earning monopoly rents in aggregate</w:t>
      </w:r>
      <w:r w:rsidR="006533E4" w:rsidRPr="00D714FC">
        <w:rPr>
          <w:rFonts w:cs="Times New Roman"/>
        </w:rPr>
        <w:t xml:space="preserve">. Pricing discrimination </w:t>
      </w:r>
      <w:r w:rsidRPr="00D714FC">
        <w:rPr>
          <w:rFonts w:cs="Times New Roman"/>
        </w:rPr>
        <w:t xml:space="preserve">is considered further in sections 5.2 and 5.3. </w:t>
      </w:r>
    </w:p>
    <w:p w:rsidR="007D58A0" w:rsidRDefault="009770E0" w:rsidP="00C444E9">
      <w:pPr>
        <w:rPr>
          <w:rFonts w:cs="Times New Roman"/>
        </w:rPr>
      </w:pPr>
      <w:r>
        <w:rPr>
          <w:rFonts w:cs="Times New Roman"/>
        </w:rPr>
        <w:t>Where infrastructure operators are not exposed to any material competitive pressure (</w:t>
      </w:r>
      <w:r w:rsidR="007D58A0">
        <w:rPr>
          <w:rFonts w:cs="Times New Roman"/>
        </w:rPr>
        <w:t xml:space="preserve">for example, where they enjoy an effective statutory monopoly in relation to </w:t>
      </w:r>
      <w:r w:rsidR="001A6C89">
        <w:rPr>
          <w:rFonts w:cs="Times New Roman"/>
        </w:rPr>
        <w:t>the provision of bulk water services</w:t>
      </w:r>
      <w:r w:rsidR="007D58A0">
        <w:rPr>
          <w:rFonts w:cs="Times New Roman"/>
        </w:rPr>
        <w:t xml:space="preserve">) then there is also reduced incentives to operate efficiently. This is because higher costs can easily be passed on to customers with little prospect of reducing demand. </w:t>
      </w:r>
      <w:r w:rsidR="00C444E9" w:rsidRPr="00D714FC">
        <w:rPr>
          <w:rFonts w:cs="Times New Roman"/>
        </w:rPr>
        <w:t xml:space="preserve">The potential for </w:t>
      </w:r>
      <w:r w:rsidR="00D66A92">
        <w:rPr>
          <w:rFonts w:cs="Times New Roman"/>
        </w:rPr>
        <w:t xml:space="preserve">such </w:t>
      </w:r>
      <w:r w:rsidR="00C444E9" w:rsidRPr="00D714FC">
        <w:rPr>
          <w:rFonts w:cs="Times New Roman"/>
        </w:rPr>
        <w:t>monopoly pricing by infrastructure operators is considered in section 5.6.</w:t>
      </w:r>
      <w:r w:rsidR="00285B27" w:rsidRPr="00D714FC">
        <w:rPr>
          <w:rFonts w:cs="Times New Roman"/>
        </w:rPr>
        <w:t xml:space="preserve"> </w:t>
      </w:r>
    </w:p>
    <w:p w:rsidR="00C444E9" w:rsidRPr="00D714FC" w:rsidRDefault="00C444E9" w:rsidP="00C444E9">
      <w:pPr>
        <w:rPr>
          <w:rFonts w:cs="Times New Roman"/>
        </w:rPr>
      </w:pPr>
      <w:r w:rsidRPr="00D714FC">
        <w:rPr>
          <w:rFonts w:cs="Times New Roman"/>
        </w:rPr>
        <w:t>The impact of differences in charging arrangements between infrastructure operators is considered further in section 5.10.</w:t>
      </w:r>
    </w:p>
    <w:p w:rsidR="00E161B2" w:rsidRPr="00D714FC" w:rsidRDefault="00F970BC" w:rsidP="00616672">
      <w:pPr>
        <w:pStyle w:val="Heading2"/>
      </w:pPr>
      <w:bookmarkStart w:id="319" w:name="_Ref433030758"/>
      <w:bookmarkStart w:id="320" w:name="_Toc436122293"/>
      <w:bookmarkStart w:id="321" w:name="_Toc436122788"/>
      <w:bookmarkStart w:id="322" w:name="_Toc436124143"/>
      <w:bookmarkStart w:id="323" w:name="_Toc456785797"/>
      <w:bookmarkStart w:id="324" w:name="_Toc461630708"/>
      <w:r w:rsidRPr="00D714FC">
        <w:t>Tiered regulation of infrastructure operators</w:t>
      </w:r>
      <w:bookmarkEnd w:id="319"/>
      <w:bookmarkEnd w:id="320"/>
      <w:bookmarkEnd w:id="321"/>
      <w:bookmarkEnd w:id="322"/>
      <w:bookmarkEnd w:id="323"/>
      <w:bookmarkEnd w:id="324"/>
    </w:p>
    <w:p w:rsidR="007D58A0" w:rsidRPr="006246A8" w:rsidRDefault="007D58A0" w:rsidP="00FC64B5">
      <w:pPr>
        <w:pStyle w:val="Heading3Un-numbered"/>
      </w:pPr>
      <w:r>
        <w:t>Background</w:t>
      </w:r>
    </w:p>
    <w:p w:rsidR="00E161B2" w:rsidRPr="00D714FC" w:rsidRDefault="00E67C67" w:rsidP="00FE665C">
      <w:pPr>
        <w:spacing w:after="120"/>
        <w:rPr>
          <w:rFonts w:eastAsia="Arial" w:cs="Times New Roman"/>
        </w:rPr>
      </w:pPr>
      <w:r>
        <w:rPr>
          <w:rFonts w:eastAsia="Arial" w:cs="Times New Roman"/>
        </w:rPr>
        <w:t>Different parts of the</w:t>
      </w:r>
      <w:r w:rsidR="005540E8">
        <w:rPr>
          <w:rFonts w:eastAsia="Arial" w:cs="Times New Roman"/>
        </w:rPr>
        <w:t xml:space="preserve"> existing</w:t>
      </w:r>
      <w:r>
        <w:rPr>
          <w:rFonts w:eastAsia="Arial" w:cs="Times New Roman"/>
        </w:rPr>
        <w:t xml:space="preserve"> </w:t>
      </w:r>
      <w:r w:rsidR="00E623B1" w:rsidRPr="0067271D">
        <w:rPr>
          <w:rFonts w:eastAsia="Arial" w:cs="Times New Roman"/>
        </w:rPr>
        <w:t>Water Charge (Infrastructure) Rules 2010</w:t>
      </w:r>
      <w:r w:rsidR="00E623B1">
        <w:rPr>
          <w:rFonts w:eastAsia="Arial" w:cs="Times New Roman"/>
        </w:rPr>
        <w:t xml:space="preserve"> (</w:t>
      </w:r>
      <w:r>
        <w:rPr>
          <w:rFonts w:eastAsia="Arial" w:cs="Times New Roman"/>
        </w:rPr>
        <w:t>WCIR</w:t>
      </w:r>
      <w:r w:rsidR="00E623B1">
        <w:rPr>
          <w:rFonts w:eastAsia="Arial" w:cs="Times New Roman"/>
        </w:rPr>
        <w:t>)</w:t>
      </w:r>
      <w:r>
        <w:rPr>
          <w:rFonts w:eastAsia="Arial" w:cs="Times New Roman"/>
        </w:rPr>
        <w:t xml:space="preserve"> apply to different operators, based on the operator’s ownership structure (whether they are ‘member-owned’ or not) and its size (in terms of the volume of Basin water resources that the operator provides infrastructure services in relation to)</w:t>
      </w:r>
      <w:r w:rsidR="00F970BC" w:rsidRPr="00D714FC">
        <w:rPr>
          <w:rFonts w:eastAsia="Arial" w:cs="Times New Roman"/>
        </w:rPr>
        <w:t>, as follows:</w:t>
      </w:r>
    </w:p>
    <w:p w:rsidR="00E161B2" w:rsidRPr="00D714FC" w:rsidRDefault="00F970BC" w:rsidP="00A82DE6">
      <w:pPr>
        <w:pStyle w:val="Lvl1Bulletpoint"/>
        <w:rPr>
          <w:rFonts w:eastAsia="Arial"/>
        </w:rPr>
      </w:pPr>
      <w:r w:rsidRPr="00D714FC">
        <w:rPr>
          <w:rFonts w:eastAsia="Arial"/>
        </w:rPr>
        <w:t xml:space="preserve">Part 3 non-discrimination requirements apply to all </w:t>
      </w:r>
      <w:r w:rsidRPr="00D714FC">
        <w:rPr>
          <w:rFonts w:eastAsia="Arial"/>
          <w:i/>
        </w:rPr>
        <w:t>member-owned</w:t>
      </w:r>
      <w:r w:rsidRPr="00D714FC">
        <w:rPr>
          <w:rFonts w:eastAsia="Arial"/>
        </w:rPr>
        <w:t xml:space="preserve"> operators</w:t>
      </w:r>
    </w:p>
    <w:p w:rsidR="00E161B2" w:rsidRPr="00D714FC" w:rsidRDefault="00F970BC" w:rsidP="00A82DE6">
      <w:pPr>
        <w:pStyle w:val="Lvl1Bulletpoint"/>
        <w:rPr>
          <w:rFonts w:eastAsia="Arial"/>
        </w:rPr>
      </w:pPr>
      <w:r w:rsidRPr="00D714FC">
        <w:rPr>
          <w:rFonts w:eastAsia="Arial"/>
        </w:rPr>
        <w:t xml:space="preserve">Part 4 requirements </w:t>
      </w:r>
      <w:r w:rsidR="00262A72" w:rsidRPr="00D714FC">
        <w:rPr>
          <w:rFonts w:eastAsia="Arial"/>
        </w:rPr>
        <w:t xml:space="preserve">relating to the operator’s </w:t>
      </w:r>
      <w:r w:rsidR="00262689" w:rsidRPr="00D714FC">
        <w:rPr>
          <w:rFonts w:eastAsia="Arial"/>
        </w:rPr>
        <w:t>Schedule of Charges</w:t>
      </w:r>
      <w:r w:rsidR="00262A72" w:rsidRPr="00D714FC">
        <w:rPr>
          <w:rFonts w:eastAsia="Arial"/>
        </w:rPr>
        <w:t xml:space="preserve"> generally </w:t>
      </w:r>
      <w:r w:rsidRPr="00D714FC">
        <w:rPr>
          <w:rFonts w:eastAsia="Arial"/>
        </w:rPr>
        <w:t>apply to all operators</w:t>
      </w:r>
      <w:r w:rsidR="00262A72" w:rsidRPr="00D714FC">
        <w:rPr>
          <w:rFonts w:eastAsia="Arial"/>
        </w:rPr>
        <w:t xml:space="preserve">, except that </w:t>
      </w:r>
      <w:r w:rsidRPr="00D714FC">
        <w:rPr>
          <w:rFonts w:eastAsia="Arial"/>
        </w:rPr>
        <w:t xml:space="preserve">only </w:t>
      </w:r>
      <w:r w:rsidR="00E623B1">
        <w:rPr>
          <w:rFonts w:eastAsia="Arial"/>
        </w:rPr>
        <w:t>irrigation infrastructure operators (</w:t>
      </w:r>
      <w:r w:rsidRPr="00D714FC">
        <w:rPr>
          <w:rFonts w:eastAsia="Arial"/>
        </w:rPr>
        <w:t>IIOs</w:t>
      </w:r>
      <w:r w:rsidR="00E623B1">
        <w:rPr>
          <w:rFonts w:eastAsia="Arial"/>
        </w:rPr>
        <w:t>)</w:t>
      </w:r>
      <w:r w:rsidRPr="00D714FC">
        <w:rPr>
          <w:rFonts w:eastAsia="Arial"/>
        </w:rPr>
        <w:t xml:space="preserve"> are required to provide a statement as per </w:t>
      </w:r>
      <w:r w:rsidR="00207A65">
        <w:rPr>
          <w:rFonts w:eastAsia="Arial"/>
        </w:rPr>
        <w:t>r</w:t>
      </w:r>
      <w:r w:rsidRPr="00D714FC">
        <w:rPr>
          <w:rFonts w:eastAsia="Arial"/>
        </w:rPr>
        <w:t xml:space="preserve">ule 4(d), and operators </w:t>
      </w:r>
      <w:r w:rsidR="00E67C67">
        <w:rPr>
          <w:rFonts w:eastAsia="Arial"/>
        </w:rPr>
        <w:t xml:space="preserve">less than </w:t>
      </w:r>
      <w:r w:rsidRPr="00D714FC">
        <w:rPr>
          <w:rFonts w:eastAsia="Arial"/>
        </w:rPr>
        <w:t xml:space="preserve">10 </w:t>
      </w:r>
      <w:r w:rsidR="005D027E">
        <w:rPr>
          <w:rFonts w:eastAsia="Arial"/>
        </w:rPr>
        <w:t>gigali</w:t>
      </w:r>
      <w:r w:rsidR="00E67C67">
        <w:rPr>
          <w:rFonts w:eastAsia="Arial"/>
        </w:rPr>
        <w:t>t</w:t>
      </w:r>
      <w:r w:rsidR="005D027E">
        <w:rPr>
          <w:rFonts w:eastAsia="Arial"/>
        </w:rPr>
        <w:t>res (</w:t>
      </w:r>
      <w:r w:rsidRPr="00D714FC">
        <w:rPr>
          <w:rFonts w:eastAsia="Arial"/>
        </w:rPr>
        <w:t>GL</w:t>
      </w:r>
      <w:r w:rsidR="005D027E">
        <w:rPr>
          <w:rFonts w:eastAsia="Arial"/>
        </w:rPr>
        <w:t>)</w:t>
      </w:r>
      <w:r w:rsidRPr="00D714FC">
        <w:rPr>
          <w:rFonts w:eastAsia="Arial"/>
        </w:rPr>
        <w:t xml:space="preserve"> </w:t>
      </w:r>
      <w:r w:rsidR="00E67C67">
        <w:rPr>
          <w:rFonts w:eastAsia="Arial"/>
        </w:rPr>
        <w:t xml:space="preserve">in size </w:t>
      </w:r>
      <w:r w:rsidR="00262A72" w:rsidRPr="00D714FC">
        <w:rPr>
          <w:rFonts w:eastAsia="Arial"/>
        </w:rPr>
        <w:t xml:space="preserve">are exempt from </w:t>
      </w:r>
      <w:r w:rsidR="00325FB2">
        <w:rPr>
          <w:rFonts w:eastAsia="Arial"/>
        </w:rPr>
        <w:t>S</w:t>
      </w:r>
      <w:r w:rsidR="00E67C67">
        <w:rPr>
          <w:rFonts w:eastAsia="Arial"/>
        </w:rPr>
        <w:t xml:space="preserve">chedule of </w:t>
      </w:r>
      <w:r w:rsidR="00325FB2">
        <w:rPr>
          <w:rFonts w:eastAsia="Arial"/>
        </w:rPr>
        <w:t>C</w:t>
      </w:r>
      <w:r w:rsidR="00E67C67">
        <w:rPr>
          <w:rFonts w:eastAsia="Arial"/>
        </w:rPr>
        <w:t>harge publication requirements</w:t>
      </w:r>
      <w:r w:rsidRPr="00D714FC">
        <w:rPr>
          <w:rFonts w:eastAsia="Arial"/>
        </w:rPr>
        <w:t>.</w:t>
      </w:r>
    </w:p>
    <w:p w:rsidR="00E161B2" w:rsidRPr="00D714FC" w:rsidRDefault="00F970BC" w:rsidP="00A82DE6">
      <w:pPr>
        <w:pStyle w:val="Lvl1Bulletpoint"/>
        <w:rPr>
          <w:rFonts w:eastAsia="Arial"/>
        </w:rPr>
      </w:pPr>
      <w:r w:rsidRPr="00D714FC">
        <w:rPr>
          <w:rFonts w:eastAsia="Arial"/>
        </w:rPr>
        <w:t xml:space="preserve">Part 5 </w:t>
      </w:r>
      <w:r w:rsidR="00262A72" w:rsidRPr="00D714FC">
        <w:rPr>
          <w:rFonts w:eastAsia="Arial"/>
        </w:rPr>
        <w:t>Network Service Plan (</w:t>
      </w:r>
      <w:r w:rsidRPr="00D714FC">
        <w:rPr>
          <w:rFonts w:eastAsia="Arial"/>
        </w:rPr>
        <w:t>NSP</w:t>
      </w:r>
      <w:r w:rsidR="00262A72" w:rsidRPr="00D714FC">
        <w:rPr>
          <w:rFonts w:eastAsia="Arial"/>
        </w:rPr>
        <w:t>)</w:t>
      </w:r>
      <w:r w:rsidRPr="00D714FC">
        <w:rPr>
          <w:rFonts w:eastAsia="Arial"/>
        </w:rPr>
        <w:t xml:space="preserve"> requirements apply to member-owned operators </w:t>
      </w:r>
      <w:r w:rsidR="00E67C67">
        <w:rPr>
          <w:rFonts w:eastAsia="Arial"/>
        </w:rPr>
        <w:t xml:space="preserve">larger than </w:t>
      </w:r>
      <w:r w:rsidRPr="00D714FC">
        <w:rPr>
          <w:rFonts w:eastAsia="Arial"/>
        </w:rPr>
        <w:t>125 GL and non-member-owned operators between 125 GL and 250 GL</w:t>
      </w:r>
    </w:p>
    <w:p w:rsidR="00E161B2" w:rsidRPr="00D714FC" w:rsidRDefault="00F970BC" w:rsidP="00A82DE6">
      <w:pPr>
        <w:pStyle w:val="Lvl1Bulletpoint"/>
        <w:rPr>
          <w:rFonts w:eastAsia="Arial"/>
        </w:rPr>
      </w:pPr>
      <w:r w:rsidRPr="00D714FC">
        <w:rPr>
          <w:rFonts w:eastAsia="Arial"/>
        </w:rPr>
        <w:t xml:space="preserve">Part 6 price approval/determination requirements apply to non-member-owned operators </w:t>
      </w:r>
      <w:r w:rsidR="00E67C67">
        <w:rPr>
          <w:rFonts w:eastAsia="Arial"/>
        </w:rPr>
        <w:t xml:space="preserve">over </w:t>
      </w:r>
      <w:r w:rsidRPr="00D714FC">
        <w:rPr>
          <w:rFonts w:eastAsia="Arial"/>
        </w:rPr>
        <w:t xml:space="preserve">250 GL </w:t>
      </w:r>
      <w:r w:rsidR="00E67C67">
        <w:rPr>
          <w:rFonts w:eastAsia="Arial"/>
        </w:rPr>
        <w:t>in size</w:t>
      </w:r>
      <w:r w:rsidRPr="00D714FC">
        <w:rPr>
          <w:rFonts w:eastAsia="Arial"/>
        </w:rPr>
        <w:t>.</w:t>
      </w:r>
    </w:p>
    <w:p w:rsidR="00E161B2" w:rsidRPr="00D714FC" w:rsidRDefault="00F970BC" w:rsidP="006F1AE5">
      <w:pPr>
        <w:rPr>
          <w:rFonts w:eastAsia="Calibri" w:cs="Times New Roman"/>
        </w:rPr>
      </w:pPr>
      <w:r w:rsidRPr="00D714FC">
        <w:rPr>
          <w:rFonts w:eastAsia="Calibri" w:cs="Times New Roman"/>
        </w:rPr>
        <w:t>The table</w:t>
      </w:r>
      <w:r w:rsidR="006F1AE5" w:rsidRPr="00D714FC">
        <w:rPr>
          <w:rFonts w:eastAsia="Calibri" w:cs="Times New Roman"/>
        </w:rPr>
        <w:t xml:space="preserve"> </w:t>
      </w:r>
      <w:r w:rsidR="00794D66" w:rsidRPr="00D714FC">
        <w:rPr>
          <w:rFonts w:eastAsia="Calibri" w:cs="Times New Roman"/>
        </w:rPr>
        <w:t>5.1</w:t>
      </w:r>
      <w:r w:rsidRPr="00D714FC">
        <w:rPr>
          <w:rFonts w:eastAsia="Calibri" w:cs="Times New Roman"/>
        </w:rPr>
        <w:t xml:space="preserve"> below summarises the application of these parts of the WCIR.</w:t>
      </w:r>
    </w:p>
    <w:p w:rsidR="006F1AE5" w:rsidRPr="00D714FC" w:rsidRDefault="006F1AE5" w:rsidP="00E560FF">
      <w:pPr>
        <w:pStyle w:val="Tabletitle"/>
      </w:pPr>
      <w:r w:rsidRPr="00D714FC">
        <w:t xml:space="preserve">Table </w:t>
      </w:r>
      <w:r w:rsidR="00794D66" w:rsidRPr="00D714FC">
        <w:t>5.1</w:t>
      </w:r>
      <w:r w:rsidRPr="00D714FC">
        <w:t>: Existing structure of application of the WCIR</w:t>
      </w:r>
    </w:p>
    <w:tbl>
      <w:tblPr>
        <w:tblW w:w="0" w:type="auto"/>
        <w:tblInd w:w="98" w:type="dxa"/>
        <w:tblCellMar>
          <w:left w:w="10" w:type="dxa"/>
          <w:right w:w="10" w:type="dxa"/>
        </w:tblCellMar>
        <w:tblLook w:val="0000" w:firstRow="0" w:lastRow="0" w:firstColumn="0" w:lastColumn="0" w:noHBand="0" w:noVBand="0"/>
      </w:tblPr>
      <w:tblGrid>
        <w:gridCol w:w="1364"/>
        <w:gridCol w:w="948"/>
        <w:gridCol w:w="949"/>
        <w:gridCol w:w="1231"/>
        <w:gridCol w:w="667"/>
        <w:gridCol w:w="855"/>
        <w:gridCol w:w="1040"/>
        <w:gridCol w:w="1134"/>
        <w:gridCol w:w="709"/>
      </w:tblGrid>
      <w:tr w:rsidR="006F1AE5" w:rsidRPr="00D714FC" w:rsidTr="00863280">
        <w:trPr>
          <w:trHeight w:val="1"/>
        </w:trPr>
        <w:tc>
          <w:tcPr>
            <w:tcW w:w="136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Ownership</w:t>
            </w:r>
          </w:p>
        </w:tc>
        <w:tc>
          <w:tcPr>
            <w:tcW w:w="3795" w:type="dxa"/>
            <w:gridSpan w:val="4"/>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CD1028" w:rsidP="00073B62">
            <w:pPr>
              <w:pStyle w:val="tabletext"/>
            </w:pPr>
            <w:r w:rsidRPr="00D714FC">
              <w:rPr>
                <w:rFonts w:eastAsia="Arial"/>
              </w:rPr>
              <w:t>Member-owned</w:t>
            </w:r>
            <w:r w:rsidR="006F1AE5" w:rsidRPr="00D714FC">
              <w:rPr>
                <w:rFonts w:eastAsia="Arial"/>
              </w:rPr>
              <w:t xml:space="preserve"> operators</w:t>
            </w:r>
          </w:p>
        </w:tc>
        <w:tc>
          <w:tcPr>
            <w:tcW w:w="3738" w:type="dxa"/>
            <w:gridSpan w:val="4"/>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Non-</w:t>
            </w:r>
            <w:r w:rsidR="00CD1028" w:rsidRPr="00D714FC">
              <w:rPr>
                <w:rFonts w:eastAsia="Arial"/>
              </w:rPr>
              <w:t>member-owned</w:t>
            </w:r>
            <w:r w:rsidRPr="00D714FC">
              <w:rPr>
                <w:rFonts w:eastAsia="Arial"/>
              </w:rPr>
              <w:t xml:space="preserve"> operators</w:t>
            </w:r>
          </w:p>
        </w:tc>
      </w:tr>
      <w:tr w:rsidR="006F1AE5" w:rsidRPr="00D714FC" w:rsidTr="00863280">
        <w:trPr>
          <w:trHeight w:val="1"/>
        </w:trPr>
        <w:tc>
          <w:tcPr>
            <w:tcW w:w="136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Size (GL)</w:t>
            </w:r>
          </w:p>
        </w:tc>
        <w:tc>
          <w:tcPr>
            <w:tcW w:w="948" w:type="dxa"/>
            <w:tcBorders>
              <w:top w:val="single" w:sz="12" w:space="0" w:color="000000"/>
              <w:left w:val="single" w:sz="12"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&lt; 10</w:t>
            </w:r>
          </w:p>
        </w:tc>
        <w:tc>
          <w:tcPr>
            <w:tcW w:w="949"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10 –125</w:t>
            </w:r>
          </w:p>
        </w:tc>
        <w:tc>
          <w:tcPr>
            <w:tcW w:w="1231"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125 –250</w:t>
            </w:r>
          </w:p>
        </w:tc>
        <w:tc>
          <w:tcPr>
            <w:tcW w:w="667" w:type="dxa"/>
            <w:tcBorders>
              <w:top w:val="single" w:sz="12" w:space="0" w:color="000000"/>
              <w:left w:val="single" w:sz="4"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250+</w:t>
            </w:r>
          </w:p>
        </w:tc>
        <w:tc>
          <w:tcPr>
            <w:tcW w:w="855" w:type="dxa"/>
            <w:tcBorders>
              <w:top w:val="single" w:sz="12" w:space="0" w:color="000000"/>
              <w:left w:val="single" w:sz="12"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&lt; 10</w:t>
            </w:r>
          </w:p>
        </w:tc>
        <w:tc>
          <w:tcPr>
            <w:tcW w:w="1040"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10 –125</w:t>
            </w:r>
          </w:p>
        </w:tc>
        <w:tc>
          <w:tcPr>
            <w:tcW w:w="1134"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125 –250</w:t>
            </w:r>
          </w:p>
        </w:tc>
        <w:tc>
          <w:tcPr>
            <w:tcW w:w="709" w:type="dxa"/>
            <w:tcBorders>
              <w:top w:val="single" w:sz="12" w:space="0" w:color="000000"/>
              <w:left w:val="single" w:sz="4"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250+</w:t>
            </w:r>
          </w:p>
        </w:tc>
      </w:tr>
      <w:tr w:rsidR="006F1AE5" w:rsidRPr="00D714FC" w:rsidTr="00863280">
        <w:trPr>
          <w:trHeight w:val="1"/>
        </w:trPr>
        <w:tc>
          <w:tcPr>
            <w:tcW w:w="1364" w:type="dxa"/>
            <w:tcBorders>
              <w:top w:val="single" w:sz="12"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3</w:t>
            </w:r>
          </w:p>
        </w:tc>
        <w:tc>
          <w:tcPr>
            <w:tcW w:w="948" w:type="dxa"/>
            <w:tcBorders>
              <w:top w:val="single" w:sz="12"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949"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1231"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667" w:type="dxa"/>
            <w:tcBorders>
              <w:top w:val="single" w:sz="12"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855" w:type="dxa"/>
            <w:tcBorders>
              <w:top w:val="single" w:sz="12"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040"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134"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709" w:type="dxa"/>
            <w:tcBorders>
              <w:top w:val="single" w:sz="12"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p>
        </w:tc>
      </w:tr>
      <w:tr w:rsidR="006F1AE5" w:rsidRPr="00D714FC" w:rsidTr="00863280">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4</w:t>
            </w:r>
          </w:p>
        </w:tc>
        <w:tc>
          <w:tcPr>
            <w:tcW w:w="948"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667"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855"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70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r>
      <w:tr w:rsidR="006F1AE5" w:rsidRPr="00D714FC" w:rsidTr="00863280">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5</w:t>
            </w:r>
          </w:p>
        </w:tc>
        <w:tc>
          <w:tcPr>
            <w:tcW w:w="948"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667"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855"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c>
          <w:tcPr>
            <w:tcW w:w="70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p>
        </w:tc>
      </w:tr>
      <w:tr w:rsidR="006F1AE5" w:rsidRPr="00D714FC" w:rsidTr="00863280">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6</w:t>
            </w:r>
          </w:p>
        </w:tc>
        <w:tc>
          <w:tcPr>
            <w:tcW w:w="948"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667"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p>
        </w:tc>
        <w:tc>
          <w:tcPr>
            <w:tcW w:w="855" w:type="dxa"/>
            <w:tcBorders>
              <w:top w:val="single" w:sz="4"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709" w:type="dxa"/>
            <w:tcBorders>
              <w:top w:val="single" w:sz="4" w:space="0" w:color="000000"/>
              <w:left w:val="single" w:sz="4" w:space="0" w:color="000000"/>
              <w:bottom w:val="single" w:sz="4"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p>
        </w:tc>
      </w:tr>
      <w:tr w:rsidR="006F1AE5" w:rsidRPr="00D714FC" w:rsidTr="00863280">
        <w:trPr>
          <w:trHeight w:val="1"/>
        </w:trPr>
        <w:tc>
          <w:tcPr>
            <w:tcW w:w="1364" w:type="dxa"/>
            <w:tcBorders>
              <w:top w:val="single" w:sz="4"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6F1AE5" w:rsidRPr="00D714FC" w:rsidRDefault="006F1AE5" w:rsidP="00073B62">
            <w:pPr>
              <w:pStyle w:val="tabletext"/>
            </w:pPr>
            <w:r w:rsidRPr="00D714FC">
              <w:rPr>
                <w:rFonts w:eastAsia="Arial"/>
              </w:rPr>
              <w:t>Part 7</w:t>
            </w:r>
          </w:p>
        </w:tc>
        <w:tc>
          <w:tcPr>
            <w:tcW w:w="948" w:type="dxa"/>
            <w:tcBorders>
              <w:top w:val="single" w:sz="4" w:space="0" w:color="000000"/>
              <w:left w:val="single" w:sz="12"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949" w:type="dxa"/>
            <w:tcBorders>
              <w:top w:val="single" w:sz="4" w:space="0" w:color="000000"/>
              <w:left w:val="single" w:sz="4"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1231" w:type="dxa"/>
            <w:tcBorders>
              <w:top w:val="single" w:sz="4" w:space="0" w:color="000000"/>
              <w:left w:val="single" w:sz="4"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667" w:type="dxa"/>
            <w:tcBorders>
              <w:top w:val="single" w:sz="4" w:space="0" w:color="000000"/>
              <w:left w:val="single" w:sz="4" w:space="0" w:color="000000"/>
              <w:bottom w:val="single" w:sz="12"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r w:rsidRPr="00D714FC">
              <w:sym w:font="Wingdings" w:char="F0FC"/>
            </w:r>
            <w:r w:rsidRPr="00D714FC">
              <w:t>^</w:t>
            </w:r>
          </w:p>
        </w:tc>
        <w:tc>
          <w:tcPr>
            <w:tcW w:w="855" w:type="dxa"/>
            <w:tcBorders>
              <w:top w:val="single" w:sz="4" w:space="0" w:color="000000"/>
              <w:left w:val="single" w:sz="12"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040" w:type="dxa"/>
            <w:tcBorders>
              <w:top w:val="single" w:sz="4" w:space="0" w:color="000000"/>
              <w:left w:val="single" w:sz="4"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1134" w:type="dxa"/>
            <w:tcBorders>
              <w:top w:val="single" w:sz="4" w:space="0" w:color="000000"/>
              <w:left w:val="single" w:sz="4" w:space="0" w:color="000000"/>
              <w:bottom w:val="single" w:sz="12" w:space="0" w:color="000000"/>
              <w:right w:val="single" w:sz="4" w:space="0" w:color="000000"/>
            </w:tcBorders>
            <w:shd w:val="clear" w:color="auto" w:fill="auto"/>
            <w:tcMar>
              <w:left w:w="108" w:type="dxa"/>
              <w:right w:w="108" w:type="dxa"/>
            </w:tcMar>
            <w:vAlign w:val="center"/>
          </w:tcPr>
          <w:p w:rsidR="006F1AE5" w:rsidRPr="00D714FC" w:rsidRDefault="006F1AE5" w:rsidP="00073B62">
            <w:pPr>
              <w:pStyle w:val="tabletext"/>
            </w:pPr>
          </w:p>
        </w:tc>
        <w:tc>
          <w:tcPr>
            <w:tcW w:w="709" w:type="dxa"/>
            <w:tcBorders>
              <w:top w:val="single" w:sz="4" w:space="0" w:color="000000"/>
              <w:left w:val="single" w:sz="4" w:space="0" w:color="000000"/>
              <w:bottom w:val="single" w:sz="12" w:space="0" w:color="000000"/>
              <w:right w:val="single" w:sz="12" w:space="0" w:color="000000"/>
            </w:tcBorders>
            <w:shd w:val="clear" w:color="auto" w:fill="auto"/>
            <w:tcMar>
              <w:left w:w="108" w:type="dxa"/>
              <w:right w:w="108" w:type="dxa"/>
            </w:tcMar>
            <w:vAlign w:val="center"/>
          </w:tcPr>
          <w:p w:rsidR="006F1AE5" w:rsidRPr="00D714FC" w:rsidRDefault="006F1AE5" w:rsidP="00073B62">
            <w:pPr>
              <w:pStyle w:val="tabletext"/>
            </w:pPr>
          </w:p>
        </w:tc>
      </w:tr>
    </w:tbl>
    <w:p w:rsidR="006F1AE5" w:rsidRPr="00D714FC" w:rsidRDefault="006F1AE5" w:rsidP="00621408">
      <w:pPr>
        <w:pStyle w:val="tabletext"/>
        <w:rPr>
          <w:rFonts w:eastAsia="Calibri"/>
        </w:rPr>
      </w:pPr>
      <w:r w:rsidRPr="00D714FC">
        <w:rPr>
          <w:rFonts w:eastAsia="Calibri"/>
        </w:rPr>
        <w:t>* Exempt from the requirement to publish.</w:t>
      </w:r>
      <w:r w:rsidRPr="00D714FC">
        <w:rPr>
          <w:rFonts w:eastAsia="Calibri"/>
        </w:rPr>
        <w:tab/>
      </w:r>
    </w:p>
    <w:p w:rsidR="006F1AE5" w:rsidRPr="00D714FC" w:rsidRDefault="006F1AE5" w:rsidP="00621408">
      <w:pPr>
        <w:pStyle w:val="tabletext"/>
        <w:rPr>
          <w:rFonts w:eastAsia="Calibri"/>
        </w:rPr>
      </w:pPr>
      <w:r w:rsidRPr="00D714FC">
        <w:rPr>
          <w:rFonts w:eastAsia="Calibri"/>
        </w:rPr>
        <w:t>^ Only applies if triggered by the making of a relevant distribution.</w:t>
      </w:r>
    </w:p>
    <w:p w:rsidR="006F1AE5" w:rsidRPr="00D714FC" w:rsidRDefault="006F1AE5" w:rsidP="006F1AE5">
      <w:pPr>
        <w:spacing w:after="0" w:line="240" w:lineRule="auto"/>
        <w:rPr>
          <w:rFonts w:eastAsia="Calibri" w:cs="Times New Roman"/>
        </w:rPr>
      </w:pPr>
    </w:p>
    <w:p w:rsidR="006F1AE5" w:rsidRDefault="00E25672" w:rsidP="007D58A0">
      <w:r>
        <w:t xml:space="preserve">Consistent with the terms of reference, the ACCC </w:t>
      </w:r>
      <w:r w:rsidR="005540E8">
        <w:t xml:space="preserve">has </w:t>
      </w:r>
      <w:r>
        <w:t>consider</w:t>
      </w:r>
      <w:r w:rsidR="008F777B">
        <w:t>ed</w:t>
      </w:r>
      <w:r>
        <w:t xml:space="preserve"> the continued appropriateness of tiered regulation of infrastructure operators, and the potential to streamline or eliminate regulation. </w:t>
      </w:r>
      <w:r w:rsidR="006F1AE5" w:rsidRPr="007D58A0">
        <w:t xml:space="preserve">In its </w:t>
      </w:r>
      <w:r w:rsidR="00004DB5" w:rsidRPr="007D58A0">
        <w:t>Issues Paper</w:t>
      </w:r>
      <w:r w:rsidR="006F1AE5" w:rsidRPr="007D58A0">
        <w:t>, the ACCC sought stakeholders’ views on</w:t>
      </w:r>
      <w:r w:rsidR="005C5A39" w:rsidRPr="007D58A0">
        <w:t xml:space="preserve"> the advantages and disadvantages of the current tiered regulatory approach in the WCIR</w:t>
      </w:r>
      <w:r>
        <w:t xml:space="preserve"> and</w:t>
      </w:r>
      <w:r w:rsidR="005C5A39" w:rsidRPr="007D58A0">
        <w:t xml:space="preserve"> </w:t>
      </w:r>
      <w:r w:rsidR="006F1AE5" w:rsidRPr="007D58A0">
        <w:t>whether the distinction between member-owned and non-</w:t>
      </w:r>
      <w:r w:rsidR="00CD1028" w:rsidRPr="007D58A0">
        <w:t>member-owned</w:t>
      </w:r>
      <w:r w:rsidR="006F1AE5" w:rsidRPr="007D58A0">
        <w:t xml:space="preserve"> operators is still appropriate. </w:t>
      </w:r>
    </w:p>
    <w:p w:rsidR="00B06B1D" w:rsidRDefault="00E25672" w:rsidP="008F777B">
      <w:pPr>
        <w:rPr>
          <w:rFonts w:eastAsia="Calibri" w:cs="Times New Roman"/>
        </w:rPr>
      </w:pPr>
      <w:r>
        <w:t xml:space="preserve">The ACCC’s Draft Advice proposed streamlining </w:t>
      </w:r>
      <w:r w:rsidR="008F777B" w:rsidRPr="00D714FC">
        <w:rPr>
          <w:rFonts w:eastAsia="Calibri" w:cs="Times New Roman"/>
        </w:rPr>
        <w:t xml:space="preserve">the application of the WCIR by removing references to the ownership structure </w:t>
      </w:r>
      <w:r w:rsidR="00F07DC6">
        <w:rPr>
          <w:rFonts w:eastAsia="Calibri" w:cs="Times New Roman"/>
        </w:rPr>
        <w:t xml:space="preserve">or size </w:t>
      </w:r>
      <w:r w:rsidR="008F777B" w:rsidRPr="00D714FC">
        <w:rPr>
          <w:rFonts w:eastAsia="Calibri" w:cs="Times New Roman"/>
        </w:rPr>
        <w:t xml:space="preserve">of an operator in determining the application of </w:t>
      </w:r>
      <w:r w:rsidR="00B06B1D">
        <w:rPr>
          <w:rFonts w:eastAsia="Calibri" w:cs="Times New Roman"/>
        </w:rPr>
        <w:t xml:space="preserve">many of the </w:t>
      </w:r>
      <w:r w:rsidR="008F777B" w:rsidRPr="00D714FC">
        <w:rPr>
          <w:rFonts w:eastAsia="Calibri" w:cs="Times New Roman"/>
        </w:rPr>
        <w:t xml:space="preserve">rules. </w:t>
      </w:r>
      <w:r w:rsidR="00B06B1D" w:rsidRPr="00D714FC">
        <w:rPr>
          <w:rFonts w:cs="Times New Roman"/>
        </w:rPr>
        <w:t xml:space="preserve">This advice </w:t>
      </w:r>
      <w:r w:rsidR="00B06B1D">
        <w:rPr>
          <w:rFonts w:cs="Times New Roman"/>
        </w:rPr>
        <w:t>wa</w:t>
      </w:r>
      <w:r w:rsidR="00B06B1D" w:rsidRPr="00D714FC">
        <w:rPr>
          <w:rFonts w:cs="Times New Roman"/>
        </w:rPr>
        <w:t xml:space="preserve">s made on the basis that concerns relating to the exercise of monopoly power, such as discrimination between certain types or classes of customers, apply equally or even more so to member-owned operators than non-member-owned operators in certain </w:t>
      </w:r>
      <w:r w:rsidR="00B06B1D">
        <w:rPr>
          <w:rFonts w:cs="Times New Roman"/>
        </w:rPr>
        <w:t>circumstances</w:t>
      </w:r>
      <w:r w:rsidR="00B06B1D" w:rsidRPr="00D714FC">
        <w:rPr>
          <w:rFonts w:cs="Times New Roman"/>
        </w:rPr>
        <w:t>.</w:t>
      </w:r>
    </w:p>
    <w:p w:rsidR="008F777B" w:rsidRDefault="008F777B" w:rsidP="008F777B">
      <w:pPr>
        <w:rPr>
          <w:rFonts w:eastAsia="Calibri" w:cs="Times New Roman"/>
        </w:rPr>
      </w:pPr>
      <w:r w:rsidRPr="00D714FC">
        <w:rPr>
          <w:rFonts w:eastAsia="Calibri" w:cs="Times New Roman"/>
        </w:rPr>
        <w:t>Further, the ACCC advise</w:t>
      </w:r>
      <w:r w:rsidR="00190329">
        <w:rPr>
          <w:rFonts w:eastAsia="Calibri" w:cs="Times New Roman"/>
        </w:rPr>
        <w:t>d</w:t>
      </w:r>
      <w:r w:rsidRPr="00D714FC">
        <w:rPr>
          <w:rFonts w:eastAsia="Calibri" w:cs="Times New Roman"/>
        </w:rPr>
        <w:t xml:space="preserve"> that full charge approval / determination be applied only to the infrastructure charges of certain </w:t>
      </w:r>
      <w:r>
        <w:rPr>
          <w:rFonts w:eastAsia="Calibri" w:cs="Times New Roman"/>
        </w:rPr>
        <w:t xml:space="preserve">monopoly </w:t>
      </w:r>
      <w:r w:rsidRPr="00D714FC">
        <w:rPr>
          <w:rFonts w:eastAsia="Calibri" w:cs="Times New Roman"/>
        </w:rPr>
        <w:t>infrastructure operators</w:t>
      </w:r>
      <w:r w:rsidR="00190329">
        <w:rPr>
          <w:rFonts w:eastAsia="Calibri" w:cs="Times New Roman"/>
        </w:rPr>
        <w:t xml:space="preserve">. Rather than setting criteria based on whether the operator was privately or publicly owned, or the volume of water access entitlement serviced, the Draft Advice proposed limiting this intensive form of regulation to those operators </w:t>
      </w:r>
      <w:r w:rsidRPr="00D714FC">
        <w:rPr>
          <w:rFonts w:eastAsia="Calibri" w:cs="Times New Roman"/>
        </w:rPr>
        <w:t>wh</w:t>
      </w:r>
      <w:r w:rsidR="00190329">
        <w:rPr>
          <w:rFonts w:eastAsia="Calibri" w:cs="Times New Roman"/>
        </w:rPr>
        <w:t>ich</w:t>
      </w:r>
      <w:r w:rsidRPr="00D714FC">
        <w:rPr>
          <w:rFonts w:eastAsia="Calibri" w:cs="Times New Roman"/>
        </w:rPr>
        <w:t xml:space="preserve"> </w:t>
      </w:r>
      <w:r>
        <w:rPr>
          <w:rFonts w:eastAsia="Calibri" w:cs="Times New Roman"/>
        </w:rPr>
        <w:t>have a monopoly on the provision of infrastructure services for the storage or delivery of water</w:t>
      </w:r>
      <w:r w:rsidRPr="00D714FC">
        <w:rPr>
          <w:rFonts w:eastAsia="Calibri" w:cs="Times New Roman"/>
        </w:rPr>
        <w:t xml:space="preserve"> </w:t>
      </w:r>
      <w:r>
        <w:rPr>
          <w:rFonts w:eastAsia="Calibri" w:cs="Times New Roman"/>
        </w:rPr>
        <w:t xml:space="preserve">in </w:t>
      </w:r>
      <w:r w:rsidR="00305456">
        <w:rPr>
          <w:rFonts w:eastAsia="Calibri" w:cs="Times New Roman"/>
        </w:rPr>
        <w:t>respect of</w:t>
      </w:r>
      <w:r>
        <w:rPr>
          <w:rFonts w:eastAsia="Calibri" w:cs="Times New Roman"/>
        </w:rPr>
        <w:t xml:space="preserve"> water access rights</w:t>
      </w:r>
      <w:r w:rsidR="00190329">
        <w:rPr>
          <w:rFonts w:eastAsia="Calibri" w:cs="Times New Roman"/>
        </w:rPr>
        <w:t xml:space="preserve"> or in relation to water sharing arrangements between states</w:t>
      </w:r>
      <w:r>
        <w:rPr>
          <w:rFonts w:eastAsia="Calibri" w:cs="Times New Roman"/>
        </w:rPr>
        <w:t xml:space="preserve"> </w:t>
      </w:r>
      <w:r w:rsidRPr="00D714FC">
        <w:rPr>
          <w:rFonts w:eastAsia="Calibri" w:cs="Times New Roman"/>
        </w:rPr>
        <w:t>(see section</w:t>
      </w:r>
      <w:r w:rsidR="00305456">
        <w:rPr>
          <w:rFonts w:eastAsia="Calibri" w:cs="Times New Roman"/>
        </w:rPr>
        <w:t>s</w:t>
      </w:r>
      <w:r w:rsidRPr="00D714FC">
        <w:rPr>
          <w:rFonts w:eastAsia="Calibri" w:cs="Times New Roman"/>
        </w:rPr>
        <w:t xml:space="preserve"> </w:t>
      </w:r>
      <w:r w:rsidR="00305456">
        <w:rPr>
          <w:rFonts w:eastAsia="Calibri" w:cs="Times New Roman"/>
        </w:rPr>
        <w:t>5.6 and 5.12</w:t>
      </w:r>
      <w:r w:rsidRPr="00D714FC">
        <w:rPr>
          <w:rFonts w:eastAsia="Calibri" w:cs="Times New Roman"/>
        </w:rPr>
        <w:t xml:space="preserve">). </w:t>
      </w:r>
    </w:p>
    <w:p w:rsidR="008F777B" w:rsidRPr="00D714FC" w:rsidRDefault="008F777B" w:rsidP="008F777B">
      <w:pPr>
        <w:rPr>
          <w:rFonts w:cs="Times New Roman"/>
        </w:rPr>
      </w:pPr>
      <w:r w:rsidRPr="00D714FC">
        <w:rPr>
          <w:rFonts w:eastAsia="Calibri" w:cs="Times New Roman"/>
        </w:rPr>
        <w:t>The streamlined approach, together with</w:t>
      </w:r>
      <w:r>
        <w:rPr>
          <w:rFonts w:eastAsia="Calibri" w:cs="Times New Roman"/>
        </w:rPr>
        <w:t xml:space="preserve"> the </w:t>
      </w:r>
      <w:r w:rsidRPr="00D714FC">
        <w:rPr>
          <w:rFonts w:eastAsia="Calibri" w:cs="Times New Roman"/>
        </w:rPr>
        <w:t xml:space="preserve">strengthened non-discrimination provisions (see section </w:t>
      </w:r>
      <w:r w:rsidR="007F659D">
        <w:rPr>
          <w:rFonts w:eastAsia="Calibri" w:cs="Times New Roman"/>
        </w:rPr>
        <w:t>5.3</w:t>
      </w:r>
      <w:r w:rsidRPr="00D714FC">
        <w:rPr>
          <w:rFonts w:eastAsia="Calibri" w:cs="Times New Roman"/>
        </w:rPr>
        <w:t xml:space="preserve">) and pricing transparency provisions (see section 5.4), </w:t>
      </w:r>
      <w:r w:rsidR="00190329">
        <w:rPr>
          <w:rFonts w:eastAsia="Calibri" w:cs="Times New Roman"/>
        </w:rPr>
        <w:t xml:space="preserve">would </w:t>
      </w:r>
      <w:r w:rsidRPr="00D714FC">
        <w:rPr>
          <w:rFonts w:eastAsia="Calibri" w:cs="Times New Roman"/>
        </w:rPr>
        <w:t xml:space="preserve">provide an appropriate level of regulation while decreasing the regulatory burden faced by many operators. </w:t>
      </w:r>
    </w:p>
    <w:p w:rsidR="00C15DC3" w:rsidRPr="007D58A0" w:rsidRDefault="008F777B" w:rsidP="00C15DC3">
      <w:r w:rsidRPr="00D714FC">
        <w:t xml:space="preserve">The intent of the proposed new structure of the water charge rules </w:t>
      </w:r>
      <w:r w:rsidR="00190329">
        <w:t>set out in the Draft Advice wa</w:t>
      </w:r>
      <w:r w:rsidRPr="00D714FC">
        <w:t xml:space="preserve">s that operators </w:t>
      </w:r>
      <w:r w:rsidR="00190329">
        <w:t xml:space="preserve">would be </w:t>
      </w:r>
      <w:r w:rsidRPr="00D714FC">
        <w:t>subject to a more consistent set of requirements</w:t>
      </w:r>
      <w:r w:rsidR="00190329">
        <w:t xml:space="preserve">, and the customers of the operators afforded a consistent level of protection. </w:t>
      </w:r>
      <w:r w:rsidRPr="00D714FC">
        <w:t xml:space="preserve">Moreover, since the test for whether an infrastructure operator is member-owned relates to whether the majority of the operator’s customers are </w:t>
      </w:r>
      <w:r w:rsidR="00621408">
        <w:t>‘</w:t>
      </w:r>
      <w:r w:rsidRPr="00D714FC">
        <w:t>related customers</w:t>
      </w:r>
      <w:r w:rsidR="00621408">
        <w:t>’</w:t>
      </w:r>
      <w:r w:rsidRPr="00D714FC">
        <w:t>,</w:t>
      </w:r>
      <w:r w:rsidRPr="00D714FC">
        <w:rPr>
          <w:rStyle w:val="FootnoteReference"/>
          <w:rFonts w:cs="Times New Roman"/>
        </w:rPr>
        <w:footnoteReference w:id="94"/>
      </w:r>
      <w:r w:rsidRPr="00D714FC">
        <w:t xml:space="preserve"> it is possible for the structure of an operator’s demand or customer base to change such that under this test, a non-member owned operator becomes a member-owned operator and vice versa. </w:t>
      </w:r>
      <w:r w:rsidR="00DA2172">
        <w:t xml:space="preserve">The ACCC considers </w:t>
      </w:r>
      <w:r w:rsidRPr="00D714FC">
        <w:t xml:space="preserve">that </w:t>
      </w:r>
      <w:r w:rsidR="00B56C00">
        <w:t xml:space="preserve">the </w:t>
      </w:r>
      <w:r w:rsidRPr="00D714FC">
        <w:t xml:space="preserve">application of the rules </w:t>
      </w:r>
      <w:r w:rsidR="00B56C00">
        <w:t>should</w:t>
      </w:r>
      <w:r w:rsidR="00B56C00" w:rsidRPr="00D714FC">
        <w:t xml:space="preserve"> </w:t>
      </w:r>
      <w:r w:rsidRPr="00D714FC">
        <w:t xml:space="preserve">not suddenly alter due to such factors as an operator’s changing customer base or demand profile. </w:t>
      </w:r>
    </w:p>
    <w:p w:rsidR="006F1AE5" w:rsidRPr="00D714FC" w:rsidRDefault="006F1AE5" w:rsidP="00FC64B5">
      <w:pPr>
        <w:pStyle w:val="Heading3Un-numbered"/>
      </w:pPr>
      <w:r w:rsidRPr="00D714FC">
        <w:t>Stakeholder feedback</w:t>
      </w:r>
    </w:p>
    <w:p w:rsidR="006D7D24" w:rsidRDefault="0053502A" w:rsidP="006F1AE5">
      <w:pPr>
        <w:rPr>
          <w:rFonts w:cs="Times New Roman"/>
        </w:rPr>
      </w:pPr>
      <w:r w:rsidRPr="00D714FC">
        <w:rPr>
          <w:rFonts w:cs="Times New Roman"/>
        </w:rPr>
        <w:t>The ACCC received a range of views on the current</w:t>
      </w:r>
      <w:r w:rsidR="006D7D24" w:rsidRPr="00D714FC">
        <w:rPr>
          <w:rFonts w:cs="Times New Roman"/>
        </w:rPr>
        <w:t xml:space="preserve"> tiered application of the WCIR</w:t>
      </w:r>
      <w:r w:rsidR="005A4ED0">
        <w:rPr>
          <w:rFonts w:cs="Times New Roman"/>
        </w:rPr>
        <w:t xml:space="preserve"> in response to its Issues Paper</w:t>
      </w:r>
      <w:r w:rsidR="00DD2EF1" w:rsidRPr="00D714FC">
        <w:rPr>
          <w:rFonts w:cs="Times New Roman"/>
        </w:rPr>
        <w:t>;</w:t>
      </w:r>
      <w:r w:rsidR="006D7D24" w:rsidRPr="00D714FC">
        <w:rPr>
          <w:rFonts w:cs="Times New Roman"/>
        </w:rPr>
        <w:t xml:space="preserve"> however, there was general support for </w:t>
      </w:r>
      <w:r w:rsidR="00F058D8" w:rsidRPr="00D714FC">
        <w:rPr>
          <w:rFonts w:cs="Times New Roman"/>
        </w:rPr>
        <w:t xml:space="preserve">a </w:t>
      </w:r>
      <w:r w:rsidR="00DA2172">
        <w:rPr>
          <w:rFonts w:cs="Times New Roman"/>
        </w:rPr>
        <w:t xml:space="preserve">more </w:t>
      </w:r>
      <w:r w:rsidR="00E841D9" w:rsidRPr="00D714FC">
        <w:rPr>
          <w:rFonts w:cs="Times New Roman"/>
        </w:rPr>
        <w:t>light</w:t>
      </w:r>
      <w:r w:rsidR="00DA2172">
        <w:rPr>
          <w:rFonts w:cs="Times New Roman"/>
        </w:rPr>
        <w:t>-handed</w:t>
      </w:r>
      <w:r w:rsidR="00E841D9" w:rsidRPr="00D714FC">
        <w:rPr>
          <w:rFonts w:cs="Times New Roman"/>
        </w:rPr>
        <w:t xml:space="preserve"> approach </w:t>
      </w:r>
      <w:r w:rsidR="00F058D8" w:rsidRPr="00D714FC">
        <w:rPr>
          <w:rFonts w:cs="Times New Roman"/>
        </w:rPr>
        <w:t xml:space="preserve">such as is currently applied in </w:t>
      </w:r>
      <w:r w:rsidR="00E841D9" w:rsidRPr="00D714FC">
        <w:rPr>
          <w:rFonts w:cs="Times New Roman"/>
        </w:rPr>
        <w:t>regulation of member-owned operators</w:t>
      </w:r>
      <w:r w:rsidR="00AF4408" w:rsidRPr="00D714FC">
        <w:rPr>
          <w:rFonts w:cs="Times New Roman"/>
        </w:rPr>
        <w:t>,</w:t>
      </w:r>
      <w:r w:rsidR="00E841D9" w:rsidRPr="00D714FC">
        <w:rPr>
          <w:rFonts w:cs="Times New Roman"/>
        </w:rPr>
        <w:t xml:space="preserve"> as opposed to requirements imposed on certain non-</w:t>
      </w:r>
      <w:r w:rsidR="00CD1028" w:rsidRPr="00D714FC">
        <w:rPr>
          <w:rFonts w:cs="Times New Roman"/>
        </w:rPr>
        <w:t>member-owned</w:t>
      </w:r>
      <w:r w:rsidR="00E841D9" w:rsidRPr="00D714FC">
        <w:rPr>
          <w:rFonts w:cs="Times New Roman"/>
        </w:rPr>
        <w:t xml:space="preserve"> </w:t>
      </w:r>
      <w:r w:rsidR="00621408">
        <w:rPr>
          <w:rFonts w:cs="Times New Roman"/>
        </w:rPr>
        <w:t xml:space="preserve">(generally government-owned) </w:t>
      </w:r>
      <w:r w:rsidR="00E841D9" w:rsidRPr="00D714FC">
        <w:rPr>
          <w:rFonts w:cs="Times New Roman"/>
        </w:rPr>
        <w:t xml:space="preserve">operators via Part 6 of the WCIR. </w:t>
      </w:r>
      <w:r w:rsidR="00D27342">
        <w:rPr>
          <w:rFonts w:cs="Times New Roman"/>
        </w:rPr>
        <w:t xml:space="preserve">Several </w:t>
      </w:r>
      <w:r w:rsidR="005A4ED0">
        <w:rPr>
          <w:rFonts w:cs="Times New Roman"/>
        </w:rPr>
        <w:t>stakeholders supported there being a distinction between member-owned operators and non-member-owned operators, based on the argument</w:t>
      </w:r>
      <w:r w:rsidR="00AE3C3D">
        <w:rPr>
          <w:rFonts w:cs="Times New Roman"/>
        </w:rPr>
        <w:t>s</w:t>
      </w:r>
      <w:r w:rsidR="005A4ED0">
        <w:rPr>
          <w:rFonts w:cs="Times New Roman"/>
        </w:rPr>
        <w:t xml:space="preserve"> that member-owned operators do not have incentives to seek monopoly rents</w:t>
      </w:r>
      <w:r w:rsidR="00AE3C3D">
        <w:rPr>
          <w:rFonts w:cs="Times New Roman"/>
        </w:rPr>
        <w:t xml:space="preserve"> and</w:t>
      </w:r>
      <w:r w:rsidR="008B121E">
        <w:rPr>
          <w:rFonts w:cs="Times New Roman"/>
        </w:rPr>
        <w:t xml:space="preserve"> </w:t>
      </w:r>
      <w:r w:rsidR="00AE3C3D">
        <w:rPr>
          <w:rFonts w:cs="Times New Roman"/>
        </w:rPr>
        <w:t>/</w:t>
      </w:r>
      <w:r w:rsidR="008B121E">
        <w:rPr>
          <w:rFonts w:cs="Times New Roman"/>
        </w:rPr>
        <w:t xml:space="preserve"> </w:t>
      </w:r>
      <w:r w:rsidR="00AE3C3D">
        <w:rPr>
          <w:rFonts w:cs="Times New Roman"/>
        </w:rPr>
        <w:t>or that member-owned operators act in the interests of their members</w:t>
      </w:r>
      <w:r w:rsidR="005A4ED0">
        <w:rPr>
          <w:rFonts w:cs="Times New Roman"/>
        </w:rPr>
        <w:t>.</w:t>
      </w:r>
      <w:r w:rsidR="005A4ED0">
        <w:rPr>
          <w:rStyle w:val="FootnoteReference"/>
          <w:rFonts w:cs="Times New Roman"/>
        </w:rPr>
        <w:footnoteReference w:id="95"/>
      </w:r>
    </w:p>
    <w:p w:rsidR="006D11D6" w:rsidRDefault="00D27342" w:rsidP="006D11D6">
      <w:r>
        <w:t>In response to the Draft Advice, a</w:t>
      </w:r>
      <w:r w:rsidR="006D11D6">
        <w:t xml:space="preserve"> number of stakeholders submitted that they support the ACCC’s approach to streamline the tiered application of the water charge rules. Goulburn-Murray Water </w:t>
      </w:r>
      <w:r w:rsidR="00DA3505">
        <w:t xml:space="preserve">(GMW) </w:t>
      </w:r>
      <w:r w:rsidR="006D11D6">
        <w:t>noted that it would promote greater consistency and simplicity, and contribute to the principle of competitive neutrality.</w:t>
      </w:r>
      <w:r w:rsidR="006D11D6" w:rsidRPr="00AD5608">
        <w:rPr>
          <w:rStyle w:val="FootnoteReference"/>
          <w:rFonts w:cs="Times New Roman"/>
          <w:sz w:val="20"/>
          <w:szCs w:val="20"/>
        </w:rPr>
        <w:footnoteReference w:id="96"/>
      </w:r>
      <w:r w:rsidR="006D11D6">
        <w:t xml:space="preserve"> The Commonwealth Environmental Water Holder noted that the consistent application of the rules would facilitate and support an efficient water market.</w:t>
      </w:r>
      <w:r w:rsidR="006D11D6" w:rsidRPr="00276D3B">
        <w:rPr>
          <w:rStyle w:val="FootnoteReference"/>
          <w:rFonts w:cs="Times New Roman"/>
          <w:sz w:val="20"/>
          <w:szCs w:val="20"/>
        </w:rPr>
        <w:footnoteReference w:id="97"/>
      </w:r>
      <w:r w:rsidR="006D11D6">
        <w:t xml:space="preserve"> Lower</w:t>
      </w:r>
      <w:r w:rsidR="0076282A">
        <w:t xml:space="preserve"> </w:t>
      </w:r>
      <w:r w:rsidR="006D11D6">
        <w:t>Murray Water (LMW) welcomed a consistent approach “aimed at minimising the cost to its customers”.</w:t>
      </w:r>
      <w:r w:rsidR="006D11D6" w:rsidRPr="000E5713">
        <w:rPr>
          <w:rStyle w:val="FootnoteReference"/>
          <w:rFonts w:cs="Times New Roman"/>
          <w:sz w:val="20"/>
          <w:szCs w:val="20"/>
        </w:rPr>
        <w:footnoteReference w:id="98"/>
      </w:r>
    </w:p>
    <w:p w:rsidR="006D11D6" w:rsidRDefault="006D11D6" w:rsidP="006D11D6">
      <w:r>
        <w:t>The Victorian Farmers</w:t>
      </w:r>
      <w:r w:rsidR="00874041">
        <w:t>’</w:t>
      </w:r>
      <w:r>
        <w:t xml:space="preserve"> Federation (VFF) and LMW commented on the tiered regulatory approach as it applies to Victorian infrastructure operators. The VFF noted that it supports the existing tiered approach because of its view that “a higher level of regulation is appropriate for non-member owned infrastructure operators”, </w:t>
      </w:r>
      <w:r w:rsidR="00D27342">
        <w:t>and in view of the fact that</w:t>
      </w:r>
      <w:r>
        <w:t xml:space="preserve"> operators in Victoria are not member-owned.</w:t>
      </w:r>
      <w:r w:rsidRPr="000E5713">
        <w:rPr>
          <w:rStyle w:val="FootnoteReference"/>
          <w:rFonts w:cs="Times New Roman"/>
          <w:sz w:val="20"/>
          <w:szCs w:val="20"/>
        </w:rPr>
        <w:footnoteReference w:id="99"/>
      </w:r>
      <w:r>
        <w:t xml:space="preserve"> However, the VFF note</w:t>
      </w:r>
      <w:r w:rsidR="00D27342">
        <w:t>d</w:t>
      </w:r>
      <w:r>
        <w:t xml:space="preserve"> that the proposed amendments, which remove the tiered approach, affect the mechanisms, but not the level, of regulation applying to Victorian operators. In comparison, LMW commented on what it view</w:t>
      </w:r>
      <w:r w:rsidR="00D27342">
        <w:t>ed</w:t>
      </w:r>
      <w:r>
        <w:t xml:space="preserve"> </w:t>
      </w:r>
      <w:r w:rsidR="00D27342">
        <w:t>a</w:t>
      </w:r>
      <w:r>
        <w:t>s a “discrepancy” in the existing tiered approach to regulation.</w:t>
      </w:r>
      <w:r w:rsidRPr="000E5713">
        <w:rPr>
          <w:rStyle w:val="FootnoteReference"/>
          <w:rFonts w:cs="Times New Roman"/>
          <w:color w:val="000000"/>
          <w:sz w:val="20"/>
          <w:szCs w:val="20"/>
        </w:rPr>
        <w:footnoteReference w:id="100"/>
      </w:r>
      <w:r>
        <w:t xml:space="preserve"> LMW note</w:t>
      </w:r>
      <w:r w:rsidR="00D27342">
        <w:t>d</w:t>
      </w:r>
      <w:r>
        <w:t xml:space="preserve"> that under the ownership criteria of the tiered structure</w:t>
      </w:r>
      <w:r w:rsidR="00D27342">
        <w:t>,</w:t>
      </w:r>
      <w:r>
        <w:t xml:space="preserve"> it is a Tier 3 operator; yet larger (in terms of customers and volume of water use) member-owned infrastructure operators (Murray Irrigation Limited</w:t>
      </w:r>
      <w:r w:rsidR="008621D4">
        <w:t xml:space="preserve"> (MIL)</w:t>
      </w:r>
      <w:r>
        <w:t xml:space="preserve"> and Murrumbidgee Irrigation Limited</w:t>
      </w:r>
      <w:r w:rsidR="008621D4">
        <w:t xml:space="preserve"> (MI)</w:t>
      </w:r>
      <w:r>
        <w:t>) are only Tier 2 operators.</w:t>
      </w:r>
      <w:r>
        <w:rPr>
          <w:rStyle w:val="FootnoteReference"/>
        </w:rPr>
        <w:footnoteReference w:id="101"/>
      </w:r>
      <w:r>
        <w:t xml:space="preserve"> </w:t>
      </w:r>
    </w:p>
    <w:p w:rsidR="006D11D6" w:rsidRDefault="006D11D6" w:rsidP="00FE665C">
      <w:pPr>
        <w:spacing w:after="120"/>
      </w:pPr>
      <w:r>
        <w:t xml:space="preserve">The levels of regulation applying to member-owned operators </w:t>
      </w:r>
      <w:r w:rsidR="00D91A18">
        <w:t>w</w:t>
      </w:r>
      <w:r w:rsidR="002C726A">
        <w:t>as a</w:t>
      </w:r>
      <w:r>
        <w:t xml:space="preserve"> key issue for the National Irrigators’ Council (NIC).</w:t>
      </w:r>
      <w:r>
        <w:rPr>
          <w:rStyle w:val="FootnoteReference"/>
        </w:rPr>
        <w:footnoteReference w:id="102"/>
      </w:r>
      <w:r>
        <w:t xml:space="preserve"> The NIC </w:t>
      </w:r>
      <w:r w:rsidR="00D91A18">
        <w:t>argued</w:t>
      </w:r>
      <w:r>
        <w:t>:</w:t>
      </w:r>
    </w:p>
    <w:p w:rsidR="006D11D6" w:rsidRDefault="006D11D6" w:rsidP="00A82DE6">
      <w:pPr>
        <w:pStyle w:val="Lvl1Bulletpoint"/>
      </w:pPr>
      <w:r>
        <w:t>the ACCC ha</w:t>
      </w:r>
      <w:r w:rsidR="00D91A18">
        <w:t>d</w:t>
      </w:r>
      <w:r>
        <w:t xml:space="preserve"> not had regard to the governance arrangements of member-owned operators and their historical and current charging arrangements. Therefore, in providing its advice, the ACCC ha</w:t>
      </w:r>
      <w:r w:rsidR="00D91A18">
        <w:t>d</w:t>
      </w:r>
      <w:r>
        <w:t xml:space="preserve"> not complied with </w:t>
      </w:r>
      <w:r w:rsidR="009B5565">
        <w:t>sub</w:t>
      </w:r>
      <w:r>
        <w:t xml:space="preserve">section 93(3) of the </w:t>
      </w:r>
      <w:r w:rsidRPr="00610501">
        <w:rPr>
          <w:i/>
        </w:rPr>
        <w:t>Water Act</w:t>
      </w:r>
      <w:r w:rsidR="00610501" w:rsidRPr="00610501">
        <w:rPr>
          <w:i/>
        </w:rPr>
        <w:t xml:space="preserve"> 2007</w:t>
      </w:r>
      <w:r>
        <w:t>.</w:t>
      </w:r>
      <w:r>
        <w:rPr>
          <w:rStyle w:val="FootnoteReference"/>
        </w:rPr>
        <w:footnoteReference w:id="103"/>
      </w:r>
      <w:r>
        <w:t xml:space="preserve"> </w:t>
      </w:r>
    </w:p>
    <w:p w:rsidR="006D11D6" w:rsidRDefault="006D11D6" w:rsidP="00A82DE6">
      <w:pPr>
        <w:pStyle w:val="Lvl1Bulletpoint"/>
      </w:pPr>
      <w:r>
        <w:t>“the public policy position has always been that member-owned operators… should be less heavily regulated”</w:t>
      </w:r>
      <w:r w:rsidR="00D91A18">
        <w:t xml:space="preserve">—and </w:t>
      </w:r>
      <w:r>
        <w:t>that the ACCC should maintain this position unless there is evidence of member-owned operators taking advantage of their market power. The NIC is of the view that the ACCC has not provided this evidence.</w:t>
      </w:r>
      <w:r>
        <w:rPr>
          <w:rStyle w:val="FootnoteReference"/>
        </w:rPr>
        <w:footnoteReference w:id="104"/>
      </w:r>
      <w:r>
        <w:t xml:space="preserve"> </w:t>
      </w:r>
    </w:p>
    <w:p w:rsidR="006D11D6" w:rsidRDefault="006D11D6" w:rsidP="00A82DE6">
      <w:pPr>
        <w:pStyle w:val="Lvl1Bulletpoint"/>
      </w:pPr>
      <w:r>
        <w:t>the effect of the proposed amendments will be reduced innovation and flexibility (i.e. “tell[ing] member-owned operators how to charge”).</w:t>
      </w:r>
      <w:r>
        <w:rPr>
          <w:rStyle w:val="FootnoteReference"/>
        </w:rPr>
        <w:footnoteReference w:id="105"/>
      </w:r>
      <w:r>
        <w:t xml:space="preserve"> </w:t>
      </w:r>
    </w:p>
    <w:p w:rsidR="006D11D6" w:rsidRDefault="006D11D6" w:rsidP="00FE665C">
      <w:pPr>
        <w:spacing w:after="120"/>
      </w:pPr>
      <w:r>
        <w:t>The NIC noted that current charging arrangements</w:t>
      </w:r>
      <w:r w:rsidR="00D27342">
        <w:t xml:space="preserve"> of its members</w:t>
      </w:r>
      <w:r>
        <w:t xml:space="preserve">: </w:t>
      </w:r>
    </w:p>
    <w:p w:rsidR="006D11D6" w:rsidRDefault="006D11D6" w:rsidP="00A82DE6">
      <w:pPr>
        <w:pStyle w:val="Lvl1Bulletpoint"/>
      </w:pPr>
      <w:r>
        <w:t xml:space="preserve">have been developed and refined over long periods by elected representatives of each operator’s customers </w:t>
      </w:r>
    </w:p>
    <w:p w:rsidR="006D11D6" w:rsidRDefault="006D11D6" w:rsidP="00A82DE6">
      <w:pPr>
        <w:pStyle w:val="Lvl1Bulletpoint"/>
      </w:pPr>
      <w:r>
        <w:t>have long histories which explain their current structures</w:t>
      </w:r>
    </w:p>
    <w:p w:rsidR="006D11D6" w:rsidRDefault="006D11D6" w:rsidP="00A82DE6">
      <w:pPr>
        <w:pStyle w:val="Lvl1Bulletpoint"/>
      </w:pPr>
      <w:r>
        <w:t>should not be disturbed lightly.</w:t>
      </w:r>
    </w:p>
    <w:p w:rsidR="006D11D6" w:rsidRDefault="006D11D6" w:rsidP="006D11D6">
      <w:r>
        <w:t>The NIC conclude</w:t>
      </w:r>
      <w:r w:rsidR="00D91A18">
        <w:t>d</w:t>
      </w:r>
      <w:r>
        <w:t xml:space="preserve"> that the</w:t>
      </w:r>
      <w:r w:rsidR="00D91A18">
        <w:t xml:space="preserve"> Marsden Jacob report, and </w:t>
      </w:r>
      <w:r w:rsidR="00B0225F">
        <w:t>Australian Bureau of Agricultural and Resource Economics and Sciences (</w:t>
      </w:r>
      <w:r w:rsidR="00D91A18">
        <w:t>ABARES</w:t>
      </w:r>
      <w:r w:rsidR="00B0225F">
        <w:t>)</w:t>
      </w:r>
      <w:r w:rsidR="00D91A18">
        <w:t xml:space="preserve"> survey </w:t>
      </w:r>
      <w:r>
        <w:t>report</w:t>
      </w:r>
      <w:r w:rsidR="00D91A18">
        <w:t xml:space="preserve"> cited in the Draft Advice</w:t>
      </w:r>
      <w:r>
        <w:t xml:space="preserve"> support the argument that member-owned operators should be less heavily regulated and that “there is a compelling case for reducing the regulatory burden on member-owned operators”.</w:t>
      </w:r>
      <w:r>
        <w:rPr>
          <w:rStyle w:val="FootnoteReference"/>
        </w:rPr>
        <w:footnoteReference w:id="106"/>
      </w:r>
    </w:p>
    <w:p w:rsidR="006D11D6" w:rsidRDefault="006D11D6" w:rsidP="006D11D6">
      <w:r>
        <w:t>The NIC disagree</w:t>
      </w:r>
      <w:r w:rsidR="00054EBC">
        <w:t>d</w:t>
      </w:r>
      <w:r>
        <w:t xml:space="preserve"> that the ACCC has </w:t>
      </w:r>
      <w:r w:rsidR="00DA2172">
        <w:t>simplified</w:t>
      </w:r>
      <w:r>
        <w:t xml:space="preserve"> the regulatory framework </w:t>
      </w:r>
      <w:r w:rsidR="00DA2172">
        <w:t xml:space="preserve">as, in its view, the proposals would be </w:t>
      </w:r>
      <w:r>
        <w:t>“[a]dding voluminous new regulations and applying them to all infrastructure operators”.</w:t>
      </w:r>
      <w:r w:rsidR="00D91A18">
        <w:rPr>
          <w:rStyle w:val="FootnoteReference"/>
        </w:rPr>
        <w:footnoteReference w:id="107"/>
      </w:r>
      <w:r>
        <w:t xml:space="preserve"> </w:t>
      </w:r>
    </w:p>
    <w:p w:rsidR="006D11D6" w:rsidRDefault="006D11D6" w:rsidP="00FE665C">
      <w:pPr>
        <w:spacing w:after="120"/>
      </w:pPr>
      <w:r>
        <w:t xml:space="preserve">Western Murray Irrigation (WMI) and the National Farmers’ Federation (NFF) also </w:t>
      </w:r>
      <w:r w:rsidR="00D91A18">
        <w:t>submitted</w:t>
      </w:r>
      <w:r w:rsidR="00D27342">
        <w:t xml:space="preserve"> that</w:t>
      </w:r>
      <w:r w:rsidR="00D91A18">
        <w:t>:</w:t>
      </w:r>
    </w:p>
    <w:p w:rsidR="006D11D6" w:rsidRDefault="006D11D6" w:rsidP="00A82DE6">
      <w:pPr>
        <w:pStyle w:val="Lvl1Bulletpoint"/>
      </w:pPr>
      <w:r>
        <w:t>the governance arrangements in member-owned operators support reduced regulation. WMI noted that it is owned and governed by its customers and is not-for-profit.</w:t>
      </w:r>
      <w:r>
        <w:rPr>
          <w:rStyle w:val="FootnoteReference"/>
        </w:rPr>
        <w:footnoteReference w:id="108"/>
      </w:r>
      <w:r>
        <w:t xml:space="preserve"> The NFF also noted that the governance arrangements provide </w:t>
      </w:r>
      <w:r w:rsidR="00D27342">
        <w:t xml:space="preserve">a </w:t>
      </w:r>
      <w:r>
        <w:t xml:space="preserve">“sufficient avenue for end users to debate issues on service and price” and “provide customers with the opportunity to have their say”. The NFF </w:t>
      </w:r>
      <w:r w:rsidR="00D27342">
        <w:t>was</w:t>
      </w:r>
      <w:r>
        <w:t xml:space="preserve"> concerned that the governance arrangements have been “discounted by the ACCC”.</w:t>
      </w:r>
    </w:p>
    <w:p w:rsidR="006D11D6" w:rsidRDefault="006D11D6" w:rsidP="00A82DE6">
      <w:pPr>
        <w:pStyle w:val="Lvl1Bulletpoint"/>
      </w:pPr>
      <w:r>
        <w:t>the ACCC has not provided evidence to support changes to the regulations that apply to member-owned operators (WMI).</w:t>
      </w:r>
    </w:p>
    <w:p w:rsidR="006D11D6" w:rsidRDefault="006D11D6" w:rsidP="00A82DE6">
      <w:pPr>
        <w:pStyle w:val="Lvl1Bulletpoint"/>
      </w:pPr>
      <w:r>
        <w:t>the proposed amendments represent an increase in regulatory burden and consequently, increased costs for customers. WMI added that new regulation “…stifles innovation, and renders Australian industry increasingly globally uncompetitive”.</w:t>
      </w:r>
    </w:p>
    <w:p w:rsidR="006D11D6" w:rsidRDefault="006D11D6" w:rsidP="00D91A18">
      <w:r>
        <w:t>Mr Tom Loffler and the South Australian Murray Irrigators (SAMI) also commented on governance arrangements in member-owned operators, providing a different perspective to that of the NIC, NFF and WMI.</w:t>
      </w:r>
    </w:p>
    <w:p w:rsidR="006D11D6" w:rsidRDefault="006D11D6" w:rsidP="00FE665C">
      <w:pPr>
        <w:spacing w:after="120"/>
      </w:pPr>
      <w:r>
        <w:t>SAMI submitted:</w:t>
      </w:r>
    </w:p>
    <w:p w:rsidR="006D11D6" w:rsidRDefault="006D11D6" w:rsidP="007F1A8D">
      <w:pPr>
        <w:pStyle w:val="Quote"/>
      </w:pPr>
      <w:r>
        <w:t xml:space="preserve">“Trust infrastructure will always be protected by its management board as it should. However, sometimes this is in conflicting interest to the financial and delivery constraints of the individual irrigation business. The democratic system of majority rule is not protecting the rights of the individual landholder due to apathy, ignorance and defeatism. Many members approached </w:t>
      </w:r>
      <w:r w:rsidR="00671D10">
        <w:t xml:space="preserve">[by SAMI] </w:t>
      </w:r>
      <w:r>
        <w:t>ensured anonymity before giving comment for this submission”.</w:t>
      </w:r>
      <w:r w:rsidRPr="00877C09">
        <w:rPr>
          <w:rStyle w:val="FootnoteReference"/>
          <w:rFonts w:cs="Times New Roman"/>
          <w:i w:val="0"/>
          <w:sz w:val="20"/>
          <w:szCs w:val="20"/>
        </w:rPr>
        <w:footnoteReference w:id="109"/>
      </w:r>
    </w:p>
    <w:p w:rsidR="006D11D6" w:rsidRDefault="006D11D6" w:rsidP="00FE665C">
      <w:pPr>
        <w:spacing w:after="120"/>
      </w:pPr>
      <w:r>
        <w:t>Mr Tom Loffler submitted:</w:t>
      </w:r>
    </w:p>
    <w:p w:rsidR="006D11D6" w:rsidRDefault="006D11D6" w:rsidP="007F1A8D">
      <w:pPr>
        <w:pStyle w:val="Quote"/>
      </w:pPr>
      <w:r>
        <w:t>“</w:t>
      </w:r>
      <w:r w:rsidR="00996599">
        <w:t xml:space="preserve">[Central Irrigation Trust] </w:t>
      </w:r>
      <w:r>
        <w:t>CIT Policies and Rules are generally complied and implemented by the Board and/or CIT management with little, or in some instances, no consumer involvement.</w:t>
      </w:r>
    </w:p>
    <w:p w:rsidR="006D11D6" w:rsidRDefault="006D11D6" w:rsidP="007F1A8D">
      <w:pPr>
        <w:pStyle w:val="Quote"/>
      </w:pPr>
      <w:r>
        <w:t>In 10 out of 12 CIT districts, only irrigators with permanent irrigation rights are able to vote at the AGM. Generally, this may be done by a limited number of persons attending. The CIT 2015 AGM was only attended by about 50 persons. There are approximately 6,500 CIT consumers (domestic, irrigation, industrial, parks). In two CIT districts, irrigators with permanent and temporary water rights may vote. AGM voting is on CIT’s/Board suggested asset maintenance etc</w:t>
      </w:r>
      <w:r w:rsidR="00877C09">
        <w:t>.</w:t>
      </w:r>
      <w:r>
        <w:t xml:space="preserve"> and water pricing. Domestic consumers have no vote”.</w:t>
      </w:r>
      <w:r w:rsidRPr="00877C09">
        <w:rPr>
          <w:rStyle w:val="FootnoteReference"/>
          <w:rFonts w:cs="Times New Roman"/>
          <w:i w:val="0"/>
          <w:sz w:val="20"/>
          <w:szCs w:val="20"/>
        </w:rPr>
        <w:footnoteReference w:id="110"/>
      </w:r>
    </w:p>
    <w:p w:rsidR="006D11D6" w:rsidRDefault="006D11D6" w:rsidP="006D11D6">
      <w:r>
        <w:t xml:space="preserve">The Queensland Farmers’ Federation (QFF) </w:t>
      </w:r>
      <w:r w:rsidR="00D27342">
        <w:t xml:space="preserve">also </w:t>
      </w:r>
      <w:r>
        <w:t>commented on the removal of the tiered approach to regulation, identifying that it has concerns that the rules “will no longer recognise the difference between private and public operators”.</w:t>
      </w:r>
      <w:r w:rsidRPr="000E5713">
        <w:rPr>
          <w:rStyle w:val="FootnoteReference"/>
          <w:rFonts w:cs="Times New Roman"/>
          <w:color w:val="000000"/>
          <w:sz w:val="20"/>
          <w:szCs w:val="20"/>
        </w:rPr>
        <w:footnoteReference w:id="111"/>
      </w:r>
      <w:r>
        <w:t xml:space="preserve"> The QFF’s comments are provided within the context that distribution schemes, currently managed by SunWater, are transitioning to local management. The QFF noted in respect of these distribution schemes that they will not be profit maximising and that additional regulation will be “unnecessary”. The QFF further noted that additional regulation will create uncertainty for the processes, which are currently underway, to transition these schemes to local management. </w:t>
      </w:r>
    </w:p>
    <w:p w:rsidR="002E4AF5" w:rsidRDefault="00D66A92" w:rsidP="006D11D6">
      <w:r>
        <w:t xml:space="preserve">The ACCC engaged researchers at the University of Adelaide to survey irrigators in the </w:t>
      </w:r>
      <w:r w:rsidR="00D27342">
        <w:t xml:space="preserve">southern </w:t>
      </w:r>
      <w:r>
        <w:t xml:space="preserve">Murray-Darling Basin </w:t>
      </w:r>
      <w:r w:rsidR="00B35F50">
        <w:t xml:space="preserve">(MDB) </w:t>
      </w:r>
      <w:r>
        <w:t>(both private diverters and customers of off-river infrastructure operators). The survey report</w:t>
      </w:r>
      <w:r>
        <w:rPr>
          <w:rStyle w:val="FootnoteReference"/>
        </w:rPr>
        <w:footnoteReference w:id="112"/>
      </w:r>
      <w:r>
        <w:t xml:space="preserve"> noted that </w:t>
      </w:r>
      <w:r w:rsidR="00D247E6">
        <w:t xml:space="preserve">only 42 per cent of irrigators thought that, in water charging matters, their interests aligned with those of their operators all or most of the time. </w:t>
      </w:r>
      <w:r w:rsidR="002E4AF5">
        <w:t>Customers of off-river infrastructure operators indicated a closer degree of alignment, especially in SA. However, the proportion of irrigators indicating that their interest aligned with their off-river infrastructure operator’s only some of the time or never was still relatively high: 26 per cent in SA, 48</w:t>
      </w:r>
      <w:r w:rsidR="00305456">
        <w:t> </w:t>
      </w:r>
      <w:r w:rsidR="002E4AF5">
        <w:t>per cent in the NSW Murray System, 57 per cent in the NSW Murrumbidgee System and 75 per cent in Victorian systems.</w:t>
      </w:r>
    </w:p>
    <w:p w:rsidR="003609FB" w:rsidRDefault="0079321E" w:rsidP="00FC64B5">
      <w:pPr>
        <w:pStyle w:val="Heading3Un-numbered"/>
      </w:pPr>
      <w:r>
        <w:t>ACCC assessment</w:t>
      </w:r>
    </w:p>
    <w:p w:rsidR="002E4AF5" w:rsidRDefault="002E4AF5" w:rsidP="003609FB">
      <w:r>
        <w:t xml:space="preserve">Infrastructure operators throughout the MDB vary enormously in terms of their size (by volume of </w:t>
      </w:r>
      <w:r w:rsidR="009D6B43">
        <w:t>water access entitlement</w:t>
      </w:r>
      <w:r w:rsidR="00373771">
        <w:t xml:space="preserve"> (WAE)</w:t>
      </w:r>
      <w:r w:rsidR="009D6B43">
        <w:t xml:space="preserve"> s</w:t>
      </w:r>
      <w:r>
        <w:t>ervice</w:t>
      </w:r>
      <w:r w:rsidR="009D6B43">
        <w:t>d</w:t>
      </w:r>
      <w:r>
        <w:t>), geographic reach, customer numbers</w:t>
      </w:r>
      <w:r w:rsidR="00742CAE">
        <w:t xml:space="preserve"> and water usage requirements</w:t>
      </w:r>
      <w:r>
        <w:t>,</w:t>
      </w:r>
      <w:r w:rsidR="00C15DC3">
        <w:t xml:space="preserve"> type of</w:t>
      </w:r>
      <w:r>
        <w:t xml:space="preserve"> infrastructure, ownership and governance arrangements. </w:t>
      </w:r>
    </w:p>
    <w:p w:rsidR="00DB23D1" w:rsidRDefault="00742CAE" w:rsidP="003609FB">
      <w:r>
        <w:t>However, a</w:t>
      </w:r>
      <w:r w:rsidR="00395093">
        <w:t>s set out in section 5.1, infrastructure operators tend to have natural monopoly characteristics, irrespective of their ownership status or particular governance arrangements.</w:t>
      </w:r>
      <w:r w:rsidR="00D66A92">
        <w:t xml:space="preserve"> </w:t>
      </w:r>
    </w:p>
    <w:p w:rsidR="00DB23D1" w:rsidRDefault="00DB23D1" w:rsidP="003609FB">
      <w:pPr>
        <w:rPr>
          <w:rFonts w:cs="Times New Roman"/>
        </w:rPr>
      </w:pPr>
      <w:r w:rsidRPr="00D714FC">
        <w:rPr>
          <w:rFonts w:cs="Times New Roman"/>
        </w:rPr>
        <w:t xml:space="preserve">These natural monopoly characteristics mean that direct competition is unlikely to develop between infrastructure operators. In the absence of competition, infrastructure operators hold market power, which can result in prices, quality, service levels or innovation diverging from competitive levels. </w:t>
      </w:r>
    </w:p>
    <w:p w:rsidR="009106EC" w:rsidRPr="00D714FC" w:rsidRDefault="009106EC" w:rsidP="00FE665C">
      <w:pPr>
        <w:spacing w:after="120"/>
        <w:rPr>
          <w:rFonts w:cs="Times New Roman"/>
        </w:rPr>
      </w:pPr>
      <w:r>
        <w:t xml:space="preserve">The level of regulation applying to operators has historically varied by Basin State (and sometimes within Basin States). </w:t>
      </w:r>
      <w:r w:rsidRPr="00D714FC">
        <w:rPr>
          <w:rFonts w:eastAsia="Calibri" w:cs="Times New Roman"/>
        </w:rPr>
        <w:t>In making its initial advice on the formation of the WCIR, the ACCC considered that member-owned infrastructure operators were less likely to take advantage of their market power to the detriment of their customers. In particular, the ACCC identified that t</w:t>
      </w:r>
      <w:r w:rsidRPr="00D714FC">
        <w:rPr>
          <w:rFonts w:cs="Times New Roman"/>
        </w:rPr>
        <w:t>he rationale for applying different levels of regulation to infrastructure operators based on their ownership structure is that member-owned operators:</w:t>
      </w:r>
    </w:p>
    <w:p w:rsidR="009106EC" w:rsidRPr="009106EC" w:rsidRDefault="009106EC" w:rsidP="00A82DE6">
      <w:pPr>
        <w:pStyle w:val="Lvl1Bulletpoint"/>
      </w:pPr>
      <w:r w:rsidRPr="009106EC">
        <w:t xml:space="preserve">are less likely than non-member-owned operators to exercise their market power to extract monopoly rents from their customers; </w:t>
      </w:r>
    </w:p>
    <w:p w:rsidR="009106EC" w:rsidRPr="009106EC" w:rsidRDefault="009106EC" w:rsidP="00A82DE6">
      <w:pPr>
        <w:pStyle w:val="Lvl1Bulletpoint"/>
      </w:pPr>
      <w:r w:rsidRPr="009106EC">
        <w:t xml:space="preserve">are accountable to their members; </w:t>
      </w:r>
    </w:p>
    <w:p w:rsidR="009106EC" w:rsidRPr="009106EC" w:rsidRDefault="009106EC" w:rsidP="00A82DE6">
      <w:pPr>
        <w:pStyle w:val="Lvl1Bulletpoint"/>
      </w:pPr>
      <w:r w:rsidRPr="009106EC">
        <w:t xml:space="preserve">are more likely to pursue efficiencies in the level of prices, services and investment for their member customers; and </w:t>
      </w:r>
    </w:p>
    <w:p w:rsidR="009106EC" w:rsidRPr="009106EC" w:rsidRDefault="009106EC" w:rsidP="00A82DE6">
      <w:pPr>
        <w:pStyle w:val="Lvl1Bulletpoint"/>
      </w:pPr>
      <w:r w:rsidRPr="009106EC">
        <w:t>tend to be not for profit because of governance</w:t>
      </w:r>
      <w:r w:rsidR="00F76407">
        <w:t xml:space="preserve"> </w:t>
      </w:r>
      <w:r w:rsidRPr="009106EC">
        <w:t>/</w:t>
      </w:r>
      <w:r w:rsidR="00F76407">
        <w:t xml:space="preserve"> </w:t>
      </w:r>
      <w:r w:rsidRPr="009106EC">
        <w:t xml:space="preserve">constitutional arrangements </w:t>
      </w:r>
      <w:r w:rsidR="001A49AA" w:rsidRPr="009106EC">
        <w:t>o</w:t>
      </w:r>
      <w:r w:rsidR="001A49AA">
        <w:t>r</w:t>
      </w:r>
      <w:r w:rsidR="001A49AA" w:rsidRPr="009106EC">
        <w:t xml:space="preserve"> </w:t>
      </w:r>
      <w:r w:rsidRPr="009106EC">
        <w:t>the way they operate their business.</w:t>
      </w:r>
    </w:p>
    <w:p w:rsidR="009106EC" w:rsidRPr="00D714FC" w:rsidRDefault="009106EC" w:rsidP="00FE665C">
      <w:pPr>
        <w:spacing w:before="240" w:after="120"/>
        <w:rPr>
          <w:rFonts w:cs="Times New Roman"/>
        </w:rPr>
      </w:pPr>
      <w:r w:rsidRPr="00D714FC">
        <w:rPr>
          <w:rFonts w:cs="Times New Roman"/>
        </w:rPr>
        <w:t>However, in its initial advice, the ACCC also identified certain concerns regarding member-owned operators, such as:</w:t>
      </w:r>
    </w:p>
    <w:p w:rsidR="009106EC" w:rsidRPr="00D714FC" w:rsidRDefault="009106EC" w:rsidP="00A82DE6">
      <w:pPr>
        <w:pStyle w:val="Lvl1Bulletpoint"/>
      </w:pPr>
      <w:r w:rsidRPr="00D714FC">
        <w:t>the incentive to discriminate against non-member and non-irrigation right customers (Parts 3 and 7</w:t>
      </w:r>
      <w:r w:rsidR="0078356B">
        <w:t xml:space="preserve"> of the WCIR</w:t>
      </w:r>
      <w:r w:rsidRPr="00D714FC">
        <w:t>) and</w:t>
      </w:r>
    </w:p>
    <w:p w:rsidR="009106EC" w:rsidRPr="00D714FC" w:rsidRDefault="00373771" w:rsidP="00A82DE6">
      <w:pPr>
        <w:pStyle w:val="Lvl1Bulletpoint"/>
      </w:pPr>
      <w:r>
        <w:t xml:space="preserve">whether there is adequate </w:t>
      </w:r>
      <w:r w:rsidR="009106EC" w:rsidRPr="00D714FC">
        <w:t>transparency around infrastructure investment and the price setting process (Parts 4 and 5</w:t>
      </w:r>
      <w:r w:rsidR="0078356B">
        <w:t xml:space="preserve"> of the WCIR</w:t>
      </w:r>
      <w:r w:rsidR="009106EC" w:rsidRPr="00D714FC">
        <w:t>).</w:t>
      </w:r>
    </w:p>
    <w:p w:rsidR="00C15DC3" w:rsidRDefault="009106EC" w:rsidP="009106EC">
      <w:pPr>
        <w:rPr>
          <w:rFonts w:eastAsia="Calibri" w:cs="Times New Roman"/>
        </w:rPr>
      </w:pPr>
      <w:r w:rsidRPr="00D714FC">
        <w:rPr>
          <w:rFonts w:eastAsia="Calibri" w:cs="Times New Roman"/>
        </w:rPr>
        <w:t xml:space="preserve">Since the commencement of the rules, the ACCC has observed that while member ownership of an operator may limit incentives to charge prices that result in monopoly profits at an </w:t>
      </w:r>
      <w:r w:rsidRPr="009106EC">
        <w:rPr>
          <w:rFonts w:eastAsia="Calibri" w:cs="Times New Roman"/>
          <w:i/>
        </w:rPr>
        <w:t>aggregate</w:t>
      </w:r>
      <w:r w:rsidRPr="00D714FC">
        <w:rPr>
          <w:rFonts w:eastAsia="Calibri" w:cs="Times New Roman"/>
        </w:rPr>
        <w:t xml:space="preserve"> level (for example, because the operator is not-for-profit), there remain concerns about use of monopoly power to discriminate in favour of certain customer groups. </w:t>
      </w:r>
    </w:p>
    <w:p w:rsidR="009106EC" w:rsidRPr="00D714FC" w:rsidRDefault="009106EC" w:rsidP="009106EC">
      <w:pPr>
        <w:rPr>
          <w:rFonts w:eastAsia="Calibri" w:cs="Times New Roman"/>
        </w:rPr>
      </w:pPr>
      <w:r>
        <w:t xml:space="preserve">The vast majority of customers will have little or no countervailing power against their infrastructure operator, even if that infrastructure operator is member-owned. </w:t>
      </w:r>
      <w:r w:rsidR="00AC62C3">
        <w:rPr>
          <w:rFonts w:eastAsia="Calibri" w:cs="Times New Roman"/>
        </w:rPr>
        <w:t>O</w:t>
      </w:r>
      <w:r w:rsidRPr="00D714FC">
        <w:rPr>
          <w:rFonts w:eastAsia="Calibri" w:cs="Times New Roman"/>
        </w:rPr>
        <w:t xml:space="preserve">perators may have incentive to discriminate against customers who trade water out of irrigation districts, or against customers who transform their right to receive water under an irrigation right into a </w:t>
      </w:r>
      <w:r>
        <w:rPr>
          <w:rFonts w:eastAsia="Calibri" w:cs="Times New Roman"/>
        </w:rPr>
        <w:t>WAE</w:t>
      </w:r>
      <w:r w:rsidRPr="00D714FC">
        <w:rPr>
          <w:rFonts w:eastAsia="Calibri" w:cs="Times New Roman"/>
        </w:rPr>
        <w:t>. Further, the use of tiered pricing structures may benefit large users over small users in a way that is not commensurate with underlying differences in costs of service provision to these users.</w:t>
      </w:r>
    </w:p>
    <w:p w:rsidR="00E920A3" w:rsidRDefault="009106EC" w:rsidP="00E920A3">
      <w:r>
        <w:t>T</w:t>
      </w:r>
      <w:r w:rsidR="00E920A3">
        <w:t xml:space="preserve">he ACCC notes that the current WCIR requirements in relation to distributions (Part 7 of the WCIR) and non-discrimination (Part 3) apply </w:t>
      </w:r>
      <w:r w:rsidR="00C15DC3">
        <w:t>specifically</w:t>
      </w:r>
      <w:r w:rsidR="00E920A3">
        <w:t xml:space="preserve"> to member-owned operators. </w:t>
      </w:r>
    </w:p>
    <w:p w:rsidR="009106EC" w:rsidRDefault="00E920A3" w:rsidP="00E920A3">
      <w:r>
        <w:t xml:space="preserve">The ACCC’s recent Draft Advice noted the significant disadvantages of different regulatory approaches applying based on the ownership of an infrastructure operator, and sought to harmonise the </w:t>
      </w:r>
      <w:r w:rsidR="00DA2172">
        <w:t xml:space="preserve">rule </w:t>
      </w:r>
      <w:r>
        <w:t>requirements applying across all infrastructure operators throughout the MDB.</w:t>
      </w:r>
      <w:r w:rsidRPr="00E920A3">
        <w:t xml:space="preserve"> </w:t>
      </w:r>
    </w:p>
    <w:p w:rsidR="009106EC" w:rsidRDefault="009106EC" w:rsidP="009106EC">
      <w:r>
        <w:t>The ACCC maintains its position from the Draft Advice that the concerns relating to the exercise of monopoly power and the objectives of the proposed rules apply across infrastructure operators generally, regardless of their ownership structure or particular governance arrangements.</w:t>
      </w:r>
    </w:p>
    <w:p w:rsidR="00E920A3" w:rsidRDefault="00E920A3" w:rsidP="00E920A3">
      <w:r>
        <w:t>The proposals set out in the Draft Advice</w:t>
      </w:r>
      <w:r w:rsidR="009106EC">
        <w:t xml:space="preserve"> extended the application of rules relating to distributions (Part 7) and non-discrimination (Part 3) t</w:t>
      </w:r>
      <w:r>
        <w:t xml:space="preserve">o </w:t>
      </w:r>
      <w:r w:rsidR="001A49AA">
        <w:t>non-</w:t>
      </w:r>
      <w:r>
        <w:t>member-owned operators</w:t>
      </w:r>
      <w:r w:rsidR="009106EC">
        <w:t>, and</w:t>
      </w:r>
      <w:r w:rsidR="00D26365">
        <w:t xml:space="preserve"> also provide for</w:t>
      </w:r>
      <w:r w:rsidR="009106EC">
        <w:t xml:space="preserve"> enhanced safeguards against the exercise of market power against customers (see sections 5.3 and</w:t>
      </w:r>
      <w:r w:rsidR="00D26365">
        <w:t> </w:t>
      </w:r>
      <w:r w:rsidR="009106EC">
        <w:t>5.7)</w:t>
      </w:r>
      <w:r>
        <w:t>.</w:t>
      </w:r>
      <w:r w:rsidR="009106EC">
        <w:t xml:space="preserve"> </w:t>
      </w:r>
    </w:p>
    <w:p w:rsidR="00E920A3" w:rsidRDefault="00E920A3" w:rsidP="003609FB">
      <w:r>
        <w:t xml:space="preserve">Extending the application of Part 6 </w:t>
      </w:r>
      <w:r w:rsidR="00D26365">
        <w:t xml:space="preserve">of the rule </w:t>
      </w:r>
      <w:r>
        <w:t xml:space="preserve">(full determination / approval of charges by a regulator) to all infrastructure operators would </w:t>
      </w:r>
      <w:r w:rsidR="00BF3820">
        <w:t xml:space="preserve">also have </w:t>
      </w:r>
      <w:r>
        <w:t>address</w:t>
      </w:r>
      <w:r w:rsidR="00BF3820">
        <w:t xml:space="preserve">ed these market power </w:t>
      </w:r>
      <w:r>
        <w:t xml:space="preserve">concerns, but at an unacceptably high </w:t>
      </w:r>
      <w:r w:rsidR="00BF3820">
        <w:t xml:space="preserve">regulatory </w:t>
      </w:r>
      <w:r>
        <w:t xml:space="preserve">cost. Instead, </w:t>
      </w:r>
      <w:r w:rsidR="00DB23D1">
        <w:t xml:space="preserve">the ACCC has proposed that this </w:t>
      </w:r>
      <w:r>
        <w:t xml:space="preserve">form of </w:t>
      </w:r>
      <w:r w:rsidR="00DB23D1">
        <w:t xml:space="preserve">intensive </w:t>
      </w:r>
      <w:r>
        <w:t>regulation</w:t>
      </w:r>
      <w:r w:rsidR="00DB23D1">
        <w:t xml:space="preserve"> only apply in limited circumstances, not directly related to an operator’s ownership status or overall size (see section 5.6</w:t>
      </w:r>
      <w:r w:rsidR="00D26365">
        <w:t xml:space="preserve"> and also section 5.7</w:t>
      </w:r>
      <w:r w:rsidR="00DB23D1">
        <w:t>).</w:t>
      </w:r>
    </w:p>
    <w:p w:rsidR="00DB23D1" w:rsidRDefault="00B50241" w:rsidP="00310AAC">
      <w:r>
        <w:t>Importantly,</w:t>
      </w:r>
      <w:r w:rsidR="00BF3820">
        <w:t xml:space="preserve"> u</w:t>
      </w:r>
      <w:r w:rsidR="00E920A3">
        <w:t>nder t</w:t>
      </w:r>
      <w:r w:rsidR="00310AAC">
        <w:t xml:space="preserve">he proposed </w:t>
      </w:r>
      <w:r w:rsidR="00DB23D1">
        <w:t>new water charge rules</w:t>
      </w:r>
      <w:r w:rsidR="00310AAC">
        <w:t xml:space="preserve">, infrastructure operators </w:t>
      </w:r>
      <w:r w:rsidR="00BF3820">
        <w:t xml:space="preserve">will still be able to </w:t>
      </w:r>
      <w:r w:rsidR="00310AAC">
        <w:t>determine charges and consult with their customers in a way that best meets the individual needs of their business and customers, subject to some basic customer protections and transparency requirements</w:t>
      </w:r>
      <w:r w:rsidR="00DB23D1">
        <w:t xml:space="preserve"> (set out throughout chapter 5)</w:t>
      </w:r>
      <w:r w:rsidR="00310AAC">
        <w:t>.</w:t>
      </w:r>
      <w:r w:rsidR="00DB23D1">
        <w:t xml:space="preserve"> The ACCC believes that these protections should apply to all customers of infrastructure operators.</w:t>
      </w:r>
    </w:p>
    <w:p w:rsidR="00BF3820" w:rsidRPr="00BF3820" w:rsidRDefault="00BF3820" w:rsidP="00BF3820">
      <w:r w:rsidRPr="00BF3820">
        <w:t>The proposed new structure reflecting the Final Advice is summarised in Table 5.2, using the categories relevant to the current rules (summarised in Table 5.1 above) to enable clear comparison.</w:t>
      </w:r>
    </w:p>
    <w:p w:rsidR="00BF3820" w:rsidRPr="00D714FC" w:rsidRDefault="00BF3820" w:rsidP="00E560FF">
      <w:pPr>
        <w:pStyle w:val="Tabletitle"/>
      </w:pPr>
      <w:r w:rsidRPr="00D714FC">
        <w:rPr>
          <w:rFonts w:eastAsia="Arial"/>
        </w:rPr>
        <w:t>Table 5.2</w:t>
      </w:r>
      <w:r w:rsidRPr="00D714FC">
        <w:t>: Proposed new structure for application of rules in relation to infrastructure charges</w:t>
      </w:r>
    </w:p>
    <w:tbl>
      <w:tblPr>
        <w:tblW w:w="0" w:type="auto"/>
        <w:tblInd w:w="98" w:type="dxa"/>
        <w:tblCellMar>
          <w:left w:w="10" w:type="dxa"/>
          <w:right w:w="10" w:type="dxa"/>
        </w:tblCellMar>
        <w:tblLook w:val="0000" w:firstRow="0" w:lastRow="0" w:firstColumn="0" w:lastColumn="0" w:noHBand="0" w:noVBand="0"/>
      </w:tblPr>
      <w:tblGrid>
        <w:gridCol w:w="1364"/>
        <w:gridCol w:w="1493"/>
        <w:gridCol w:w="1494"/>
        <w:gridCol w:w="1493"/>
        <w:gridCol w:w="2955"/>
      </w:tblGrid>
      <w:tr w:rsidR="00BF3820" w:rsidRPr="00D714FC" w:rsidTr="00BD267F">
        <w:trPr>
          <w:trHeight w:val="1"/>
        </w:trPr>
        <w:tc>
          <w:tcPr>
            <w:tcW w:w="136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Ownership</w:t>
            </w:r>
          </w:p>
        </w:tc>
        <w:tc>
          <w:tcPr>
            <w:tcW w:w="7435" w:type="dxa"/>
            <w:gridSpan w:val="4"/>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All infrastructure operators (regardless of ownership)</w:t>
            </w:r>
          </w:p>
        </w:tc>
      </w:tr>
      <w:tr w:rsidR="00BF3820" w:rsidRPr="00D714FC" w:rsidTr="00BD267F">
        <w:trPr>
          <w:trHeight w:val="1"/>
        </w:trPr>
        <w:tc>
          <w:tcPr>
            <w:tcW w:w="1364" w:type="dxa"/>
            <w:tcBorders>
              <w:top w:val="single" w:sz="12"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Size (GL)</w:t>
            </w:r>
          </w:p>
        </w:tc>
        <w:tc>
          <w:tcPr>
            <w:tcW w:w="1493" w:type="dxa"/>
            <w:tcBorders>
              <w:top w:val="single" w:sz="12" w:space="0" w:color="000000"/>
              <w:left w:val="single" w:sz="12" w:space="0" w:color="000000"/>
              <w:bottom w:val="single" w:sz="12" w:space="0" w:color="000000"/>
              <w:right w:val="single" w:sz="4"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&lt; 10</w:t>
            </w:r>
          </w:p>
        </w:tc>
        <w:tc>
          <w:tcPr>
            <w:tcW w:w="1494"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10 –125</w:t>
            </w:r>
          </w:p>
        </w:tc>
        <w:tc>
          <w:tcPr>
            <w:tcW w:w="1493" w:type="dxa"/>
            <w:tcBorders>
              <w:top w:val="single" w:sz="12" w:space="0" w:color="000000"/>
              <w:left w:val="single" w:sz="4" w:space="0" w:color="000000"/>
              <w:bottom w:val="single" w:sz="12" w:space="0" w:color="000000"/>
              <w:right w:val="single" w:sz="4"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125 –250</w:t>
            </w:r>
          </w:p>
        </w:tc>
        <w:tc>
          <w:tcPr>
            <w:tcW w:w="2955" w:type="dxa"/>
            <w:tcBorders>
              <w:top w:val="single" w:sz="12" w:space="0" w:color="000000"/>
              <w:left w:val="single" w:sz="4" w:space="0" w:color="000000"/>
              <w:bottom w:val="single" w:sz="12"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250+</w:t>
            </w:r>
          </w:p>
        </w:tc>
      </w:tr>
      <w:tr w:rsidR="00BF3820" w:rsidRPr="00D714FC" w:rsidTr="00BD267F">
        <w:trPr>
          <w:trHeight w:val="1"/>
        </w:trPr>
        <w:tc>
          <w:tcPr>
            <w:tcW w:w="1364" w:type="dxa"/>
            <w:tcBorders>
              <w:top w:val="single" w:sz="12" w:space="0" w:color="000000"/>
              <w:left w:val="single" w:sz="12" w:space="0" w:color="000000"/>
              <w:bottom w:val="single" w:sz="4"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Part 3</w:t>
            </w:r>
          </w:p>
        </w:tc>
        <w:tc>
          <w:tcPr>
            <w:tcW w:w="7435" w:type="dxa"/>
            <w:gridSpan w:val="4"/>
            <w:tcBorders>
              <w:top w:val="single" w:sz="12"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BF3820" w:rsidRPr="00D714FC" w:rsidRDefault="00BF3820" w:rsidP="00BD267F">
            <w:pPr>
              <w:pStyle w:val="tabletext"/>
              <w:jc w:val="center"/>
              <w:rPr>
                <w:rFonts w:eastAsia="Calibri"/>
              </w:rPr>
            </w:pPr>
            <w:r w:rsidRPr="00D714FC">
              <w:sym w:font="Wingdings" w:char="F0FC"/>
            </w:r>
          </w:p>
        </w:tc>
      </w:tr>
      <w:tr w:rsidR="00BF3820" w:rsidRPr="00D714FC" w:rsidTr="00BD267F">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Part 4</w:t>
            </w:r>
          </w:p>
        </w:tc>
        <w:tc>
          <w:tcPr>
            <w:tcW w:w="7435" w:type="dxa"/>
            <w:gridSpan w:val="4"/>
            <w:tcBorders>
              <w:top w:val="single" w:sz="4"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BF3820" w:rsidRPr="00D714FC" w:rsidRDefault="00BF3820" w:rsidP="00BD267F">
            <w:pPr>
              <w:pStyle w:val="tabletext"/>
              <w:jc w:val="center"/>
              <w:rPr>
                <w:rFonts w:eastAsia="Calibri"/>
              </w:rPr>
            </w:pPr>
            <w:r w:rsidRPr="00D714FC">
              <w:sym w:font="Wingdings" w:char="F0FC"/>
            </w:r>
          </w:p>
        </w:tc>
      </w:tr>
      <w:tr w:rsidR="00BF3820" w:rsidRPr="00D714FC" w:rsidTr="00BD267F">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Part 5</w:t>
            </w:r>
          </w:p>
        </w:tc>
        <w:tc>
          <w:tcPr>
            <w:tcW w:w="7435" w:type="dxa"/>
            <w:gridSpan w:val="4"/>
            <w:tcBorders>
              <w:top w:val="single" w:sz="4"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BF3820" w:rsidRPr="00D714FC" w:rsidRDefault="00BF3820" w:rsidP="00BD267F">
            <w:pPr>
              <w:pStyle w:val="tabletext"/>
              <w:jc w:val="center"/>
            </w:pPr>
            <w:r w:rsidRPr="00D714FC">
              <w:rPr>
                <w:rFonts w:eastAsia="Arial"/>
              </w:rPr>
              <w:t>Repeal</w:t>
            </w:r>
          </w:p>
        </w:tc>
      </w:tr>
      <w:tr w:rsidR="00BF3820" w:rsidRPr="00D714FC" w:rsidTr="00BD267F">
        <w:trPr>
          <w:trHeight w:val="1"/>
        </w:trPr>
        <w:tc>
          <w:tcPr>
            <w:tcW w:w="1364" w:type="dxa"/>
            <w:tcBorders>
              <w:top w:val="single" w:sz="4" w:space="0" w:color="000000"/>
              <w:left w:val="single" w:sz="12" w:space="0" w:color="000000"/>
              <w:bottom w:val="single" w:sz="4"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Part 6</w:t>
            </w:r>
          </w:p>
        </w:tc>
        <w:tc>
          <w:tcPr>
            <w:tcW w:w="7435" w:type="dxa"/>
            <w:gridSpan w:val="4"/>
            <w:tcBorders>
              <w:top w:val="single" w:sz="4" w:space="0" w:color="000000"/>
              <w:left w:val="single" w:sz="12" w:space="0" w:color="000000"/>
              <w:bottom w:val="single" w:sz="4" w:space="0" w:color="000000"/>
              <w:right w:val="single" w:sz="12" w:space="0" w:color="000000"/>
            </w:tcBorders>
            <w:shd w:val="clear" w:color="auto" w:fill="auto"/>
            <w:tcMar>
              <w:left w:w="108" w:type="dxa"/>
              <w:right w:w="108" w:type="dxa"/>
            </w:tcMar>
            <w:vAlign w:val="center"/>
          </w:tcPr>
          <w:p w:rsidR="00BF3820" w:rsidRPr="00D714FC" w:rsidRDefault="00BF3820" w:rsidP="00BD267F">
            <w:pPr>
              <w:pStyle w:val="tabletext"/>
              <w:jc w:val="center"/>
            </w:pPr>
            <w:r>
              <w:t>Limited application, with an exemptions process (see section 5.6 for more detail).</w:t>
            </w:r>
          </w:p>
        </w:tc>
      </w:tr>
      <w:tr w:rsidR="00BF3820" w:rsidRPr="00D714FC" w:rsidTr="00BD267F">
        <w:trPr>
          <w:trHeight w:val="1"/>
        </w:trPr>
        <w:tc>
          <w:tcPr>
            <w:tcW w:w="1364" w:type="dxa"/>
            <w:tcBorders>
              <w:top w:val="single" w:sz="4" w:space="0" w:color="000000"/>
              <w:left w:val="single" w:sz="12" w:space="0" w:color="000000"/>
              <w:bottom w:val="single" w:sz="12" w:space="0" w:color="000000"/>
              <w:right w:val="single" w:sz="12" w:space="0" w:color="000000"/>
            </w:tcBorders>
            <w:shd w:val="clear" w:color="auto" w:fill="D9D9D9"/>
            <w:tcMar>
              <w:left w:w="108" w:type="dxa"/>
              <w:right w:w="108" w:type="dxa"/>
            </w:tcMar>
          </w:tcPr>
          <w:p w:rsidR="00BF3820" w:rsidRPr="00D714FC" w:rsidRDefault="00BF3820" w:rsidP="00BD267F">
            <w:pPr>
              <w:pStyle w:val="tabletext"/>
            </w:pPr>
            <w:r w:rsidRPr="00D714FC">
              <w:rPr>
                <w:rFonts w:eastAsia="Arial"/>
              </w:rPr>
              <w:t>Part 7</w:t>
            </w:r>
          </w:p>
        </w:tc>
        <w:tc>
          <w:tcPr>
            <w:tcW w:w="7435" w:type="dxa"/>
            <w:gridSpan w:val="4"/>
            <w:tcBorders>
              <w:top w:val="single" w:sz="4" w:space="0" w:color="000000"/>
              <w:left w:val="single" w:sz="12" w:space="0" w:color="000000"/>
              <w:bottom w:val="single" w:sz="12" w:space="0" w:color="000000"/>
              <w:right w:val="single" w:sz="12" w:space="0" w:color="000000"/>
            </w:tcBorders>
            <w:shd w:val="clear" w:color="auto" w:fill="auto"/>
            <w:tcMar>
              <w:left w:w="108" w:type="dxa"/>
              <w:right w:w="108" w:type="dxa"/>
            </w:tcMar>
            <w:vAlign w:val="center"/>
          </w:tcPr>
          <w:p w:rsidR="00BF3820" w:rsidRPr="00D714FC" w:rsidRDefault="00BF3820" w:rsidP="00BD267F">
            <w:pPr>
              <w:pStyle w:val="tabletext"/>
              <w:jc w:val="center"/>
            </w:pPr>
            <w:r>
              <w:t>Limited application, with an exemptions process (see section 5.7 for more detail).</w:t>
            </w:r>
          </w:p>
        </w:tc>
      </w:tr>
    </w:tbl>
    <w:p w:rsidR="006F1AE5" w:rsidRPr="00D714FC" w:rsidRDefault="006F1AE5" w:rsidP="003609FB"/>
    <w:p w:rsidR="00367DD5" w:rsidRDefault="00367DD5" w:rsidP="00616672">
      <w:pPr>
        <w:pStyle w:val="Heading2"/>
      </w:pPr>
      <w:bookmarkStart w:id="325" w:name="_Toc436122294"/>
      <w:bookmarkStart w:id="326" w:name="_Toc436122789"/>
      <w:bookmarkStart w:id="327" w:name="_Toc436124144"/>
      <w:bookmarkStart w:id="328" w:name="_Toc456785798"/>
      <w:bookmarkStart w:id="329" w:name="_Toc461630709"/>
      <w:bookmarkStart w:id="330" w:name="_Ref433019894"/>
      <w:bookmarkStart w:id="331" w:name="_Toc432937493"/>
      <w:r w:rsidRPr="00D714FC">
        <w:t>Non-discrimination requirements (Part 3)</w:t>
      </w:r>
      <w:bookmarkEnd w:id="325"/>
      <w:bookmarkEnd w:id="326"/>
      <w:bookmarkEnd w:id="327"/>
      <w:bookmarkEnd w:id="328"/>
      <w:bookmarkEnd w:id="329"/>
      <w:r w:rsidRPr="00D714FC">
        <w:tab/>
      </w:r>
      <w:bookmarkEnd w:id="330"/>
    </w:p>
    <w:p w:rsidR="00844E39" w:rsidRDefault="00844E39" w:rsidP="00844E39">
      <w:pPr>
        <w:pStyle w:val="Heading3"/>
      </w:pPr>
      <w:bookmarkStart w:id="332" w:name="_Toc456785799"/>
      <w:bookmarkStart w:id="333" w:name="_Toc461630710"/>
      <w:r>
        <w:t>Expanded non-discrimination requirements—proposed rule 10</w:t>
      </w:r>
      <w:bookmarkEnd w:id="332"/>
      <w:bookmarkEnd w:id="333"/>
    </w:p>
    <w:p w:rsidR="00D07E1E" w:rsidRPr="00D07E1E" w:rsidRDefault="00D07E1E" w:rsidP="00D07E1E">
      <w:pPr>
        <w:pStyle w:val="Heading4"/>
        <w:spacing w:before="0" w:after="0"/>
        <w:rPr>
          <w:rFonts w:ascii="Times New Roman" w:hAnsi="Times New Roman" w:cs="Times New Roman"/>
          <w:color w:val="FFFFFF" w:themeColor="background1"/>
          <w:sz w:val="8"/>
          <w:szCs w:val="16"/>
        </w:rPr>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p>
    <w:tbl>
      <w:tblPr>
        <w:tblStyle w:val="TableGrid"/>
        <w:tblW w:w="0" w:type="auto"/>
        <w:tblLook w:val="04A0" w:firstRow="1" w:lastRow="0" w:firstColumn="1" w:lastColumn="0" w:noHBand="0" w:noVBand="1"/>
      </w:tblPr>
      <w:tblGrid>
        <w:gridCol w:w="9242"/>
      </w:tblGrid>
      <w:tr w:rsidR="00844E39" w:rsidTr="006B2AEC">
        <w:tc>
          <w:tcPr>
            <w:tcW w:w="9242" w:type="dxa"/>
            <w:tcBorders>
              <w:top w:val="nil"/>
              <w:left w:val="nil"/>
              <w:bottom w:val="nil"/>
              <w:right w:val="nil"/>
            </w:tcBorders>
            <w:shd w:val="clear" w:color="auto" w:fill="D9D9D9" w:themeFill="background1" w:themeFillShade="D9"/>
          </w:tcPr>
          <w:p w:rsidR="00844E39" w:rsidRPr="00D714FC" w:rsidRDefault="00844E39" w:rsidP="00AF7032">
            <w:pPr>
              <w:pStyle w:val="Caption"/>
              <w:rPr>
                <w:rFonts w:eastAsia="Arial"/>
              </w:rPr>
            </w:pPr>
            <w:bookmarkStart w:id="334" w:name="_Toc456783766"/>
            <w:r w:rsidRPr="00D714FC">
              <w:t xml:space="preserve">Rule advice </w:t>
            </w:r>
            <w:r w:rsidR="007F659D">
              <w:rPr>
                <w:noProof/>
              </w:rPr>
              <w:t>5</w:t>
            </w:r>
            <w:r>
              <w:noBreakHyphen/>
            </w:r>
            <w:r w:rsidR="007F659D">
              <w:rPr>
                <w:noProof/>
              </w:rPr>
              <w:t>A</w:t>
            </w:r>
            <w:bookmarkEnd w:id="334"/>
          </w:p>
          <w:p w:rsidR="00844E39" w:rsidRDefault="00844E39" w:rsidP="006B2AEC">
            <w:pPr>
              <w:pStyle w:val="Heading8"/>
              <w:outlineLvl w:val="7"/>
            </w:pPr>
            <w:bookmarkStart w:id="335" w:name="_Toc456783767"/>
            <w:bookmarkStart w:id="336" w:name="Rule_Advice_5A"/>
            <w:r w:rsidRPr="00D714FC">
              <w:t>The rules should be amended such that Part 3 applies to all infrastructure operators</w:t>
            </w:r>
            <w:r>
              <w:t xml:space="preserve"> instead of only to member-owned operators</w:t>
            </w:r>
            <w:r w:rsidRPr="00D714FC">
              <w:t>.</w:t>
            </w:r>
            <w:bookmarkEnd w:id="335"/>
            <w:r w:rsidRPr="00D714FC">
              <w:t xml:space="preserve"> </w:t>
            </w:r>
          </w:p>
          <w:p w:rsidR="00BC64F5" w:rsidRDefault="00844E39" w:rsidP="00BC64F5">
            <w:pPr>
              <w:pStyle w:val="Heading8"/>
              <w:outlineLvl w:val="7"/>
            </w:pPr>
            <w:bookmarkStart w:id="337" w:name="_Toc456783768"/>
            <w:r>
              <w:rPr>
                <w:rFonts w:ascii="Times New Roman" w:hAnsi="Times New Roman"/>
              </w:rPr>
              <w:t xml:space="preserve">This rule advice is implemented in </w:t>
            </w:r>
            <w:r w:rsidR="00207A65">
              <w:rPr>
                <w:rFonts w:ascii="Times New Roman" w:hAnsi="Times New Roman"/>
              </w:rPr>
              <w:t>r</w:t>
            </w:r>
            <w:r>
              <w:rPr>
                <w:rFonts w:ascii="Times New Roman" w:hAnsi="Times New Roman"/>
              </w:rPr>
              <w:t xml:space="preserve">ule 10 </w:t>
            </w:r>
            <w:r w:rsidR="00007EAE">
              <w:rPr>
                <w:rFonts w:ascii="Times New Roman" w:hAnsi="Times New Roman"/>
              </w:rPr>
              <w:t xml:space="preserve">and rule 10A </w:t>
            </w:r>
            <w:r>
              <w:rPr>
                <w:rFonts w:ascii="Times New Roman" w:hAnsi="Times New Roman"/>
              </w:rPr>
              <w:t xml:space="preserve">of the proposed </w:t>
            </w:r>
            <w:r w:rsidR="003F77BE">
              <w:rPr>
                <w:rFonts w:ascii="Times New Roman" w:hAnsi="Times New Roman"/>
              </w:rPr>
              <w:t>W</w:t>
            </w:r>
            <w:r>
              <w:rPr>
                <w:rFonts w:ascii="Times New Roman" w:hAnsi="Times New Roman"/>
              </w:rPr>
              <w:t xml:space="preserve">ater </w:t>
            </w:r>
            <w:r w:rsidR="003F77BE">
              <w:rPr>
                <w:rFonts w:ascii="Times New Roman" w:hAnsi="Times New Roman"/>
              </w:rPr>
              <w:t>C</w:t>
            </w:r>
            <w:r>
              <w:rPr>
                <w:rFonts w:ascii="Times New Roman" w:hAnsi="Times New Roman"/>
              </w:rPr>
              <w:t xml:space="preserve">harge </w:t>
            </w:r>
            <w:r w:rsidR="003F77BE">
              <w:rPr>
                <w:rFonts w:ascii="Times New Roman" w:hAnsi="Times New Roman"/>
              </w:rPr>
              <w:t>R</w:t>
            </w:r>
            <w:r>
              <w:rPr>
                <w:rFonts w:ascii="Times New Roman" w:hAnsi="Times New Roman"/>
              </w:rPr>
              <w:t>ules.</w:t>
            </w:r>
            <w:bookmarkStart w:id="338" w:name="_Toc456783769"/>
            <w:bookmarkEnd w:id="336"/>
            <w:bookmarkEnd w:id="337"/>
          </w:p>
          <w:p w:rsidR="00ED342F" w:rsidRPr="00ED342F" w:rsidRDefault="00844E39" w:rsidP="00AF7032">
            <w:pPr>
              <w:pStyle w:val="Caption"/>
              <w:rPr>
                <w:rFonts w:eastAsia="Arial"/>
                <w:color w:val="D9D9D9" w:themeColor="background1" w:themeShade="D9"/>
                <w:sz w:val="8"/>
              </w:rPr>
            </w:pPr>
            <w:r w:rsidRPr="00D714FC">
              <w:t xml:space="preserve">Rule advice </w:t>
            </w:r>
            <w:r w:rsidR="007F659D">
              <w:rPr>
                <w:noProof/>
              </w:rPr>
              <w:t>5</w:t>
            </w:r>
            <w:r>
              <w:noBreakHyphen/>
            </w:r>
            <w:r w:rsidR="007F659D">
              <w:rPr>
                <w:noProof/>
              </w:rPr>
              <w:t>B</w:t>
            </w:r>
            <w:r w:rsidRPr="00BC170C">
              <w:rPr>
                <w:noProof/>
              </w:rPr>
              <w:t xml:space="preserve"> </w:t>
            </w:r>
            <w:r w:rsidRPr="00964376">
              <w:rPr>
                <w:b w:val="0"/>
                <w:noProof/>
              </w:rPr>
              <w:t xml:space="preserve">(replaces draft rule advices 5-B and </w:t>
            </w:r>
            <w:r w:rsidR="007F659D" w:rsidRPr="00964376">
              <w:rPr>
                <w:b w:val="0"/>
                <w:noProof/>
              </w:rPr>
              <w:t>5</w:t>
            </w:r>
            <w:r w:rsidR="00ED342F" w:rsidRPr="00964376">
              <w:rPr>
                <w:b w:val="0"/>
                <w:noProof/>
              </w:rPr>
              <w:noBreakHyphen/>
            </w:r>
            <w:r w:rsidR="007F659D" w:rsidRPr="00964376">
              <w:rPr>
                <w:b w:val="0"/>
                <w:noProof/>
              </w:rPr>
              <w:t>C</w:t>
            </w:r>
            <w:r w:rsidR="00307BAF" w:rsidRPr="00964376">
              <w:rPr>
                <w:b w:val="0"/>
                <w:noProof/>
              </w:rPr>
              <w:t>)</w:t>
            </w:r>
            <w:bookmarkEnd w:id="338"/>
          </w:p>
          <w:p w:rsidR="00844E39" w:rsidRDefault="00844E39" w:rsidP="006B2AEC">
            <w:pPr>
              <w:pStyle w:val="Heading8"/>
              <w:outlineLvl w:val="7"/>
            </w:pPr>
            <w:bookmarkStart w:id="339" w:name="_Toc456783770"/>
            <w:bookmarkStart w:id="340" w:name="Rule_Advice_5B"/>
            <w:r w:rsidRPr="00D714FC">
              <w:t xml:space="preserve">The rules should be amended to expand the current </w:t>
            </w:r>
            <w:r w:rsidR="00DA6CFB">
              <w:t xml:space="preserve">limited </w:t>
            </w:r>
            <w:r w:rsidRPr="00D714FC">
              <w:t>protections</w:t>
            </w:r>
            <w:r w:rsidR="00DA6CFB">
              <w:rPr>
                <w:rStyle w:val="FootnoteReference"/>
              </w:rPr>
              <w:footnoteReference w:id="113"/>
            </w:r>
            <w:r w:rsidRPr="00D714FC">
              <w:t xml:space="preserve"> in rule 10 to prohibit </w:t>
            </w:r>
            <w:r w:rsidRPr="000109FB">
              <w:t xml:space="preserve">infrastructure operators from unreasonably levying different charges (including different rates or discounts) </w:t>
            </w:r>
            <w:r w:rsidRPr="00DC18EF">
              <w:t>for an infrastructure service</w:t>
            </w:r>
            <w:r>
              <w:t xml:space="preserve"> </w:t>
            </w:r>
            <w:r w:rsidRPr="000109FB">
              <w:t>or</w:t>
            </w:r>
            <w:r>
              <w:t xml:space="preserve"> unreasonably</w:t>
            </w:r>
            <w:r w:rsidRPr="000109FB">
              <w:t xml:space="preserve"> restricting the availability of infrastructure</w:t>
            </w:r>
            <w:r w:rsidRPr="00246221">
              <w:t xml:space="preserve"> </w:t>
            </w:r>
            <w:r w:rsidRPr="000109FB">
              <w:t>services it offers.</w:t>
            </w:r>
            <w:bookmarkEnd w:id="339"/>
          </w:p>
          <w:p w:rsidR="00844E39" w:rsidRPr="00AF7032" w:rsidRDefault="00844E39" w:rsidP="006B2AEC">
            <w:pPr>
              <w:pStyle w:val="Heading8"/>
              <w:outlineLvl w:val="7"/>
              <w:rPr>
                <w:i/>
                <w:sz w:val="21"/>
                <w:szCs w:val="21"/>
              </w:rPr>
            </w:pPr>
            <w:bookmarkStart w:id="341" w:name="_Toc456783771"/>
            <w:r w:rsidRPr="00AF7032">
              <w:rPr>
                <w:i/>
                <w:sz w:val="21"/>
                <w:szCs w:val="21"/>
              </w:rPr>
              <w:t>Factors to be taken into account</w:t>
            </w:r>
            <w:bookmarkEnd w:id="341"/>
          </w:p>
          <w:p w:rsidR="00844E39" w:rsidRDefault="00844E39" w:rsidP="006B2AEC">
            <w:pPr>
              <w:pStyle w:val="Heading8"/>
              <w:outlineLvl w:val="7"/>
            </w:pPr>
            <w:bookmarkStart w:id="342" w:name="_Toc456783772"/>
            <w:r>
              <w:t xml:space="preserve">This rule should also include </w:t>
            </w:r>
            <w:r w:rsidRPr="003121A1">
              <w:t xml:space="preserve">a non-exhaustive list of factors </w:t>
            </w:r>
            <w:r>
              <w:t>to</w:t>
            </w:r>
            <w:r w:rsidRPr="003121A1">
              <w:t xml:space="preserve"> be taken into account when deciding whether a particular differen</w:t>
            </w:r>
            <w:r w:rsidR="00211E95">
              <w:t>ce in</w:t>
            </w:r>
            <w:r w:rsidRPr="003121A1">
              <w:t xml:space="preserve"> charge</w:t>
            </w:r>
            <w:r w:rsidR="00211E95">
              <w:t>s</w:t>
            </w:r>
            <w:r w:rsidRPr="003121A1">
              <w:t xml:space="preserve"> or restricti</w:t>
            </w:r>
            <w:r w:rsidR="00211E95">
              <w:t>o</w:t>
            </w:r>
            <w:r w:rsidRPr="003121A1">
              <w:t>n</w:t>
            </w:r>
            <w:r w:rsidR="00211E95">
              <w:t xml:space="preserve"> on the</w:t>
            </w:r>
            <w:r w:rsidRPr="003121A1">
              <w:t xml:space="preserve"> availability of infrastructure services is reasonable</w:t>
            </w:r>
            <w:r>
              <w:t>, as follows:</w:t>
            </w:r>
            <w:bookmarkEnd w:id="342"/>
          </w:p>
          <w:p w:rsidR="00844E39" w:rsidRPr="00935228" w:rsidRDefault="00844E39" w:rsidP="00F43856">
            <w:pPr>
              <w:pStyle w:val="Heading8"/>
              <w:numPr>
                <w:ilvl w:val="0"/>
                <w:numId w:val="95"/>
              </w:numPr>
              <w:outlineLvl w:val="7"/>
            </w:pPr>
            <w:bookmarkStart w:id="343" w:name="_Toc456783773"/>
            <w:r w:rsidRPr="00935228">
              <w:t>The necessary infrastructure required to provide the infrastructure service, including any capacity constraints in general, in applicable areas or at particular times;</w:t>
            </w:r>
            <w:bookmarkEnd w:id="343"/>
            <w:r w:rsidRPr="00935228">
              <w:t xml:space="preserve"> </w:t>
            </w:r>
          </w:p>
          <w:p w:rsidR="00844E39" w:rsidRPr="00935228" w:rsidRDefault="00844E39" w:rsidP="00F43856">
            <w:pPr>
              <w:pStyle w:val="Heading8"/>
              <w:numPr>
                <w:ilvl w:val="0"/>
                <w:numId w:val="95"/>
              </w:numPr>
              <w:outlineLvl w:val="7"/>
            </w:pPr>
            <w:bookmarkStart w:id="344" w:name="_Toc456783774"/>
            <w:r w:rsidRPr="00935228">
              <w:t xml:space="preserve">The costs to the infrastructure operator of providing an infrastructure service, including </w:t>
            </w:r>
            <w:r w:rsidR="00F61820">
              <w:t>the extent to which</w:t>
            </w:r>
            <w:r>
              <w:t xml:space="preserve"> </w:t>
            </w:r>
            <w:r w:rsidRPr="00935228">
              <w:t xml:space="preserve">differences in charges for the service reflect </w:t>
            </w:r>
            <w:r w:rsidR="00007EAE">
              <w:t xml:space="preserve">differences in the estimated </w:t>
            </w:r>
            <w:r w:rsidRPr="00935228">
              <w:t>costs of providing the service</w:t>
            </w:r>
            <w:r w:rsidR="00CD5F3D">
              <w:t xml:space="preserve"> in different circumstances</w:t>
            </w:r>
            <w:r>
              <w:t>;</w:t>
            </w:r>
            <w:bookmarkEnd w:id="344"/>
          </w:p>
          <w:p w:rsidR="00844E39" w:rsidRPr="00935228" w:rsidRDefault="00007EAE" w:rsidP="00F43856">
            <w:pPr>
              <w:pStyle w:val="Heading8"/>
              <w:numPr>
                <w:ilvl w:val="0"/>
                <w:numId w:val="95"/>
              </w:numPr>
              <w:outlineLvl w:val="7"/>
            </w:pPr>
            <w:bookmarkStart w:id="345" w:name="_Toc456783775"/>
            <w:r>
              <w:t>The extent to which</w:t>
            </w:r>
            <w:r w:rsidR="00844E39" w:rsidRPr="00935228">
              <w:t xml:space="preserve"> different infrastructure charges are applied based on the ratio of a customer’s actual usage of infrastructure services relative to the customer’s right of access to the operator’s water service infrastructure</w:t>
            </w:r>
            <w:r w:rsidR="00844E39">
              <w:t>;</w:t>
            </w:r>
            <w:bookmarkEnd w:id="345"/>
            <w:r w:rsidR="00844E39" w:rsidRPr="00935228">
              <w:t xml:space="preserve"> </w:t>
            </w:r>
          </w:p>
          <w:p w:rsidR="00844E39" w:rsidRPr="00935228" w:rsidRDefault="00844E39" w:rsidP="00F43856">
            <w:pPr>
              <w:pStyle w:val="Heading8"/>
              <w:numPr>
                <w:ilvl w:val="0"/>
                <w:numId w:val="95"/>
              </w:numPr>
              <w:outlineLvl w:val="7"/>
            </w:pPr>
            <w:bookmarkStart w:id="346" w:name="_Toc456783776"/>
            <w:r w:rsidRPr="00935228">
              <w:t xml:space="preserve">Payment of fees or charges of the type described in section 91 of the </w:t>
            </w:r>
            <w:r w:rsidR="00610501" w:rsidRPr="00610501">
              <w:rPr>
                <w:i/>
              </w:rPr>
              <w:t xml:space="preserve">Water </w:t>
            </w:r>
            <w:r w:rsidRPr="00610501">
              <w:rPr>
                <w:i/>
              </w:rPr>
              <w:t>Act</w:t>
            </w:r>
            <w:r w:rsidR="00610501" w:rsidRPr="00610501">
              <w:rPr>
                <w:i/>
              </w:rPr>
              <w:t xml:space="preserve"> 2007</w:t>
            </w:r>
            <w:r w:rsidRPr="00935228">
              <w:t xml:space="preserve"> [regulated water charges];</w:t>
            </w:r>
            <w:bookmarkEnd w:id="346"/>
          </w:p>
          <w:p w:rsidR="00844E39" w:rsidRPr="00964376" w:rsidRDefault="00844E39" w:rsidP="00581287">
            <w:pPr>
              <w:pStyle w:val="Heading8"/>
              <w:ind w:left="709"/>
              <w:outlineLvl w:val="7"/>
              <w:rPr>
                <w:sz w:val="18"/>
              </w:rPr>
            </w:pPr>
            <w:bookmarkStart w:id="347" w:name="_Toc456783777"/>
            <w:r w:rsidRPr="00964376">
              <w:rPr>
                <w:i/>
                <w:sz w:val="18"/>
              </w:rPr>
              <w:t>Note</w:t>
            </w:r>
            <w:r w:rsidRPr="00964376">
              <w:rPr>
                <w:sz w:val="18"/>
              </w:rPr>
              <w:t>: this replicates Basin Plan water trading rule 12.29(1)(e).</w:t>
            </w:r>
            <w:bookmarkEnd w:id="347"/>
          </w:p>
          <w:p w:rsidR="00844E39" w:rsidRPr="00AC6912" w:rsidRDefault="00007EAE" w:rsidP="00F43856">
            <w:pPr>
              <w:pStyle w:val="Heading8"/>
              <w:numPr>
                <w:ilvl w:val="0"/>
                <w:numId w:val="95"/>
              </w:numPr>
              <w:outlineLvl w:val="7"/>
              <w:rPr>
                <w:szCs w:val="20"/>
              </w:rPr>
            </w:pPr>
            <w:bookmarkStart w:id="348" w:name="_Toc456783778"/>
            <w:r>
              <w:t>The extent to which</w:t>
            </w:r>
            <w:r w:rsidR="00844E39" w:rsidRPr="00935228">
              <w:t xml:space="preserve"> a difference in charges reflects a </w:t>
            </w:r>
            <w:r w:rsidR="00F76407">
              <w:rPr>
                <w:szCs w:val="20"/>
              </w:rPr>
              <w:t>C</w:t>
            </w:r>
            <w:r w:rsidR="00844E39" w:rsidRPr="00AC6912">
              <w:rPr>
                <w:szCs w:val="20"/>
              </w:rPr>
              <w:t xml:space="preserve">ommunity </w:t>
            </w:r>
            <w:r w:rsidR="00F76407">
              <w:rPr>
                <w:szCs w:val="20"/>
              </w:rPr>
              <w:t>S</w:t>
            </w:r>
            <w:r w:rsidR="00844E39" w:rsidRPr="00AC6912">
              <w:rPr>
                <w:szCs w:val="20"/>
              </w:rPr>
              <w:t xml:space="preserve">ervice </w:t>
            </w:r>
            <w:r w:rsidR="00F76407">
              <w:rPr>
                <w:szCs w:val="20"/>
              </w:rPr>
              <w:t>O</w:t>
            </w:r>
            <w:r w:rsidR="00844E39" w:rsidRPr="00AC6912">
              <w:rPr>
                <w:szCs w:val="20"/>
              </w:rPr>
              <w:t>bligation provided by a Basin State;</w:t>
            </w:r>
            <w:bookmarkEnd w:id="348"/>
          </w:p>
          <w:p w:rsidR="00AC6912" w:rsidRPr="00AC6912" w:rsidRDefault="00AC6912" w:rsidP="00F43856">
            <w:pPr>
              <w:pStyle w:val="Heading8"/>
              <w:numPr>
                <w:ilvl w:val="0"/>
                <w:numId w:val="95"/>
              </w:numPr>
              <w:outlineLvl w:val="7"/>
              <w:rPr>
                <w:szCs w:val="20"/>
              </w:rPr>
            </w:pPr>
            <w:bookmarkStart w:id="349" w:name="_Toc456783779"/>
            <w:r w:rsidRPr="00AC6912">
              <w:rPr>
                <w:szCs w:val="20"/>
              </w:rPr>
              <w:t>Where a discount is provided for an infrastructure service to customers affected by hardship such as a natural disaster (e.g., flood, fire or drought), whether:</w:t>
            </w:r>
            <w:bookmarkEnd w:id="349"/>
          </w:p>
          <w:p w:rsidR="00AC6912" w:rsidRPr="00AC6912" w:rsidRDefault="00AC6912" w:rsidP="00F43856">
            <w:pPr>
              <w:pStyle w:val="Heading8"/>
              <w:numPr>
                <w:ilvl w:val="0"/>
                <w:numId w:val="96"/>
              </w:numPr>
              <w:ind w:left="1418"/>
              <w:outlineLvl w:val="7"/>
            </w:pPr>
            <w:bookmarkStart w:id="350" w:name="_Toc456783780"/>
            <w:r w:rsidRPr="00AC6912">
              <w:t>the discount is appropriate in relation to the kind of hardship;</w:t>
            </w:r>
            <w:bookmarkEnd w:id="350"/>
            <w:r w:rsidRPr="00AC6912">
              <w:t xml:space="preserve"> </w:t>
            </w:r>
          </w:p>
          <w:p w:rsidR="00AC6912" w:rsidRPr="00AC6912" w:rsidRDefault="00AC6912" w:rsidP="00F43856">
            <w:pPr>
              <w:pStyle w:val="Heading8"/>
              <w:numPr>
                <w:ilvl w:val="0"/>
                <w:numId w:val="96"/>
              </w:numPr>
              <w:ind w:left="1418"/>
              <w:outlineLvl w:val="7"/>
            </w:pPr>
            <w:bookmarkStart w:id="351" w:name="_Toc456783781"/>
            <w:r w:rsidRPr="00AC6912">
              <w:t>the discount appropriately reflects the duration and scope of the hardship;</w:t>
            </w:r>
            <w:bookmarkEnd w:id="351"/>
            <w:r w:rsidRPr="00AC6912">
              <w:t xml:space="preserve"> </w:t>
            </w:r>
          </w:p>
          <w:p w:rsidR="00AC6912" w:rsidRPr="00AC6912" w:rsidRDefault="00AC6912" w:rsidP="00F43856">
            <w:pPr>
              <w:pStyle w:val="Heading8"/>
              <w:numPr>
                <w:ilvl w:val="0"/>
                <w:numId w:val="96"/>
              </w:numPr>
              <w:ind w:left="1418"/>
              <w:outlineLvl w:val="7"/>
            </w:pPr>
            <w:bookmarkStart w:id="352" w:name="_Toc456783782"/>
            <w:r w:rsidRPr="00AC6912">
              <w:t>the operator specifies reasonable circumstances for the discount, and the discount applies to all customers in those circumstances;</w:t>
            </w:r>
            <w:bookmarkEnd w:id="352"/>
          </w:p>
          <w:p w:rsidR="00844E39" w:rsidRPr="00935228" w:rsidRDefault="00844E39" w:rsidP="00F43856">
            <w:pPr>
              <w:pStyle w:val="Heading8"/>
              <w:numPr>
                <w:ilvl w:val="0"/>
                <w:numId w:val="95"/>
              </w:numPr>
              <w:outlineLvl w:val="7"/>
            </w:pPr>
            <w:bookmarkStart w:id="353" w:name="_Toc456783783"/>
            <w:r w:rsidRPr="00AC6912">
              <w:t>For an infrastructure operator whose infrastructure</w:t>
            </w:r>
            <w:r w:rsidRPr="00935228">
              <w:t xml:space="preserve"> charges are approved or determined under Part</w:t>
            </w:r>
            <w:r>
              <w:t> </w:t>
            </w:r>
            <w:r w:rsidRPr="00935228">
              <w:t xml:space="preserve">6, or are otherwise approved or determined by a Basin State Agency, whether there is an established transition path to a full cost recovery </w:t>
            </w:r>
            <w:r>
              <w:t>or</w:t>
            </w:r>
            <w:r w:rsidRPr="00935228">
              <w:t xml:space="preserve"> upper bound pricing charge level for particular customers / classes of customers</w:t>
            </w:r>
            <w:r>
              <w:t>;</w:t>
            </w:r>
            <w:bookmarkEnd w:id="353"/>
          </w:p>
          <w:p w:rsidR="00844E39" w:rsidRPr="00935228" w:rsidRDefault="00844E39" w:rsidP="00F43856">
            <w:pPr>
              <w:pStyle w:val="Heading8"/>
              <w:numPr>
                <w:ilvl w:val="0"/>
                <w:numId w:val="95"/>
              </w:numPr>
              <w:outlineLvl w:val="7"/>
            </w:pPr>
            <w:bookmarkStart w:id="354" w:name="_Toc456783784"/>
            <w:r w:rsidRPr="00935228">
              <w:t>The existence of any pre-existing contracts setting out a specific infrastructure charge, the terms on which such contracts can be amended and whether any amendments reduce unreasonable charge differences or limitation of infrastructure services</w:t>
            </w:r>
            <w:r>
              <w:t>;</w:t>
            </w:r>
            <w:bookmarkEnd w:id="354"/>
            <w:r w:rsidRPr="00935228">
              <w:t xml:space="preserve"> </w:t>
            </w:r>
          </w:p>
          <w:p w:rsidR="00844E39" w:rsidRPr="00935228" w:rsidRDefault="00844E39" w:rsidP="00F43856">
            <w:pPr>
              <w:pStyle w:val="Heading8"/>
              <w:numPr>
                <w:ilvl w:val="0"/>
                <w:numId w:val="95"/>
              </w:numPr>
              <w:outlineLvl w:val="7"/>
            </w:pPr>
            <w:bookmarkStart w:id="355" w:name="_Toc456783785"/>
            <w:r w:rsidRPr="00935228">
              <w:t>Whether it is reasonably necessary for a customer to hold a particular type of tradeable water right or separate location-related right, or obtain other infrastructure services, in order to receive an infrastructure service</w:t>
            </w:r>
            <w:r>
              <w:t>;</w:t>
            </w:r>
            <w:bookmarkEnd w:id="355"/>
            <w:r w:rsidRPr="00935228">
              <w:t xml:space="preserve"> </w:t>
            </w:r>
          </w:p>
          <w:p w:rsidR="00844E39" w:rsidRPr="00964376" w:rsidRDefault="00844E39" w:rsidP="00581287">
            <w:pPr>
              <w:pStyle w:val="Heading8"/>
              <w:ind w:left="709"/>
              <w:outlineLvl w:val="7"/>
              <w:rPr>
                <w:sz w:val="18"/>
              </w:rPr>
            </w:pPr>
            <w:bookmarkStart w:id="356" w:name="_Toc456783786"/>
            <w:r w:rsidRPr="00964376">
              <w:rPr>
                <w:i/>
                <w:sz w:val="18"/>
              </w:rPr>
              <w:t>Note:</w:t>
            </w:r>
            <w:r w:rsidRPr="00964376">
              <w:rPr>
                <w:sz w:val="18"/>
              </w:rPr>
              <w:t xml:space="preserve"> An example is where a person </w:t>
            </w:r>
            <w:r w:rsidR="009B3D2E" w:rsidRPr="00964376">
              <w:rPr>
                <w:sz w:val="18"/>
              </w:rPr>
              <w:t xml:space="preserve">must have </w:t>
            </w:r>
            <w:r w:rsidRPr="00964376">
              <w:rPr>
                <w:sz w:val="18"/>
              </w:rPr>
              <w:t xml:space="preserve">water </w:t>
            </w:r>
            <w:r w:rsidR="009B3D2E" w:rsidRPr="00964376">
              <w:rPr>
                <w:sz w:val="18"/>
              </w:rPr>
              <w:t>allocation</w:t>
            </w:r>
            <w:r w:rsidR="0018796A" w:rsidRPr="00964376">
              <w:rPr>
                <w:sz w:val="18"/>
              </w:rPr>
              <w:t xml:space="preserve"> available</w:t>
            </w:r>
            <w:r w:rsidR="009B3D2E" w:rsidRPr="00964376">
              <w:rPr>
                <w:sz w:val="18"/>
              </w:rPr>
              <w:t xml:space="preserve"> </w:t>
            </w:r>
            <w:r w:rsidRPr="00964376">
              <w:rPr>
                <w:sz w:val="18"/>
              </w:rPr>
              <w:t>(e.g. under an irrigation right or water access right) in order to be able to have water delivered.</w:t>
            </w:r>
            <w:bookmarkEnd w:id="356"/>
          </w:p>
          <w:p w:rsidR="00844E39" w:rsidRPr="00935228" w:rsidRDefault="00844E39" w:rsidP="00F43856">
            <w:pPr>
              <w:pStyle w:val="Heading8"/>
              <w:numPr>
                <w:ilvl w:val="0"/>
                <w:numId w:val="95"/>
              </w:numPr>
              <w:outlineLvl w:val="7"/>
            </w:pPr>
            <w:bookmarkStart w:id="357" w:name="_Toc456783787"/>
            <w:r w:rsidRPr="00935228">
              <w:t>Whether an operator provides water to a customer other than in relation to a volumetric irrigation right or a water access right held by the customer</w:t>
            </w:r>
            <w:r>
              <w:t>;</w:t>
            </w:r>
            <w:bookmarkEnd w:id="357"/>
          </w:p>
          <w:p w:rsidR="00F61820" w:rsidRPr="00935228" w:rsidRDefault="00007EAE" w:rsidP="00F43856">
            <w:pPr>
              <w:pStyle w:val="Heading8"/>
              <w:numPr>
                <w:ilvl w:val="0"/>
                <w:numId w:val="95"/>
              </w:numPr>
              <w:outlineLvl w:val="7"/>
            </w:pPr>
            <w:bookmarkStart w:id="358" w:name="_Toc456783790"/>
            <w:bookmarkStart w:id="359" w:name="_Toc456783788"/>
            <w:r>
              <w:t xml:space="preserve">The extent to which </w:t>
            </w:r>
            <w:r w:rsidR="00F61820" w:rsidRPr="00935228">
              <w:t>the operator’s charges are necessary to comply with the proposed pass through rules (rule 9A).</w:t>
            </w:r>
            <w:bookmarkEnd w:id="358"/>
            <w:r w:rsidR="00F61820" w:rsidRPr="00935228">
              <w:t xml:space="preserve"> </w:t>
            </w:r>
          </w:p>
          <w:p w:rsidR="00844E39" w:rsidRPr="00935228" w:rsidRDefault="00844E39" w:rsidP="00F43856">
            <w:pPr>
              <w:pStyle w:val="Heading8"/>
              <w:numPr>
                <w:ilvl w:val="0"/>
                <w:numId w:val="95"/>
              </w:numPr>
              <w:outlineLvl w:val="7"/>
            </w:pPr>
            <w:r w:rsidRPr="00935228">
              <w:t xml:space="preserve">The need to comply with a requirement under </w:t>
            </w:r>
            <w:r w:rsidR="009B3D2E">
              <w:t>a</w:t>
            </w:r>
            <w:r w:rsidRPr="00935228">
              <w:t xml:space="preserve"> law </w:t>
            </w:r>
            <w:r w:rsidR="009B3D2E">
              <w:t xml:space="preserve">of a State </w:t>
            </w:r>
            <w:r w:rsidRPr="00935228">
              <w:t>to limit the availability of a service</w:t>
            </w:r>
            <w:r>
              <w:t>;</w:t>
            </w:r>
            <w:bookmarkEnd w:id="359"/>
          </w:p>
          <w:p w:rsidR="00844E39" w:rsidRPr="00964376" w:rsidRDefault="00844E39" w:rsidP="00581287">
            <w:pPr>
              <w:pStyle w:val="Heading8"/>
              <w:ind w:left="709"/>
              <w:outlineLvl w:val="7"/>
              <w:rPr>
                <w:sz w:val="18"/>
              </w:rPr>
            </w:pPr>
            <w:bookmarkStart w:id="360" w:name="_Toc456783789"/>
            <w:r w:rsidRPr="00964376">
              <w:rPr>
                <w:i/>
                <w:sz w:val="18"/>
              </w:rPr>
              <w:t>Note:</w:t>
            </w:r>
            <w:r w:rsidRPr="00964376">
              <w:rPr>
                <w:sz w:val="18"/>
              </w:rPr>
              <w:t xml:space="preserve"> An example is where an infrastructure operator is required to limit delivery of water to customers who hold non-volumetric rights (e.g. non-volumetric stock and domestic rights) in order to give effect to state-mandated water restrictions during a period of drought.</w:t>
            </w:r>
            <w:bookmarkEnd w:id="360"/>
          </w:p>
          <w:p w:rsidR="00844E39" w:rsidRPr="00AF7032" w:rsidRDefault="00002EDE" w:rsidP="00AF7032">
            <w:pPr>
              <w:pStyle w:val="Heading8"/>
              <w:outlineLvl w:val="7"/>
              <w:rPr>
                <w:i/>
                <w:sz w:val="18"/>
                <w:lang w:eastAsia="en-US"/>
              </w:rPr>
            </w:pPr>
            <w:r w:rsidRPr="00AF7032">
              <w:rPr>
                <w:i/>
                <w:sz w:val="18"/>
                <w:lang w:eastAsia="en-US"/>
              </w:rPr>
              <w:t>S</w:t>
            </w:r>
            <w:r w:rsidR="00844E39" w:rsidRPr="00AF7032">
              <w:rPr>
                <w:i/>
                <w:sz w:val="18"/>
                <w:lang w:eastAsia="en-US"/>
              </w:rPr>
              <w:t xml:space="preserve">ee </w:t>
            </w:r>
            <w:r w:rsidR="00AA587E" w:rsidRPr="00AF7032">
              <w:rPr>
                <w:i/>
                <w:sz w:val="18"/>
                <w:lang w:eastAsia="en-US"/>
              </w:rPr>
              <w:t xml:space="preserve">also </w:t>
            </w:r>
            <w:r w:rsidR="00844E39" w:rsidRPr="00AF7032">
              <w:rPr>
                <w:i/>
                <w:sz w:val="18"/>
                <w:lang w:eastAsia="en-US"/>
              </w:rPr>
              <w:t>rule advice 5-Y.</w:t>
            </w:r>
          </w:p>
          <w:p w:rsidR="00AC6912" w:rsidRPr="00AC6912" w:rsidRDefault="00AC6912" w:rsidP="00AC6912">
            <w:pPr>
              <w:pStyle w:val="Heading8"/>
              <w:spacing w:before="240"/>
              <w:outlineLvl w:val="7"/>
            </w:pPr>
            <w:bookmarkStart w:id="361" w:name="_Toc456783796"/>
            <w:r>
              <w:t>This rule should provide that a difference in charges</w:t>
            </w:r>
            <w:r w:rsidR="00AF01F1">
              <w:t xml:space="preserve"> arising from the operator offering</w:t>
            </w:r>
            <w:r>
              <w:t xml:space="preserve"> </w:t>
            </w:r>
            <w:r w:rsidR="00AF01F1">
              <w:t xml:space="preserve">a </w:t>
            </w:r>
            <w:r>
              <w:rPr>
                <w:b/>
                <w:i/>
              </w:rPr>
              <w:t>prudent discount</w:t>
            </w:r>
            <w:r>
              <w:t xml:space="preserve"> is taken to be reasonable.</w:t>
            </w:r>
            <w:bookmarkEnd w:id="361"/>
          </w:p>
          <w:p w:rsidR="00844E39" w:rsidRPr="00AF7032" w:rsidRDefault="00844E39" w:rsidP="00F3146C">
            <w:pPr>
              <w:pStyle w:val="Heading8"/>
              <w:outlineLvl w:val="7"/>
              <w:rPr>
                <w:i/>
                <w:sz w:val="21"/>
                <w:szCs w:val="21"/>
              </w:rPr>
            </w:pPr>
            <w:bookmarkStart w:id="362" w:name="_Toc456783797"/>
            <w:r w:rsidRPr="00AF7032">
              <w:rPr>
                <w:i/>
                <w:sz w:val="21"/>
                <w:szCs w:val="21"/>
              </w:rPr>
              <w:t>Definitions</w:t>
            </w:r>
            <w:bookmarkEnd w:id="362"/>
          </w:p>
          <w:p w:rsidR="00844E39" w:rsidRDefault="00844E39" w:rsidP="00F3146C">
            <w:pPr>
              <w:pStyle w:val="Heading8"/>
              <w:outlineLvl w:val="7"/>
            </w:pPr>
            <w:bookmarkStart w:id="363" w:name="_Toc456783798"/>
            <w:r>
              <w:t>For this rule, the term “prudent discount” should be defined based on the following:</w:t>
            </w:r>
            <w:bookmarkEnd w:id="363"/>
            <w:r>
              <w:t xml:space="preserve"> </w:t>
            </w:r>
          </w:p>
          <w:p w:rsidR="00844E39" w:rsidRDefault="00844E39" w:rsidP="00F3146C">
            <w:pPr>
              <w:pStyle w:val="Heading8"/>
              <w:outlineLvl w:val="7"/>
            </w:pPr>
            <w:bookmarkStart w:id="364" w:name="_Toc456783799"/>
            <w:r>
              <w:t xml:space="preserve">A </w:t>
            </w:r>
            <w:r w:rsidRPr="003121A1">
              <w:rPr>
                <w:b/>
              </w:rPr>
              <w:t>prudent discount</w:t>
            </w:r>
            <w:r>
              <w:t xml:space="preserve"> is where an infrastructure operator offers an infrastructure service at a discounted rate to a particular customer or group of customers which </w:t>
            </w:r>
            <w:r w:rsidR="00AB56CC">
              <w:t>can reasonably be expected</w:t>
            </w:r>
            <w:r>
              <w:t xml:space="preserve"> to result in charges for the infrastructure operator’s other customers being lower than they would otherwise have been. This includes where an operator credibly believes that a customer </w:t>
            </w:r>
            <w:r w:rsidR="00AB56CC">
              <w:t xml:space="preserve">or group of customers </w:t>
            </w:r>
            <w:r>
              <w:t>would not obtain infrastructure services at the standard charge for that infrastructure service, but would, with the provision of a discount, obtain infrastructure services and pay charges that would contribute towards the operator’s fixed costs.</w:t>
            </w:r>
            <w:bookmarkEnd w:id="364"/>
            <w:r>
              <w:t xml:space="preserve"> </w:t>
            </w:r>
          </w:p>
          <w:p w:rsidR="00844E39" w:rsidRPr="00AF7032" w:rsidRDefault="00844E39" w:rsidP="00F2799C">
            <w:pPr>
              <w:pStyle w:val="Heading8"/>
              <w:spacing w:before="240"/>
              <w:outlineLvl w:val="7"/>
              <w:rPr>
                <w:sz w:val="21"/>
                <w:szCs w:val="21"/>
              </w:rPr>
            </w:pPr>
            <w:bookmarkStart w:id="365" w:name="_Toc456783803"/>
            <w:r w:rsidRPr="00AF7032">
              <w:rPr>
                <w:i/>
                <w:sz w:val="21"/>
                <w:szCs w:val="21"/>
              </w:rPr>
              <w:t>Exe</w:t>
            </w:r>
            <w:r w:rsidR="00AB56CC" w:rsidRPr="00AF7032">
              <w:rPr>
                <w:i/>
                <w:sz w:val="21"/>
                <w:szCs w:val="21"/>
              </w:rPr>
              <w:t>m</w:t>
            </w:r>
            <w:r w:rsidRPr="00AF7032">
              <w:rPr>
                <w:i/>
                <w:sz w:val="21"/>
                <w:szCs w:val="21"/>
              </w:rPr>
              <w:t>ptions</w:t>
            </w:r>
            <w:bookmarkEnd w:id="365"/>
          </w:p>
          <w:p w:rsidR="00844E39" w:rsidRDefault="00844E39" w:rsidP="00F3146C">
            <w:pPr>
              <w:pStyle w:val="Heading8"/>
              <w:outlineLvl w:val="7"/>
            </w:pPr>
            <w:bookmarkStart w:id="366" w:name="_Toc456783804"/>
            <w:r>
              <w:t xml:space="preserve">The rules should </w:t>
            </w:r>
            <w:r w:rsidR="00550A8B">
              <w:t xml:space="preserve">provide a </w:t>
            </w:r>
            <w:r w:rsidR="00007EAE">
              <w:t xml:space="preserve">restriction of a kind where </w:t>
            </w:r>
            <w:r w:rsidR="00550A8B">
              <w:t xml:space="preserve">an operator limits the availability of an infrastructure service to customers only </w:t>
            </w:r>
            <w:r w:rsidRPr="00935228">
              <w:t>using water for stock or domestic purposes</w:t>
            </w:r>
            <w:r w:rsidR="00007EAE">
              <w:t xml:space="preserve"> is taken to be reasonable</w:t>
            </w:r>
            <w:r w:rsidRPr="00935228">
              <w:t>.</w:t>
            </w:r>
            <w:bookmarkEnd w:id="366"/>
          </w:p>
          <w:p w:rsidR="00844E39" w:rsidRDefault="00844E39" w:rsidP="00F3146C">
            <w:pPr>
              <w:pStyle w:val="Heading8"/>
              <w:outlineLvl w:val="7"/>
            </w:pPr>
            <w:bookmarkStart w:id="367" w:name="_Toc456783805"/>
            <w:r>
              <w:t xml:space="preserve">As per rule advice 5-X, the rules should provide for certain arrangements </w:t>
            </w:r>
            <w:r w:rsidR="00AB56CC">
              <w:t xml:space="preserve">under </w:t>
            </w:r>
            <w:r w:rsidRPr="00935228">
              <w:t xml:space="preserve">Part IIIA of the </w:t>
            </w:r>
            <w:r w:rsidRPr="00AB56CC">
              <w:rPr>
                <w:i/>
              </w:rPr>
              <w:t>Competition and Consumer Act 2010</w:t>
            </w:r>
            <w:r w:rsidRPr="00935228">
              <w:t xml:space="preserve"> </w:t>
            </w:r>
            <w:r>
              <w:t>to be</w:t>
            </w:r>
            <w:r w:rsidRPr="00935228">
              <w:t xml:space="preserve"> permitted despite the non</w:t>
            </w:r>
            <w:r w:rsidR="00FD6186">
              <w:noBreakHyphen/>
            </w:r>
            <w:r w:rsidRPr="00935228">
              <w:t xml:space="preserve">discrimination requirements </w:t>
            </w:r>
            <w:r w:rsidR="00FD6186">
              <w:t>in rule 10</w:t>
            </w:r>
            <w:r>
              <w:t>.</w:t>
            </w:r>
            <w:bookmarkEnd w:id="367"/>
          </w:p>
          <w:p w:rsidR="00960932" w:rsidRPr="00AF7032" w:rsidRDefault="00960932" w:rsidP="00F3146C">
            <w:pPr>
              <w:pStyle w:val="Heading8"/>
              <w:outlineLvl w:val="7"/>
              <w:rPr>
                <w:sz w:val="18"/>
              </w:rPr>
            </w:pPr>
            <w:bookmarkStart w:id="368" w:name="_Toc456783806"/>
            <w:r w:rsidRPr="00AF7032">
              <w:rPr>
                <w:i/>
                <w:sz w:val="18"/>
              </w:rPr>
              <w:t>See also rule advice 5-D, rule advice 5-X.</w:t>
            </w:r>
            <w:r w:rsidRPr="00AF7032">
              <w:rPr>
                <w:sz w:val="18"/>
              </w:rPr>
              <w:t xml:space="preserve"> </w:t>
            </w:r>
          </w:p>
          <w:p w:rsidR="00844E39" w:rsidRDefault="00844E39" w:rsidP="00F3146C">
            <w:pPr>
              <w:pStyle w:val="Heading8"/>
              <w:outlineLvl w:val="7"/>
            </w:pPr>
            <w:r w:rsidRPr="00D714FC">
              <w:t>This rule should be a civil penalty provision</w:t>
            </w:r>
            <w:r>
              <w:t>.</w:t>
            </w:r>
            <w:bookmarkEnd w:id="368"/>
          </w:p>
          <w:p w:rsidR="003A4123" w:rsidRPr="00FA4018" w:rsidRDefault="00844E39" w:rsidP="00AA587E">
            <w:pPr>
              <w:pStyle w:val="Heading8"/>
              <w:outlineLvl w:val="7"/>
              <w:rPr>
                <w:i/>
              </w:rPr>
            </w:pPr>
            <w:bookmarkStart w:id="369" w:name="_Toc456783807"/>
            <w:r>
              <w:rPr>
                <w:rFonts w:ascii="Times New Roman" w:hAnsi="Times New Roman"/>
              </w:rPr>
              <w:t xml:space="preserve">This rule advice is implemented in </w:t>
            </w:r>
            <w:r w:rsidR="00207A65">
              <w:rPr>
                <w:rFonts w:ascii="Times New Roman" w:hAnsi="Times New Roman"/>
              </w:rPr>
              <w:t>r</w:t>
            </w:r>
            <w:r>
              <w:rPr>
                <w:rFonts w:ascii="Times New Roman" w:hAnsi="Times New Roman"/>
              </w:rPr>
              <w:t>ule 10</w:t>
            </w:r>
            <w:r w:rsidR="003A4123">
              <w:rPr>
                <w:rFonts w:ascii="Times New Roman" w:hAnsi="Times New Roman"/>
              </w:rPr>
              <w:t xml:space="preserve"> </w:t>
            </w:r>
            <w:r>
              <w:rPr>
                <w:rFonts w:ascii="Times New Roman" w:hAnsi="Times New Roman"/>
              </w:rPr>
              <w:t xml:space="preserve">of the proposed </w:t>
            </w:r>
            <w:r w:rsidR="003F77BE">
              <w:rPr>
                <w:rFonts w:ascii="Times New Roman" w:hAnsi="Times New Roman"/>
              </w:rPr>
              <w:t>W</w:t>
            </w:r>
            <w:r>
              <w:rPr>
                <w:rFonts w:ascii="Times New Roman" w:hAnsi="Times New Roman"/>
              </w:rPr>
              <w:t xml:space="preserve">ater </w:t>
            </w:r>
            <w:r w:rsidR="003F77BE">
              <w:rPr>
                <w:rFonts w:ascii="Times New Roman" w:hAnsi="Times New Roman"/>
              </w:rPr>
              <w:t>C</w:t>
            </w:r>
            <w:r>
              <w:rPr>
                <w:rFonts w:ascii="Times New Roman" w:hAnsi="Times New Roman"/>
              </w:rPr>
              <w:t xml:space="preserve">harge </w:t>
            </w:r>
            <w:r w:rsidR="003F77BE">
              <w:rPr>
                <w:rFonts w:ascii="Times New Roman" w:hAnsi="Times New Roman"/>
              </w:rPr>
              <w:t>R</w:t>
            </w:r>
            <w:r>
              <w:rPr>
                <w:rFonts w:ascii="Times New Roman" w:hAnsi="Times New Roman"/>
              </w:rPr>
              <w:t>ules</w:t>
            </w:r>
            <w:bookmarkStart w:id="370" w:name="_Toc456783808"/>
            <w:bookmarkEnd w:id="369"/>
            <w:r w:rsidR="00E51A5A" w:rsidRPr="00E51A5A">
              <w:rPr>
                <w:i/>
              </w:rPr>
              <w:t>.</w:t>
            </w:r>
            <w:bookmarkEnd w:id="340"/>
            <w:bookmarkEnd w:id="370"/>
          </w:p>
        </w:tc>
      </w:tr>
      <w:tr w:rsidR="00AA587E" w:rsidTr="00AA587E">
        <w:tc>
          <w:tcPr>
            <w:tcW w:w="9242" w:type="dxa"/>
            <w:tcBorders>
              <w:top w:val="nil"/>
              <w:left w:val="nil"/>
              <w:bottom w:val="nil"/>
              <w:right w:val="nil"/>
            </w:tcBorders>
            <w:shd w:val="clear" w:color="auto" w:fill="F2F2F2" w:themeFill="background1" w:themeFillShade="F2"/>
          </w:tcPr>
          <w:p w:rsidR="00AA587E" w:rsidRPr="00536A3D" w:rsidRDefault="00AA587E" w:rsidP="00AF7032">
            <w:pPr>
              <w:pStyle w:val="Recommendationheading"/>
            </w:pPr>
            <w:bookmarkStart w:id="371" w:name="_Toc456784199"/>
            <w:r w:rsidRPr="00536A3D">
              <w:t xml:space="preserve">Recommendation </w:t>
            </w:r>
            <w:r>
              <w:rPr>
                <w:noProof/>
              </w:rPr>
              <w:t>5</w:t>
            </w:r>
            <w:r>
              <w:noBreakHyphen/>
            </w:r>
            <w:r>
              <w:rPr>
                <w:noProof/>
              </w:rPr>
              <w:t>A</w:t>
            </w:r>
            <w:bookmarkEnd w:id="371"/>
          </w:p>
          <w:p w:rsidR="00AA587E" w:rsidRDefault="00AA587E" w:rsidP="00AA587E">
            <w:pPr>
              <w:pStyle w:val="Heading7"/>
              <w:outlineLvl w:val="6"/>
            </w:pPr>
            <w:bookmarkStart w:id="372" w:name="_Toc456784200"/>
            <w:bookmarkStart w:id="373" w:name="Recommendation_5A"/>
            <w:r>
              <w:t>The proposed amendments to rule 10</w:t>
            </w:r>
            <w:r w:rsidRPr="00764928">
              <w:t xml:space="preserve"> </w:t>
            </w:r>
            <w:r>
              <w:t xml:space="preserve">(set out in rule advices 5-A and 5-B) </w:t>
            </w:r>
            <w:r w:rsidRPr="00764928">
              <w:t xml:space="preserve">should not </w:t>
            </w:r>
            <w:r w:rsidR="00C70035">
              <w:t>apply</w:t>
            </w:r>
            <w:r w:rsidRPr="00764928">
              <w:t xml:space="preserve"> before 1 July 2018</w:t>
            </w:r>
            <w:r>
              <w:t>, even if the ACCC’s recommendation 4-E is adopted and other amendments to the rules commence on 1 July 2017.</w:t>
            </w:r>
            <w:bookmarkEnd w:id="372"/>
          </w:p>
          <w:p w:rsidR="00AA587E" w:rsidRPr="00AA587E" w:rsidRDefault="00AA587E" w:rsidP="00AA587E">
            <w:pPr>
              <w:pStyle w:val="Heading7"/>
              <w:outlineLvl w:val="6"/>
              <w:rPr>
                <w:i/>
              </w:rPr>
            </w:pPr>
            <w:r w:rsidRPr="00AF7032">
              <w:rPr>
                <w:i/>
                <w:sz w:val="18"/>
              </w:rPr>
              <w:t>See also recommendation 4-E.</w:t>
            </w:r>
            <w:bookmarkEnd w:id="373"/>
          </w:p>
        </w:tc>
      </w:tr>
    </w:tbl>
    <w:p w:rsidR="00844E39" w:rsidRDefault="00844E39" w:rsidP="00E260C2">
      <w:pPr>
        <w:pStyle w:val="Heading4"/>
        <w:keepNext w:val="0"/>
      </w:pPr>
      <w:r>
        <w:t>Background</w:t>
      </w:r>
    </w:p>
    <w:p w:rsidR="00844E39" w:rsidRPr="00D714FC" w:rsidRDefault="00844E39" w:rsidP="00E260C2">
      <w:pPr>
        <w:spacing w:before="240"/>
        <w:rPr>
          <w:rFonts w:eastAsia="Arial" w:cs="Times New Roman"/>
        </w:rPr>
      </w:pPr>
      <w:r w:rsidRPr="00D714FC">
        <w:rPr>
          <w:rFonts w:eastAsia="Arial" w:cs="Times New Roman"/>
        </w:rPr>
        <w:t xml:space="preserve">Currently under Part 3 </w:t>
      </w:r>
      <w:r>
        <w:rPr>
          <w:rFonts w:eastAsia="Arial" w:cs="Times New Roman"/>
        </w:rPr>
        <w:t xml:space="preserve">of the </w:t>
      </w:r>
      <w:r w:rsidR="00BB2B90">
        <w:rPr>
          <w:rFonts w:eastAsia="Arial" w:cs="Times New Roman"/>
        </w:rPr>
        <w:t>WCIR</w:t>
      </w:r>
      <w:r>
        <w:rPr>
          <w:rFonts w:eastAsia="Arial" w:cs="Times New Roman"/>
        </w:rPr>
        <w:t xml:space="preserve">, </w:t>
      </w:r>
      <w:r w:rsidRPr="00D714FC">
        <w:rPr>
          <w:rFonts w:eastAsia="Arial" w:cs="Times New Roman"/>
        </w:rPr>
        <w:t xml:space="preserve">a member-owned operator (of any size) is prevented from </w:t>
      </w:r>
      <w:r>
        <w:rPr>
          <w:rFonts w:eastAsia="Arial" w:cs="Times New Roman"/>
        </w:rPr>
        <w:t>levying</w:t>
      </w:r>
      <w:r w:rsidRPr="00D714FC">
        <w:rPr>
          <w:rFonts w:eastAsia="Arial" w:cs="Times New Roman"/>
        </w:rPr>
        <w:t xml:space="preserve"> a different infrastructure charge to a customer based on whether or not that customer holds an irrigation right against the operator. </w:t>
      </w:r>
      <w:r>
        <w:rPr>
          <w:rFonts w:eastAsia="Arial" w:cs="Times New Roman"/>
        </w:rPr>
        <w:t>T</w:t>
      </w:r>
      <w:r w:rsidRPr="00D714FC">
        <w:rPr>
          <w:rFonts w:eastAsia="Arial" w:cs="Times New Roman"/>
        </w:rPr>
        <w:t>his rule does not prevent differential charging where this difference reflects actual cost differences.</w:t>
      </w:r>
    </w:p>
    <w:p w:rsidR="00844E39" w:rsidRPr="00D714FC" w:rsidRDefault="00844E39" w:rsidP="00E260C2">
      <w:pPr>
        <w:rPr>
          <w:rFonts w:cs="Times New Roman"/>
        </w:rPr>
      </w:pPr>
      <w:r w:rsidRPr="00D714FC">
        <w:rPr>
          <w:rFonts w:cs="Times New Roman"/>
        </w:rPr>
        <w:t>The purpose of th</w:t>
      </w:r>
      <w:r>
        <w:rPr>
          <w:rFonts w:cs="Times New Roman"/>
        </w:rPr>
        <w:t>e existing</w:t>
      </w:r>
      <w:r w:rsidRPr="00D714FC">
        <w:rPr>
          <w:rFonts w:cs="Times New Roman"/>
        </w:rPr>
        <w:t xml:space="preserve"> rule is “to ensure that price signals received by irrigators and operators are consistent with the economically efficient use of water resources and infrastructure”,</w:t>
      </w:r>
      <w:r w:rsidRPr="00D714FC">
        <w:rPr>
          <w:rStyle w:val="FootnoteReference"/>
          <w:rFonts w:cs="Times New Roman"/>
        </w:rPr>
        <w:footnoteReference w:id="114"/>
      </w:r>
      <w:r w:rsidRPr="00D714FC">
        <w:rPr>
          <w:rFonts w:cs="Times New Roman"/>
        </w:rPr>
        <w:t xml:space="preserve"> and </w:t>
      </w:r>
      <w:r w:rsidRPr="00D714FC">
        <w:rPr>
          <w:rFonts w:eastAsia="Arial" w:cs="Times New Roman"/>
        </w:rPr>
        <w:t xml:space="preserve">to prevent price discrimination against transformed customers </w:t>
      </w:r>
      <w:r>
        <w:rPr>
          <w:rFonts w:eastAsia="Arial" w:cs="Times New Roman"/>
        </w:rPr>
        <w:t>which</w:t>
      </w:r>
      <w:r w:rsidRPr="00D714FC">
        <w:rPr>
          <w:rFonts w:eastAsia="Arial" w:cs="Times New Roman"/>
        </w:rPr>
        <w:t xml:space="preserve"> may deter transformation of irrigation rights</w:t>
      </w:r>
      <w:r>
        <w:rPr>
          <w:rFonts w:eastAsia="Arial" w:cs="Times New Roman"/>
        </w:rPr>
        <w:t xml:space="preserve"> more generally</w:t>
      </w:r>
      <w:r w:rsidRPr="00D714FC">
        <w:rPr>
          <w:rFonts w:cs="Times New Roman"/>
        </w:rPr>
        <w:t>.</w:t>
      </w:r>
      <w:r w:rsidRPr="00D714FC">
        <w:rPr>
          <w:rStyle w:val="FootnoteReference"/>
          <w:rFonts w:cs="Times New Roman"/>
        </w:rPr>
        <w:footnoteReference w:id="115"/>
      </w:r>
      <w:r w:rsidRPr="00D714FC">
        <w:rPr>
          <w:rFonts w:cs="Times New Roman"/>
        </w:rPr>
        <w:t xml:space="preserve"> </w:t>
      </w:r>
    </w:p>
    <w:p w:rsidR="00844E39" w:rsidRDefault="00844E39" w:rsidP="00E260C2">
      <w:pPr>
        <w:rPr>
          <w:rFonts w:cs="Times New Roman"/>
        </w:rPr>
      </w:pPr>
      <w:r w:rsidRPr="00D714FC">
        <w:rPr>
          <w:rFonts w:cs="Times New Roman"/>
        </w:rPr>
        <w:t xml:space="preserve">The </w:t>
      </w:r>
      <w:r>
        <w:rPr>
          <w:rFonts w:cs="Times New Roman"/>
        </w:rPr>
        <w:t xml:space="preserve">broader </w:t>
      </w:r>
      <w:r w:rsidRPr="00D714FC">
        <w:rPr>
          <w:rFonts w:cs="Times New Roman"/>
        </w:rPr>
        <w:t xml:space="preserve">policy intent of the current </w:t>
      </w:r>
      <w:r>
        <w:rPr>
          <w:rFonts w:cs="Times New Roman"/>
        </w:rPr>
        <w:t>rule</w:t>
      </w:r>
      <w:r w:rsidRPr="00D714FC">
        <w:rPr>
          <w:rFonts w:cs="Times New Roman"/>
        </w:rPr>
        <w:t xml:space="preserve"> is to ensure that price signals received by </w:t>
      </w:r>
      <w:r w:rsidR="006B2AEC">
        <w:rPr>
          <w:rFonts w:cs="Times New Roman"/>
        </w:rPr>
        <w:t>customers</w:t>
      </w:r>
      <w:r w:rsidR="006B2AEC" w:rsidRPr="00D714FC">
        <w:rPr>
          <w:rFonts w:cs="Times New Roman"/>
        </w:rPr>
        <w:t xml:space="preserve"> </w:t>
      </w:r>
      <w:r w:rsidRPr="00D714FC">
        <w:rPr>
          <w:rFonts w:cs="Times New Roman"/>
        </w:rPr>
        <w:t>and operators are consistent with the economically efficient use of water resources and infrastructure</w:t>
      </w:r>
      <w:r>
        <w:rPr>
          <w:rFonts w:cs="Times New Roman"/>
        </w:rPr>
        <w:t>,</w:t>
      </w:r>
      <w:r w:rsidRPr="00D714FC">
        <w:rPr>
          <w:rStyle w:val="FootnoteReference"/>
          <w:rFonts w:cs="Times New Roman"/>
        </w:rPr>
        <w:footnoteReference w:id="116"/>
      </w:r>
      <w:r w:rsidRPr="00D714FC">
        <w:rPr>
          <w:rFonts w:cs="Times New Roman"/>
        </w:rPr>
        <w:t xml:space="preserve"> </w:t>
      </w:r>
      <w:r>
        <w:rPr>
          <w:rFonts w:cs="Times New Roman"/>
        </w:rPr>
        <w:t>by prohibiting</w:t>
      </w:r>
      <w:r w:rsidRPr="00D714FC">
        <w:rPr>
          <w:rFonts w:cs="Times New Roman"/>
        </w:rPr>
        <w:t xml:space="preserve"> </w:t>
      </w:r>
      <w:r>
        <w:rPr>
          <w:rFonts w:cs="Times New Roman"/>
        </w:rPr>
        <w:t xml:space="preserve">certain types of </w:t>
      </w:r>
      <w:r w:rsidRPr="00D714FC">
        <w:rPr>
          <w:rFonts w:cs="Times New Roman"/>
        </w:rPr>
        <w:t xml:space="preserve">price discrimination </w:t>
      </w:r>
      <w:r>
        <w:rPr>
          <w:rFonts w:cs="Times New Roman"/>
        </w:rPr>
        <w:t xml:space="preserve">which </w:t>
      </w:r>
      <w:r w:rsidRPr="00D714FC">
        <w:rPr>
          <w:rFonts w:cs="Times New Roman"/>
        </w:rPr>
        <w:t>could act as a barrier to transformation and trade, and detract from progress towards implementing the principle of user-pays.</w:t>
      </w:r>
      <w:r w:rsidRPr="00D714FC">
        <w:rPr>
          <w:rStyle w:val="FootnoteReference"/>
          <w:rFonts w:cs="Times New Roman"/>
        </w:rPr>
        <w:footnoteReference w:id="117"/>
      </w:r>
      <w:r w:rsidRPr="00D714FC">
        <w:rPr>
          <w:rFonts w:cs="Times New Roman"/>
        </w:rPr>
        <w:t xml:space="preserve"> In short, there was </w:t>
      </w:r>
      <w:r>
        <w:rPr>
          <w:rFonts w:cs="Times New Roman"/>
        </w:rPr>
        <w:t xml:space="preserve">seen to be </w:t>
      </w:r>
      <w:r w:rsidRPr="00D714FC">
        <w:rPr>
          <w:rFonts w:cs="Times New Roman"/>
        </w:rPr>
        <w:t xml:space="preserve">a need to provide some protection to a discrete subset of customers </w:t>
      </w:r>
      <w:r w:rsidR="00DA6CFB">
        <w:rPr>
          <w:rFonts w:cs="Times New Roman"/>
        </w:rPr>
        <w:t xml:space="preserve">(those who do not hold irrigation rights) </w:t>
      </w:r>
      <w:r w:rsidRPr="00D714FC">
        <w:rPr>
          <w:rFonts w:cs="Times New Roman"/>
        </w:rPr>
        <w:t>from the exercise of market power by member-owned (monopoly) operators. This rationale remains valid</w:t>
      </w:r>
      <w:r>
        <w:rPr>
          <w:rFonts w:cs="Times New Roman"/>
        </w:rPr>
        <w:t>, and has not been challenged by stakeholders</w:t>
      </w:r>
      <w:r w:rsidRPr="00D714FC">
        <w:rPr>
          <w:rFonts w:cs="Times New Roman"/>
        </w:rPr>
        <w:t xml:space="preserve">. However, the </w:t>
      </w:r>
      <w:r>
        <w:rPr>
          <w:rFonts w:cs="Times New Roman"/>
        </w:rPr>
        <w:t xml:space="preserve">ACCC considers that the </w:t>
      </w:r>
      <w:r w:rsidRPr="00D714FC">
        <w:rPr>
          <w:rFonts w:cs="Times New Roman"/>
        </w:rPr>
        <w:t xml:space="preserve">existing clause is </w:t>
      </w:r>
      <w:r w:rsidR="006B2AEC">
        <w:rPr>
          <w:rFonts w:cs="Times New Roman"/>
        </w:rPr>
        <w:t xml:space="preserve">too </w:t>
      </w:r>
      <w:r w:rsidRPr="00D714FC">
        <w:rPr>
          <w:rFonts w:cs="Times New Roman"/>
        </w:rPr>
        <w:t xml:space="preserve">limited in scope and application. </w:t>
      </w:r>
    </w:p>
    <w:p w:rsidR="00844E39" w:rsidRDefault="00844E39" w:rsidP="00E260C2">
      <w:pPr>
        <w:rPr>
          <w:rFonts w:cs="Times New Roman"/>
        </w:rPr>
      </w:pPr>
      <w:r w:rsidRPr="00D714FC">
        <w:rPr>
          <w:rFonts w:eastAsia="Arial" w:cs="Times New Roman"/>
        </w:rPr>
        <w:t xml:space="preserve">In its </w:t>
      </w:r>
      <w:r>
        <w:rPr>
          <w:rFonts w:eastAsia="Arial" w:cs="Times New Roman"/>
        </w:rPr>
        <w:t>Draft Advice</w:t>
      </w:r>
      <w:r w:rsidRPr="00D714FC">
        <w:rPr>
          <w:rFonts w:eastAsia="Arial" w:cs="Times New Roman"/>
        </w:rPr>
        <w:t xml:space="preserve">, the ACCC </w:t>
      </w:r>
      <w:r>
        <w:rPr>
          <w:rFonts w:eastAsia="Arial" w:cs="Times New Roman"/>
        </w:rPr>
        <w:t xml:space="preserve">noted </w:t>
      </w:r>
      <w:r w:rsidRPr="00D714FC">
        <w:rPr>
          <w:rFonts w:eastAsia="Arial" w:cs="Times New Roman"/>
        </w:rPr>
        <w:t xml:space="preserve">that </w:t>
      </w:r>
      <w:r w:rsidRPr="00D714FC">
        <w:rPr>
          <w:rFonts w:cs="Times New Roman"/>
        </w:rPr>
        <w:t xml:space="preserve">infrastructure operators that are not member-owned also enjoy a degree of market power but may arguably face fewer restrictions (through accountability to their customers) on the exercise of that power than member-owned operators. </w:t>
      </w:r>
      <w:r>
        <w:rPr>
          <w:rFonts w:cs="Times New Roman"/>
        </w:rPr>
        <w:t xml:space="preserve">Further, the ACCC identified </w:t>
      </w:r>
      <w:r w:rsidRPr="00D714FC">
        <w:rPr>
          <w:rFonts w:cs="Times New Roman"/>
        </w:rPr>
        <w:t>other forms of price discrimination that are of concern.</w:t>
      </w:r>
      <w:r>
        <w:rPr>
          <w:rStyle w:val="FootnoteReference"/>
          <w:rFonts w:cs="Times New Roman"/>
        </w:rPr>
        <w:footnoteReference w:id="118"/>
      </w:r>
      <w:r w:rsidRPr="00D714FC">
        <w:rPr>
          <w:rFonts w:cs="Times New Roman"/>
        </w:rPr>
        <w:t xml:space="preserve"> The ACCC also consider</w:t>
      </w:r>
      <w:r>
        <w:rPr>
          <w:rFonts w:cs="Times New Roman"/>
        </w:rPr>
        <w:t>ed</w:t>
      </w:r>
      <w:r w:rsidRPr="00D714FC">
        <w:rPr>
          <w:rFonts w:cs="Times New Roman"/>
        </w:rPr>
        <w:t xml:space="preserve"> that operators’ governance arrangements can act to reinforce price discrimination, for example where voting rights are distributed within member-owned operators based on particular irrigator attributes such as the volume of water holdings.</w:t>
      </w:r>
    </w:p>
    <w:p w:rsidR="00844E39" w:rsidRDefault="00844E39" w:rsidP="00E260C2">
      <w:pPr>
        <w:rPr>
          <w:rFonts w:cs="Times New Roman"/>
        </w:rPr>
      </w:pPr>
      <w:r>
        <w:rPr>
          <w:rFonts w:cs="Times New Roman"/>
        </w:rPr>
        <w:t xml:space="preserve">The ACCC made draft rule advice to extend the current non-discrimination provisions </w:t>
      </w:r>
      <w:r w:rsidRPr="00A52147">
        <w:rPr>
          <w:rFonts w:cs="Times New Roman"/>
        </w:rPr>
        <w:t>to limit the potential exercise of market power by</w:t>
      </w:r>
      <w:r>
        <w:rPr>
          <w:rFonts w:cs="Times New Roman"/>
        </w:rPr>
        <w:t xml:space="preserve"> </w:t>
      </w:r>
      <w:r>
        <w:rPr>
          <w:rFonts w:cs="Times New Roman"/>
          <w:i/>
        </w:rPr>
        <w:t>all</w:t>
      </w:r>
      <w:r w:rsidRPr="00A52147">
        <w:rPr>
          <w:rFonts w:cs="Times New Roman"/>
        </w:rPr>
        <w:t xml:space="preserve"> infrastructure operators by limiting their ability to discriminate on five proscribed grounds</w:t>
      </w:r>
      <w:r>
        <w:rPr>
          <w:rFonts w:cs="Times New Roman"/>
        </w:rPr>
        <w:t>,</w:t>
      </w:r>
      <w:r w:rsidRPr="00A52147">
        <w:rPr>
          <w:rFonts w:cs="Times New Roman"/>
        </w:rPr>
        <w:t xml:space="preserve"> </w:t>
      </w:r>
      <w:r>
        <w:rPr>
          <w:rFonts w:cs="Times New Roman"/>
        </w:rPr>
        <w:t xml:space="preserve">both </w:t>
      </w:r>
      <w:r w:rsidRPr="00A52147">
        <w:rPr>
          <w:rFonts w:cs="Times New Roman"/>
        </w:rPr>
        <w:t xml:space="preserve">in terms of the charges they levy for infrastructure services, and </w:t>
      </w:r>
      <w:r>
        <w:rPr>
          <w:rFonts w:cs="Times New Roman"/>
        </w:rPr>
        <w:t xml:space="preserve">in relation to </w:t>
      </w:r>
      <w:r w:rsidRPr="00A52147">
        <w:rPr>
          <w:rFonts w:cs="Times New Roman"/>
        </w:rPr>
        <w:t>customers’ access to these services</w:t>
      </w:r>
      <w:r>
        <w:rPr>
          <w:rFonts w:cs="Times New Roman"/>
        </w:rPr>
        <w:t xml:space="preserve"> (</w:t>
      </w:r>
      <w:r w:rsidR="00420D4A">
        <w:rPr>
          <w:rFonts w:cs="Times New Roman"/>
        </w:rPr>
        <w:t xml:space="preserve">draft </w:t>
      </w:r>
      <w:r>
        <w:rPr>
          <w:rFonts w:cs="Times New Roman"/>
        </w:rPr>
        <w:t xml:space="preserve">rule advices 5-A to 5-C). Further, the ACCC </w:t>
      </w:r>
      <w:r w:rsidR="00DA6CFB">
        <w:rPr>
          <w:rFonts w:cs="Times New Roman"/>
        </w:rPr>
        <w:t xml:space="preserve">proposed </w:t>
      </w:r>
      <w:r>
        <w:rPr>
          <w:rFonts w:cs="Times New Roman"/>
        </w:rPr>
        <w:t>that operators should be prevented from levying charges in relation to the trade of tradeable water rights, in recognition that such charging practices can discriminate against users who participate in water markets (draft rule advice 5-D).</w:t>
      </w:r>
      <w:r>
        <w:rPr>
          <w:rStyle w:val="FootnoteReference"/>
          <w:rFonts w:cs="Times New Roman"/>
        </w:rPr>
        <w:footnoteReference w:id="119"/>
      </w:r>
    </w:p>
    <w:p w:rsidR="00844E39" w:rsidRPr="00D714FC" w:rsidRDefault="00844E39" w:rsidP="00844E39">
      <w:pPr>
        <w:pStyle w:val="Heading4"/>
        <w:rPr>
          <w:rFonts w:ascii="Times New Roman" w:hAnsi="Times New Roman" w:cs="Times New Roman"/>
        </w:rPr>
      </w:pPr>
      <w:r w:rsidRPr="00D714FC">
        <w:rPr>
          <w:rFonts w:ascii="Times New Roman" w:hAnsi="Times New Roman" w:cs="Times New Roman"/>
        </w:rPr>
        <w:t>Stakeholder feedback</w:t>
      </w:r>
    </w:p>
    <w:p w:rsidR="00844E39" w:rsidRPr="00A52147" w:rsidRDefault="00844E39" w:rsidP="00D17F9C">
      <w:pPr>
        <w:pStyle w:val="Heading5"/>
      </w:pPr>
      <w:r>
        <w:t>Feedback on the Issues Paper</w:t>
      </w:r>
    </w:p>
    <w:p w:rsidR="00844E39" w:rsidRPr="00E04961" w:rsidRDefault="00844E39" w:rsidP="00844E39">
      <w:pPr>
        <w:keepNext/>
        <w:rPr>
          <w:rFonts w:cs="Times New Roman"/>
          <w:sz w:val="24"/>
          <w:szCs w:val="24"/>
        </w:rPr>
      </w:pPr>
      <w:r w:rsidRPr="00D714FC">
        <w:rPr>
          <w:rFonts w:cs="Times New Roman"/>
        </w:rPr>
        <w:t xml:space="preserve">While there were few </w:t>
      </w:r>
      <w:r>
        <w:rPr>
          <w:rFonts w:cs="Times New Roman"/>
        </w:rPr>
        <w:t xml:space="preserve">Issues Paper </w:t>
      </w:r>
      <w:r w:rsidRPr="00D714FC">
        <w:rPr>
          <w:rFonts w:cs="Times New Roman"/>
        </w:rPr>
        <w:t>submissions that commented directly on the operation</w:t>
      </w:r>
      <w:r w:rsidR="00DA6CFB">
        <w:rPr>
          <w:rFonts w:cs="Times New Roman"/>
        </w:rPr>
        <w:t xml:space="preserve"> of</w:t>
      </w:r>
      <w:r w:rsidRPr="00D714FC">
        <w:rPr>
          <w:rFonts w:cs="Times New Roman"/>
        </w:rPr>
        <w:t xml:space="preserve"> Part 3, member-owned operators broadly commented that they </w:t>
      </w:r>
      <w:r>
        <w:rPr>
          <w:rFonts w:cs="Times New Roman"/>
        </w:rPr>
        <w:t xml:space="preserve">consider they already </w:t>
      </w:r>
      <w:r w:rsidRPr="00D714FC">
        <w:rPr>
          <w:rFonts w:cs="Times New Roman"/>
        </w:rPr>
        <w:t xml:space="preserve">have </w:t>
      </w:r>
      <w:r>
        <w:rPr>
          <w:rFonts w:cs="Times New Roman"/>
        </w:rPr>
        <w:t xml:space="preserve">sufficient </w:t>
      </w:r>
      <w:r w:rsidRPr="00D714FC">
        <w:rPr>
          <w:rFonts w:cs="Times New Roman"/>
        </w:rPr>
        <w:t>incentives to provide outcomes that are in the interests of their members, and that there are mechanisms in place for the operators to be accountable to their members.</w:t>
      </w:r>
      <w:r>
        <w:rPr>
          <w:rStyle w:val="FootnoteReference"/>
          <w:rFonts w:cs="Times New Roman"/>
        </w:rPr>
        <w:footnoteReference w:id="120"/>
      </w:r>
      <w:r w:rsidRPr="00D714FC">
        <w:rPr>
          <w:rFonts w:cs="Times New Roman"/>
        </w:rPr>
        <w:t xml:space="preserve"> </w:t>
      </w:r>
      <w:r w:rsidR="00FD7D22" w:rsidRPr="00E260C2">
        <w:t xml:space="preserve">Also, the </w:t>
      </w:r>
      <w:r w:rsidR="00A35180">
        <w:t>National Irrigators’ Council (</w:t>
      </w:r>
      <w:r w:rsidR="00FD7D22" w:rsidRPr="00E260C2">
        <w:t>NIC</w:t>
      </w:r>
      <w:r w:rsidR="00A35180">
        <w:t>)</w:t>
      </w:r>
      <w:r w:rsidR="00FD7D22" w:rsidRPr="00E260C2">
        <w:t xml:space="preserve"> argued that “IIOs</w:t>
      </w:r>
      <w:r w:rsidR="00B743F5">
        <w:t xml:space="preserve"> [irrigation infrastructure operators]</w:t>
      </w:r>
      <w:r w:rsidR="00FD7D22" w:rsidRPr="00E260C2">
        <w:t xml:space="preserve"> should be free to construct their prices according to their particular circumstances in full knowledge that their customers have recourse to the ACCC if they consider the prices unreasonable.”</w:t>
      </w:r>
      <w:r w:rsidR="00FD7D22" w:rsidRPr="00E260C2">
        <w:rPr>
          <w:rStyle w:val="FootnoteReference"/>
        </w:rPr>
        <w:footnoteReference w:id="121"/>
      </w:r>
      <w:r w:rsidR="00FD7D22" w:rsidRPr="00E260C2">
        <w:t xml:space="preserve"> </w:t>
      </w:r>
      <w:r w:rsidRPr="00E260C2">
        <w:rPr>
          <w:rFonts w:cs="Times New Roman"/>
        </w:rPr>
        <w:t>Such arguments suggest there is no need for rules to specifically address price discrimination. However, the ACCC noted in its Draft Advice that there may be little benefit to customers from having a</w:t>
      </w:r>
      <w:r>
        <w:rPr>
          <w:rFonts w:cs="Times New Roman"/>
        </w:rPr>
        <w:t>ccountability mechanisms or</w:t>
      </w:r>
      <w:r w:rsidRPr="00D714FC">
        <w:rPr>
          <w:rFonts w:cs="Times New Roman"/>
        </w:rPr>
        <w:t xml:space="preserve"> having recourse to the ACCC if there are no legislative protections against the </w:t>
      </w:r>
      <w:r>
        <w:rPr>
          <w:rFonts w:cs="Times New Roman"/>
        </w:rPr>
        <w:t>conduct</w:t>
      </w:r>
      <w:r w:rsidRPr="00D714FC">
        <w:rPr>
          <w:rFonts w:cs="Times New Roman"/>
        </w:rPr>
        <w:t xml:space="preserve"> in question. </w:t>
      </w:r>
    </w:p>
    <w:p w:rsidR="00844E39" w:rsidRDefault="00844E39" w:rsidP="00844E39">
      <w:r>
        <w:rPr>
          <w:rFonts w:cs="Times New Roman"/>
        </w:rPr>
        <w:t>Further</w:t>
      </w:r>
      <w:r w:rsidRPr="00D714FC">
        <w:rPr>
          <w:rFonts w:cs="Times New Roman"/>
        </w:rPr>
        <w:t xml:space="preserve">, </w:t>
      </w:r>
      <w:r>
        <w:rPr>
          <w:rFonts w:cs="Times New Roman"/>
        </w:rPr>
        <w:t xml:space="preserve">some </w:t>
      </w:r>
      <w:r w:rsidRPr="00D714FC">
        <w:rPr>
          <w:rFonts w:cs="Times New Roman"/>
        </w:rPr>
        <w:t xml:space="preserve">submissions </w:t>
      </w:r>
      <w:r>
        <w:rPr>
          <w:rFonts w:cs="Times New Roman"/>
        </w:rPr>
        <w:t xml:space="preserve">to the Issues Paper </w:t>
      </w:r>
      <w:r w:rsidRPr="00D714FC">
        <w:rPr>
          <w:rFonts w:cs="Times New Roman"/>
        </w:rPr>
        <w:t xml:space="preserve">and comments made by stakeholders attending the ACCC’s public forums did raise concerns about operators unfairly providing preferential treatment to some customers over others. </w:t>
      </w:r>
      <w:r>
        <w:rPr>
          <w:rFonts w:cs="Times New Roman"/>
        </w:rPr>
        <w:t>In particular, the ACCC heard concerns about the selective discounting of termination fees, differential treatment of environmental water holders, preferential treatment of favoured customer groups such as major shareholders at the expense of other customers, and unfair restrictions or charges on trade out of irrigation districts.</w:t>
      </w:r>
    </w:p>
    <w:p w:rsidR="00844E39" w:rsidRPr="00A52147" w:rsidRDefault="00844E39" w:rsidP="00D17F9C">
      <w:pPr>
        <w:pStyle w:val="Heading5"/>
      </w:pPr>
      <w:r>
        <w:t>Feedback on the Draft Advice</w:t>
      </w:r>
    </w:p>
    <w:p w:rsidR="00844E39" w:rsidRDefault="00844E39" w:rsidP="00FE665C">
      <w:pPr>
        <w:keepNext/>
        <w:keepLines/>
        <w:spacing w:after="120"/>
      </w:pPr>
      <w:r>
        <w:t>Stakeholder feedback in response to the Draft Advice on the non-discrimination provisions addressed a range of issues, which can be broadly grouped under the following categories:</w:t>
      </w:r>
    </w:p>
    <w:p w:rsidR="00844E39" w:rsidRDefault="00844E39" w:rsidP="00A82DE6">
      <w:pPr>
        <w:pStyle w:val="Lvl1Bulletpoint"/>
      </w:pPr>
      <w:r>
        <w:t>Feedback on the intent and need for expanded non-discrimination provisions; and</w:t>
      </w:r>
    </w:p>
    <w:p w:rsidR="00844E39" w:rsidRDefault="00844E39" w:rsidP="00A82DE6">
      <w:pPr>
        <w:pStyle w:val="Lvl1Bulletpoint"/>
      </w:pPr>
      <w:r>
        <w:t>Feedback on the draft rule advices, including specific concerns and broader implementation issues such as interaction with other regulatory frameworks and transitional arrangements.</w:t>
      </w:r>
    </w:p>
    <w:p w:rsidR="00844E39" w:rsidRPr="001F0E6A" w:rsidRDefault="00844E39" w:rsidP="00D17F9C">
      <w:pPr>
        <w:pStyle w:val="Heading5"/>
      </w:pPr>
      <w:r>
        <w:t>The intent and need for expanded non-discrimination provisions</w:t>
      </w:r>
    </w:p>
    <w:p w:rsidR="00844E39" w:rsidRDefault="00844E39" w:rsidP="00844E39">
      <w:r>
        <w:t>Several stakeholders broadly supported the ACCC’s rationale for expanding the non-discrimination provisions.</w:t>
      </w:r>
    </w:p>
    <w:p w:rsidR="00844E39" w:rsidRDefault="00844E39" w:rsidP="00844E39">
      <w:r>
        <w:t>Goulburn-Murray Water (GMW) submitted that applying the provisions across all infrastructure operators will “encourage a more economically efficient allocation of water resources and infrastructure, by ensuring tariffs are designed to encourage efficient water use”.</w:t>
      </w:r>
      <w:r w:rsidRPr="00283DE7">
        <w:rPr>
          <w:rStyle w:val="FootnoteReference"/>
          <w:rFonts w:cs="Times New Roman"/>
          <w:sz w:val="20"/>
          <w:szCs w:val="20"/>
        </w:rPr>
        <w:footnoteReference w:id="122"/>
      </w:r>
      <w:r>
        <w:t xml:space="preserve"> </w:t>
      </w:r>
    </w:p>
    <w:p w:rsidR="00844E39" w:rsidRDefault="00844E39" w:rsidP="00844E39">
      <w:r>
        <w:t>The Local Government Association of Queensland (LGAQ)</w:t>
      </w:r>
      <w:r>
        <w:rPr>
          <w:rStyle w:val="FootnoteReference"/>
          <w:rFonts w:cs="Times New Roman"/>
          <w:sz w:val="20"/>
          <w:szCs w:val="20"/>
        </w:rPr>
        <w:t xml:space="preserve"> </w:t>
      </w:r>
      <w:r>
        <w:t>also supported the proposals, noting that all infrastructure operators have an incentive to engage in discriminatory pricing practices even if “the potential…is more obvious in member-owned water infrastructure operators”. The LGAQ added that “non-discriminatory pricing should ensure that no community is substantially disadvantaged in terms of basic access to, and price of, a reasonable supply of water”.</w:t>
      </w:r>
      <w:r w:rsidRPr="00283DE7">
        <w:rPr>
          <w:rStyle w:val="FootnoteReference"/>
          <w:rFonts w:cs="Times New Roman"/>
          <w:sz w:val="20"/>
          <w:szCs w:val="20"/>
        </w:rPr>
        <w:footnoteReference w:id="123"/>
      </w:r>
      <w:r>
        <w:t xml:space="preserve"> </w:t>
      </w:r>
    </w:p>
    <w:p w:rsidR="00844E39" w:rsidRDefault="00844E39" w:rsidP="00844E39">
      <w:r>
        <w:t xml:space="preserve">Similarly, the Victorian Farmers’ Federation (VFF) </w:t>
      </w:r>
      <w:r w:rsidRPr="004F489C">
        <w:t>submitted that</w:t>
      </w:r>
      <w:r>
        <w:t xml:space="preserve"> the proposed rules would ensure that “water users are treated more consistently”.</w:t>
      </w:r>
      <w:r w:rsidRPr="00283DE7">
        <w:rPr>
          <w:rStyle w:val="FootnoteReference"/>
          <w:rFonts w:cs="Times New Roman"/>
          <w:sz w:val="20"/>
          <w:szCs w:val="20"/>
        </w:rPr>
        <w:footnoteReference w:id="124"/>
      </w:r>
      <w:r>
        <w:t xml:space="preserve"> In particular, the VFF supported the notion that greater consistency in water charges, as facilitated by the non-discrimination provisions, will promote fewer differences in termination fees payable by different users.</w:t>
      </w:r>
    </w:p>
    <w:p w:rsidR="00844E39" w:rsidRDefault="00844E39" w:rsidP="00844E39">
      <w:r>
        <w:t xml:space="preserve">The Murray-Darling Basin Authority (MDBA), the </w:t>
      </w:r>
      <w:r w:rsidRPr="00955E8D">
        <w:t>Commonwealth Environmental Water Holder (CEWH)</w:t>
      </w:r>
      <w:r>
        <w:t xml:space="preserve"> and Waterfind supported the proposed non-discrimination provisions for the positive impacts they believe the proposed rules will have on water markets.</w:t>
      </w:r>
      <w:r w:rsidRPr="00276D3B">
        <w:rPr>
          <w:rStyle w:val="FootnoteReference"/>
          <w:rFonts w:cs="Times New Roman"/>
          <w:sz w:val="20"/>
          <w:szCs w:val="20"/>
        </w:rPr>
        <w:footnoteReference w:id="125"/>
      </w:r>
      <w:r>
        <w:t xml:space="preserve"> Waterfind submitted that it “fully supports” the provisions and noted that trade barriers can also be imposed by non-member-owned infrastructure operators.</w:t>
      </w:r>
      <w:r w:rsidRPr="00283DE7">
        <w:rPr>
          <w:rStyle w:val="FootnoteReference"/>
          <w:rFonts w:cs="Times New Roman"/>
          <w:sz w:val="20"/>
          <w:szCs w:val="20"/>
        </w:rPr>
        <w:footnoteReference w:id="126"/>
      </w:r>
      <w:r>
        <w:t xml:space="preserve"> The MDBA also commented in general that it supports amendments that will “facilitate water markets”, identifying in particular the proposed non-discrimination provisions to “remove discriminatory charging on the basis of water being traded”.</w:t>
      </w:r>
      <w:r w:rsidRPr="00283DE7">
        <w:rPr>
          <w:rStyle w:val="FootnoteReference"/>
          <w:rFonts w:cs="Times New Roman"/>
          <w:sz w:val="20"/>
          <w:szCs w:val="20"/>
        </w:rPr>
        <w:footnoteReference w:id="127"/>
      </w:r>
    </w:p>
    <w:p w:rsidR="00844E39" w:rsidRDefault="00844E39" w:rsidP="00844E39">
      <w:r>
        <w:t>The CEWH also argued that similar rules should be implemented in relation to planning and management charges. The CEWH commented that it does not support, and the water charge rules should prevent, price discrimination, both favourable and unfavourable, in planning and management charges based on the class of entitlement holder or purpose of water use.</w:t>
      </w:r>
      <w:r>
        <w:rPr>
          <w:rStyle w:val="FootnoteReference"/>
        </w:rPr>
        <w:footnoteReference w:id="128"/>
      </w:r>
      <w:r>
        <w:t xml:space="preserve"> </w:t>
      </w:r>
    </w:p>
    <w:p w:rsidR="00844E39" w:rsidRDefault="00844E39" w:rsidP="00FE665C">
      <w:pPr>
        <w:spacing w:after="120"/>
      </w:pPr>
      <w:r>
        <w:t>Data from the University of Adelaide irrigator survey</w:t>
      </w:r>
      <w:r>
        <w:rPr>
          <w:rStyle w:val="FootnoteReference"/>
        </w:rPr>
        <w:footnoteReference w:id="129"/>
      </w:r>
      <w:r>
        <w:t xml:space="preserve"> also showed support for the notion that operators should not vary infrastructure charges on various grounds. The results show that, on average for irrigators in the southern Murray-Darling Basin</w:t>
      </w:r>
      <w:r w:rsidR="00FD16FB">
        <w:t xml:space="preserve"> (MDB)</w:t>
      </w:r>
      <w:r>
        <w:t>:</w:t>
      </w:r>
    </w:p>
    <w:p w:rsidR="00844E39" w:rsidRPr="00973859" w:rsidRDefault="00844E39" w:rsidP="00A82DE6">
      <w:pPr>
        <w:pStyle w:val="Lvl1Bulletpoint"/>
      </w:pPr>
      <w:r w:rsidRPr="00973859">
        <w:t>83% of irrigators believe that customers receiving the same infrastructure service from an operator should pay the same water infrastructure charges.</w:t>
      </w:r>
    </w:p>
    <w:p w:rsidR="00844E39" w:rsidRPr="00973859" w:rsidRDefault="00844E39" w:rsidP="00A82DE6">
      <w:pPr>
        <w:pStyle w:val="Lvl1Bulletpoint"/>
      </w:pPr>
      <w:r w:rsidRPr="00973859">
        <w:t>59% of irrigators believe that an operator should not vary the amount of a water infrastructure charge based on whether the customer is small or large.</w:t>
      </w:r>
    </w:p>
    <w:p w:rsidR="00844E39" w:rsidRPr="00973859" w:rsidRDefault="00844E39" w:rsidP="00A82DE6">
      <w:pPr>
        <w:pStyle w:val="Lvl1Bulletpoint"/>
      </w:pPr>
      <w:r w:rsidRPr="00973859">
        <w:t>73% of irrigators believe that an operator should not vary the amount of a water infrastructure charge based on what the customer uses water for.</w:t>
      </w:r>
    </w:p>
    <w:p w:rsidR="00844E39" w:rsidRPr="00973859" w:rsidRDefault="00844E39" w:rsidP="00A82DE6">
      <w:pPr>
        <w:pStyle w:val="Lvl1Bulletpoint"/>
      </w:pPr>
      <w:r w:rsidRPr="00973859">
        <w:t>71% of irrigators believe that an operator should not vary the amount of a water infrastructure charge based on whether the customer has traded water.</w:t>
      </w:r>
    </w:p>
    <w:p w:rsidR="00844E39" w:rsidRDefault="00844E39" w:rsidP="00FE665C">
      <w:pPr>
        <w:spacing w:before="240" w:after="120"/>
      </w:pPr>
      <w:r>
        <w:t>In contrast, the NIC strongly opposed the proposed non-discrimination amendments. The NIC</w:t>
      </w:r>
      <w:r w:rsidRPr="00283DE7">
        <w:rPr>
          <w:rStyle w:val="FootnoteReference"/>
          <w:rFonts w:cs="Times New Roman"/>
          <w:color w:val="000000"/>
          <w:sz w:val="20"/>
          <w:szCs w:val="20"/>
        </w:rPr>
        <w:footnoteReference w:id="130"/>
      </w:r>
      <w:r>
        <w:t xml:space="preserve"> submitted that the ACCC has not provided evidence on the need for “increasing regulation of member-owned operators”,</w:t>
      </w:r>
      <w:r w:rsidRPr="00CA40B8">
        <w:t xml:space="preserve"> </w:t>
      </w:r>
      <w:r>
        <w:t>and considered that the proposed</w:t>
      </w:r>
      <w:r w:rsidR="00CC5F67">
        <w:t xml:space="preserve"> </w:t>
      </w:r>
      <w:r>
        <w:t>non-discrimination rules will see a simple rule replaced with a complex rule.</w:t>
      </w:r>
      <w:r w:rsidRPr="00CA40B8">
        <w:t xml:space="preserve"> </w:t>
      </w:r>
      <w:r>
        <w:t xml:space="preserve">The NIC was of the view that the ACCC is proposing non-discrimination provisions to protect against circumstances where infrastructure operators </w:t>
      </w:r>
      <w:r w:rsidRPr="002B7AEC">
        <w:rPr>
          <w:i/>
        </w:rPr>
        <w:t xml:space="preserve">may </w:t>
      </w:r>
      <w:r>
        <w:t xml:space="preserve">have incentives to price discriminate, but has not provided examples of where it has </w:t>
      </w:r>
      <w:r w:rsidRPr="00CA40B8">
        <w:rPr>
          <w:i/>
        </w:rPr>
        <w:t>actually occurred</w:t>
      </w:r>
      <w:r>
        <w:t>.</w:t>
      </w:r>
      <w:r w:rsidRPr="00741DB2">
        <w:t xml:space="preserve"> </w:t>
      </w:r>
      <w:r>
        <w:t>The NIC responded to what it saw as the three arguments / examples used by the ACCC to support the proposed non-discrimination provisions:</w:t>
      </w:r>
    </w:p>
    <w:p w:rsidR="00844E39" w:rsidRPr="00973859" w:rsidRDefault="00844E39" w:rsidP="00A82DE6">
      <w:pPr>
        <w:pStyle w:val="Lvl1Bulletpoint"/>
      </w:pPr>
      <w:r w:rsidRPr="00973859">
        <w:t>The ACCC does not identify any actual instances that support its claims about the incentive that infrastructure operators have to discriminate against customers who trade water out of irrigation districts.</w:t>
      </w:r>
    </w:p>
    <w:p w:rsidR="00844E39" w:rsidRPr="00973859" w:rsidRDefault="00844E39" w:rsidP="00A82DE6">
      <w:pPr>
        <w:pStyle w:val="Lvl1Bulletpoint"/>
      </w:pPr>
      <w:r w:rsidRPr="00973859">
        <w:t xml:space="preserve">Rule 10 of the </w:t>
      </w:r>
      <w:r w:rsidR="002C2856" w:rsidRPr="0067271D">
        <w:rPr>
          <w:rFonts w:cs="Times New Roman"/>
        </w:rPr>
        <w:t>Water Charge (Infrastructure) Rules 2010</w:t>
      </w:r>
      <w:r w:rsidR="002C2856">
        <w:rPr>
          <w:rFonts w:cs="Times New Roman"/>
        </w:rPr>
        <w:t xml:space="preserve"> (</w:t>
      </w:r>
      <w:r w:rsidRPr="00973859">
        <w:t>WCIR</w:t>
      </w:r>
      <w:r w:rsidR="002C2856">
        <w:t>)</w:t>
      </w:r>
      <w:r w:rsidRPr="00973859">
        <w:t xml:space="preserve"> already prohibits discrimination against customers who transform their irrigation rights.</w:t>
      </w:r>
    </w:p>
    <w:p w:rsidR="00844E39" w:rsidRPr="00973859" w:rsidRDefault="00844E39" w:rsidP="00A82DE6">
      <w:pPr>
        <w:pStyle w:val="Lvl1Bulletpoint"/>
      </w:pPr>
      <w:r w:rsidRPr="00973859">
        <w:t xml:space="preserve">Murrumbidgee Irrigation </w:t>
      </w:r>
      <w:r w:rsidR="008621D4">
        <w:t xml:space="preserve">Limited (MI) </w:t>
      </w:r>
      <w:r w:rsidRPr="00973859">
        <w:t>and Murray Irrigation Limited</w:t>
      </w:r>
      <w:r w:rsidR="008621D4">
        <w:t xml:space="preserve"> (MIL)</w:t>
      </w:r>
      <w:r w:rsidRPr="00973859">
        <w:t xml:space="preserve"> provide members with one vote per landholding, giving small customers “significant voting power”. Therefore, the ACCC’s argument that tiered tariff structures are used as a means for the infrastructure operator to favour large customers over small customers, particularly when voting rights are based on the size of holdings, is “not persuasive”. </w:t>
      </w:r>
    </w:p>
    <w:p w:rsidR="00844E39" w:rsidRDefault="00844E39" w:rsidP="00844E39">
      <w:pPr>
        <w:spacing w:before="240"/>
      </w:pPr>
      <w:r>
        <w:t>The NIC also argued that businesses in other industry sectors (such as electricity retailers, urban water utilities and local governments in relation to rates) are not subject to such “extensive” non</w:t>
      </w:r>
      <w:r>
        <w:noBreakHyphen/>
        <w:t>discrimination provisions, and that the ACCC has provided no justification for why the irrigation sector should be treated any differently.</w:t>
      </w:r>
      <w:r w:rsidRPr="00283DE7">
        <w:rPr>
          <w:rStyle w:val="FootnoteReference"/>
          <w:rFonts w:cs="Times New Roman"/>
          <w:color w:val="000000"/>
          <w:sz w:val="20"/>
          <w:szCs w:val="20"/>
        </w:rPr>
        <w:footnoteReference w:id="131"/>
      </w:r>
      <w:r>
        <w:t xml:space="preserve"> </w:t>
      </w:r>
    </w:p>
    <w:p w:rsidR="00844E39" w:rsidRDefault="00844E39" w:rsidP="00844E39">
      <w:r>
        <w:t>WaterNSW similarly identified that it was unclear whether the proposed amendments were in response to a “specific problem”. However, WaterNSW noted that it is generally supportive of the provisions “to promote consistent charging arrangements across the MDB”.</w:t>
      </w:r>
      <w:r w:rsidRPr="00283DE7">
        <w:rPr>
          <w:rStyle w:val="FootnoteReference"/>
          <w:rFonts w:cs="Times New Roman"/>
          <w:sz w:val="20"/>
          <w:szCs w:val="20"/>
        </w:rPr>
        <w:footnoteReference w:id="132"/>
      </w:r>
    </w:p>
    <w:p w:rsidR="00844E39" w:rsidRDefault="00844E39" w:rsidP="00FE665C">
      <w:pPr>
        <w:spacing w:after="120"/>
      </w:pPr>
      <w:r>
        <w:t>SunWater contended that, in principle, price discrimination “is not necessarily undesirable or inefficient” if prices are set between the incremental and stand-alone costs of supply.</w:t>
      </w:r>
      <w:r w:rsidRPr="00583D08">
        <w:rPr>
          <w:rStyle w:val="FootnoteReference"/>
          <w:rFonts w:cs="Times New Roman"/>
          <w:sz w:val="20"/>
          <w:szCs w:val="20"/>
        </w:rPr>
        <w:footnoteReference w:id="133"/>
      </w:r>
      <w:r w:rsidRPr="00BA37C0">
        <w:t xml:space="preserve"> </w:t>
      </w:r>
      <w:r>
        <w:t xml:space="preserve">SunWater noted its view that through the non-discrimination provisions, the ACCC is seeking to address concerns about equity in water charging; however, the Draft Advice has not contemplated </w:t>
      </w:r>
      <w:r w:rsidR="00A14FF6">
        <w:t xml:space="preserve">that </w:t>
      </w:r>
      <w:r>
        <w:t>an infrastructure operator might</w:t>
      </w:r>
      <w:r w:rsidR="00A14FF6">
        <w:t xml:space="preserve">, in SunWater’s view, </w:t>
      </w:r>
      <w:r w:rsidR="00A14FF6" w:rsidRPr="00A14FF6">
        <w:t>legitimately</w:t>
      </w:r>
      <w:r>
        <w:t xml:space="preserve"> impose different charges on different customers: </w:t>
      </w:r>
    </w:p>
    <w:p w:rsidR="00844E39" w:rsidRPr="00973859" w:rsidRDefault="00844E39" w:rsidP="00A82DE6">
      <w:pPr>
        <w:pStyle w:val="Lvl1Bulletpoint"/>
      </w:pPr>
      <w:r w:rsidRPr="00973859">
        <w:t>in response to a government policy or subsidy; or</w:t>
      </w:r>
    </w:p>
    <w:p w:rsidR="00844E39" w:rsidRPr="00973859" w:rsidRDefault="00844E39" w:rsidP="00A82DE6">
      <w:pPr>
        <w:pStyle w:val="Lvl1Bulletpoint"/>
      </w:pPr>
      <w:r w:rsidRPr="00973859">
        <w:t>as a result of individual negotiations on price paths to transition customers to the upper-bound level of cost recovery.</w:t>
      </w:r>
      <w:r w:rsidR="00C6733C">
        <w:t xml:space="preserve"> </w:t>
      </w:r>
    </w:p>
    <w:p w:rsidR="00844E39" w:rsidRDefault="00B147CC" w:rsidP="00D17F9C">
      <w:pPr>
        <w:pStyle w:val="Heading5"/>
      </w:pPr>
      <w:r>
        <w:t>T</w:t>
      </w:r>
      <w:r w:rsidR="00844E39">
        <w:t>he coverage of the non-discrimination rules—draft rule advice 5-A</w:t>
      </w:r>
    </w:p>
    <w:p w:rsidR="00844E39" w:rsidRDefault="00844E39" w:rsidP="00FE665C">
      <w:pPr>
        <w:spacing w:after="120"/>
      </w:pPr>
      <w:r>
        <w:t xml:space="preserve">Several stakeholders submitted that they </w:t>
      </w:r>
      <w:r w:rsidRPr="008816B7">
        <w:rPr>
          <w:i/>
        </w:rPr>
        <w:t>do</w:t>
      </w:r>
      <w:r>
        <w:t xml:space="preserve"> support the non</w:t>
      </w:r>
      <w:r>
        <w:noBreakHyphen/>
        <w:t xml:space="preserve">discrimination provisions applying across all infrastructure operators: </w:t>
      </w:r>
    </w:p>
    <w:p w:rsidR="00844E39" w:rsidRPr="00973859" w:rsidRDefault="00844E39" w:rsidP="00A82DE6">
      <w:pPr>
        <w:pStyle w:val="Lvl1Bulletpoint"/>
      </w:pPr>
      <w:r w:rsidRPr="00973859">
        <w:t>CEWH, Waterfind, LGAQ and GMW</w:t>
      </w:r>
      <w:r w:rsidRPr="00EB0C56">
        <w:rPr>
          <w:rStyle w:val="FootnoteReference"/>
        </w:rPr>
        <w:footnoteReference w:id="134"/>
      </w:r>
      <w:r w:rsidRPr="00973859">
        <w:t xml:space="preserve"> supported expanding these rules to apply to all infrastructure operators (rather than only member-owned operators). </w:t>
      </w:r>
    </w:p>
    <w:p w:rsidR="00844E39" w:rsidRPr="00973859" w:rsidRDefault="00844E39" w:rsidP="00A82DE6">
      <w:pPr>
        <w:pStyle w:val="Lvl1Bulletpoint"/>
      </w:pPr>
      <w:r w:rsidRPr="00973859">
        <w:t>WaterNSW and IPART</w:t>
      </w:r>
      <w:r w:rsidRPr="00EB0C56">
        <w:rPr>
          <w:rStyle w:val="FootnoteReference"/>
        </w:rPr>
        <w:footnoteReference w:id="135"/>
      </w:r>
      <w:r w:rsidRPr="00973859">
        <w:t xml:space="preserve"> supported expanding these rules to all infrastructure operators except those whose charges are approved or determined by an independent economic regulator.</w:t>
      </w:r>
    </w:p>
    <w:p w:rsidR="00844E39" w:rsidRPr="00973859" w:rsidRDefault="00844E39" w:rsidP="00A82DE6">
      <w:pPr>
        <w:pStyle w:val="Lvl1Bulletpoint"/>
      </w:pPr>
      <w:r w:rsidRPr="00973859">
        <w:t>The VFF</w:t>
      </w:r>
      <w:r w:rsidRPr="00EB0C56">
        <w:rPr>
          <w:rStyle w:val="FootnoteReference"/>
        </w:rPr>
        <w:footnoteReference w:id="136"/>
      </w:r>
      <w:r w:rsidRPr="00973859">
        <w:t xml:space="preserve"> supported expanding these rules to all infrastructure operators except very small operators if the regulatory costs are “cost prohibitive” for these smaller operators.</w:t>
      </w:r>
    </w:p>
    <w:p w:rsidR="00844E39" w:rsidRDefault="00844E39" w:rsidP="00844E39">
      <w:r>
        <w:t xml:space="preserve">As detailed above, the NIC did not support the proposed non-discrimination rules applying to member-owned infrastructure operators. The </w:t>
      </w:r>
      <w:r w:rsidR="00FC0E8C">
        <w:t>National Farmers’ Federation (</w:t>
      </w:r>
      <w:r>
        <w:t>NFF</w:t>
      </w:r>
      <w:r w:rsidR="00FC0E8C">
        <w:t>)</w:t>
      </w:r>
      <w:r>
        <w:t xml:space="preserve"> similarly did not support the proposed rules applying to member-owned operators, submitting that</w:t>
      </w:r>
      <w:r w:rsidR="00C15279">
        <w:t>,</w:t>
      </w:r>
      <w:r>
        <w:t xml:space="preserve"> “[w]hile the idea of protecting the consumer is admirable, the adoption of this principle in the context of private irrigation infrastructure operators will be in the NFF’s view to the detriment of the customers of these businesses in the short, medium and long term.”</w:t>
      </w:r>
      <w:r>
        <w:rPr>
          <w:rStyle w:val="FootnoteReference"/>
        </w:rPr>
        <w:footnoteReference w:id="137"/>
      </w:r>
    </w:p>
    <w:p w:rsidR="00844E39" w:rsidRPr="00120211" w:rsidRDefault="00B147CC" w:rsidP="00D17F9C">
      <w:pPr>
        <w:pStyle w:val="Heading5"/>
      </w:pPr>
      <w:r>
        <w:t>T</w:t>
      </w:r>
      <w:r w:rsidR="00844E39">
        <w:t>he proscribed grounds for price discrimination—draft rule advice 5-B</w:t>
      </w:r>
    </w:p>
    <w:p w:rsidR="00844E39" w:rsidRPr="00F33AF9" w:rsidRDefault="00844E39" w:rsidP="00C06B07">
      <w:pPr>
        <w:pStyle w:val="Quote"/>
        <w:ind w:left="0"/>
        <w:rPr>
          <w:rStyle w:val="Emphasis"/>
          <w:i/>
          <w:iCs/>
        </w:rPr>
      </w:pPr>
      <w:r w:rsidRPr="00F33AF9">
        <w:rPr>
          <w:rStyle w:val="Emphasis"/>
          <w:i/>
          <w:iCs/>
        </w:rPr>
        <w:t>Purpose for which water has been, or will be, used</w:t>
      </w:r>
    </w:p>
    <w:p w:rsidR="00844E39" w:rsidRDefault="00844E39" w:rsidP="00844E39">
      <w:pPr>
        <w:spacing w:after="0"/>
      </w:pPr>
      <w:r>
        <w:t>Several stakeholders identified circumstances where, in their view, the proposed non-discrimination rules would inappropriately capture practices which were not discriminatory, but where different charges are imposed based on the purpose of water use. For example:</w:t>
      </w:r>
    </w:p>
    <w:p w:rsidR="00844E39" w:rsidRDefault="00844E39" w:rsidP="00FE665C">
      <w:pPr>
        <w:pStyle w:val="Lvl1Bulletpoint"/>
        <w:ind w:left="568" w:hanging="284"/>
      </w:pPr>
      <w:r>
        <w:t>different charges for different sized outlets—the NIC noted that the different sized outlets reflect a different level of service and (typically) purpose of water use.</w:t>
      </w:r>
      <w:r w:rsidRPr="00283DE7">
        <w:rPr>
          <w:rStyle w:val="FootnoteReference"/>
          <w:rFonts w:cs="Times New Roman"/>
          <w:sz w:val="20"/>
          <w:szCs w:val="20"/>
        </w:rPr>
        <w:footnoteReference w:id="138"/>
      </w:r>
    </w:p>
    <w:p w:rsidR="00367DD5" w:rsidRPr="00844E39" w:rsidRDefault="00844E39" w:rsidP="00A82DE6">
      <w:pPr>
        <w:pStyle w:val="Lvl1Bulletpoint"/>
        <w:rPr>
          <w:i/>
        </w:rPr>
      </w:pPr>
      <w:r>
        <w:t xml:space="preserve">different charges for infrastructure services provided to environmental water holders (see below). </w:t>
      </w:r>
    </w:p>
    <w:p w:rsidR="00844E39" w:rsidRPr="00FC64B5" w:rsidRDefault="00844E39" w:rsidP="00FC64B5">
      <w:pPr>
        <w:pStyle w:val="Heading6"/>
      </w:pPr>
      <w:r w:rsidRPr="00FC64B5">
        <w:t>Environmental flows and Environmental Water Holders</w:t>
      </w:r>
    </w:p>
    <w:p w:rsidR="00844E39" w:rsidRDefault="00844E39" w:rsidP="00844E39">
      <w:r>
        <w:t>Two stakeholders identified the non-discrimination provisions (particularly the proposed proscribed ground of ‘purpose of water use’) as an issue for the provision of discounts to environmental water holders (EWHs) and/or for the delivery of environmental water.</w:t>
      </w:r>
    </w:p>
    <w:p w:rsidR="00844E39" w:rsidRDefault="00844E39" w:rsidP="00844E39">
      <w:r>
        <w:t>The NIC identified that the proposed non-discrimination provisions could preclude “mutually beneficial” arrangements with non-member customers.</w:t>
      </w:r>
      <w:r w:rsidRPr="00AD5608">
        <w:rPr>
          <w:rStyle w:val="FootnoteReference"/>
          <w:rFonts w:cs="Times New Roman"/>
          <w:sz w:val="20"/>
          <w:szCs w:val="20"/>
        </w:rPr>
        <w:footnoteReference w:id="139"/>
      </w:r>
      <w:r>
        <w:t xml:space="preserve"> The example that the NIC provided is where an infrastructure operator may provide a per ML discount (relative to the charge paid by irrigators) to an entity for the bulk delivery of environmental water at a time when the operator’s infrastructure would otherwise remain unused. The NIC considered that prohibition of such an arrangement would be a “perverse outcome for both parties”. In response, the ACCC notes that, since off-seasonal watering could be characterised as a different infrastructure service to in-seasonal deliveries (due to differences in capacity and other service characteristics), levying a different charge for such a service would be unlikely to pose an issue under the rules (either the rules as proposed in the Draft Advice or the Final Advice). What could be a concern is if the availability of such an off-season delivery service were to be unreasonably restricted such that only certain customers (e.g. EWHs) could receive it.</w:t>
      </w:r>
    </w:p>
    <w:p w:rsidR="00844E39" w:rsidRDefault="00844E39" w:rsidP="00844E39">
      <w:r>
        <w:t>The NFF submitted its concern that the proposed non-discrimination provisions “will stifle the types of innovation in service delivery that are in the interests of all customers”.</w:t>
      </w:r>
      <w:r w:rsidRPr="00AD5608">
        <w:rPr>
          <w:rStyle w:val="FootnoteReference"/>
          <w:rFonts w:cs="Times New Roman"/>
          <w:sz w:val="20"/>
          <w:szCs w:val="20"/>
        </w:rPr>
        <w:footnoteReference w:id="140"/>
      </w:r>
      <w:r>
        <w:t xml:space="preserve"> The NFF contended that the proposed non-discrimination provisions could “risk innovation” in negotiations between operators and the </w:t>
      </w:r>
      <w:r w:rsidR="00D61D6B">
        <w:t>CEWH</w:t>
      </w:r>
      <w:r>
        <w:t xml:space="preserve">, and that discounts may not be allowed “even where there may be efficiency in the provision of service”. </w:t>
      </w:r>
    </w:p>
    <w:p w:rsidR="00844E39" w:rsidRDefault="00844E39" w:rsidP="00844E39">
      <w:r>
        <w:t xml:space="preserve">Stakeholders also commented on the level and types of charges paid by environmental water holders and for environmental water flows. Three stakeholders raised concerns about the potentially different or preferential treatment of environmental water holders. </w:t>
      </w:r>
    </w:p>
    <w:p w:rsidR="00844E39" w:rsidRDefault="00844E39" w:rsidP="00844E39">
      <w:r>
        <w:t>The South Australian Murray Irrigators (SAMI) submitted that irrigators should “never” be used as a source of revenue to fund the CEWH’s costs.</w:t>
      </w:r>
      <w:r w:rsidRPr="00537AFD">
        <w:rPr>
          <w:rStyle w:val="FootnoteReference"/>
          <w:rFonts w:cs="Times New Roman"/>
          <w:sz w:val="20"/>
          <w:szCs w:val="20"/>
        </w:rPr>
        <w:footnoteReference w:id="141"/>
      </w:r>
      <w:r>
        <w:t xml:space="preserve"> The SAMI added that the CEWH’s revenue should be derived from taxpayers or from using the CEWH’s own assets.</w:t>
      </w:r>
    </w:p>
    <w:p w:rsidR="00844E39" w:rsidRDefault="00844E39" w:rsidP="00844E39">
      <w:r>
        <w:t>Additionally, the VFF referred to its submission to the ACCC’s Issues Paper in relation to its concerns about the impact to an infrastructure operator’s revenue base as the ownership of licences transfer from irrigators to environmental water holders.</w:t>
      </w:r>
      <w:r w:rsidRPr="00283DE7">
        <w:rPr>
          <w:rStyle w:val="FootnoteReference"/>
          <w:rFonts w:cs="Times New Roman"/>
          <w:sz w:val="20"/>
          <w:szCs w:val="20"/>
        </w:rPr>
        <w:footnoteReference w:id="142"/>
      </w:r>
      <w:r>
        <w:t xml:space="preserve"> The VFF noted that the proposed non-discrimination amendments may alleviate some of its concerns, “by ensuring that all water users are treated consistently”. However, the VFF asked the ACCC to demonstrate the potential changes in the treatment of environmental water holders as a result of the proposed non-discrimination provisions. </w:t>
      </w:r>
    </w:p>
    <w:p w:rsidR="00844E39" w:rsidRDefault="00844E39" w:rsidP="00844E39">
      <w:r>
        <w:t>Mr Connolly alleged that GMW would contravene the proposed non</w:t>
      </w:r>
      <w:r>
        <w:noBreakHyphen/>
        <w:t>discrimination provisions on the grounds of the purpose of water use and location-related rights, with respect to the Victorian Environmental Water Holder (VEWH).</w:t>
      </w:r>
      <w:r w:rsidRPr="00283DE7">
        <w:rPr>
          <w:rStyle w:val="FootnoteReference"/>
          <w:rFonts w:cs="Times New Roman"/>
          <w:color w:val="000000"/>
          <w:sz w:val="20"/>
          <w:szCs w:val="20"/>
        </w:rPr>
        <w:footnoteReference w:id="143"/>
      </w:r>
      <w:r>
        <w:t xml:space="preserve"> Mr Connolly noted that GMW, in its application to the Essential Services Commission</w:t>
      </w:r>
      <w:r w:rsidR="00ED02CF">
        <w:t xml:space="preserve"> of Victoria (ESCV)</w:t>
      </w:r>
      <w:r>
        <w:t xml:space="preserve"> for the approval or determination of its charges (‘Water Plan 4’), refers to a supply arrangement with the VEWH.</w:t>
      </w:r>
      <w:r w:rsidR="00C6733C">
        <w:t xml:space="preserve"> </w:t>
      </w:r>
      <w:r>
        <w:t>Mr Connolly stated that those charges are levied according to a ‘delivery share equivalent approach’, however there is no explanation of the ‘delivery share equivalent’ “which can be accessed by all customers in the [2015</w:t>
      </w:r>
      <w:r w:rsidR="00A14FF6">
        <w:noBreakHyphen/>
      </w:r>
      <w:r>
        <w:t xml:space="preserve">16] Schedule of Charges”. Mr Connolly alleged therefore that the VEWH “does not pay the same as irrigators for their water delivered through the IIO delivery system”. </w:t>
      </w:r>
    </w:p>
    <w:p w:rsidR="00844E39" w:rsidRDefault="00844E39" w:rsidP="00844E39">
      <w:r>
        <w:t>In contrast to the above submissions, the CEWH and the NSW Office of Environment and Heritage (OEH) noted that they pay the same fixed and variable charges, and are subject to the same conditions (e.g. carryover), as other water users holding equivalent licences.</w:t>
      </w:r>
      <w:r w:rsidRPr="00276D3B">
        <w:rPr>
          <w:rStyle w:val="FootnoteReference"/>
          <w:rFonts w:cs="Times New Roman"/>
          <w:sz w:val="20"/>
          <w:szCs w:val="20"/>
        </w:rPr>
        <w:footnoteReference w:id="144"/>
      </w:r>
      <w:r>
        <w:t xml:space="preserve"> The OEH added that it supports all licence holders sharing costs for operating, monitoring and managing water resources and infrastructure. Similarly, the VEWH considered that there is scope for clarifying in the Final Advice that environmental water holders </w:t>
      </w:r>
      <w:r w:rsidRPr="004A7E26">
        <w:rPr>
          <w:i/>
        </w:rPr>
        <w:t>do</w:t>
      </w:r>
      <w:r>
        <w:t xml:space="preserve"> pay off-river infrastructure charges, headworks and delivery charges, and that they might receive a lower priority delivery service.</w:t>
      </w:r>
      <w:r>
        <w:rPr>
          <w:rStyle w:val="FootnoteReference"/>
        </w:rPr>
        <w:footnoteReference w:id="145"/>
      </w:r>
      <w:r>
        <w:t xml:space="preserve"> </w:t>
      </w:r>
      <w:r w:rsidR="00396FD5">
        <w:t>T</w:t>
      </w:r>
      <w:r>
        <w:t>he VEWH also submitted that in some cases, the infrastructure services obtained by environmental water holders can be the same or different to the service received by irrigators.</w:t>
      </w:r>
      <w:r w:rsidRPr="00283DE7">
        <w:rPr>
          <w:rStyle w:val="FootnoteReference"/>
          <w:rFonts w:cs="Times New Roman"/>
          <w:sz w:val="20"/>
          <w:szCs w:val="20"/>
        </w:rPr>
        <w:footnoteReference w:id="146"/>
      </w:r>
      <w:r>
        <w:t xml:space="preserve"> The VEWH called for these differences to be acknowledged, where they exist. The ACCC notes in response that it agrees it is important for stakeholders understand what charges EWHs pay and what </w:t>
      </w:r>
      <w:r w:rsidR="00A64F55">
        <w:t xml:space="preserve">infrastructure </w:t>
      </w:r>
      <w:r>
        <w:t>service</w:t>
      </w:r>
      <w:r w:rsidR="00A64F55">
        <w:t>(</w:t>
      </w:r>
      <w:r>
        <w:t>s</w:t>
      </w:r>
      <w:r w:rsidR="00A64F55">
        <w:t>)</w:t>
      </w:r>
      <w:r>
        <w:t xml:space="preserve"> they receive, including how these services might differ from other services provided to customers such as irrigators.</w:t>
      </w:r>
    </w:p>
    <w:p w:rsidR="00844E39" w:rsidRDefault="00844E39" w:rsidP="00FE665C">
      <w:pPr>
        <w:spacing w:after="120"/>
      </w:pPr>
      <w:r>
        <w:t>More generally, the CEWH and the OEH submitted that they support the non-discrimination provisions particularly in relation to preventing discriminatory charging based on the purpose of water use. The CEWH considers that the water charge rules play an important role in “preventing the potential for discriminatory pricing practices”, and that “consistent and non-discriminatory application of the rules”, in addition to rules that ensure charges are not levied according to purpose of water use, will facilitate and support an efficient water market.</w:t>
      </w:r>
      <w:r w:rsidRPr="00276D3B">
        <w:rPr>
          <w:rStyle w:val="FootnoteReference"/>
          <w:rFonts w:cs="Times New Roman"/>
          <w:sz w:val="20"/>
          <w:szCs w:val="20"/>
        </w:rPr>
        <w:footnoteReference w:id="147"/>
      </w:r>
      <w:r>
        <w:t xml:space="preserve"> The CEWH added that: </w:t>
      </w:r>
    </w:p>
    <w:p w:rsidR="00844E39" w:rsidRPr="00A64F55" w:rsidRDefault="00844E39" w:rsidP="007F1A8D">
      <w:pPr>
        <w:pStyle w:val="Quote"/>
      </w:pPr>
      <w:r w:rsidRPr="00A64F55">
        <w:t>[The rules, as a complement to the Basin Plan water trading rules] should provide a framework that enables all market participants to operate within the market with confidence that tariff structures send clear signals on the real cost of services provided by water authorities to their customers, whilst ensuring that charges imposed do not discriminate based on the purpose for which water is being used.</w:t>
      </w:r>
      <w:r w:rsidRPr="00877C09">
        <w:rPr>
          <w:rStyle w:val="FootnoteReference"/>
          <w:i w:val="0"/>
        </w:rPr>
        <w:footnoteReference w:id="148"/>
      </w:r>
      <w:r w:rsidRPr="00877C09">
        <w:rPr>
          <w:i w:val="0"/>
        </w:rPr>
        <w:t xml:space="preserve"> </w:t>
      </w:r>
    </w:p>
    <w:p w:rsidR="00844E39" w:rsidRPr="00FC64B5" w:rsidRDefault="00844E39" w:rsidP="00FC64B5">
      <w:pPr>
        <w:pStyle w:val="Heading6"/>
      </w:pPr>
      <w:r w:rsidRPr="00FC64B5">
        <w:t xml:space="preserve">Irrigators versus non-irrigators—arrangements in SunWater water supply schemes </w:t>
      </w:r>
    </w:p>
    <w:p w:rsidR="00844E39" w:rsidRDefault="00844E39" w:rsidP="00844E39">
      <w:r>
        <w:t>A number of Queensland stakeholders commented on the interaction between charging arrangements for SunWater’s irrigation customers and the proposed non-discrimination provisions.</w:t>
      </w:r>
    </w:p>
    <w:p w:rsidR="00844E39" w:rsidRDefault="00844E39" w:rsidP="00844E39">
      <w:r>
        <w:t xml:space="preserve">The submissions of SunWater and the Queensland Treasury and Department of Energy and Water (QTDEWS) set out in detail the history of charging arrangements in SunWater’s water supply schemes (see Box </w:t>
      </w:r>
      <w:r w:rsidR="00673C47" w:rsidRPr="00C27C0E">
        <w:t>5.</w:t>
      </w:r>
      <w:r w:rsidR="00C27C0E" w:rsidRPr="00C27C0E">
        <w:t>1</w:t>
      </w:r>
      <w:r>
        <w:t>). Of relevance to the proposed non-discrimination rules, these submissions identified that, reflecting longstanding policy of the Queensland government, irrigators pay different charges than non-irrigators for water infrastructure services, even if they receive the same services as other customers.</w:t>
      </w:r>
    </w:p>
    <w:p w:rsidR="00844E39" w:rsidRDefault="00844E39" w:rsidP="00844E39">
      <w:r>
        <w:t>SunWater contended that the existing arrangements, and therefore differences in setting irrigation and non-irrigation charges</w:t>
      </w:r>
      <w:r w:rsidR="008D6FB9">
        <w:t>,</w:t>
      </w:r>
      <w:r>
        <w:t xml:space="preserve"> should not be prohibited under the proposed non-discrimination provisions. SunWater identified that, in relation to irrigation customers, the non-discrimination provisions are inconsistent with the </w:t>
      </w:r>
      <w:r w:rsidR="006504A6">
        <w:t>Basin Water Charging Objectives and Principles (</w:t>
      </w:r>
      <w:r>
        <w:t>BWCOP</w:t>
      </w:r>
      <w:r w:rsidR="006504A6">
        <w:t>)</w:t>
      </w:r>
      <w:r>
        <w:t xml:space="preserve"> and could “frustrate” Queensland Government policy and the Government’s “legitimate right” to provide a subsidy</w:t>
      </w:r>
      <w:r w:rsidR="00673C47">
        <w:t xml:space="preserve"> </w:t>
      </w:r>
      <w:r>
        <w:t>/</w:t>
      </w:r>
      <w:r w:rsidR="00673C47">
        <w:t xml:space="preserve"> </w:t>
      </w:r>
      <w:r w:rsidR="001F1D87">
        <w:t>C</w:t>
      </w:r>
      <w:r w:rsidR="00673C47">
        <w:t xml:space="preserve">ommunity </w:t>
      </w:r>
      <w:r w:rsidR="001F1D87">
        <w:t>S</w:t>
      </w:r>
      <w:r w:rsidR="00673C47">
        <w:t xml:space="preserve">ervice </w:t>
      </w:r>
      <w:r w:rsidR="001F1D87">
        <w:t>O</w:t>
      </w:r>
      <w:r w:rsidR="00673C47">
        <w:t>bligation (</w:t>
      </w:r>
      <w:r>
        <w:t>CSO</w:t>
      </w:r>
      <w:r w:rsidR="00673C47">
        <w:t>)</w:t>
      </w:r>
      <w:r>
        <w:t>.</w:t>
      </w:r>
      <w:r w:rsidRPr="004C3457">
        <w:rPr>
          <w:rStyle w:val="FootnoteReference"/>
        </w:rPr>
        <w:footnoteReference w:id="149"/>
      </w:r>
      <w:r>
        <w:t xml:space="preserve"> </w:t>
      </w:r>
    </w:p>
    <w:p w:rsidR="00844E39" w:rsidRDefault="00844E39" w:rsidP="00844E39">
      <w:r>
        <w:t xml:space="preserve">QTDEWS sought clarification about the impact of the proposed amendments on the </w:t>
      </w:r>
      <w:r w:rsidR="008D6FB9">
        <w:t>‘</w:t>
      </w:r>
      <w:r>
        <w:t>lower-bound</w:t>
      </w:r>
      <w:r w:rsidR="008D6FB9">
        <w:t>’</w:t>
      </w:r>
      <w:r>
        <w:t xml:space="preserve"> target for irrigation customers, and whether the proposed amendments could require SunWater to set an </w:t>
      </w:r>
      <w:r w:rsidR="00673C47">
        <w:t>‘</w:t>
      </w:r>
      <w:r>
        <w:t>upper-bound</w:t>
      </w:r>
      <w:r w:rsidR="00673C47">
        <w:t>’</w:t>
      </w:r>
      <w:r>
        <w:t xml:space="preserve"> target for irrigation customers.</w:t>
      </w:r>
      <w:r>
        <w:rPr>
          <w:rStyle w:val="FootnoteReference"/>
        </w:rPr>
        <w:footnoteReference w:id="150"/>
      </w:r>
      <w:r>
        <w:t xml:space="preserve"> QTDEWS noted that if an upper-bound target was required to be set, then the Queensland Government would continue to subsidise prices, but </w:t>
      </w:r>
      <w:r w:rsidR="000830FF">
        <w:t xml:space="preserve">then </w:t>
      </w:r>
      <w:r>
        <w:t>would have to pay a direct cash subsidy to SunWater for the difference between the current (i.e. lower-bound price) and the upper-bound price. QTDEWS acknowledged that while this may provide greater transparency about the extent to which the government subsidies irrigation customers, it is concerned about administrative burdens, inefficiencies, confusion for customers and the potential for the costs of proposed reforms to outweigh the benefits.</w:t>
      </w:r>
    </w:p>
    <w:p w:rsidR="00844E39" w:rsidRDefault="00844E39" w:rsidP="00844E39">
      <w:pPr>
        <w:spacing w:before="240"/>
      </w:pPr>
      <w:r>
        <w:t xml:space="preserve">Related to this, QTDEWS noted that only a small proportion of Queensland irrigation schemes and local councils (non-irrigation customers) </w:t>
      </w:r>
      <w:r w:rsidR="00C228AE">
        <w:t xml:space="preserve">are in the MDB and </w:t>
      </w:r>
      <w:r>
        <w:t xml:space="preserve">fall under the scope of the water charge rules, and commented that maintaining consistency across the state is </w:t>
      </w:r>
      <w:r w:rsidR="000830FF">
        <w:t>a</w:t>
      </w:r>
      <w:r>
        <w:t xml:space="preserve"> key issue for QTDEWS.</w:t>
      </w:r>
      <w:r>
        <w:rPr>
          <w:rStyle w:val="FootnoteReference"/>
        </w:rPr>
        <w:footnoteReference w:id="151"/>
      </w:r>
      <w:r>
        <w:t xml:space="preserve"> QTDEWS considered that “improving the pricing and regulatory environment in Queensland is an ongoing endeavour”, but that it is important that this occurs consistently across Queensland. Nonetheless, QTDEWS “welcome[d] the ACCC’s Draft Advice as a contribution to that ongoing endeavour”. QTDEWS added that any change to the pricing policies should be “well considered, involve customer consultation, and allow sufficient time for customers to adjust, lest it result in economic regulation with limited public support and immaterial benefit”.</w:t>
      </w:r>
      <w:r>
        <w:rPr>
          <w:rStyle w:val="FootnoteReference"/>
        </w:rPr>
        <w:footnoteReference w:id="152"/>
      </w:r>
    </w:p>
    <w:p w:rsidR="00844E39" w:rsidRDefault="00844E39" w:rsidP="00844E39">
      <w:r>
        <w:t xml:space="preserve">SunWater and QTDEWS put forward their case for an exemption in the non-discrimination provisions where there are differences in charges on one or more of the proscribed grounds, but where those differences are due to a government subsidy or CSO that is consistent with the BWCOP and </w:t>
      </w:r>
      <w:r w:rsidR="000648C8">
        <w:t>National Water Initiative (</w:t>
      </w:r>
      <w:r>
        <w:t>NWI</w:t>
      </w:r>
      <w:r w:rsidR="000648C8">
        <w:t>)</w:t>
      </w:r>
      <w:r>
        <w:t>.</w:t>
      </w:r>
      <w:r w:rsidRPr="004C3457">
        <w:rPr>
          <w:rStyle w:val="FootnoteReference"/>
        </w:rPr>
        <w:footnoteReference w:id="153"/>
      </w:r>
      <w:r>
        <w:t xml:space="preserve"> QTDEWS asked the ACCC to clarify the grounds under which an exemption could be provided. SunWater and QTDEWS submitted a number of arguments as to why the existing </w:t>
      </w:r>
      <w:r w:rsidR="000830FF">
        <w:t xml:space="preserve">Queensland </w:t>
      </w:r>
      <w:r>
        <w:t>arrangements should be allowed to continue despite the proposed non-discrimination provisions, set out below.</w:t>
      </w:r>
    </w:p>
    <w:p w:rsidR="00844E39" w:rsidRDefault="00844E39" w:rsidP="00FE665C">
      <w:pPr>
        <w:spacing w:after="120"/>
      </w:pPr>
      <w:r>
        <w:t xml:space="preserve">First, these stakeholders argued that the differential charges are due to government policy or legacy issues rather </w:t>
      </w:r>
      <w:r w:rsidR="000830FF">
        <w:t xml:space="preserve">than </w:t>
      </w:r>
      <w:r>
        <w:t>the exercise of monopoly power by SunWater.</w:t>
      </w:r>
      <w:r>
        <w:rPr>
          <w:rStyle w:val="FootnoteReference"/>
        </w:rPr>
        <w:footnoteReference w:id="154"/>
      </w:r>
      <w:r>
        <w:t xml:space="preserve"> They called on the ACCC to recognise the unique rationale for the different charges SunWater imposes, in order to ensure that the proposed non-discrimination provisions meet their “true objectives, and [are] of benefit to the entire Murray-Darling Basin and its member states”.</w:t>
      </w:r>
      <w:r>
        <w:rPr>
          <w:rStyle w:val="FootnoteReference"/>
        </w:rPr>
        <w:footnoteReference w:id="155"/>
      </w:r>
      <w:r>
        <w:t xml:space="preserve"> In support of this argument, these submissions </w:t>
      </w:r>
      <w:r w:rsidR="00BB2B90">
        <w:t>noted the following.</w:t>
      </w:r>
    </w:p>
    <w:p w:rsidR="00844E39" w:rsidRDefault="00BB2B90" w:rsidP="00A82DE6">
      <w:pPr>
        <w:pStyle w:val="Lvl1Bulletpoint"/>
      </w:pPr>
      <w:r>
        <w:t>T</w:t>
      </w:r>
      <w:r w:rsidR="00844E39">
        <w:t>he lower-bound target for irrigation charges in Queensland is “far below any which could be interpreted as seeking monopoly rents”.</w:t>
      </w:r>
      <w:r w:rsidR="00844E39">
        <w:rPr>
          <w:rStyle w:val="FootnoteReference"/>
        </w:rPr>
        <w:footnoteReference w:id="156"/>
      </w:r>
      <w:r w:rsidR="00844E39">
        <w:t xml:space="preserve"> </w:t>
      </w:r>
    </w:p>
    <w:p w:rsidR="00844E39" w:rsidRDefault="00BB2B90" w:rsidP="00FE665C">
      <w:pPr>
        <w:pStyle w:val="Lvl1Bulletpoint"/>
        <w:spacing w:after="0"/>
        <w:ind w:left="568" w:hanging="284"/>
      </w:pPr>
      <w:r>
        <w:t>W</w:t>
      </w:r>
      <w:r w:rsidR="00844E39">
        <w:t>hile the government policy does produce different charges</w:t>
      </w:r>
      <w:r w:rsidR="000830FF">
        <w:t>,</w:t>
      </w:r>
      <w:r w:rsidR="00844E39">
        <w:t xml:space="preserve"> the policy has been developed:</w:t>
      </w:r>
    </w:p>
    <w:p w:rsidR="00844E39" w:rsidRDefault="00844E39" w:rsidP="009B6ED8">
      <w:pPr>
        <w:pStyle w:val="Lvl2Bulletpoint"/>
      </w:pPr>
      <w:r>
        <w:t>to be consistent with the NWI objectives relating to consumption-based pricing, full cost recovery and removal of cross subsidies</w:t>
      </w:r>
    </w:p>
    <w:p w:rsidR="00844E39" w:rsidRDefault="00844E39" w:rsidP="009B6ED8">
      <w:pPr>
        <w:pStyle w:val="Lvl2Bulletpoint"/>
      </w:pPr>
      <w:r>
        <w:t>in consultation with customers and industry</w:t>
      </w:r>
    </w:p>
    <w:p w:rsidR="00844E39" w:rsidRDefault="00844E39" w:rsidP="009B6ED8">
      <w:pPr>
        <w:pStyle w:val="Lvl2Bulletpoint"/>
      </w:pPr>
      <w:r>
        <w:t>taking account of the Queensland Competition Authority’s (QCA) advice</w:t>
      </w:r>
    </w:p>
    <w:p w:rsidR="00844E39" w:rsidRDefault="00844E39" w:rsidP="009B6ED8">
      <w:pPr>
        <w:pStyle w:val="Lvl2Bulletpoint"/>
      </w:pPr>
      <w:r>
        <w:t>taking account of customer capacity to pay</w:t>
      </w:r>
    </w:p>
    <w:p w:rsidR="00844E39" w:rsidRDefault="00844E39" w:rsidP="009B6ED8">
      <w:pPr>
        <w:pStyle w:val="Lvl2Bulletpoint"/>
      </w:pPr>
      <w:r>
        <w:t>through an analysis of the costs and benefits of a sector or purpose of water use specific subsidy.</w:t>
      </w:r>
      <w:r>
        <w:rPr>
          <w:rStyle w:val="FootnoteReference"/>
        </w:rPr>
        <w:footnoteReference w:id="157"/>
      </w:r>
    </w:p>
    <w:p w:rsidR="00844E39" w:rsidRDefault="00844E39" w:rsidP="00FE665C">
      <w:pPr>
        <w:spacing w:before="240" w:after="120"/>
      </w:pPr>
      <w:r>
        <w:t>Second, these stakeholders argued that state governments should have discretion to provide subsidies</w:t>
      </w:r>
      <w:r w:rsidR="00517E88">
        <w:t xml:space="preserve"> </w:t>
      </w:r>
      <w:r>
        <w:t>/</w:t>
      </w:r>
      <w:r w:rsidR="00517E88">
        <w:t xml:space="preserve"> </w:t>
      </w:r>
      <w:r>
        <w:t>CSOs. In particular, state governments should not be prevented from exercising their discretion in relation to the following matters:</w:t>
      </w:r>
    </w:p>
    <w:p w:rsidR="00844E39" w:rsidRDefault="00844E39" w:rsidP="00A82DE6">
      <w:pPr>
        <w:pStyle w:val="Lvl1Bulletpoint"/>
      </w:pPr>
      <w:r>
        <w:t>a judgement on the amount of price increases within a particular sector (SunWater).</w:t>
      </w:r>
    </w:p>
    <w:p w:rsidR="00844E39" w:rsidRDefault="00844E39" w:rsidP="00A82DE6">
      <w:pPr>
        <w:pStyle w:val="Lvl1Bulletpoint"/>
      </w:pPr>
      <w:r>
        <w:t xml:space="preserve">a decision to reduce irrigation prices in response to drought or low allocations (SunWater). </w:t>
      </w:r>
    </w:p>
    <w:p w:rsidR="00844E39" w:rsidRDefault="00844E39" w:rsidP="00A82DE6">
      <w:pPr>
        <w:pStyle w:val="Lvl1Bulletpoint"/>
      </w:pPr>
      <w:r>
        <w:t>an assessment of customers’ capacity to pay.</w:t>
      </w:r>
    </w:p>
    <w:p w:rsidR="00844E39" w:rsidRDefault="00844E39" w:rsidP="00A82DE6">
      <w:pPr>
        <w:pStyle w:val="Lvl1Bulletpoint"/>
      </w:pPr>
      <w:r>
        <w:t>an assessment of the potential for positive, flow-on, economy-wide effects.</w:t>
      </w:r>
      <w:r w:rsidRPr="005C1231">
        <w:rPr>
          <w:vertAlign w:val="superscript"/>
        </w:rPr>
        <w:footnoteReference w:id="158"/>
      </w:r>
    </w:p>
    <w:p w:rsidR="00844E39" w:rsidRDefault="00844E39" w:rsidP="000A0202">
      <w:pPr>
        <w:tabs>
          <w:tab w:val="left" w:pos="340"/>
        </w:tabs>
      </w:pPr>
      <w:r>
        <w:t>Moreover, QTDEWS suggested that there is already adequate transparency for these arrangements, since the transitional price paths and government CSOs</w:t>
      </w:r>
      <w:r w:rsidR="00517E88">
        <w:t xml:space="preserve"> </w:t>
      </w:r>
      <w:r>
        <w:t>/ subsidies are disclosed at an aggregate level.</w:t>
      </w:r>
      <w:r w:rsidR="00C6733C">
        <w:t xml:space="preserve"> </w:t>
      </w:r>
      <w:r>
        <w:t>QTDEWS called on the ACCC to acknowledge “the validity of using transitional price paths to achieve stated objectives”.</w:t>
      </w:r>
      <w:r>
        <w:rPr>
          <w:rStyle w:val="FootnoteReference"/>
        </w:rPr>
        <w:footnoteReference w:id="159"/>
      </w:r>
    </w:p>
    <w:p w:rsidR="00844E39" w:rsidRDefault="00844E39" w:rsidP="000A0202">
      <w:r>
        <w:t>Third, these stakeholders argued that arrangements in Queensland should not be viewed as discriminatory because, in their view, non-irrigation customers do not cross subsidise irrigation customers. SunWater pointed out that the QCA has a cost allocation mechanism for capital and operating costs which ensures that irrigation and non-irrigation customers, as a group, are paying their respective share of costs.</w:t>
      </w:r>
      <w:r w:rsidRPr="004C3457">
        <w:rPr>
          <w:rStyle w:val="FootnoteReference"/>
        </w:rPr>
        <w:footnoteReference w:id="160"/>
      </w:r>
      <w:r>
        <w:t xml:space="preserve"> For irrigation customers, the QCA sets only the lower</w:t>
      </w:r>
      <w:r>
        <w:noBreakHyphen/>
        <w:t xml:space="preserve">bound level of cost recovery, with the Queensland Government providing a subsidy where necessary. </w:t>
      </w:r>
    </w:p>
    <w:p w:rsidR="00844E39" w:rsidRDefault="00844E39" w:rsidP="00844E39">
      <w:r>
        <w:t>Fourth, QTDEWS noted that the proposed prohibition on discriminatory charges only applies to cases where an operator levies a different charge for the same infrastructure service.</w:t>
      </w:r>
      <w:r w:rsidR="00C6733C">
        <w:t xml:space="preserve"> </w:t>
      </w:r>
      <w:r>
        <w:t>QTDEWS noted that council customers have “different arrangements compared to irrigation customers,” and that part of the differences in arrangements was attributable to the fact that, in general, irrigation customers hold medium priority water allocations while councils hold high priority water allocations.</w:t>
      </w:r>
      <w:r>
        <w:rPr>
          <w:rStyle w:val="FootnoteReference"/>
        </w:rPr>
        <w:footnoteReference w:id="161"/>
      </w:r>
      <w:r>
        <w:t xml:space="preserve"> As such, QTDEWS commented that its understanding was that differences between charges for these two groups do not constitute price discrimination, on the basis that holders of different entitlement classes receive different classes of infrastructure services.</w:t>
      </w:r>
      <w:r>
        <w:rPr>
          <w:rStyle w:val="FootnoteReference"/>
        </w:rPr>
        <w:footnoteReference w:id="162"/>
      </w:r>
      <w:r>
        <w:t xml:space="preserve"> </w:t>
      </w:r>
    </w:p>
    <w:p w:rsidR="00844E39" w:rsidRDefault="00844E39" w:rsidP="00844E39">
      <w:r>
        <w:rPr>
          <w:rFonts w:cs="Times New Roman"/>
          <w:szCs w:val="16"/>
        </w:rPr>
        <w:t>The Queensland Farmers’ Federation (QFF) sought clarification on the impact of the proposed amendments to Queensland MDB schemes.</w:t>
      </w:r>
      <w:r>
        <w:rPr>
          <w:rStyle w:val="FootnoteReference"/>
          <w:rFonts w:cs="Times New Roman"/>
          <w:szCs w:val="16"/>
        </w:rPr>
        <w:footnoteReference w:id="163"/>
      </w:r>
      <w:r>
        <w:t xml:space="preserve"> The QFF, while understanding “the principles the Commission is seeking to address”, expressed concern about the impact of proposed non-discrimination rules on policies, and service delivery arrangements designed to promote efficiencies. The QFF called for implementation costs to be examined for “matters of price discrimination can be addressed without significant cost to schemes”. The QFF concluded that further investigation about implementation is needed before the provisions are accepted. </w:t>
      </w:r>
    </w:p>
    <w:p w:rsidR="00844E39" w:rsidRDefault="00844E39" w:rsidP="0015222F">
      <w:pPr>
        <w:pStyle w:val="Tabletitle"/>
      </w:pPr>
      <w:r>
        <w:t xml:space="preserve">Box </w:t>
      </w:r>
      <w:r w:rsidR="00517E88" w:rsidRPr="00C27C0E">
        <w:t>5.</w:t>
      </w:r>
      <w:r w:rsidR="00C27C0E" w:rsidRPr="00C27C0E">
        <w:t>1</w:t>
      </w:r>
      <w:r>
        <w:t>: Process for setting irrigation and non-irrigation charges in SunWater schemes</w:t>
      </w:r>
      <w:r w:rsidRPr="00A64F55">
        <w:rPr>
          <w:rStyle w:val="FootnoteReference"/>
          <w:b w:val="0"/>
        </w:rPr>
        <w:footnoteReference w:id="164"/>
      </w:r>
    </w:p>
    <w:tbl>
      <w:tblPr>
        <w:tblStyle w:val="TableGrid"/>
        <w:tblW w:w="0" w:type="auto"/>
        <w:tblLook w:val="04A0" w:firstRow="1" w:lastRow="0" w:firstColumn="1" w:lastColumn="0" w:noHBand="0" w:noVBand="1"/>
      </w:tblPr>
      <w:tblGrid>
        <w:gridCol w:w="9242"/>
      </w:tblGrid>
      <w:tr w:rsidR="00517E88" w:rsidTr="00517E88">
        <w:tc>
          <w:tcPr>
            <w:tcW w:w="9242" w:type="dxa"/>
            <w:shd w:val="clear" w:color="auto" w:fill="D9D9D9" w:themeFill="background1" w:themeFillShade="D9"/>
          </w:tcPr>
          <w:p w:rsidR="00517E88" w:rsidRPr="00517E88" w:rsidRDefault="00517E88" w:rsidP="00517E88">
            <w:pPr>
              <w:pStyle w:val="tabletext"/>
              <w:rPr>
                <w:i/>
              </w:rPr>
            </w:pPr>
            <w:r w:rsidRPr="00517E88">
              <w:rPr>
                <w:i/>
              </w:rPr>
              <w:t>Irrigation customers</w:t>
            </w:r>
          </w:p>
          <w:p w:rsidR="00517E88" w:rsidRDefault="00517E88" w:rsidP="00517E88">
            <w:pPr>
              <w:pStyle w:val="tabletext"/>
            </w:pPr>
            <w:r>
              <w:t>The Queensland Government has directed SunWater to set charges for its irrigation customers at the maximum of lower-bound costs, or—where prices are currently above lower-bound costs—the current price.</w:t>
            </w:r>
          </w:p>
          <w:p w:rsidR="00517E88" w:rsidRDefault="00517E88" w:rsidP="00517E88">
            <w:pPr>
              <w:pStyle w:val="tabletext"/>
            </w:pPr>
            <w:r>
              <w:t>In some of SunWater’s schemes, charges are currently below the level of lower-bound cost recovery. The Queensland Government, consistently with the BWCOP and NWI, has instructed SunWater to transition these customers to charges that recover lower-bound costs.</w:t>
            </w:r>
            <w:r>
              <w:rPr>
                <w:rStyle w:val="FootnoteReference"/>
              </w:rPr>
              <w:footnoteReference w:id="165"/>
            </w:r>
            <w:r>
              <w:t xml:space="preserve"> The Queensland Government pays SunWater a cash subsidy for the difference between the current price and the lower-bound level of costs. The cash subsidy is provided until charges reach lower-bound costs, at which time SunWater must retain the charge at that level in real terms. For charges that were above the lower-bound level of cost recovery at the time that the policy was introduced, SunWater must retain these charges in real terms year-on-year and may not further transition customers paying these charges toward the upper</w:t>
            </w:r>
            <w:r>
              <w:noBreakHyphen/>
              <w:t xml:space="preserve">bound level of cost-recovery. </w:t>
            </w:r>
          </w:p>
          <w:p w:rsidR="00517E88" w:rsidRDefault="00517E88" w:rsidP="00517E88">
            <w:pPr>
              <w:pStyle w:val="tabletext"/>
            </w:pPr>
            <w:r>
              <w:t>SunWater and QTDEWS labelled the forgone revenue/dividend</w:t>
            </w:r>
            <w:r w:rsidR="00AF01F1">
              <w:t xml:space="preserve"> associated with the difference between the lower-bound and upper-bound costs (or between the price and upper-bound costs in the case where prices are above lower bound) </w:t>
            </w:r>
            <w:r>
              <w:t xml:space="preserve">as a type of subsidy for irrigation customers, distinct from the cash subsidy that the Queensland Government provides SunWater when charges are below lower-bound cost recovery. </w:t>
            </w:r>
          </w:p>
          <w:p w:rsidR="00517E88" w:rsidRDefault="00517E88" w:rsidP="00517E88">
            <w:pPr>
              <w:pStyle w:val="tabletext"/>
            </w:pPr>
            <w:r>
              <w:t>QTDEWS submitted that the Queensland Government subsidies irrigation charges (including via foregone dividends) “to support growth and development of the agricultural sector” and to “ensure balanced outcomes for affordable wholesale water prices, and to ensure the regulated water service provider is able to be financially sustainable”.</w:t>
            </w:r>
            <w:r>
              <w:rPr>
                <w:rStyle w:val="FootnoteReference"/>
              </w:rPr>
              <w:footnoteReference w:id="166"/>
            </w:r>
          </w:p>
          <w:p w:rsidR="00517E88" w:rsidRDefault="00517E88" w:rsidP="00517E88">
            <w:pPr>
              <w:pStyle w:val="tabletext"/>
            </w:pPr>
            <w:r>
              <w:t>It should also be noted that SunWater reported that environmental water holders also pay lower-bound charges for water access entitlements</w:t>
            </w:r>
            <w:r w:rsidR="0012425C">
              <w:t xml:space="preserve"> (WAEs)</w:t>
            </w:r>
            <w:r>
              <w:t xml:space="preserve"> that they hold. </w:t>
            </w:r>
          </w:p>
          <w:p w:rsidR="00517E88" w:rsidRPr="00210D5E" w:rsidRDefault="00517E88" w:rsidP="00517E88">
            <w:pPr>
              <w:pStyle w:val="tabletext"/>
              <w:rPr>
                <w:i/>
              </w:rPr>
            </w:pPr>
            <w:r w:rsidRPr="00210D5E">
              <w:rPr>
                <w:i/>
              </w:rPr>
              <w:t>Non-irrigation customers</w:t>
            </w:r>
          </w:p>
          <w:p w:rsidR="00517E88" w:rsidRDefault="00517E88" w:rsidP="00517E88">
            <w:pPr>
              <w:pStyle w:val="tabletext"/>
            </w:pPr>
            <w:r>
              <w:t xml:space="preserve">SunWater commercially ‘negotiates’ with non-irrigation customers to set non-irrigation charges; these charges are not subject to review or recommendation by the QCA and the Queensland Government does not set any restrictions on the way in which SunWater should set its charges for non-irrigation customers. </w:t>
            </w:r>
          </w:p>
          <w:p w:rsidR="00517E88" w:rsidRDefault="00517E88" w:rsidP="00517E88">
            <w:pPr>
              <w:pStyle w:val="tabletext"/>
            </w:pPr>
            <w:r>
              <w:t xml:space="preserve">SunWater reported that, consistent with the BWCOP and NWI principles, it is transitioning charges for its non-irrigation customers towards the upper-bound level of cost recovery. Consequently, within each particular SunWater scheme, there can be, and currently are, differences in the level of charges paid by irrigation and non-irrigation customers. </w:t>
            </w:r>
          </w:p>
          <w:p w:rsidR="00517E88" w:rsidRDefault="00517E88" w:rsidP="00517E88">
            <w:pPr>
              <w:pStyle w:val="tabletext"/>
            </w:pPr>
            <w:r>
              <w:t>In addition, charges can differ between individual non-irrigation customers. SunWater stated that such differences arise because non-irrigation customers are on a ‘price path’ toward upper bound pricing, but that each customer:</w:t>
            </w:r>
          </w:p>
          <w:p w:rsidR="00517E88" w:rsidRDefault="00517E88" w:rsidP="00517E88">
            <w:pPr>
              <w:pStyle w:val="tabletextindentbullet"/>
            </w:pPr>
            <w:r>
              <w:t xml:space="preserve">had a different starting point </w:t>
            </w:r>
          </w:p>
          <w:p w:rsidR="00517E88" w:rsidRDefault="00517E88" w:rsidP="00517E88">
            <w:pPr>
              <w:pStyle w:val="tabletextindentbullet"/>
            </w:pPr>
            <w:r>
              <w:t>has different contract expiry dates and</w:t>
            </w:r>
          </w:p>
          <w:p w:rsidR="00517E88" w:rsidRDefault="00517E88" w:rsidP="00517E88">
            <w:pPr>
              <w:pStyle w:val="tabletextindentbullet"/>
            </w:pPr>
            <w:r>
              <w:t>has negotiated a different price path.</w:t>
            </w:r>
          </w:p>
          <w:p w:rsidR="00517E88" w:rsidRDefault="00517E88" w:rsidP="00517E88">
            <w:pPr>
              <w:pStyle w:val="tabletext"/>
            </w:pPr>
            <w:r>
              <w:t>SunWater acknowledged that these differences between non-irrigation charges may be prohibited under the proposed non</w:t>
            </w:r>
            <w:r>
              <w:noBreakHyphen/>
              <w:t>discrimination provisions</w:t>
            </w:r>
            <w:r w:rsidR="005F5094">
              <w:t xml:space="preserve"> set out in the Draft Advice</w:t>
            </w:r>
            <w:r>
              <w:t>. SunWater’s concerns and proposed amendments to address these differences are discussed in section 5.11.</w:t>
            </w:r>
          </w:p>
          <w:p w:rsidR="00517E88" w:rsidRPr="00517E88" w:rsidRDefault="00517E88" w:rsidP="00517E88">
            <w:pPr>
              <w:pStyle w:val="tabletext"/>
            </w:pPr>
            <w:r>
              <w:t>SunWater’s objective is to transition all non</w:t>
            </w:r>
            <w:r>
              <w:noBreakHyphen/>
              <w:t>irrigation customers to upper-bound pricing.</w:t>
            </w:r>
            <w:r>
              <w:rPr>
                <w:rStyle w:val="FootnoteReference"/>
              </w:rPr>
              <w:footnoteReference w:id="167"/>
            </w:r>
            <w:r>
              <w:t xml:space="preserve"> However, there can be differences between non</w:t>
            </w:r>
            <w:r>
              <w:noBreakHyphen/>
              <w:t>irrigation customers in the level of charges that they are currently paying. SunWater reports that this is because it is negotiating price paths to transition customers to upper-bound pricing as existing contracts expire or allow for price reviews but contracts are set for a long period and each customer is at different starting points. SunWater supported a continuation of negotiations on transitional provisions. SunWater considered that these negotiations will reduce price shocks for customers and provide the customer time to adjust to higher charges.</w:t>
            </w:r>
          </w:p>
        </w:tc>
      </w:tr>
    </w:tbl>
    <w:p w:rsidR="00844E39" w:rsidRPr="00FC64B5" w:rsidRDefault="00844E39" w:rsidP="00FC64B5">
      <w:pPr>
        <w:pStyle w:val="Heading6"/>
      </w:pPr>
      <w:r w:rsidRPr="00FC64B5">
        <w:t>Whether a tradable water right has been traded or transformed</w:t>
      </w:r>
    </w:p>
    <w:p w:rsidR="00844E39" w:rsidRDefault="00844E39" w:rsidP="00844E39">
      <w:r>
        <w:t>The NSW OEH and the MDBA support</w:t>
      </w:r>
      <w:r w:rsidR="00386267">
        <w:t>ed</w:t>
      </w:r>
      <w:r>
        <w:t xml:space="preserve"> the proposed amendments to the non-discrimination provisions relating to trade.</w:t>
      </w:r>
      <w:r w:rsidRPr="00537AFD">
        <w:rPr>
          <w:rStyle w:val="FootnoteReference"/>
          <w:sz w:val="20"/>
        </w:rPr>
        <w:footnoteReference w:id="168"/>
      </w:r>
    </w:p>
    <w:p w:rsidR="00844E39" w:rsidRDefault="00844E39" w:rsidP="00844E39">
      <w:r>
        <w:t>The OEH added that as an entity that trades water allocation, it “support[s] methods for charging customers that do not affect the ability or the incentive of a potential customer to trade, by being as price neutral as possible”.</w:t>
      </w:r>
      <w:r w:rsidRPr="00537AFD">
        <w:rPr>
          <w:rStyle w:val="FootnoteReference"/>
          <w:sz w:val="20"/>
        </w:rPr>
        <w:footnoteReference w:id="169"/>
      </w:r>
      <w:r>
        <w:t xml:space="preserve"> Further, the rules “should provide for the distribution of water charges that minimises the impacts on water use and trade decisions”. Similarly, the MDBA commented that it supports amendments that will “facilitate water markets”.</w:t>
      </w:r>
      <w:r w:rsidRPr="00283DE7">
        <w:rPr>
          <w:rStyle w:val="FootnoteReference"/>
          <w:rFonts w:cs="Times New Roman"/>
          <w:sz w:val="20"/>
          <w:szCs w:val="20"/>
        </w:rPr>
        <w:footnoteReference w:id="170"/>
      </w:r>
    </w:p>
    <w:p w:rsidR="00844E39" w:rsidRDefault="00844E39" w:rsidP="00844E39">
      <w:r>
        <w:t xml:space="preserve">The NIC and </w:t>
      </w:r>
      <w:r w:rsidR="006F0423">
        <w:t>Western Murray Irrigation (</w:t>
      </w:r>
      <w:r>
        <w:t>WMI</w:t>
      </w:r>
      <w:r w:rsidR="006F0423">
        <w:t>)</w:t>
      </w:r>
      <w:r>
        <w:t xml:space="preserve"> identified several charging arrangements that, in their view do not constitute discrimination, but nevertheless may be inadvertently captured by the proposed non-discrimination provisions relating to trade.</w:t>
      </w:r>
      <w:r w:rsidRPr="00AD5608">
        <w:rPr>
          <w:rStyle w:val="FootnoteReference"/>
          <w:rFonts w:cs="Times New Roman"/>
          <w:sz w:val="20"/>
          <w:szCs w:val="20"/>
        </w:rPr>
        <w:footnoteReference w:id="171"/>
      </w:r>
      <w:r>
        <w:t xml:space="preserve"> In particular, these stakeholders considered that the provision may preclude a charge that recovers the administrative costs associated with a transformed customer transferring water back into the operator’s licence to have that water delivered within the irrigation network. The NIC and WMI argued that, if the infrastructure operator could not recover these costs from the transformed customer, then the infrastructure operator would need to transfer the cost burden to all of its customers. </w:t>
      </w:r>
    </w:p>
    <w:p w:rsidR="00844E39" w:rsidRPr="00FC64B5" w:rsidRDefault="00844E39" w:rsidP="00FC64B5">
      <w:pPr>
        <w:pStyle w:val="Heading6"/>
      </w:pPr>
      <w:r w:rsidRPr="00FC64B5">
        <w:t>Holding, volume or use of a tradable water right or separate location related right</w:t>
      </w:r>
    </w:p>
    <w:p w:rsidR="00844E39" w:rsidRDefault="00844E39" w:rsidP="00844E39">
      <w:r>
        <w:t>The NSW OEH submitted that it supports the proposed amendments to the non-discrimination provisions relating to licence holdings.</w:t>
      </w:r>
      <w:r w:rsidRPr="00537AFD">
        <w:rPr>
          <w:rStyle w:val="FootnoteReference"/>
          <w:sz w:val="20"/>
        </w:rPr>
        <w:footnoteReference w:id="172"/>
      </w:r>
    </w:p>
    <w:p w:rsidR="00844E39" w:rsidRDefault="00844E39" w:rsidP="00844E39">
      <w:pPr>
        <w:spacing w:after="0"/>
      </w:pPr>
      <w:r>
        <w:t>The NIC was critical of the proposed amendments, arguing that they would raise issues for the following charging arrangements:</w:t>
      </w:r>
    </w:p>
    <w:p w:rsidR="00844E39" w:rsidRDefault="00844E39" w:rsidP="00A82DE6">
      <w:pPr>
        <w:pStyle w:val="Lvl1Bulletpoint"/>
      </w:pPr>
      <w:r>
        <w:t>different charges for different categories of water delivery rights</w:t>
      </w:r>
    </w:p>
    <w:p w:rsidR="00844E39" w:rsidRDefault="00844E39" w:rsidP="00A82DE6">
      <w:pPr>
        <w:pStyle w:val="Lvl1Bulletpoint"/>
      </w:pPr>
      <w:r>
        <w:t>tiered tariff structures</w:t>
      </w:r>
    </w:p>
    <w:p w:rsidR="00844E39" w:rsidRDefault="00844E39" w:rsidP="00A82DE6">
      <w:pPr>
        <w:pStyle w:val="Lvl1Bulletpoint"/>
      </w:pPr>
      <w:r>
        <w:t xml:space="preserve">WaterNSW’s rebates to NSW </w:t>
      </w:r>
      <w:r w:rsidR="003F241C">
        <w:t>IIO</w:t>
      </w:r>
      <w:r w:rsidR="002055DF">
        <w:t>s</w:t>
      </w:r>
      <w:r w:rsidR="002055DF">
        <w:rPr>
          <w:rFonts w:ascii="Calibri" w:hAnsi="Calibri"/>
        </w:rPr>
        <w:t>―t</w:t>
      </w:r>
      <w:r w:rsidR="002055DF">
        <w:t>he NIC considered</w:t>
      </w:r>
      <w:r>
        <w:t xml:space="preserve"> that without these rebates, </w:t>
      </w:r>
      <w:r w:rsidR="003F241C">
        <w:t>IIO</w:t>
      </w:r>
      <w:r>
        <w:t>s will</w:t>
      </w:r>
      <w:r w:rsidR="002055DF">
        <w:t xml:space="preserve"> need to increase their charges</w:t>
      </w:r>
      <w:r w:rsidR="002055DF" w:rsidRPr="00AD5608">
        <w:rPr>
          <w:rStyle w:val="FootnoteReference"/>
          <w:rFonts w:cs="Times New Roman"/>
          <w:color w:val="000000"/>
          <w:sz w:val="20"/>
          <w:szCs w:val="20"/>
        </w:rPr>
        <w:footnoteReference w:id="173"/>
      </w:r>
    </w:p>
    <w:p w:rsidR="00844E39" w:rsidRDefault="00844E39" w:rsidP="00844E39">
      <w:pPr>
        <w:spacing w:before="240" w:after="0"/>
      </w:pPr>
      <w:r>
        <w:t xml:space="preserve">For each of these charging arrangements, the NIC noted that it would incur costs and time to prove to the ACCC that the difference in charges either: </w:t>
      </w:r>
    </w:p>
    <w:p w:rsidR="00844E39" w:rsidRDefault="002055DF" w:rsidP="00A82DE6">
      <w:pPr>
        <w:pStyle w:val="Lvl1Bulletpoint"/>
      </w:pPr>
      <w:r>
        <w:t xml:space="preserve">was </w:t>
      </w:r>
      <w:r w:rsidR="00386267">
        <w:t xml:space="preserve">due to there being </w:t>
      </w:r>
      <w:r w:rsidR="00844E39">
        <w:t>different classes of infrastructure services</w:t>
      </w:r>
      <w:r w:rsidR="00386267">
        <w:t>,</w:t>
      </w:r>
      <w:r w:rsidR="00844E39">
        <w:t xml:space="preserve"> or </w:t>
      </w:r>
    </w:p>
    <w:p w:rsidR="00844E39" w:rsidRDefault="00386267" w:rsidP="00A82DE6">
      <w:pPr>
        <w:pStyle w:val="Lvl1Bulletpoint"/>
      </w:pPr>
      <w:r>
        <w:t xml:space="preserve">reflected </w:t>
      </w:r>
      <w:r w:rsidR="00844E39">
        <w:t>underlying differences in costs.</w:t>
      </w:r>
    </w:p>
    <w:p w:rsidR="00844E39" w:rsidRDefault="00844E39" w:rsidP="00844E39">
      <w:pPr>
        <w:spacing w:before="240"/>
      </w:pPr>
      <w:r>
        <w:t>The NIC also rejected the non-discrimination provisions as they would apply to tiered tariff structures. The NIC commented that tiered tariff structures are “not uncommon” in other industries for consumption</w:t>
      </w:r>
      <w:r>
        <w:noBreakHyphen/>
        <w:t>based pricing. Further, the NIC argued that the ACCC’s concerns that voting structures in some operators provided incentives for operators to favour large customers over smaller customers (for example by implementing declining tiered tariff structures) were unwarranted. The NIC stated that for the two infrastructure operators that the ACCC identify as having tiered tariff structures— MI and MIL—“shareholders have one vote per land</w:t>
      </w:r>
      <w:r w:rsidR="00550A8B">
        <w:t>hold</w:t>
      </w:r>
      <w:r>
        <w:t>ing, providing small users with very significant voting power [that is] disproportionately large in comparison to their shareholdings and tradeable water right holdings”.</w:t>
      </w:r>
      <w:r w:rsidR="00C6733C">
        <w:t xml:space="preserve"> </w:t>
      </w:r>
    </w:p>
    <w:p w:rsidR="00844E39" w:rsidRDefault="00844E39" w:rsidP="00844E39">
      <w:pPr>
        <w:spacing w:before="240"/>
      </w:pPr>
      <w:r>
        <w:t>In response to these statements, the ACCC notes that MI and MIL provide the following information on their voting arrangements, which appear to only partially agree with the NIC’s characterisation:</w:t>
      </w:r>
    </w:p>
    <w:p w:rsidR="00844E39" w:rsidRDefault="00844E39" w:rsidP="00FE665C">
      <w:pPr>
        <w:keepNext/>
        <w:spacing w:before="240" w:after="120"/>
      </w:pPr>
      <w:r>
        <w:t>—</w:t>
      </w:r>
      <w:r w:rsidRPr="0008425E">
        <w:t>MI voting arrangements:</w:t>
      </w:r>
    </w:p>
    <w:p w:rsidR="00844E39" w:rsidRPr="00F33AF9" w:rsidRDefault="00844E39" w:rsidP="00CE67EB">
      <w:pPr>
        <w:pStyle w:val="Quote"/>
        <w:rPr>
          <w:rStyle w:val="Emphasis"/>
          <w:i/>
          <w:iCs/>
        </w:rPr>
      </w:pPr>
      <w:r w:rsidRPr="00F33AF9">
        <w:rPr>
          <w:rStyle w:val="Emphasis"/>
          <w:i/>
          <w:iCs/>
        </w:rPr>
        <w:t>[C]ustomers holding WEs [water entitlements] may also own shares in MI, in the ratio of one share per megalitre of WE held. There are three categories of shares: A, B and C class shares. Only A and B class shareholders with landholdings which have DEs [delivery entitlements] attached are entitled to vote at General Meetings and vote for share</w:t>
      </w:r>
      <w:r w:rsidR="007F3874">
        <w:rPr>
          <w:rStyle w:val="Emphasis"/>
          <w:i/>
          <w:iCs/>
        </w:rPr>
        <w:t>holder-elected directors of MI.</w:t>
      </w:r>
      <w:r w:rsidRPr="00877C09">
        <w:rPr>
          <w:rStyle w:val="Emphasis"/>
          <w:iCs/>
          <w:vertAlign w:val="superscript"/>
        </w:rPr>
        <w:footnoteReference w:id="174"/>
      </w:r>
    </w:p>
    <w:p w:rsidR="00844E39" w:rsidRDefault="00844E39" w:rsidP="00FE665C">
      <w:pPr>
        <w:keepNext/>
        <w:spacing w:before="240" w:after="120"/>
      </w:pPr>
      <w:r>
        <w:t>—MIL voting arrangements:</w:t>
      </w:r>
    </w:p>
    <w:p w:rsidR="00844E39" w:rsidRPr="00F33AF9" w:rsidRDefault="00844E39" w:rsidP="00CE67EB">
      <w:pPr>
        <w:pStyle w:val="Quote"/>
        <w:rPr>
          <w:rStyle w:val="Emphasis"/>
          <w:i/>
          <w:iCs/>
        </w:rPr>
      </w:pPr>
      <w:r w:rsidRPr="00F33AF9">
        <w:rPr>
          <w:rStyle w:val="Emphasis"/>
          <w:i/>
          <w:iCs/>
        </w:rPr>
        <w:t>When you purchase a landholding (with a minimum of four delivery entitlements and five shares) in Murray Irrigation’s area of operations you will become a customer and a shareholder of the company. You will also have a landholding account</w:t>
      </w:r>
      <w:r w:rsidR="002D5FC7">
        <w:rPr>
          <w:rStyle w:val="Emphasis"/>
          <w:i/>
          <w:iCs/>
        </w:rPr>
        <w:t>…</w:t>
      </w:r>
      <w:r w:rsidRPr="00F33AF9">
        <w:rPr>
          <w:rStyle w:val="Emphasis"/>
          <w:i/>
          <w:iCs/>
        </w:rPr>
        <w:t>Every shareholder has one vote for each landholding that they are recorded as the registered proprietor for in the Share Register…(Only financial members are eligible to vote.)</w:t>
      </w:r>
      <w:r w:rsidRPr="00877C09">
        <w:rPr>
          <w:rStyle w:val="Emphasis"/>
          <w:iCs/>
          <w:vertAlign w:val="superscript"/>
        </w:rPr>
        <w:footnoteReference w:id="175"/>
      </w:r>
    </w:p>
    <w:p w:rsidR="00844E39" w:rsidRPr="00657B92" w:rsidRDefault="00874041" w:rsidP="00FE665C">
      <w:pPr>
        <w:spacing w:after="120"/>
      </w:pPr>
      <w:r>
        <w:t xml:space="preserve">The </w:t>
      </w:r>
      <w:r w:rsidR="00D54FCB">
        <w:t>SAMI</w:t>
      </w:r>
      <w:r w:rsidR="00844E39">
        <w:t xml:space="preserve"> and Mr Tom Loffler provided a markedly different perspective on </w:t>
      </w:r>
      <w:r w:rsidR="00844E39" w:rsidRPr="00657B92">
        <w:t xml:space="preserve">voting arrangements in member-owned operators. </w:t>
      </w:r>
      <w:r>
        <w:t>The SAMI</w:t>
      </w:r>
      <w:r w:rsidR="00844E39" w:rsidRPr="00657B92">
        <w:t xml:space="preserve"> submitted:</w:t>
      </w:r>
    </w:p>
    <w:p w:rsidR="00844E39" w:rsidRPr="00BB2B90" w:rsidRDefault="00844E39" w:rsidP="00CE67EB">
      <w:pPr>
        <w:pStyle w:val="Quote"/>
        <w:rPr>
          <w:rStyle w:val="Emphasis"/>
          <w:i/>
          <w:iCs/>
        </w:rPr>
      </w:pPr>
      <w:r w:rsidRPr="00BB2B90">
        <w:rPr>
          <w:rStyle w:val="Emphasis"/>
          <w:i/>
          <w:iCs/>
        </w:rPr>
        <w:t>Trust infrastructure will always be protected by its management board as it should. However sometimes this is in conflicting interest to the financial and delivery constraints of the individual irrigation business. The democratic governance system of majority rule is not protecting the rights of the individual landholder due to apathy, ignorance and defeatism. Many members approached ensured anonymity before givi</w:t>
      </w:r>
      <w:r w:rsidR="007F3874">
        <w:rPr>
          <w:rStyle w:val="Emphasis"/>
          <w:i/>
          <w:iCs/>
        </w:rPr>
        <w:t>ng comment for this submission.</w:t>
      </w:r>
      <w:r w:rsidRPr="00877C09">
        <w:rPr>
          <w:rStyle w:val="Emphasis"/>
          <w:iCs/>
          <w:vertAlign w:val="superscript"/>
        </w:rPr>
        <w:footnoteReference w:id="176"/>
      </w:r>
    </w:p>
    <w:p w:rsidR="00844E39" w:rsidRPr="00657B92" w:rsidRDefault="00844E39" w:rsidP="00FE665C">
      <w:pPr>
        <w:spacing w:after="120"/>
      </w:pPr>
      <w:r w:rsidRPr="00657B92">
        <w:t>Mr Tom Loffler submitted:</w:t>
      </w:r>
    </w:p>
    <w:p w:rsidR="00844E39" w:rsidRPr="00F33AF9" w:rsidRDefault="00996599" w:rsidP="00CE67EB">
      <w:pPr>
        <w:pStyle w:val="Quote"/>
        <w:rPr>
          <w:rStyle w:val="Emphasis"/>
          <w:i/>
          <w:iCs/>
        </w:rPr>
      </w:pPr>
      <w:r>
        <w:rPr>
          <w:rStyle w:val="Emphasis"/>
          <w:i/>
          <w:iCs/>
        </w:rPr>
        <w:t xml:space="preserve">[Central Irrigation Trust] </w:t>
      </w:r>
      <w:r w:rsidR="00844E39" w:rsidRPr="00F33AF9">
        <w:rPr>
          <w:rStyle w:val="Emphasis"/>
          <w:i/>
          <w:iCs/>
        </w:rPr>
        <w:t>CIT policies and Rules are generally compiled and implemented by the Board and/or CIT management with little, or in some instances, no consumer involvement.</w:t>
      </w:r>
    </w:p>
    <w:p w:rsidR="00844E39" w:rsidRPr="00F33AF9" w:rsidRDefault="00844E39" w:rsidP="00CE67EB">
      <w:pPr>
        <w:pStyle w:val="Quote"/>
        <w:rPr>
          <w:rStyle w:val="Emphasis"/>
          <w:i/>
          <w:iCs/>
        </w:rPr>
      </w:pPr>
      <w:r w:rsidRPr="00F33AF9">
        <w:rPr>
          <w:rStyle w:val="Emphasis"/>
          <w:i/>
          <w:iCs/>
        </w:rPr>
        <w:t>In 10 out of 12 CIT districts, only irrigators with permanent irrigation rights are able to vote at the AGM. Generally this may be done by a limited number of persons attending…</w:t>
      </w:r>
    </w:p>
    <w:p w:rsidR="00844E39" w:rsidRPr="00F33AF9" w:rsidRDefault="00844E39" w:rsidP="00CE67EB">
      <w:pPr>
        <w:pStyle w:val="Quote"/>
        <w:rPr>
          <w:rStyle w:val="Emphasis"/>
          <w:i/>
          <w:iCs/>
        </w:rPr>
      </w:pPr>
      <w:r w:rsidRPr="00F33AF9">
        <w:rPr>
          <w:rStyle w:val="Emphasis"/>
          <w:i/>
          <w:iCs/>
        </w:rPr>
        <w:t>In two CIT districts, irrigators with permanent and temporary water rights may vote. AGM voting is on CIT’s/Board suggested asset maintenance etc. and water pricing. Domestic consumers have no vote</w:t>
      </w:r>
      <w:r w:rsidR="007F3874">
        <w:rPr>
          <w:rStyle w:val="Emphasis"/>
          <w:i/>
          <w:iCs/>
        </w:rPr>
        <w:t>..</w:t>
      </w:r>
      <w:r w:rsidRPr="00F33AF9">
        <w:rPr>
          <w:rStyle w:val="Emphasis"/>
          <w:i/>
          <w:iCs/>
        </w:rPr>
        <w:t>.</w:t>
      </w:r>
      <w:r w:rsidRPr="00877C09">
        <w:rPr>
          <w:rStyle w:val="Emphasis"/>
          <w:iCs/>
          <w:vertAlign w:val="superscript"/>
        </w:rPr>
        <w:footnoteReference w:id="177"/>
      </w:r>
    </w:p>
    <w:p w:rsidR="00844E39" w:rsidRDefault="00844E39" w:rsidP="00844E39">
      <w:r w:rsidRPr="00657B92">
        <w:t>Further discussion about the feedback relating to governance arrangements in member-owned operators is provided in section 5.2.</w:t>
      </w:r>
    </w:p>
    <w:p w:rsidR="00844E39" w:rsidRPr="00FC64B5" w:rsidRDefault="00844E39" w:rsidP="00FC64B5">
      <w:pPr>
        <w:pStyle w:val="Heading6"/>
      </w:pPr>
      <w:r w:rsidRPr="00FC64B5">
        <w:t>Casual use arrangements</w:t>
      </w:r>
    </w:p>
    <w:p w:rsidR="00844E39" w:rsidRDefault="00844E39" w:rsidP="00844E39">
      <w:r>
        <w:t>Mr Connolly questioned the appropriateness of the proposed “carve-out” in the non-discrimination provisions for casual use charges.</w:t>
      </w:r>
      <w:r w:rsidRPr="00283DE7">
        <w:rPr>
          <w:rStyle w:val="FootnoteReference"/>
          <w:rFonts w:cs="Times New Roman"/>
          <w:sz w:val="20"/>
          <w:szCs w:val="20"/>
        </w:rPr>
        <w:footnoteReference w:id="178"/>
      </w:r>
      <w:r>
        <w:t xml:space="preserve"> Mr Connolly argued that there is no consideration within the Draft Advice of the impacts of casual use charges and whether casual use charges are consistent with the BWCOP. </w:t>
      </w:r>
    </w:p>
    <w:p w:rsidR="00844E39" w:rsidRDefault="00844E39" w:rsidP="00844E39">
      <w:r>
        <w:t xml:space="preserve">In Mr Connolly’s view, allowing casual use charges within </w:t>
      </w:r>
      <w:r w:rsidR="00207A65">
        <w:t>r</w:t>
      </w:r>
      <w:r>
        <w:t xml:space="preserve">ule </w:t>
      </w:r>
      <w:r w:rsidR="00207A65">
        <w:t>a</w:t>
      </w:r>
      <w:r>
        <w:t>dvice 5-B is inconsistent with the BWCOP in relation to user-pays and facilitating the efficient functioning of water markets and renders the intent of the advice unclear.</w:t>
      </w:r>
    </w:p>
    <w:p w:rsidR="00844E39" w:rsidRDefault="00844E39" w:rsidP="00FE665C">
      <w:pPr>
        <w:keepNext/>
        <w:spacing w:before="240" w:after="120"/>
      </w:pPr>
      <w:r>
        <w:t>Mr Connolly identified a number of other issues with casual use charges</w:t>
      </w:r>
      <w:r w:rsidR="003A5D65">
        <w:t>,</w:t>
      </w:r>
      <w:r>
        <w:t xml:space="preserve"> including that:</w:t>
      </w:r>
    </w:p>
    <w:p w:rsidR="00844E39" w:rsidRDefault="00844E39" w:rsidP="00A82DE6">
      <w:pPr>
        <w:pStyle w:val="Lvl1Bulletpoint"/>
      </w:pPr>
      <w:r>
        <w:t>when considered proportionally relative to access fees, casual use charges vary across the MDB and between GMW’s irrigation districts (i.e. the ratio of casual usage charges to GMW’s Infrastructure Access Fee varies considerably across districts)</w:t>
      </w:r>
      <w:r w:rsidR="00523D38">
        <w:t xml:space="preserve"> and there is no calculation showing when the casual use charge is equivalent to user-pays</w:t>
      </w:r>
      <w:r w:rsidR="00AF01F1">
        <w:t>, meaning that</w:t>
      </w:r>
      <w:r w:rsidR="00523D38">
        <w:t xml:space="preserve"> it is not clear when a casual user is under or over paying</w:t>
      </w:r>
      <w:r>
        <w:t>.</w:t>
      </w:r>
      <w:r>
        <w:rPr>
          <w:rStyle w:val="FootnoteReference"/>
        </w:rPr>
        <w:footnoteReference w:id="179"/>
      </w:r>
      <w:r>
        <w:t xml:space="preserve"> </w:t>
      </w:r>
    </w:p>
    <w:p w:rsidR="00844E39" w:rsidRDefault="00844E39" w:rsidP="00A82DE6">
      <w:pPr>
        <w:pStyle w:val="Lvl1Bulletpoint"/>
      </w:pPr>
      <w:r>
        <w:t xml:space="preserve">casual use charges violate </w:t>
      </w:r>
      <w:r w:rsidR="00523D38">
        <w:t>draft r</w:t>
      </w:r>
      <w:r>
        <w:t xml:space="preserve">ule </w:t>
      </w:r>
      <w:r w:rsidR="00523D38">
        <w:t>a</w:t>
      </w:r>
      <w:r>
        <w:t xml:space="preserve">dvice 5-C on the ground of the purpose of water use, as they favour those customers who do not have to use the infrastructure as frequently as a horticulturalist e.g. an environmental water holder. </w:t>
      </w:r>
    </w:p>
    <w:p w:rsidR="00844E39" w:rsidRDefault="00844E39" w:rsidP="00A82DE6">
      <w:pPr>
        <w:pStyle w:val="Lvl1Bulletpoint"/>
      </w:pPr>
      <w:r>
        <w:t xml:space="preserve">it is not clear what an “acceptable” amount of casual use is. For example, Mr Connolly considered that </w:t>
      </w:r>
      <w:r w:rsidR="00207A65">
        <w:t>r</w:t>
      </w:r>
      <w:r>
        <w:t>ule Advice 5-C should prohibit a customer from being a casual user for all of the water that they have delivered, and suggested that a possible rule could be that 10 per cent [of water delivery right held] should be the “maximum allowable casual use”.</w:t>
      </w:r>
    </w:p>
    <w:p w:rsidR="00844E39" w:rsidRDefault="00844E39" w:rsidP="00844E39">
      <w:pPr>
        <w:spacing w:before="240"/>
      </w:pPr>
      <w:r>
        <w:t>Mr Connolly also commented in detail on the impacts casual use charges can have on markets for water delivery rights. See section 6.2.2.</w:t>
      </w:r>
    </w:p>
    <w:p w:rsidR="00844E39" w:rsidRPr="00FC64B5" w:rsidRDefault="00844E39" w:rsidP="00FC64B5">
      <w:pPr>
        <w:pStyle w:val="Heading6"/>
      </w:pPr>
      <w:r w:rsidRPr="00FC64B5">
        <w:t>Associations between water access rights and location-related rights</w:t>
      </w:r>
    </w:p>
    <w:p w:rsidR="00844E39" w:rsidRDefault="00844E39" w:rsidP="00844E39">
      <w:r>
        <w:t xml:space="preserve">Stakeholders did not comment directly on this proposed ground for the non-discrimination rules. However, during consultations with stakeholders in Victoria, it was identified that this proposed proscribed ground would likely be relevant to GMW’s transition from using a “system approach” to a “basin approach” for determining on-river infrastructure (“bulk”) </w:t>
      </w:r>
      <w:r w:rsidR="00523D38">
        <w:t xml:space="preserve">charges </w:t>
      </w:r>
      <w:r w:rsidR="00C27C0E">
        <w:t xml:space="preserve">(see </w:t>
      </w:r>
      <w:r w:rsidR="00C27C0E" w:rsidRPr="00C27C0E">
        <w:t>B</w:t>
      </w:r>
      <w:r w:rsidRPr="00C27C0E">
        <w:t xml:space="preserve">ox </w:t>
      </w:r>
      <w:r w:rsidR="00523D38" w:rsidRPr="00C27C0E">
        <w:t>5.</w:t>
      </w:r>
      <w:r w:rsidR="00C27C0E" w:rsidRPr="00C27C0E">
        <w:t>2</w:t>
      </w:r>
      <w:r>
        <w:t>).</w:t>
      </w:r>
    </w:p>
    <w:p w:rsidR="00523D38" w:rsidRPr="00523D38" w:rsidRDefault="00523D38" w:rsidP="00523D38">
      <w:pPr>
        <w:pStyle w:val="Tabletitle"/>
      </w:pPr>
      <w:r w:rsidRPr="00523D38">
        <w:t xml:space="preserve">Box </w:t>
      </w:r>
      <w:r w:rsidR="00C27C0E" w:rsidRPr="00C27C0E">
        <w:t>5.2</w:t>
      </w:r>
      <w:r w:rsidRPr="00523D38">
        <w:t>: GMW charging arrangements for on-river infrastructure services—“system approach” versus “basin approach”</w:t>
      </w:r>
    </w:p>
    <w:tbl>
      <w:tblPr>
        <w:tblStyle w:val="TableGrid"/>
        <w:tblW w:w="0" w:type="auto"/>
        <w:shd w:val="clear" w:color="auto" w:fill="D9D9D9" w:themeFill="background1" w:themeFillShade="D9"/>
        <w:tblLook w:val="04A0" w:firstRow="1" w:lastRow="0" w:firstColumn="1" w:lastColumn="0" w:noHBand="0" w:noVBand="1"/>
      </w:tblPr>
      <w:tblGrid>
        <w:gridCol w:w="9242"/>
      </w:tblGrid>
      <w:tr w:rsidR="00844E39" w:rsidRPr="00241839" w:rsidTr="006B2AEC">
        <w:tc>
          <w:tcPr>
            <w:tcW w:w="9242" w:type="dxa"/>
            <w:shd w:val="clear" w:color="auto" w:fill="D9D9D9" w:themeFill="background1" w:themeFillShade="D9"/>
          </w:tcPr>
          <w:p w:rsidR="00844E39" w:rsidRDefault="00844E39" w:rsidP="00523D38">
            <w:pPr>
              <w:pStyle w:val="tabletext"/>
            </w:pPr>
            <w:r>
              <w:t>The ACCC understands that GMW has commenced a transitional change in the geographical basis on which it levies on-river infrastructure charges (e.g. charges related to storage). In the past, such charges were generally levied on a broad “system” basis, where there were two systems—the Goulburn system and the Murray system. Under the system pricing approach, G</w:t>
            </w:r>
            <w:r w:rsidRPr="00E01F9F">
              <w:t xml:space="preserve">MW </w:t>
            </w:r>
            <w:r>
              <w:t>“pool[ed]</w:t>
            </w:r>
            <w:r w:rsidRPr="00E01F9F">
              <w:t xml:space="preserve"> together its share of the costs for operating storages in the Goulburn, Loddon, Campaspe, Broken and Bullarook basins to produce one average bulk water price for the Goulburn system. A similar process </w:t>
            </w:r>
            <w:r>
              <w:t>[was]</w:t>
            </w:r>
            <w:r w:rsidRPr="00E01F9F">
              <w:t xml:space="preserve"> used to pool and average costs for storages on the Murray, Ovens and King basins to create a Murray system price.</w:t>
            </w:r>
            <w:r>
              <w:t>”</w:t>
            </w:r>
            <w:r>
              <w:rPr>
                <w:rStyle w:val="FootnoteReference"/>
              </w:rPr>
              <w:footnoteReference w:id="180"/>
            </w:r>
          </w:p>
          <w:p w:rsidR="00844E39" w:rsidRDefault="00844E39" w:rsidP="00523D38">
            <w:pPr>
              <w:pStyle w:val="tabletext"/>
            </w:pPr>
            <w:r>
              <w:t>Around 2008 GMW commenced a transition towards using individual ‘basins’ instead of systems as the basis for these charges. The transition is not yet complete, and currently on-river infrastructure charges for ‘water users’ (customers whose water shares remain ‘associated’</w:t>
            </w:r>
            <w:r>
              <w:rPr>
                <w:rStyle w:val="FootnoteReference"/>
              </w:rPr>
              <w:footnoteReference w:id="181"/>
            </w:r>
            <w:r>
              <w:t xml:space="preserve"> with a location-specific water use licence) remain determined under the ‘system’ approach, while those for ‘non-water users’, including environmental water holders and bulk entitlement holders, are determined under the basin approach. These arrangements are reflected in GMW’s </w:t>
            </w:r>
            <w:r w:rsidR="00325FB2">
              <w:t>S</w:t>
            </w:r>
            <w:r>
              <w:t xml:space="preserve">chedule of </w:t>
            </w:r>
            <w:r w:rsidR="00325FB2">
              <w:t>C</w:t>
            </w:r>
            <w:r>
              <w:t>harges, which lists different entitlement storage charges for ‘water users’ and ‘non water users’, and in some cases lists different ‘bulk water charges’ across different basins.</w:t>
            </w:r>
            <w:r>
              <w:rPr>
                <w:rStyle w:val="FootnoteReference"/>
              </w:rPr>
              <w:footnoteReference w:id="182"/>
            </w:r>
            <w:r w:rsidR="003031DC">
              <w:t xml:space="preserve"> This approach has been approved to continue for the period 1 July 2016 to 30 June 2020 in the recent </w:t>
            </w:r>
            <w:r w:rsidR="00A224C1">
              <w:t>Essential Services Commission of Victoria (</w:t>
            </w:r>
            <w:r w:rsidR="003031DC">
              <w:t>ESCV</w:t>
            </w:r>
            <w:r w:rsidR="00A224C1">
              <w:t>)</w:t>
            </w:r>
            <w:r w:rsidR="003031DC">
              <w:t xml:space="preserve"> determination of GMW’s infrastructure charges.</w:t>
            </w:r>
            <w:r w:rsidR="003031DC">
              <w:rPr>
                <w:rStyle w:val="FootnoteReference"/>
              </w:rPr>
              <w:footnoteReference w:id="183"/>
            </w:r>
          </w:p>
          <w:p w:rsidR="00844E39" w:rsidRPr="00241839" w:rsidRDefault="00844E39" w:rsidP="00744997">
            <w:pPr>
              <w:pStyle w:val="tabletext"/>
            </w:pPr>
            <w:r>
              <w:t>Of relevance to the proposed non-discrimination rules, the ACCC understands that customers may transition between the ‘water user’ and ‘non-water user’ categories by applying to disassociate their water share (a practice which has been used in the past particularly in relation to avoiding prior trading restrictions). As such, it appears that this situation provides an important example of where users may face different charges for the same (on-river) infrastructure services, based on whether they choose to associate their water shares or not. It also has the outcome that environmental water holders, by virtue of their status as ‘non-water users’ (in the Victorian context), are likely to pay different</w:t>
            </w:r>
            <w:r>
              <w:rPr>
                <w:rStyle w:val="FootnoteReference"/>
              </w:rPr>
              <w:footnoteReference w:id="184"/>
            </w:r>
            <w:r>
              <w:t xml:space="preserve"> charges for storage services compared to irrigators who have ‘water user’ status.</w:t>
            </w:r>
            <w:r w:rsidR="00744997">
              <w:t xml:space="preserve"> This matter was also raised via submissions</w:t>
            </w:r>
            <w:r>
              <w:t xml:space="preserve"> </w:t>
            </w:r>
            <w:r w:rsidR="00744997">
              <w:t>to the ESCV’s recent determination of GWM’s infrastructure charges for the 2016-2020 period.</w:t>
            </w:r>
            <w:r w:rsidR="00744997">
              <w:rPr>
                <w:rStyle w:val="FootnoteReference"/>
              </w:rPr>
              <w:footnoteReference w:id="185"/>
            </w:r>
            <w:r w:rsidR="00744997">
              <w:t xml:space="preserve"> </w:t>
            </w:r>
            <w:r>
              <w:t>It is worth noting that environmental water holders do not appear to have the option of changing their non-water user status, and are therefore a ‘price taker’ in this context.</w:t>
            </w:r>
          </w:p>
        </w:tc>
      </w:tr>
    </w:tbl>
    <w:p w:rsidR="00844E39" w:rsidRPr="00FC64B5" w:rsidRDefault="00844E39" w:rsidP="00FC64B5">
      <w:pPr>
        <w:pStyle w:val="Heading6"/>
      </w:pPr>
      <w:r w:rsidRPr="00FC64B5">
        <w:t>Area of land owned, occupied or irrigated by a customer</w:t>
      </w:r>
    </w:p>
    <w:p w:rsidR="00844E39" w:rsidRDefault="00844E39" w:rsidP="00844E39">
      <w:r>
        <w:t>The NIC submitted that some infrastructure operators have a separate charge for ‘inactive’ or non-landholding customers.</w:t>
      </w:r>
      <w:r w:rsidRPr="00AD5608">
        <w:rPr>
          <w:rStyle w:val="FootnoteReference"/>
          <w:rFonts w:cs="Times New Roman"/>
          <w:color w:val="000000"/>
          <w:sz w:val="20"/>
          <w:szCs w:val="20"/>
        </w:rPr>
        <w:footnoteReference w:id="186"/>
      </w:r>
      <w:r>
        <w:t xml:space="preserve"> The NIC noted that these charges would need to be assessed for consistency with the proposed amendments to the non-discrimination provisions on the ground of the area of land owned, occupied or irrigated, including where land is not owned, occupied or irrigated. </w:t>
      </w:r>
    </w:p>
    <w:p w:rsidR="00844E39" w:rsidRPr="00FC64B5" w:rsidRDefault="00844E39" w:rsidP="00FC64B5">
      <w:pPr>
        <w:pStyle w:val="Heading6"/>
      </w:pPr>
      <w:r w:rsidRPr="00FC64B5">
        <w:t>Ability to offer discounts</w:t>
      </w:r>
    </w:p>
    <w:p w:rsidR="00844E39" w:rsidRDefault="00844E39" w:rsidP="00844E39">
      <w:r>
        <w:t xml:space="preserve">Some stakeholders identified that the proposed amendments could affect the ability for operators to negotiate discounts in certain circumstances; discounts which, stakeholders argued, aid efficiency. </w:t>
      </w:r>
    </w:p>
    <w:p w:rsidR="00844E39" w:rsidRDefault="00844E39" w:rsidP="00844E39">
      <w:r>
        <w:t>The NFF submitted that there have been changes to customer profiles and demand because of the Murray-Darling Basin Plan and increased trading.</w:t>
      </w:r>
      <w:r w:rsidRPr="00AD5608">
        <w:rPr>
          <w:rStyle w:val="FootnoteReference"/>
          <w:rFonts w:cs="Times New Roman"/>
          <w:sz w:val="20"/>
          <w:szCs w:val="20"/>
        </w:rPr>
        <w:footnoteReference w:id="187"/>
      </w:r>
      <w:r>
        <w:t xml:space="preserve"> The NFF considered that in order to be able to attract new entrants, an infrastructure operator must be able to negotiate with these customers on all terms and conditions including price. The NFF concluded that new entrants “will ultimately deliver benefits to the customer base as whole as well as the flow of benefits to communities”. </w:t>
      </w:r>
    </w:p>
    <w:p w:rsidR="00844E39" w:rsidRDefault="00844E39" w:rsidP="00844E39">
      <w:r>
        <w:t>Similarly, SunWater submitted that there should be an exemption from the non-discrimination provisions for discounts to charges where those discounts benefit all of the infrastructure operator’s customers.</w:t>
      </w:r>
      <w:r w:rsidRPr="00AD5608">
        <w:rPr>
          <w:rStyle w:val="FootnoteReference"/>
          <w:rFonts w:cs="Times New Roman"/>
          <w:sz w:val="20"/>
          <w:szCs w:val="20"/>
        </w:rPr>
        <w:footnoteReference w:id="188"/>
      </w:r>
      <w:r>
        <w:t xml:space="preserve"> SunWater called for the ACCC to consider the ‘prudent discount’ framework from the energy sector, which allows for discounts that provide a benefit for all customers, even though there may be some cross-subsidisation.</w:t>
      </w:r>
      <w:r>
        <w:rPr>
          <w:rStyle w:val="FootnoteReference"/>
        </w:rPr>
        <w:footnoteReference w:id="189"/>
      </w:r>
      <w:r>
        <w:t xml:space="preserve"> SunWater asked the ACCC to consider this framework with the precaution that it would be “fit for purpose” and not “overly onerous for infrastructure operators to apply”. SunWater considered that the benefits of allowing for these types of discounts include that the infrastructure operator is able to “manage bypass risk” and pursue business opportunities which, without the discount, would not otherwise arise.</w:t>
      </w:r>
      <w:r>
        <w:rPr>
          <w:rStyle w:val="FootnoteReference"/>
        </w:rPr>
        <w:footnoteReference w:id="190"/>
      </w:r>
      <w:r>
        <w:t xml:space="preserve"> </w:t>
      </w:r>
    </w:p>
    <w:p w:rsidR="00844E39" w:rsidRDefault="00844E39" w:rsidP="00FE665C">
      <w:pPr>
        <w:spacing w:after="120"/>
      </w:pPr>
      <w:r>
        <w:t>The LGAQ queried whether the rules would inadvertently preclude offering different charges in accordance with local government social policies and obligations, such as concessions offered to pensioners or incentives for water conservation and efficiencies. The LGAQ submitted that charges in accordance with these policies should be considered non-discriminatory when the charges are:</w:t>
      </w:r>
    </w:p>
    <w:p w:rsidR="00844E39" w:rsidRDefault="00844E39" w:rsidP="00A82DE6">
      <w:pPr>
        <w:pStyle w:val="Lvl1Bulletpoint"/>
      </w:pPr>
      <w:r>
        <w:t>transparent</w:t>
      </w:r>
    </w:p>
    <w:p w:rsidR="00844E39" w:rsidRDefault="00844E39" w:rsidP="00A82DE6">
      <w:pPr>
        <w:pStyle w:val="Lvl1Bulletpoint"/>
      </w:pPr>
      <w:r>
        <w:t>implemented after they have been disclosed</w:t>
      </w:r>
    </w:p>
    <w:p w:rsidR="00844E39" w:rsidRDefault="00844E39" w:rsidP="00A82DE6">
      <w:pPr>
        <w:pStyle w:val="Lvl1Bulletpoint"/>
      </w:pPr>
      <w:r>
        <w:t>are necessary for community benefit</w:t>
      </w:r>
    </w:p>
    <w:p w:rsidR="00844E39" w:rsidRDefault="00844E39" w:rsidP="00A82DE6">
      <w:pPr>
        <w:pStyle w:val="Lvl1Bulletpoint"/>
      </w:pPr>
      <w:r>
        <w:t>incentives for efficient use of water resources.</w:t>
      </w:r>
      <w:r w:rsidRPr="00283DE7">
        <w:rPr>
          <w:rStyle w:val="FootnoteReference"/>
          <w:rFonts w:cs="Times New Roman"/>
          <w:sz w:val="20"/>
          <w:szCs w:val="20"/>
        </w:rPr>
        <w:footnoteReference w:id="191"/>
      </w:r>
    </w:p>
    <w:p w:rsidR="00844E39" w:rsidRPr="00120211" w:rsidRDefault="00B147CC" w:rsidP="00D17F9C">
      <w:pPr>
        <w:pStyle w:val="Heading5"/>
      </w:pPr>
      <w:r>
        <w:t>T</w:t>
      </w:r>
      <w:r w:rsidR="00844E39">
        <w:t>he prohibition on limiting the availability of infrastructure services—draft rule advice 5-C</w:t>
      </w:r>
    </w:p>
    <w:p w:rsidR="00844E39" w:rsidRPr="00FC64B5" w:rsidRDefault="00844E39" w:rsidP="00FC64B5">
      <w:pPr>
        <w:pStyle w:val="Heading6"/>
      </w:pPr>
      <w:r w:rsidRPr="00FC64B5">
        <w:t xml:space="preserve">Limiting the availability of infrastructure services </w:t>
      </w:r>
    </w:p>
    <w:p w:rsidR="00844E39" w:rsidRDefault="00844E39" w:rsidP="00844E39">
      <w:r>
        <w:t>The NSW OEH submitted that it supports the proposed rule advice to prevent an infrastructure operator from limiting the availability of an infrastructure service on the grounds of licence holdings, use or trade.</w:t>
      </w:r>
      <w:r w:rsidRPr="00537AFD">
        <w:rPr>
          <w:rStyle w:val="FootnoteReference"/>
          <w:rFonts w:cs="Times New Roman"/>
          <w:sz w:val="20"/>
          <w:szCs w:val="20"/>
        </w:rPr>
        <w:footnoteReference w:id="192"/>
      </w:r>
    </w:p>
    <w:p w:rsidR="00844E39" w:rsidRDefault="00844E39" w:rsidP="00844E39">
      <w:pPr>
        <w:spacing w:after="0"/>
      </w:pPr>
      <w:r>
        <w:t>The NIC disagreed with the ACCC that the prohibitions on limiting the availability of access to services will ensure the efficacy of the other non-discrimination provisions. Rather, the NIC was highly critical of this proposed amendment (see also below) and identified several examples of cases where, in its view, this rule would apply and would produce a perverse or unintended outcome:</w:t>
      </w:r>
      <w:r w:rsidRPr="00AD5608">
        <w:rPr>
          <w:rStyle w:val="FootnoteReference"/>
          <w:rFonts w:cs="Times New Roman"/>
          <w:sz w:val="20"/>
          <w:szCs w:val="20"/>
        </w:rPr>
        <w:footnoteReference w:id="193"/>
      </w:r>
    </w:p>
    <w:p w:rsidR="00844E39" w:rsidRPr="00442C9F" w:rsidRDefault="00844E39" w:rsidP="00442C9F">
      <w:pPr>
        <w:pStyle w:val="Listalphabet"/>
      </w:pPr>
      <w:r w:rsidRPr="00442C9F">
        <w:rPr>
          <w:i/>
        </w:rPr>
        <w:t>Purpose for which water can or will be used</w:t>
      </w:r>
      <w:r w:rsidRPr="00442C9F">
        <w:t xml:space="preserve">—“any customer could demand any service offered to any other customer; for example, domestic customers could demand the type of irrigation outlet that is normally only available to irrigators”. The NIC added that the carve-out in </w:t>
      </w:r>
      <w:r w:rsidR="00B147CC" w:rsidRPr="00442C9F">
        <w:t xml:space="preserve">proposed </w:t>
      </w:r>
      <w:r w:rsidRPr="00442C9F">
        <w:t xml:space="preserve">rule 10(3) only allows an operator to restrict infrastructure services to stock and domestic water users and not the other way around. The NIC added that the rule is “flawed” because it </w:t>
      </w:r>
      <w:r w:rsidR="003A5D65" w:rsidRPr="00442C9F">
        <w:t>refers</w:t>
      </w:r>
      <w:r w:rsidRPr="00442C9F">
        <w:t xml:space="preserve"> to a </w:t>
      </w:r>
      <w:r w:rsidR="003A5D65" w:rsidRPr="00442C9F">
        <w:t>“</w:t>
      </w:r>
      <w:r w:rsidRPr="00442C9F">
        <w:t>stock and domestic purpose</w:t>
      </w:r>
      <w:r w:rsidR="003A5D65" w:rsidRPr="00442C9F">
        <w:t>”</w:t>
      </w:r>
      <w:r w:rsidRPr="00442C9F">
        <w:t xml:space="preserve">, </w:t>
      </w:r>
      <w:r w:rsidR="003A5D65" w:rsidRPr="00442C9F">
        <w:t xml:space="preserve">rather than </w:t>
      </w:r>
      <w:r w:rsidRPr="00442C9F">
        <w:t>a stock or domestic purpose.</w:t>
      </w:r>
    </w:p>
    <w:p w:rsidR="00844E39" w:rsidRPr="00442C9F" w:rsidRDefault="00844E39" w:rsidP="00442C9F">
      <w:pPr>
        <w:pStyle w:val="Listalphabet"/>
      </w:pPr>
      <w:r w:rsidRPr="00442C9F">
        <w:rPr>
          <w:i/>
        </w:rPr>
        <w:t>Holding or use of land</w:t>
      </w:r>
      <w:r w:rsidRPr="00442C9F">
        <w:t>—“a customer whose landholding lies far distant from the nearest irrigation channel and receives domestic water through a pipe could demand the same service of water for irrigation purposes as the customers whose landholdings lie adjacent to that channel.”</w:t>
      </w:r>
    </w:p>
    <w:p w:rsidR="00844E39" w:rsidRPr="00442C9F" w:rsidRDefault="00844E39" w:rsidP="00442C9F">
      <w:pPr>
        <w:pStyle w:val="Listalphabet"/>
      </w:pPr>
      <w:r w:rsidRPr="00442C9F">
        <w:rPr>
          <w:i/>
        </w:rPr>
        <w:t>Holding of tradeable water right</w:t>
      </w:r>
      <w:r w:rsidRPr="00442C9F">
        <w:t>—an infrastructure operator would be prevented from limiting the availability of:</w:t>
      </w:r>
    </w:p>
    <w:p w:rsidR="00844E39" w:rsidRDefault="00844E39" w:rsidP="00442C9F">
      <w:pPr>
        <w:pStyle w:val="Lvl2Bulletpoint"/>
      </w:pPr>
      <w:r>
        <w:t>an infrastructure service when a customer does not have enough water allocation to fill a water delivery order.</w:t>
      </w:r>
    </w:p>
    <w:p w:rsidR="00844E39" w:rsidRDefault="00844E39" w:rsidP="00442C9F">
      <w:pPr>
        <w:pStyle w:val="Lvl2Bulletpoint"/>
      </w:pPr>
      <w:r>
        <w:t xml:space="preserve">carryover to </w:t>
      </w:r>
      <w:r w:rsidR="003A5D65">
        <w:t xml:space="preserve">be available to only </w:t>
      </w:r>
      <w:r>
        <w:t xml:space="preserve">customers </w:t>
      </w:r>
      <w:r w:rsidR="003A5D65">
        <w:t xml:space="preserve">holding </w:t>
      </w:r>
      <w:r>
        <w:t xml:space="preserve">general security </w:t>
      </w:r>
      <w:r w:rsidR="003A5D65">
        <w:t>irrigation rights</w:t>
      </w:r>
      <w:r>
        <w:t>. The NIC argue</w:t>
      </w:r>
      <w:r w:rsidR="003A5D65">
        <w:t>d</w:t>
      </w:r>
      <w:r w:rsidR="00C62323">
        <w:t xml:space="preserve"> </w:t>
      </w:r>
      <w:r>
        <w:t xml:space="preserve">that this would “undermine the entire basis of the property right represented by tradeable water rights” and the objectives of state governments in relation to carryover. The NIC added that </w:t>
      </w:r>
      <w:r w:rsidR="0055484B">
        <w:t xml:space="preserve">proposed </w:t>
      </w:r>
      <w:r w:rsidR="00486C0F">
        <w:t xml:space="preserve">rule </w:t>
      </w:r>
      <w:r>
        <w:t xml:space="preserve">10(4) does not provide an exemption for this type of limitation because the rule only refers to water access entitlements, not irrigation rights, which is the basis on which the limitation on access to carryover occurs. </w:t>
      </w:r>
    </w:p>
    <w:p w:rsidR="00844E39" w:rsidRDefault="00844E39" w:rsidP="00442C9F">
      <w:pPr>
        <w:pStyle w:val="Lvl2Bulletpoint"/>
      </w:pPr>
      <w:r>
        <w:t xml:space="preserve">an infrastructure service </w:t>
      </w:r>
      <w:r w:rsidR="00C62323">
        <w:t>in the form of</w:t>
      </w:r>
      <w:r>
        <w:t xml:space="preserve"> imposing water restrictions (as required by state legislation) on domestic customers (with domestic tradable water rights). The NIC added that </w:t>
      </w:r>
      <w:r w:rsidR="0055484B">
        <w:t xml:space="preserve">proposed </w:t>
      </w:r>
      <w:r>
        <w:t xml:space="preserve">rule 10(3) does not provide an exemption </w:t>
      </w:r>
      <w:r w:rsidR="00C62323">
        <w:t>in</w:t>
      </w:r>
      <w:r>
        <w:t xml:space="preserve"> this situation because the rule only relates to where access has been limited on the basis of purpose of water use and not to the holding of a tradeable water right.</w:t>
      </w:r>
    </w:p>
    <w:p w:rsidR="00844E39" w:rsidRPr="00442C9F" w:rsidRDefault="00844E39" w:rsidP="00442C9F">
      <w:pPr>
        <w:pStyle w:val="Listalphabet"/>
      </w:pPr>
      <w:r w:rsidRPr="00442C9F">
        <w:rPr>
          <w:i/>
        </w:rPr>
        <w:t>Association with a location-related right</w:t>
      </w:r>
      <w:r w:rsidRPr="00442C9F">
        <w:t xml:space="preserve"> – an infrastructure operator would be prevented from limiting the availability of water from a lake to customers who are located adjacent to the lake (i.e. customers with pumps and landholding adjoining to the lake). The NIC note</w:t>
      </w:r>
      <w:r w:rsidR="00C62323" w:rsidRPr="00442C9F">
        <w:t>d</w:t>
      </w:r>
      <w:r w:rsidRPr="00442C9F">
        <w:t xml:space="preserve"> that </w:t>
      </w:r>
      <w:r w:rsidR="00C62323" w:rsidRPr="00442C9F">
        <w:t>proposed sub</w:t>
      </w:r>
      <w:r w:rsidRPr="00442C9F">
        <w:t xml:space="preserve">rule 10(5) does not provide an exemption for this being a different class of infrastructure service because the rule only refers to cases where there are different infrastructure charges, not where the availability of the service has been limited. </w:t>
      </w:r>
    </w:p>
    <w:p w:rsidR="00844E39" w:rsidRPr="00FC64B5" w:rsidRDefault="00844E39" w:rsidP="00FC64B5">
      <w:pPr>
        <w:pStyle w:val="Heading6"/>
      </w:pPr>
      <w:r w:rsidRPr="00FC64B5">
        <w:t>‘Consequence’ of failing to comply with proposed rule 10(2)</w:t>
      </w:r>
    </w:p>
    <w:p w:rsidR="00844E39" w:rsidRPr="000104F0" w:rsidRDefault="00844E39" w:rsidP="00E51A5A">
      <w:r>
        <w:t xml:space="preserve">The ACCC made draft rule advice that, if an infrastructure operator limits the availability of an infrastructure service based on any of the five proscribed grounds (subject to certain “carve-outs”), the operator may not levy </w:t>
      </w:r>
      <w:r>
        <w:rPr>
          <w:i/>
        </w:rPr>
        <w:t>any</w:t>
      </w:r>
      <w:r>
        <w:t xml:space="preserve"> infrastructure charge in relation to that service.</w:t>
      </w:r>
    </w:p>
    <w:p w:rsidR="00844E39" w:rsidRDefault="00844E39" w:rsidP="00844E39">
      <w:pPr>
        <w:spacing w:before="240"/>
      </w:pPr>
      <w:r>
        <w:t>The NIC considers that this consequence of non-compliance is “extreme” and the “most concerning” aspect of the proposed non-discrimination provisions.</w:t>
      </w:r>
      <w:r w:rsidRPr="00AD5608">
        <w:rPr>
          <w:rStyle w:val="FootnoteReference"/>
          <w:rFonts w:cs="Times New Roman"/>
          <w:sz w:val="20"/>
          <w:szCs w:val="20"/>
        </w:rPr>
        <w:footnoteReference w:id="194"/>
      </w:r>
      <w:r>
        <w:t xml:space="preserve"> The NIC argued that the inability to impose a charge for a service c</w:t>
      </w:r>
      <w:r w:rsidR="00C62323">
        <w:t>ould have “severe” consequences;</w:t>
      </w:r>
      <w:r>
        <w:t xml:space="preserve"> for example, the infrastructure operator could face insolvency if an access limitation that has been in place for many years was unable to continue under the proposed amendments. The NIC added that the civil penalty is also “excessive in any event”.</w:t>
      </w:r>
      <w:r w:rsidRPr="00C34047">
        <w:t xml:space="preserve"> </w:t>
      </w:r>
    </w:p>
    <w:p w:rsidR="00844E39" w:rsidRDefault="00844E39" w:rsidP="00844E39">
      <w:r>
        <w:t>The NIC identified concerns that the proposed amendments could prohibit an infrastructure operator from charging for services if the availability of the service was limited on the basis that a customer holds a tradeable water right.</w:t>
      </w:r>
      <w:r w:rsidRPr="00AD5608">
        <w:rPr>
          <w:rStyle w:val="FootnoteReference"/>
          <w:rFonts w:cs="Times New Roman"/>
          <w:sz w:val="20"/>
          <w:szCs w:val="20"/>
        </w:rPr>
        <w:footnoteReference w:id="195"/>
      </w:r>
      <w:r>
        <w:t xml:space="preserve"> The NIC noted that the tradeable water right “define[s] the services, which they [the customer] are entitled to receive”</w:t>
      </w:r>
      <w:r w:rsidR="00486C0F">
        <w:t xml:space="preserve"> and</w:t>
      </w:r>
      <w:r>
        <w:t xml:space="preserve"> prohibitin</w:t>
      </w:r>
      <w:r w:rsidR="00486C0F">
        <w:t xml:space="preserve">g </w:t>
      </w:r>
      <w:r>
        <w:t>charging for these services “undermines the entire contractual basis on which operators deal with their customers”. Some of the examples that NIC identified include</w:t>
      </w:r>
      <w:r w:rsidR="00C62323">
        <w:t>d</w:t>
      </w:r>
      <w:r>
        <w:t xml:space="preserve"> restricting the availability of certain delivery services such as winter watering and priority access during supply limitations to customers who hold high security water delivery rights. The NIC conceded that this interpretation is likely not what the ACCC intended, but highlight</w:t>
      </w:r>
      <w:r w:rsidR="00486C0F">
        <w:t>ed</w:t>
      </w:r>
      <w:r>
        <w:t xml:space="preserve"> that </w:t>
      </w:r>
      <w:r w:rsidR="00C62323">
        <w:t>“</w:t>
      </w:r>
      <w:r>
        <w:t xml:space="preserve">this is </w:t>
      </w:r>
      <w:r w:rsidR="00C62323" w:rsidRPr="00C62323">
        <w:t>what the new regulation literally says</w:t>
      </w:r>
      <w:r w:rsidR="002D5FC7">
        <w:t>”</w:t>
      </w:r>
      <w:r>
        <w:t xml:space="preserve">. </w:t>
      </w:r>
    </w:p>
    <w:p w:rsidR="00844E39" w:rsidRPr="00FC64B5" w:rsidRDefault="00844E39" w:rsidP="00FC64B5">
      <w:pPr>
        <w:pStyle w:val="Heading6"/>
      </w:pPr>
      <w:r w:rsidRPr="00FC64B5">
        <w:t>Access to domestic and irrigation infrastructure services</w:t>
      </w:r>
    </w:p>
    <w:p w:rsidR="00844E39" w:rsidRDefault="00844E39" w:rsidP="00844E39">
      <w:r>
        <w:t>Some stakeholders also commented specifically on the availability of irrigation services and</w:t>
      </w:r>
      <w:r w:rsidR="0055484B">
        <w:t xml:space="preserve"> </w:t>
      </w:r>
      <w:r>
        <w:t>/</w:t>
      </w:r>
      <w:r w:rsidR="0055484B">
        <w:t xml:space="preserve"> </w:t>
      </w:r>
      <w:r>
        <w:t xml:space="preserve">or </w:t>
      </w:r>
      <w:r w:rsidR="0055484B">
        <w:t xml:space="preserve">the </w:t>
      </w:r>
      <w:r>
        <w:t>quality of domestic services, and the implications of the proposed non-discrimination rules on services provided to stock and</w:t>
      </w:r>
      <w:r w:rsidR="0055484B">
        <w:t xml:space="preserve"> </w:t>
      </w:r>
      <w:r>
        <w:t>/</w:t>
      </w:r>
      <w:r w:rsidR="0055484B">
        <w:t xml:space="preserve"> </w:t>
      </w:r>
      <w:r>
        <w:t xml:space="preserve">or domestic customers. </w:t>
      </w:r>
    </w:p>
    <w:p w:rsidR="00844E39" w:rsidRDefault="00844E39" w:rsidP="00844E39">
      <w:r>
        <w:t xml:space="preserve">Mr Tom Loffler commented on a number of factors relevant to his access to domestic and irrigation infrastructure services. Mr Loffler’s main concern was that his infrastructure operator, </w:t>
      </w:r>
      <w:r w:rsidR="00996599">
        <w:t>Central Irrigation Trust) (</w:t>
      </w:r>
      <w:r>
        <w:t>CIT</w:t>
      </w:r>
      <w:r w:rsidR="00996599">
        <w:t>)</w:t>
      </w:r>
      <w:r>
        <w:t>, requires that he have both a domestic and irrigation meter.</w:t>
      </w:r>
      <w:r w:rsidRPr="00AD5608">
        <w:rPr>
          <w:rStyle w:val="FootnoteReference"/>
          <w:rFonts w:cs="Times New Roman"/>
          <w:sz w:val="20"/>
          <w:szCs w:val="20"/>
        </w:rPr>
        <w:footnoteReference w:id="196"/>
      </w:r>
      <w:r>
        <w:t xml:space="preserve"> Mr Loffler stated that this requirement applies despite his property having site approval for both purposes and the South Australian Natural Resources Act stating that he may use lawfully taken water for any purpose permitted by the site use approval.</w:t>
      </w:r>
      <w:r>
        <w:rPr>
          <w:rStyle w:val="FootnoteReference"/>
        </w:rPr>
        <w:footnoteReference w:id="197"/>
      </w:r>
      <w:r>
        <w:t xml:space="preserve"> Mr Loffler submitted that he has not used the domestic connection for at least 10 years but that CIT refuses to remove it and cease charging him the associated access charges. </w:t>
      </w:r>
    </w:p>
    <w:p w:rsidR="00844E39" w:rsidRDefault="00844E39" w:rsidP="00FE665C">
      <w:pPr>
        <w:spacing w:after="120"/>
      </w:pPr>
      <w:r>
        <w:t xml:space="preserve">Mr Loffler further stated the following concerns about the requirement to have a domestic meter: </w:t>
      </w:r>
    </w:p>
    <w:p w:rsidR="00844E39" w:rsidRDefault="00844E39" w:rsidP="00A82DE6">
      <w:pPr>
        <w:pStyle w:val="Lvl1Bulletpoint"/>
      </w:pPr>
      <w:r>
        <w:t>Domestic customers must pay the charges associated with the peak electricity period, whereas irrigators get to choose whether to have their water delivered in peak or off-peak periods. Mr Loffler put forward his view that when it is the same pressure, CIT’s costs are the same because it is the same quality of water and using the same infrastructure. Mr Loffler stated that Renmark Irrigation Trust</w:t>
      </w:r>
      <w:r w:rsidR="005C7AC5">
        <w:t xml:space="preserve"> (RIT)</w:t>
      </w:r>
      <w:r>
        <w:t xml:space="preserve"> does not impose different charges on domestic and irrigation customers.</w:t>
      </w:r>
      <w:r>
        <w:rPr>
          <w:rStyle w:val="FootnoteReference"/>
        </w:rPr>
        <w:footnoteReference w:id="198"/>
      </w:r>
      <w:r>
        <w:t xml:space="preserve"> </w:t>
      </w:r>
    </w:p>
    <w:p w:rsidR="00844E39" w:rsidRDefault="00844E39" w:rsidP="00A82DE6">
      <w:pPr>
        <w:pStyle w:val="Lvl1Bulletpoint"/>
      </w:pPr>
      <w:r>
        <w:t xml:space="preserve">CIT “claims” that higher charges are imposed on domestic customers because their water is available on demand, </w:t>
      </w:r>
      <w:r w:rsidR="00A573EB">
        <w:t>“</w:t>
      </w:r>
      <w:r>
        <w:t>24/7</w:t>
      </w:r>
      <w:r w:rsidR="00A573EB">
        <w:t>”</w:t>
      </w:r>
      <w:r>
        <w:t>. However, Mr Loffler argue</w:t>
      </w:r>
      <w:r w:rsidR="00A573EB">
        <w:t>d</w:t>
      </w:r>
      <w:r>
        <w:t xml:space="preserve"> that in low pressure districts, where there is high demand for irrigation water, the water available for domestic customers is “severely limited or at insufficient pressure”.</w:t>
      </w:r>
    </w:p>
    <w:p w:rsidR="00844E39" w:rsidRDefault="00844E39" w:rsidP="00FE665C">
      <w:pPr>
        <w:spacing w:after="120"/>
      </w:pPr>
      <w:r>
        <w:t xml:space="preserve">Mr Tom Loffler further identified a concern with a </w:t>
      </w:r>
      <w:r w:rsidR="00A573EB">
        <w:t xml:space="preserve">particular </w:t>
      </w:r>
      <w:r>
        <w:t xml:space="preserve">CIT Policy, which requires an irrigator who is selling all their irrigation right but wants to retain a domestic connection to their property to provide CIT with </w:t>
      </w:r>
      <w:r w:rsidR="009745C1">
        <w:t>one</w:t>
      </w:r>
      <w:r>
        <w:t xml:space="preserve"> ML of irrigation right.</w:t>
      </w:r>
      <w:r w:rsidRPr="00AD5608">
        <w:rPr>
          <w:rStyle w:val="FootnoteReference"/>
          <w:rFonts w:cs="Times New Roman"/>
          <w:sz w:val="20"/>
          <w:szCs w:val="20"/>
        </w:rPr>
        <w:footnoteReference w:id="199"/>
      </w:r>
      <w:r>
        <w:t xml:space="preserve"> Mr Loffler </w:t>
      </w:r>
      <w:r w:rsidR="00A573EB">
        <w:t xml:space="preserve">did </w:t>
      </w:r>
      <w:r>
        <w:t xml:space="preserve">not support this policy when there is a domestic supply in existence. Mr Loffler </w:t>
      </w:r>
      <w:r w:rsidR="00A573EB">
        <w:t xml:space="preserve">stated </w:t>
      </w:r>
      <w:r>
        <w:t>that CIT ha</w:t>
      </w:r>
      <w:r w:rsidR="00A573EB">
        <w:t>s</w:t>
      </w:r>
      <w:r>
        <w:t xml:space="preserve"> this policy despite:</w:t>
      </w:r>
    </w:p>
    <w:p w:rsidR="00844E39" w:rsidRDefault="00844E39" w:rsidP="00A82DE6">
      <w:pPr>
        <w:pStyle w:val="Lvl1Bulletpoint"/>
      </w:pPr>
      <w:r>
        <w:t>the South Australian Government providing CIT with top-up water allocations for their domestic customers (in 2012)</w:t>
      </w:r>
    </w:p>
    <w:p w:rsidR="00844E39" w:rsidRDefault="00844E39" w:rsidP="00A82DE6">
      <w:pPr>
        <w:pStyle w:val="Lvl1Bulletpoint"/>
      </w:pPr>
      <w:r>
        <w:t>many irrigators initially paying for a domestic connection (before or after 2009).</w:t>
      </w:r>
    </w:p>
    <w:p w:rsidR="00844E39" w:rsidRDefault="00844E39" w:rsidP="00844E39">
      <w:pPr>
        <w:spacing w:before="240"/>
      </w:pPr>
      <w:r>
        <w:t>The South Australian Murray Irrigators (SAMI) commented on the quality of domestic water and the associated cost.</w:t>
      </w:r>
      <w:r w:rsidRPr="00AD5608">
        <w:rPr>
          <w:rStyle w:val="FootnoteReference"/>
          <w:rFonts w:cs="Times New Roman"/>
          <w:sz w:val="20"/>
          <w:szCs w:val="20"/>
        </w:rPr>
        <w:footnoteReference w:id="200"/>
      </w:r>
      <w:r>
        <w:t xml:space="preserve"> In their view, “domestic river water is excessively priced for what is received”. However, the SAMI noted that “many irrigators are willing to pay this cost as it is seen to be offsetting the cost of running the whole of trust irrigation infrastructure”.</w:t>
      </w:r>
    </w:p>
    <w:p w:rsidR="00844E39" w:rsidRDefault="00844E39" w:rsidP="00844E39">
      <w:r>
        <w:t>The SAMI also commented, similarly to Mr Loffler, that operator requirements to maintain “a minimum domestic entitlement on the block” ha</w:t>
      </w:r>
      <w:r w:rsidR="00A573EB">
        <w:t>ve</w:t>
      </w:r>
      <w:r>
        <w:t xml:space="preserve"> the effect that a customer is “limited from trading all of their water”.</w:t>
      </w:r>
      <w:r w:rsidRPr="00AD5608">
        <w:rPr>
          <w:rStyle w:val="FootnoteReference"/>
          <w:rFonts w:cs="Times New Roman"/>
          <w:sz w:val="20"/>
          <w:szCs w:val="20"/>
        </w:rPr>
        <w:footnoteReference w:id="201"/>
      </w:r>
    </w:p>
    <w:p w:rsidR="00844E39" w:rsidRDefault="00844E39" w:rsidP="00844E39">
      <w:r>
        <w:t>Mr Don Low commented on the basis on which fixed charges are levied in MI’s Wah Wah Stock and Domestic district (see also section 6.2.1).</w:t>
      </w:r>
      <w:r w:rsidRPr="00241692">
        <w:rPr>
          <w:rStyle w:val="FootnoteReference"/>
          <w:rFonts w:cs="Times New Roman"/>
          <w:sz w:val="20"/>
          <w:szCs w:val="20"/>
        </w:rPr>
        <w:footnoteReference w:id="202"/>
      </w:r>
      <w:r>
        <w:t xml:space="preserve"> Mr Low explained how the practice of levying infrastructure charges based on customers</w:t>
      </w:r>
      <w:r w:rsidR="00A573EB">
        <w:t>’</w:t>
      </w:r>
      <w:r>
        <w:t xml:space="preserve"> “holding reference numbers” can produce an outcome in which charges differ substantially across customers and do not reflect underlying fundamentals</w:t>
      </w:r>
      <w:r w:rsidR="00A573EB">
        <w:t>,</w:t>
      </w:r>
      <w:r>
        <w:t xml:space="preserve"> such as the number of connections or outlets a customer has, or the volume of water used.</w:t>
      </w:r>
    </w:p>
    <w:p w:rsidR="00844E39" w:rsidRDefault="00844E39" w:rsidP="00844E39">
      <w:pPr>
        <w:spacing w:before="240"/>
      </w:pPr>
      <w:r>
        <w:t xml:space="preserve">Mr Low gave examples of where a customer having multiple holding reference numbers would pay more than a customer who has only one holding reference number, despite having the same volume of water delivered. Mr Low further commented that a customer in </w:t>
      </w:r>
      <w:r w:rsidR="00A573EB">
        <w:t>MI’s ‘</w:t>
      </w:r>
      <w:r>
        <w:t>rated area</w:t>
      </w:r>
      <w:r w:rsidR="00A573EB">
        <w:t>’</w:t>
      </w:r>
      <w:r>
        <w:t xml:space="preserve"> will generally pay more than</w:t>
      </w:r>
      <w:r w:rsidR="00A573EB">
        <w:t xml:space="preserve"> a customer</w:t>
      </w:r>
      <w:r>
        <w:t xml:space="preserve"> in the </w:t>
      </w:r>
      <w:r w:rsidR="00A573EB">
        <w:t>‘</w:t>
      </w:r>
      <w:r>
        <w:t>non-rated</w:t>
      </w:r>
      <w:r w:rsidR="00A573EB">
        <w:t>’</w:t>
      </w:r>
      <w:r>
        <w:t xml:space="preserve"> area. </w:t>
      </w:r>
    </w:p>
    <w:p w:rsidR="00844E39" w:rsidRDefault="00844E39" w:rsidP="00844E39">
      <w:r>
        <w:t>Mr Low also identified that, while in theory it is possible to reduce the number of holding reference numbers that a customer has and subsequently reduce the amount of charges payable, in practice there are barriers to doing so.</w:t>
      </w:r>
      <w:r w:rsidRPr="00241692">
        <w:rPr>
          <w:rStyle w:val="FootnoteReference"/>
          <w:rFonts w:cs="Times New Roman"/>
          <w:sz w:val="20"/>
          <w:szCs w:val="20"/>
        </w:rPr>
        <w:footnoteReference w:id="203"/>
      </w:r>
      <w:r>
        <w:t xml:space="preserve"> </w:t>
      </w:r>
    </w:p>
    <w:p w:rsidR="00844E39" w:rsidRDefault="00844E39" w:rsidP="00844E39">
      <w:r>
        <w:t>In comparison to the above views, the NFF submitted that the proposed non-discrimination provisions may “hinder the ability” for operators to recover the costs of providing infrastructure services “to small users, such as domestic blocks”.</w:t>
      </w:r>
      <w:r w:rsidRPr="00283DE7">
        <w:rPr>
          <w:rStyle w:val="FootnoteReference"/>
          <w:rFonts w:cs="Times New Roman"/>
          <w:sz w:val="20"/>
          <w:szCs w:val="20"/>
        </w:rPr>
        <w:footnoteReference w:id="204"/>
      </w:r>
    </w:p>
    <w:p w:rsidR="00844E39" w:rsidRPr="007F45F3" w:rsidRDefault="00844E39" w:rsidP="00D17F9C">
      <w:pPr>
        <w:pStyle w:val="Heading5"/>
      </w:pPr>
      <w:r>
        <w:t>Implementation issues</w:t>
      </w:r>
    </w:p>
    <w:p w:rsidR="00844E39" w:rsidRDefault="00844E39" w:rsidP="00844E39">
      <w:r>
        <w:t xml:space="preserve">Apart from </w:t>
      </w:r>
      <w:r w:rsidR="00486C0F">
        <w:t xml:space="preserve">the </w:t>
      </w:r>
      <w:r>
        <w:t>concerns identified above, stakeholders also commented on implementation issues such as how the proposed rules would apply in practice and</w:t>
      </w:r>
      <w:r w:rsidR="0055484B">
        <w:t xml:space="preserve"> </w:t>
      </w:r>
      <w:r>
        <w:t>/</w:t>
      </w:r>
      <w:r w:rsidR="0055484B">
        <w:t xml:space="preserve"> </w:t>
      </w:r>
      <w:r>
        <w:t>or how an infrastructure operator could demonstrate compliance.</w:t>
      </w:r>
    </w:p>
    <w:p w:rsidR="00844E39" w:rsidRDefault="00844E39" w:rsidP="00844E39">
      <w:r>
        <w:t>As with many other proposed amendments, the NIC and NFF were particularly concerned about the level of regulation and associated compliance costs applying to member-owned operators arising from the proposed non-discrimination provisions. The NIC’s views as to why member-owned infrastructure operators should be subject to less regulation are summarised and addressed in section 5.2.</w:t>
      </w:r>
    </w:p>
    <w:p w:rsidR="00844E39" w:rsidRDefault="00844E39" w:rsidP="00FE665C">
      <w:pPr>
        <w:spacing w:after="120"/>
      </w:pPr>
      <w:r>
        <w:t>The NFF argued that, while “the idea of protecting the consumer is admirable”, the proposed amendments will be “to the detriment of customers”.</w:t>
      </w:r>
      <w:r w:rsidRPr="00283DE7">
        <w:rPr>
          <w:rStyle w:val="FootnoteReference"/>
          <w:rFonts w:cs="Times New Roman"/>
          <w:color w:val="000000"/>
          <w:sz w:val="20"/>
          <w:szCs w:val="20"/>
        </w:rPr>
        <w:footnoteReference w:id="205"/>
      </w:r>
      <w:r>
        <w:t xml:space="preserve"> The NFF considered that customers will be disadvantaged because the proposed amendments will:</w:t>
      </w:r>
    </w:p>
    <w:p w:rsidR="00844E39" w:rsidRDefault="00844E39" w:rsidP="00A82DE6">
      <w:pPr>
        <w:pStyle w:val="Lvl1Bulletpoint"/>
      </w:pPr>
      <w:r>
        <w:t xml:space="preserve">increase </w:t>
      </w:r>
      <w:r w:rsidR="003F241C">
        <w:t>IIO</w:t>
      </w:r>
      <w:r>
        <w:t>s’ costs</w:t>
      </w:r>
    </w:p>
    <w:p w:rsidR="00844E39" w:rsidRDefault="00844E39" w:rsidP="00A82DE6">
      <w:pPr>
        <w:pStyle w:val="Lvl1Bulletpoint"/>
      </w:pPr>
      <w:r>
        <w:t xml:space="preserve">stifle innovation in service delivery and </w:t>
      </w:r>
    </w:p>
    <w:p w:rsidR="00844E39" w:rsidRDefault="00844E39" w:rsidP="00A82DE6">
      <w:pPr>
        <w:pStyle w:val="Lvl1Bulletpoint"/>
      </w:pPr>
      <w:r>
        <w:t xml:space="preserve">limit operators’ ability to attract new customers (through negotiating on the terms and conditions, including price, of the infrastructure service), which increases the utilisation of the infrastructure assets. </w:t>
      </w:r>
    </w:p>
    <w:p w:rsidR="00844E39" w:rsidRPr="00062A3E" w:rsidRDefault="00844E39" w:rsidP="00844E39">
      <w:pPr>
        <w:spacing w:before="240"/>
      </w:pPr>
      <w:r w:rsidRPr="00BC10A1">
        <w:t>The NIC submitted its view</w:t>
      </w:r>
      <w:r>
        <w:t xml:space="preserve"> that</w:t>
      </w:r>
      <w:r w:rsidRPr="00BC10A1">
        <w:t xml:space="preserve">, </w:t>
      </w:r>
      <w:r>
        <w:t>“</w:t>
      </w:r>
      <w:r w:rsidRPr="00BC10A1">
        <w:t xml:space="preserve">based on </w:t>
      </w:r>
      <w:r>
        <w:t>[</w:t>
      </w:r>
      <w:r w:rsidRPr="00BC10A1">
        <w:t>its</w:t>
      </w:r>
      <w:r>
        <w:t>] members’</w:t>
      </w:r>
      <w:r w:rsidRPr="00BC10A1">
        <w:t xml:space="preserve"> experience</w:t>
      </w:r>
      <w:r>
        <w:t>s</w:t>
      </w:r>
      <w:r w:rsidRPr="00BC10A1">
        <w:t xml:space="preserve"> with the ACCC</w:t>
      </w:r>
      <w:r>
        <w:t>”</w:t>
      </w:r>
      <w:r w:rsidRPr="00BC10A1">
        <w:t xml:space="preserve">, </w:t>
      </w:r>
      <w:r>
        <w:t>demonstrating that the reason for a different charge relates to the class or cost of the service would be time-consuming and expensive.</w:t>
      </w:r>
      <w:r w:rsidRPr="00BC10A1">
        <w:rPr>
          <w:rStyle w:val="FootnoteReference"/>
          <w:rFonts w:cs="Times New Roman"/>
          <w:sz w:val="20"/>
          <w:szCs w:val="20"/>
        </w:rPr>
        <w:footnoteReference w:id="206"/>
      </w:r>
      <w:r>
        <w:t xml:space="preserve"> The NIC added that </w:t>
      </w:r>
      <w:r w:rsidRPr="004F489C">
        <w:t>an</w:t>
      </w:r>
      <w:r>
        <w:t xml:space="preserve"> operator</w:t>
      </w:r>
      <w:r w:rsidRPr="00BC10A1">
        <w:t xml:space="preserve"> might </w:t>
      </w:r>
      <w:r>
        <w:t>be able to justify</w:t>
      </w:r>
      <w:r w:rsidRPr="00BC10A1">
        <w:t xml:space="preserve"> the basis for the different charge based on the above criteria but then still be caught by the second </w:t>
      </w:r>
      <w:r>
        <w:t>‘</w:t>
      </w:r>
      <w:r w:rsidRPr="00BC10A1">
        <w:t>leg</w:t>
      </w:r>
      <w:r>
        <w:t>’ of the proposed rule</w:t>
      </w:r>
      <w:r w:rsidRPr="00BC10A1">
        <w:t>, in relation to</w:t>
      </w:r>
      <w:r>
        <w:t xml:space="preserve"> limiting the availability of the</w:t>
      </w:r>
      <w:r w:rsidRPr="00BC10A1">
        <w:t xml:space="preserve"> infrastructure service.</w:t>
      </w:r>
    </w:p>
    <w:p w:rsidR="00844E39" w:rsidRDefault="00844E39" w:rsidP="00844E39">
      <w:r>
        <w:t>While supportive of the proposed provisions, the VFF recommended that the ACCC should be aware of the impact of the non-discrimination provisions on all infrastructure operators, especially smaller infrastructure operators. The VFF’s support for the non-discrimination provisions is therefore conditional on the proposed amendments not being “cost prohibitive for small Victorian infrastructure operators”.</w:t>
      </w:r>
      <w:r w:rsidRPr="00283DE7">
        <w:rPr>
          <w:rStyle w:val="FootnoteReference"/>
          <w:rFonts w:cs="Times New Roman"/>
          <w:sz w:val="20"/>
          <w:szCs w:val="20"/>
        </w:rPr>
        <w:footnoteReference w:id="207"/>
      </w:r>
      <w:r>
        <w:t xml:space="preserve"> The NIC submitted a similar concern about the impact on smaller infrastructure operators. The NIC identified that the proposed non-discrimination provisions will apply to smaller member-owned operators who do not benefit through some offsetting reductions in regulatory costs from the repeal of the </w:t>
      </w:r>
      <w:r w:rsidR="00CF6842">
        <w:t>N</w:t>
      </w:r>
      <w:r>
        <w:t xml:space="preserve">etwork </w:t>
      </w:r>
      <w:r w:rsidR="00CF6842">
        <w:t>S</w:t>
      </w:r>
      <w:r>
        <w:t xml:space="preserve">ervice </w:t>
      </w:r>
      <w:r w:rsidR="00CF6842">
        <w:t>P</w:t>
      </w:r>
      <w:r>
        <w:t>lan</w:t>
      </w:r>
      <w:r w:rsidR="00CF6842">
        <w:t xml:space="preserve"> (NSP)</w:t>
      </w:r>
      <w:r w:rsidR="00E94641">
        <w:t xml:space="preserve"> requirements (discussed in section 5.5)</w:t>
      </w:r>
      <w:r>
        <w:t>.</w:t>
      </w:r>
      <w:r w:rsidRPr="00283DE7">
        <w:rPr>
          <w:rStyle w:val="FootnoteReference"/>
          <w:rFonts w:cs="Times New Roman"/>
          <w:color w:val="000000"/>
          <w:sz w:val="20"/>
          <w:szCs w:val="20"/>
        </w:rPr>
        <w:footnoteReference w:id="208"/>
      </w:r>
    </w:p>
    <w:p w:rsidR="00844E39" w:rsidRPr="004A0CC0" w:rsidRDefault="00844E39" w:rsidP="00844E39">
      <w:r>
        <w:t xml:space="preserve">Feedback from stakeholders indicates that there is scope for greater clarity to be inserted into the drafted rules. This would provide greater certainty about charging arrangements that comply with the rules, and in parallel, resolve some uncertainty about changes that might need to be made to an operator’s existing charging arrangements. </w:t>
      </w:r>
      <w:r w:rsidRPr="004A0CC0">
        <w:t xml:space="preserve">For example, there </w:t>
      </w:r>
      <w:r w:rsidR="00482CF8">
        <w:t>wa</w:t>
      </w:r>
      <w:r w:rsidRPr="004A0CC0">
        <w:t xml:space="preserve">s a view from the NIC and some member-owned infrastructure operators that they might need to scrutinise and re-consider their tariff structures and </w:t>
      </w:r>
      <w:r w:rsidR="00325FB2">
        <w:t>S</w:t>
      </w:r>
      <w:r w:rsidRPr="004A0CC0">
        <w:t xml:space="preserve">chedules of </w:t>
      </w:r>
      <w:r w:rsidR="00325FB2">
        <w:t>C</w:t>
      </w:r>
      <w:r w:rsidRPr="004A0CC0">
        <w:t xml:space="preserve">harges in order to comply with the proposed amendments, particularly in relation to charges </w:t>
      </w:r>
      <w:r>
        <w:t xml:space="preserve">levied on the basis of </w:t>
      </w:r>
      <w:r w:rsidRPr="004A0CC0">
        <w:t>the purpose of water use.</w:t>
      </w:r>
      <w:r w:rsidRPr="004A0CC0">
        <w:rPr>
          <w:vertAlign w:val="superscript"/>
        </w:rPr>
        <w:footnoteReference w:id="209"/>
      </w:r>
    </w:p>
    <w:p w:rsidR="00844E39" w:rsidRDefault="00844E39" w:rsidP="00FE665C">
      <w:pPr>
        <w:spacing w:after="120"/>
      </w:pPr>
      <w:r>
        <w:t>WaterNSW submitted that some of the terms in proposed rule 10 are unclear and open to interpretations that may not be consistent with the ACCC’s intent. WaterNSW was particularly concerned about uncertain interpretations of key terms</w:t>
      </w:r>
      <w:r w:rsidR="00E94641">
        <w:t xml:space="preserve"> </w:t>
      </w:r>
      <w:r>
        <w:t>/ definitions given the penalties of non</w:t>
      </w:r>
      <w:r>
        <w:noBreakHyphen/>
        <w:t>compliance, which include the possibility for customers to take a private right of action (see draft rule advice 4-C). WaterNSW argued that greater clarity in the drafting would “reduce unnecessary compliance and court costs” and ensure consistency with the ACCC’s intent.</w:t>
      </w:r>
      <w:r w:rsidRPr="00283DE7">
        <w:rPr>
          <w:rStyle w:val="FootnoteReference"/>
          <w:rFonts w:cs="Times New Roman"/>
          <w:sz w:val="20"/>
          <w:szCs w:val="20"/>
        </w:rPr>
        <w:footnoteReference w:id="210"/>
      </w:r>
      <w:r>
        <w:t xml:space="preserve"> WaterNSW therefore recommended that “proposed Rule 10 be redrafted to include specific and narrow definitions for all key terms.” WaterNSW noted that the ACCC does not define ‘infrastructure service of the same class’ in the proposed rules and suggested two specific amendments:</w:t>
      </w:r>
    </w:p>
    <w:p w:rsidR="00844E39" w:rsidRDefault="00844E39" w:rsidP="00A82DE6">
      <w:pPr>
        <w:pStyle w:val="Lvl1Bulletpoint"/>
      </w:pPr>
      <w:r>
        <w:t xml:space="preserve">Redraft </w:t>
      </w:r>
      <w:r w:rsidR="00482CF8">
        <w:t>sub</w:t>
      </w:r>
      <w:r>
        <w:t xml:space="preserve">rule 10(1) to prohibit price discrimination within the same class of infrastructure service </w:t>
      </w:r>
      <w:r>
        <w:rPr>
          <w:i/>
        </w:rPr>
        <w:t>only.</w:t>
      </w:r>
    </w:p>
    <w:p w:rsidR="00844E39" w:rsidRPr="00E13EA5" w:rsidRDefault="00844E39" w:rsidP="00A82DE6">
      <w:pPr>
        <w:pStyle w:val="Lvl1Bulletpoint"/>
      </w:pPr>
      <w:r>
        <w:t xml:space="preserve">In </w:t>
      </w:r>
      <w:r w:rsidR="00E94641">
        <w:t xml:space="preserve">proposed </w:t>
      </w:r>
      <w:r w:rsidR="00482CF8">
        <w:t>sub</w:t>
      </w:r>
      <w:r>
        <w:t>rule 10(5) replace the phrase ‘this rule is not intended to prevent</w:t>
      </w:r>
      <w:r w:rsidR="00482CF8">
        <w:t>…</w:t>
      </w:r>
      <w:r>
        <w:t>’ with the phrase ‘nothing in this rule prevents an infrastructure operator from specifying different infrastructure charges or discount[s] for different classes of infrastructure services”.</w:t>
      </w:r>
    </w:p>
    <w:p w:rsidR="00844E39" w:rsidRPr="00FC64B5" w:rsidRDefault="00844E39" w:rsidP="00FC64B5">
      <w:pPr>
        <w:pStyle w:val="Heading6"/>
      </w:pPr>
      <w:r w:rsidRPr="00FC64B5">
        <w:t>Interaction with state-based regulatory regimes</w:t>
      </w:r>
    </w:p>
    <w:p w:rsidR="00844E39" w:rsidRDefault="00844E39" w:rsidP="00E94641">
      <w:r>
        <w:t>WaterNSW and IPART provided feedback on the interaction between the non-discrimination provisions and a state regulator’s price approval</w:t>
      </w:r>
      <w:r w:rsidR="00482CF8">
        <w:t xml:space="preserve"> </w:t>
      </w:r>
      <w:r>
        <w:t>/</w:t>
      </w:r>
      <w:r w:rsidR="00482CF8">
        <w:t xml:space="preserve"> </w:t>
      </w:r>
      <w:r>
        <w:t>determination decision. WaterNSW expressed concern that “IPART and the ACCC may form conflicting views on whether the charges approved by IPART and levied by WaterNSW constitute price discrimination under the amended WCIR”.</w:t>
      </w:r>
      <w:r>
        <w:rPr>
          <w:rStyle w:val="FootnoteReference"/>
        </w:rPr>
        <w:footnoteReference w:id="211"/>
      </w:r>
      <w:r>
        <w:t xml:space="preserve"> WaterNSW noted that the penalty for non-compliance with the proposed non-discrimination provisions is imposed on the infrastructure operator, yet the operator is also bound by the regulator’s decision. While the regulator must have regard to the non-discrimination provisions in its decision, WaterNSW sought guidance on what would happen if IPART and the ACCC took a different view on what constitutes price discrimination. </w:t>
      </w:r>
    </w:p>
    <w:p w:rsidR="00844E39" w:rsidRDefault="00844E39" w:rsidP="00844E39">
      <w:pPr>
        <w:spacing w:before="240"/>
      </w:pPr>
      <w:r>
        <w:t>Both IPART and WaterNSW support the proposed non-discrimination provisions in general, but called for a carve-out for charges that are approved</w:t>
      </w:r>
      <w:r w:rsidR="00E94641">
        <w:t xml:space="preserve"> </w:t>
      </w:r>
      <w:r>
        <w:t>/ determined by a state regulator.</w:t>
      </w:r>
      <w:r>
        <w:rPr>
          <w:rStyle w:val="FootnoteReference"/>
        </w:rPr>
        <w:footnoteReference w:id="212"/>
      </w:r>
      <w:r>
        <w:t xml:space="preserve"> WaterNSW further put forward the argument that there are adequate protections from unfair price discrimination in IPART’s price determination process,</w:t>
      </w:r>
      <w:r>
        <w:rPr>
          <w:rStyle w:val="FootnoteReference"/>
        </w:rPr>
        <w:footnoteReference w:id="213"/>
      </w:r>
      <w:r>
        <w:t xml:space="preserve"> adding that the non-discrimination provisions would constrain IPART’s flexibility in making a price approval/determination decision.</w:t>
      </w:r>
      <w:r>
        <w:rPr>
          <w:rStyle w:val="FootnoteReference"/>
        </w:rPr>
        <w:footnoteReference w:id="214"/>
      </w:r>
      <w:r>
        <w:t xml:space="preserve"> WaterNSW added that the provisions would create “overlapping regulatory burdens” and “unnecessarily offset some of the cost savings identified in this review”.</w:t>
      </w:r>
      <w:r w:rsidRPr="00283DE7">
        <w:rPr>
          <w:rStyle w:val="FootnoteReference"/>
          <w:rFonts w:cs="Times New Roman"/>
          <w:sz w:val="20"/>
          <w:szCs w:val="20"/>
        </w:rPr>
        <w:footnoteReference w:id="215"/>
      </w:r>
      <w:r>
        <w:t xml:space="preserve"> </w:t>
      </w:r>
    </w:p>
    <w:p w:rsidR="00844E39" w:rsidRPr="00FC64B5" w:rsidRDefault="00844E39" w:rsidP="00FC64B5">
      <w:pPr>
        <w:pStyle w:val="Heading6"/>
      </w:pPr>
      <w:r w:rsidRPr="00FC64B5">
        <w:t>Transitional arrangements</w:t>
      </w:r>
    </w:p>
    <w:p w:rsidR="00844E39" w:rsidRDefault="00844E39" w:rsidP="00844E39">
      <w:r>
        <w:t>As detailed previously, SunWater commented that the rules should provide that differences in charges paid by customers as a result of individual negotiations on price paths to transition customers to the upper-bound level of cost recovery should not be viewed as inappropriate or discriminatory. In SunWater’s view, transitional price paths towards upper-bound pricing are consistent with the BWCOP and the NWI.</w:t>
      </w:r>
      <w:r w:rsidRPr="00073821">
        <w:rPr>
          <w:rStyle w:val="FootnoteReference"/>
          <w:rFonts w:cs="Times New Roman"/>
          <w:sz w:val="20"/>
          <w:szCs w:val="20"/>
        </w:rPr>
        <w:footnoteReference w:id="216"/>
      </w:r>
      <w:r w:rsidR="00C6733C">
        <w:t xml:space="preserve"> </w:t>
      </w:r>
    </w:p>
    <w:p w:rsidR="00844E39" w:rsidRDefault="00844E39" w:rsidP="00844E39">
      <w:r>
        <w:t>SunWater also noted that in the Draft Advice, there is no transitional provision for the implementation of the proposed non-discrimination provisions.</w:t>
      </w:r>
      <w:r w:rsidRPr="00283DE7">
        <w:rPr>
          <w:rStyle w:val="FootnoteReference"/>
          <w:rFonts w:cs="Times New Roman"/>
          <w:sz w:val="20"/>
          <w:szCs w:val="20"/>
        </w:rPr>
        <w:footnoteReference w:id="217"/>
      </w:r>
      <w:r>
        <w:t xml:space="preserve"> SunWater submitted its views </w:t>
      </w:r>
      <w:r w:rsidR="00482CF8">
        <w:t>on</w:t>
      </w:r>
      <w:r>
        <w:t xml:space="preserve"> the way in which the transitional provisions should apply to charges set under existing contracts. This feedback is discussed in section 5.11.</w:t>
      </w:r>
    </w:p>
    <w:p w:rsidR="00844E39" w:rsidRDefault="00844E39" w:rsidP="00FE665C">
      <w:pPr>
        <w:spacing w:after="120"/>
      </w:pPr>
      <w:r>
        <w:t>In relation to the application of the non-discrimination provisions to commercially negotiated charges, SunWater called for “the Rules [to] exempt prices already set under pre-existing contracts”.</w:t>
      </w:r>
      <w:r>
        <w:rPr>
          <w:rStyle w:val="FootnoteReference"/>
        </w:rPr>
        <w:footnoteReference w:id="218"/>
      </w:r>
      <w:r>
        <w:t xml:space="preserve"> Further, SunWater proposed the following transition mechanisms:</w:t>
      </w:r>
    </w:p>
    <w:p w:rsidR="00844E39" w:rsidRDefault="00844E39" w:rsidP="00A82DE6">
      <w:pPr>
        <w:pStyle w:val="Lvl1Bulletpoint"/>
      </w:pPr>
      <w:r>
        <w:t>The rules should provide a carve-out from the non-discrimination provisions when differences in charges are due to negotiations to put customers on a transitional price path towards upper</w:t>
      </w:r>
      <w:r w:rsidR="00482CF8">
        <w:noBreakHyphen/>
      </w:r>
      <w:r>
        <w:t xml:space="preserve">bound pricing. </w:t>
      </w:r>
    </w:p>
    <w:p w:rsidR="00844E39" w:rsidRDefault="00844E39" w:rsidP="00A82DE6">
      <w:pPr>
        <w:pStyle w:val="Lvl1Bulletpoint"/>
      </w:pPr>
      <w:r>
        <w:t>The</w:t>
      </w:r>
      <w:r w:rsidR="00486C0F">
        <w:t xml:space="preserve"> rules should provide a long tra</w:t>
      </w:r>
      <w:r>
        <w:t>nsitional period for the application of the non</w:t>
      </w:r>
      <w:r w:rsidR="00482CF8">
        <w:noBreakHyphen/>
      </w:r>
      <w:r>
        <w:t>discrimination provisions to charges set under existing contracts.</w:t>
      </w:r>
      <w:r w:rsidRPr="00073821">
        <w:rPr>
          <w:rStyle w:val="FootnoteReference"/>
          <w:rFonts w:cs="Times New Roman"/>
          <w:sz w:val="20"/>
          <w:szCs w:val="20"/>
        </w:rPr>
        <w:footnoteReference w:id="219"/>
      </w:r>
      <w:r>
        <w:t xml:space="preserve"> The transitional period could be that the non-discrimination provisions do not apply: </w:t>
      </w:r>
    </w:p>
    <w:p w:rsidR="00844E39" w:rsidRDefault="00844E39" w:rsidP="009B6ED8">
      <w:pPr>
        <w:pStyle w:val="Lvl2Bulletpoint"/>
      </w:pPr>
      <w:r>
        <w:t>until any existing contracts expire (SunWater’s preferred transitional provision)</w:t>
      </w:r>
      <w:r w:rsidR="00E94641">
        <w:t>,</w:t>
      </w:r>
      <w:r>
        <w:t xml:space="preserve"> or </w:t>
      </w:r>
    </w:p>
    <w:p w:rsidR="00844E39" w:rsidRDefault="00844E39" w:rsidP="009B6ED8">
      <w:pPr>
        <w:pStyle w:val="Lvl2Bulletpoint"/>
      </w:pPr>
      <w:r>
        <w:t xml:space="preserve">for a reasonable amount of time that would allow SunWater and its customers to re-set charges and adjust to the changes. </w:t>
      </w:r>
    </w:p>
    <w:p w:rsidR="00844E39" w:rsidRDefault="00844E39" w:rsidP="00FE665C">
      <w:pPr>
        <w:spacing w:before="240" w:after="120"/>
      </w:pPr>
      <w:r>
        <w:t>SunWater provided the following arguments to support its proposals for transitional provisions:</w:t>
      </w:r>
    </w:p>
    <w:p w:rsidR="00844E39" w:rsidRDefault="00844E39" w:rsidP="00A82DE6">
      <w:pPr>
        <w:pStyle w:val="Lvl1Bulletpoint"/>
      </w:pPr>
      <w:r>
        <w:t>It would be “irregular for the ACCC to apply regulation retrospectively and not honour mutually agreed contractual arrangements already in place”.</w:t>
      </w:r>
      <w:r w:rsidRPr="00073821">
        <w:rPr>
          <w:rStyle w:val="FootnoteReference"/>
          <w:rFonts w:cs="Times New Roman"/>
          <w:sz w:val="20"/>
          <w:szCs w:val="20"/>
        </w:rPr>
        <w:footnoteReference w:id="220"/>
      </w:r>
      <w:r>
        <w:t xml:space="preserve"> SunWater commented that the lack of such a provision in the Draft Advice may have been an oversight.</w:t>
      </w:r>
      <w:r w:rsidR="00C6733C">
        <w:t xml:space="preserve"> </w:t>
      </w:r>
    </w:p>
    <w:p w:rsidR="00844E39" w:rsidRDefault="00844E39" w:rsidP="00A82DE6">
      <w:pPr>
        <w:pStyle w:val="Lvl1Bulletpoint"/>
      </w:pPr>
      <w:r>
        <w:t>The transitional period would prevent the new provisions from affecting customers</w:t>
      </w:r>
      <w:r w:rsidR="00486C0F">
        <w:t>’</w:t>
      </w:r>
      <w:r>
        <w:t xml:space="preserve"> commercial and financial planning.</w:t>
      </w:r>
      <w:r w:rsidR="00C6733C">
        <w:rPr>
          <w:rFonts w:cs="Times New Roman"/>
          <w:sz w:val="20"/>
          <w:szCs w:val="20"/>
        </w:rPr>
        <w:t xml:space="preserve"> </w:t>
      </w:r>
    </w:p>
    <w:p w:rsidR="00844E39" w:rsidRDefault="00844E39" w:rsidP="00A82DE6">
      <w:pPr>
        <w:pStyle w:val="Lvl1Bulletpoint"/>
      </w:pPr>
      <w:r>
        <w:t>Without the transitional provision, SunWater will face an “impossible choice” between complying with the water charge rules or dishonouring customer contracts.</w:t>
      </w:r>
    </w:p>
    <w:p w:rsidR="00844E39" w:rsidRDefault="00844E39" w:rsidP="00844E39">
      <w:pPr>
        <w:spacing w:before="240"/>
      </w:pPr>
      <w:r>
        <w:t>SunWater also noted that despite the QCA not having a role in recommending non-irrigation charges, the Minister can direct the QCA to conduct a price investigation; therefore, SunWater negotiates charges under the ‘threat’ of regulation.</w:t>
      </w:r>
      <w:r>
        <w:rPr>
          <w:rStyle w:val="FootnoteReference"/>
        </w:rPr>
        <w:footnoteReference w:id="221"/>
      </w:r>
      <w:r>
        <w:t xml:space="preserve"> </w:t>
      </w:r>
    </w:p>
    <w:p w:rsidR="00844E39" w:rsidRDefault="00844E39" w:rsidP="00844E39">
      <w:r>
        <w:t>Within the same context, QTDEWS</w:t>
      </w:r>
      <w:r w:rsidDel="007B1624">
        <w:t xml:space="preserve"> </w:t>
      </w:r>
      <w:r>
        <w:t>sought clarification as to whether pre-existing contracts would be captured under the proposed non-discrimination provisions.</w:t>
      </w:r>
      <w:r w:rsidRPr="00073821">
        <w:rPr>
          <w:rStyle w:val="FootnoteReference"/>
          <w:rFonts w:cs="Times New Roman"/>
          <w:sz w:val="20"/>
          <w:szCs w:val="20"/>
        </w:rPr>
        <w:footnoteReference w:id="222"/>
      </w:r>
      <w:r w:rsidR="00C6733C">
        <w:t xml:space="preserve"> </w:t>
      </w:r>
    </w:p>
    <w:p w:rsidR="00844E39" w:rsidRDefault="00844E39" w:rsidP="00844E39">
      <w:pPr>
        <w:pStyle w:val="Heading4"/>
      </w:pPr>
      <w:r>
        <w:t xml:space="preserve">ACCC </w:t>
      </w:r>
      <w:r w:rsidR="007011B4">
        <w:t>a</w:t>
      </w:r>
      <w:r>
        <w:t>ssessment</w:t>
      </w:r>
    </w:p>
    <w:p w:rsidR="00844E39" w:rsidRDefault="00844E39" w:rsidP="00844E39">
      <w:r>
        <w:t xml:space="preserve">Several stakeholders supported the relevant draft rule advices without identifying any concerns. Also some stakeholders, while supporting the principle of non-discrimination, identified various practical issues with implementing the ACCC’s proposed approach. The ACCC notes that only member-owned infrastructure operators </w:t>
      </w:r>
      <w:r w:rsidR="00482CF8">
        <w:t xml:space="preserve">(including the NIC) </w:t>
      </w:r>
      <w:r>
        <w:t>entirely opposed the draft rule advice on proposed non</w:t>
      </w:r>
      <w:r w:rsidR="00482CF8">
        <w:noBreakHyphen/>
      </w:r>
      <w:r>
        <w:t xml:space="preserve">discrimination rules. The NFF opposed the application of the proposed rules to member-owned </w:t>
      </w:r>
      <w:r w:rsidR="003F241C">
        <w:t>IIO</w:t>
      </w:r>
      <w:r>
        <w:t xml:space="preserve">s on the grounds of efficiency and flexibility. </w:t>
      </w:r>
    </w:p>
    <w:p w:rsidR="00844E39" w:rsidRDefault="00844E39" w:rsidP="00FE665C">
      <w:pPr>
        <w:spacing w:after="120"/>
      </w:pPr>
      <w:r>
        <w:t>Reflecting on this feedback as a whole, the ACCC considers that concerns raised by stakeholders can be categorised into two broad groups:</w:t>
      </w:r>
    </w:p>
    <w:p w:rsidR="00844E39" w:rsidRDefault="00844E39" w:rsidP="00A82DE6">
      <w:pPr>
        <w:pStyle w:val="Lvl1Bulletpoint"/>
      </w:pPr>
      <w:r>
        <w:t xml:space="preserve">Whether there is a need to </w:t>
      </w:r>
      <w:r w:rsidR="005C52F3">
        <w:t xml:space="preserve">expand the </w:t>
      </w:r>
      <w:r>
        <w:t>non-discriminat</w:t>
      </w:r>
      <w:r w:rsidR="005C52F3">
        <w:t>ion protections in the rules</w:t>
      </w:r>
      <w:r>
        <w:t xml:space="preserve">, particularly in the context of member-owned infrastructure operators, who, it is argued, have other sufficient mechanisms to ensure customers’ interests are </w:t>
      </w:r>
      <w:r w:rsidR="006939A9">
        <w:t xml:space="preserve">appropriately </w:t>
      </w:r>
      <w:r>
        <w:t>taken into account; and</w:t>
      </w:r>
    </w:p>
    <w:p w:rsidR="00844E39" w:rsidRDefault="00844E39" w:rsidP="00A82DE6">
      <w:pPr>
        <w:pStyle w:val="Lvl1Bulletpoint"/>
      </w:pPr>
      <w:r>
        <w:t xml:space="preserve">Concerns that the ACCC’s </w:t>
      </w:r>
      <w:r w:rsidR="006939A9">
        <w:t xml:space="preserve">proposed </w:t>
      </w:r>
      <w:r>
        <w:t xml:space="preserve">non-discrimination rules </w:t>
      </w:r>
      <w:r w:rsidR="006939A9">
        <w:t xml:space="preserve">set out in the Draft Advice </w:t>
      </w:r>
      <w:r>
        <w:t xml:space="preserve">have operational issues, particularly because they </w:t>
      </w:r>
      <w:r w:rsidR="00693223">
        <w:t>contained a</w:t>
      </w:r>
      <w:r w:rsidR="002D2DC5">
        <w:t>n</w:t>
      </w:r>
      <w:r w:rsidR="00693223">
        <w:t xml:space="preserve"> </w:t>
      </w:r>
      <w:r w:rsidR="005C52F3">
        <w:t>outright</w:t>
      </w:r>
      <w:r w:rsidR="00693223">
        <w:t xml:space="preserve"> prohibition on infrastructure charge differences, or restrictions on the availability of infrastructure services, for the five proscribed grounds. Stakeholders argued that, </w:t>
      </w:r>
      <w:r>
        <w:t>as such</w:t>
      </w:r>
      <w:r w:rsidR="00693223">
        <w:t>, the proposed rules</w:t>
      </w:r>
      <w:r>
        <w:t xml:space="preserve"> d</w:t>
      </w:r>
      <w:r w:rsidR="006939A9">
        <w:t>id</w:t>
      </w:r>
      <w:r>
        <w:t xml:space="preserve"> not appropriately </w:t>
      </w:r>
      <w:r w:rsidR="00693223">
        <w:t xml:space="preserve">allow for a </w:t>
      </w:r>
      <w:r>
        <w:t>range of legitimate bases for infrastructure charge differen</w:t>
      </w:r>
      <w:r w:rsidR="006939A9">
        <w:t>ces</w:t>
      </w:r>
      <w:r>
        <w:t xml:space="preserve"> </w:t>
      </w:r>
      <w:r w:rsidR="00693223">
        <w:t>or</w:t>
      </w:r>
      <w:r>
        <w:t xml:space="preserve"> restrictions on access to certain infrastructure services, or have the flexibility to deal with future innovations in infrastructure service offerings and charging arrangements.</w:t>
      </w:r>
    </w:p>
    <w:p w:rsidR="00844E39" w:rsidRDefault="00844E39" w:rsidP="00844E39">
      <w:r>
        <w:t>The following sections consider these matters in turn.</w:t>
      </w:r>
    </w:p>
    <w:p w:rsidR="00844E39" w:rsidRPr="001F0E6A" w:rsidRDefault="00844E39" w:rsidP="00D17F9C">
      <w:pPr>
        <w:pStyle w:val="Heading5"/>
      </w:pPr>
      <w:r>
        <w:t>The need for expanded non-discrimination provisions</w:t>
      </w:r>
    </w:p>
    <w:p w:rsidR="00844E39" w:rsidRDefault="00844E39" w:rsidP="00844E39">
      <w:r>
        <w:t>The ACCC considers that the general principle that customers should be treated in a non</w:t>
      </w:r>
      <w:r w:rsidR="006C002B">
        <w:noBreakHyphen/>
      </w:r>
      <w:r>
        <w:t>discriminatory manner is consistent with, and will contribute to the achievement of, the BWCOP. In particular, the ACCC considers that non-discrimination rules contribute to the achievement of ‘user pays’ and full cost recovery, and assist in avoiding perverse pricing outcomes.</w:t>
      </w:r>
    </w:p>
    <w:p w:rsidR="00844E39" w:rsidRDefault="00844E39" w:rsidP="00844E39">
      <w:r>
        <w:t xml:space="preserve">The ACCC notes that </w:t>
      </w:r>
      <w:r w:rsidR="00610501">
        <w:t xml:space="preserve">the </w:t>
      </w:r>
      <w:r w:rsidR="00610501" w:rsidRPr="00610501">
        <w:rPr>
          <w:i/>
        </w:rPr>
        <w:t>Water Act 2007</w:t>
      </w:r>
      <w:r w:rsidR="00610501">
        <w:t xml:space="preserve"> (</w:t>
      </w:r>
      <w:r>
        <w:t>the Act</w:t>
      </w:r>
      <w:r w:rsidR="00610501">
        <w:t>)</w:t>
      </w:r>
      <w:r>
        <w:t xml:space="preserve"> enables the water charge rules to </w:t>
      </w:r>
      <w:r>
        <w:rPr>
          <w:i/>
        </w:rPr>
        <w:t xml:space="preserve">require </w:t>
      </w:r>
      <w:r>
        <w:t xml:space="preserve">all operators to implement charging arrangements which are fully cost-reflective and which implement the principle of user-pays. To date, the ACCC has not sought to implement </w:t>
      </w:r>
      <w:r w:rsidR="00693223">
        <w:t>this form of intensive</w:t>
      </w:r>
      <w:r>
        <w:t xml:space="preserve"> regulation, on the basis that correctly attributing all costs to specific users under the ‘user pays’ approach is a complex task in practice, and that the Act also contemplates that transition to full cost recovery at upper bound prices may not always be ‘practicable’. The ACCC continues to support an approach whereby operators who exercise the highest degree of monopoly power have their charges approved or determined by a regulator (either by the ACCC under the water charge rules or under an alternative state-based framework), but that other operators are allowed more flexibility to determine their own charging arrangements. </w:t>
      </w:r>
    </w:p>
    <w:p w:rsidR="00844E39" w:rsidRDefault="00844E39" w:rsidP="00844E39">
      <w:r>
        <w:t xml:space="preserve">The ACCC considers that non-discrimination rules represent a </w:t>
      </w:r>
      <w:r w:rsidR="00693223">
        <w:t xml:space="preserve">relatively </w:t>
      </w:r>
      <w:r>
        <w:t xml:space="preserve">‘light-handed’ approach to </w:t>
      </w:r>
      <w:r w:rsidR="00693223">
        <w:t xml:space="preserve">the </w:t>
      </w:r>
      <w:r>
        <w:t xml:space="preserve">regulation </w:t>
      </w:r>
      <w:r w:rsidR="00693223">
        <w:t xml:space="preserve">of monopoly infrastructure operators </w:t>
      </w:r>
      <w:r>
        <w:t xml:space="preserve">which seeks to limit the differential impacts that departure from the principles of full cost recovery and user pays will have on customers. This approach helps ensure that customers who receive </w:t>
      </w:r>
      <w:r w:rsidR="00693223">
        <w:t xml:space="preserve">the same </w:t>
      </w:r>
      <w:r>
        <w:t>serv</w:t>
      </w:r>
      <w:r w:rsidR="00FC2137">
        <w:t xml:space="preserve">ices will pay the same charges </w:t>
      </w:r>
      <w:r>
        <w:t xml:space="preserve">unless there is a sound reason for a charge </w:t>
      </w:r>
      <w:r w:rsidR="002D2DC5">
        <w:t>difference</w:t>
      </w:r>
      <w:r>
        <w:t>, and that customers are able as far as practicable to freely choose between the infrastructure services offered by their operator. Such a ‘level playing field’ will also facilitate the effective functioning of water markets by removing distortionary effects of preferential charging arrangements.</w:t>
      </w:r>
      <w:r w:rsidRPr="00F811E5">
        <w:t xml:space="preserve"> </w:t>
      </w:r>
    </w:p>
    <w:p w:rsidR="00844E39" w:rsidRDefault="00844E39" w:rsidP="00844E39">
      <w:r>
        <w:t>The ACCC also notes that, contrary to the NIC’s view, non-discrimination rules are a feature in many other sectors where natural monopolies exist. For example, various forms of non-discrimination rules exist in regulations applying to the following Australian sectors: electricity</w:t>
      </w:r>
      <w:r w:rsidR="00E71E8F">
        <w:t>,</w:t>
      </w:r>
      <w:r>
        <w:rPr>
          <w:rStyle w:val="FootnoteReference"/>
        </w:rPr>
        <w:footnoteReference w:id="223"/>
      </w:r>
      <w:r>
        <w:t xml:space="preserve"> gas</w:t>
      </w:r>
      <w:r w:rsidR="00E71E8F">
        <w:t>,</w:t>
      </w:r>
      <w:r>
        <w:rPr>
          <w:rStyle w:val="FootnoteReference"/>
        </w:rPr>
        <w:footnoteReference w:id="224"/>
      </w:r>
      <w:r>
        <w:t xml:space="preserve"> wheat port access</w:t>
      </w:r>
      <w:r w:rsidR="00E71E8F">
        <w:t>,</w:t>
      </w:r>
      <w:r>
        <w:rPr>
          <w:rStyle w:val="FootnoteReference"/>
        </w:rPr>
        <w:footnoteReference w:id="225"/>
      </w:r>
      <w:r>
        <w:t xml:space="preserve"> and telecommunications (NBNCo)</w:t>
      </w:r>
      <w:r w:rsidR="00E71E8F">
        <w:t>.</w:t>
      </w:r>
      <w:r>
        <w:rPr>
          <w:rStyle w:val="FootnoteReference"/>
        </w:rPr>
        <w:footnoteReference w:id="226"/>
      </w:r>
      <w:r>
        <w:t xml:space="preserve"> Non-discrimination rules </w:t>
      </w:r>
      <w:r w:rsidR="00486C0F">
        <w:t xml:space="preserve">have </w:t>
      </w:r>
      <w:r>
        <w:t xml:space="preserve">also </w:t>
      </w:r>
      <w:r w:rsidR="00486C0F">
        <w:t>been established in</w:t>
      </w:r>
      <w:r>
        <w:t xml:space="preserve"> overseas regulation of sectors where substantial monopoly power exists.</w:t>
      </w:r>
      <w:r>
        <w:rPr>
          <w:rStyle w:val="FootnoteReference"/>
        </w:rPr>
        <w:footnoteReference w:id="227"/>
      </w:r>
    </w:p>
    <w:p w:rsidR="00844E39" w:rsidRPr="0037550C" w:rsidRDefault="00844E39" w:rsidP="00844E39">
      <w:r>
        <w:t xml:space="preserve">The ACCC acknowledges that non-discrimination rules are not in place in </w:t>
      </w:r>
      <w:r>
        <w:rPr>
          <w:i/>
        </w:rPr>
        <w:t>all</w:t>
      </w:r>
      <w:r>
        <w:t xml:space="preserve"> sectors where monopoly power is of key concern, and also that </w:t>
      </w:r>
      <w:r w:rsidR="00FC2137">
        <w:t xml:space="preserve">it is possible for </w:t>
      </w:r>
      <w:r>
        <w:t xml:space="preserve">price discrimination </w:t>
      </w:r>
      <w:r w:rsidR="00FC2137">
        <w:t xml:space="preserve">to </w:t>
      </w:r>
      <w:r>
        <w:t>aid efficiency in more competitive sectors.</w:t>
      </w:r>
      <w:r w:rsidR="005E6CEB">
        <w:rPr>
          <w:rStyle w:val="FootnoteReference"/>
        </w:rPr>
        <w:footnoteReference w:id="228"/>
      </w:r>
      <w:r>
        <w:t xml:space="preserve"> However, in these sectors concerns about potential for discriminatory charging arrangements are often mitigated by factors such as the countervailing power of customers, or competitive pressure from other businesses</w:t>
      </w:r>
      <w:r w:rsidR="0016560E">
        <w:t>, or the</w:t>
      </w:r>
      <w:r w:rsidR="0016560E" w:rsidRPr="0016560E">
        <w:t xml:space="preserve"> </w:t>
      </w:r>
      <w:r w:rsidR="0016560E">
        <w:t>presence of regulatory approaches which require full cost-recovery and user pays</w:t>
      </w:r>
      <w:r>
        <w:t>. Finally, while economic theory demonstrates that it is possible for price discrimination to increase welfare, this possibility relates to a context where price discrimination increases output (although welfare effects must be assessed on a case-by-case basis even where this applies). It is questionable whether the possibility of welfare-enhancing price discrimination applies in the context of rural water service providers, who generally face</w:t>
      </w:r>
      <w:r w:rsidR="00D4435F">
        <w:t xml:space="preserve"> static or</w:t>
      </w:r>
      <w:r>
        <w:t xml:space="preserve"> declining demand and fixed capacity over the short to medium term (see however below the ACCC’s consideration of the rationale </w:t>
      </w:r>
      <w:r w:rsidR="0078356B">
        <w:t xml:space="preserve">for </w:t>
      </w:r>
      <w:r>
        <w:t>prudent discounts).</w:t>
      </w:r>
    </w:p>
    <w:p w:rsidR="00844E39" w:rsidRDefault="00844E39" w:rsidP="00FE665C">
      <w:pPr>
        <w:spacing w:after="120"/>
      </w:pPr>
      <w:r>
        <w:t>Given these considerations, the ACCC maintains the view that there would be benefit to customers of infrastructure operators,</w:t>
      </w:r>
      <w:r>
        <w:rPr>
          <w:rStyle w:val="FootnoteReference"/>
        </w:rPr>
        <w:footnoteReference w:id="229"/>
      </w:r>
      <w:r>
        <w:t xml:space="preserve"> and to water market participants more broadly, from creating expanded non-discrimination protections in the water charge rules. This rationale applies both: </w:t>
      </w:r>
    </w:p>
    <w:p w:rsidR="00D4435F" w:rsidRDefault="00844E39" w:rsidP="00A82DE6">
      <w:pPr>
        <w:pStyle w:val="Lvl1Bulletpoint"/>
      </w:pPr>
      <w:r>
        <w:t>in the case where an operator is determining its own charges</w:t>
      </w:r>
      <w:r w:rsidR="008A28B9">
        <w:t>—</w:t>
      </w:r>
      <w:r>
        <w:t xml:space="preserve">the rules act as a check on conflict of interest and </w:t>
      </w:r>
      <w:r w:rsidR="008A28B9">
        <w:t xml:space="preserve">the </w:t>
      </w:r>
      <w:r>
        <w:t>incentive to achieve monopolistic outcomes through limiting service availability or setting different charges based on customer attributes</w:t>
      </w:r>
      <w:r w:rsidR="00D4435F">
        <w:t>;</w:t>
      </w:r>
    </w:p>
    <w:p w:rsidR="00844E39" w:rsidRDefault="00D4435F" w:rsidP="00A82DE6">
      <w:pPr>
        <w:pStyle w:val="Lvl1Bulletpoint"/>
      </w:pPr>
      <w:r>
        <w:t>in the case where an operator’s charges are approved or determined by a regulator—the rules act as an additional check on how the revenue requirement is to be recovered.</w:t>
      </w:r>
    </w:p>
    <w:p w:rsidR="00844E39" w:rsidRDefault="00486C0F" w:rsidP="00844E39">
      <w:r>
        <w:t>Some stakeholders have argued that</w:t>
      </w:r>
      <w:r w:rsidR="00844E39">
        <w:t xml:space="preserve"> member-owned operators should not be subject to the proposed non-discrimination rules because adequate alternative mechanisms exist to ensure customers’ interests are properly taken into account. However, the ACCC </w:t>
      </w:r>
      <w:r>
        <w:t>queries this argument for several reasons</w:t>
      </w:r>
      <w:r w:rsidR="00844E39">
        <w:t xml:space="preserve">. </w:t>
      </w:r>
    </w:p>
    <w:p w:rsidR="00844E39" w:rsidRDefault="00427380" w:rsidP="00844E39">
      <w:r>
        <w:t>First</w:t>
      </w:r>
      <w:r w:rsidR="00844E39">
        <w:t>, the ACCC notes that, whatever protections are afforded voting members, not all customers are (or can be) members. In particular, stock and domestic water users, environmental water holders, and industrial or urban users often do not have a vote in member-owned operators. This consideration is particularly relevant in a context where the monopolist does not earn monopoly rents overall (e.g. because it is ‘not-for-profit’); in this case discounts or preferential charges for one customer group will, except in limited circumstances,</w:t>
      </w:r>
      <w:r w:rsidR="00844E39">
        <w:rPr>
          <w:rStyle w:val="FootnoteReference"/>
        </w:rPr>
        <w:footnoteReference w:id="230"/>
      </w:r>
      <w:r w:rsidR="00844E39">
        <w:t xml:space="preserve"> result in higher charges for others, resulting in a welfare transfer between customers. Thus, there is a risk that charging arrangements will favour those customers who have </w:t>
      </w:r>
      <w:r w:rsidR="00D303B8">
        <w:t>significant voting power</w:t>
      </w:r>
      <w:r w:rsidR="00844E39">
        <w:t xml:space="preserve"> over those </w:t>
      </w:r>
      <w:r w:rsidR="00D303B8">
        <w:t>with limited or no voting power</w:t>
      </w:r>
      <w:r w:rsidR="00844E39">
        <w:t>.</w:t>
      </w:r>
    </w:p>
    <w:p w:rsidR="00427380" w:rsidRDefault="00427380" w:rsidP="00FE665C">
      <w:pPr>
        <w:spacing w:after="120"/>
      </w:pPr>
      <w:r>
        <w:t>Second, the ACCC is concerned by the evidence that suggests that in some cases irrigation customers (even those in member-owned operators) do not feel that operators adequately consult customers when making decisions. In particular, the ACCC notes:</w:t>
      </w:r>
    </w:p>
    <w:p w:rsidR="00427380" w:rsidRDefault="00427380" w:rsidP="00A82DE6">
      <w:pPr>
        <w:pStyle w:val="Lvl1Bulletpoint"/>
      </w:pPr>
      <w:r>
        <w:t xml:space="preserve">the response of the South Australian Murray Irrigators (SAMI), who stated that operators face conflicts of interests in providing infrastructure services, and that “many members” approached by </w:t>
      </w:r>
      <w:r w:rsidR="00874041">
        <w:t xml:space="preserve">the </w:t>
      </w:r>
      <w:r>
        <w:t>SAMI to provide feedback required “anonymity before giving comment”;</w:t>
      </w:r>
      <w:r>
        <w:rPr>
          <w:rStyle w:val="FootnoteReference"/>
        </w:rPr>
        <w:footnoteReference w:id="231"/>
      </w:r>
      <w:r>
        <w:t xml:space="preserve"> </w:t>
      </w:r>
    </w:p>
    <w:p w:rsidR="00427380" w:rsidRDefault="00427380" w:rsidP="00A82DE6">
      <w:pPr>
        <w:pStyle w:val="Lvl1Bulletpoint"/>
      </w:pPr>
      <w:r>
        <w:t>feedback received from member-owned operator customers via the ACCC’s public forums regarding perceived unfair treatment by operators in various circumstances;</w:t>
      </w:r>
    </w:p>
    <w:p w:rsidR="00427380" w:rsidRDefault="00427380" w:rsidP="00FE665C">
      <w:pPr>
        <w:pStyle w:val="Lvl1Bulletpoint"/>
        <w:spacing w:after="0"/>
        <w:ind w:left="568" w:hanging="284"/>
      </w:pPr>
      <w:r>
        <w:t>the irrigator survey results</w:t>
      </w:r>
      <w:r>
        <w:rPr>
          <w:rStyle w:val="FootnoteReference"/>
        </w:rPr>
        <w:footnoteReference w:id="232"/>
      </w:r>
      <w:r>
        <w:t xml:space="preserve"> that (while there was significant variation across states) on average</w:t>
      </w:r>
      <w:r w:rsidRPr="00A95C2B">
        <w:t xml:space="preserve"> </w:t>
      </w:r>
      <w:r>
        <w:t>in the southern MDB:</w:t>
      </w:r>
    </w:p>
    <w:p w:rsidR="00427380" w:rsidRDefault="00427380" w:rsidP="00F43856">
      <w:pPr>
        <w:pStyle w:val="ListParagraph"/>
        <w:numPr>
          <w:ilvl w:val="1"/>
          <w:numId w:val="56"/>
        </w:numPr>
        <w:ind w:left="1134" w:hanging="283"/>
      </w:pPr>
      <w:r>
        <w:t>an estimated 59 per cent of irrigators believe that their operator’s interest aligns with their own in charging matters only “some of the time” or “never”.</w:t>
      </w:r>
    </w:p>
    <w:p w:rsidR="00427380" w:rsidRDefault="00427380" w:rsidP="00F43856">
      <w:pPr>
        <w:pStyle w:val="ListParagraph"/>
        <w:numPr>
          <w:ilvl w:val="1"/>
          <w:numId w:val="56"/>
        </w:numPr>
        <w:ind w:left="1134" w:hanging="283"/>
      </w:pPr>
      <w:r>
        <w:t>an estimated 57 per cent of irrigators believe that they have “no influence” over their operator’s charging decisions.</w:t>
      </w:r>
    </w:p>
    <w:p w:rsidR="00427380" w:rsidRDefault="0007512B" w:rsidP="00427380">
      <w:r>
        <w:t>The</w:t>
      </w:r>
      <w:r w:rsidR="00427380">
        <w:t xml:space="preserve"> ACCC </w:t>
      </w:r>
      <w:r>
        <w:t xml:space="preserve">considers it significant that it </w:t>
      </w:r>
      <w:r w:rsidR="00427380">
        <w:t xml:space="preserve">did not hear any customers </w:t>
      </w:r>
      <w:r>
        <w:t xml:space="preserve">argue </w:t>
      </w:r>
      <w:r w:rsidR="00427380">
        <w:t>that the proposed non-discrimination rules are not necessary because operators adequately take into account customers’ (or members’) views. While the ACCC recognises that only some customers have chosen to give feedback, and that customers who have no concerns may be less likely to participate in consultation processes, the ACCC is of the view that the evidence suggests that governance processes cannot be relied upon to fully provide protections for customers.</w:t>
      </w:r>
    </w:p>
    <w:p w:rsidR="00844E39" w:rsidRDefault="00D303B8" w:rsidP="00844E39">
      <w:r>
        <w:t>Third</w:t>
      </w:r>
      <w:r w:rsidR="00844E39">
        <w:t xml:space="preserve">, the ACCC considers that, while the number of complaints it receives in relation to </w:t>
      </w:r>
      <w:r>
        <w:t xml:space="preserve">price discrimination in </w:t>
      </w:r>
      <w:r w:rsidR="00844E39">
        <w:t xml:space="preserve">rural water does not approach the number of complaints received in other </w:t>
      </w:r>
      <w:r>
        <w:t xml:space="preserve">industry </w:t>
      </w:r>
      <w:r w:rsidR="00844E39">
        <w:t xml:space="preserve">sectors, this in part could be explained by the fact that the rural water sector overall is far smaller than other sectors, and also that, since the rules do not currently prohibit </w:t>
      </w:r>
      <w:r>
        <w:t>such</w:t>
      </w:r>
      <w:r w:rsidR="00844E39">
        <w:t xml:space="preserve"> charging practices (except in the limited context of transformation), customers currently have no grounds on which to contest such practices. Further, the ACCC has observed during its consultation and general monitoring and compliance activities that sometimes stakeholders have a lack of awareness about what protections are available (in relation to the water charge rules, </w:t>
      </w:r>
      <w:r w:rsidR="009321E5" w:rsidRPr="0067271D">
        <w:t>W</w:t>
      </w:r>
      <w:r w:rsidR="00844E39" w:rsidRPr="0067271D">
        <w:t xml:space="preserve">ater </w:t>
      </w:r>
      <w:r w:rsidR="009321E5" w:rsidRPr="0067271D">
        <w:t>M</w:t>
      </w:r>
      <w:r w:rsidR="00844E39" w:rsidRPr="0067271D">
        <w:t xml:space="preserve">arket </w:t>
      </w:r>
      <w:r w:rsidR="009321E5" w:rsidRPr="0067271D">
        <w:t>R</w:t>
      </w:r>
      <w:r w:rsidR="00844E39" w:rsidRPr="0067271D">
        <w:t xml:space="preserve">ules </w:t>
      </w:r>
      <w:r w:rsidR="009321E5" w:rsidRPr="0067271D">
        <w:t>2009</w:t>
      </w:r>
      <w:r w:rsidR="009321E5">
        <w:t xml:space="preserve"> (WMR) </w:t>
      </w:r>
      <w:r w:rsidR="00844E39">
        <w:t xml:space="preserve">and Basin Plan </w:t>
      </w:r>
      <w:r w:rsidR="006B1DA2">
        <w:t>w</w:t>
      </w:r>
      <w:r w:rsidR="00844E39">
        <w:t xml:space="preserve">ater </w:t>
      </w:r>
      <w:r w:rsidR="006B1DA2">
        <w:t>t</w:t>
      </w:r>
      <w:r w:rsidR="00844E39">
        <w:t xml:space="preserve">rading </w:t>
      </w:r>
      <w:r w:rsidR="006B1DA2">
        <w:t>r</w:t>
      </w:r>
      <w:r w:rsidR="00844E39">
        <w:t>ules), and / or are confused about which government agency has responsibility for which aspects of regulatory frameworks. This lack of awareness contributes to a situation where customers may have concerns but are deterred from voicing them by perceptions that no remedies are available.</w:t>
      </w:r>
    </w:p>
    <w:p w:rsidR="00FD7D22" w:rsidRPr="00E260C2" w:rsidRDefault="00FD7D22" w:rsidP="00844E39">
      <w:r w:rsidRPr="00E260C2">
        <w:t>Finally, while agreeing with NIC that customers should have recourse to the ACCC if they consider charges to be unreasonable, the ACCC reiterates that this is only a practical option for customers if there is an appropriate legislative protection against unreasonable charging arrangements in place.</w:t>
      </w:r>
    </w:p>
    <w:p w:rsidR="00844E39" w:rsidRDefault="00844E39" w:rsidP="00844E39">
      <w:r>
        <w:t>Given the above considerations, the ACCC does not countenance the argument that non</w:t>
      </w:r>
      <w:r>
        <w:noBreakHyphen/>
        <w:t xml:space="preserve">discrimination protections are not required because sufficient alternatives already exist. As such, the ACCC maintains its advice that the expanded non-discrimination rules </w:t>
      </w:r>
      <w:r w:rsidR="00D303B8">
        <w:t xml:space="preserve">are necessary, and further, </w:t>
      </w:r>
      <w:r>
        <w:t xml:space="preserve">should apply to all infrastructure operators, regardless of </w:t>
      </w:r>
      <w:r w:rsidR="001A49AA">
        <w:t xml:space="preserve">ownership </w:t>
      </w:r>
      <w:r>
        <w:t>structure</w:t>
      </w:r>
      <w:r w:rsidR="001A49AA">
        <w:t xml:space="preserve"> or governance arrangements</w:t>
      </w:r>
      <w:r>
        <w:t xml:space="preserve">. </w:t>
      </w:r>
    </w:p>
    <w:p w:rsidR="00844E39" w:rsidRDefault="00844E39" w:rsidP="00844E39">
      <w:r>
        <w:t xml:space="preserve">The ACCC considers that, contrary to the views submitted by the NIC, the proposed rules will not require </w:t>
      </w:r>
      <w:r w:rsidR="00D303B8">
        <w:t xml:space="preserve">widespread </w:t>
      </w:r>
      <w:r>
        <w:t>changes to be made to most operators’ charging arrangements.</w:t>
      </w:r>
      <w:r w:rsidR="00CF275A">
        <w:t xml:space="preserve"> </w:t>
      </w:r>
      <w:r>
        <w:t xml:space="preserve">Based on an assessment of operators’ current </w:t>
      </w:r>
      <w:r w:rsidR="00325FB2">
        <w:t>S</w:t>
      </w:r>
      <w:r>
        <w:t xml:space="preserve">chedules of </w:t>
      </w:r>
      <w:r w:rsidR="00325FB2">
        <w:t>C</w:t>
      </w:r>
      <w:r>
        <w:t xml:space="preserve">harges, some infrastructure operators’ charging arrangements will require minimal change under the proposed rule. </w:t>
      </w:r>
    </w:p>
    <w:p w:rsidR="00844E39" w:rsidRDefault="00844E39" w:rsidP="00844E39">
      <w:r>
        <w:t>Where infrastructure operators have relatively simple arrangements —for example, levying only fixed and variable volumetric charges for a single ‘access and delivery’ type infrastructure service</w:t>
      </w:r>
      <w:r>
        <w:rPr>
          <w:rStyle w:val="FootnoteReference"/>
        </w:rPr>
        <w:footnoteReference w:id="233"/>
      </w:r>
      <w:r>
        <w:t xml:space="preserve">—the ACCC considers that no change will be required under the non-discrimination rules. </w:t>
      </w:r>
      <w:r w:rsidR="00427380">
        <w:t>Examples of o</w:t>
      </w:r>
      <w:r>
        <w:t xml:space="preserve">perators whose </w:t>
      </w:r>
      <w:r w:rsidR="00325FB2">
        <w:t>S</w:t>
      </w:r>
      <w:r>
        <w:t xml:space="preserve">chedules of </w:t>
      </w:r>
      <w:r w:rsidR="00325FB2">
        <w:t>C</w:t>
      </w:r>
      <w:r>
        <w:t>harges currently fit this description</w:t>
      </w:r>
      <w:r>
        <w:rPr>
          <w:rStyle w:val="FootnoteReference"/>
        </w:rPr>
        <w:footnoteReference w:id="234"/>
      </w:r>
      <w:r>
        <w:t xml:space="preserve"> are: Bringan Private Irrigation Trust, Glenview Private Irrigation Trust; Buddah Lakes Irrigators’ Association and Eagle Creek Pumping Syndicate. </w:t>
      </w:r>
    </w:p>
    <w:p w:rsidR="00844E39" w:rsidRDefault="00844E39" w:rsidP="00844E39">
      <w:r>
        <w:t xml:space="preserve">Another common charging arrangement is where the operator provides a general ‘access and delivery service’ (which is used by most customers) plus a different service for stock and domestic users, possibly with several non-volumetric charges (e.g. outlet, account and/or metering charges), and possibly with ‘casual use charges’ which apply when customers use water above the volume of their water delivery right. </w:t>
      </w:r>
      <w:r w:rsidR="005C2E1C">
        <w:t xml:space="preserve">The proposed non-discrimination rules will prevent operators from </w:t>
      </w:r>
      <w:r>
        <w:t xml:space="preserve">unreasonably </w:t>
      </w:r>
      <w:r w:rsidR="005C2E1C">
        <w:t xml:space="preserve">restricting </w:t>
      </w:r>
      <w:r>
        <w:t>stock and domestic customers from obtaining the ‘access and delivery service’.</w:t>
      </w:r>
      <w:r w:rsidRPr="00E465F9">
        <w:t xml:space="preserve"> </w:t>
      </w:r>
      <w:r>
        <w:t xml:space="preserve">Examples of operators whose </w:t>
      </w:r>
      <w:r w:rsidR="00325FB2">
        <w:t>S</w:t>
      </w:r>
      <w:r>
        <w:t xml:space="preserve">chedules of </w:t>
      </w:r>
      <w:r w:rsidR="00325FB2">
        <w:t>C</w:t>
      </w:r>
      <w:r>
        <w:t>harges currently fit this description</w:t>
      </w:r>
      <w:r>
        <w:rPr>
          <w:rStyle w:val="FootnoteReference"/>
        </w:rPr>
        <w:footnoteReference w:id="235"/>
      </w:r>
      <w:r>
        <w:t xml:space="preserve"> are: Narromine Irrigation Board of Management</w:t>
      </w:r>
      <w:r w:rsidR="00FC0E8C">
        <w:t xml:space="preserve"> </w:t>
      </w:r>
      <w:r>
        <w:t>and Jemalong Irrigation Limited</w:t>
      </w:r>
      <w:r>
        <w:rPr>
          <w:rStyle w:val="FootnoteReference"/>
        </w:rPr>
        <w:footnoteReference w:id="236"/>
      </w:r>
      <w:r>
        <w:t>.</w:t>
      </w:r>
    </w:p>
    <w:p w:rsidR="00844E39" w:rsidRPr="00A95C2B" w:rsidRDefault="00844E39" w:rsidP="00844E39">
      <w:r>
        <w:t xml:space="preserve">Several other operators have relatively simple arrangements, but appear to levy different charges based on the status of the customer. An example is Hay Private Irrigation District, who levies different fees for ‘internal customers’ versus ‘external customers’. Whether such differences would cause concern under the proposed rules cannot be ascertained from the information provided on </w:t>
      </w:r>
      <w:r w:rsidR="006C2DD0">
        <w:t>operators’ current</w:t>
      </w:r>
      <w:r>
        <w:t xml:space="preserve"> </w:t>
      </w:r>
      <w:r w:rsidR="00325FB2">
        <w:t>S</w:t>
      </w:r>
      <w:r>
        <w:t>chedule</w:t>
      </w:r>
      <w:r w:rsidR="006C2DD0">
        <w:t>s</w:t>
      </w:r>
      <w:r>
        <w:t xml:space="preserve"> of </w:t>
      </w:r>
      <w:r w:rsidR="00325FB2">
        <w:t>C</w:t>
      </w:r>
      <w:r>
        <w:t>harges.</w:t>
      </w:r>
      <w:r w:rsidR="006C2DD0">
        <w:rPr>
          <w:rStyle w:val="FootnoteReference"/>
        </w:rPr>
        <w:footnoteReference w:id="237"/>
      </w:r>
      <w:r>
        <w:t xml:space="preserve"> </w:t>
      </w:r>
    </w:p>
    <w:p w:rsidR="00844E39" w:rsidRDefault="00844E39" w:rsidP="00D17F9C">
      <w:pPr>
        <w:pStyle w:val="Heading5"/>
      </w:pPr>
      <w:r>
        <w:t>Operational issues with the proposed rule included in the Draft Advice</w:t>
      </w:r>
    </w:p>
    <w:p w:rsidR="00844E39" w:rsidRDefault="00844E39" w:rsidP="00844E39">
      <w:pPr>
        <w:spacing w:before="120" w:after="0"/>
        <w:rPr>
          <w:rFonts w:cs="Arial"/>
          <w:szCs w:val="20"/>
        </w:rPr>
      </w:pPr>
      <w:r>
        <w:rPr>
          <w:rFonts w:cs="Arial"/>
          <w:szCs w:val="20"/>
        </w:rPr>
        <w:t xml:space="preserve">The ACCC notes that information provided by stakeholders in response to the Draft Advice indicates that there is currently a wider range of pricing practices than the ACCC was previously aware of. In particular, information provided suggests that there are currently instances where operators have </w:t>
      </w:r>
      <w:r w:rsidRPr="0096729A">
        <w:rPr>
          <w:rFonts w:cs="Arial"/>
          <w:i/>
          <w:szCs w:val="20"/>
        </w:rPr>
        <w:t>not</w:t>
      </w:r>
      <w:r>
        <w:rPr>
          <w:rFonts w:cs="Arial"/>
          <w:szCs w:val="20"/>
        </w:rPr>
        <w:t xml:space="preserve"> listed </w:t>
      </w:r>
      <w:r>
        <w:rPr>
          <w:rFonts w:cs="Arial"/>
          <w:i/>
          <w:szCs w:val="20"/>
        </w:rPr>
        <w:t>all</w:t>
      </w:r>
      <w:r>
        <w:rPr>
          <w:rFonts w:cs="Arial"/>
          <w:szCs w:val="20"/>
        </w:rPr>
        <w:t xml:space="preserve"> regulated charges on their </w:t>
      </w:r>
      <w:r w:rsidR="00325FB2">
        <w:rPr>
          <w:rFonts w:cs="Arial"/>
          <w:szCs w:val="20"/>
        </w:rPr>
        <w:t>S</w:t>
      </w:r>
      <w:r>
        <w:rPr>
          <w:rFonts w:cs="Arial"/>
          <w:szCs w:val="20"/>
        </w:rPr>
        <w:t xml:space="preserve">chedules of </w:t>
      </w:r>
      <w:r w:rsidR="00325FB2">
        <w:rPr>
          <w:rFonts w:cs="Arial"/>
          <w:szCs w:val="20"/>
        </w:rPr>
        <w:t>C</w:t>
      </w:r>
      <w:r>
        <w:rPr>
          <w:rFonts w:cs="Arial"/>
          <w:szCs w:val="20"/>
        </w:rPr>
        <w:t>harges (as is required by the current rules), and also that operators generally do not list where they provide discounts (and the circumstances relating to the discount).</w:t>
      </w:r>
      <w:r w:rsidR="00427380">
        <w:rPr>
          <w:rStyle w:val="FootnoteReference"/>
          <w:rFonts w:cs="Arial"/>
          <w:szCs w:val="20"/>
        </w:rPr>
        <w:footnoteReference w:id="238"/>
      </w:r>
      <w:r>
        <w:rPr>
          <w:rFonts w:cs="Arial"/>
          <w:szCs w:val="20"/>
        </w:rPr>
        <w:t xml:space="preserve"> Further, operators do not typically list applicable restrictions on infrastructure services it provides. </w:t>
      </w:r>
      <w:r w:rsidR="002C28B7">
        <w:rPr>
          <w:rFonts w:cs="Arial"/>
          <w:szCs w:val="20"/>
        </w:rPr>
        <w:t>S</w:t>
      </w:r>
      <w:r>
        <w:rPr>
          <w:rFonts w:cs="Arial"/>
          <w:szCs w:val="20"/>
        </w:rPr>
        <w:t>uch unlisted charges</w:t>
      </w:r>
      <w:r w:rsidR="002C28B7">
        <w:rPr>
          <w:rFonts w:cs="Arial"/>
          <w:szCs w:val="20"/>
        </w:rPr>
        <w:t xml:space="preserve"> </w:t>
      </w:r>
      <w:r>
        <w:rPr>
          <w:rFonts w:cs="Arial"/>
          <w:szCs w:val="20"/>
        </w:rPr>
        <w:t>/</w:t>
      </w:r>
      <w:r w:rsidR="002C28B7">
        <w:rPr>
          <w:rFonts w:cs="Arial"/>
          <w:szCs w:val="20"/>
        </w:rPr>
        <w:t xml:space="preserve"> </w:t>
      </w:r>
      <w:r>
        <w:rPr>
          <w:rFonts w:cs="Arial"/>
          <w:szCs w:val="20"/>
        </w:rPr>
        <w:t xml:space="preserve">discounts and restrictions </w:t>
      </w:r>
      <w:r w:rsidR="002C28B7">
        <w:rPr>
          <w:rFonts w:cs="Arial"/>
          <w:szCs w:val="20"/>
        </w:rPr>
        <w:t>may</w:t>
      </w:r>
      <w:r w:rsidR="006C2DD0">
        <w:rPr>
          <w:rFonts w:cs="Arial"/>
          <w:szCs w:val="20"/>
        </w:rPr>
        <w:t xml:space="preserve"> raise</w:t>
      </w:r>
      <w:r>
        <w:rPr>
          <w:rFonts w:cs="Arial"/>
          <w:szCs w:val="20"/>
        </w:rPr>
        <w:t xml:space="preserve"> concerns under the rules as proposed in the Draft Advice, even though in some cases the ACCC agrees with stakeholders that the relevant charge </w:t>
      </w:r>
      <w:r w:rsidR="002C28B7">
        <w:rPr>
          <w:rFonts w:cs="Arial"/>
          <w:szCs w:val="20"/>
        </w:rPr>
        <w:t xml:space="preserve">differences </w:t>
      </w:r>
      <w:r>
        <w:rPr>
          <w:rFonts w:cs="Arial"/>
          <w:szCs w:val="20"/>
        </w:rPr>
        <w:t xml:space="preserve">or restrictions on </w:t>
      </w:r>
      <w:r w:rsidR="002C28B7">
        <w:rPr>
          <w:rFonts w:cs="Arial"/>
          <w:szCs w:val="20"/>
        </w:rPr>
        <w:t>the availability of</w:t>
      </w:r>
      <w:r>
        <w:rPr>
          <w:rFonts w:cs="Arial"/>
          <w:szCs w:val="20"/>
        </w:rPr>
        <w:t xml:space="preserve"> infrastructure services </w:t>
      </w:r>
      <w:r w:rsidR="002C28B7">
        <w:rPr>
          <w:rFonts w:cs="Arial"/>
          <w:szCs w:val="20"/>
        </w:rPr>
        <w:t>may be</w:t>
      </w:r>
      <w:r>
        <w:rPr>
          <w:rFonts w:cs="Arial"/>
          <w:szCs w:val="20"/>
        </w:rPr>
        <w:t xml:space="preserve"> reasonable given the circumstances in which they occur. Further, in relation to where the ACCC had previously identified practices that were of concern, in some cases stakeholders have provided further details that explain why the practice is reasonable and should not be prohibited under the proposed rules.</w:t>
      </w:r>
    </w:p>
    <w:p w:rsidR="00844E39" w:rsidRDefault="00844E39" w:rsidP="00844E39">
      <w:pPr>
        <w:spacing w:before="120" w:after="0"/>
        <w:rPr>
          <w:rFonts w:cs="Arial"/>
          <w:szCs w:val="20"/>
        </w:rPr>
      </w:pPr>
      <w:r>
        <w:rPr>
          <w:rFonts w:cs="Arial"/>
          <w:szCs w:val="20"/>
        </w:rPr>
        <w:t xml:space="preserve">The ACCC agrees that, based on the information provided by stakeholders, it is likely that the rules as proposed in the Draft Advice would </w:t>
      </w:r>
      <w:r w:rsidR="002C28B7">
        <w:rPr>
          <w:rFonts w:cs="Arial"/>
          <w:szCs w:val="20"/>
        </w:rPr>
        <w:t xml:space="preserve">have </w:t>
      </w:r>
      <w:r>
        <w:rPr>
          <w:rFonts w:cs="Arial"/>
          <w:szCs w:val="20"/>
        </w:rPr>
        <w:t>inappropriately prohibit</w:t>
      </w:r>
      <w:r w:rsidR="002C28B7">
        <w:rPr>
          <w:rFonts w:cs="Arial"/>
          <w:szCs w:val="20"/>
        </w:rPr>
        <w:t>ed</w:t>
      </w:r>
      <w:r>
        <w:rPr>
          <w:rFonts w:cs="Arial"/>
          <w:szCs w:val="20"/>
        </w:rPr>
        <w:t xml:space="preserve"> charging arrangements or restrictions on service </w:t>
      </w:r>
      <w:r w:rsidR="002C28B7">
        <w:rPr>
          <w:rFonts w:cs="Arial"/>
          <w:szCs w:val="20"/>
        </w:rPr>
        <w:t xml:space="preserve">availability </w:t>
      </w:r>
      <w:r>
        <w:rPr>
          <w:rFonts w:cs="Arial"/>
          <w:szCs w:val="20"/>
        </w:rPr>
        <w:t xml:space="preserve">that are not unreasonable </w:t>
      </w:r>
      <w:r w:rsidR="00014081">
        <w:rPr>
          <w:rFonts w:cs="Arial"/>
          <w:szCs w:val="20"/>
        </w:rPr>
        <w:t>in the circumstances</w:t>
      </w:r>
      <w:r>
        <w:rPr>
          <w:rFonts w:cs="Arial"/>
          <w:szCs w:val="20"/>
        </w:rPr>
        <w:t xml:space="preserve">. </w:t>
      </w:r>
    </w:p>
    <w:p w:rsidR="00844E39" w:rsidRDefault="00844E39" w:rsidP="00844E39">
      <w:pPr>
        <w:spacing w:before="120" w:after="0"/>
        <w:rPr>
          <w:rFonts w:cs="Arial"/>
          <w:szCs w:val="20"/>
        </w:rPr>
      </w:pPr>
      <w:r>
        <w:rPr>
          <w:rFonts w:cs="Arial"/>
          <w:szCs w:val="20"/>
        </w:rPr>
        <w:t>The ACCC notes that one option is to add additional targeted exemptions to the proposed rules to explicitly deal with legitimate stakeholder concerns. However, the ACCC does not consider that this approach is best, as:</w:t>
      </w:r>
    </w:p>
    <w:p w:rsidR="00844E39" w:rsidRPr="006A61AD" w:rsidRDefault="00844E39" w:rsidP="00A82DE6">
      <w:pPr>
        <w:pStyle w:val="Lvl1Bulletpoint"/>
        <w:numPr>
          <w:ilvl w:val="0"/>
          <w:numId w:val="3"/>
        </w:numPr>
      </w:pPr>
      <w:r w:rsidRPr="006A61AD">
        <w:t xml:space="preserve">a long list of targeted </w:t>
      </w:r>
      <w:r w:rsidR="00014081">
        <w:t>exemptions</w:t>
      </w:r>
      <w:r w:rsidRPr="006A61AD">
        <w:t xml:space="preserve"> from the rule proposed in the Draft Advice would be required to satisfactorily deal with stakeholder concerns. This would mean that the rules would be long and complex, which decreases the likelihood that operators will fully understand and comply with these rules (without significant regulatory cost).</w:t>
      </w:r>
    </w:p>
    <w:p w:rsidR="00844E39" w:rsidRPr="006A61AD" w:rsidRDefault="00844E39" w:rsidP="00A82DE6">
      <w:pPr>
        <w:pStyle w:val="Lvl1Bulletpoint"/>
        <w:numPr>
          <w:ilvl w:val="0"/>
          <w:numId w:val="3"/>
        </w:numPr>
      </w:pPr>
      <w:r w:rsidRPr="006A61AD">
        <w:t>there is a risk that such an exemption approach would be inappropriately rigid and would not be flexible enough to cater for the range of possible future circumstances and innovations in charging arrangements and infrastructure service offerings.</w:t>
      </w:r>
    </w:p>
    <w:p w:rsidR="00844E39" w:rsidRDefault="0007512B" w:rsidP="00D17F9C">
      <w:pPr>
        <w:pStyle w:val="Heading5"/>
      </w:pPr>
      <w:r>
        <w:t>Proposed</w:t>
      </w:r>
      <w:r w:rsidR="00844E39">
        <w:t xml:space="preserve"> approach</w:t>
      </w:r>
    </w:p>
    <w:p w:rsidR="00844E39" w:rsidRDefault="00844E39" w:rsidP="00844E39">
      <w:pPr>
        <w:spacing w:after="0"/>
        <w:rPr>
          <w:rFonts w:cs="Arial"/>
          <w:szCs w:val="20"/>
        </w:rPr>
      </w:pPr>
      <w:r>
        <w:rPr>
          <w:rFonts w:cs="Arial"/>
          <w:szCs w:val="20"/>
        </w:rPr>
        <w:t xml:space="preserve">In light of these considerations, the ACCC is now of the view that the principle of non-discrimination could be better implemented by a </w:t>
      </w:r>
      <w:r w:rsidR="00707DC4">
        <w:rPr>
          <w:rFonts w:cs="Arial"/>
          <w:szCs w:val="20"/>
        </w:rPr>
        <w:t xml:space="preserve">more </w:t>
      </w:r>
      <w:r>
        <w:rPr>
          <w:rFonts w:cs="Arial"/>
          <w:szCs w:val="20"/>
        </w:rPr>
        <w:t>flexible approach than th</w:t>
      </w:r>
      <w:r w:rsidR="00707DC4">
        <w:rPr>
          <w:rFonts w:cs="Arial"/>
          <w:szCs w:val="20"/>
        </w:rPr>
        <w:t xml:space="preserve">at </w:t>
      </w:r>
      <w:r>
        <w:rPr>
          <w:rFonts w:cs="Arial"/>
          <w:szCs w:val="20"/>
        </w:rPr>
        <w:t>taken in the Draft Advice.</w:t>
      </w:r>
      <w:r w:rsidRPr="00335F86">
        <w:rPr>
          <w:rFonts w:cs="Arial"/>
          <w:szCs w:val="20"/>
        </w:rPr>
        <w:t xml:space="preserve"> </w:t>
      </w:r>
      <w:r>
        <w:rPr>
          <w:rFonts w:cs="Arial"/>
          <w:szCs w:val="20"/>
        </w:rPr>
        <w:t xml:space="preserve">The ACCC therefore </w:t>
      </w:r>
      <w:r w:rsidR="00707DC4">
        <w:rPr>
          <w:rFonts w:cs="Arial"/>
          <w:szCs w:val="20"/>
        </w:rPr>
        <w:t xml:space="preserve">considers </w:t>
      </w:r>
      <w:r>
        <w:rPr>
          <w:rFonts w:cs="Arial"/>
          <w:szCs w:val="20"/>
        </w:rPr>
        <w:t xml:space="preserve">that the proposed non-discrimination rule should be </w:t>
      </w:r>
      <w:r w:rsidRPr="00DD6800">
        <w:rPr>
          <w:rFonts w:cs="Arial"/>
          <w:szCs w:val="20"/>
        </w:rPr>
        <w:t xml:space="preserve">recast </w:t>
      </w:r>
      <w:r>
        <w:rPr>
          <w:rFonts w:cs="Arial"/>
          <w:szCs w:val="20"/>
        </w:rPr>
        <w:t xml:space="preserve">as a more general rule which </w:t>
      </w:r>
      <w:r w:rsidRPr="00DD6800">
        <w:rPr>
          <w:rFonts w:cs="Arial"/>
          <w:szCs w:val="20"/>
        </w:rPr>
        <w:t>prohibit</w:t>
      </w:r>
      <w:r>
        <w:rPr>
          <w:rFonts w:cs="Arial"/>
          <w:szCs w:val="20"/>
        </w:rPr>
        <w:t>s</w:t>
      </w:r>
      <w:r w:rsidRPr="00DD6800">
        <w:rPr>
          <w:rFonts w:cs="Arial"/>
          <w:szCs w:val="20"/>
        </w:rPr>
        <w:t xml:space="preserve"> operators from</w:t>
      </w:r>
      <w:r>
        <w:rPr>
          <w:rFonts w:cs="Arial"/>
          <w:szCs w:val="20"/>
        </w:rPr>
        <w:t>:</w:t>
      </w:r>
    </w:p>
    <w:p w:rsidR="00844E39" w:rsidRPr="00707DC4" w:rsidRDefault="00844E39" w:rsidP="00A82DE6">
      <w:pPr>
        <w:pStyle w:val="Lvl1Bulletpoint"/>
      </w:pPr>
      <w:r w:rsidRPr="00707DC4">
        <w:rPr>
          <w:i/>
        </w:rPr>
        <w:t>unreasonably</w:t>
      </w:r>
      <w:r w:rsidRPr="00707DC4">
        <w:t xml:space="preserve"> levying </w:t>
      </w:r>
      <w:r w:rsidR="00AB56CC">
        <w:t xml:space="preserve">or specifying </w:t>
      </w:r>
      <w:r w:rsidRPr="00707DC4">
        <w:t xml:space="preserve">different charges (or different rates or discounts) for an infrastructure service; or </w:t>
      </w:r>
    </w:p>
    <w:p w:rsidR="00844E39" w:rsidRPr="00707DC4" w:rsidRDefault="00844E39" w:rsidP="00A82DE6">
      <w:pPr>
        <w:pStyle w:val="Lvl1Bulletpoint"/>
      </w:pPr>
      <w:r w:rsidRPr="00707DC4">
        <w:rPr>
          <w:i/>
        </w:rPr>
        <w:t>unreasonably</w:t>
      </w:r>
      <w:r w:rsidRPr="00707DC4">
        <w:t xml:space="preserve"> restricting the availability of infrastructure services it offers.</w:t>
      </w:r>
    </w:p>
    <w:p w:rsidR="00844E39" w:rsidRDefault="00844E39" w:rsidP="00FE665C">
      <w:pPr>
        <w:spacing w:after="120"/>
      </w:pPr>
      <w:r>
        <w:t>The advantages of such an approach over that proposed in the Draft Advice are:</w:t>
      </w:r>
    </w:p>
    <w:p w:rsidR="00844E39" w:rsidRPr="00B1147D" w:rsidRDefault="00844E39" w:rsidP="00A82DE6">
      <w:pPr>
        <w:pStyle w:val="Lvl1Bulletpoint"/>
      </w:pPr>
      <w:r w:rsidRPr="00B1147D">
        <w:t xml:space="preserve">it allows for discretion, which means the regulator can better consider individual operators’ circumstances and available alternatives. In contrast, the approach taken in the Draft Advice rules out all differences in charges for the same infrastructure service, and all instances of restriction of infrastructure service availability on the basis of the five proscribed grounds, except where defined carve-outs apply. </w:t>
      </w:r>
    </w:p>
    <w:p w:rsidR="00844E39" w:rsidRPr="00B1147D" w:rsidRDefault="00844E39" w:rsidP="00A82DE6">
      <w:pPr>
        <w:pStyle w:val="Lvl1Bulletpoint"/>
      </w:pPr>
      <w:r w:rsidRPr="00B1147D">
        <w:t>it allows the regulator to consider operators’ arrangements more holistically – for example, in determining whether a particular arrangement is reasonable, consideration can be given to how charging arrangements interact with service availability.</w:t>
      </w:r>
    </w:p>
    <w:p w:rsidR="00844E39" w:rsidRPr="00B1147D" w:rsidRDefault="00844E39" w:rsidP="00A82DE6">
      <w:pPr>
        <w:pStyle w:val="Lvl1Bulletpoint"/>
      </w:pPr>
      <w:r w:rsidRPr="00B1147D">
        <w:t xml:space="preserve">it allows assessment of </w:t>
      </w:r>
      <w:r w:rsidR="00B1147D">
        <w:t xml:space="preserve">charge </w:t>
      </w:r>
      <w:r w:rsidRPr="00B1147D">
        <w:t>differen</w:t>
      </w:r>
      <w:r w:rsidR="00B1147D">
        <w:t>ces</w:t>
      </w:r>
      <w:r w:rsidRPr="00B1147D">
        <w:t xml:space="preserve"> and restrictions on service availability in general, rather than only on the five grounds proscribed in the Draft Advice—this has the effect of making the rule more robust to future developments. The ACCC acknowledges that operators are likely to consider that the broader coverage of this rule compared to that proposed in the Draft Advice is undesirable, but given the added flexibility afforded by the ‘reasonableness test’, together with operators’ statements that the rules should not stifle innovation in charging arrangements and infrastructure service offerings, the ACCC considers that this broader, </w:t>
      </w:r>
      <w:r w:rsidR="00B1147D">
        <w:t>more flexible</w:t>
      </w:r>
      <w:r w:rsidRPr="00B1147D">
        <w:t xml:space="preserve"> rule is more appropriate. </w:t>
      </w:r>
    </w:p>
    <w:p w:rsidR="00B1147D" w:rsidRPr="00B1147D" w:rsidRDefault="00B1147D" w:rsidP="00A82DE6">
      <w:pPr>
        <w:pStyle w:val="Lvl1Bulletpoint"/>
      </w:pPr>
      <w:r w:rsidRPr="00B1147D">
        <w:t xml:space="preserve">it is similar to the approach taken in the </w:t>
      </w:r>
      <w:r w:rsidR="006B1DA2">
        <w:t xml:space="preserve">Basin Plan </w:t>
      </w:r>
      <w:r w:rsidRPr="00B1147D">
        <w:t>water trading rules in relation to restrictions on trade of water delivery rights</w:t>
      </w:r>
      <w:r w:rsidRPr="00B1147D">
        <w:rPr>
          <w:vertAlign w:val="superscript"/>
        </w:rPr>
        <w:footnoteReference w:id="239"/>
      </w:r>
      <w:r w:rsidRPr="00B1147D">
        <w:t xml:space="preserve">—this has the benefit that </w:t>
      </w:r>
      <w:r>
        <w:t xml:space="preserve">most infrastructure </w:t>
      </w:r>
      <w:r w:rsidRPr="00B1147D">
        <w:t xml:space="preserve">operators have already been operating under a similar rule for several years, which will </w:t>
      </w:r>
      <w:r w:rsidR="00116EF9">
        <w:t xml:space="preserve">aid </w:t>
      </w:r>
      <w:r w:rsidRPr="00B1147D">
        <w:t xml:space="preserve">compliance as the rule format is familiar. Also, the ACCC can consider the approach of the MDBA (the </w:t>
      </w:r>
      <w:r>
        <w:t xml:space="preserve">appropriate enforcement agency </w:t>
      </w:r>
      <w:r w:rsidRPr="00B1147D">
        <w:t xml:space="preserve">for the </w:t>
      </w:r>
      <w:r w:rsidR="006B1DA2">
        <w:t xml:space="preserve">Basin Plan </w:t>
      </w:r>
      <w:r w:rsidRPr="00B1147D">
        <w:t xml:space="preserve">water trading rules) in </w:t>
      </w:r>
      <w:r w:rsidR="006C2DD0">
        <w:t>updating</w:t>
      </w:r>
      <w:r w:rsidRPr="00B1147D">
        <w:t xml:space="preserve"> its own enforcement and compliance approach</w:t>
      </w:r>
      <w:r w:rsidR="005E4DEC">
        <w:t xml:space="preserve"> (see section 4.5)</w:t>
      </w:r>
      <w:r w:rsidRPr="00B1147D">
        <w:t>, which will help ensure consistency in regulatory outcomes across different sets of water rules applying to operators.</w:t>
      </w:r>
    </w:p>
    <w:p w:rsidR="00844E39" w:rsidRPr="00B1147D" w:rsidRDefault="00844E39" w:rsidP="00A82DE6">
      <w:pPr>
        <w:pStyle w:val="Lvl1Bulletpoint"/>
      </w:pPr>
      <w:r w:rsidRPr="00B1147D">
        <w:t>it is similar to the approach taken in other sectors.</w:t>
      </w:r>
      <w:r w:rsidR="007F0263">
        <w:rPr>
          <w:rStyle w:val="FootnoteReference"/>
        </w:rPr>
        <w:footnoteReference w:id="240"/>
      </w:r>
    </w:p>
    <w:p w:rsidR="00844E39" w:rsidRPr="00B1147D" w:rsidRDefault="00844E39" w:rsidP="00A82DE6">
      <w:pPr>
        <w:pStyle w:val="Lvl1Bulletpoint"/>
      </w:pPr>
      <w:r w:rsidRPr="00B1147D">
        <w:t xml:space="preserve">the ‘consequence’ for non-compliance </w:t>
      </w:r>
      <w:r w:rsidR="00B1147D">
        <w:t xml:space="preserve">no longer includes </w:t>
      </w:r>
      <w:r w:rsidRPr="00B1147D">
        <w:t>a prohibition on levying infrastructure charges for a particular infrastructure service.</w:t>
      </w:r>
    </w:p>
    <w:p w:rsidR="00B1147D" w:rsidRDefault="00844E39" w:rsidP="00B1147D">
      <w:r>
        <w:t xml:space="preserve">While the benefits are clear, the ACCC acknowledges that there is inherent uncertainty </w:t>
      </w:r>
      <w:r w:rsidR="00B1147D">
        <w:t>for ope</w:t>
      </w:r>
      <w:r w:rsidR="006C2DD0">
        <w:t>r</w:t>
      </w:r>
      <w:r w:rsidR="00B1147D">
        <w:t xml:space="preserve">ators </w:t>
      </w:r>
      <w:r>
        <w:t xml:space="preserve">in </w:t>
      </w:r>
      <w:r w:rsidR="00B1147D">
        <w:t>a general ‘reasonableness’ requirement</w:t>
      </w:r>
      <w:r>
        <w:t xml:space="preserve">. The ACCC considers that some measures can be taken to reduce this uncertainty and the related risks. </w:t>
      </w:r>
    </w:p>
    <w:p w:rsidR="00844E39" w:rsidRPr="008D0442" w:rsidRDefault="00844E39" w:rsidP="00FE665C">
      <w:pPr>
        <w:spacing w:after="120"/>
      </w:pPr>
      <w:r>
        <w:t xml:space="preserve">First, the rule should </w:t>
      </w:r>
      <w:r w:rsidRPr="00DD6800">
        <w:t>provide additional clarity</w:t>
      </w:r>
      <w:r>
        <w:t xml:space="preserve"> by including the following elements (discussed further below)</w:t>
      </w:r>
      <w:r w:rsidR="00B1147D">
        <w:t xml:space="preserve"> in the proposed rule</w:t>
      </w:r>
      <w:r w:rsidRPr="00DD6800">
        <w:t>:</w:t>
      </w:r>
    </w:p>
    <w:p w:rsidR="00844E39" w:rsidRPr="00B1147D" w:rsidRDefault="00844E39" w:rsidP="00A82DE6">
      <w:pPr>
        <w:pStyle w:val="Lvl1Bulletpoint"/>
      </w:pPr>
      <w:r w:rsidRPr="00B1147D">
        <w:t xml:space="preserve">a non-exhaustive list of factors that can be taken into account when considering whether any differences in charges or restrictions on the </w:t>
      </w:r>
      <w:r w:rsidR="00B1147D">
        <w:t>availability</w:t>
      </w:r>
      <w:r w:rsidR="00B1147D" w:rsidRPr="00B1147D">
        <w:t xml:space="preserve"> </w:t>
      </w:r>
      <w:r w:rsidRPr="00B1147D">
        <w:t xml:space="preserve">of infrastructure services are reasonable; and </w:t>
      </w:r>
    </w:p>
    <w:p w:rsidR="00844E39" w:rsidRPr="00B1147D" w:rsidRDefault="00B1147D" w:rsidP="00A82DE6">
      <w:pPr>
        <w:pStyle w:val="Lvl1Bulletpoint"/>
      </w:pPr>
      <w:r>
        <w:t>limited</w:t>
      </w:r>
      <w:r w:rsidR="006C2DD0">
        <w:t>,</w:t>
      </w:r>
      <w:r>
        <w:t xml:space="preserve"> express</w:t>
      </w:r>
      <w:r w:rsidR="00844E39" w:rsidRPr="00B1147D">
        <w:t xml:space="preserve"> exemptions from the application of the rule.</w:t>
      </w:r>
    </w:p>
    <w:p w:rsidR="00844E39" w:rsidRDefault="00844E39" w:rsidP="00844E39">
      <w:r>
        <w:t xml:space="preserve">Second, as noted in section 4.5, the ACCC has amended its advice to recommend the </w:t>
      </w:r>
      <w:r w:rsidRPr="008D0442">
        <w:rPr>
          <w:i/>
        </w:rPr>
        <w:t>removal</w:t>
      </w:r>
      <w:r>
        <w:t xml:space="preserve"> of the private right of action in relation to the rules as a whole. This will have the effect of significantly reducing the risks to operators of any uncertainty relating to the </w:t>
      </w:r>
      <w:r w:rsidR="00B1147D">
        <w:t xml:space="preserve">proposed </w:t>
      </w:r>
      <w:r>
        <w:t>non-discrimination rules (and also other areas of the rules). In particular, operators will no</w:t>
      </w:r>
      <w:r w:rsidR="00B1147D">
        <w:t xml:space="preserve"> longer</w:t>
      </w:r>
      <w:r>
        <w:t xml:space="preserve"> face the risk of costly legal disputes with aggrieved customers in relation to practices that the ACCC does not consider to be problematic.</w:t>
      </w:r>
    </w:p>
    <w:p w:rsidR="00B27E89" w:rsidRPr="00107D99" w:rsidRDefault="00B27E89" w:rsidP="00B27E89">
      <w:pPr>
        <w:rPr>
          <w:b/>
        </w:rPr>
      </w:pPr>
      <w:r>
        <w:t>Third, the ACCC will consult with operators and other stakeholders when developing its guidance on what is considered ‘reasonable’ in relation to this rule. Assuming the right of private action is removed consistently with rule advice 4-C, the ACCC is the sole entity who may take action in relation to a contravention of the rules. The ACCC will continue to encourage operators to seek guidance and assistance in maintaining a culture of co-operative compliance. Further discussion of the ACCC’s general approach to guidance, compliance and enforcement is at sections 4.4 and 4.5.</w:t>
      </w:r>
    </w:p>
    <w:p w:rsidR="00844E39" w:rsidRPr="00FC64B5" w:rsidRDefault="00844E39" w:rsidP="00FC64B5">
      <w:pPr>
        <w:pStyle w:val="Heading6"/>
      </w:pPr>
      <w:r w:rsidRPr="00FC64B5">
        <w:t>Factors to be taken into account when deciding whether the levying of a different charge or restricting the availability of an infrastructure service is reasonable</w:t>
      </w:r>
    </w:p>
    <w:p w:rsidR="006E384E" w:rsidRDefault="00844E39" w:rsidP="006E384E">
      <w:r>
        <w:t>The ACCC intends that inclu</w:t>
      </w:r>
      <w:r w:rsidR="0007512B">
        <w:t>ding</w:t>
      </w:r>
      <w:r>
        <w:t xml:space="preserve"> in the rules a list of ‘factors’ to be taken into account should serve to indicate the ACCC’s general approach to consideration of what is ‘reasonable’. However the “reasonableness</w:t>
      </w:r>
      <w:r w:rsidR="006E384E">
        <w:t>” of specifying different charges, or restricting the availability of an infrastructure service</w:t>
      </w:r>
      <w:r w:rsidR="0007512B">
        <w:t>,</w:t>
      </w:r>
      <w:r>
        <w:t xml:space="preserve"> </w:t>
      </w:r>
      <w:r w:rsidR="006E384E">
        <w:t>will necessarily depend on the circumstances</w:t>
      </w:r>
      <w:r>
        <w:t xml:space="preserve">. Also, the list of factors is </w:t>
      </w:r>
      <w:r>
        <w:rPr>
          <w:i/>
        </w:rPr>
        <w:t>non-exhaustive</w:t>
      </w:r>
      <w:r>
        <w:t xml:space="preserve">—this means that there may be cases where </w:t>
      </w:r>
      <w:r w:rsidR="006E384E">
        <w:t>conduct is reasonable (or unreasonable)</w:t>
      </w:r>
      <w:r w:rsidR="007F0263">
        <w:t>,</w:t>
      </w:r>
      <w:r w:rsidR="006E384E">
        <w:t xml:space="preserve"> </w:t>
      </w:r>
      <w:r w:rsidR="006C2DD0">
        <w:t xml:space="preserve">having regard to </w:t>
      </w:r>
      <w:r w:rsidR="006E384E">
        <w:t>something not expressly listed as a factor</w:t>
      </w:r>
      <w:r>
        <w:t>.</w:t>
      </w:r>
    </w:p>
    <w:p w:rsidR="002839A9" w:rsidRDefault="00844E39" w:rsidP="006E384E">
      <w:r>
        <w:t xml:space="preserve">The remainder of this section sets out the ACCC’s proposed ‘factors’. While the discussion </w:t>
      </w:r>
      <w:r w:rsidR="00846E00">
        <w:t xml:space="preserve">below groups these factors according to whether they are more likely to be relevant to either a difference in charges or a restriction on the availability of infrastructure services, </w:t>
      </w:r>
      <w:r>
        <w:t xml:space="preserve">the ACCC proposes that the </w:t>
      </w:r>
      <w:r w:rsidR="00C62EB0">
        <w:t xml:space="preserve">rule set out the </w:t>
      </w:r>
      <w:r>
        <w:t xml:space="preserve">list of factors </w:t>
      </w:r>
      <w:r w:rsidR="00C62EB0">
        <w:t xml:space="preserve">as </w:t>
      </w:r>
      <w:r>
        <w:t>a combined list</w:t>
      </w:r>
      <w:r w:rsidR="00846E00">
        <w:t xml:space="preserve">. This is because the ACCC considers the factors below </w:t>
      </w:r>
      <w:r>
        <w:t xml:space="preserve">could be relevant to either of the prohibitions. </w:t>
      </w:r>
    </w:p>
    <w:p w:rsidR="00844E39" w:rsidRDefault="00844E39" w:rsidP="006E384E">
      <w:r>
        <w:t>In relation to the first part of the proposed rule 10, which concerns levying different charges for an infrastructure service, the ACCC maintains its view that the rule should generally not extend to a comparison of the ‘value for money’ of different infrastructure services</w:t>
      </w:r>
      <w:r>
        <w:rPr>
          <w:rStyle w:val="FootnoteReference"/>
        </w:rPr>
        <w:footnoteReference w:id="241"/>
      </w:r>
      <w:r>
        <w:t xml:space="preserve">—that is, the first part of the rule should only prohibit unreasonable differences in charges </w:t>
      </w:r>
      <w:r>
        <w:rPr>
          <w:i/>
        </w:rPr>
        <w:t>for an infrastructure service</w:t>
      </w:r>
      <w:r>
        <w:t xml:space="preserve">, rather than any differences in charges paid by customers. </w:t>
      </w:r>
    </w:p>
    <w:p w:rsidR="00844E39" w:rsidRDefault="00844E39" w:rsidP="006E384E">
      <w:r>
        <w:t xml:space="preserve">In considering whether a particular instance of an operator levying different charges is consistent with the rule, it is necessary to </w:t>
      </w:r>
      <w:r w:rsidR="006E384E">
        <w:t xml:space="preserve">consider </w:t>
      </w:r>
      <w:r>
        <w:t xml:space="preserve">two questions: first, do the different charges relate to the same infrastructure service? Second, if the charges </w:t>
      </w:r>
      <w:r>
        <w:rPr>
          <w:i/>
        </w:rPr>
        <w:t>do</w:t>
      </w:r>
      <w:r>
        <w:t xml:space="preserve"> relate to the same infrastructure service, is the difference in charges reasonable?</w:t>
      </w:r>
    </w:p>
    <w:p w:rsidR="00753D7C" w:rsidRDefault="00844E39" w:rsidP="00B871C5">
      <w:r>
        <w:t xml:space="preserve">In answering these questions, it is necessary to consider the nature of the infrastructure service(s), including elements such as the infrastructure </w:t>
      </w:r>
      <w:r w:rsidRPr="00BE3B23">
        <w:t xml:space="preserve">necessary to provide </w:t>
      </w:r>
      <w:r>
        <w:t>the s</w:t>
      </w:r>
      <w:r w:rsidRPr="00BE3B23">
        <w:t>ervice</w:t>
      </w:r>
      <w:r>
        <w:t>(s)</w:t>
      </w:r>
      <w:r w:rsidR="00E4033E">
        <w:t xml:space="preserve"> and</w:t>
      </w:r>
      <w:r w:rsidRPr="00BE3B23">
        <w:t xml:space="preserve"> </w:t>
      </w:r>
      <w:r>
        <w:t xml:space="preserve">relevant </w:t>
      </w:r>
      <w:r w:rsidRPr="00BE3B23">
        <w:t>capacity constraints</w:t>
      </w:r>
      <w:r w:rsidR="002D45FF">
        <w:t>.</w:t>
      </w:r>
      <w:r>
        <w:t xml:space="preserve"> </w:t>
      </w:r>
      <w:r w:rsidR="002B4E94">
        <w:t xml:space="preserve">Also, an infrastructure operator may offer an infrastructure service that is only available in certain parts of its network, due to physical constraints or requirements. </w:t>
      </w:r>
      <w:r>
        <w:t>The ACCC has incorporated these elements into its recommended list of ‘factors to consider’.</w:t>
      </w:r>
      <w:r w:rsidR="002B4E94">
        <w:t xml:space="preserve"> </w:t>
      </w:r>
      <w:r w:rsidR="00E4033E">
        <w:t xml:space="preserve">The ACCC will </w:t>
      </w:r>
      <w:r w:rsidR="00793691">
        <w:t xml:space="preserve">continue to provide </w:t>
      </w:r>
      <w:r w:rsidR="00E4033E">
        <w:t>guidance in relation</w:t>
      </w:r>
      <w:r w:rsidR="002D45FF">
        <w:t xml:space="preserve"> to</w:t>
      </w:r>
      <w:r w:rsidR="00E4033E">
        <w:t xml:space="preserve"> </w:t>
      </w:r>
      <w:r w:rsidR="00793691">
        <w:t xml:space="preserve">factors that can </w:t>
      </w:r>
      <w:r w:rsidR="00E4033E">
        <w:t>distinguish one infrastructure service from another</w:t>
      </w:r>
      <w:r w:rsidR="006B280C">
        <w:t xml:space="preserve">. </w:t>
      </w:r>
      <w:r w:rsidR="00793691">
        <w:t>A</w:t>
      </w:r>
      <w:r w:rsidR="006B280C">
        <w:t xml:space="preserve">s identified in existing ACCC guidance, infrastructure services could differ due to differences in service standards such as those relating </w:t>
      </w:r>
      <w:r w:rsidR="006B280C" w:rsidRPr="002D269C">
        <w:t>to priority of service, water pressure, level of treatment of water, ordering requirements / lags.</w:t>
      </w:r>
      <w:r w:rsidR="006B280C">
        <w:t xml:space="preserve"> </w:t>
      </w:r>
    </w:p>
    <w:p w:rsidR="00844E39" w:rsidRDefault="00844E39" w:rsidP="00B871C5">
      <w:r>
        <w:t xml:space="preserve">The ACCC also maintains its view that it is reasonable for infrastructure charges for an infrastructure service to differ to the extent that they reflect the differences in costs of providing the service to different customers. However, the ACCC recognises that </w:t>
      </w:r>
      <w:r w:rsidR="000234D1">
        <w:t xml:space="preserve">the rule proposed in </w:t>
      </w:r>
      <w:r>
        <w:t xml:space="preserve">its </w:t>
      </w:r>
      <w:r w:rsidR="000234D1">
        <w:t>D</w:t>
      </w:r>
      <w:r>
        <w:t xml:space="preserve">raft </w:t>
      </w:r>
      <w:r w:rsidR="000234D1">
        <w:t xml:space="preserve">Advice set a high standard by </w:t>
      </w:r>
      <w:r>
        <w:t>prohibit</w:t>
      </w:r>
      <w:r w:rsidR="000234D1">
        <w:t>ing</w:t>
      </w:r>
      <w:r>
        <w:t xml:space="preserve"> differences in charges that “exceed what is necessary to reflect the difference between the actual costs necessarily incurred” in providing </w:t>
      </w:r>
      <w:r w:rsidR="000234D1">
        <w:t xml:space="preserve">the </w:t>
      </w:r>
      <w:r>
        <w:t xml:space="preserve">service to different customers. The ACCC accepts stakeholder feedback that the regulatory burden associated with this requirement could be onerous </w:t>
      </w:r>
      <w:r w:rsidR="000234D1">
        <w:t>as it could require operators to account for their costs in a level of detail that they do not currently do</w:t>
      </w:r>
      <w:r>
        <w:t>. As such, the ACCC</w:t>
      </w:r>
      <w:r w:rsidR="00753D7C">
        <w:t xml:space="preserve"> is</w:t>
      </w:r>
      <w:r>
        <w:t xml:space="preserve"> recommend</w:t>
      </w:r>
      <w:r w:rsidR="00753D7C">
        <w:t>ing</w:t>
      </w:r>
      <w:r>
        <w:t xml:space="preserve"> in its </w:t>
      </w:r>
      <w:r w:rsidR="00753D7C">
        <w:t>Final A</w:t>
      </w:r>
      <w:r>
        <w:t xml:space="preserve">dvice that a factor to be considered is whether differences in charges for an infrastructure service </w:t>
      </w:r>
      <w:r w:rsidR="00B871C5">
        <w:rPr>
          <w:i/>
        </w:rPr>
        <w:t xml:space="preserve">reasonably </w:t>
      </w:r>
      <w:r>
        <w:t xml:space="preserve">reflect </w:t>
      </w:r>
      <w:r w:rsidR="00B871C5">
        <w:t xml:space="preserve">differences in the estimated </w:t>
      </w:r>
      <w:r>
        <w:t>costs of providing the service.</w:t>
      </w:r>
    </w:p>
    <w:p w:rsidR="00844E39" w:rsidRDefault="00844E39" w:rsidP="00FE665C">
      <w:pPr>
        <w:spacing w:after="120"/>
        <w:rPr>
          <w:rFonts w:cs="Arial"/>
          <w:szCs w:val="20"/>
        </w:rPr>
      </w:pPr>
      <w:r>
        <w:rPr>
          <w:rFonts w:cs="Arial"/>
          <w:szCs w:val="20"/>
        </w:rPr>
        <w:t xml:space="preserve">Further, stakeholders have provided examples of where they are required by law, or where it would be otherwise reasonable, to levy such different charges. In particular, the ACCC agrees </w:t>
      </w:r>
      <w:r w:rsidR="002839A9">
        <w:rPr>
          <w:rFonts w:cs="Arial"/>
          <w:szCs w:val="20"/>
        </w:rPr>
        <w:t xml:space="preserve">with stakeholders </w:t>
      </w:r>
      <w:r>
        <w:rPr>
          <w:rFonts w:cs="Arial"/>
          <w:szCs w:val="20"/>
        </w:rPr>
        <w:t xml:space="preserve">that the following </w:t>
      </w:r>
      <w:r w:rsidR="002839A9">
        <w:rPr>
          <w:rFonts w:cs="Arial"/>
          <w:szCs w:val="20"/>
        </w:rPr>
        <w:t xml:space="preserve">matters are particularly relevant to whether a </w:t>
      </w:r>
      <w:r w:rsidR="002839A9" w:rsidRPr="002839A9">
        <w:rPr>
          <w:rFonts w:cs="Arial"/>
          <w:i/>
          <w:szCs w:val="20"/>
        </w:rPr>
        <w:t>difference in charges</w:t>
      </w:r>
      <w:r w:rsidR="002839A9">
        <w:rPr>
          <w:rFonts w:cs="Arial"/>
          <w:szCs w:val="20"/>
        </w:rPr>
        <w:t xml:space="preserve"> is reasonable</w:t>
      </w:r>
      <w:r>
        <w:rPr>
          <w:rFonts w:cs="Arial"/>
          <w:szCs w:val="20"/>
        </w:rPr>
        <w:t>:</w:t>
      </w:r>
    </w:p>
    <w:p w:rsidR="00844E39" w:rsidRPr="00D01841" w:rsidRDefault="00844E39" w:rsidP="00A82DE6">
      <w:pPr>
        <w:pStyle w:val="Lvl1Bulletpoint"/>
      </w:pPr>
      <w:r w:rsidRPr="00D01841">
        <w:t>a requirement under the law of a Basin State for an operator to provide a certain service at a different (e.g. discounted) rate to a certain customer group</w:t>
      </w:r>
      <w:r>
        <w:t>.</w:t>
      </w:r>
    </w:p>
    <w:p w:rsidR="00844E39" w:rsidRDefault="00846E00" w:rsidP="00A82DE6">
      <w:pPr>
        <w:pStyle w:val="Lvl1Bulletpoint"/>
      </w:pPr>
      <w:r>
        <w:t>charge</w:t>
      </w:r>
      <w:r w:rsidRPr="00590589">
        <w:t xml:space="preserve"> </w:t>
      </w:r>
      <w:r w:rsidR="00844E39" w:rsidRPr="00590589">
        <w:t>differen</w:t>
      </w:r>
      <w:r w:rsidR="00B871C5">
        <w:t>ce</w:t>
      </w:r>
      <w:r w:rsidR="00844E39" w:rsidRPr="00590589">
        <w:t xml:space="preserve">s </w:t>
      </w:r>
      <w:r w:rsidR="00844E39">
        <w:t>which are the</w:t>
      </w:r>
      <w:r w:rsidR="00844E39" w:rsidRPr="00590589">
        <w:t xml:space="preserve"> result of a directed</w:t>
      </w:r>
      <w:r w:rsidR="00B871C5">
        <w:t xml:space="preserve"> </w:t>
      </w:r>
      <w:r w:rsidR="00844E39" w:rsidRPr="00590589">
        <w:t>/</w:t>
      </w:r>
      <w:r w:rsidR="00B871C5">
        <w:t xml:space="preserve"> </w:t>
      </w:r>
      <w:r w:rsidR="00844E39" w:rsidRPr="00590589">
        <w:t>targeted</w:t>
      </w:r>
      <w:r w:rsidR="00844E39">
        <w:t xml:space="preserve"> CSO</w:t>
      </w:r>
      <w:r w:rsidR="00B871C5">
        <w:t>.</w:t>
      </w:r>
      <w:r w:rsidR="00844E39">
        <w:rPr>
          <w:rStyle w:val="FootnoteReference"/>
          <w:rFonts w:cs="Arial"/>
          <w:szCs w:val="20"/>
        </w:rPr>
        <w:footnoteReference w:id="242"/>
      </w:r>
      <w:r w:rsidR="00844E39">
        <w:t xml:space="preserve"> The ACCC acknowledges that </w:t>
      </w:r>
      <w:r w:rsidR="00092786">
        <w:t xml:space="preserve">the </w:t>
      </w:r>
      <w:r w:rsidR="00844E39">
        <w:t xml:space="preserve">BWCOP </w:t>
      </w:r>
      <w:r w:rsidR="00B27E89">
        <w:t xml:space="preserve">expressly provides for </w:t>
      </w:r>
      <w:r w:rsidR="00844E39">
        <w:t>CSOs where full cost recovery is unlikely to be achieved</w:t>
      </w:r>
      <w:r w:rsidR="00B27E89">
        <w:t>.</w:t>
      </w:r>
      <w:r w:rsidR="00844E39">
        <w:rPr>
          <w:rStyle w:val="FootnoteReference"/>
          <w:rFonts w:cs="Arial"/>
          <w:szCs w:val="20"/>
        </w:rPr>
        <w:footnoteReference w:id="243"/>
      </w:r>
      <w:r w:rsidR="00844E39">
        <w:t xml:space="preserve"> </w:t>
      </w:r>
      <w:r w:rsidR="00B27E89">
        <w:t>T</w:t>
      </w:r>
      <w:r w:rsidR="00844E39">
        <w:t>h</w:t>
      </w:r>
      <w:r w:rsidR="00B27E89">
        <w:t>e ACCC considers th</w:t>
      </w:r>
      <w:r w:rsidR="00844E39">
        <w:t>at governments are best place</w:t>
      </w:r>
      <w:r w:rsidR="00B27E89">
        <w:t>d</w:t>
      </w:r>
      <w:r w:rsidR="00844E39">
        <w:t xml:space="preserve"> to make decisions about ‘community benefits’ and broad categories of customers’ ability to pay and, if desired, fund a CSO. The ACCC considers that CSOs should be understood as a reduction in costs faced by the operator with respect to the relevant customers, as they represent a contribution towards costs from governments via a direct subsidy (rather than a cross subsidy between users). However, the ACCC considers that allowing an </w:t>
      </w:r>
      <w:r w:rsidR="00844E39" w:rsidRPr="002839A9">
        <w:rPr>
          <w:i/>
        </w:rPr>
        <w:t>operator</w:t>
      </w:r>
      <w:r w:rsidR="00844E39">
        <w:t xml:space="preserve"> to make claims about specific customers’ or customer groups’ ability to pay, other than in cases of hardship, would undermine the efficacy of this rule, and could also be subject to conflict of interest. As such, this factor is limited to subsidies paid by governments only (see below</w:t>
      </w:r>
      <w:r w:rsidR="0012156B">
        <w:t xml:space="preserve"> in</w:t>
      </w:r>
      <w:r w:rsidR="00844E39">
        <w:t xml:space="preserve"> re</w:t>
      </w:r>
      <w:r w:rsidR="0012156B">
        <w:t>lation to</w:t>
      </w:r>
      <w:r w:rsidR="00844E39">
        <w:t>: ‘hardship discounts’).</w:t>
      </w:r>
    </w:p>
    <w:p w:rsidR="00844E39" w:rsidRDefault="00844E39" w:rsidP="00A82DE6">
      <w:pPr>
        <w:pStyle w:val="Lvl1Bulletpoint"/>
      </w:pPr>
      <w:r>
        <w:t>offering a discount in a case where an unforeseen service interruption has occurred which results in a particular set of customers receiving a lower level of service than they are entitled to.</w:t>
      </w:r>
    </w:p>
    <w:p w:rsidR="00844E39" w:rsidRDefault="00844E39" w:rsidP="00A82DE6">
      <w:pPr>
        <w:pStyle w:val="Lvl1Bulletpoint"/>
      </w:pPr>
      <w:r>
        <w:t>offering a discount in a case where a customer (or group of customers) has faced hardship—e.g. as the result of flooding (i.e. a ‘hardship discount’).</w:t>
      </w:r>
    </w:p>
    <w:p w:rsidR="00844E39" w:rsidRDefault="00846E00" w:rsidP="00A82DE6">
      <w:pPr>
        <w:pStyle w:val="Lvl1Bulletpoint"/>
      </w:pPr>
      <w:r>
        <w:t xml:space="preserve">charge </w:t>
      </w:r>
      <w:r w:rsidR="00844E39">
        <w:t>differen</w:t>
      </w:r>
      <w:r w:rsidR="00B871C5">
        <w:t>ce</w:t>
      </w:r>
      <w:r w:rsidR="00844E39">
        <w:t>s arising due to an operator being required to ‘transition’ customers towards upper-bound / full cost recovery pricing.</w:t>
      </w:r>
    </w:p>
    <w:p w:rsidR="00844E39" w:rsidRDefault="00846E00" w:rsidP="00A82DE6">
      <w:pPr>
        <w:pStyle w:val="Lvl1Bulletpoint"/>
      </w:pPr>
      <w:r>
        <w:t>charge</w:t>
      </w:r>
      <w:r w:rsidRPr="00CF0A8C">
        <w:t xml:space="preserve"> </w:t>
      </w:r>
      <w:r w:rsidR="00844E39" w:rsidRPr="00CF0A8C">
        <w:t>differen</w:t>
      </w:r>
      <w:r w:rsidR="00B871C5">
        <w:t>ce</w:t>
      </w:r>
      <w:r w:rsidR="00844E39" w:rsidRPr="00CF0A8C">
        <w:t xml:space="preserve">s which occur due to individually-negotiated charges for the same infrastructure service being set out </w:t>
      </w:r>
      <w:r w:rsidR="00B33661">
        <w:t xml:space="preserve">in </w:t>
      </w:r>
      <w:r w:rsidR="00844E39" w:rsidRPr="00CF0A8C">
        <w:t>contracts negotiated prior to the commencement of the amended rules.</w:t>
      </w:r>
      <w:r w:rsidR="00844E39">
        <w:t xml:space="preserve"> </w:t>
      </w:r>
    </w:p>
    <w:p w:rsidR="00844E39" w:rsidRPr="00D32FA5" w:rsidRDefault="00846E00" w:rsidP="00A82DE6">
      <w:pPr>
        <w:pStyle w:val="Lvl1Bulletpoint"/>
      </w:pPr>
      <w:r>
        <w:t>charging</w:t>
      </w:r>
      <w:r w:rsidRPr="00D32FA5">
        <w:t xml:space="preserve"> </w:t>
      </w:r>
      <w:r w:rsidR="00844E39" w:rsidRPr="00D32FA5">
        <w:t xml:space="preserve">arrangements where different charges apply depending on the ratio of </w:t>
      </w:r>
      <w:r w:rsidR="00B33661">
        <w:t xml:space="preserve">the volume of </w:t>
      </w:r>
      <w:r w:rsidR="00844E39" w:rsidRPr="00D32FA5">
        <w:t xml:space="preserve">water </w:t>
      </w:r>
      <w:r w:rsidR="00B33661">
        <w:t>delivered or drained,</w:t>
      </w:r>
      <w:r w:rsidR="00B33661" w:rsidRPr="00D32FA5">
        <w:t xml:space="preserve"> </w:t>
      </w:r>
      <w:r w:rsidR="00844E39" w:rsidRPr="00D32FA5">
        <w:t xml:space="preserve">to the volume of water delivery right or </w:t>
      </w:r>
      <w:r w:rsidR="00B33661">
        <w:t>water drainage right</w:t>
      </w:r>
      <w:r w:rsidR="00844E39" w:rsidRPr="00D32FA5">
        <w:t xml:space="preserve"> held by a customer.</w:t>
      </w:r>
      <w:r w:rsidR="00844E39" w:rsidRPr="00D32FA5">
        <w:rPr>
          <w:vertAlign w:val="superscript"/>
        </w:rPr>
        <w:footnoteReference w:id="244"/>
      </w:r>
      <w:r w:rsidR="00844E39" w:rsidRPr="00D32FA5">
        <w:t xml:space="preserve"> </w:t>
      </w:r>
    </w:p>
    <w:p w:rsidR="00211E95" w:rsidRDefault="00211E95" w:rsidP="00211E95">
      <w:r>
        <w:t>The ACCC also considers that the rules should provide that certain discounts should be considered reasonable if they can be considered ‘prudent discounts’. This would be the case where an operator offers a discount to incentivise additional demand, where (i) the discount is necessary to incentivise the customer’s take-up of infrastructure services and (ii) where the customer’s contribution to ongoing fixed costs of the operator’s network has the effect of lowering charges for other customers. The ACCC has proposed the rules expressly allow such ‘prudent discounts’.</w:t>
      </w:r>
    </w:p>
    <w:p w:rsidR="00844E39" w:rsidRDefault="00844E39" w:rsidP="00844E39">
      <w:pPr>
        <w:spacing w:before="120" w:after="0"/>
        <w:rPr>
          <w:rFonts w:cs="Arial"/>
          <w:szCs w:val="20"/>
        </w:rPr>
      </w:pPr>
      <w:r>
        <w:rPr>
          <w:rFonts w:cs="Arial"/>
          <w:szCs w:val="20"/>
        </w:rPr>
        <w:t>In relation to the second part of the proposed rule 10</w:t>
      </w:r>
      <w:r w:rsidR="0012156B">
        <w:rPr>
          <w:rFonts w:cs="Arial"/>
          <w:szCs w:val="20"/>
        </w:rPr>
        <w:t xml:space="preserve"> in the Draft Advice</w:t>
      </w:r>
      <w:r>
        <w:rPr>
          <w:rFonts w:cs="Arial"/>
          <w:szCs w:val="20"/>
        </w:rPr>
        <w:t>, which concerns limiting the availability of infrastructure services on the basis of the proscribed grounds, the ACCC maintains its view that, in principle, customers should be able to choose the type and level of infrastructure services they receive. However, the ACCC acknowledges that at times there are practical reasons why a particular customer may not be able to receive a particular service that is offered to other customers.</w:t>
      </w:r>
    </w:p>
    <w:p w:rsidR="00844E39" w:rsidRDefault="00844E39" w:rsidP="00844E39">
      <w:pPr>
        <w:spacing w:before="120" w:after="120"/>
      </w:pPr>
      <w:r>
        <w:t xml:space="preserve">An example is where </w:t>
      </w:r>
      <w:r w:rsidRPr="000109FB">
        <w:t xml:space="preserve">an infrastructure operator </w:t>
      </w:r>
      <w:r>
        <w:t xml:space="preserve">is only able </w:t>
      </w:r>
      <w:r w:rsidRPr="000109FB">
        <w:t xml:space="preserve">to offer a </w:t>
      </w:r>
      <w:r>
        <w:rPr>
          <w:i/>
        </w:rPr>
        <w:t xml:space="preserve">finite amount </w:t>
      </w:r>
      <w:r>
        <w:t xml:space="preserve">of </w:t>
      </w:r>
      <w:r w:rsidR="0020323B">
        <w:t xml:space="preserve">an </w:t>
      </w:r>
      <w:r w:rsidRPr="000109FB">
        <w:t>infrastructure service</w:t>
      </w:r>
      <w:r>
        <w:t>, for example, due to capacity constraints</w:t>
      </w:r>
      <w:r w:rsidRPr="000109FB">
        <w:t xml:space="preserve">. </w:t>
      </w:r>
      <w:r>
        <w:t xml:space="preserve">The ACCC considers that </w:t>
      </w:r>
      <w:r w:rsidRPr="000109FB">
        <w:t xml:space="preserve">if an infrastructure service is offered to all current customers on equal terms, an operator </w:t>
      </w:r>
      <w:r>
        <w:t xml:space="preserve">should not be </w:t>
      </w:r>
      <w:r w:rsidRPr="000109FB">
        <w:t xml:space="preserve">held to have unreasonably limited the availability of that service if </w:t>
      </w:r>
      <w:r w:rsidR="00C62EB0">
        <w:t>su</w:t>
      </w:r>
      <w:r w:rsidR="002839A9">
        <w:t>c</w:t>
      </w:r>
      <w:r w:rsidR="00C62EB0">
        <w:t>h</w:t>
      </w:r>
      <w:r w:rsidRPr="000109FB">
        <w:t xml:space="preserve"> a finite limit </w:t>
      </w:r>
      <w:r w:rsidR="00C62EB0">
        <w:t>has been</w:t>
      </w:r>
      <w:r w:rsidRPr="000109FB">
        <w:t xml:space="preserve"> reached (e.g. it offers a service for the delivery of water to all customers, up to the maximum network capacity).</w:t>
      </w:r>
      <w:r>
        <w:t xml:space="preserve"> As such (and as identified above), the ACCC has included capacity constraints and other service characteristics in its recommended list of ‘factors</w:t>
      </w:r>
      <w:r w:rsidR="00C62EB0">
        <w:t>’</w:t>
      </w:r>
      <w:r>
        <w:t xml:space="preserve"> to consider. </w:t>
      </w:r>
    </w:p>
    <w:p w:rsidR="00844E39" w:rsidRDefault="00844E39" w:rsidP="00F82FD9">
      <w:pPr>
        <w:spacing w:after="120"/>
        <w:rPr>
          <w:rFonts w:cs="Arial"/>
          <w:szCs w:val="20"/>
        </w:rPr>
      </w:pPr>
      <w:r>
        <w:rPr>
          <w:rFonts w:cs="Arial"/>
          <w:szCs w:val="20"/>
        </w:rPr>
        <w:t xml:space="preserve">Also, stakeholders have provided examples of where they are required by law, or where it would be otherwise reasonable, to restrict </w:t>
      </w:r>
      <w:r w:rsidR="00C62EB0">
        <w:rPr>
          <w:rFonts w:cs="Arial"/>
          <w:szCs w:val="20"/>
        </w:rPr>
        <w:t>the availability of an infrastructure service</w:t>
      </w:r>
      <w:r>
        <w:rPr>
          <w:rFonts w:cs="Arial"/>
          <w:szCs w:val="20"/>
        </w:rPr>
        <w:t>. In particular, the ACCC agrees</w:t>
      </w:r>
      <w:r w:rsidR="002839A9">
        <w:rPr>
          <w:rFonts w:cs="Arial"/>
          <w:szCs w:val="20"/>
        </w:rPr>
        <w:t xml:space="preserve"> with stakeholders</w:t>
      </w:r>
      <w:r>
        <w:rPr>
          <w:rFonts w:cs="Arial"/>
          <w:szCs w:val="20"/>
        </w:rPr>
        <w:t xml:space="preserve"> that the following </w:t>
      </w:r>
      <w:r w:rsidR="002839A9">
        <w:rPr>
          <w:rFonts w:cs="Arial"/>
          <w:szCs w:val="20"/>
        </w:rPr>
        <w:t xml:space="preserve">factors are particularly relevant to whether a </w:t>
      </w:r>
      <w:r w:rsidR="002839A9" w:rsidRPr="002839A9">
        <w:rPr>
          <w:rFonts w:cs="Arial"/>
          <w:i/>
          <w:szCs w:val="20"/>
        </w:rPr>
        <w:t>restriction on the availability of a service</w:t>
      </w:r>
      <w:r w:rsidR="002839A9">
        <w:rPr>
          <w:rFonts w:cs="Arial"/>
          <w:szCs w:val="20"/>
        </w:rPr>
        <w:t xml:space="preserve"> is </w:t>
      </w:r>
      <w:r>
        <w:rPr>
          <w:rFonts w:cs="Arial"/>
          <w:szCs w:val="20"/>
        </w:rPr>
        <w:t>reasonable:</w:t>
      </w:r>
    </w:p>
    <w:p w:rsidR="00844E39" w:rsidRPr="00D01841" w:rsidRDefault="00844E39" w:rsidP="00A82DE6">
      <w:pPr>
        <w:pStyle w:val="Lvl1Bulletpoint"/>
        <w:rPr>
          <w:b/>
        </w:rPr>
      </w:pPr>
      <w:r w:rsidRPr="00D01841">
        <w:t xml:space="preserve">A requirement under </w:t>
      </w:r>
      <w:r w:rsidR="00C5107D">
        <w:t>a</w:t>
      </w:r>
      <w:r w:rsidR="00C5107D" w:rsidRPr="00D01841">
        <w:t xml:space="preserve"> </w:t>
      </w:r>
      <w:r w:rsidRPr="00D01841">
        <w:t xml:space="preserve">law of a State for an operator to </w:t>
      </w:r>
      <w:r w:rsidRPr="00846E00">
        <w:t>restrict the availability</w:t>
      </w:r>
      <w:r w:rsidRPr="00D01841">
        <w:t xml:space="preserve"> of an infrastructure service (</w:t>
      </w:r>
      <w:r w:rsidR="00C5107D">
        <w:t xml:space="preserve">an </w:t>
      </w:r>
      <w:r w:rsidRPr="00D01841">
        <w:t>example given was to impose water restrictions on customers holding tradeable water rights</w:t>
      </w:r>
      <w:r>
        <w:t xml:space="preserve"> used for domestic purposes</w:t>
      </w:r>
      <w:r w:rsidRPr="00D01841">
        <w:t>)</w:t>
      </w:r>
      <w:r>
        <w:t>.</w:t>
      </w:r>
    </w:p>
    <w:p w:rsidR="00844E39" w:rsidRPr="00F85AE4" w:rsidRDefault="00844E39" w:rsidP="00A82DE6">
      <w:pPr>
        <w:pStyle w:val="Lvl1Bulletpoint"/>
        <w:rPr>
          <w:b/>
        </w:rPr>
      </w:pPr>
      <w:r>
        <w:t>A</w:t>
      </w:r>
      <w:r w:rsidRPr="00D01841">
        <w:t>n operator refusing to pr</w:t>
      </w:r>
      <w:r>
        <w:t>ovide an infrastructure service</w:t>
      </w:r>
      <w:r w:rsidRPr="00D01841">
        <w:t xml:space="preserve"> when a customer does not hold water delivery right and</w:t>
      </w:r>
      <w:r w:rsidR="00C5107D">
        <w:t xml:space="preserve"> </w:t>
      </w:r>
      <w:r w:rsidRPr="00D01841">
        <w:t>/</w:t>
      </w:r>
      <w:r w:rsidR="00C5107D">
        <w:t xml:space="preserve"> </w:t>
      </w:r>
      <w:r w:rsidRPr="00D01841">
        <w:t>or when a customer does not have a right to water (e.g. an irrigation right or water access right)</w:t>
      </w:r>
      <w:r>
        <w:t>—note, however, that the ACCC considers that a requirement to hold a particular tradeable water right in order to access a particular infrastructure service should itself not be unreasonable.</w:t>
      </w:r>
    </w:p>
    <w:p w:rsidR="00844E39" w:rsidRPr="00F85AE4" w:rsidRDefault="00844E39" w:rsidP="00A82DE6">
      <w:pPr>
        <w:pStyle w:val="Lvl1Bulletpoint"/>
        <w:rPr>
          <w:b/>
        </w:rPr>
      </w:pPr>
      <w:r>
        <w:t xml:space="preserve">An operator refusing service because a customer has contravened a contract requirement (e.g. a requirement to maintain a working meter) or because a customer has failed to pay outstanding </w:t>
      </w:r>
      <w:r w:rsidR="00082D85">
        <w:t xml:space="preserve">regulated water </w:t>
      </w:r>
      <w:r>
        <w:t>charges</w:t>
      </w:r>
      <w:r>
        <w:rPr>
          <w:rStyle w:val="FootnoteReference"/>
          <w:rFonts w:cs="Arial"/>
          <w:szCs w:val="20"/>
        </w:rPr>
        <w:footnoteReference w:id="245"/>
      </w:r>
      <w:r>
        <w:t xml:space="preserve"> (assuming those charges were levied in accordance with the rules).</w:t>
      </w:r>
    </w:p>
    <w:p w:rsidR="00844E39" w:rsidRDefault="00844E39" w:rsidP="00F82FD9">
      <w:pPr>
        <w:spacing w:after="120"/>
      </w:pPr>
      <w:r>
        <w:t xml:space="preserve">Additional factors </w:t>
      </w:r>
      <w:r w:rsidR="00B33661">
        <w:t xml:space="preserve">that </w:t>
      </w:r>
      <w:r>
        <w:t xml:space="preserve">the ACCC </w:t>
      </w:r>
      <w:r w:rsidR="00B33661">
        <w:t xml:space="preserve">considers relevant </w:t>
      </w:r>
      <w:r w:rsidR="002839A9">
        <w:t>to whether a difference in charges, or restriction in the availability of infrastructure services, is reasonable</w:t>
      </w:r>
      <w:r w:rsidR="00B33661">
        <w:t xml:space="preserve"> </w:t>
      </w:r>
      <w:r>
        <w:t>are:</w:t>
      </w:r>
    </w:p>
    <w:p w:rsidR="00844E39" w:rsidRDefault="00844E39" w:rsidP="00A82DE6">
      <w:pPr>
        <w:pStyle w:val="Lvl1Bulletpoint"/>
      </w:pPr>
      <w:r>
        <w:t>Whether it is reasonable for the operator to require a customer to receive ‘bundled’ infrastructure services (e.g. whether it is reasonable to refuse access to drainage services to customers who do not also receive water delivery services; whether it is reasonable to require a customer to receive one infrastructure service in order to be eligible to receive another)</w:t>
      </w:r>
    </w:p>
    <w:p w:rsidR="00844E39" w:rsidRDefault="00844E39" w:rsidP="00A82DE6">
      <w:pPr>
        <w:pStyle w:val="Lvl1Bulletpoint"/>
      </w:pPr>
      <w:r>
        <w:t xml:space="preserve">Whether a difference in charges is required in order for the operator to comply with the ‘pass through’ </w:t>
      </w:r>
      <w:r w:rsidR="00B33661">
        <w:t xml:space="preserve">requirements in </w:t>
      </w:r>
      <w:r w:rsidR="00C62EB0">
        <w:t xml:space="preserve">proposed </w:t>
      </w:r>
      <w:r w:rsidR="00B33661">
        <w:t xml:space="preserve">rule 9A </w:t>
      </w:r>
      <w:r>
        <w:t>(see section 5.13).</w:t>
      </w:r>
    </w:p>
    <w:p w:rsidR="00844E39" w:rsidRDefault="00844E39" w:rsidP="00A82DE6">
      <w:pPr>
        <w:pStyle w:val="Lvl1Bulletpoint"/>
      </w:pPr>
      <w:r w:rsidRPr="000109FB">
        <w:t>Whether an operator provides water to a customer other than in relation to a volumetric irrigation right or a water access right held by the customer</w:t>
      </w:r>
      <w:r>
        <w:t xml:space="preserve"> (see section below in relation to </w:t>
      </w:r>
      <w:r w:rsidR="00B33661">
        <w:t>‘</w:t>
      </w:r>
      <w:r>
        <w:t>stock and domestic</w:t>
      </w:r>
      <w:r w:rsidR="00B33661">
        <w:t>’</w:t>
      </w:r>
      <w:r>
        <w:t xml:space="preserve"> services)</w:t>
      </w:r>
      <w:r w:rsidRPr="000109FB">
        <w:t>.</w:t>
      </w:r>
    </w:p>
    <w:p w:rsidR="00844E39" w:rsidRPr="00FC64B5" w:rsidRDefault="00844E39" w:rsidP="00FC64B5">
      <w:pPr>
        <w:pStyle w:val="Heading6"/>
      </w:pPr>
      <w:r w:rsidRPr="00FC64B5">
        <w:t>Infrastructure services for customers using water for stock and/or domestic purposes</w:t>
      </w:r>
    </w:p>
    <w:p w:rsidR="00844E39" w:rsidRDefault="00844E39" w:rsidP="00844E39">
      <w:r>
        <w:t xml:space="preserve">The ACCC acknowledged in its Draft Advice that operators are in some cases required under </w:t>
      </w:r>
      <w:r w:rsidR="00504B05">
        <w:t>S</w:t>
      </w:r>
      <w:r>
        <w:t>tate law to provide a service to stock and</w:t>
      </w:r>
      <w:r w:rsidR="00C62EB0">
        <w:t xml:space="preserve"> </w:t>
      </w:r>
      <w:r>
        <w:t>/</w:t>
      </w:r>
      <w:r w:rsidR="00C62EB0">
        <w:t xml:space="preserve"> </w:t>
      </w:r>
      <w:r>
        <w:t>or domestic users, and further, that they may be prohibited from providing a similar service to other users. The ACCC also notes that in some cases stock and</w:t>
      </w:r>
      <w:r w:rsidR="00504B05">
        <w:t xml:space="preserve"> </w:t>
      </w:r>
      <w:r>
        <w:t>/</w:t>
      </w:r>
      <w:r w:rsidR="00504B05">
        <w:t xml:space="preserve"> </w:t>
      </w:r>
      <w:r>
        <w:t xml:space="preserve">or domestic users may not hold their own volumetric water rights (whether water access rights or </w:t>
      </w:r>
      <w:r w:rsidR="00C62EB0">
        <w:t xml:space="preserve">under an </w:t>
      </w:r>
      <w:r>
        <w:t>irrigation right), but may instead receive an ‘on demand’ or un-metered supply of water from the operator.</w:t>
      </w:r>
    </w:p>
    <w:p w:rsidR="00844E39" w:rsidRDefault="00844E39" w:rsidP="00844E39">
      <w:r>
        <w:t>Where operators are themselves required to provide services in a particular manner (or required to limit such service provision in various ways), their ability to exercise monopoly power is lessened. In such cases, the ACCC remains of the view that it is not appropriate for the rules to require operators to provide services of this nature to all customers.</w:t>
      </w:r>
    </w:p>
    <w:p w:rsidR="00844E39" w:rsidRDefault="00C75CE7" w:rsidP="00844E39">
      <w:r>
        <w:t xml:space="preserve">Rule advice 5-B proposes </w:t>
      </w:r>
      <w:r w:rsidR="00844E39">
        <w:t>that a factor to consider under the recommended ‘reasonableness test’ is the extent to which different charges for an infrastructure service, or a decision to restrict the availability of a service, simply reflect</w:t>
      </w:r>
      <w:r>
        <w:t>s</w:t>
      </w:r>
      <w:r w:rsidR="00844E39">
        <w:t xml:space="preserve"> requirements placed on operators under </w:t>
      </w:r>
      <w:r w:rsidR="00504B05">
        <w:t xml:space="preserve">a </w:t>
      </w:r>
      <w:r w:rsidR="00C62EB0">
        <w:t>law of a S</w:t>
      </w:r>
      <w:r w:rsidR="00844E39">
        <w:t xml:space="preserve">tate. As such, this factor already </w:t>
      </w:r>
      <w:r w:rsidR="00846E00">
        <w:t xml:space="preserve">acknowledges that such a restriction may be reasonable where </w:t>
      </w:r>
      <w:r w:rsidR="00844E39">
        <w:t>an operator is required to provide a limited stock and</w:t>
      </w:r>
      <w:r w:rsidR="00504B05">
        <w:t xml:space="preserve"> </w:t>
      </w:r>
      <w:r w:rsidR="00844E39">
        <w:t>/</w:t>
      </w:r>
      <w:r w:rsidR="00504B05">
        <w:t xml:space="preserve"> </w:t>
      </w:r>
      <w:r w:rsidR="00844E39">
        <w:t xml:space="preserve">or domestic service under </w:t>
      </w:r>
      <w:r w:rsidR="00504B05">
        <w:t>S</w:t>
      </w:r>
      <w:r w:rsidR="00844E39">
        <w:t xml:space="preserve">tate law. </w:t>
      </w:r>
    </w:p>
    <w:p w:rsidR="00844E39" w:rsidRDefault="00844E39" w:rsidP="00844E39">
      <w:r>
        <w:t>However, the ACCC acknowledges that in some cases an operator may provide a limited stock and</w:t>
      </w:r>
      <w:r w:rsidR="00434AA4">
        <w:t xml:space="preserve"> </w:t>
      </w:r>
      <w:r>
        <w:t>/</w:t>
      </w:r>
      <w:r w:rsidR="00434AA4">
        <w:t xml:space="preserve"> </w:t>
      </w:r>
      <w:r>
        <w:t xml:space="preserve">or domestic service </w:t>
      </w:r>
      <w:r w:rsidRPr="00BC2A42">
        <w:rPr>
          <w:i/>
        </w:rPr>
        <w:t>without</w:t>
      </w:r>
      <w:r>
        <w:t xml:space="preserve"> an underpinning explicit state requirement to do so. The ACCC understands that, in general, the nature of these services is </w:t>
      </w:r>
      <w:r w:rsidR="002D45FF">
        <w:t xml:space="preserve">such </w:t>
      </w:r>
      <w:r>
        <w:t xml:space="preserve">that the operator provides a nominally ‘unlimited’ or ‘on demand’ supply of water to stock and domestic users, with the implicit assumption that, due to the purposes for which the water is being used, on average only a relatively small volume of water will be used by each customer. It is unlikely that an operator would be able to supply such a service on such ‘unlimited’ terms to customers who routinely used large volumes of water (e.g. customers using water for irrigated agriculture). As such, in reality there </w:t>
      </w:r>
      <w:r>
        <w:rPr>
          <w:i/>
        </w:rPr>
        <w:t>is</w:t>
      </w:r>
      <w:r>
        <w:t xml:space="preserve"> a finite limit on the amount of such services the operator can provide, and therefore it is reasonable to allow the operator to limit the aggregate amount of these kinds of services.</w:t>
      </w:r>
    </w:p>
    <w:p w:rsidR="00844E39" w:rsidRDefault="00844E39" w:rsidP="00844E39">
      <w:r>
        <w:t>The ACCC considers that, rather than applying the ‘reasonableness test’ to each instance where an operator limits the availability of a service to only customers who use water for stock and</w:t>
      </w:r>
      <w:r w:rsidR="00434AA4">
        <w:t xml:space="preserve"> </w:t>
      </w:r>
      <w:r>
        <w:t>/</w:t>
      </w:r>
      <w:r w:rsidR="00434AA4">
        <w:t xml:space="preserve"> </w:t>
      </w:r>
      <w:r>
        <w:t>or domestic purposes, an appropriate balance between regulatory burden and implementing the principle of non</w:t>
      </w:r>
      <w:r>
        <w:noBreakHyphen/>
        <w:t xml:space="preserve">discrimination can be achieved by providing a limited exemption to the </w:t>
      </w:r>
      <w:r w:rsidR="00EE5189">
        <w:t xml:space="preserve">proposed </w:t>
      </w:r>
      <w:r>
        <w:t xml:space="preserve">rule 10. This </w:t>
      </w:r>
      <w:r w:rsidR="00442C9F">
        <w:t>could be provided for by specifying in the rules</w:t>
      </w:r>
      <w:r w:rsidR="00007EAE">
        <w:t xml:space="preserve"> </w:t>
      </w:r>
      <w:r>
        <w:t xml:space="preserve">that an operator does not </w:t>
      </w:r>
      <w:r w:rsidR="00EE5189">
        <w:t xml:space="preserve">contravene </w:t>
      </w:r>
      <w:r w:rsidR="00434AA4">
        <w:t xml:space="preserve">proposed </w:t>
      </w:r>
      <w:r>
        <w:t>rule 10 if it limits the availability of an infrastructure service to customers who use water for stock and</w:t>
      </w:r>
      <w:r w:rsidR="00EE5189">
        <w:t xml:space="preserve"> </w:t>
      </w:r>
      <w:r>
        <w:t>/</w:t>
      </w:r>
      <w:r w:rsidR="00EE5189">
        <w:t xml:space="preserve"> </w:t>
      </w:r>
      <w:r>
        <w:t>or domestic purposes</w:t>
      </w:r>
      <w:r w:rsidR="00007EAE">
        <w:t>, because such a restriction is taken to be reasonable</w:t>
      </w:r>
      <w:r>
        <w:t xml:space="preserve">. </w:t>
      </w:r>
    </w:p>
    <w:p w:rsidR="00844E39" w:rsidRDefault="00844E39" w:rsidP="00844E39">
      <w:r>
        <w:t xml:space="preserve">The ACCC acknowledges that this exemption may have the result that a customer who uses water for purposes </w:t>
      </w:r>
      <w:r>
        <w:rPr>
          <w:i/>
        </w:rPr>
        <w:t>other than</w:t>
      </w:r>
      <w:r>
        <w:t xml:space="preserve"> stock and</w:t>
      </w:r>
      <w:r w:rsidR="00EE5189">
        <w:t xml:space="preserve"> </w:t>
      </w:r>
      <w:r>
        <w:t>/</w:t>
      </w:r>
      <w:r w:rsidR="00EE5189">
        <w:t xml:space="preserve"> </w:t>
      </w:r>
      <w:r>
        <w:t xml:space="preserve">or domestic purposes may not be able to access services of a kind provided to stock and domestic users. However, the ACCC considers that, on balance, this approach is appropriate given the finite ability of operators to provide these services, the critical nature of these services (in some cases) and the availability of other infrastructure services for </w:t>
      </w:r>
      <w:r w:rsidR="00EE5189">
        <w:t>water used for other purposes</w:t>
      </w:r>
      <w:r>
        <w:t xml:space="preserve">. </w:t>
      </w:r>
    </w:p>
    <w:p w:rsidR="00844E39" w:rsidRDefault="00844E39" w:rsidP="00F82FD9">
      <w:pPr>
        <w:spacing w:after="120"/>
      </w:pPr>
      <w:r>
        <w:t xml:space="preserve">The ACCC also </w:t>
      </w:r>
      <w:r w:rsidR="00EE5189">
        <w:t xml:space="preserve">emphasises </w:t>
      </w:r>
      <w:r>
        <w:t>that this exemption would not extend to cases where:</w:t>
      </w:r>
    </w:p>
    <w:p w:rsidR="00844E39" w:rsidRDefault="00844E39" w:rsidP="00A82DE6">
      <w:pPr>
        <w:pStyle w:val="Lvl1Bulletpoint"/>
      </w:pPr>
      <w:r>
        <w:t>an infrastructure operator sought to unreasonably limit (or altogether prevent) stock and</w:t>
      </w:r>
      <w:r w:rsidR="00EE5189">
        <w:t xml:space="preserve"> </w:t>
      </w:r>
      <w:r>
        <w:t>/</w:t>
      </w:r>
      <w:r w:rsidR="00EE5189">
        <w:t xml:space="preserve"> </w:t>
      </w:r>
      <w:r>
        <w:t xml:space="preserve">or domestic users from accessing </w:t>
      </w:r>
      <w:r w:rsidR="00EE5189">
        <w:t xml:space="preserve">other </w:t>
      </w:r>
      <w:r>
        <w:t xml:space="preserve">infrastructure services in general; or </w:t>
      </w:r>
    </w:p>
    <w:p w:rsidR="00844E39" w:rsidRDefault="00844E39" w:rsidP="00A82DE6">
      <w:pPr>
        <w:pStyle w:val="Lvl1Bulletpoint"/>
      </w:pPr>
      <w:r>
        <w:t>an operator sought to unreasonably levy different charges for a</w:t>
      </w:r>
      <w:r w:rsidR="00846E00">
        <w:t>n</w:t>
      </w:r>
      <w:r>
        <w:t xml:space="preserve"> infrastructure service depending on whether the customer was a stock and</w:t>
      </w:r>
      <w:r w:rsidR="00EE5189">
        <w:t xml:space="preserve"> </w:t>
      </w:r>
      <w:r>
        <w:t>/</w:t>
      </w:r>
      <w:r w:rsidR="00EE5189">
        <w:t xml:space="preserve"> </w:t>
      </w:r>
      <w:r>
        <w:t>or domestic user or not.</w:t>
      </w:r>
    </w:p>
    <w:p w:rsidR="00844E39" w:rsidRDefault="00844E39" w:rsidP="00844E39">
      <w:r>
        <w:t xml:space="preserve">That is, the proposed exemption is limited in nature and is simply aimed at </w:t>
      </w:r>
      <w:r w:rsidR="00EE5189">
        <w:t xml:space="preserve">expressly </w:t>
      </w:r>
      <w:r>
        <w:t xml:space="preserve">allowing operators to provide a specialised </w:t>
      </w:r>
      <w:r w:rsidR="00EE5189">
        <w:t xml:space="preserve">infrastructure service limited to customers using water for </w:t>
      </w:r>
      <w:r>
        <w:t>stock and</w:t>
      </w:r>
      <w:r w:rsidR="009175CE">
        <w:t> </w:t>
      </w:r>
      <w:r>
        <w:t>/</w:t>
      </w:r>
      <w:r w:rsidR="00EE5189">
        <w:t xml:space="preserve"> </w:t>
      </w:r>
      <w:r>
        <w:t xml:space="preserve">or domestic </w:t>
      </w:r>
      <w:r w:rsidR="00EE5189">
        <w:t>purposes</w:t>
      </w:r>
      <w:r>
        <w:t>.</w:t>
      </w:r>
    </w:p>
    <w:p w:rsidR="00EE5189" w:rsidRDefault="00844E39" w:rsidP="00844E39">
      <w:r>
        <w:t xml:space="preserve">Beyond this, </w:t>
      </w:r>
      <w:r w:rsidR="00EE5189">
        <w:t xml:space="preserve">and as noted in the previous subsection, </w:t>
      </w:r>
      <w:r>
        <w:t>the ACCC considers that a factor to be considered in the ‘reasonableness test’ is whether a customer’s right to receive water is a volumetric right, or another less well-specified kind of right which simply enables a customer to be supplied with an un</w:t>
      </w:r>
      <w:r w:rsidR="00854069">
        <w:t>specified</w:t>
      </w:r>
      <w:r>
        <w:t xml:space="preserve"> quantity of water through the operator’s infrastructure. </w:t>
      </w:r>
    </w:p>
    <w:p w:rsidR="00844E39" w:rsidRPr="00AA6F77" w:rsidRDefault="00844E39" w:rsidP="00844E39">
      <w:r>
        <w:t xml:space="preserve">Where a customer has a non-volumetric right (e.g. a stock and domestic right under which a customer can take water ‘on demand’), it may be reasonable that different charges apply in respect of infrastructure services received. An example could be that the operator faces different opportunity costs or constraints in supplying delivery services to such right holders because it needs to forecast demand and ensure sufficient </w:t>
      </w:r>
      <w:r w:rsidR="00EE5189">
        <w:t xml:space="preserve">water </w:t>
      </w:r>
      <w:r>
        <w:t xml:space="preserve">supply is available </w:t>
      </w:r>
      <w:r w:rsidR="00EE5189">
        <w:t>for the operator to divert</w:t>
      </w:r>
      <w:r w:rsidR="00854069">
        <w:t xml:space="preserve"> and deliver</w:t>
      </w:r>
      <w:r w:rsidR="00EE5189">
        <w:t xml:space="preserve">, </w:t>
      </w:r>
      <w:r>
        <w:t xml:space="preserve">in a different manner compared to the case where a customer has a defined amount of water allocated under their irrigation right and is required to place an order before delivery takes place. </w:t>
      </w:r>
    </w:p>
    <w:p w:rsidR="00844E39" w:rsidRPr="00FC64B5" w:rsidRDefault="00844E39" w:rsidP="00FC64B5">
      <w:pPr>
        <w:pStyle w:val="Heading6"/>
      </w:pPr>
      <w:r w:rsidRPr="00FC64B5">
        <w:t>Interaction with arrangements arising under Part IIIA of the Competition and Consumer Act 2010</w:t>
      </w:r>
    </w:p>
    <w:p w:rsidR="00844E39" w:rsidRPr="00F8746B" w:rsidRDefault="00844E39" w:rsidP="00A82DE6">
      <w:pPr>
        <w:pStyle w:val="Lvl1Bulletpoint"/>
        <w:numPr>
          <w:ilvl w:val="0"/>
          <w:numId w:val="0"/>
        </w:numPr>
        <w:rPr>
          <w:b/>
        </w:rPr>
      </w:pPr>
      <w:r>
        <w:t>The ACCC proposed, via draft rule advice 5-X, to provide an exemption to the proposed non</w:t>
      </w:r>
      <w:r>
        <w:noBreakHyphen/>
        <w:t>discrimination rule</w:t>
      </w:r>
      <w:r w:rsidR="00FD6186">
        <w:t xml:space="preserve"> (rule 10)</w:t>
      </w:r>
      <w:r>
        <w:t xml:space="preserve"> such that charges negotiated, arbitrated or otherwise arising under certain arrangements under Part IIIA of the </w:t>
      </w:r>
      <w:r w:rsidRPr="0097739B">
        <w:rPr>
          <w:i/>
        </w:rPr>
        <w:t>Competition and Consumer Act</w:t>
      </w:r>
      <w:r>
        <w:t xml:space="preserve"> 2010.</w:t>
      </w:r>
      <w:r w:rsidR="00C6733C">
        <w:t xml:space="preserve"> </w:t>
      </w:r>
      <w:r>
        <w:t xml:space="preserve">For reasons set out in section 5.11 below, the ACCC is of the view that this </w:t>
      </w:r>
      <w:r w:rsidR="00355FA3">
        <w:t xml:space="preserve">position </w:t>
      </w:r>
      <w:r>
        <w:t xml:space="preserve">should </w:t>
      </w:r>
      <w:r w:rsidR="00355FA3">
        <w:t>be maintained</w:t>
      </w:r>
      <w:r>
        <w:t>.</w:t>
      </w:r>
      <w:r>
        <w:rPr>
          <w:rStyle w:val="FootnoteReference"/>
          <w:rFonts w:cs="Arial"/>
          <w:szCs w:val="20"/>
        </w:rPr>
        <w:footnoteReference w:id="246"/>
      </w:r>
    </w:p>
    <w:p w:rsidR="00844E39" w:rsidRPr="00FC64B5" w:rsidRDefault="00844E39" w:rsidP="00FC64B5">
      <w:pPr>
        <w:pStyle w:val="Heading6"/>
      </w:pPr>
      <w:r w:rsidRPr="00FC64B5">
        <w:t xml:space="preserve">‘Consequence’ of failing to comply </w:t>
      </w:r>
    </w:p>
    <w:p w:rsidR="00844E39" w:rsidRDefault="00844E39" w:rsidP="00844E39">
      <w:pPr>
        <w:spacing w:after="0"/>
        <w:rPr>
          <w:rFonts w:cs="Arial"/>
          <w:szCs w:val="20"/>
        </w:rPr>
      </w:pPr>
      <w:r>
        <w:t xml:space="preserve">Upon further consideration, the ACCC agrees </w:t>
      </w:r>
      <w:r>
        <w:rPr>
          <w:rFonts w:cs="Arial"/>
          <w:szCs w:val="20"/>
        </w:rPr>
        <w:t xml:space="preserve">with concerns raised by the NIC that the </w:t>
      </w:r>
      <w:r w:rsidR="00355FA3">
        <w:rPr>
          <w:rFonts w:cs="Arial"/>
          <w:szCs w:val="20"/>
        </w:rPr>
        <w:t xml:space="preserve">Draft Advice’s proposed </w:t>
      </w:r>
      <w:r>
        <w:rPr>
          <w:rFonts w:cs="Arial"/>
          <w:szCs w:val="20"/>
        </w:rPr>
        <w:t>‘consequence’ where an operator limit</w:t>
      </w:r>
      <w:r w:rsidR="00CF275A">
        <w:rPr>
          <w:rFonts w:cs="Arial"/>
          <w:szCs w:val="20"/>
        </w:rPr>
        <w:t>ed</w:t>
      </w:r>
      <w:r>
        <w:rPr>
          <w:rFonts w:cs="Arial"/>
          <w:szCs w:val="20"/>
        </w:rPr>
        <w:t xml:space="preserve"> the availability of </w:t>
      </w:r>
      <w:r w:rsidR="00CF275A">
        <w:rPr>
          <w:rFonts w:cs="Arial"/>
          <w:szCs w:val="20"/>
        </w:rPr>
        <w:t>an</w:t>
      </w:r>
      <w:r>
        <w:rPr>
          <w:rFonts w:cs="Arial"/>
          <w:szCs w:val="20"/>
        </w:rPr>
        <w:t xml:space="preserve"> infrastructure services</w:t>
      </w:r>
      <w:r w:rsidR="00CF275A">
        <w:rPr>
          <w:rFonts w:cs="Arial"/>
          <w:szCs w:val="20"/>
        </w:rPr>
        <w:t xml:space="preserve"> on one of the proscribed grounds</w:t>
      </w:r>
      <w:r w:rsidR="00355FA3">
        <w:rPr>
          <w:rFonts w:cs="Arial"/>
          <w:szCs w:val="20"/>
        </w:rPr>
        <w:t>—</w:t>
      </w:r>
      <w:r>
        <w:rPr>
          <w:rFonts w:cs="Arial"/>
          <w:szCs w:val="20"/>
        </w:rPr>
        <w:t xml:space="preserve">that the operator not be able to levy </w:t>
      </w:r>
      <w:r>
        <w:rPr>
          <w:rFonts w:cs="Arial"/>
          <w:i/>
          <w:szCs w:val="20"/>
        </w:rPr>
        <w:t>any</w:t>
      </w:r>
      <w:r>
        <w:rPr>
          <w:rFonts w:cs="Arial"/>
          <w:szCs w:val="20"/>
        </w:rPr>
        <w:t xml:space="preserve"> charge for that infrastructure service</w:t>
      </w:r>
      <w:r w:rsidR="00355FA3">
        <w:rPr>
          <w:rFonts w:cs="Arial"/>
          <w:szCs w:val="20"/>
        </w:rPr>
        <w:t>—was overly burdensome</w:t>
      </w:r>
      <w:r>
        <w:rPr>
          <w:rFonts w:cs="Arial"/>
          <w:szCs w:val="20"/>
        </w:rPr>
        <w:t xml:space="preserve">. </w:t>
      </w:r>
    </w:p>
    <w:p w:rsidR="00844E39" w:rsidRDefault="00844E39" w:rsidP="00844E39">
      <w:pPr>
        <w:spacing w:before="240"/>
        <w:rPr>
          <w:rFonts w:cs="Arial"/>
          <w:szCs w:val="20"/>
        </w:rPr>
      </w:pPr>
      <w:r>
        <w:rPr>
          <w:rFonts w:cs="Arial"/>
          <w:szCs w:val="20"/>
        </w:rPr>
        <w:t xml:space="preserve">The ACCC </w:t>
      </w:r>
      <w:r w:rsidR="00355FA3">
        <w:rPr>
          <w:rFonts w:cs="Arial"/>
          <w:szCs w:val="20"/>
        </w:rPr>
        <w:t xml:space="preserve">rule advice no longer includes </w:t>
      </w:r>
      <w:r>
        <w:rPr>
          <w:rFonts w:cs="Arial"/>
          <w:szCs w:val="20"/>
        </w:rPr>
        <w:t xml:space="preserve">this ‘consequence’ mechanism, but retained the advice that a civil penalty should apply where this rule is </w:t>
      </w:r>
      <w:r w:rsidR="00355FA3">
        <w:rPr>
          <w:rFonts w:cs="Arial"/>
          <w:szCs w:val="20"/>
        </w:rPr>
        <w:t>contravened</w:t>
      </w:r>
      <w:r>
        <w:rPr>
          <w:rFonts w:cs="Arial"/>
          <w:szCs w:val="20"/>
        </w:rPr>
        <w:t xml:space="preserve">. The ACCC considers that a civil penalty </w:t>
      </w:r>
      <w:r w:rsidR="0070036B">
        <w:rPr>
          <w:rFonts w:cs="Arial"/>
          <w:szCs w:val="20"/>
        </w:rPr>
        <w:t xml:space="preserve">should continue to apply as a possible </w:t>
      </w:r>
      <w:r>
        <w:rPr>
          <w:rFonts w:cs="Arial"/>
          <w:szCs w:val="20"/>
        </w:rPr>
        <w:t>consequence for a breach of this rule, given that a breach could have material impacts on customers</w:t>
      </w:r>
      <w:r w:rsidR="00355FA3">
        <w:rPr>
          <w:rFonts w:cs="Arial"/>
          <w:szCs w:val="20"/>
        </w:rPr>
        <w:t xml:space="preserve"> and on the operation of water markets more broadly</w:t>
      </w:r>
      <w:r>
        <w:rPr>
          <w:rFonts w:cs="Arial"/>
          <w:szCs w:val="20"/>
        </w:rPr>
        <w:t xml:space="preserve">. </w:t>
      </w:r>
    </w:p>
    <w:p w:rsidR="0070036B" w:rsidRDefault="00844E39" w:rsidP="0070036B">
      <w:r>
        <w:t>In response to the NIC’s feedback that the recommended civil penalty is ‘excessive’, the ACCC notes that the proposed civil penalty is 200 civil penalty units, consistent with all other civil penalty provisions in the rules.</w:t>
      </w:r>
      <w:r w:rsidR="00C6733C">
        <w:t xml:space="preserve"> </w:t>
      </w:r>
      <w:r>
        <w:t xml:space="preserve">Further, </w:t>
      </w:r>
      <w:r w:rsidR="009B5565">
        <w:t>sub</w:t>
      </w:r>
      <w:r>
        <w:t>sections</w:t>
      </w:r>
      <w:r w:rsidRPr="00C34047">
        <w:t xml:space="preserve"> 92(8)</w:t>
      </w:r>
      <w:r>
        <w:t>-</w:t>
      </w:r>
      <w:r w:rsidRPr="00C34047">
        <w:t>(9) of the Act provide that water charge rules may be specified as civil penalty provisions</w:t>
      </w:r>
      <w:r>
        <w:t xml:space="preserve">, but that where civil penalties are specified, </w:t>
      </w:r>
      <w:r w:rsidRPr="00C34047">
        <w:t>the penalty must be 200 penalty units</w:t>
      </w:r>
      <w:r>
        <w:t xml:space="preserve">. </w:t>
      </w:r>
    </w:p>
    <w:p w:rsidR="00844E39" w:rsidRDefault="007430EA" w:rsidP="0070036B">
      <w:r>
        <w:rPr>
          <w:rFonts w:cs="Times New Roman"/>
        </w:rPr>
        <w:t xml:space="preserve">Litigation seeking the imposition of a civil penalty has not </w:t>
      </w:r>
      <w:r w:rsidR="007B62FE">
        <w:rPr>
          <w:rFonts w:cs="Times New Roman"/>
        </w:rPr>
        <w:t xml:space="preserve">been </w:t>
      </w:r>
      <w:r>
        <w:rPr>
          <w:rFonts w:cs="Times New Roman"/>
        </w:rPr>
        <w:t xml:space="preserve">and is not automatically pursued by the ACCC when a contravention is identified. </w:t>
      </w:r>
      <w:r>
        <w:t>A</w:t>
      </w:r>
      <w:r w:rsidR="003970FF">
        <w:t>s noted in section 4.5</w:t>
      </w:r>
      <w:r w:rsidR="0070036B">
        <w:t>, t</w:t>
      </w:r>
      <w:r w:rsidR="0070036B" w:rsidRPr="00D714FC">
        <w:rPr>
          <w:rFonts w:cs="Times New Roman"/>
        </w:rPr>
        <w:t xml:space="preserve">he ACCC’s approach to monitoring and enforcing compliance is outlined in its </w:t>
      </w:r>
      <w:r w:rsidR="0070036B" w:rsidRPr="00D714FC">
        <w:rPr>
          <w:rFonts w:cs="Times New Roman"/>
          <w:i/>
        </w:rPr>
        <w:t>Guide to compliance and enforcement of the water market rules and water charge rules</w:t>
      </w:r>
      <w:r w:rsidR="0070036B" w:rsidRPr="00D714FC">
        <w:rPr>
          <w:rFonts w:cs="Times New Roman"/>
        </w:rPr>
        <w:t xml:space="preserve"> (2009; revised 2011).</w:t>
      </w:r>
      <w:r w:rsidR="0070036B" w:rsidRPr="00D714FC">
        <w:rPr>
          <w:rStyle w:val="FootnoteReference"/>
          <w:rFonts w:cs="Times New Roman"/>
        </w:rPr>
        <w:footnoteReference w:id="247"/>
      </w:r>
      <w:r w:rsidR="00C6733C">
        <w:rPr>
          <w:rFonts w:cs="Times New Roman"/>
        </w:rPr>
        <w:t xml:space="preserve"> </w:t>
      </w:r>
      <w:r w:rsidR="0070036B" w:rsidRPr="00D714FC">
        <w:rPr>
          <w:rFonts w:cs="Times New Roman"/>
        </w:rPr>
        <w:t>The approach outlined is designed to educate water stakeholders about their rights and obligations under the rules and to minimise compliance costs.</w:t>
      </w:r>
      <w:r w:rsidR="0070036B">
        <w:rPr>
          <w:rFonts w:cs="Times New Roman"/>
        </w:rPr>
        <w:t xml:space="preserve"> </w:t>
      </w:r>
    </w:p>
    <w:p w:rsidR="00844E39" w:rsidRPr="00FC64B5" w:rsidRDefault="00844E39" w:rsidP="00FC64B5">
      <w:pPr>
        <w:pStyle w:val="Heading6"/>
      </w:pPr>
      <w:r w:rsidRPr="00FC64B5">
        <w:t>Transitional arrangements</w:t>
      </w:r>
    </w:p>
    <w:p w:rsidR="00844E39" w:rsidRDefault="00844E39" w:rsidP="00844E39">
      <w:pPr>
        <w:rPr>
          <w:b/>
        </w:rPr>
      </w:pPr>
      <w:r>
        <w:t xml:space="preserve">The ACCC acknowledges that the </w:t>
      </w:r>
      <w:r w:rsidR="007430EA">
        <w:t xml:space="preserve">proposed </w:t>
      </w:r>
      <w:r>
        <w:t xml:space="preserve">non-discrimination rules will require the development of new guidance material, and that operators will need time to assess their charging arrangements and in some cases make changes to comply with these rules. In view of these considerations, the ACCC recommends that a substantial transitional period be provided before the new non-discrimination provisions commence. The ACCC considers that the </w:t>
      </w:r>
      <w:r w:rsidR="007430EA">
        <w:t xml:space="preserve">proposed </w:t>
      </w:r>
      <w:r>
        <w:t>amend</w:t>
      </w:r>
      <w:r w:rsidR="007430EA">
        <w:t xml:space="preserve">ments to </w:t>
      </w:r>
      <w:r w:rsidR="00207A65">
        <w:t>r</w:t>
      </w:r>
      <w:r>
        <w:t xml:space="preserve">ule 10 should not </w:t>
      </w:r>
      <w:r w:rsidR="00C70035">
        <w:t xml:space="preserve">apply </w:t>
      </w:r>
      <w:r>
        <w:t>before 1 July 2018, even in the case where the remainder of the amended rules commence at an earlier date</w:t>
      </w:r>
      <w:r w:rsidR="00527DE0">
        <w:t xml:space="preserve"> (as recommended in section 4.7, recommendation 4-E)</w:t>
      </w:r>
      <w:r>
        <w:t xml:space="preserve">. This will </w:t>
      </w:r>
      <w:r w:rsidR="007430EA">
        <w:t xml:space="preserve">allow a significant period of time for </w:t>
      </w:r>
      <w:r>
        <w:t>the ACCC to work with infrastructure operators in developing guidance material and addressing any charging practices of concern.</w:t>
      </w:r>
      <w:r w:rsidR="007B62FE">
        <w:t xml:space="preserve"> The ACCC has made recommendation 5-A to this effect.</w:t>
      </w:r>
    </w:p>
    <w:p w:rsidR="00844E39" w:rsidRDefault="00844E39" w:rsidP="00C21C88">
      <w:pPr>
        <w:pStyle w:val="Heading3"/>
      </w:pPr>
      <w:bookmarkStart w:id="374" w:name="_Toc456785800"/>
      <w:bookmarkStart w:id="375" w:name="_Toc461630711"/>
      <w:bookmarkStart w:id="376" w:name="_Toc433975238"/>
      <w:r>
        <w:t>Prohibition of certain infrastructure charges—proposed rule 10A</w:t>
      </w:r>
      <w:bookmarkEnd w:id="374"/>
      <w:bookmarkEnd w:id="375"/>
    </w:p>
    <w:p w:rsidR="00D07E1E" w:rsidRPr="00D07E1E" w:rsidRDefault="00D07E1E" w:rsidP="00D07E1E">
      <w:pPr>
        <w:pStyle w:val="Heading4"/>
        <w:spacing w:before="0" w:after="0"/>
        <w:rPr>
          <w:rFonts w:ascii="Times New Roman" w:hAnsi="Times New Roman" w:cs="Times New Roman"/>
          <w:color w:val="FFFFFF" w:themeColor="background1"/>
          <w:sz w:val="8"/>
          <w:szCs w:val="16"/>
        </w:rPr>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p>
    <w:tbl>
      <w:tblPr>
        <w:tblStyle w:val="TableGrid"/>
        <w:tblW w:w="0" w:type="auto"/>
        <w:tblLook w:val="04A0" w:firstRow="1" w:lastRow="0" w:firstColumn="1" w:lastColumn="0" w:noHBand="0" w:noVBand="1"/>
      </w:tblPr>
      <w:tblGrid>
        <w:gridCol w:w="9242"/>
      </w:tblGrid>
      <w:tr w:rsidR="002C55FC" w:rsidTr="002C55FC">
        <w:tc>
          <w:tcPr>
            <w:tcW w:w="9242" w:type="dxa"/>
            <w:tcBorders>
              <w:top w:val="nil"/>
              <w:left w:val="nil"/>
              <w:bottom w:val="nil"/>
              <w:right w:val="nil"/>
            </w:tcBorders>
            <w:shd w:val="clear" w:color="auto" w:fill="D9D9D9" w:themeFill="background1" w:themeFillShade="D9"/>
          </w:tcPr>
          <w:p w:rsidR="00F3146C" w:rsidRPr="00D714FC" w:rsidRDefault="00F3146C" w:rsidP="00AF7032">
            <w:pPr>
              <w:pStyle w:val="Caption"/>
              <w:rPr>
                <w:rFonts w:eastAsia="Arial"/>
              </w:rPr>
            </w:pPr>
            <w:bookmarkStart w:id="377" w:name="_Toc456783822"/>
            <w:r w:rsidRPr="00D714FC">
              <w:t xml:space="preserve">Rule advice </w:t>
            </w:r>
            <w:r w:rsidR="007F659D">
              <w:rPr>
                <w:noProof/>
              </w:rPr>
              <w:t>5</w:t>
            </w:r>
            <w:r>
              <w:noBreakHyphen/>
            </w:r>
            <w:r w:rsidR="007F659D">
              <w:rPr>
                <w:noProof/>
              </w:rPr>
              <w:t>D</w:t>
            </w:r>
            <w:bookmarkEnd w:id="377"/>
          </w:p>
          <w:p w:rsidR="002C55FC" w:rsidRPr="00D714FC" w:rsidRDefault="002C55FC" w:rsidP="00E260C2">
            <w:pPr>
              <w:pStyle w:val="Heading8"/>
              <w:outlineLvl w:val="7"/>
            </w:pPr>
            <w:bookmarkStart w:id="378" w:name="_Toc433384257"/>
            <w:bookmarkStart w:id="379" w:name="_Toc433975251"/>
            <w:bookmarkStart w:id="380" w:name="_Toc436123249"/>
            <w:bookmarkStart w:id="381" w:name="_Toc456783823"/>
            <w:bookmarkStart w:id="382" w:name="Rule_Advice_5D"/>
            <w:r w:rsidRPr="00D714FC">
              <w:t xml:space="preserve">The rules should be amended to prohibit an infrastructure operator from </w:t>
            </w:r>
            <w:r w:rsidR="00596A01">
              <w:t xml:space="preserve">levying </w:t>
            </w:r>
            <w:r w:rsidRPr="00D714FC">
              <w:t>an infrastructure charge:</w:t>
            </w:r>
            <w:bookmarkEnd w:id="378"/>
            <w:bookmarkEnd w:id="379"/>
            <w:bookmarkEnd w:id="380"/>
            <w:bookmarkEnd w:id="381"/>
          </w:p>
          <w:p w:rsidR="002C55FC" w:rsidRPr="00D714FC" w:rsidRDefault="002C55FC" w:rsidP="00020517">
            <w:pPr>
              <w:pStyle w:val="Ruleadvicebullet"/>
            </w:pPr>
            <w:bookmarkStart w:id="383" w:name="_Toc433384258"/>
            <w:bookmarkStart w:id="384" w:name="_Toc433975252"/>
            <w:bookmarkStart w:id="385" w:name="_Toc436123250"/>
            <w:bookmarkStart w:id="386" w:name="_Toc456783824"/>
            <w:r w:rsidRPr="00D714FC">
              <w:t>upon an application to trade or terminate a tradeable water right (including where the application is not made to the infrastructure operator);</w:t>
            </w:r>
            <w:bookmarkEnd w:id="383"/>
            <w:bookmarkEnd w:id="384"/>
            <w:bookmarkEnd w:id="385"/>
            <w:bookmarkEnd w:id="386"/>
          </w:p>
          <w:p w:rsidR="002C55FC" w:rsidRPr="00D714FC" w:rsidRDefault="002C55FC" w:rsidP="00020517">
            <w:pPr>
              <w:pStyle w:val="Ruleadvicebullet"/>
            </w:pPr>
            <w:bookmarkStart w:id="387" w:name="_Toc433384259"/>
            <w:bookmarkStart w:id="388" w:name="_Toc433975253"/>
            <w:bookmarkStart w:id="389" w:name="_Toc436123251"/>
            <w:bookmarkStart w:id="390" w:name="_Toc456783825"/>
            <w:r w:rsidRPr="00D714FC">
              <w:t>as a condition of the infrastructure operator granting its consent or approval to a trade or termination of a tradeable water right</w:t>
            </w:r>
            <w:bookmarkEnd w:id="387"/>
            <w:bookmarkEnd w:id="388"/>
            <w:bookmarkEnd w:id="389"/>
            <w:bookmarkEnd w:id="390"/>
            <w:r w:rsidRPr="00D714FC">
              <w:t xml:space="preserve"> </w:t>
            </w:r>
          </w:p>
          <w:p w:rsidR="002C55FC" w:rsidRPr="00D714FC" w:rsidRDefault="002C55FC" w:rsidP="00020517">
            <w:pPr>
              <w:pStyle w:val="Ruleadvicebullet"/>
            </w:pPr>
            <w:bookmarkStart w:id="391" w:name="_Toc433384260"/>
            <w:bookmarkStart w:id="392" w:name="_Toc433975254"/>
            <w:bookmarkStart w:id="393" w:name="_Toc436123252"/>
            <w:bookmarkStart w:id="394" w:name="_Toc456783826"/>
            <w:r w:rsidRPr="00D714FC">
              <w:t>when or because a tradeable water right</w:t>
            </w:r>
            <w:r>
              <w:t xml:space="preserve"> </w:t>
            </w:r>
            <w:r w:rsidR="008B5CC1">
              <w:t>is</w:t>
            </w:r>
            <w:r>
              <w:t xml:space="preserve"> traded or terminated</w:t>
            </w:r>
            <w:r w:rsidRPr="00D714FC">
              <w:t>;</w:t>
            </w:r>
            <w:bookmarkEnd w:id="391"/>
            <w:bookmarkEnd w:id="392"/>
            <w:bookmarkEnd w:id="393"/>
            <w:bookmarkEnd w:id="394"/>
          </w:p>
          <w:p w:rsidR="002C55FC" w:rsidRDefault="00BA1234" w:rsidP="0041521F">
            <w:pPr>
              <w:pStyle w:val="Heading8"/>
              <w:outlineLvl w:val="7"/>
            </w:pPr>
            <w:bookmarkStart w:id="395" w:name="_Toc456783828"/>
            <w:bookmarkStart w:id="396" w:name="_Toc436123254"/>
            <w:r w:rsidRPr="0041521F">
              <w:t>However</w:t>
            </w:r>
            <w:r>
              <w:t xml:space="preserve">, the rules should not prohibit an infrastructure operator from levying an infrastructure charge </w:t>
            </w:r>
            <w:r w:rsidRPr="00BA1234">
              <w:rPr>
                <w:i/>
              </w:rPr>
              <w:t>in relation to trade</w:t>
            </w:r>
            <w:r w:rsidRPr="000D66B3">
              <w:t>, when:</w:t>
            </w:r>
            <w:bookmarkEnd w:id="395"/>
          </w:p>
          <w:p w:rsidR="002C55FC" w:rsidRDefault="004F3B4E" w:rsidP="00020517">
            <w:pPr>
              <w:pStyle w:val="Ruleadvicebullet"/>
            </w:pPr>
            <w:bookmarkStart w:id="397" w:name="_Toc456783829"/>
            <w:r>
              <w:t xml:space="preserve">the operator’s approval or consent to trade is required and </w:t>
            </w:r>
            <w:r w:rsidR="002C55FC" w:rsidRPr="00D714FC">
              <w:t xml:space="preserve">that infrastructure charge reflects the </w:t>
            </w:r>
            <w:r w:rsidR="00BA1234" w:rsidRPr="00C8376A">
              <w:t xml:space="preserve">reasonable and efficient </w:t>
            </w:r>
            <w:r w:rsidR="002C55FC" w:rsidRPr="00D714FC">
              <w:t>administrative costs</w:t>
            </w:r>
            <w:r w:rsidR="00BA1234">
              <w:t xml:space="preserve"> </w:t>
            </w:r>
            <w:r w:rsidR="00504B05">
              <w:t>of</w:t>
            </w:r>
            <w:r w:rsidR="002C55FC" w:rsidRPr="00D714FC">
              <w:t xml:space="preserve"> processing the trade.</w:t>
            </w:r>
            <w:bookmarkEnd w:id="396"/>
            <w:bookmarkEnd w:id="397"/>
          </w:p>
          <w:p w:rsidR="00BF59F5" w:rsidRPr="00BF59F5" w:rsidRDefault="00BF59F5" w:rsidP="00020517">
            <w:pPr>
              <w:pStyle w:val="Ruleadvicebullet"/>
            </w:pPr>
            <w:bookmarkStart w:id="398" w:name="_Toc456783830"/>
            <w:r w:rsidRPr="00BF59F5">
              <w:t>the</w:t>
            </w:r>
            <w:r>
              <w:t xml:space="preserve"> customer seeks to have a volume of water delivered that is in excess of the volume provided for under the water delivery right held by the customer with the operator.</w:t>
            </w:r>
            <w:bookmarkEnd w:id="398"/>
          </w:p>
          <w:p w:rsidR="00BA1234" w:rsidRPr="003301F5" w:rsidRDefault="00BA1234" w:rsidP="00020517">
            <w:pPr>
              <w:pStyle w:val="Ruleadvicebullet"/>
            </w:pPr>
            <w:bookmarkStart w:id="399" w:name="_Toc456783831"/>
            <w:bookmarkStart w:id="400" w:name="_Toc433384262"/>
            <w:bookmarkStart w:id="401" w:name="_Toc433975256"/>
            <w:bookmarkStart w:id="402" w:name="_Toc436123255"/>
            <w:r>
              <w:t>t</w:t>
            </w:r>
            <w:r w:rsidRPr="003301F5">
              <w:t xml:space="preserve">he operator has provided an infrastructure service for the harvesting or storage of water </w:t>
            </w:r>
            <w:r w:rsidR="00596A01">
              <w:t>relating to</w:t>
            </w:r>
            <w:r>
              <w:t xml:space="preserve"> </w:t>
            </w:r>
            <w:r w:rsidRPr="003301F5">
              <w:t>the water access right being traded; or</w:t>
            </w:r>
            <w:bookmarkEnd w:id="399"/>
          </w:p>
          <w:p w:rsidR="00BA1234" w:rsidRPr="003301F5" w:rsidRDefault="00BA1234" w:rsidP="00020517">
            <w:pPr>
              <w:pStyle w:val="Ruleadvicebullet"/>
            </w:pPr>
            <w:bookmarkStart w:id="403" w:name="_Toc456783832"/>
            <w:r>
              <w:t>t</w:t>
            </w:r>
            <w:r w:rsidRPr="003301F5">
              <w:t>he operator is required to provide a service for the storage or delivery of water to give effect to the trade; or</w:t>
            </w:r>
            <w:bookmarkEnd w:id="403"/>
          </w:p>
          <w:p w:rsidR="00BA1234" w:rsidRPr="003301F5" w:rsidRDefault="00BA1234" w:rsidP="00020517">
            <w:pPr>
              <w:pStyle w:val="Ruleadvicebullet"/>
            </w:pPr>
            <w:bookmarkStart w:id="404" w:name="_Toc456783833"/>
            <w:r>
              <w:t>t</w:t>
            </w:r>
            <w:r w:rsidRPr="00084631">
              <w:t>he operator is required to provide a service for the storage or delivery of water to the buyer after a trade</w:t>
            </w:r>
            <w:r>
              <w:t xml:space="preserve"> </w:t>
            </w:r>
            <w:r w:rsidRPr="00084631">
              <w:t xml:space="preserve">occurs </w:t>
            </w:r>
            <w:r w:rsidRPr="004F3B4E">
              <w:rPr>
                <w:i/>
              </w:rPr>
              <w:t>and</w:t>
            </w:r>
            <w:r w:rsidRPr="003301F5">
              <w:t xml:space="preserve"> the operator is unable to levy a charge on the person receiving the service because the operator has no authority to levy a charge on that person (for example, because that person is located in a different jurisdiction to the infrastructure operator)</w:t>
            </w:r>
            <w:r>
              <w:t>.</w:t>
            </w:r>
            <w:bookmarkEnd w:id="404"/>
          </w:p>
          <w:p w:rsidR="00BA1234" w:rsidRDefault="00BA1234" w:rsidP="00E260C2">
            <w:pPr>
              <w:pStyle w:val="Heading8"/>
              <w:outlineLvl w:val="7"/>
            </w:pPr>
            <w:bookmarkStart w:id="405" w:name="_Toc456783834"/>
            <w:r>
              <w:t xml:space="preserve">Also, the rules should not prohibit an infrastructure operator from levying </w:t>
            </w:r>
            <w:r w:rsidRPr="008B5CC1">
              <w:rPr>
                <w:i/>
              </w:rPr>
              <w:t>in relation to termination</w:t>
            </w:r>
            <w:r>
              <w:t>:</w:t>
            </w:r>
            <w:bookmarkEnd w:id="405"/>
          </w:p>
          <w:p w:rsidR="00BA1234" w:rsidRDefault="00BA1234" w:rsidP="00020517">
            <w:pPr>
              <w:pStyle w:val="Ruleadvicebullet"/>
            </w:pPr>
            <w:bookmarkStart w:id="406" w:name="_Toc456783835"/>
            <w:r>
              <w:t>a termination fee levied consistently with the rules; or</w:t>
            </w:r>
            <w:bookmarkEnd w:id="406"/>
          </w:p>
          <w:p w:rsidR="00BA1234" w:rsidRDefault="00BA1234" w:rsidP="00020517">
            <w:pPr>
              <w:pStyle w:val="Ruleadvicebullet"/>
            </w:pPr>
            <w:bookmarkStart w:id="407" w:name="_Toc456783836"/>
            <w:r>
              <w:t xml:space="preserve">an </w:t>
            </w:r>
            <w:r w:rsidRPr="00D714FC">
              <w:t xml:space="preserve">infrastructure charge </w:t>
            </w:r>
            <w:r>
              <w:t xml:space="preserve">which </w:t>
            </w:r>
            <w:r w:rsidRPr="00D714FC">
              <w:t xml:space="preserve">reflects the </w:t>
            </w:r>
            <w:r w:rsidRPr="00C8376A">
              <w:t xml:space="preserve">reasonable and efficient </w:t>
            </w:r>
            <w:r w:rsidRPr="00D714FC">
              <w:t>administrative costs incurred in processing the</w:t>
            </w:r>
            <w:r>
              <w:t xml:space="preserve"> termination.</w:t>
            </w:r>
            <w:bookmarkEnd w:id="407"/>
          </w:p>
          <w:p w:rsidR="00BA1234" w:rsidRDefault="00BA1234" w:rsidP="00E260C2">
            <w:pPr>
              <w:pStyle w:val="Heading8"/>
              <w:outlineLvl w:val="7"/>
            </w:pPr>
            <w:bookmarkStart w:id="408" w:name="_Toc456783837"/>
            <w:r>
              <w:t xml:space="preserve">Finally, the rules should not prevent an infrastructure operator from </w:t>
            </w:r>
            <w:r w:rsidRPr="00F73556">
              <w:t>requir</w:t>
            </w:r>
            <w:r>
              <w:t>ing</w:t>
            </w:r>
            <w:r w:rsidRPr="00F73556">
              <w:t xml:space="preserve"> payment of any outstanding </w:t>
            </w:r>
            <w:r w:rsidR="004F3B4E">
              <w:t>infrastructure</w:t>
            </w:r>
            <w:r w:rsidRPr="00F73556">
              <w:t xml:space="preserve"> charges</w:t>
            </w:r>
            <w:r>
              <w:t xml:space="preserve"> as</w:t>
            </w:r>
            <w:r w:rsidRPr="002739EC">
              <w:t xml:space="preserve"> a condition of the operator providing their consent or approval to a trade</w:t>
            </w:r>
            <w:r>
              <w:t xml:space="preserve"> or termination</w:t>
            </w:r>
            <w:r w:rsidR="004F3B4E">
              <w:t xml:space="preserve"> </w:t>
            </w:r>
            <w:r w:rsidR="00596A01">
              <w:t>(</w:t>
            </w:r>
            <w:r>
              <w:t>provided those fees or charges were levied consistently with the rules</w:t>
            </w:r>
            <w:r w:rsidR="00596A01">
              <w:t>)</w:t>
            </w:r>
            <w:r>
              <w:t>.</w:t>
            </w:r>
            <w:bookmarkEnd w:id="408"/>
          </w:p>
          <w:p w:rsidR="002C55FC" w:rsidRDefault="002C55FC" w:rsidP="00E260C2">
            <w:pPr>
              <w:pStyle w:val="Heading8"/>
              <w:outlineLvl w:val="7"/>
            </w:pPr>
            <w:bookmarkStart w:id="409" w:name="_Toc456783838"/>
            <w:r w:rsidRPr="00D714FC">
              <w:t>This rule should be a civil penalty provision.</w:t>
            </w:r>
            <w:bookmarkEnd w:id="400"/>
            <w:bookmarkEnd w:id="401"/>
            <w:bookmarkEnd w:id="402"/>
            <w:bookmarkEnd w:id="409"/>
          </w:p>
          <w:p w:rsidR="002C55FC" w:rsidRPr="00A93C49" w:rsidRDefault="002C55FC" w:rsidP="00E260C2">
            <w:pPr>
              <w:pStyle w:val="Heading8"/>
              <w:outlineLvl w:val="7"/>
            </w:pPr>
            <w:bookmarkStart w:id="410" w:name="_Toc436123256"/>
            <w:bookmarkStart w:id="411" w:name="_Toc456783839"/>
            <w:r>
              <w:rPr>
                <w:rFonts w:ascii="Times New Roman" w:hAnsi="Times New Roman"/>
              </w:rPr>
              <w:t xml:space="preserve">This rule advice is implemented in </w:t>
            </w:r>
            <w:r w:rsidR="00207A65">
              <w:rPr>
                <w:rFonts w:ascii="Times New Roman" w:hAnsi="Times New Roman"/>
              </w:rPr>
              <w:t>r</w:t>
            </w:r>
            <w:r>
              <w:rPr>
                <w:rFonts w:ascii="Times New Roman" w:hAnsi="Times New Roman"/>
              </w:rPr>
              <w:t xml:space="preserve">ule 10A of the proposed </w:t>
            </w:r>
            <w:r w:rsidR="003F77BE">
              <w:rPr>
                <w:rFonts w:ascii="Times New Roman" w:hAnsi="Times New Roman"/>
              </w:rPr>
              <w:t>W</w:t>
            </w:r>
            <w:r>
              <w:rPr>
                <w:rFonts w:ascii="Times New Roman" w:hAnsi="Times New Roman"/>
              </w:rPr>
              <w:t xml:space="preserve">ater </w:t>
            </w:r>
            <w:r w:rsidR="003F77BE">
              <w:rPr>
                <w:rFonts w:ascii="Times New Roman" w:hAnsi="Times New Roman"/>
              </w:rPr>
              <w:t>C</w:t>
            </w:r>
            <w:r>
              <w:rPr>
                <w:rFonts w:ascii="Times New Roman" w:hAnsi="Times New Roman"/>
              </w:rPr>
              <w:t xml:space="preserve">harge </w:t>
            </w:r>
            <w:r w:rsidR="003F77BE">
              <w:rPr>
                <w:rFonts w:ascii="Times New Roman" w:hAnsi="Times New Roman"/>
              </w:rPr>
              <w:t>R</w:t>
            </w:r>
            <w:r>
              <w:rPr>
                <w:rFonts w:ascii="Times New Roman" w:hAnsi="Times New Roman"/>
              </w:rPr>
              <w:t>ules.</w:t>
            </w:r>
            <w:bookmarkEnd w:id="382"/>
            <w:bookmarkEnd w:id="410"/>
            <w:bookmarkEnd w:id="411"/>
          </w:p>
        </w:tc>
      </w:tr>
    </w:tbl>
    <w:p w:rsidR="00BA1234" w:rsidRDefault="00BA1234" w:rsidP="00BA1234">
      <w:pPr>
        <w:pStyle w:val="Heading4"/>
        <w:rPr>
          <w:rFonts w:ascii="Times New Roman" w:hAnsi="Times New Roman" w:cs="Times New Roman"/>
        </w:rPr>
      </w:pPr>
      <w:r>
        <w:rPr>
          <w:rFonts w:ascii="Times New Roman" w:hAnsi="Times New Roman" w:cs="Times New Roman"/>
        </w:rPr>
        <w:t>Background</w:t>
      </w:r>
    </w:p>
    <w:p w:rsidR="00BA1234" w:rsidRDefault="00BA1234" w:rsidP="00BA1234">
      <w:r>
        <w:t>The ACCC’s Draft Advice proposed that the rules should be extended to prohibit infrastructure charges imposed by an operator as a condition of, or as a result of, trade</w:t>
      </w:r>
      <w:r>
        <w:rPr>
          <w:rStyle w:val="FootnoteReference"/>
        </w:rPr>
        <w:footnoteReference w:id="248"/>
      </w:r>
      <w:r>
        <w:t xml:space="preserve"> of a tradeable water right that are beyond the operator’s actual trade processing administrative costs.</w:t>
      </w:r>
    </w:p>
    <w:p w:rsidR="00BA1234" w:rsidRDefault="00BA1234" w:rsidP="00BA1234">
      <w:r>
        <w:t xml:space="preserve">The intent of this draft rule advice was to address market distortions that arise from unnecessarily increasing the transactions costs of trade. Transaction costs decrease the gains from trade to trading parties, and in some cases may be high enough that water users cease to trade altogether, or redirect trading activity towards markets where transactions costs are lower. A key example of this in rural water markets is where a seller located inside an off-river operator’s area of operations is deterred from selling outside of this area due to transaction costs, and instead seeks to find a buyer located in the same area. Another example is where transactions costs associated with inter-state trade mean that water users prefer to trade </w:t>
      </w:r>
      <w:r>
        <w:rPr>
          <w:i/>
        </w:rPr>
        <w:t>intra</w:t>
      </w:r>
      <w:r>
        <w:t>state instead.</w:t>
      </w:r>
    </w:p>
    <w:p w:rsidR="00BA1234" w:rsidRDefault="00BA1234" w:rsidP="00BA1234">
      <w:r>
        <w:t xml:space="preserve">The ACCC recognises that trade administration is not costless, and that as such there will always likely be some transaction costs associated with trading tradeable water rights. The task is therefore to incentivise only the minimum necessary transaction costs to be imposed, and to deter imposition of unnecessary charges as a condition of trade approval or as a result of trading activity. In view of this objective, the ACCC proposed in its Draft Advice to rule out </w:t>
      </w:r>
      <w:r>
        <w:rPr>
          <w:i/>
        </w:rPr>
        <w:t>any</w:t>
      </w:r>
      <w:r>
        <w:t xml:space="preserve"> infrastructure charges being applied as a condition of, or result of, trade of tradeable water rights </w:t>
      </w:r>
      <w:r>
        <w:rPr>
          <w:i/>
        </w:rPr>
        <w:t>other than</w:t>
      </w:r>
      <w:r>
        <w:t xml:space="preserve"> those which reflected the necessary costs actually incurred in processing trades.</w:t>
      </w:r>
    </w:p>
    <w:p w:rsidR="00BA1234" w:rsidRPr="00DF4D3E" w:rsidRDefault="00BA1234" w:rsidP="00BA1234">
      <w:r>
        <w:t>This draft rule advice was also applied to where a water delivery right is terminated. This was because the ACCC considered that a similar rationale applies in relation to termination and as such transactions costs associated with the process of termination should also be minimised. The rationale is also applicable to transformation of irrigation rights; however a similar rule already applies in relation to transformation.</w:t>
      </w:r>
      <w:r>
        <w:rPr>
          <w:rStyle w:val="FootnoteReference"/>
        </w:rPr>
        <w:footnoteReference w:id="249"/>
      </w:r>
      <w:r>
        <w:t xml:space="preserve"> Accordingly, the proposed rule extended to </w:t>
      </w:r>
      <w:r w:rsidRPr="00B23695">
        <w:rPr>
          <w:i/>
        </w:rPr>
        <w:t>trade</w:t>
      </w:r>
      <w:r>
        <w:t xml:space="preserve"> or </w:t>
      </w:r>
      <w:r w:rsidRPr="00B23695">
        <w:rPr>
          <w:i/>
        </w:rPr>
        <w:t>termination</w:t>
      </w:r>
      <w:r>
        <w:t xml:space="preserve"> of a tradeable water right (but not transformation).</w:t>
      </w:r>
    </w:p>
    <w:p w:rsidR="00BA1234" w:rsidRPr="00D714FC" w:rsidRDefault="00BA1234" w:rsidP="00BA1234">
      <w:pPr>
        <w:pStyle w:val="Heading4"/>
        <w:rPr>
          <w:rFonts w:ascii="Times New Roman" w:hAnsi="Times New Roman" w:cs="Times New Roman"/>
        </w:rPr>
      </w:pPr>
      <w:r w:rsidRPr="00D714FC">
        <w:rPr>
          <w:rFonts w:ascii="Times New Roman" w:hAnsi="Times New Roman" w:cs="Times New Roman"/>
        </w:rPr>
        <w:t>Stakeholder feedback</w:t>
      </w:r>
    </w:p>
    <w:p w:rsidR="00BA1234" w:rsidRPr="00A52147" w:rsidRDefault="00BA1234" w:rsidP="00D17F9C">
      <w:pPr>
        <w:pStyle w:val="Heading5"/>
      </w:pPr>
      <w:r>
        <w:t>Feedback on the Issues Paper</w:t>
      </w:r>
    </w:p>
    <w:p w:rsidR="00BA1234" w:rsidRPr="00FA4018" w:rsidRDefault="00BA1234" w:rsidP="00BA1234">
      <w:r>
        <w:t>In its Issues Paper submission, Waterfind identified that operators’ practice of charging transaction fees (in addition to state approval authority processing fees) when water is traded out of their area of operations forms a barrier to trade.</w:t>
      </w:r>
      <w:r>
        <w:rPr>
          <w:rStyle w:val="FootnoteReference"/>
        </w:rPr>
        <w:footnoteReference w:id="250"/>
      </w:r>
      <w:r>
        <w:t xml:space="preserve"> The </w:t>
      </w:r>
      <w:r w:rsidR="00D65918">
        <w:t>Murray-Darling Basin Authority (</w:t>
      </w:r>
      <w:r>
        <w:t>MDBA</w:t>
      </w:r>
      <w:r w:rsidR="00D65918">
        <w:t>)</w:t>
      </w:r>
      <w:r>
        <w:t>’s Issues Paper submission commented that “charging arrangements have the potential to distort the market and discriminate between water users”, and that additional or higher charges should not apply to water that is traded into a state or district than would be payable for water associated with “local entitlements”, except to account for the marginal cost of administering the trade.</w:t>
      </w:r>
      <w:r>
        <w:rPr>
          <w:rStyle w:val="FootnoteReference"/>
        </w:rPr>
        <w:footnoteReference w:id="251"/>
      </w:r>
    </w:p>
    <w:p w:rsidR="00BA1234" w:rsidRPr="000E54D4" w:rsidRDefault="00BA1234" w:rsidP="00D17F9C">
      <w:pPr>
        <w:pStyle w:val="Heading5"/>
      </w:pPr>
      <w:r>
        <w:t>Feedback on the Draft Advice</w:t>
      </w:r>
    </w:p>
    <w:p w:rsidR="00BA1234" w:rsidRDefault="00BA1234" w:rsidP="00BA1234">
      <w:r>
        <w:t xml:space="preserve">Many submissions noted their support for water charge rules that would limit or remove the potential for water charging arrangements that create barriers to trade or distort trading decisions. </w:t>
      </w:r>
    </w:p>
    <w:p w:rsidR="00BA1234" w:rsidRDefault="00BA1234" w:rsidP="00F82FD9">
      <w:pPr>
        <w:spacing w:after="120"/>
      </w:pPr>
      <w:r>
        <w:t>Waterfind submitted that it “fully supports this rule advice [i.e. rule advice 5-D] and…from a water market perspective it is the single most important advice” in the Draft Advice.</w:t>
      </w:r>
      <w:r w:rsidRPr="00AD5608">
        <w:rPr>
          <w:rStyle w:val="FootnoteReference"/>
          <w:rFonts w:cs="Times New Roman"/>
          <w:sz w:val="20"/>
          <w:szCs w:val="20"/>
        </w:rPr>
        <w:footnoteReference w:id="252"/>
      </w:r>
      <w:r>
        <w:t xml:space="preserve"> Waterfind added:</w:t>
      </w:r>
    </w:p>
    <w:p w:rsidR="00BA1234" w:rsidRPr="00F33AF9" w:rsidRDefault="00BA1234" w:rsidP="00CE67EB">
      <w:pPr>
        <w:pStyle w:val="Quote"/>
        <w:rPr>
          <w:rStyle w:val="Emphasis"/>
          <w:i/>
          <w:iCs/>
        </w:rPr>
      </w:pPr>
      <w:r w:rsidRPr="00F33AF9">
        <w:rPr>
          <w:rStyle w:val="Emphasis"/>
          <w:i/>
          <w:iCs/>
        </w:rPr>
        <w:t>Waterfind believes that it is of crucial importance that this rule advice is implemented as such [to prohibit volume-based transaction fees (e.g. trade-out fees for temporary water) charged by certain infrastructure operators], as Waterfind considers that such trade-out fees are not justified, and are also in breach of the National Water Initiative (NWI) objectives as well as the Basin water charging objectives and principles (BWCOP) to facilitate the efficient functioning of water markets. Furthermore, Waterfind considers that a volume-based trade-out fee cannot by definition be a ‘reasonable administration cost’ as administration cost of a single transaction would be the same regardless of the volume of the trade.</w:t>
      </w:r>
      <w:r w:rsidRPr="00877C09">
        <w:rPr>
          <w:rStyle w:val="Emphasis"/>
          <w:iCs/>
          <w:vertAlign w:val="superscript"/>
        </w:rPr>
        <w:footnoteReference w:id="253"/>
      </w:r>
    </w:p>
    <w:p w:rsidR="00BA1234" w:rsidRPr="0053471D" w:rsidRDefault="00BA1234" w:rsidP="00BA1234">
      <w:r>
        <w:t xml:space="preserve">However, Waterfind was also of the view that the rule would potentially not go far enough to remove </w:t>
      </w:r>
      <w:r w:rsidRPr="00712B28">
        <w:rPr>
          <w:i/>
        </w:rPr>
        <w:t xml:space="preserve">all </w:t>
      </w:r>
      <w:r>
        <w:t xml:space="preserve">trade barriers that relate to water charges. One area of concern to Waterfind is prohibitions put in place by </w:t>
      </w:r>
      <w:r w:rsidR="003F241C">
        <w:t>IIO</w:t>
      </w:r>
      <w:r>
        <w:t>s to restrict irrigators from temporarily trading water out of their operator’s irrigation network. Waterfind questioned whether irrigators have “any avenues of appeal” when operators impose these restrictions because they do not breach any current or proposed water charge rules, or Basin Plan water trading rules. Waterfind considered that this type of issue could be one that a water ombudsman, as suggested under Recommendation 8-C, could investigate. This issue is considered further in section 8.4.1.</w:t>
      </w:r>
    </w:p>
    <w:p w:rsidR="00BA1234" w:rsidRDefault="00BA1234" w:rsidP="00BA1234">
      <w:r>
        <w:t>The NSW Office of Environment and Heritage</w:t>
      </w:r>
      <w:r w:rsidR="00D93407">
        <w:t xml:space="preserve"> (OEH)</w:t>
      </w:r>
      <w:r>
        <w:t xml:space="preserve"> submitted that as an entity </w:t>
      </w:r>
      <w:r w:rsidR="00C75CE7">
        <w:t>that</w:t>
      </w:r>
      <w:r>
        <w:t xml:space="preserve"> trades water allocation, it “support[s] methods for charging customers that do not affect the ability or the incentive of a potential customer to trade, by being as price neutral as possible”.</w:t>
      </w:r>
      <w:r w:rsidRPr="00537AFD">
        <w:rPr>
          <w:rStyle w:val="FootnoteReference"/>
          <w:sz w:val="20"/>
        </w:rPr>
        <w:footnoteReference w:id="254"/>
      </w:r>
      <w:r>
        <w:t xml:space="preserve"> </w:t>
      </w:r>
      <w:r w:rsidR="00C75CE7">
        <w:t>It</w:t>
      </w:r>
      <w:r>
        <w:t xml:space="preserve"> added that “[t]he water charge rules should provide for the distribution of water charges that minimises impacts on water use and trade decisions”.</w:t>
      </w:r>
      <w:r w:rsidRPr="00537AFD">
        <w:rPr>
          <w:rStyle w:val="FootnoteReference"/>
          <w:sz w:val="20"/>
        </w:rPr>
        <w:footnoteReference w:id="255"/>
      </w:r>
      <w:r>
        <w:t xml:space="preserve"> </w:t>
      </w:r>
    </w:p>
    <w:p w:rsidR="00BA1234" w:rsidRDefault="00BA1234" w:rsidP="00F82FD9">
      <w:pPr>
        <w:spacing w:after="120"/>
      </w:pPr>
      <w:r>
        <w:t>In favour of the proposed amendments, the Commonwealth Environmental Water Holder</w:t>
      </w:r>
      <w:r w:rsidR="00D61D6B">
        <w:t xml:space="preserve"> (CEWH)</w:t>
      </w:r>
      <w:r>
        <w:t xml:space="preserve"> submitted:</w:t>
      </w:r>
    </w:p>
    <w:p w:rsidR="00BA1234" w:rsidRPr="00F33AF9" w:rsidRDefault="00BA1234" w:rsidP="00CE67EB">
      <w:pPr>
        <w:pStyle w:val="Quote"/>
        <w:rPr>
          <w:rStyle w:val="Emphasis"/>
          <w:i/>
          <w:iCs/>
        </w:rPr>
      </w:pPr>
      <w:r w:rsidRPr="00F33AF9">
        <w:rPr>
          <w:rStyle w:val="Emphasis"/>
          <w:i/>
          <w:iCs/>
        </w:rPr>
        <w:t>The Water Charge (Infrastructure) Rules should promote variable use charges that reflect the prudent and efficient costs of using water and providing inter-valley and interstate trade services. The rules, however, should also discourage approaches to charging that have the potential to distort water market prices, distort use and transfer decisions, or present additional barriers to trade.</w:t>
      </w:r>
      <w:r w:rsidRPr="00877C09">
        <w:rPr>
          <w:rStyle w:val="Emphasis"/>
          <w:iCs/>
          <w:vertAlign w:val="superscript"/>
        </w:rPr>
        <w:footnoteReference w:id="256"/>
      </w:r>
    </w:p>
    <w:p w:rsidR="00BA1234" w:rsidRDefault="00BA1234" w:rsidP="00F82FD9">
      <w:pPr>
        <w:spacing w:after="120"/>
      </w:pPr>
      <w:r>
        <w:t>Similarly, South Australian Murray Irrigators (SAMI) submitted:</w:t>
      </w:r>
    </w:p>
    <w:p w:rsidR="00BA1234" w:rsidRPr="00F33AF9" w:rsidRDefault="00BA1234" w:rsidP="00CE67EB">
      <w:pPr>
        <w:pStyle w:val="Quote"/>
        <w:rPr>
          <w:rStyle w:val="Emphasis"/>
          <w:i/>
          <w:iCs/>
        </w:rPr>
      </w:pPr>
      <w:r w:rsidRPr="00F33AF9">
        <w:rPr>
          <w:rStyle w:val="Emphasis"/>
          <w:i/>
          <w:iCs/>
        </w:rPr>
        <w:t>First and foremost irrigators look forward to the removal of barriers to trade. Irrigators support an open fair and transparent water market with known transaction costs that don’t double dip through the course of the trade. Water trade should be unencumbered with costs streamlined and fair for the service received. We believe an across catchment trades should reflect the price of a similar service elsewhere in the catchment.</w:t>
      </w:r>
      <w:r w:rsidRPr="00877C09">
        <w:rPr>
          <w:rStyle w:val="Emphasis"/>
          <w:iCs/>
          <w:vertAlign w:val="superscript"/>
        </w:rPr>
        <w:footnoteReference w:id="257"/>
      </w:r>
    </w:p>
    <w:p w:rsidR="00BA1234" w:rsidRDefault="00BA1234" w:rsidP="00BA1234">
      <w:r>
        <w:t xml:space="preserve">Some submissions also commented on the scope of the proposed rule, particularly in relation to transaction fees levied by infrastructure operators to recover their costs of giving effect to the trade. </w:t>
      </w:r>
    </w:p>
    <w:p w:rsidR="00BA1234" w:rsidRDefault="00BA1234" w:rsidP="00BA1234">
      <w:r>
        <w:t xml:space="preserve">The </w:t>
      </w:r>
      <w:r w:rsidR="00A35180">
        <w:t>National Irrigators’ Council (</w:t>
      </w:r>
      <w:r>
        <w:t>NIC</w:t>
      </w:r>
      <w:r w:rsidR="00A35180">
        <w:t>)</w:t>
      </w:r>
      <w:r>
        <w:t xml:space="preserve"> was concerned that its members would need to go through a “time-consuming and expensive process” to ‘satisfy’ the ACCC that its application fees are reasonable and efficient.</w:t>
      </w:r>
      <w:r w:rsidRPr="00AD5608">
        <w:rPr>
          <w:rStyle w:val="FootnoteReference"/>
          <w:rFonts w:cs="Times New Roman"/>
          <w:sz w:val="20"/>
          <w:szCs w:val="20"/>
        </w:rPr>
        <w:footnoteReference w:id="258"/>
      </w:r>
      <w:r>
        <w:t xml:space="preserve"> The NIC argued that this will increase regulatory burden for the industry and government. </w:t>
      </w:r>
    </w:p>
    <w:p w:rsidR="00BA1234" w:rsidRDefault="00BA1234" w:rsidP="00BA1234">
      <w:r>
        <w:t>SAMI submitted that their members had provided feedback that internal trade fees imposed by trusts “are seen generally as fair for the service received”, although “[s]ome fixed charges and trust exit fees were also deemed excessive”.</w:t>
      </w:r>
      <w:r w:rsidRPr="00AD5608">
        <w:rPr>
          <w:rStyle w:val="FootnoteReference"/>
          <w:rFonts w:cs="Times New Roman"/>
          <w:sz w:val="20"/>
          <w:szCs w:val="20"/>
        </w:rPr>
        <w:footnoteReference w:id="259"/>
      </w:r>
      <w:r>
        <w:t xml:space="preserve"> Member feedback also noted that South Australian water users who trade water from NSW were being charged [NSW] usage fees, despite the water being used in SA rather than in NSW. </w:t>
      </w:r>
    </w:p>
    <w:p w:rsidR="00BA1234" w:rsidRDefault="00BA1234" w:rsidP="00BA1234">
      <w:r>
        <w:t>Waterfind submitted its view that there is a need for the ACCC to define ‘reasonable administration cost’ and/or ‘the administration costs necessarily incurred in processing the trade, transfer or termination’.</w:t>
      </w:r>
      <w:r w:rsidRPr="00AD5608">
        <w:rPr>
          <w:rStyle w:val="FootnoteReference"/>
          <w:rFonts w:cs="Times New Roman"/>
          <w:sz w:val="20"/>
          <w:szCs w:val="20"/>
        </w:rPr>
        <w:footnoteReference w:id="260"/>
      </w:r>
      <w:r>
        <w:t xml:space="preserve"> Waterfind identified that these definitions are necessary to provide transparency to water market participants. Waterfind also sought clarification that the rules would prohibit volume-based transaction fees, and called for greater regulation of transaction fees imposed by infrastructure operators. </w:t>
      </w:r>
    </w:p>
    <w:p w:rsidR="00BA1234" w:rsidRDefault="00BA1234" w:rsidP="00BA1234">
      <w:r>
        <w:t>Waterfind also argued the case for setting a cap on transaction fees.</w:t>
      </w:r>
      <w:r w:rsidRPr="00AD5608">
        <w:rPr>
          <w:rStyle w:val="FootnoteReference"/>
          <w:rFonts w:cs="Times New Roman"/>
          <w:sz w:val="20"/>
          <w:szCs w:val="20"/>
        </w:rPr>
        <w:footnoteReference w:id="261"/>
      </w:r>
      <w:r>
        <w:t xml:space="preserve"> They recognised concerns (e.g. those outlined by the MDBA in its Issues Paper submission) about the difficulties in setting a Basin-wide cap. Therefore, Waterfind suggested that operators’ transaction fees could be capped by comparing them to application fees imposed by Basin State governments in the same catchment or state. Waterfind was of the view that “under no circumstance” should an </w:t>
      </w:r>
      <w:r w:rsidR="003F241C">
        <w:t>IIO</w:t>
      </w:r>
      <w:r>
        <w:t xml:space="preserve">’s customer pay more than a private diverter for an equivalent trade outside an irrigation district, noting that the </w:t>
      </w:r>
      <w:r w:rsidR="003F241C">
        <w:t>IIO</w:t>
      </w:r>
      <w:r>
        <w:t xml:space="preserve">’s customer would typically be required to pay the Basin State water authority transaction fee on top of their operator’s internal transaction fee. </w:t>
      </w:r>
    </w:p>
    <w:p w:rsidR="00BA1234" w:rsidRDefault="00BA1234" w:rsidP="00BA1234">
      <w:r>
        <w:t xml:space="preserve">The NIC and </w:t>
      </w:r>
      <w:r w:rsidR="006F0423">
        <w:t>Western Murray Irrigation (</w:t>
      </w:r>
      <w:r>
        <w:t>WMI</w:t>
      </w:r>
      <w:r w:rsidR="006F0423">
        <w:t>)</w:t>
      </w:r>
      <w:r>
        <w:t xml:space="preserve"> submitted their concerns that the proposed rule may not allow infrastructure operators to require payment of outstanding fees and charges as a condition of the infrastructure operator approving a trade.</w:t>
      </w:r>
      <w:r w:rsidRPr="00AD5608">
        <w:rPr>
          <w:rStyle w:val="FootnoteReference"/>
          <w:rFonts w:cs="Times New Roman"/>
          <w:sz w:val="20"/>
          <w:szCs w:val="20"/>
        </w:rPr>
        <w:footnoteReference w:id="262"/>
      </w:r>
      <w:r>
        <w:t xml:space="preserve"> </w:t>
      </w:r>
    </w:p>
    <w:p w:rsidR="00BA1234" w:rsidRDefault="00BA1234" w:rsidP="00BA1234">
      <w:r>
        <w:t xml:space="preserve">SAMI also submitted feedback on water transaction charges imposed by Basin State governments. This feedback is discussed in section 7.2, as planning and management charges are not proposed to be captured under this amendment. </w:t>
      </w:r>
    </w:p>
    <w:p w:rsidR="00BA1234" w:rsidRDefault="00BA1234" w:rsidP="00D17F9C">
      <w:pPr>
        <w:pStyle w:val="Heading5"/>
      </w:pPr>
      <w:r>
        <w:t>WaterNSW’s practice of levying a variable charge on interstate water allocation trade</w:t>
      </w:r>
    </w:p>
    <w:p w:rsidR="00BA1234" w:rsidRDefault="00BA1234" w:rsidP="00BA1234">
      <w:r>
        <w:t>In its Draft Advice, the ACCC identified that one example of current arrangements that appeared to be inconsistent with the proposed rule was WaterNSW’s practice of requiring payment of its valley-of-origin variable charge at the time of trade for all ‘allocation assignments’ (i.e. water allocation trades) involving a buyer</w:t>
      </w:r>
      <w:r>
        <w:rPr>
          <w:rStyle w:val="FootnoteReference"/>
        </w:rPr>
        <w:footnoteReference w:id="263"/>
      </w:r>
      <w:r>
        <w:t xml:space="preserve"> whose licence (water access entitlement) is not linked to a NSW works approval. This had the effect that interstate buyers of NSW water allocation pay NSW usage charges at the time of trade since they are passed through by the seller at the time of trade.</w:t>
      </w:r>
    </w:p>
    <w:p w:rsidR="00BA1234" w:rsidRDefault="00BA1234" w:rsidP="00F82FD9">
      <w:pPr>
        <w:spacing w:after="120"/>
      </w:pPr>
      <w:r>
        <w:t>Several stakeholders provided feedback on draft rule advice 5-D specifically in relation to this practice.</w:t>
      </w:r>
    </w:p>
    <w:p w:rsidR="00BA1234" w:rsidRDefault="00BA1234" w:rsidP="00BA1234">
      <w:r>
        <w:t>WaterNSW submitted that it does not support draft rule advice 5-D because WaterNSW:</w:t>
      </w:r>
    </w:p>
    <w:p w:rsidR="00BA1234" w:rsidRDefault="00BA1234" w:rsidP="00A82DE6">
      <w:pPr>
        <w:pStyle w:val="Lvl1Bulletpoint"/>
      </w:pPr>
      <w:r>
        <w:t>imposes this charge to recover “prudent and efficient infrastructure costs it incurs in holding and releasing bulk water” when it is traded out of NSW, a problem that is “exacerbated” by having a higher variable charge relative to other jurisdictions.</w:t>
      </w:r>
    </w:p>
    <w:p w:rsidR="00BA1234" w:rsidRDefault="00BA1234" w:rsidP="00A82DE6">
      <w:pPr>
        <w:pStyle w:val="Lvl1Bulletpoint"/>
      </w:pPr>
      <w:r>
        <w:t xml:space="preserve">considers that its current policy is “an equitable, transparent and administratively feasible solution” to recover these costs and it “improve[s] trade outcomes by preventing market distortions that exist when prudent and efficient infrastructure costs are not reflected in a trade transaction”. </w:t>
      </w:r>
    </w:p>
    <w:p w:rsidR="00BA1234" w:rsidRDefault="00BA1234" w:rsidP="00A82DE6">
      <w:pPr>
        <w:pStyle w:val="Lvl1Bulletpoint"/>
      </w:pPr>
      <w:r>
        <w:t>does not consider that the charging arrangement represents a barrier to trade and the ACCC should reconsider the ‘materiality’ of the ‘perceived’ barrier. WaterNSW qualifies this position based on the existence of net trade from NSW to Victoria; that is, WaterNSW makes the argument that trade is occurring despite the way in which this charge is levied.</w:t>
      </w:r>
    </w:p>
    <w:p w:rsidR="00BA1234" w:rsidRDefault="00BA1234" w:rsidP="00BA1234">
      <w:r>
        <w:t>Comparatively, Waterfind submitted its view that “it is an undeniable fact that this fee distorts the water market” and “[t]his opinion is also generally shared by Waterfind’s clients actively trading in the Southern Connected system”.</w:t>
      </w:r>
      <w:r w:rsidRPr="00AD5608">
        <w:rPr>
          <w:rStyle w:val="FootnoteReference"/>
          <w:rFonts w:cs="Times New Roman"/>
          <w:sz w:val="20"/>
          <w:szCs w:val="20"/>
        </w:rPr>
        <w:footnoteReference w:id="264"/>
      </w:r>
    </w:p>
    <w:p w:rsidR="00BA1234" w:rsidRDefault="00BA1234" w:rsidP="00BA1234">
      <w:r>
        <w:t>WaterNSW suggested that if this advice is retained in the Final Advice, then it should be amended to allow infrastructure operators to levy infrastructure charges “in connection with trade (to recover prudent and efficient infrastructure costs)” but prohibit infrastructure charges being imposed “as a condition of trade”.</w:t>
      </w:r>
      <w:r w:rsidRPr="00AD5608">
        <w:rPr>
          <w:rStyle w:val="FootnoteReference"/>
          <w:rFonts w:cs="Times New Roman"/>
          <w:sz w:val="20"/>
          <w:szCs w:val="20"/>
        </w:rPr>
        <w:footnoteReference w:id="265"/>
      </w:r>
      <w:r>
        <w:t xml:space="preserve"> WaterNSW argued that its suggested amendment provides flexibility to the infrastructure operator to put in place a policy that addresses the “perceived problem” (associated with barriers to trade) while also ensuring that the operator is able to recover its prudent and efficient costs. </w:t>
      </w:r>
    </w:p>
    <w:p w:rsidR="00BA1234" w:rsidRDefault="00BA1234" w:rsidP="00D17F9C">
      <w:pPr>
        <w:pStyle w:val="Heading5"/>
      </w:pPr>
      <w:r>
        <w:t>The ACCC’s suggestion to levy variable charges on water allocation as opposed to water use or trade</w:t>
      </w:r>
    </w:p>
    <w:p w:rsidR="00BA1234" w:rsidRDefault="00BA1234" w:rsidP="00BA1234">
      <w:r>
        <w:t xml:space="preserve">As an alternative to WaterNSW’s practice of levying infrastructure charges as a condition of trade, the ACCC suggested in its Draft Advice that WaterNSW could instead levy its variable charges when water is </w:t>
      </w:r>
      <w:r>
        <w:rPr>
          <w:i/>
        </w:rPr>
        <w:t>allocated</w:t>
      </w:r>
      <w:r>
        <w:t xml:space="preserve"> to users’ water access entitlements (rather than when it is subsequently used or traded). This approach would allow WaterNSW to still recover a portion of its costs in a manner that varies according to water availability, rather than recovering all of its costs via fixed charges that apply even in times of low (or no) water availability.</w:t>
      </w:r>
    </w:p>
    <w:p w:rsidR="00BA1234" w:rsidRDefault="00BA1234" w:rsidP="00F82FD9">
      <w:pPr>
        <w:spacing w:after="120"/>
      </w:pPr>
      <w:r>
        <w:t>Waterfind submitted that it “fully supports” the ACCC’s suggested approach.</w:t>
      </w:r>
      <w:r w:rsidRPr="00AD5608">
        <w:rPr>
          <w:rStyle w:val="FootnoteReference"/>
          <w:rFonts w:cs="Times New Roman"/>
          <w:sz w:val="20"/>
          <w:szCs w:val="20"/>
        </w:rPr>
        <w:footnoteReference w:id="266"/>
      </w:r>
      <w:r>
        <w:t xml:space="preserve"> Waterfind put forward its view that the approach would:</w:t>
      </w:r>
    </w:p>
    <w:p w:rsidR="00BA1234" w:rsidRDefault="00BA1234" w:rsidP="00A82DE6">
      <w:pPr>
        <w:pStyle w:val="Lvl1Bulletpoint"/>
      </w:pPr>
      <w:r>
        <w:t>“level the playing field” for interstate trade between NSW, South Australian and Victorian irrigators as “NSW water sellers would be indifferent between selling water to buyers in any state”.</w:t>
      </w:r>
    </w:p>
    <w:p w:rsidR="00BA1234" w:rsidRDefault="00BA1234" w:rsidP="00A82DE6">
      <w:pPr>
        <w:pStyle w:val="Lvl1Bulletpoint"/>
      </w:pPr>
      <w:r>
        <w:t>not have a market distorting effect</w:t>
      </w:r>
    </w:p>
    <w:p w:rsidR="00BA1234" w:rsidRDefault="00BA1234" w:rsidP="00A82DE6">
      <w:pPr>
        <w:pStyle w:val="Lvl1Bulletpoint"/>
      </w:pPr>
      <w:r>
        <w:t>resolve another issue related to the imposition of WaterNSW’s variable usage charge on intrastate temporary trades, where the buyer’s licence is not linked to a NSW Works Approval.</w:t>
      </w:r>
      <w:r>
        <w:rPr>
          <w:rStyle w:val="FootnoteReference"/>
        </w:rPr>
        <w:footnoteReference w:id="267"/>
      </w:r>
      <w:r>
        <w:t xml:space="preserve"> </w:t>
      </w:r>
    </w:p>
    <w:p w:rsidR="00BA1234" w:rsidRDefault="00BA1234" w:rsidP="00F82FD9">
      <w:pPr>
        <w:spacing w:after="120"/>
      </w:pPr>
      <w:r>
        <w:t>Comparatively, WaterNSW submitted that it did not support the ACCC’s suggestion and identified the following issues with this approach:</w:t>
      </w:r>
    </w:p>
    <w:p w:rsidR="00BA1234" w:rsidRDefault="00BA1234" w:rsidP="00A82DE6">
      <w:pPr>
        <w:pStyle w:val="Lvl1Bulletpoint"/>
      </w:pPr>
      <w:r>
        <w:t>customers do not have to use all or even some of their water allocation. Therefore, it could result in customers paying for “unused water”.</w:t>
      </w:r>
    </w:p>
    <w:p w:rsidR="00BA1234" w:rsidRDefault="00BA1234" w:rsidP="00A82DE6">
      <w:pPr>
        <w:pStyle w:val="Lvl1Bulletpoint"/>
      </w:pPr>
      <w:r>
        <w:t>difficulties in adjusting accounts for carryover water to avoid double charging.</w:t>
      </w:r>
    </w:p>
    <w:p w:rsidR="00BA1234" w:rsidRDefault="00BA1234" w:rsidP="00A82DE6">
      <w:pPr>
        <w:pStyle w:val="Lvl1Bulletpoint"/>
      </w:pPr>
      <w:r>
        <w:t>it “would be difficult to apply as it is impossible to predict whether or not a customer will engage in trade at the point of allocation and before a trade transaction occurs”.</w:t>
      </w:r>
    </w:p>
    <w:p w:rsidR="00BA1234" w:rsidRDefault="00BA1234" w:rsidP="00A82DE6">
      <w:pPr>
        <w:pStyle w:val="Lvl1Bulletpoint"/>
      </w:pPr>
      <w:r>
        <w:t>it would create “a disincentive for customers to carry over their allocations and to allow them to self-manage their water supply and usage”.</w:t>
      </w:r>
      <w:r w:rsidRPr="00AD5608">
        <w:rPr>
          <w:rStyle w:val="FootnoteReference"/>
          <w:rFonts w:cs="Times New Roman"/>
          <w:sz w:val="20"/>
          <w:szCs w:val="20"/>
        </w:rPr>
        <w:footnoteReference w:id="268"/>
      </w:r>
      <w:r>
        <w:t xml:space="preserve"> </w:t>
      </w:r>
    </w:p>
    <w:p w:rsidR="00BA1234" w:rsidRDefault="00BA1234" w:rsidP="00F82FD9">
      <w:pPr>
        <w:spacing w:after="120"/>
      </w:pPr>
      <w:r>
        <w:t>WaterNSW submitted that it is considering other options (as alternatives to levying its variable usage charge on interstate trade) to recover its infrastructure costs.</w:t>
      </w:r>
      <w:r w:rsidRPr="00AD5608">
        <w:rPr>
          <w:rStyle w:val="FootnoteReference"/>
          <w:rFonts w:cs="Times New Roman"/>
          <w:sz w:val="20"/>
          <w:szCs w:val="20"/>
        </w:rPr>
        <w:footnoteReference w:id="269"/>
      </w:r>
      <w:r>
        <w:t xml:space="preserve"> However, WaterNSW considers that other options are likely to have “adverse impacts” on non-trading customers. WaterNSW acknowledged that any other options it develops will need to be subject to customer consultation and submitted to IPART for approval. WaterNSW was concerned about being exposed to revenue risk in a situation where:</w:t>
      </w:r>
    </w:p>
    <w:p w:rsidR="00BA1234" w:rsidRDefault="00BA1234" w:rsidP="00A82DE6">
      <w:pPr>
        <w:pStyle w:val="Lvl1Bulletpoint"/>
      </w:pPr>
      <w:r>
        <w:t xml:space="preserve">IPART rejects its proposed alternatives and </w:t>
      </w:r>
    </w:p>
    <w:p w:rsidR="00BA1234" w:rsidRDefault="00BA1234" w:rsidP="00A82DE6">
      <w:pPr>
        <w:pStyle w:val="Lvl1Bulletpoint"/>
      </w:pPr>
      <w:r>
        <w:t xml:space="preserve">the water charge rules prohibit infrastructure charges being levied as a condition of trade. </w:t>
      </w:r>
    </w:p>
    <w:p w:rsidR="00BA1234" w:rsidRDefault="00BA1234" w:rsidP="00BA1234">
      <w:pPr>
        <w:rPr>
          <w:rFonts w:cs="Arial"/>
          <w:szCs w:val="20"/>
        </w:rPr>
      </w:pPr>
      <w:r>
        <w:t xml:space="preserve">WaterNSW’s concern about this situation is that it will not be able to recover its prudent and efficient infrastructure costs and that this situation “would produce an even greater market distortion than the perceived market distortion that this recommendation [proposed rule advice] is proposing to address”. </w:t>
      </w:r>
    </w:p>
    <w:p w:rsidR="00BA1234" w:rsidRPr="00B94E3E" w:rsidRDefault="00BA1234" w:rsidP="00BA1234">
      <w:r>
        <w:t xml:space="preserve">There was also a concern from some stakeholders in meetings during the consultation process that this approach could result in a ‘price floor’ for water allocations. </w:t>
      </w:r>
    </w:p>
    <w:p w:rsidR="00BA1234" w:rsidRPr="00D714FC" w:rsidRDefault="00BA1234" w:rsidP="00BA1234">
      <w:pPr>
        <w:pStyle w:val="Heading4"/>
        <w:rPr>
          <w:rFonts w:ascii="Times New Roman" w:hAnsi="Times New Roman" w:cs="Times New Roman"/>
        </w:rPr>
      </w:pPr>
      <w:r>
        <w:t>ACCC assessment</w:t>
      </w:r>
    </w:p>
    <w:p w:rsidR="00BA1234" w:rsidRDefault="00BA1234" w:rsidP="00BA1234">
      <w:r>
        <w:t xml:space="preserve">Infrastructure charges levied as a condition, or result, of trade of tradeable water rights are transactions costs which decrease the gains from trade to market participants. Imposition of such charges have the potential to distort trade flows and in extreme cases deter trade altogether. As such, the ACCC considers that the rules can directly contribute to the effective functioning of water markets by prohibiting inappropriate levying of trade-related infrastructure charges. </w:t>
      </w:r>
    </w:p>
    <w:p w:rsidR="00BA1234" w:rsidRDefault="00BA1234" w:rsidP="00BA1234">
      <w:r>
        <w:t>As noted in the Draft Advice, not all charges levied on trade are inappropriate. In particular, charges which recover the prudent and efficient administration costs associated with trade processing are appropriate and necessary to ensure market prices reflect the true costs involved. The ACCC therefore has maintained its rule advice that certain charges relating to trade should not be prohibited. It also considers that a similar rationale applies in the context of transaction charges for processing terminations, and has therefore maintained this aspect of its rule advice (see below for further discussion).</w:t>
      </w:r>
    </w:p>
    <w:p w:rsidR="00BA1234" w:rsidRDefault="00BA1234" w:rsidP="00BA1234">
      <w:r>
        <w:t xml:space="preserve">The ACCC notes that several stakeholders who identified themselves as having a particular emphasis on promoting efficient water markets, such as the MDBA, SAMI and Waterfind, recognised the need for such a rule and supported the draft rule advice. </w:t>
      </w:r>
    </w:p>
    <w:p w:rsidR="00BA1234" w:rsidRDefault="00BA1234" w:rsidP="00BA1234">
      <w:r>
        <w:t xml:space="preserve">Recommendations by some stakeholders such as the NIC not to make any rule specific to trade-related charges are not supported, since continuing to allow such charges works against the objective of facilitating efficiently functioning water markets. However, stakeholders did raise some legitimate concerns about the ACCC’s draft rule advice which can be addressed. </w:t>
      </w:r>
    </w:p>
    <w:p w:rsidR="00BA1234" w:rsidRDefault="00BA1234" w:rsidP="00D17F9C">
      <w:pPr>
        <w:pStyle w:val="Heading5"/>
      </w:pPr>
      <w:r>
        <w:t>Application of the proposed rule to trade-related infrastructure charges levied by operators</w:t>
      </w:r>
    </w:p>
    <w:p w:rsidR="00BA1234" w:rsidRDefault="00BA1234" w:rsidP="00BA1234">
      <w:r>
        <w:t xml:space="preserve">The ACCC recommends that </w:t>
      </w:r>
      <w:r w:rsidR="00962A76">
        <w:t xml:space="preserve">proposed </w:t>
      </w:r>
      <w:r>
        <w:t xml:space="preserve">rule </w:t>
      </w:r>
      <w:r w:rsidR="00962A76">
        <w:t xml:space="preserve">10A should only </w:t>
      </w:r>
      <w:r>
        <w:t xml:space="preserve">apply to trade-related infrastructure charges. This includes where an infrastructure operator imposes their own trade application charges, or where an operator levies a charge as a result of trade (including where the amount of a charge differs according to whether a customer has traded). </w:t>
      </w:r>
    </w:p>
    <w:p w:rsidR="00BA1234" w:rsidRDefault="00BA1234" w:rsidP="00BA1234">
      <w:r>
        <w:t xml:space="preserve">In some cases, operators impose trade-related charges </w:t>
      </w:r>
      <w:r>
        <w:rPr>
          <w:i/>
        </w:rPr>
        <w:t xml:space="preserve">on behalf of </w:t>
      </w:r>
      <w:r w:rsidRPr="00072B6E">
        <w:rPr>
          <w:i/>
        </w:rPr>
        <w:t>government</w:t>
      </w:r>
      <w:r>
        <w:t xml:space="preserve">. An example is </w:t>
      </w:r>
      <w:r w:rsidR="00CD0E51">
        <w:t>Goulburn-Murray Water (</w:t>
      </w:r>
      <w:r>
        <w:t>GMW</w:t>
      </w:r>
      <w:r w:rsidR="00CD0E51">
        <w:t>)</w:t>
      </w:r>
      <w:r>
        <w:t xml:space="preserve"> and </w:t>
      </w:r>
      <w:r w:rsidR="00B71238">
        <w:t>Lower Murray Water (</w:t>
      </w:r>
      <w:r>
        <w:t>LMW</w:t>
      </w:r>
      <w:r w:rsidR="00B71238">
        <w:t>)</w:t>
      </w:r>
      <w:r>
        <w:t xml:space="preserve">, who are delegated trade approval authority and as such levy trade transaction fees on behalf of the Victorian Government. Such charges are planning and management charges rather than infrastructure charges. </w:t>
      </w:r>
    </w:p>
    <w:p w:rsidR="00BA1234" w:rsidRDefault="00BA1234" w:rsidP="00BA1234">
      <w:r>
        <w:t xml:space="preserve">While recognising that trade-related planning and management charges are also transaction costs that affect trade flows and the gains from trade, the ACCC advises that this rule should not extend to planning and management charges (including where such charges are levied by infrastructure operators). Since these charges are determined by or on behalf government, generally under processes set out in </w:t>
      </w:r>
      <w:r w:rsidR="00962A76">
        <w:t>a law of a S</w:t>
      </w:r>
      <w:r>
        <w:t>tate,</w:t>
      </w:r>
      <w:r>
        <w:rPr>
          <w:rStyle w:val="FootnoteReference"/>
        </w:rPr>
        <w:footnoteReference w:id="270"/>
      </w:r>
      <w:r>
        <w:t xml:space="preserve"> the ACCC considers that Basin States are best placed to ensure these charges do not recover more than the prudent and efficient costs of trade processing.</w:t>
      </w:r>
    </w:p>
    <w:p w:rsidR="00BA1234" w:rsidRDefault="00BA1234" w:rsidP="00D17F9C">
      <w:pPr>
        <w:pStyle w:val="Heading5"/>
      </w:pPr>
      <w:r>
        <w:t>Ability to recover outstanding fees and charges prior to approving a trade</w:t>
      </w:r>
      <w:r w:rsidR="00962A76">
        <w:t xml:space="preserve"> or termination</w:t>
      </w:r>
    </w:p>
    <w:p w:rsidR="00BA1234" w:rsidRDefault="00BA1234" w:rsidP="00BA1234">
      <w:r>
        <w:t>The ACCC agrees that operators should have the ability to require payment of outstanding fees and charges as a condition of approving or processing trade or termination of tradeable water rights (where such charges were levied in accordance with the rules). The ACCC has previously adopted this policy in relation to termination,</w:t>
      </w:r>
      <w:r w:rsidRPr="002739EC">
        <w:rPr>
          <w:rStyle w:val="FootnoteReference"/>
        </w:rPr>
        <w:footnoteReference w:id="271"/>
      </w:r>
      <w:r>
        <w:t xml:space="preserve"> and accepts the need to continue to cater for this in the amended rules. </w:t>
      </w:r>
    </w:p>
    <w:p w:rsidR="00BA1234" w:rsidRPr="009A4B8E" w:rsidRDefault="00BA1234" w:rsidP="00BA1234">
      <w:r>
        <w:t>Although operators likely have other contractual avenues for securing payment of outstanding charges (e.g. pursuing a customer for breach of contract), the ACCC acknowledges that in practice it may be costly for an operator to pursue these avenues, particularly in a context where trade or termination results in a customer ceasing to be a customer.</w:t>
      </w:r>
    </w:p>
    <w:p w:rsidR="00BA1234" w:rsidRDefault="00BA1234" w:rsidP="00BA1234">
      <w:r>
        <w:t>According</w:t>
      </w:r>
      <w:r w:rsidR="00C75CE7">
        <w:t>ly</w:t>
      </w:r>
      <w:r>
        <w:t>, the ACCC amend</w:t>
      </w:r>
      <w:r w:rsidR="00962A76">
        <w:t>s</w:t>
      </w:r>
      <w:r>
        <w:t xml:space="preserve"> its </w:t>
      </w:r>
      <w:r w:rsidR="00962A76">
        <w:t>Draft A</w:t>
      </w:r>
      <w:r>
        <w:t xml:space="preserve">dvice to allow for </w:t>
      </w:r>
      <w:r w:rsidRPr="00F73556">
        <w:t>operators to require payment of any outstanding fees and charges</w:t>
      </w:r>
      <w:r>
        <w:t xml:space="preserve"> as</w:t>
      </w:r>
      <w:r w:rsidRPr="002739EC">
        <w:t xml:space="preserve"> a condition of the operator providing their consent or approval to a trade</w:t>
      </w:r>
      <w:r>
        <w:t xml:space="preserve"> or termination</w:t>
      </w:r>
      <w:r w:rsidRPr="00F73556">
        <w:t>, rather than only those that were levied before the amend</w:t>
      </w:r>
      <w:r>
        <w:t>ment</w:t>
      </w:r>
      <w:r w:rsidRPr="00F73556">
        <w:t xml:space="preserve"> date</w:t>
      </w:r>
      <w:r>
        <w:t xml:space="preserve"> of the rules</w:t>
      </w:r>
      <w:r w:rsidRPr="00F73556">
        <w:t>.</w:t>
      </w:r>
    </w:p>
    <w:p w:rsidR="00BA1234" w:rsidRPr="00F73556" w:rsidRDefault="00BA1234" w:rsidP="00D17F9C">
      <w:pPr>
        <w:pStyle w:val="Heading5"/>
      </w:pPr>
      <w:r>
        <w:t>Ability to recover costs relating to infrastructure services actually provided</w:t>
      </w:r>
    </w:p>
    <w:p w:rsidR="00BA1234" w:rsidRDefault="00BA1234" w:rsidP="0061009F">
      <w:pPr>
        <w:contextualSpacing/>
      </w:pPr>
      <w:r>
        <w:t xml:space="preserve">The ACCC acknowledges that in many cases across the </w:t>
      </w:r>
      <w:r w:rsidR="00BF194C">
        <w:t>Murray-Darling Basin (</w:t>
      </w:r>
      <w:r>
        <w:t>MDB</w:t>
      </w:r>
      <w:r w:rsidR="00BF194C">
        <w:t>)</w:t>
      </w:r>
      <w:r>
        <w:t>, charges levied on water access rights form the basis of cost recovery for a considerable range of infrastructure services, such as:</w:t>
      </w:r>
    </w:p>
    <w:p w:rsidR="00BA1234" w:rsidRDefault="00BA1234" w:rsidP="00F43856">
      <w:pPr>
        <w:pStyle w:val="ListParagraph"/>
        <w:numPr>
          <w:ilvl w:val="0"/>
          <w:numId w:val="59"/>
        </w:numPr>
      </w:pPr>
      <w:r>
        <w:t>water harvesting</w:t>
      </w:r>
    </w:p>
    <w:p w:rsidR="00BA1234" w:rsidRDefault="00BA1234" w:rsidP="00F43856">
      <w:pPr>
        <w:pStyle w:val="ListParagraph"/>
        <w:numPr>
          <w:ilvl w:val="0"/>
          <w:numId w:val="59"/>
        </w:numPr>
      </w:pPr>
      <w:r>
        <w:t>water storage (including carryover)</w:t>
      </w:r>
    </w:p>
    <w:p w:rsidR="00BA1234" w:rsidRDefault="00BA1234" w:rsidP="00F43856">
      <w:pPr>
        <w:pStyle w:val="ListParagraph"/>
        <w:numPr>
          <w:ilvl w:val="0"/>
          <w:numId w:val="59"/>
        </w:numPr>
      </w:pPr>
      <w:r>
        <w:t>on-river delivery of water</w:t>
      </w:r>
    </w:p>
    <w:p w:rsidR="00BA1234" w:rsidRDefault="00BA1234" w:rsidP="00F43856">
      <w:pPr>
        <w:pStyle w:val="ListParagraph"/>
        <w:numPr>
          <w:ilvl w:val="0"/>
          <w:numId w:val="59"/>
        </w:numPr>
      </w:pPr>
      <w:r>
        <w:t>water planning and management</w:t>
      </w:r>
      <w:r w:rsidR="002A58F8">
        <w:t xml:space="preserve"> (WPM)</w:t>
      </w:r>
      <w:r>
        <w:t xml:space="preserve"> activities.</w:t>
      </w:r>
    </w:p>
    <w:p w:rsidR="00BA1234" w:rsidRDefault="00BA1234" w:rsidP="00BA1234">
      <w:r>
        <w:t>The nature of the specific charges used to recover the costs of such infrastructure services varies considerably across Basin States. In particular, some operators rely much more on variable (usage) charges to recover these costs than others. A key example is WaterNSW, whose regulators (both IPART and the ACCC) have historically r</w:t>
      </w:r>
      <w:r w:rsidRPr="00F73556">
        <w:t xml:space="preserve">equired WaterNSW to recover </w:t>
      </w:r>
      <w:r>
        <w:t xml:space="preserve">a substantial portion </w:t>
      </w:r>
      <w:r w:rsidRPr="00F73556">
        <w:t xml:space="preserve">of </w:t>
      </w:r>
      <w:r>
        <w:t xml:space="preserve">its predominantly </w:t>
      </w:r>
      <w:r w:rsidRPr="00F73556">
        <w:t>fixed costs incur</w:t>
      </w:r>
      <w:r>
        <w:t>red</w:t>
      </w:r>
      <w:r w:rsidRPr="00F73556">
        <w:t xml:space="preserve"> </w:t>
      </w:r>
      <w:r>
        <w:t xml:space="preserve">in </w:t>
      </w:r>
      <w:r w:rsidRPr="00F73556">
        <w:t>harvesting and stor</w:t>
      </w:r>
      <w:r>
        <w:t>ing water</w:t>
      </w:r>
      <w:r w:rsidRPr="00F73556">
        <w:t xml:space="preserve"> via variable charges</w:t>
      </w:r>
      <w:r>
        <w:t>.</w:t>
      </w:r>
    </w:p>
    <w:p w:rsidR="00BA1234" w:rsidRDefault="00BA1234" w:rsidP="00BA1234">
      <w:r>
        <w:t>In a situation where variable charges (levied on the volume of water delivered) are used to recover fixed costs, a decision by a customer not to have water delivered has the potential to impact on the operator’s cost recovery. Examples include where a customer forfeits water allocation, stores water instead of using it (via carryover), or trades water allocation such that the buyer is not able to be charged a variable charge by the operator providing the infrastructure service (for example, because the buyer is located beyond the jurisdiction of the operator). In all of these cases, the operator is not able to levy the relevant charge, and so faces revenue risk.</w:t>
      </w:r>
    </w:p>
    <w:p w:rsidR="00BA1234" w:rsidRDefault="00BA1234" w:rsidP="00BA1234">
      <w:r>
        <w:t xml:space="preserve">Various remedies to this situation are available. At the most fundamental level, the situation arises due to a non-alignment of charges and costs—in particular, because variable charges (levied on water delivery) are being used to recover fixed costs. Thus, one option is to move towards more cost-reflective tariff structures. </w:t>
      </w:r>
    </w:p>
    <w:p w:rsidR="00BA1234" w:rsidRDefault="00BA1234" w:rsidP="00BA1234">
      <w:r>
        <w:t xml:space="preserve">Another option, currently employed by WaterNSW, is to partially change the basis for when variable charges are levied, such that they are not only payable when water is delivered / used. WaterNSW has chosen to levy its variable charge when water is delivered / used </w:t>
      </w:r>
      <w:r>
        <w:rPr>
          <w:i/>
        </w:rPr>
        <w:t>and</w:t>
      </w:r>
      <w:r>
        <w:t xml:space="preserve"> in certain cases</w:t>
      </w:r>
      <w:r>
        <w:rPr>
          <w:rStyle w:val="FootnoteReference"/>
        </w:rPr>
        <w:footnoteReference w:id="272"/>
      </w:r>
      <w:r>
        <w:t xml:space="preserve"> when water allocation is traded. WaterNSW currently does </w:t>
      </w:r>
      <w:r>
        <w:rPr>
          <w:i/>
        </w:rPr>
        <w:t>not</w:t>
      </w:r>
      <w:r>
        <w:t xml:space="preserve"> levy a variable charge on forfeited water or when water is carried over.</w:t>
      </w:r>
      <w:r>
        <w:rPr>
          <w:rStyle w:val="FootnoteReference"/>
        </w:rPr>
        <w:footnoteReference w:id="273"/>
      </w:r>
      <w:r>
        <w:t xml:space="preserve"> This practice has the distortionary effect that NSW sellers who sell interstate and / or interstate buyers, who may choose to on-sell, carryover or forfeit their traded water allocation, are required to pay the WaterNSW usage charge ‘up front’ (i.e. before usage), while all other customers are not. </w:t>
      </w:r>
    </w:p>
    <w:p w:rsidR="00BA1234" w:rsidRDefault="00BA1234" w:rsidP="00F82FD9">
      <w:pPr>
        <w:spacing w:after="120"/>
      </w:pPr>
      <w:r>
        <w:t>In a report commissioned by the ACCC for the water charge rules review, Marsden Jacob Associates</w:t>
      </w:r>
      <w:r>
        <w:rPr>
          <w:rStyle w:val="FootnoteReference"/>
        </w:rPr>
        <w:footnoteReference w:id="274"/>
      </w:r>
      <w:r>
        <w:t xml:space="preserve"> provided the following comments on WaterNSW’s practice of levying its variable charge on interstate trade, after consulting operators, water brokers, and several other stakeholders:</w:t>
      </w:r>
    </w:p>
    <w:p w:rsidR="00BA1234" w:rsidRDefault="00BA1234" w:rsidP="00A82DE6">
      <w:pPr>
        <w:pStyle w:val="Lvl1Bulletpoint"/>
      </w:pPr>
      <w:r>
        <w:t xml:space="preserve">NSW allocation water consistently sells for $5-$7 less than </w:t>
      </w:r>
      <w:r w:rsidR="00F54D67">
        <w:t xml:space="preserve">Victorian </w:t>
      </w:r>
      <w:r>
        <w:t>allocation water in V</w:t>
      </w:r>
      <w:r w:rsidR="0037210E">
        <w:t>ictorian</w:t>
      </w:r>
      <w:r>
        <w:t xml:space="preserve"> and S</w:t>
      </w:r>
      <w:r w:rsidR="0037210E">
        <w:t xml:space="preserve">outh </w:t>
      </w:r>
      <w:r>
        <w:t>A</w:t>
      </w:r>
      <w:r w:rsidR="0037210E">
        <w:t>ustralian</w:t>
      </w:r>
      <w:r>
        <w:t xml:space="preserve"> water markets</w:t>
      </w:r>
    </w:p>
    <w:p w:rsidR="00BA1234" w:rsidRDefault="00BA1234" w:rsidP="00A82DE6">
      <w:pPr>
        <w:pStyle w:val="Lvl1Bulletpoint"/>
      </w:pPr>
      <w:r>
        <w:t>it has caused a ‘two price’ market (consisting of an internal NSW price and an interstate price), which has nonetheless ‘been accommodated’ by the market</w:t>
      </w:r>
    </w:p>
    <w:p w:rsidR="00BA1234" w:rsidRDefault="00BA1234" w:rsidP="00A82DE6">
      <w:pPr>
        <w:pStyle w:val="Lvl1Bulletpoint"/>
      </w:pPr>
      <w:r>
        <w:t xml:space="preserve">it has a ‘third order’ effect on market participants’ decision-making </w:t>
      </w:r>
    </w:p>
    <w:p w:rsidR="00BA1234" w:rsidRDefault="00BA1234" w:rsidP="00A82DE6">
      <w:pPr>
        <w:pStyle w:val="Lvl1Bulletpoint"/>
      </w:pPr>
      <w:r>
        <w:t>it is likely that NSW sellers are suffering a welfare loss as a result of the VUC [variable use charge]</w:t>
      </w:r>
    </w:p>
    <w:p w:rsidR="00BA1234" w:rsidRDefault="00BA1234" w:rsidP="00A82DE6">
      <w:pPr>
        <w:pStyle w:val="Lvl1Bulletpoint"/>
      </w:pPr>
      <w:r>
        <w:t>the root cause of the trade distorting impact of the VUC is the reliance by Water NSW on the VUC to recover a share of fixed costs.</w:t>
      </w:r>
    </w:p>
    <w:p w:rsidR="00BA1234" w:rsidRPr="00A3249E" w:rsidRDefault="00BA1234" w:rsidP="00BA1234">
      <w:r>
        <w:t xml:space="preserve">The ACCC considers that, </w:t>
      </w:r>
      <w:r w:rsidRPr="00A3249E">
        <w:t xml:space="preserve">while this practice does not altogether </w:t>
      </w:r>
      <w:r w:rsidRPr="00A3249E">
        <w:rPr>
          <w:i/>
        </w:rPr>
        <w:t>preclude</w:t>
      </w:r>
      <w:r w:rsidRPr="00A3249E">
        <w:t xml:space="preserve"> trade from NSW interstate, it is likely to distort trade flows and the distribution of gains from trade. Further, the ACCC considers that this approach is not transparent because it is not clear what services interstate users are paying for.</w:t>
      </w:r>
    </w:p>
    <w:p w:rsidR="00BA1234" w:rsidRPr="00F73556" w:rsidRDefault="00BA1234" w:rsidP="00F82FD9">
      <w:pPr>
        <w:spacing w:after="120"/>
        <w:rPr>
          <w:b/>
        </w:rPr>
      </w:pPr>
      <w:r>
        <w:t>In view of the distortionary effect of this practice on water markets, the ACCC supports future reform of WaterNSW’s tariff structure towards less distortionary arrangements over the longer term. However, the ACCC also recognises that WaterNSW, as well as other operators who provide on-river infrastructure services, are generally required to have their charges approved or determined by economic regulators. Those regulators (one of which is the ACCC) are required to balance a range of objectives and do not necessarily implement fully cost-reflective charging arrangements.</w:t>
      </w:r>
      <w:r w:rsidRPr="00565ED3">
        <w:t xml:space="preserve"> </w:t>
      </w:r>
      <w:r>
        <w:t>The ACCC acknowledges that while</w:t>
      </w:r>
      <w:r w:rsidRPr="00F73556">
        <w:t>:</w:t>
      </w:r>
    </w:p>
    <w:p w:rsidR="00BA1234" w:rsidRPr="00BA1234" w:rsidRDefault="00BA1234" w:rsidP="00A82DE6">
      <w:pPr>
        <w:pStyle w:val="Lvl1Bulletpoint"/>
      </w:pPr>
      <w:r w:rsidRPr="00BA1234">
        <w:t xml:space="preserve">regulators are able to impose such non-cost reflective tariff structures and </w:t>
      </w:r>
    </w:p>
    <w:p w:rsidR="00BA1234" w:rsidRPr="00BA1234" w:rsidRDefault="00BA1234" w:rsidP="00A82DE6">
      <w:pPr>
        <w:pStyle w:val="Lvl1Bulletpoint"/>
      </w:pPr>
      <w:r w:rsidRPr="00BA1234">
        <w:t>a bundle of infrastructure services (i.e. harvesting, storage, carryover, delivery) may be encompassed into a single variable charge;</w:t>
      </w:r>
    </w:p>
    <w:p w:rsidR="00BA1234" w:rsidRDefault="00BA1234" w:rsidP="00BA1234">
      <w:r w:rsidRPr="00F73556">
        <w:t xml:space="preserve">a water charge rule prohibiting </w:t>
      </w:r>
      <w:r w:rsidRPr="0006686C">
        <w:rPr>
          <w:i/>
        </w:rPr>
        <w:t xml:space="preserve">all </w:t>
      </w:r>
      <w:r w:rsidRPr="00F73556">
        <w:t xml:space="preserve">infrastructure charges levied </w:t>
      </w:r>
      <w:r>
        <w:t xml:space="preserve">in relation to </w:t>
      </w:r>
      <w:r w:rsidRPr="00F73556">
        <w:t xml:space="preserve">trade </w:t>
      </w:r>
      <w:r>
        <w:t>(as proposed in the Draft Advice) may be</w:t>
      </w:r>
      <w:r w:rsidRPr="00F73556">
        <w:t xml:space="preserve"> too inflexible</w:t>
      </w:r>
      <w:r>
        <w:t xml:space="preserve"> and involve significant regulatory costs</w:t>
      </w:r>
      <w:r w:rsidRPr="00F73556">
        <w:t>.</w:t>
      </w:r>
      <w:r w:rsidRPr="00565ED3">
        <w:t xml:space="preserve"> </w:t>
      </w:r>
    </w:p>
    <w:p w:rsidR="00BA1234" w:rsidRDefault="00BA1234" w:rsidP="00BA1234">
      <w:pPr>
        <w:rPr>
          <w:rFonts w:cs="Arial"/>
          <w:szCs w:val="20"/>
        </w:rPr>
      </w:pPr>
      <w:r w:rsidRPr="00F73556">
        <w:t xml:space="preserve">This position acknowledges that current and previous regulatory decisions have required WaterNSW </w:t>
      </w:r>
      <w:r w:rsidR="00962A76">
        <w:t xml:space="preserve">to </w:t>
      </w:r>
      <w:r>
        <w:t>rely heavily on</w:t>
      </w:r>
      <w:r w:rsidRPr="00F73556">
        <w:t xml:space="preserve"> variable charges. </w:t>
      </w:r>
      <w:r>
        <w:rPr>
          <w:rFonts w:cs="Arial"/>
          <w:szCs w:val="20"/>
        </w:rPr>
        <w:t xml:space="preserve">To the extent that WaterNSW is compelled to recover a portion of their fixed costs through variable charges, and are limited to a levying a single variable charge to encompass a bundle of infrastructure services, it could be considered reasonable to impose the variable charge on all customers receiving any relevant infrastructure service. Further, the ACCC acknowledges that WaterNSW does provide infrastructure services in relation to the water being traded: it harvests and stores the water to enable it to be allocated to customers’ </w:t>
      </w:r>
      <w:r w:rsidR="0012425C">
        <w:rPr>
          <w:rFonts w:cs="Arial"/>
          <w:szCs w:val="20"/>
        </w:rPr>
        <w:t>WAE</w:t>
      </w:r>
      <w:r>
        <w:rPr>
          <w:rFonts w:cs="Arial"/>
          <w:szCs w:val="20"/>
        </w:rPr>
        <w:t xml:space="preserve">s. </w:t>
      </w:r>
    </w:p>
    <w:p w:rsidR="00BA1234" w:rsidRDefault="00BA1234" w:rsidP="00BA1234">
      <w:pPr>
        <w:rPr>
          <w:rFonts w:cs="Arial"/>
          <w:b/>
          <w:szCs w:val="20"/>
        </w:rPr>
      </w:pPr>
      <w:r>
        <w:rPr>
          <w:rFonts w:cs="Arial"/>
          <w:szCs w:val="20"/>
        </w:rPr>
        <w:t>Additionally, WaterNSW may face additional costs when physically ‘delivering’ water to interstate buyers (e.g. by releasing water from WaterNSW-operated storages to deliver water that has been traded to downstream interstate users). Where this occurs, it is arguable that WaterNSW should be able to recover these costs from those interstate users. However, practically, WaterNSW cannot meter water deliveries to interstate users. As such, it is arguable that WaterNSW should be able to impose a charge that recovers the costs of interstate services provided in relation to the water at the time the water allocation is traded interstate. The ACCC’s Draft Advice only proposed allowing for charges to recover the ‘reasonable and efficient administrative costs of processing a trade</w:t>
      </w:r>
      <w:r w:rsidR="00221583">
        <w:rPr>
          <w:rFonts w:cs="Arial"/>
          <w:szCs w:val="20"/>
        </w:rPr>
        <w:t>’</w:t>
      </w:r>
      <w:r>
        <w:rPr>
          <w:rFonts w:cs="Arial"/>
          <w:szCs w:val="20"/>
        </w:rPr>
        <w:t xml:space="preserve"> rather than the costs of other infrastructure services provided. </w:t>
      </w:r>
    </w:p>
    <w:p w:rsidR="00BA1234" w:rsidRDefault="00BA1234" w:rsidP="00F82FD9">
      <w:pPr>
        <w:spacing w:after="120"/>
      </w:pPr>
      <w:r>
        <w:t>In view of these considerations, the ACCC revise</w:t>
      </w:r>
      <w:r w:rsidR="00962A76">
        <w:t>s</w:t>
      </w:r>
      <w:r>
        <w:t xml:space="preserve"> its </w:t>
      </w:r>
      <w:r w:rsidR="00962A76">
        <w:t>Draft A</w:t>
      </w:r>
      <w:r>
        <w:t xml:space="preserve">dvice to provide for </w:t>
      </w:r>
      <w:r w:rsidRPr="00F73556">
        <w:t xml:space="preserve">the imposition of </w:t>
      </w:r>
      <w:r>
        <w:t xml:space="preserve">infrastructure </w:t>
      </w:r>
      <w:r w:rsidRPr="00F73556">
        <w:t xml:space="preserve">charges when water </w:t>
      </w:r>
      <w:r>
        <w:t>access rights are</w:t>
      </w:r>
      <w:r w:rsidRPr="00F73556">
        <w:t xml:space="preserve"> traded, where</w:t>
      </w:r>
      <w:r w:rsidRPr="00FF0A76">
        <w:t xml:space="preserve"> </w:t>
      </w:r>
      <w:r w:rsidRPr="00F73556">
        <w:t>an operator provides</w:t>
      </w:r>
      <w:r w:rsidR="00962A76">
        <w:t xml:space="preserve"> infrastructure services for the</w:t>
      </w:r>
      <w:r>
        <w:t>:</w:t>
      </w:r>
    </w:p>
    <w:p w:rsidR="00BA1234" w:rsidRPr="00FF0A76" w:rsidRDefault="00BA1234" w:rsidP="00A82DE6">
      <w:pPr>
        <w:pStyle w:val="Lvl1Bulletpoint"/>
        <w:rPr>
          <w:b/>
        </w:rPr>
      </w:pPr>
      <w:r w:rsidRPr="00F73556">
        <w:t>harvesting or storage of water before a trade</w:t>
      </w:r>
      <w:r>
        <w:t>;</w:t>
      </w:r>
      <w:r w:rsidRPr="00F73556">
        <w:t xml:space="preserve"> </w:t>
      </w:r>
    </w:p>
    <w:p w:rsidR="00BA1234" w:rsidRPr="00FF0A76" w:rsidRDefault="00962A76" w:rsidP="00A82DE6">
      <w:pPr>
        <w:pStyle w:val="Lvl1Bulletpoint"/>
        <w:rPr>
          <w:b/>
        </w:rPr>
      </w:pPr>
      <w:r>
        <w:t xml:space="preserve">storage or </w:t>
      </w:r>
      <w:r w:rsidR="00BA1234">
        <w:t xml:space="preserve">delivery of water in the course of giving </w:t>
      </w:r>
      <w:r w:rsidR="00BA1234" w:rsidRPr="00F73556">
        <w:t>effect to a trade</w:t>
      </w:r>
      <w:r w:rsidR="00BA1234">
        <w:t>;</w:t>
      </w:r>
      <w:r w:rsidR="00BA1234" w:rsidRPr="00F73556">
        <w:t xml:space="preserve"> </w:t>
      </w:r>
      <w:r w:rsidR="00BA1234">
        <w:t>or</w:t>
      </w:r>
    </w:p>
    <w:p w:rsidR="00BA1234" w:rsidRPr="00FF0A76" w:rsidRDefault="00962A76" w:rsidP="00A82DE6">
      <w:pPr>
        <w:pStyle w:val="Lvl1Bulletpoint"/>
        <w:rPr>
          <w:b/>
        </w:rPr>
      </w:pPr>
      <w:r>
        <w:t xml:space="preserve">storage or delivery of water </w:t>
      </w:r>
      <w:r w:rsidR="00BA1234">
        <w:t xml:space="preserve">in relation to the traded water access right </w:t>
      </w:r>
      <w:r w:rsidR="00BA1234">
        <w:rPr>
          <w:i/>
        </w:rPr>
        <w:t xml:space="preserve">after </w:t>
      </w:r>
      <w:r w:rsidR="00BA1234">
        <w:t xml:space="preserve">a trade but is not able to </w:t>
      </w:r>
      <w:r w:rsidR="001174E5">
        <w:t xml:space="preserve">levy a </w:t>
      </w:r>
      <w:r w:rsidR="00BA1234">
        <w:t xml:space="preserve">charge </w:t>
      </w:r>
      <w:r w:rsidR="001174E5">
        <w:t xml:space="preserve">on </w:t>
      </w:r>
      <w:r w:rsidR="00BA1234">
        <w:t>the customer after the trade occurs.</w:t>
      </w:r>
      <w:r w:rsidR="00BA1234">
        <w:rPr>
          <w:rStyle w:val="FootnoteReference"/>
        </w:rPr>
        <w:footnoteReference w:id="275"/>
      </w:r>
    </w:p>
    <w:p w:rsidR="00BA1234" w:rsidRDefault="00BA1234" w:rsidP="00BA1234">
      <w:pPr>
        <w:rPr>
          <w:b/>
        </w:rPr>
      </w:pPr>
      <w:r>
        <w:t xml:space="preserve">The revised advice </w:t>
      </w:r>
      <w:r w:rsidRPr="00F73556">
        <w:t>will allow WaterNSW to continue its current practice of levying a charge equivalent to the valley-of-origin variable charge when water is traded interstate.</w:t>
      </w:r>
      <w:r>
        <w:t xml:space="preserve"> However</w:t>
      </w:r>
      <w:r w:rsidRPr="00F73556">
        <w:t xml:space="preserve">, this </w:t>
      </w:r>
      <w:r>
        <w:t xml:space="preserve">revised advice </w:t>
      </w:r>
      <w:r w:rsidRPr="00F73556">
        <w:t>will continue to have the effect of preventing off-river infrastructure operators from imposing ‘exit fees’ when water is traded out of their area of operators (whether ‘temporarily’ or ‘permanently’)</w:t>
      </w:r>
      <w:r>
        <w:t xml:space="preserve">. This is because the off-river infrastructure operator does not provide infrastructure services for the harvesting or storage of water before a trade, for the </w:t>
      </w:r>
      <w:r w:rsidR="00B71D7D">
        <w:t xml:space="preserve">storage or </w:t>
      </w:r>
      <w:r>
        <w:t>delivery of water to give effect to the trade, or in relation to the</w:t>
      </w:r>
      <w:r w:rsidR="00B71D7D">
        <w:t xml:space="preserve"> storage or delivery of</w:t>
      </w:r>
      <w:r>
        <w:t xml:space="preserve"> water after the trade. </w:t>
      </w:r>
    </w:p>
    <w:p w:rsidR="00BA1234" w:rsidRPr="009A4B8E" w:rsidRDefault="00BA1234" w:rsidP="00D17F9C">
      <w:pPr>
        <w:pStyle w:val="Heading5"/>
      </w:pPr>
      <w:r>
        <w:t>Innovation in charging arrangements to avoid charges which distort trade</w:t>
      </w:r>
    </w:p>
    <w:p w:rsidR="00BA1234" w:rsidRDefault="00BA1234" w:rsidP="00BA1234">
      <w:r w:rsidRPr="00F3010A">
        <w:t>The ACCC acknowledges</w:t>
      </w:r>
      <w:r>
        <w:t xml:space="preserve"> that WaterNSW currently imposes its variable usage charge on interstate trade in order to recover its costs (particularly in the context of regulators requiring WaterNSW to recover 60 per cent of the user share of revenues from variable costs). However, as noted in the Draft Advice, WaterNSW does have other alternatives for imposing charges – for example, levying the variable charge when water is allocated. </w:t>
      </w:r>
      <w:r w:rsidRPr="00F3010A">
        <w:t>The ACCC understands</w:t>
      </w:r>
      <w:r>
        <w:t xml:space="preserve"> that WaterNSW is considering options for new infrastructure services and charging arrangements generally (i.e. not solely in the context of rule advice 5-D). </w:t>
      </w:r>
    </w:p>
    <w:p w:rsidR="00BA1234" w:rsidRDefault="00BA1234" w:rsidP="00BA1234">
      <w:r>
        <w:t xml:space="preserve">The ACCC notes WaterNSW’s concern that the proposed amendments could require WaterNSW to restructure its tariff structure in new and different ways, which may not be accepted by the state regulator (IPART) and therefore could expose WaterNSW to revenue risk. In response, the ACCC acknowledges that, assuming IPART continues to approve WaterNSW’s specific charges (as opposed to setting a revenue cap and allowing WaterNSW to have discretion on charging structure), it is possible that IPART could reject charge proposals made by WaterNSW on a range of grounds. However, the ACCC considers that in rejecting a particular pricing proposal, IPART would nevertheless provide for WaterNSW to recover its prudent and efficient costs, by </w:t>
      </w:r>
      <w:r w:rsidR="000A4485">
        <w:t xml:space="preserve">determining charges directly or </w:t>
      </w:r>
      <w:r>
        <w:t>allowing WaterNSW to submit a different proposal for approval.</w:t>
      </w:r>
      <w:r>
        <w:rPr>
          <w:rStyle w:val="FootnoteReference"/>
          <w:rFonts w:cs="Arial"/>
          <w:szCs w:val="20"/>
        </w:rPr>
        <w:footnoteReference w:id="276"/>
      </w:r>
      <w:r w:rsidDel="00A853CB">
        <w:t xml:space="preserve"> </w:t>
      </w:r>
    </w:p>
    <w:p w:rsidR="00BA1234" w:rsidRDefault="00BA1234" w:rsidP="00F82FD9">
      <w:pPr>
        <w:spacing w:after="120"/>
      </w:pPr>
      <w:r>
        <w:t xml:space="preserve">The ACCC also notes that its suggestion </w:t>
      </w:r>
      <w:r w:rsidR="00B71D7D">
        <w:t xml:space="preserve">in the Draft Advice </w:t>
      </w:r>
      <w:r>
        <w:t>of levying a variable charge when water is allocated, rather than used, was supported by Waterfind but not by WaterNSW. The ACCC continues to consider that this suggestion may have merit, for the following reasons:</w:t>
      </w:r>
    </w:p>
    <w:p w:rsidR="00BA1234" w:rsidRDefault="00B71D7D" w:rsidP="00A82DE6">
      <w:pPr>
        <w:pStyle w:val="Lvl1Bulletpoint"/>
      </w:pPr>
      <w:r>
        <w:t>T</w:t>
      </w:r>
      <w:r w:rsidR="00BA1234">
        <w:t xml:space="preserve">he charge would be payable by customers whose NSW </w:t>
      </w:r>
      <w:r w:rsidR="0012425C">
        <w:t>WAE</w:t>
      </w:r>
      <w:r w:rsidR="00BA1234">
        <w:t>s have water allocated to them, regardless of subsequent use, trade, or forfeiture decisions. This would mean that this charge would not distort decision-making as it would be treated as a ‘sunk cost’.</w:t>
      </w:r>
      <w:r w:rsidR="00BA1234">
        <w:rPr>
          <w:rStyle w:val="FootnoteReference"/>
          <w:rFonts w:cs="Arial"/>
          <w:szCs w:val="20"/>
        </w:rPr>
        <w:footnoteReference w:id="277"/>
      </w:r>
      <w:r w:rsidR="00BA1234">
        <w:t xml:space="preserve"> Also, it could help ameliorate the level of variable charges in NSW valleys (such as the Peel Valley) where there is a substantial amount of forfeiture.</w:t>
      </w:r>
      <w:r w:rsidR="00BA1234">
        <w:rPr>
          <w:rStyle w:val="FootnoteReference"/>
          <w:rFonts w:cs="Arial"/>
          <w:szCs w:val="20"/>
        </w:rPr>
        <w:footnoteReference w:id="278"/>
      </w:r>
    </w:p>
    <w:p w:rsidR="00BA1234" w:rsidRDefault="00BA1234" w:rsidP="00A82DE6">
      <w:pPr>
        <w:pStyle w:val="Lvl1Bulletpoint"/>
      </w:pPr>
      <w:r>
        <w:t xml:space="preserve">This charging basis partially retains the characteristic of a ‘variable’ charge in that it is levied only when water is actually available (which better aligns with most customers’ income streams than levying fixed charges), without being limited to only being paid by customers who actually </w:t>
      </w:r>
      <w:r>
        <w:rPr>
          <w:i/>
        </w:rPr>
        <w:t>use</w:t>
      </w:r>
      <w:r>
        <w:t xml:space="preserve"> water.</w:t>
      </w:r>
    </w:p>
    <w:p w:rsidR="00BA1234" w:rsidRPr="00895EBC" w:rsidRDefault="00BA1234" w:rsidP="00A82DE6">
      <w:pPr>
        <w:pStyle w:val="Lvl1Bulletpoint"/>
      </w:pPr>
      <w:r>
        <w:t>This charging basis avoids the potential for inter-temporal mismatch between when costs are incurred and when they are recovered.</w:t>
      </w:r>
    </w:p>
    <w:p w:rsidR="00BA1234" w:rsidRPr="00C41460" w:rsidRDefault="00BA1234" w:rsidP="00BA1234">
      <w:r>
        <w:t>However, the ACCC acknowledges feedback from consultation with WaterNSW that practical changes such as changes to information technology systems may be required to implement this change, and that in any case such a change would need to be approved by IPART. The ACCC supports further consideration of this possibility and consideration of other innovative arrangements</w:t>
      </w:r>
      <w:r w:rsidR="00B71D7D">
        <w:t>,</w:t>
      </w:r>
      <w:r>
        <w:t xml:space="preserve"> which lessen trade distortions.</w:t>
      </w:r>
    </w:p>
    <w:p w:rsidR="00BA1234" w:rsidRDefault="00BA1234" w:rsidP="00D17F9C">
      <w:pPr>
        <w:pStyle w:val="Heading5"/>
      </w:pPr>
      <w:r>
        <w:t>Response to additional concerns raised by Waterfind</w:t>
      </w:r>
    </w:p>
    <w:p w:rsidR="00BA1234" w:rsidRDefault="00BA1234" w:rsidP="00BA1234">
      <w:r>
        <w:t xml:space="preserve">The ACCC agrees with </w:t>
      </w:r>
      <w:r w:rsidRPr="00C41460">
        <w:t>Waterfind that the water charge rules do not prevent outright prohibitions on temporary trade of irrigation right, and also that restrictions</w:t>
      </w:r>
      <w:r>
        <w:t xml:space="preserve"> of this kind are not clearly dealt with under the Basin Plan water trading rules (or the water charge </w:t>
      </w:r>
      <w:r w:rsidR="00830F3D">
        <w:t xml:space="preserve">rules </w:t>
      </w:r>
      <w:r>
        <w:t xml:space="preserve">or </w:t>
      </w:r>
      <w:r w:rsidR="009321E5" w:rsidRPr="00830F3D">
        <w:t>W</w:t>
      </w:r>
      <w:r w:rsidRPr="00830F3D">
        <w:t xml:space="preserve">ater </w:t>
      </w:r>
      <w:r w:rsidR="009321E5" w:rsidRPr="00830F3D">
        <w:t>M</w:t>
      </w:r>
      <w:r w:rsidRPr="00830F3D">
        <w:t xml:space="preserve">arket </w:t>
      </w:r>
      <w:r w:rsidR="009321E5" w:rsidRPr="00830F3D">
        <w:t>R</w:t>
      </w:r>
      <w:r w:rsidRPr="00830F3D">
        <w:t>ules</w:t>
      </w:r>
      <w:r w:rsidR="009321E5" w:rsidRPr="00830F3D">
        <w:t xml:space="preserve"> 2009</w:t>
      </w:r>
      <w:r w:rsidR="009321E5">
        <w:t xml:space="preserve"> (WMR)</w:t>
      </w:r>
      <w:r>
        <w:t xml:space="preserve">), since they involve temporary trade of water allocated to an irrigation right. The ACCC considers that this is not a matter that can be dealt with under the water charge rules, but supports consideration during any future review of the Basin Plan water trading rules of the merits of making amendments to address these issues. </w:t>
      </w:r>
    </w:p>
    <w:p w:rsidR="00BA1234" w:rsidRDefault="00BA1234" w:rsidP="00BA1234">
      <w:r w:rsidRPr="00C41460">
        <w:t>In relation to Waterfind’s</w:t>
      </w:r>
      <w:r>
        <w:t xml:space="preserve"> request that the rules define ‘reasonable administration costs’, the ACCC considers that it is more appropriate for the ACCC to issue guidance on what constitutes a reasonable / necessary administration cost, rather than defining such terms in the rules. This is the approach taken for the similar existing rule in the </w:t>
      </w:r>
      <w:r w:rsidR="009321E5">
        <w:t>WMR</w:t>
      </w:r>
      <w:r>
        <w:t>.</w:t>
      </w:r>
    </w:p>
    <w:p w:rsidR="00BA1234" w:rsidRDefault="00BA1234" w:rsidP="00BA1234">
      <w:r>
        <w:t>The ACCC considers that its proposed rule 10A</w:t>
      </w:r>
      <w:r w:rsidR="00E039DA">
        <w:t xml:space="preserve"> in the Draft Advice</w:t>
      </w:r>
      <w:r>
        <w:t xml:space="preserve"> </w:t>
      </w:r>
      <w:r w:rsidRPr="00A93C49">
        <w:rPr>
          <w:i/>
        </w:rPr>
        <w:t>would</w:t>
      </w:r>
      <w:r>
        <w:t xml:space="preserve"> prevent volume-based transaction charges being imposed by off-river infrastructure operators, unless such fees could be shown to reflect the reasonable and efficient administrative costs of </w:t>
      </w:r>
      <w:r w:rsidR="00E039DA">
        <w:t xml:space="preserve">processing a </w:t>
      </w:r>
      <w:r>
        <w:t>trade. However, as detailed above the ACCC’s revised rule advice is to allow the levying of infrastructure charges at the time of trade in certain circumstances, which could include volume-based transaction charges. The ACCC notes that such charges should not be viewed as administration charges.</w:t>
      </w:r>
    </w:p>
    <w:p w:rsidR="00BA1234" w:rsidRDefault="00BA1234" w:rsidP="00BA1234">
      <w:r>
        <w:t xml:space="preserve">The ACCC does not </w:t>
      </w:r>
      <w:r w:rsidR="00E039DA">
        <w:t xml:space="preserve">share </w:t>
      </w:r>
      <w:r>
        <w:t xml:space="preserve">Waterfind’s </w:t>
      </w:r>
      <w:r w:rsidR="00E039DA">
        <w:t xml:space="preserve">view </w:t>
      </w:r>
      <w:r>
        <w:t xml:space="preserve">that the rules should ‘cap’ transaction charges levied by infrastructure operators to being no more than those imposed by Basin States. The proposed rules already limit transaction fees by requiring them to reflect reasonable and efficient administrative costs of trade processing. </w:t>
      </w:r>
      <w:r w:rsidR="00E039DA">
        <w:t>Further</w:t>
      </w:r>
      <w:r>
        <w:t xml:space="preserve">, </w:t>
      </w:r>
      <w:r w:rsidR="00E039DA">
        <w:t xml:space="preserve">the ACCC considers that </w:t>
      </w:r>
      <w:r>
        <w:t xml:space="preserve">linking operator transaction fee maximums to state fees is not </w:t>
      </w:r>
      <w:r w:rsidR="00E039DA">
        <w:t xml:space="preserve">suitable </w:t>
      </w:r>
      <w:r>
        <w:t>because the costs of trade processing will differ between the operator and Basin States.</w:t>
      </w:r>
    </w:p>
    <w:p w:rsidR="00BA1234" w:rsidRDefault="00BA1234" w:rsidP="00D17F9C">
      <w:pPr>
        <w:pStyle w:val="Heading5"/>
      </w:pPr>
      <w:r>
        <w:t xml:space="preserve">Regulatory burden of requiring that transaction charges reasonably reflect administrative costs </w:t>
      </w:r>
    </w:p>
    <w:p w:rsidR="00BA1234" w:rsidRDefault="00BA1234" w:rsidP="00BA1234">
      <w:r>
        <w:t xml:space="preserve">In response to the NIC’s argument that the proposed rule—limiting infrastructure charges to amounts reflecting the reasonable and efficient administrative costs of processing a trade or termination—will impose unreasonably high administration costs on operators, the ACCC notes that the </w:t>
      </w:r>
      <w:r w:rsidR="0037210E">
        <w:t>WMR</w:t>
      </w:r>
      <w:r>
        <w:t xml:space="preserve"> already impose a similar rule in relation to fees for processing transformation applications (WMR 13(2)). While the ACCC has examined operators’ transformation application fees that appear too high on several occasions, on the whole operators do not appear to have been burdened by this WMR requirement. </w:t>
      </w:r>
    </w:p>
    <w:p w:rsidR="00BA1234" w:rsidRPr="006C1668" w:rsidRDefault="00BA1234" w:rsidP="00BA1234">
      <w:r>
        <w:t xml:space="preserve">Also, the ACCC notes that where a transaction charge on the trade of water </w:t>
      </w:r>
      <w:r>
        <w:rPr>
          <w:i/>
        </w:rPr>
        <w:t xml:space="preserve">out </w:t>
      </w:r>
      <w:r>
        <w:t xml:space="preserve">of an operator’s area is the same as the transaction charge on the trade of water </w:t>
      </w:r>
      <w:r>
        <w:rPr>
          <w:i/>
        </w:rPr>
        <w:t xml:space="preserve">into </w:t>
      </w:r>
      <w:r>
        <w:t>an area, there would be a degree of comfort that the charges were not being inflated beyond an amount reflecting the reasonable and efficient administrative costs of the operator.</w:t>
      </w:r>
    </w:p>
    <w:p w:rsidR="00BA1234" w:rsidRDefault="00BA1234" w:rsidP="00BA1234">
      <w:r>
        <w:t>The ACCC does not consider that the regulatory costs of this rule will be as significant as NIC has argued.</w:t>
      </w:r>
    </w:p>
    <w:p w:rsidR="00BA1234" w:rsidRDefault="00BA1234" w:rsidP="00D17F9C">
      <w:pPr>
        <w:pStyle w:val="Heading5"/>
      </w:pPr>
      <w:r>
        <w:t>Application of rule in relation to termination</w:t>
      </w:r>
    </w:p>
    <w:p w:rsidR="00BA1234" w:rsidRDefault="00BA1234" w:rsidP="00BA1234">
      <w:r>
        <w:t xml:space="preserve">The ACCC maintains its view that this rule should extend to prohibit transaction charges being levied when a customer terminates their right of access, except where an infrastructure charge reflects the administration costs incurred in processing the termination. The ACCC has slightly amended its </w:t>
      </w:r>
      <w:r w:rsidR="00E039DA">
        <w:t xml:space="preserve">draft </w:t>
      </w:r>
      <w:r>
        <w:t xml:space="preserve">rule advice to allow for administration charges to reflect the ‘reasonable and efficient costs’ rather than the costs ‘necessarily incurred’. </w:t>
      </w:r>
    </w:p>
    <w:p w:rsidR="00BA1234" w:rsidRDefault="00BA1234" w:rsidP="00BA1234">
      <w:r>
        <w:t xml:space="preserve">This rule will not limit an operator’s ability to levy a termination fee consistently with rules governing termination fees; rather it will limit an operator’s ability to levy an additional transaction charge beyond those which recover only the reasonable and efficient costs of processing a termination. </w:t>
      </w:r>
    </w:p>
    <w:p w:rsidR="00553F54" w:rsidRDefault="00BA1234">
      <w:pPr>
        <w:rPr>
          <w:rFonts w:eastAsia="Arial" w:cs="Times New Roman"/>
          <w:b/>
          <w:sz w:val="24"/>
        </w:rPr>
      </w:pPr>
      <w:r>
        <w:t>The ACCC notes that in many cases termination occurs together with transformation. Since the WMR already provide for an operator to levy an administration fee</w:t>
      </w:r>
      <w:r w:rsidR="00E039DA">
        <w:t>,</w:t>
      </w:r>
      <w:r>
        <w:t xml:space="preserve"> which reflects the reasonable and efficient costs of processing transformation, an operator should take this into account and ensure that a fee levied in respect of a joint termination and transformation application recovers only the reasonable and efficient costs.</w:t>
      </w:r>
      <w:bookmarkStart w:id="412" w:name="_Ref432781020"/>
      <w:bookmarkStart w:id="413" w:name="_Toc436122295"/>
      <w:bookmarkStart w:id="414" w:name="_Toc436122790"/>
      <w:bookmarkStart w:id="415" w:name="_Toc436124145"/>
      <w:bookmarkEnd w:id="331"/>
      <w:bookmarkEnd w:id="376"/>
    </w:p>
    <w:p w:rsidR="00E161B2" w:rsidRPr="00D714FC" w:rsidRDefault="00262689" w:rsidP="00616672">
      <w:pPr>
        <w:pStyle w:val="Heading2"/>
      </w:pPr>
      <w:bookmarkStart w:id="416" w:name="_Toc456785801"/>
      <w:bookmarkStart w:id="417" w:name="_Toc461630712"/>
      <w:r w:rsidRPr="00D714FC">
        <w:t>Schedule of Charges</w:t>
      </w:r>
      <w:r w:rsidR="00F970BC" w:rsidRPr="00D714FC">
        <w:t xml:space="preserve"> (Part 4)</w:t>
      </w:r>
      <w:bookmarkEnd w:id="412"/>
      <w:bookmarkEnd w:id="413"/>
      <w:bookmarkEnd w:id="414"/>
      <w:bookmarkEnd w:id="415"/>
      <w:bookmarkEnd w:id="416"/>
      <w:bookmarkEnd w:id="417"/>
    </w:p>
    <w:p w:rsidR="00E161B2" w:rsidRDefault="0019194C" w:rsidP="00616672">
      <w:pPr>
        <w:pStyle w:val="Heading3"/>
      </w:pPr>
      <w:bookmarkStart w:id="418" w:name="_Toc436122296"/>
      <w:bookmarkStart w:id="419" w:name="_Toc436122791"/>
      <w:bookmarkStart w:id="420" w:name="_Toc436124146"/>
      <w:bookmarkStart w:id="421" w:name="_Toc456785802"/>
      <w:bookmarkStart w:id="422" w:name="_Toc461630713"/>
      <w:r w:rsidRPr="00D714FC">
        <w:t>Information to be included on a Schedule of Charges</w:t>
      </w:r>
      <w:bookmarkEnd w:id="418"/>
      <w:bookmarkEnd w:id="419"/>
      <w:bookmarkEnd w:id="420"/>
      <w:bookmarkEnd w:id="421"/>
      <w:bookmarkEnd w:id="422"/>
      <w:r w:rsidR="00F970BC" w:rsidRPr="00D714FC">
        <w:tab/>
      </w:r>
    </w:p>
    <w:p w:rsidR="00D07E1E" w:rsidRPr="00D07E1E" w:rsidRDefault="00D07E1E" w:rsidP="00D07E1E">
      <w:pPr>
        <w:pStyle w:val="Heading4"/>
        <w:spacing w:before="0" w:after="0"/>
        <w:rPr>
          <w:rFonts w:ascii="Times New Roman" w:hAnsi="Times New Roman" w:cs="Times New Roman"/>
          <w:color w:val="FFFFFF" w:themeColor="background1"/>
          <w:sz w:val="8"/>
          <w:szCs w:val="16"/>
        </w:rPr>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p>
    <w:tbl>
      <w:tblPr>
        <w:tblStyle w:val="TableGrid"/>
        <w:tblW w:w="0" w:type="auto"/>
        <w:tblLook w:val="04A0" w:firstRow="1" w:lastRow="0" w:firstColumn="1" w:lastColumn="0" w:noHBand="0" w:noVBand="1"/>
      </w:tblPr>
      <w:tblGrid>
        <w:gridCol w:w="9242"/>
      </w:tblGrid>
      <w:tr w:rsidR="004E7279" w:rsidTr="004C2E1C">
        <w:tc>
          <w:tcPr>
            <w:tcW w:w="9242" w:type="dxa"/>
            <w:tcBorders>
              <w:top w:val="nil"/>
              <w:left w:val="nil"/>
              <w:bottom w:val="nil"/>
              <w:right w:val="nil"/>
            </w:tcBorders>
            <w:shd w:val="clear" w:color="auto" w:fill="D9D9D9" w:themeFill="background1" w:themeFillShade="D9"/>
          </w:tcPr>
          <w:p w:rsidR="00F3146C" w:rsidRDefault="00F3146C" w:rsidP="00AF7032">
            <w:pPr>
              <w:pStyle w:val="Caption"/>
              <w:rPr>
                <w:noProof/>
              </w:rPr>
            </w:pPr>
            <w:bookmarkStart w:id="423" w:name="_Toc456783840"/>
            <w:bookmarkStart w:id="424" w:name="_Toc433975257"/>
            <w:bookmarkStart w:id="425" w:name="_Ref433618240"/>
            <w:bookmarkStart w:id="426" w:name="_Ref433899508"/>
            <w:bookmarkStart w:id="427" w:name="_Ref434840964"/>
            <w:bookmarkStart w:id="428" w:name="_Ref435114974"/>
            <w:r w:rsidRPr="00D714FC">
              <w:t xml:space="preserve">Rule advice </w:t>
            </w:r>
            <w:r w:rsidR="007F659D">
              <w:rPr>
                <w:noProof/>
              </w:rPr>
              <w:t>5</w:t>
            </w:r>
            <w:r>
              <w:noBreakHyphen/>
            </w:r>
            <w:r w:rsidR="007F659D">
              <w:rPr>
                <w:noProof/>
              </w:rPr>
              <w:t>E</w:t>
            </w:r>
            <w:bookmarkEnd w:id="423"/>
          </w:p>
          <w:p w:rsidR="004E7279" w:rsidRPr="00AF7032" w:rsidRDefault="004E7279" w:rsidP="00AF7032">
            <w:pPr>
              <w:pStyle w:val="Ruleadvicesubheading"/>
            </w:pPr>
            <w:bookmarkStart w:id="429" w:name="_Toc434941370"/>
            <w:bookmarkStart w:id="430" w:name="_Toc436123258"/>
            <w:bookmarkStart w:id="431" w:name="_Toc456783841"/>
            <w:bookmarkStart w:id="432" w:name="Rule_Advice_5E"/>
            <w:bookmarkStart w:id="433" w:name="_Toc433975258"/>
            <w:bookmarkStart w:id="434" w:name="_Toc432937501"/>
            <w:r w:rsidRPr="00AF7032">
              <w:t xml:space="preserve">Schedule of </w:t>
            </w:r>
            <w:r w:rsidR="00325FB2" w:rsidRPr="00AF7032">
              <w:t>C</w:t>
            </w:r>
            <w:r w:rsidRPr="00AF7032">
              <w:t>harge requirements for infrastructure operators</w:t>
            </w:r>
            <w:bookmarkEnd w:id="429"/>
            <w:bookmarkEnd w:id="430"/>
            <w:bookmarkEnd w:id="431"/>
          </w:p>
          <w:p w:rsidR="00596A01" w:rsidRDefault="00596A01" w:rsidP="00596A01">
            <w:pPr>
              <w:pStyle w:val="Heading8"/>
              <w:outlineLvl w:val="7"/>
            </w:pPr>
            <w:r>
              <w:t>The rules should be amended to provide that an infrastructure operator must adopt a Schedule of Charges which sets out its infrastructure charges and planning and management charges in accordance with the rules.</w:t>
            </w:r>
          </w:p>
          <w:p w:rsidR="00596A01" w:rsidRDefault="00596A01" w:rsidP="00596A01">
            <w:pPr>
              <w:pStyle w:val="Heading8"/>
              <w:outlineLvl w:val="7"/>
            </w:pPr>
            <w:r>
              <w:t xml:space="preserve">The rules should provide that the </w:t>
            </w:r>
            <w:r w:rsidR="0074076D">
              <w:t>S</w:t>
            </w:r>
            <w:r>
              <w:t xml:space="preserve">chedule of </w:t>
            </w:r>
            <w:r w:rsidR="0074076D">
              <w:t>C</w:t>
            </w:r>
            <w:r>
              <w:t>harges may not come into effect</w:t>
            </w:r>
            <w:r w:rsidR="00823073">
              <w:t>,</w:t>
            </w:r>
            <w:r>
              <w:t xml:space="preserve"> </w:t>
            </w:r>
            <w:r w:rsidR="00924643">
              <w:t>and the listed charges should not apply</w:t>
            </w:r>
            <w:r w:rsidR="00823073">
              <w:t>,</w:t>
            </w:r>
            <w:r w:rsidR="00924643">
              <w:t xml:space="preserve"> </w:t>
            </w:r>
            <w:r>
              <w:t>earlier than the date the operator adopts its Schedule of Charges</w:t>
            </w:r>
            <w:r w:rsidR="00823073">
              <w:t>,</w:t>
            </w:r>
            <w:r w:rsidR="00D00EBF">
              <w:t xml:space="preserve"> except in the limited circumstances described in rule advice 5-I</w:t>
            </w:r>
            <w:r>
              <w:t>.</w:t>
            </w:r>
          </w:p>
          <w:p w:rsidR="00690655" w:rsidRPr="00770D6A" w:rsidRDefault="00690655" w:rsidP="00690655">
            <w:pPr>
              <w:pStyle w:val="Heading8"/>
              <w:outlineLvl w:val="7"/>
            </w:pPr>
            <w:r>
              <w:t xml:space="preserve">The rules should require that the Schedule of Charges ceases to be in effect for the operator when another Schedule of Charges that has been adopted by the infrastructure operator comes into effect. </w:t>
            </w:r>
          </w:p>
          <w:p w:rsidR="00690655" w:rsidRPr="00690655" w:rsidRDefault="00690655" w:rsidP="00690655">
            <w:pPr>
              <w:pStyle w:val="Heading8"/>
              <w:outlineLvl w:val="7"/>
              <w:rPr>
                <w:rFonts w:ascii="Times New Roman" w:hAnsi="Times New Roman"/>
              </w:rPr>
            </w:pPr>
            <w:r>
              <w:rPr>
                <w:rFonts w:ascii="Times New Roman" w:hAnsi="Times New Roman"/>
              </w:rPr>
              <w:t>This rule advice is implemented in rule 11 of the proposed Water Charge Rules.</w:t>
            </w:r>
          </w:p>
          <w:p w:rsidR="00C21B96" w:rsidRPr="00AF7032" w:rsidRDefault="00C21B96" w:rsidP="00AF7032">
            <w:pPr>
              <w:pStyle w:val="Ruleadvicesubheading"/>
            </w:pPr>
            <w:r w:rsidRPr="00AF7032">
              <w:t>Information that must be included on a Schedule of Charges</w:t>
            </w:r>
          </w:p>
          <w:p w:rsidR="00384018" w:rsidRDefault="004E7279" w:rsidP="005F238E">
            <w:pPr>
              <w:pStyle w:val="Heading8"/>
              <w:outlineLvl w:val="7"/>
            </w:pPr>
            <w:bookmarkStart w:id="435" w:name="_Toc456783842"/>
            <w:bookmarkStart w:id="436" w:name="_Toc434941371"/>
            <w:bookmarkStart w:id="437" w:name="_Toc436123259"/>
            <w:r w:rsidRPr="00D714FC">
              <w:t xml:space="preserve">The rules should require </w:t>
            </w:r>
            <w:r w:rsidR="00EE6863">
              <w:t xml:space="preserve">that a </w:t>
            </w:r>
            <w:r w:rsidR="00B1638F">
              <w:t>S</w:t>
            </w:r>
            <w:r w:rsidR="00EE6863">
              <w:t xml:space="preserve">chedule of </w:t>
            </w:r>
            <w:r w:rsidR="00B1638F">
              <w:t>C</w:t>
            </w:r>
            <w:r w:rsidR="00EE6863">
              <w:t xml:space="preserve">harges adopted by </w:t>
            </w:r>
            <w:r w:rsidRPr="00D714FC">
              <w:t xml:space="preserve">an infrastructure operator </w:t>
            </w:r>
            <w:r w:rsidR="00B37AFA">
              <w:t xml:space="preserve">must </w:t>
            </w:r>
            <w:r w:rsidRPr="00D714FC">
              <w:t>contain the following information</w:t>
            </w:r>
            <w:r w:rsidR="00384018">
              <w:t>.</w:t>
            </w:r>
            <w:bookmarkEnd w:id="435"/>
            <w:r w:rsidRPr="00D714FC">
              <w:t xml:space="preserve"> </w:t>
            </w:r>
          </w:p>
          <w:p w:rsidR="004E7279" w:rsidRPr="00D714FC" w:rsidRDefault="00384018" w:rsidP="005F238E">
            <w:pPr>
              <w:pStyle w:val="Heading8"/>
              <w:outlineLvl w:val="7"/>
            </w:pPr>
            <w:bookmarkStart w:id="438" w:name="_Toc456783843"/>
            <w:r>
              <w:t>F</w:t>
            </w:r>
            <w:r w:rsidR="004E7279" w:rsidRPr="00D714FC">
              <w:t>or each infrastructure charge or planning and management charge:</w:t>
            </w:r>
            <w:bookmarkEnd w:id="436"/>
            <w:bookmarkEnd w:id="437"/>
            <w:bookmarkEnd w:id="438"/>
            <w:r w:rsidR="004E7279" w:rsidRPr="00D714FC">
              <w:t xml:space="preserve"> </w:t>
            </w:r>
          </w:p>
          <w:p w:rsidR="004E7279" w:rsidRPr="00D714FC" w:rsidRDefault="004E7279" w:rsidP="00F43856">
            <w:pPr>
              <w:pStyle w:val="Heading8"/>
              <w:numPr>
                <w:ilvl w:val="0"/>
                <w:numId w:val="112"/>
              </w:numPr>
              <w:outlineLvl w:val="7"/>
            </w:pPr>
            <w:bookmarkStart w:id="439" w:name="_Toc434941372"/>
            <w:bookmarkStart w:id="440" w:name="_Toc436123260"/>
            <w:bookmarkStart w:id="441" w:name="_Toc456783844"/>
            <w:r w:rsidRPr="00D714FC">
              <w:t>the name of the charge</w:t>
            </w:r>
            <w:bookmarkEnd w:id="439"/>
            <w:r w:rsidR="00EE6863">
              <w:t xml:space="preserve"> (and the period during which the charge applies, if that period is different from the period that the </w:t>
            </w:r>
            <w:r w:rsidR="00B1638F">
              <w:t>S</w:t>
            </w:r>
            <w:r w:rsidR="00EE6863">
              <w:t xml:space="preserve">chedule of </w:t>
            </w:r>
            <w:r w:rsidR="00B1638F">
              <w:t>C</w:t>
            </w:r>
            <w:r w:rsidR="00EE6863">
              <w:t>harges is in effect)</w:t>
            </w:r>
            <w:r w:rsidRPr="00D714FC">
              <w:t>;</w:t>
            </w:r>
            <w:bookmarkEnd w:id="440"/>
            <w:bookmarkEnd w:id="441"/>
          </w:p>
          <w:p w:rsidR="004E7279" w:rsidRPr="00D714FC" w:rsidRDefault="004E7279" w:rsidP="00F43856">
            <w:pPr>
              <w:pStyle w:val="Heading8"/>
              <w:numPr>
                <w:ilvl w:val="0"/>
                <w:numId w:val="112"/>
              </w:numPr>
              <w:outlineLvl w:val="7"/>
            </w:pPr>
            <w:bookmarkStart w:id="442" w:name="_Toc436123261"/>
            <w:bookmarkStart w:id="443" w:name="_Toc456783845"/>
            <w:bookmarkStart w:id="444" w:name="_Toc434941374"/>
            <w:r w:rsidRPr="00D714FC">
              <w:t xml:space="preserve">the circumstances in which the charge is </w:t>
            </w:r>
            <w:r w:rsidR="00974FA1">
              <w:t xml:space="preserve">payable </w:t>
            </w:r>
            <w:r w:rsidRPr="00D714FC">
              <w:t>including</w:t>
            </w:r>
            <w:r w:rsidR="00C21B96">
              <w:t>,</w:t>
            </w:r>
            <w:r w:rsidR="00974FA1">
              <w:t xml:space="preserve"> </w:t>
            </w:r>
            <w:r w:rsidR="00EE6863">
              <w:t>if</w:t>
            </w:r>
            <w:r w:rsidR="00974FA1">
              <w:t xml:space="preserve"> applicable</w:t>
            </w:r>
            <w:r w:rsidR="00EE6863">
              <w:t>, the following</w:t>
            </w:r>
            <w:r w:rsidRPr="00D714FC">
              <w:t>:</w:t>
            </w:r>
            <w:bookmarkEnd w:id="442"/>
            <w:bookmarkEnd w:id="443"/>
          </w:p>
          <w:p w:rsidR="004E7279" w:rsidRPr="00D714FC" w:rsidRDefault="004E7279" w:rsidP="00F43856">
            <w:pPr>
              <w:pStyle w:val="Heading8"/>
              <w:numPr>
                <w:ilvl w:val="1"/>
                <w:numId w:val="112"/>
              </w:numPr>
              <w:outlineLvl w:val="7"/>
            </w:pPr>
            <w:bookmarkStart w:id="445" w:name="_Toc436123262"/>
            <w:bookmarkStart w:id="446" w:name="_Toc456783846"/>
            <w:r w:rsidRPr="00D714FC">
              <w:t xml:space="preserve">the class of person </w:t>
            </w:r>
            <w:r w:rsidR="00974FA1">
              <w:t>required to pay the charge</w:t>
            </w:r>
            <w:r w:rsidRPr="00D714FC">
              <w:t>;</w:t>
            </w:r>
            <w:bookmarkEnd w:id="445"/>
            <w:bookmarkEnd w:id="446"/>
          </w:p>
          <w:p w:rsidR="004E7279" w:rsidRPr="00D714FC" w:rsidRDefault="004E7279" w:rsidP="00F43856">
            <w:pPr>
              <w:pStyle w:val="Heading8"/>
              <w:numPr>
                <w:ilvl w:val="1"/>
                <w:numId w:val="112"/>
              </w:numPr>
              <w:outlineLvl w:val="7"/>
            </w:pPr>
            <w:bookmarkStart w:id="447" w:name="_Toc436123263"/>
            <w:bookmarkStart w:id="448" w:name="_Toc456783847"/>
            <w:r w:rsidRPr="00D714FC">
              <w:t>the water resource, catchment or district, and the water resource plan or other plan, to which the charge relates;</w:t>
            </w:r>
            <w:bookmarkEnd w:id="447"/>
            <w:bookmarkEnd w:id="448"/>
          </w:p>
          <w:p w:rsidR="004E7279" w:rsidRPr="00D714FC" w:rsidRDefault="004E7279" w:rsidP="00F43856">
            <w:pPr>
              <w:pStyle w:val="Heading8"/>
              <w:numPr>
                <w:ilvl w:val="1"/>
                <w:numId w:val="112"/>
              </w:numPr>
              <w:outlineLvl w:val="7"/>
            </w:pPr>
            <w:bookmarkStart w:id="449" w:name="_Toc436123264"/>
            <w:bookmarkStart w:id="450" w:name="_Toc456783848"/>
            <w:r w:rsidRPr="00D714FC">
              <w:t>the class of water access right, water delivery right or irrigation right to which the charge relates;</w:t>
            </w:r>
            <w:bookmarkEnd w:id="449"/>
            <w:bookmarkEnd w:id="450"/>
          </w:p>
          <w:p w:rsidR="00974FA1" w:rsidRDefault="00384018" w:rsidP="00F43856">
            <w:pPr>
              <w:pStyle w:val="Heading8"/>
              <w:numPr>
                <w:ilvl w:val="0"/>
                <w:numId w:val="112"/>
              </w:numPr>
              <w:outlineLvl w:val="7"/>
            </w:pPr>
            <w:bookmarkStart w:id="451" w:name="_Toc456783849"/>
            <w:bookmarkStart w:id="452" w:name="_Toc436123265"/>
            <w:r>
              <w:t>either</w:t>
            </w:r>
            <w:r w:rsidR="00974FA1">
              <w:t>:</w:t>
            </w:r>
            <w:bookmarkEnd w:id="451"/>
          </w:p>
          <w:p w:rsidR="004E7279" w:rsidRDefault="004E7279" w:rsidP="00F43856">
            <w:pPr>
              <w:pStyle w:val="Heading8"/>
              <w:numPr>
                <w:ilvl w:val="1"/>
                <w:numId w:val="112"/>
              </w:numPr>
              <w:outlineLvl w:val="7"/>
            </w:pPr>
            <w:bookmarkStart w:id="453" w:name="_Toc456783850"/>
            <w:r w:rsidRPr="00D714FC">
              <w:t>the amount of the charge (whether expressed as a dollar amount or as fee units) or details of rates, and all other details necessary to determine th</w:t>
            </w:r>
            <w:r w:rsidR="00EE6863">
              <w:t>at</w:t>
            </w:r>
            <w:r w:rsidRPr="00D714FC">
              <w:t xml:space="preserve"> amount;</w:t>
            </w:r>
            <w:bookmarkEnd w:id="444"/>
            <w:bookmarkEnd w:id="452"/>
            <w:r w:rsidR="00974FA1">
              <w:t xml:space="preserve"> or</w:t>
            </w:r>
            <w:bookmarkEnd w:id="453"/>
          </w:p>
          <w:p w:rsidR="00974FA1" w:rsidRPr="00974FA1" w:rsidRDefault="00974FA1" w:rsidP="00F43856">
            <w:pPr>
              <w:pStyle w:val="Heading8"/>
              <w:numPr>
                <w:ilvl w:val="1"/>
                <w:numId w:val="112"/>
              </w:numPr>
              <w:outlineLvl w:val="7"/>
            </w:pPr>
            <w:bookmarkStart w:id="454" w:name="_Toc456783851"/>
            <w:r>
              <w:t xml:space="preserve">for </w:t>
            </w:r>
            <w:r w:rsidR="00890DA3">
              <w:t>a charge that reflects the costs of physically connecting, or physically disconnecting a customer from the operator’s water service infrastructure</w:t>
            </w:r>
            <w:r w:rsidR="00FD5079">
              <w:rPr>
                <w:rFonts w:ascii="Calibri" w:hAnsi="Calibri"/>
              </w:rPr>
              <w:t>―</w:t>
            </w:r>
            <w:r w:rsidR="00890DA3">
              <w:t xml:space="preserve">a statement that the charge will be determined at the time of </w:t>
            </w:r>
            <w:r w:rsidR="00EE6863">
              <w:t xml:space="preserve">the </w:t>
            </w:r>
            <w:r w:rsidR="00890DA3">
              <w:t>connection or disconnection</w:t>
            </w:r>
            <w:r w:rsidR="00384018">
              <w:t>;</w:t>
            </w:r>
            <w:bookmarkEnd w:id="454"/>
            <w:r>
              <w:t xml:space="preserve"> </w:t>
            </w:r>
          </w:p>
          <w:p w:rsidR="002C6EAD" w:rsidRPr="00384018" w:rsidRDefault="002C6EAD" w:rsidP="00F43856">
            <w:pPr>
              <w:pStyle w:val="Heading8"/>
              <w:numPr>
                <w:ilvl w:val="0"/>
                <w:numId w:val="112"/>
              </w:numPr>
              <w:outlineLvl w:val="7"/>
            </w:pPr>
            <w:bookmarkStart w:id="455" w:name="_Toc456783853"/>
            <w:bookmarkStart w:id="456" w:name="_Toc434941376"/>
            <w:bookmarkStart w:id="457" w:name="_Toc436123266"/>
            <w:bookmarkStart w:id="458" w:name="_Toc456783852"/>
            <w:r>
              <w:t>the details of any general discount or surcharge, including the circumstances under which the discount or surcharge applies (e.g. a discount for early payment);</w:t>
            </w:r>
            <w:bookmarkEnd w:id="455"/>
          </w:p>
          <w:p w:rsidR="004E7279" w:rsidRDefault="004E7279" w:rsidP="00F43856">
            <w:pPr>
              <w:pStyle w:val="Heading8"/>
              <w:numPr>
                <w:ilvl w:val="0"/>
                <w:numId w:val="112"/>
              </w:numPr>
              <w:outlineLvl w:val="7"/>
            </w:pPr>
            <w:r w:rsidRPr="00D714FC">
              <w:t xml:space="preserve">when the charge is payable and, if payable by instalments, the number of instalments and intervals at which the </w:t>
            </w:r>
            <w:r w:rsidR="00EE6863">
              <w:t>charge is</w:t>
            </w:r>
            <w:r w:rsidRPr="00D714FC">
              <w:t xml:space="preserve"> payable;</w:t>
            </w:r>
            <w:bookmarkEnd w:id="456"/>
            <w:bookmarkEnd w:id="457"/>
            <w:bookmarkEnd w:id="458"/>
          </w:p>
          <w:p w:rsidR="00384018" w:rsidRDefault="00384018" w:rsidP="00F43856">
            <w:pPr>
              <w:pStyle w:val="Heading8"/>
              <w:numPr>
                <w:ilvl w:val="0"/>
                <w:numId w:val="112"/>
              </w:numPr>
              <w:outlineLvl w:val="7"/>
            </w:pPr>
            <w:bookmarkStart w:id="459" w:name="_Toc456783854"/>
            <w:bookmarkStart w:id="460" w:name="_Toc436123267"/>
            <w:bookmarkStart w:id="461" w:name="_Toc434941379"/>
            <w:r>
              <w:t>if applicable</w:t>
            </w:r>
            <w:r w:rsidR="00EE6863">
              <w:t>, the following</w:t>
            </w:r>
            <w:r>
              <w:t>:</w:t>
            </w:r>
            <w:bookmarkEnd w:id="459"/>
          </w:p>
          <w:p w:rsidR="00384018" w:rsidRDefault="00384018" w:rsidP="00F43856">
            <w:pPr>
              <w:pStyle w:val="Heading8"/>
              <w:numPr>
                <w:ilvl w:val="1"/>
                <w:numId w:val="112"/>
              </w:numPr>
              <w:outlineLvl w:val="7"/>
            </w:pPr>
            <w:bookmarkStart w:id="462" w:name="_Toc456783855"/>
            <w:r>
              <w:t xml:space="preserve">who determined the charge (if it was not determined by the operator or person adopting the </w:t>
            </w:r>
            <w:r w:rsidR="00B1638F">
              <w:t>S</w:t>
            </w:r>
            <w:r>
              <w:t xml:space="preserve">chedule of </w:t>
            </w:r>
            <w:r w:rsidR="00B1638F">
              <w:t>C</w:t>
            </w:r>
            <w:r>
              <w:t>harges);</w:t>
            </w:r>
            <w:bookmarkEnd w:id="462"/>
          </w:p>
          <w:p w:rsidR="00384018" w:rsidRDefault="00384018" w:rsidP="00F43856">
            <w:pPr>
              <w:pStyle w:val="Heading8"/>
              <w:numPr>
                <w:ilvl w:val="1"/>
                <w:numId w:val="112"/>
              </w:numPr>
              <w:outlineLvl w:val="7"/>
            </w:pPr>
            <w:bookmarkStart w:id="463" w:name="_Toc456783856"/>
            <w:r>
              <w:t xml:space="preserve">who the charge is payable to (if it is not payable to the operator or person adopting the </w:t>
            </w:r>
            <w:r w:rsidR="00B1638F">
              <w:t>S</w:t>
            </w:r>
            <w:r>
              <w:t xml:space="preserve">chedule of </w:t>
            </w:r>
            <w:r w:rsidR="00B1638F">
              <w:t>C</w:t>
            </w:r>
            <w:r>
              <w:t>harges);</w:t>
            </w:r>
            <w:bookmarkEnd w:id="463"/>
          </w:p>
          <w:p w:rsidR="00384018" w:rsidRDefault="00384018" w:rsidP="00F43856">
            <w:pPr>
              <w:pStyle w:val="Heading8"/>
              <w:numPr>
                <w:ilvl w:val="1"/>
                <w:numId w:val="112"/>
              </w:numPr>
              <w:outlineLvl w:val="7"/>
            </w:pPr>
            <w:bookmarkStart w:id="464" w:name="_Toc456783857"/>
            <w:r>
              <w:t>the name of the agency or person for whom the charge is being collected.</w:t>
            </w:r>
            <w:bookmarkEnd w:id="464"/>
          </w:p>
          <w:p w:rsidR="00384018" w:rsidRPr="00384018" w:rsidRDefault="00384018" w:rsidP="005F238E">
            <w:pPr>
              <w:pStyle w:val="Heading8"/>
              <w:outlineLvl w:val="7"/>
            </w:pPr>
            <w:bookmarkStart w:id="465" w:name="_Toc456783858"/>
            <w:r w:rsidRPr="00384018">
              <w:t>For each infrastructure charge:</w:t>
            </w:r>
            <w:bookmarkEnd w:id="465"/>
          </w:p>
          <w:p w:rsidR="004E7279" w:rsidRPr="00D714FC" w:rsidRDefault="004E7279" w:rsidP="00F43856">
            <w:pPr>
              <w:pStyle w:val="Heading8"/>
              <w:numPr>
                <w:ilvl w:val="0"/>
                <w:numId w:val="112"/>
              </w:numPr>
              <w:outlineLvl w:val="7"/>
            </w:pPr>
            <w:bookmarkStart w:id="466" w:name="_Toc456783859"/>
            <w:r w:rsidRPr="00D714FC">
              <w:t>a description of the infrastructure service to which the charge relates</w:t>
            </w:r>
            <w:bookmarkEnd w:id="460"/>
            <w:r w:rsidR="00384018">
              <w:t>;</w:t>
            </w:r>
            <w:bookmarkEnd w:id="466"/>
          </w:p>
          <w:p w:rsidR="004326E2" w:rsidRDefault="00384018" w:rsidP="00F43856">
            <w:pPr>
              <w:pStyle w:val="Heading8"/>
              <w:numPr>
                <w:ilvl w:val="0"/>
                <w:numId w:val="112"/>
              </w:numPr>
              <w:outlineLvl w:val="7"/>
            </w:pPr>
            <w:bookmarkStart w:id="467" w:name="_Toc456783860"/>
            <w:bookmarkStart w:id="468" w:name="_Toc434941381"/>
            <w:bookmarkStart w:id="469" w:name="_Toc436123268"/>
            <w:bookmarkEnd w:id="461"/>
            <w:r>
              <w:t xml:space="preserve">if applicable, the information required by </w:t>
            </w:r>
            <w:r w:rsidR="00EE6863">
              <w:t>(</w:t>
            </w:r>
            <w:r>
              <w:t>proposed</w:t>
            </w:r>
            <w:r w:rsidR="00EE6863">
              <w:t>)</w:t>
            </w:r>
            <w:r>
              <w:t xml:space="preserve"> subrule 9(13</w:t>
            </w:r>
            <w:r w:rsidR="00413B3A">
              <w:t>A</w:t>
            </w:r>
            <w:r>
              <w:t xml:space="preserve">) </w:t>
            </w:r>
            <w:r w:rsidR="00C21B96">
              <w:t>(s</w:t>
            </w:r>
            <w:r w:rsidR="004326E2">
              <w:t xml:space="preserve">ee rule advice </w:t>
            </w:r>
            <w:r w:rsidR="00103209">
              <w:t>5-K</w:t>
            </w:r>
            <w:r w:rsidR="00C21B96">
              <w:t>)</w:t>
            </w:r>
            <w:r w:rsidR="00103209">
              <w:t>;</w:t>
            </w:r>
            <w:bookmarkEnd w:id="467"/>
          </w:p>
          <w:p w:rsidR="004326E2" w:rsidRPr="004326E2" w:rsidRDefault="004326E2" w:rsidP="005F238E">
            <w:pPr>
              <w:pStyle w:val="Heading8"/>
              <w:outlineLvl w:val="7"/>
            </w:pPr>
            <w:bookmarkStart w:id="470" w:name="_Toc456783861"/>
            <w:r>
              <w:t>For each planning and management charge:</w:t>
            </w:r>
            <w:bookmarkEnd w:id="470"/>
          </w:p>
          <w:p w:rsidR="004E7279" w:rsidRPr="00D714FC" w:rsidRDefault="004E7279" w:rsidP="00F43856">
            <w:pPr>
              <w:pStyle w:val="Heading8"/>
              <w:numPr>
                <w:ilvl w:val="0"/>
                <w:numId w:val="112"/>
              </w:numPr>
              <w:outlineLvl w:val="7"/>
            </w:pPr>
            <w:bookmarkStart w:id="471" w:name="_Toc456783862"/>
            <w:r w:rsidRPr="00D714FC">
              <w:t>the legislative, contractual or other authority for the charge</w:t>
            </w:r>
            <w:r w:rsidR="00103209">
              <w:t>.</w:t>
            </w:r>
            <w:bookmarkEnd w:id="468"/>
            <w:bookmarkEnd w:id="469"/>
            <w:bookmarkEnd w:id="471"/>
          </w:p>
          <w:p w:rsidR="004E7279" w:rsidRPr="00D714FC" w:rsidRDefault="004E7279" w:rsidP="005F238E">
            <w:pPr>
              <w:pStyle w:val="Heading8"/>
              <w:outlineLvl w:val="7"/>
            </w:pPr>
            <w:bookmarkStart w:id="472" w:name="_Toc434941384"/>
            <w:bookmarkStart w:id="473" w:name="_Toc436123276"/>
            <w:bookmarkStart w:id="474" w:name="_Toc456783869"/>
            <w:r w:rsidRPr="00D714FC">
              <w:t xml:space="preserve">The Schedule of Charges </w:t>
            </w:r>
            <w:r>
              <w:t>should</w:t>
            </w:r>
            <w:r w:rsidRPr="00D714FC">
              <w:t xml:space="preserve"> also include</w:t>
            </w:r>
            <w:r w:rsidR="00103209">
              <w:t xml:space="preserve"> the following general information</w:t>
            </w:r>
            <w:r w:rsidRPr="00D714FC">
              <w:t>:</w:t>
            </w:r>
            <w:bookmarkEnd w:id="472"/>
            <w:bookmarkEnd w:id="473"/>
            <w:bookmarkEnd w:id="474"/>
          </w:p>
          <w:p w:rsidR="004E7279" w:rsidRPr="00D714FC" w:rsidRDefault="004E7279" w:rsidP="00F43856">
            <w:pPr>
              <w:pStyle w:val="Heading8"/>
              <w:numPr>
                <w:ilvl w:val="0"/>
                <w:numId w:val="112"/>
              </w:numPr>
              <w:outlineLvl w:val="7"/>
            </w:pPr>
            <w:bookmarkStart w:id="475" w:name="_Toc434941385"/>
            <w:bookmarkStart w:id="476" w:name="_Toc436123277"/>
            <w:bookmarkStart w:id="477" w:name="_Toc456783870"/>
            <w:r w:rsidRPr="00D714FC">
              <w:t xml:space="preserve">the date </w:t>
            </w:r>
            <w:r w:rsidR="00EE6863">
              <w:t xml:space="preserve">on which </w:t>
            </w:r>
            <w:r w:rsidRPr="00D714FC">
              <w:t>the Schedule of Charges</w:t>
            </w:r>
            <w:r w:rsidR="00103209">
              <w:t xml:space="preserve"> </w:t>
            </w:r>
            <w:r w:rsidR="00EE6863">
              <w:t>come</w:t>
            </w:r>
            <w:r w:rsidR="00103209">
              <w:t xml:space="preserve">s </w:t>
            </w:r>
            <w:r w:rsidR="00EE6863">
              <w:t xml:space="preserve">into </w:t>
            </w:r>
            <w:r w:rsidR="00103209">
              <w:t>effect</w:t>
            </w:r>
            <w:r w:rsidR="00EE6863">
              <w:t xml:space="preserve"> (or will be taken to have come into effect)</w:t>
            </w:r>
            <w:r w:rsidRPr="00D714FC">
              <w:t>;</w:t>
            </w:r>
            <w:bookmarkEnd w:id="475"/>
            <w:bookmarkEnd w:id="476"/>
            <w:bookmarkEnd w:id="477"/>
          </w:p>
          <w:p w:rsidR="004E7279" w:rsidRPr="00D714FC" w:rsidRDefault="004E7279" w:rsidP="00F43856">
            <w:pPr>
              <w:pStyle w:val="Heading8"/>
              <w:numPr>
                <w:ilvl w:val="0"/>
                <w:numId w:val="112"/>
              </w:numPr>
              <w:outlineLvl w:val="7"/>
            </w:pPr>
            <w:bookmarkStart w:id="478" w:name="_Toc434941386"/>
            <w:bookmarkStart w:id="479" w:name="_Toc436123278"/>
            <w:bookmarkStart w:id="480" w:name="_Toc456783871"/>
            <w:r w:rsidRPr="00D714FC">
              <w:t xml:space="preserve">a statement setting out the </w:t>
            </w:r>
            <w:r w:rsidR="00EE6863">
              <w:t>following</w:t>
            </w:r>
            <w:r w:rsidRPr="00D714FC">
              <w:t>:</w:t>
            </w:r>
            <w:bookmarkEnd w:id="478"/>
            <w:bookmarkEnd w:id="479"/>
            <w:bookmarkEnd w:id="480"/>
          </w:p>
          <w:p w:rsidR="004E7279" w:rsidRPr="00D714FC" w:rsidRDefault="004E7279" w:rsidP="00F43856">
            <w:pPr>
              <w:pStyle w:val="Heading8"/>
              <w:numPr>
                <w:ilvl w:val="1"/>
                <w:numId w:val="112"/>
              </w:numPr>
              <w:outlineLvl w:val="7"/>
            </w:pPr>
            <w:bookmarkStart w:id="481" w:name="_Toc434941387"/>
            <w:bookmarkStart w:id="482" w:name="_Toc436123279"/>
            <w:bookmarkStart w:id="483" w:name="_Toc456783872"/>
            <w:r w:rsidRPr="00D714FC">
              <w:t xml:space="preserve">the </w:t>
            </w:r>
            <w:r w:rsidR="00EE6863">
              <w:t>process used to</w:t>
            </w:r>
            <w:r w:rsidRPr="00D714FC">
              <w:t xml:space="preserve"> determine the </w:t>
            </w:r>
            <w:r w:rsidR="00103209">
              <w:t>infrastructure charges or planning and management</w:t>
            </w:r>
            <w:r w:rsidRPr="00D714FC">
              <w:t xml:space="preserve"> charges (this should be at the general level, rather than for each individual charge);</w:t>
            </w:r>
            <w:bookmarkEnd w:id="481"/>
            <w:bookmarkEnd w:id="482"/>
            <w:bookmarkEnd w:id="483"/>
          </w:p>
          <w:p w:rsidR="004E7279" w:rsidRPr="00D714FC" w:rsidRDefault="0090417E" w:rsidP="00F43856">
            <w:pPr>
              <w:pStyle w:val="Heading8"/>
              <w:numPr>
                <w:ilvl w:val="1"/>
                <w:numId w:val="112"/>
              </w:numPr>
              <w:outlineLvl w:val="7"/>
            </w:pPr>
            <w:bookmarkStart w:id="484" w:name="_Toc434941388"/>
            <w:bookmarkStart w:id="485" w:name="_Toc436123280"/>
            <w:bookmarkStart w:id="486" w:name="_Toc456783873"/>
            <w:r>
              <w:t xml:space="preserve">how </w:t>
            </w:r>
            <w:r w:rsidR="004E7279" w:rsidRPr="00D714FC">
              <w:t xml:space="preserve">a </w:t>
            </w:r>
            <w:r w:rsidR="00103209">
              <w:t>person</w:t>
            </w:r>
            <w:r w:rsidR="00103209" w:rsidRPr="00D714FC">
              <w:t xml:space="preserve"> </w:t>
            </w:r>
            <w:r w:rsidR="004E7279" w:rsidRPr="00D714FC">
              <w:t xml:space="preserve">may participate in the process </w:t>
            </w:r>
            <w:r>
              <w:t>to</w:t>
            </w:r>
            <w:r w:rsidR="004E7279" w:rsidRPr="00D714FC">
              <w:t xml:space="preserve"> determin</w:t>
            </w:r>
            <w:r>
              <w:t>e</w:t>
            </w:r>
            <w:r w:rsidR="004E7279" w:rsidRPr="00D714FC">
              <w:t xml:space="preserve"> the </w:t>
            </w:r>
            <w:r w:rsidR="00103209">
              <w:t>infrastructure charges or planning and management</w:t>
            </w:r>
            <w:r w:rsidR="004E7279" w:rsidRPr="00D714FC">
              <w:t xml:space="preserve"> charges;</w:t>
            </w:r>
            <w:bookmarkEnd w:id="484"/>
            <w:bookmarkEnd w:id="485"/>
            <w:bookmarkEnd w:id="486"/>
          </w:p>
          <w:p w:rsidR="004E7279" w:rsidRDefault="0090417E" w:rsidP="00F43856">
            <w:pPr>
              <w:pStyle w:val="Heading8"/>
              <w:numPr>
                <w:ilvl w:val="1"/>
                <w:numId w:val="112"/>
              </w:numPr>
              <w:outlineLvl w:val="7"/>
            </w:pPr>
            <w:bookmarkStart w:id="487" w:name="_Toc434941389"/>
            <w:bookmarkStart w:id="488" w:name="_Toc436123281"/>
            <w:bookmarkStart w:id="489" w:name="_Toc456783874"/>
            <w:r>
              <w:t xml:space="preserve">how </w:t>
            </w:r>
            <w:r w:rsidR="004E7279" w:rsidRPr="00D714FC">
              <w:t xml:space="preserve">a </w:t>
            </w:r>
            <w:r w:rsidR="00103209">
              <w:t>person</w:t>
            </w:r>
            <w:r w:rsidR="00103209" w:rsidRPr="00D714FC">
              <w:t xml:space="preserve"> </w:t>
            </w:r>
            <w:r w:rsidR="004E7279" w:rsidRPr="00D714FC">
              <w:t xml:space="preserve">can make an enquiry or resolve a dispute with the infrastructure operator in relation to </w:t>
            </w:r>
            <w:r>
              <w:t xml:space="preserve">a </w:t>
            </w:r>
            <w:r w:rsidR="004E7279" w:rsidRPr="00D714FC">
              <w:t>regulated water charge</w:t>
            </w:r>
            <w:bookmarkEnd w:id="487"/>
            <w:bookmarkEnd w:id="488"/>
            <w:r w:rsidR="00103209">
              <w:t>;</w:t>
            </w:r>
            <w:bookmarkEnd w:id="489"/>
          </w:p>
          <w:p w:rsidR="00FD5079" w:rsidRDefault="00FD5079" w:rsidP="00F43856">
            <w:pPr>
              <w:pStyle w:val="Heading8"/>
              <w:numPr>
                <w:ilvl w:val="1"/>
                <w:numId w:val="112"/>
              </w:numPr>
              <w:outlineLvl w:val="7"/>
            </w:pPr>
            <w:bookmarkStart w:id="490" w:name="_Toc456783875"/>
            <w:r>
              <w:t>if applicable</w:t>
            </w:r>
            <w:r w:rsidRPr="005C5351">
              <w:t>―</w:t>
            </w:r>
            <w:r>
              <w:t>any generally available discounts, surcharges or hardship policies;</w:t>
            </w:r>
          </w:p>
          <w:p w:rsidR="0090417E" w:rsidRDefault="00103209" w:rsidP="00F43856">
            <w:pPr>
              <w:pStyle w:val="Heading8"/>
              <w:numPr>
                <w:ilvl w:val="1"/>
                <w:numId w:val="112"/>
              </w:numPr>
              <w:outlineLvl w:val="7"/>
            </w:pPr>
            <w:r>
              <w:t>if applicable</w:t>
            </w:r>
            <w:r w:rsidR="00FD5079" w:rsidRPr="005C5351">
              <w:t>―</w:t>
            </w:r>
            <w:r w:rsidR="0090417E">
              <w:t xml:space="preserve">how </w:t>
            </w:r>
            <w:r w:rsidR="00112256" w:rsidRPr="00112256">
              <w:t xml:space="preserve">the infrastructure operator has determined </w:t>
            </w:r>
            <w:r w:rsidR="0090417E">
              <w:t>or</w:t>
            </w:r>
            <w:r w:rsidR="00112256" w:rsidRPr="00112256">
              <w:t xml:space="preserve"> calculated the infrastructure charges it levies to </w:t>
            </w:r>
            <w:r w:rsidR="0090417E">
              <w:t xml:space="preserve">recover </w:t>
            </w:r>
            <w:r w:rsidR="00112256" w:rsidRPr="00112256">
              <w:t xml:space="preserve">charges in accordance with </w:t>
            </w:r>
            <w:r w:rsidR="00207A65">
              <w:t>r</w:t>
            </w:r>
            <w:r w:rsidR="00112256" w:rsidRPr="00112256">
              <w:t xml:space="preserve">ule </w:t>
            </w:r>
            <w:r>
              <w:t>a</w:t>
            </w:r>
            <w:r w:rsidR="00112256" w:rsidRPr="00112256">
              <w:t>dvice 5-Y</w:t>
            </w:r>
            <w:r>
              <w:t>;</w:t>
            </w:r>
            <w:bookmarkStart w:id="491" w:name="_Toc456783876"/>
            <w:bookmarkEnd w:id="490"/>
          </w:p>
          <w:p w:rsidR="00112256" w:rsidRPr="00112256" w:rsidRDefault="00112256" w:rsidP="00F43856">
            <w:pPr>
              <w:pStyle w:val="Heading8"/>
              <w:numPr>
                <w:ilvl w:val="1"/>
                <w:numId w:val="112"/>
              </w:numPr>
              <w:outlineLvl w:val="7"/>
            </w:pPr>
            <w:bookmarkStart w:id="492" w:name="_Toc456783877"/>
            <w:bookmarkEnd w:id="491"/>
            <w:r w:rsidRPr="00112256">
              <w:t>any other information the operator considers</w:t>
            </w:r>
            <w:r w:rsidR="00103209">
              <w:t xml:space="preserve"> reasonably</w:t>
            </w:r>
            <w:r w:rsidRPr="00112256">
              <w:t xml:space="preserve"> necessary or desirable to explain the charges to the customer.</w:t>
            </w:r>
            <w:bookmarkEnd w:id="492"/>
          </w:p>
          <w:p w:rsidR="004E7279" w:rsidRPr="00AF7032" w:rsidRDefault="004E7279" w:rsidP="00AF7032">
            <w:pPr>
              <w:pStyle w:val="Heading8"/>
              <w:outlineLvl w:val="7"/>
              <w:rPr>
                <w:i/>
                <w:sz w:val="18"/>
              </w:rPr>
            </w:pPr>
            <w:r w:rsidRPr="00AF7032">
              <w:rPr>
                <w:i/>
                <w:sz w:val="18"/>
              </w:rPr>
              <w:t xml:space="preserve">See also </w:t>
            </w:r>
            <w:r w:rsidR="00207A65" w:rsidRPr="00AF7032">
              <w:rPr>
                <w:i/>
                <w:sz w:val="18"/>
              </w:rPr>
              <w:t>r</w:t>
            </w:r>
            <w:r w:rsidRPr="00AF7032">
              <w:rPr>
                <w:i/>
                <w:sz w:val="18"/>
              </w:rPr>
              <w:t xml:space="preserve">ule advice </w:t>
            </w:r>
            <w:r w:rsidR="00112256" w:rsidRPr="00AF7032">
              <w:rPr>
                <w:i/>
                <w:sz w:val="18"/>
              </w:rPr>
              <w:t xml:space="preserve">5-J, </w:t>
            </w:r>
            <w:r w:rsidRPr="00AF7032">
              <w:rPr>
                <w:i/>
                <w:sz w:val="18"/>
              </w:rPr>
              <w:t xml:space="preserve">5-K and </w:t>
            </w:r>
            <w:r w:rsidR="00207A65" w:rsidRPr="00AF7032">
              <w:rPr>
                <w:i/>
                <w:sz w:val="18"/>
              </w:rPr>
              <w:t>r</w:t>
            </w:r>
            <w:r w:rsidRPr="00AF7032">
              <w:rPr>
                <w:i/>
                <w:sz w:val="18"/>
              </w:rPr>
              <w:t>ule advice 5-Y.</w:t>
            </w:r>
          </w:p>
          <w:p w:rsidR="00D47C4F" w:rsidRDefault="00D47C4F" w:rsidP="005F238E">
            <w:pPr>
              <w:pStyle w:val="Heading8"/>
              <w:outlineLvl w:val="7"/>
              <w:rPr>
                <w:i/>
              </w:rPr>
            </w:pPr>
            <w:bookmarkStart w:id="493" w:name="_Toc456783878"/>
            <w:r>
              <w:t>This rule should be a civil penalty provision.</w:t>
            </w:r>
            <w:bookmarkEnd w:id="493"/>
            <w:r>
              <w:t xml:space="preserve"> </w:t>
            </w:r>
          </w:p>
          <w:p w:rsidR="004E7279" w:rsidRDefault="004E7279" w:rsidP="005F238E">
            <w:pPr>
              <w:pStyle w:val="Heading8"/>
              <w:outlineLvl w:val="7"/>
              <w:rPr>
                <w:rFonts w:ascii="Times New Roman" w:hAnsi="Times New Roman"/>
              </w:rPr>
            </w:pPr>
            <w:bookmarkStart w:id="494" w:name="_Toc436123283"/>
            <w:bookmarkStart w:id="495" w:name="_Toc456783879"/>
            <w:r>
              <w:rPr>
                <w:rFonts w:ascii="Times New Roman" w:hAnsi="Times New Roman"/>
              </w:rPr>
              <w:t xml:space="preserve">This rule advice is implemented in </w:t>
            </w:r>
            <w:r w:rsidR="00207A65">
              <w:rPr>
                <w:rFonts w:ascii="Times New Roman" w:hAnsi="Times New Roman"/>
              </w:rPr>
              <w:t>r</w:t>
            </w:r>
            <w:r>
              <w:rPr>
                <w:rFonts w:ascii="Times New Roman" w:hAnsi="Times New Roman"/>
              </w:rPr>
              <w:t>ule</w:t>
            </w:r>
            <w:r w:rsidR="00690655">
              <w:rPr>
                <w:rFonts w:ascii="Times New Roman" w:hAnsi="Times New Roman"/>
              </w:rPr>
              <w:t>s</w:t>
            </w:r>
            <w:r>
              <w:rPr>
                <w:rFonts w:ascii="Times New Roman" w:hAnsi="Times New Roman"/>
              </w:rPr>
              <w:t xml:space="preserve"> 1</w:t>
            </w:r>
            <w:r w:rsidR="0090417E">
              <w:rPr>
                <w:rFonts w:ascii="Times New Roman" w:hAnsi="Times New Roman"/>
              </w:rPr>
              <w:t>1 and 13</w:t>
            </w:r>
            <w:r>
              <w:rPr>
                <w:rFonts w:ascii="Times New Roman" w:hAnsi="Times New Roman"/>
              </w:rPr>
              <w:t xml:space="preserve"> of the proposed </w:t>
            </w:r>
            <w:r w:rsidR="003F77BE">
              <w:rPr>
                <w:rFonts w:ascii="Times New Roman" w:hAnsi="Times New Roman"/>
              </w:rPr>
              <w:t>W</w:t>
            </w:r>
            <w:r>
              <w:rPr>
                <w:rFonts w:ascii="Times New Roman" w:hAnsi="Times New Roman"/>
              </w:rPr>
              <w:t xml:space="preserve">ater </w:t>
            </w:r>
            <w:r w:rsidR="003F77BE">
              <w:rPr>
                <w:rFonts w:ascii="Times New Roman" w:hAnsi="Times New Roman"/>
              </w:rPr>
              <w:t>C</w:t>
            </w:r>
            <w:r>
              <w:rPr>
                <w:rFonts w:ascii="Times New Roman" w:hAnsi="Times New Roman"/>
              </w:rPr>
              <w:t xml:space="preserve">harge </w:t>
            </w:r>
            <w:r w:rsidR="003F77BE">
              <w:rPr>
                <w:rFonts w:ascii="Times New Roman" w:hAnsi="Times New Roman"/>
              </w:rPr>
              <w:t>R</w:t>
            </w:r>
            <w:r>
              <w:rPr>
                <w:rFonts w:ascii="Times New Roman" w:hAnsi="Times New Roman"/>
              </w:rPr>
              <w:t>ules.</w:t>
            </w:r>
            <w:bookmarkEnd w:id="494"/>
            <w:bookmarkEnd w:id="495"/>
          </w:p>
          <w:p w:rsidR="00A67E4E" w:rsidRPr="00AF7032" w:rsidRDefault="00A67E4E" w:rsidP="00AF7032">
            <w:pPr>
              <w:pStyle w:val="Ruleadvicesubheading"/>
            </w:pPr>
            <w:r w:rsidRPr="00AF7032">
              <w:t>Conditions applying to infrastructure charges and planning and management charges</w:t>
            </w:r>
          </w:p>
          <w:p w:rsidR="002C6EAD" w:rsidRDefault="00EE65A6" w:rsidP="00FE6BB7">
            <w:pPr>
              <w:pStyle w:val="Heading8"/>
              <w:outlineLvl w:val="7"/>
            </w:pPr>
            <w:bookmarkStart w:id="496" w:name="_Toc456783880"/>
            <w:r w:rsidRPr="00112256">
              <w:t xml:space="preserve">The rules should clarify that an infrastructure operator </w:t>
            </w:r>
            <w:r w:rsidR="0090417E">
              <w:t>must not</w:t>
            </w:r>
            <w:r w:rsidRPr="00112256">
              <w:t xml:space="preserve"> levy an infrastructure charge or planning and management charge </w:t>
            </w:r>
            <w:r w:rsidR="0090417E">
              <w:t xml:space="preserve">that is not </w:t>
            </w:r>
            <w:r w:rsidR="00C537F1">
              <w:t xml:space="preserve">specified, for the circumstances in which it is levied, in a Schedule of Charges that is in effect for the </w:t>
            </w:r>
            <w:r w:rsidR="00A35F2E">
              <w:t>operator</w:t>
            </w:r>
            <w:r w:rsidR="00C537F1">
              <w:t xml:space="preserve"> when: </w:t>
            </w:r>
          </w:p>
          <w:p w:rsidR="00C537F1" w:rsidRDefault="00C537F1" w:rsidP="00020517">
            <w:pPr>
              <w:pStyle w:val="Ruleadvicebullet"/>
            </w:pPr>
            <w:bookmarkStart w:id="497" w:name="_Toc456783881"/>
            <w:bookmarkEnd w:id="496"/>
            <w:r>
              <w:t xml:space="preserve">for an </w:t>
            </w:r>
            <w:r w:rsidR="00FF6F8C">
              <w:t>infrastructure charge – the relevant infrastructure service was provided;</w:t>
            </w:r>
          </w:p>
          <w:p w:rsidR="00EE65A6" w:rsidRPr="00112256" w:rsidRDefault="00FF6F8C" w:rsidP="00020517">
            <w:pPr>
              <w:pStyle w:val="Ruleadvicebullet"/>
            </w:pPr>
            <w:r>
              <w:t xml:space="preserve">for a planning and management charge – the circumstances set out in the Schedule of Charges for incurring the charge are met. </w:t>
            </w:r>
            <w:bookmarkEnd w:id="497"/>
          </w:p>
          <w:p w:rsidR="00770D6A" w:rsidRDefault="00770D6A" w:rsidP="00770D6A">
            <w:pPr>
              <w:pStyle w:val="Heading8"/>
              <w:outlineLvl w:val="7"/>
            </w:pPr>
            <w:r>
              <w:t>This rule should be a civil penalty provision.</w:t>
            </w:r>
          </w:p>
          <w:p w:rsidR="00C537F1" w:rsidRDefault="00C537F1" w:rsidP="00C537F1">
            <w:pPr>
              <w:pStyle w:val="Heading8"/>
              <w:outlineLvl w:val="7"/>
            </w:pPr>
            <w:r>
              <w:t>The rules should ensure that an infrastructure operator does not contravene</w:t>
            </w:r>
            <w:r w:rsidR="00B34CCE">
              <w:t xml:space="preserve"> this</w:t>
            </w:r>
            <w:r>
              <w:t xml:space="preserve"> provision if:</w:t>
            </w:r>
          </w:p>
          <w:p w:rsidR="00C537F1" w:rsidRDefault="00C537F1" w:rsidP="00020517">
            <w:pPr>
              <w:pStyle w:val="Ruleadvicebullet"/>
            </w:pPr>
            <w:r>
              <w:t>the charge is exempt (see proposed subrule 11(7), rule advice 5-J)</w:t>
            </w:r>
            <w:r w:rsidR="00B34CCE">
              <w:t>; or</w:t>
            </w:r>
          </w:p>
          <w:p w:rsidR="00C537F1" w:rsidRPr="00C537F1" w:rsidRDefault="00345A28" w:rsidP="00020517">
            <w:pPr>
              <w:pStyle w:val="Ruleadvicebullet"/>
            </w:pPr>
            <w:r>
              <w:t xml:space="preserve">the charge </w:t>
            </w:r>
            <w:r w:rsidR="002C6EAD">
              <w:t>is</w:t>
            </w:r>
            <w:r>
              <w:t xml:space="preserve"> levied retrospectively </w:t>
            </w:r>
            <w:r w:rsidR="002C6EAD">
              <w:t xml:space="preserve">in accordance with the relevant rules which allow for retrospectivity </w:t>
            </w:r>
            <w:r>
              <w:t>(see rule advice</w:t>
            </w:r>
            <w:r w:rsidR="002C6EAD">
              <w:t>s</w:t>
            </w:r>
            <w:r>
              <w:t xml:space="preserve"> 5</w:t>
            </w:r>
            <w:r w:rsidR="00906F9F">
              <w:noBreakHyphen/>
            </w:r>
            <w:r>
              <w:t>I</w:t>
            </w:r>
            <w:r w:rsidR="002C6EAD">
              <w:t xml:space="preserve"> and 5</w:t>
            </w:r>
            <w:r w:rsidR="00906F9F">
              <w:noBreakHyphen/>
            </w:r>
            <w:r w:rsidR="002C6EAD">
              <w:t>Y</w:t>
            </w:r>
            <w:r>
              <w:t>).</w:t>
            </w:r>
          </w:p>
          <w:p w:rsidR="003779A4" w:rsidRPr="000A3F3D" w:rsidRDefault="00770D6A" w:rsidP="00770D6A">
            <w:pPr>
              <w:pStyle w:val="Heading8"/>
              <w:outlineLvl w:val="7"/>
              <w:rPr>
                <w:sz w:val="18"/>
              </w:rPr>
            </w:pPr>
            <w:r w:rsidRPr="000A3F3D">
              <w:rPr>
                <w:i/>
                <w:sz w:val="18"/>
              </w:rPr>
              <w:t xml:space="preserve">Note: </w:t>
            </w:r>
            <w:r w:rsidR="000460E1" w:rsidRPr="000A3F3D">
              <w:rPr>
                <w:sz w:val="18"/>
              </w:rPr>
              <w:t xml:space="preserve">The effect of these rules is that, in order to be able to levy a infrastructure charge or a planning and management charge, a </w:t>
            </w:r>
            <w:r w:rsidRPr="000A3F3D">
              <w:rPr>
                <w:sz w:val="18"/>
              </w:rPr>
              <w:t xml:space="preserve">Schedule of Charges must be adopted in accordance with the rules (see proposed rule 11) and include the information set out above (see proposed rule 13). </w:t>
            </w:r>
          </w:p>
          <w:p w:rsidR="009701BD" w:rsidRDefault="00EE65A6" w:rsidP="00C21B96">
            <w:pPr>
              <w:pStyle w:val="Heading8"/>
              <w:outlineLvl w:val="7"/>
              <w:rPr>
                <w:rFonts w:ascii="Times New Roman" w:hAnsi="Times New Roman"/>
              </w:rPr>
            </w:pPr>
            <w:bookmarkStart w:id="498" w:name="_Toc456783886"/>
            <w:r w:rsidRPr="00BC64F5">
              <w:rPr>
                <w:rFonts w:ascii="Times New Roman" w:hAnsi="Times New Roman"/>
              </w:rPr>
              <w:t>This rule advice is implemented in rule</w:t>
            </w:r>
            <w:r w:rsidR="00690655">
              <w:rPr>
                <w:rFonts w:ascii="Times New Roman" w:hAnsi="Times New Roman"/>
              </w:rPr>
              <w:t>s</w:t>
            </w:r>
            <w:r w:rsidRPr="00BC64F5">
              <w:rPr>
                <w:rFonts w:ascii="Times New Roman" w:hAnsi="Times New Roman"/>
              </w:rPr>
              <w:t xml:space="preserve"> 7</w:t>
            </w:r>
            <w:r w:rsidR="00690655">
              <w:rPr>
                <w:rFonts w:ascii="Times New Roman" w:hAnsi="Times New Roman"/>
              </w:rPr>
              <w:t xml:space="preserve"> </w:t>
            </w:r>
            <w:r w:rsidR="002C6EAD">
              <w:rPr>
                <w:rFonts w:ascii="Times New Roman" w:hAnsi="Times New Roman"/>
              </w:rPr>
              <w:t xml:space="preserve">and 11(7) </w:t>
            </w:r>
            <w:r w:rsidRPr="00BC64F5">
              <w:rPr>
                <w:rFonts w:ascii="Times New Roman" w:hAnsi="Times New Roman"/>
              </w:rPr>
              <w:t>of the proposed Water Charge Rule</w:t>
            </w:r>
            <w:r w:rsidR="00C21B96">
              <w:rPr>
                <w:rFonts w:ascii="Times New Roman" w:hAnsi="Times New Roman"/>
              </w:rPr>
              <w:t>s.</w:t>
            </w:r>
            <w:bookmarkEnd w:id="432"/>
            <w:bookmarkEnd w:id="498"/>
          </w:p>
          <w:p w:rsidR="00C21B96" w:rsidRPr="00C21B96" w:rsidRDefault="00C21B96" w:rsidP="00C21B96"/>
          <w:p w:rsidR="00ED342F" w:rsidRPr="00D714FC" w:rsidRDefault="00ED342F" w:rsidP="00AF7032">
            <w:pPr>
              <w:pStyle w:val="Caption"/>
              <w:rPr>
                <w:rFonts w:eastAsia="Arial"/>
              </w:rPr>
            </w:pPr>
            <w:bookmarkStart w:id="499" w:name="_Toc456783887"/>
            <w:bookmarkEnd w:id="433"/>
            <w:bookmarkEnd w:id="434"/>
            <w:r w:rsidRPr="00D714FC">
              <w:t xml:space="preserve">Rule advice </w:t>
            </w:r>
            <w:r w:rsidR="007F659D">
              <w:rPr>
                <w:noProof/>
              </w:rPr>
              <w:t>5</w:t>
            </w:r>
            <w:r>
              <w:noBreakHyphen/>
            </w:r>
            <w:r w:rsidR="007F659D">
              <w:rPr>
                <w:noProof/>
              </w:rPr>
              <w:t>F</w:t>
            </w:r>
            <w:bookmarkEnd w:id="499"/>
          </w:p>
          <w:p w:rsidR="00C21B96" w:rsidRDefault="00C21B96" w:rsidP="00AF7032">
            <w:pPr>
              <w:pStyle w:val="Ruleadvicesubheading"/>
            </w:pPr>
            <w:bookmarkStart w:id="500" w:name="_Toc433975261"/>
            <w:bookmarkStart w:id="501" w:name="_Toc434941392"/>
            <w:bookmarkStart w:id="502" w:name="_Toc436123285"/>
            <w:bookmarkStart w:id="503" w:name="_Toc456783888"/>
            <w:bookmarkStart w:id="504" w:name="Rule_Advice_5F"/>
            <w:r w:rsidRPr="00C21B96">
              <w:t>Schedule of Charge requirements for persons other than infrastructure operators</w:t>
            </w:r>
          </w:p>
          <w:p w:rsidR="005F0566" w:rsidRDefault="005F0566" w:rsidP="005F0566">
            <w:pPr>
              <w:pStyle w:val="Heading8"/>
              <w:outlineLvl w:val="7"/>
            </w:pPr>
            <w:r>
              <w:t>The rules should be amended to provide that a person, other than an infrastructure operator, who determines or levies planning and management charges</w:t>
            </w:r>
            <w:r w:rsidR="00924643">
              <w:t>, or on whose behalf such charges are collected,</w:t>
            </w:r>
            <w:r>
              <w:t xml:space="preserve"> may adopt a Schedule of Charges which sets out planning and management charges in accordance with the rules.</w:t>
            </w:r>
          </w:p>
          <w:p w:rsidR="005F0566" w:rsidRDefault="005F0566" w:rsidP="005F0566">
            <w:pPr>
              <w:pStyle w:val="Heading8"/>
              <w:outlineLvl w:val="7"/>
            </w:pPr>
            <w:r>
              <w:t xml:space="preserve">The rules should provide that the </w:t>
            </w:r>
            <w:r w:rsidR="00B1638F">
              <w:t>S</w:t>
            </w:r>
            <w:r>
              <w:t xml:space="preserve">chedule of </w:t>
            </w:r>
            <w:r w:rsidR="00B1638F">
              <w:t>C</w:t>
            </w:r>
            <w:r>
              <w:t xml:space="preserve">harges may not come into effect </w:t>
            </w:r>
            <w:r w:rsidR="00924643">
              <w:t xml:space="preserve">and the listed charges should not apply </w:t>
            </w:r>
            <w:r>
              <w:t>earlier than the date the Schedule of Charges</w:t>
            </w:r>
            <w:r w:rsidR="00924643">
              <w:t xml:space="preserve"> is adopted</w:t>
            </w:r>
            <w:r w:rsidR="000A3F3D">
              <w:t>, except in the limited circumstances described in rule advice 5-I</w:t>
            </w:r>
            <w:r>
              <w:t>.</w:t>
            </w:r>
          </w:p>
          <w:p w:rsidR="00690655" w:rsidRDefault="00690655" w:rsidP="00690655">
            <w:pPr>
              <w:pStyle w:val="Heading8"/>
              <w:outlineLvl w:val="7"/>
            </w:pPr>
            <w:r>
              <w:t xml:space="preserve">The rules should provide that the Schedule of Charges ceases to be in effect for the person who levies the charges when another Schedule of Charges that has been adopted in accordance with the rules comes into effect for the person. </w:t>
            </w:r>
          </w:p>
          <w:p w:rsidR="00690655" w:rsidRPr="00690655" w:rsidRDefault="00690655" w:rsidP="00690655">
            <w:r w:rsidRPr="00BC64F5">
              <w:t>This rule advice is implemented in rule</w:t>
            </w:r>
            <w:r>
              <w:t xml:space="preserve"> 12 </w:t>
            </w:r>
            <w:r w:rsidRPr="00BC64F5">
              <w:t>of the proposed Water Charge Rule</w:t>
            </w:r>
            <w:r>
              <w:t>s.</w:t>
            </w:r>
          </w:p>
          <w:p w:rsidR="00A67E4E" w:rsidRPr="00A67E4E" w:rsidRDefault="00A67E4E" w:rsidP="00AF7032">
            <w:pPr>
              <w:pStyle w:val="Ruleadvicesubheading"/>
            </w:pPr>
            <w:r>
              <w:t>Information that must be included on a Schedule of Charges</w:t>
            </w:r>
          </w:p>
          <w:p w:rsidR="004E7279" w:rsidRPr="00D714FC" w:rsidRDefault="004E7279" w:rsidP="005F238E">
            <w:pPr>
              <w:pStyle w:val="Heading8"/>
              <w:outlineLvl w:val="7"/>
            </w:pPr>
            <w:bookmarkStart w:id="505" w:name="_Toc433975262"/>
            <w:bookmarkStart w:id="506" w:name="_Toc434941393"/>
            <w:bookmarkStart w:id="507" w:name="_Toc436123286"/>
            <w:bookmarkStart w:id="508" w:name="_Toc456783889"/>
            <w:bookmarkEnd w:id="500"/>
            <w:bookmarkEnd w:id="501"/>
            <w:bookmarkEnd w:id="502"/>
            <w:bookmarkEnd w:id="503"/>
            <w:r w:rsidRPr="00D714FC">
              <w:t>The rules should require that a</w:t>
            </w:r>
            <w:r w:rsidR="006D09EF">
              <w:t xml:space="preserve"> Schedule of Charges adopted by a</w:t>
            </w:r>
            <w:r w:rsidRPr="00D714FC">
              <w:t xml:space="preserve"> person (other than an infrastructure operator) must include the following information for each planning and management charge</w:t>
            </w:r>
            <w:r w:rsidR="00B37AFA">
              <w:t xml:space="preserve"> on its Schedule of Charges</w:t>
            </w:r>
            <w:r w:rsidRPr="00D714FC">
              <w:t>:</w:t>
            </w:r>
            <w:bookmarkEnd w:id="505"/>
            <w:bookmarkEnd w:id="506"/>
            <w:bookmarkEnd w:id="507"/>
            <w:bookmarkEnd w:id="508"/>
            <w:r w:rsidRPr="00D714FC">
              <w:t xml:space="preserve"> </w:t>
            </w:r>
          </w:p>
          <w:p w:rsidR="004E7279" w:rsidRPr="00D714FC" w:rsidRDefault="004E7279" w:rsidP="00F43856">
            <w:pPr>
              <w:pStyle w:val="Heading8"/>
              <w:numPr>
                <w:ilvl w:val="0"/>
                <w:numId w:val="109"/>
              </w:numPr>
              <w:outlineLvl w:val="7"/>
            </w:pPr>
            <w:bookmarkStart w:id="509" w:name="_Toc434941394"/>
            <w:bookmarkStart w:id="510" w:name="_Toc436123287"/>
            <w:bookmarkStart w:id="511" w:name="_Toc456783890"/>
            <w:r w:rsidRPr="00D714FC">
              <w:t>the name of the charge</w:t>
            </w:r>
            <w:r w:rsidR="00B37AFA">
              <w:t xml:space="preserve"> (and the period during which the charge applies, if that period is different from the period that the </w:t>
            </w:r>
            <w:r w:rsidR="00B1638F">
              <w:t>S</w:t>
            </w:r>
            <w:r w:rsidR="00B37AFA">
              <w:t xml:space="preserve">chedule of </w:t>
            </w:r>
            <w:r w:rsidR="00B1638F">
              <w:t>C</w:t>
            </w:r>
            <w:r w:rsidR="00B37AFA">
              <w:t>harges is in effect)</w:t>
            </w:r>
            <w:r w:rsidRPr="00D714FC">
              <w:t>;</w:t>
            </w:r>
            <w:bookmarkEnd w:id="509"/>
            <w:bookmarkEnd w:id="510"/>
            <w:bookmarkEnd w:id="511"/>
          </w:p>
          <w:p w:rsidR="004E7279" w:rsidRPr="00D714FC" w:rsidRDefault="004E7279" w:rsidP="00F43856">
            <w:pPr>
              <w:pStyle w:val="Heading8"/>
              <w:numPr>
                <w:ilvl w:val="0"/>
                <w:numId w:val="109"/>
              </w:numPr>
              <w:outlineLvl w:val="7"/>
            </w:pPr>
            <w:bookmarkStart w:id="512" w:name="_Toc436123288"/>
            <w:bookmarkStart w:id="513" w:name="_Toc456783891"/>
            <w:bookmarkStart w:id="514" w:name="_Toc434941395"/>
            <w:r w:rsidRPr="00D714FC">
              <w:t xml:space="preserve">the circumstances in which the charge is </w:t>
            </w:r>
            <w:r w:rsidR="00B1569E">
              <w:t>payable</w:t>
            </w:r>
            <w:r w:rsidR="00B37AFA">
              <w:t>,</w:t>
            </w:r>
            <w:r w:rsidR="00B1569E" w:rsidRPr="00D714FC">
              <w:t xml:space="preserve"> </w:t>
            </w:r>
            <w:r w:rsidRPr="00D714FC">
              <w:t>including</w:t>
            </w:r>
            <w:r w:rsidR="00B37AFA">
              <w:t>,</w:t>
            </w:r>
            <w:r w:rsidR="00B1569E">
              <w:t xml:space="preserve"> as applicable</w:t>
            </w:r>
            <w:r w:rsidR="00B37AFA">
              <w:t>, the following</w:t>
            </w:r>
            <w:r w:rsidRPr="00D714FC">
              <w:t>:</w:t>
            </w:r>
            <w:bookmarkEnd w:id="512"/>
            <w:bookmarkEnd w:id="513"/>
          </w:p>
          <w:p w:rsidR="004E7279" w:rsidRPr="00D714FC" w:rsidRDefault="004E7279" w:rsidP="00F43856">
            <w:pPr>
              <w:pStyle w:val="Heading8"/>
              <w:numPr>
                <w:ilvl w:val="0"/>
                <w:numId w:val="120"/>
              </w:numPr>
              <w:outlineLvl w:val="7"/>
            </w:pPr>
            <w:bookmarkStart w:id="515" w:name="_Toc436123289"/>
            <w:bookmarkStart w:id="516" w:name="_Toc456783892"/>
            <w:r w:rsidRPr="00D714FC">
              <w:t xml:space="preserve">the class of person </w:t>
            </w:r>
            <w:r w:rsidR="00143645">
              <w:t>required to pay the charge</w:t>
            </w:r>
            <w:r w:rsidRPr="00D714FC">
              <w:t>;</w:t>
            </w:r>
            <w:bookmarkEnd w:id="515"/>
            <w:bookmarkEnd w:id="516"/>
          </w:p>
          <w:p w:rsidR="004E7279" w:rsidRPr="00D714FC" w:rsidRDefault="004E7279" w:rsidP="00F43856">
            <w:pPr>
              <w:pStyle w:val="Heading8"/>
              <w:numPr>
                <w:ilvl w:val="0"/>
                <w:numId w:val="120"/>
              </w:numPr>
              <w:outlineLvl w:val="7"/>
            </w:pPr>
            <w:bookmarkStart w:id="517" w:name="_Toc436123290"/>
            <w:bookmarkStart w:id="518" w:name="_Toc456783893"/>
            <w:r w:rsidRPr="00D714FC">
              <w:t>the water resource, catchment or district, and the water resource plan or other plan, to which the charge relates;</w:t>
            </w:r>
            <w:bookmarkEnd w:id="517"/>
            <w:bookmarkEnd w:id="518"/>
          </w:p>
          <w:p w:rsidR="004E7279" w:rsidRPr="00D714FC" w:rsidRDefault="004E7279" w:rsidP="00F43856">
            <w:pPr>
              <w:pStyle w:val="Heading8"/>
              <w:numPr>
                <w:ilvl w:val="0"/>
                <w:numId w:val="120"/>
              </w:numPr>
              <w:outlineLvl w:val="7"/>
            </w:pPr>
            <w:bookmarkStart w:id="519" w:name="_Toc436123291"/>
            <w:bookmarkStart w:id="520" w:name="_Toc456783894"/>
            <w:r w:rsidRPr="00D714FC">
              <w:t>the class of water access right, water delivery right or irrigation right to which the charge relates;</w:t>
            </w:r>
            <w:bookmarkEnd w:id="519"/>
            <w:bookmarkEnd w:id="520"/>
          </w:p>
          <w:p w:rsidR="004E7279" w:rsidRPr="00D714FC" w:rsidRDefault="004E7279" w:rsidP="00F43856">
            <w:pPr>
              <w:pStyle w:val="Heading8"/>
              <w:numPr>
                <w:ilvl w:val="0"/>
                <w:numId w:val="109"/>
              </w:numPr>
              <w:outlineLvl w:val="7"/>
            </w:pPr>
            <w:bookmarkStart w:id="521" w:name="_Toc436123292"/>
            <w:bookmarkStart w:id="522" w:name="_Toc456783895"/>
            <w:r w:rsidRPr="00D714FC">
              <w:t>the amount of the charge (whether expressed as a dollar amount or as fee units) or details of rates, and all other details necessary to determine th</w:t>
            </w:r>
            <w:r w:rsidR="00B37AFA">
              <w:t>at</w:t>
            </w:r>
            <w:r w:rsidRPr="00D714FC">
              <w:t xml:space="preserve"> amount;</w:t>
            </w:r>
            <w:bookmarkEnd w:id="514"/>
            <w:bookmarkEnd w:id="521"/>
            <w:bookmarkEnd w:id="522"/>
          </w:p>
          <w:p w:rsidR="002C6EAD" w:rsidRPr="00D714FC" w:rsidRDefault="002C6EAD" w:rsidP="00F43856">
            <w:pPr>
              <w:pStyle w:val="Heading8"/>
              <w:numPr>
                <w:ilvl w:val="0"/>
                <w:numId w:val="109"/>
              </w:numPr>
              <w:outlineLvl w:val="7"/>
            </w:pPr>
            <w:bookmarkStart w:id="523" w:name="_Toc436123296"/>
            <w:bookmarkStart w:id="524" w:name="_Toc456783900"/>
            <w:bookmarkStart w:id="525" w:name="_Toc434941397"/>
            <w:bookmarkStart w:id="526" w:name="_Toc436123293"/>
            <w:bookmarkStart w:id="527" w:name="_Toc456783896"/>
            <w:r>
              <w:t>the details of any general discount or surcharge, including the circumstances under which the discount or surcharge applies (e.g. a discount for early payment)</w:t>
            </w:r>
            <w:bookmarkEnd w:id="523"/>
            <w:bookmarkEnd w:id="524"/>
            <w:r>
              <w:t>;</w:t>
            </w:r>
          </w:p>
          <w:p w:rsidR="004E7279" w:rsidRPr="00D714FC" w:rsidRDefault="004E7279" w:rsidP="00F43856">
            <w:pPr>
              <w:pStyle w:val="Heading8"/>
              <w:numPr>
                <w:ilvl w:val="0"/>
                <w:numId w:val="109"/>
              </w:numPr>
              <w:outlineLvl w:val="7"/>
            </w:pPr>
            <w:r w:rsidRPr="00D714FC">
              <w:t>when the charge is payable and, if payable by instalments, the number of instalments and intervals at which the</w:t>
            </w:r>
            <w:r w:rsidR="00B37AFA">
              <w:t xml:space="preserve"> charge</w:t>
            </w:r>
            <w:r w:rsidRPr="00D714FC">
              <w:t xml:space="preserve"> </w:t>
            </w:r>
            <w:r w:rsidR="00B37AFA">
              <w:t>is</w:t>
            </w:r>
            <w:r w:rsidRPr="00D714FC">
              <w:t xml:space="preserve"> payable;</w:t>
            </w:r>
            <w:bookmarkEnd w:id="525"/>
            <w:bookmarkEnd w:id="526"/>
            <w:bookmarkEnd w:id="527"/>
          </w:p>
          <w:p w:rsidR="00B37AFA" w:rsidRDefault="00E561C1" w:rsidP="00F43856">
            <w:pPr>
              <w:pStyle w:val="Heading8"/>
              <w:numPr>
                <w:ilvl w:val="0"/>
                <w:numId w:val="109"/>
              </w:numPr>
              <w:outlineLvl w:val="7"/>
            </w:pPr>
            <w:bookmarkStart w:id="528" w:name="_Toc456783898"/>
            <w:bookmarkStart w:id="529" w:name="_Toc436123295"/>
            <w:bookmarkStart w:id="530" w:name="_Toc434941402"/>
            <w:r>
              <w:t>if applicable</w:t>
            </w:r>
            <w:r w:rsidR="00B37AFA">
              <w:t>, the following:</w:t>
            </w:r>
            <w:r>
              <w:t xml:space="preserve"> </w:t>
            </w:r>
          </w:p>
          <w:p w:rsidR="00B37AFA" w:rsidRDefault="00B37AFA" w:rsidP="00F43856">
            <w:pPr>
              <w:pStyle w:val="Heading8"/>
              <w:numPr>
                <w:ilvl w:val="0"/>
                <w:numId w:val="121"/>
              </w:numPr>
              <w:outlineLvl w:val="7"/>
            </w:pPr>
            <w:r>
              <w:t>who determined the charge (if it was not determined by the person adopting the Schedule of Charges)</w:t>
            </w:r>
          </w:p>
          <w:p w:rsidR="005B69E5" w:rsidRDefault="00E561C1" w:rsidP="00F43856">
            <w:pPr>
              <w:pStyle w:val="Heading8"/>
              <w:numPr>
                <w:ilvl w:val="0"/>
                <w:numId w:val="121"/>
              </w:numPr>
              <w:outlineLvl w:val="7"/>
            </w:pPr>
            <w:r>
              <w:t>the name of the agency or person for whom the charge is being collected</w:t>
            </w:r>
            <w:bookmarkStart w:id="531" w:name="_Toc456783899"/>
            <w:bookmarkEnd w:id="528"/>
          </w:p>
          <w:p w:rsidR="002C6EAD" w:rsidRDefault="00B37AFA" w:rsidP="00F43856">
            <w:pPr>
              <w:pStyle w:val="Heading8"/>
              <w:numPr>
                <w:ilvl w:val="0"/>
                <w:numId w:val="121"/>
              </w:numPr>
              <w:outlineLvl w:val="7"/>
            </w:pPr>
            <w:r>
              <w:t xml:space="preserve">who the charge is payable to </w:t>
            </w:r>
            <w:r w:rsidR="00E561C1">
              <w:t>(if it is not payable to the person adopting the Schedule of Charges</w:t>
            </w:r>
            <w:r w:rsidR="004E7279" w:rsidRPr="00D714FC">
              <w:t>;</w:t>
            </w:r>
            <w:bookmarkStart w:id="532" w:name="_Toc434941401"/>
            <w:bookmarkStart w:id="533" w:name="_Toc436123294"/>
            <w:bookmarkStart w:id="534" w:name="_Toc456783897"/>
            <w:bookmarkEnd w:id="529"/>
            <w:bookmarkEnd w:id="531"/>
            <w:r w:rsidR="002C6EAD" w:rsidRPr="00D714FC">
              <w:t xml:space="preserve"> </w:t>
            </w:r>
          </w:p>
          <w:p w:rsidR="004E7279" w:rsidRPr="00D714FC" w:rsidRDefault="002C6EAD" w:rsidP="00F43856">
            <w:pPr>
              <w:pStyle w:val="Heading8"/>
              <w:numPr>
                <w:ilvl w:val="0"/>
                <w:numId w:val="109"/>
              </w:numPr>
              <w:outlineLvl w:val="7"/>
            </w:pPr>
            <w:r w:rsidRPr="00D714FC">
              <w:t>the legislative, contractual or other authority for the charge</w:t>
            </w:r>
            <w:bookmarkEnd w:id="532"/>
            <w:bookmarkEnd w:id="533"/>
            <w:bookmarkEnd w:id="534"/>
            <w:r>
              <w:t>.</w:t>
            </w:r>
          </w:p>
          <w:p w:rsidR="004E7279" w:rsidRPr="00D714FC" w:rsidRDefault="004E7279" w:rsidP="005F238E">
            <w:pPr>
              <w:pStyle w:val="Heading8"/>
              <w:outlineLvl w:val="7"/>
            </w:pPr>
            <w:bookmarkStart w:id="535" w:name="_Toc434941403"/>
            <w:bookmarkStart w:id="536" w:name="_Toc436123297"/>
            <w:bookmarkStart w:id="537" w:name="_Toc456783901"/>
            <w:bookmarkEnd w:id="530"/>
            <w:r w:rsidRPr="00D714FC">
              <w:t xml:space="preserve">The Schedule of Charges </w:t>
            </w:r>
            <w:r>
              <w:t>should</w:t>
            </w:r>
            <w:r w:rsidRPr="00D714FC">
              <w:t xml:space="preserve"> also include</w:t>
            </w:r>
            <w:r w:rsidR="00962E7C">
              <w:t xml:space="preserve"> the following general information</w:t>
            </w:r>
            <w:r w:rsidRPr="00D714FC">
              <w:t>:</w:t>
            </w:r>
            <w:bookmarkEnd w:id="535"/>
            <w:bookmarkEnd w:id="536"/>
            <w:bookmarkEnd w:id="537"/>
          </w:p>
          <w:p w:rsidR="004E7279" w:rsidRPr="00D714FC" w:rsidRDefault="004E7279" w:rsidP="00F43856">
            <w:pPr>
              <w:pStyle w:val="Heading8"/>
              <w:numPr>
                <w:ilvl w:val="0"/>
                <w:numId w:val="109"/>
              </w:numPr>
              <w:outlineLvl w:val="7"/>
            </w:pPr>
            <w:bookmarkStart w:id="538" w:name="_Toc434941404"/>
            <w:bookmarkStart w:id="539" w:name="_Toc436123298"/>
            <w:bookmarkStart w:id="540" w:name="_Toc456783902"/>
            <w:r w:rsidRPr="00D714FC">
              <w:t xml:space="preserve">the date </w:t>
            </w:r>
            <w:r w:rsidR="00962E7C">
              <w:t xml:space="preserve">that </w:t>
            </w:r>
            <w:r w:rsidRPr="00D714FC">
              <w:t>the Schedule of Charges</w:t>
            </w:r>
            <w:r w:rsidR="00B37AFA">
              <w:t xml:space="preserve"> comes into</w:t>
            </w:r>
            <w:r w:rsidR="00962E7C">
              <w:t xml:space="preserve"> effect</w:t>
            </w:r>
            <w:r w:rsidR="00B37AFA">
              <w:t xml:space="preserve"> (or will be taken to have come into effect)</w:t>
            </w:r>
            <w:r w:rsidRPr="00D714FC">
              <w:t>;</w:t>
            </w:r>
            <w:bookmarkEnd w:id="538"/>
            <w:bookmarkEnd w:id="539"/>
            <w:bookmarkEnd w:id="540"/>
          </w:p>
          <w:p w:rsidR="004E7279" w:rsidRPr="00D714FC" w:rsidRDefault="004E7279" w:rsidP="00F43856">
            <w:pPr>
              <w:pStyle w:val="Heading8"/>
              <w:numPr>
                <w:ilvl w:val="0"/>
                <w:numId w:val="109"/>
              </w:numPr>
              <w:outlineLvl w:val="7"/>
            </w:pPr>
            <w:bookmarkStart w:id="541" w:name="_Toc434941405"/>
            <w:bookmarkStart w:id="542" w:name="_Toc436123299"/>
            <w:bookmarkStart w:id="543" w:name="_Toc456783903"/>
            <w:r w:rsidRPr="00D714FC">
              <w:t xml:space="preserve">a statement setting out the </w:t>
            </w:r>
            <w:r w:rsidR="00B37AFA">
              <w:t>following</w:t>
            </w:r>
            <w:r w:rsidRPr="00D714FC">
              <w:t>:</w:t>
            </w:r>
            <w:bookmarkEnd w:id="541"/>
            <w:bookmarkEnd w:id="542"/>
            <w:bookmarkEnd w:id="543"/>
          </w:p>
          <w:p w:rsidR="004E7279" w:rsidRPr="00D714FC" w:rsidRDefault="004E7279" w:rsidP="00F43856">
            <w:pPr>
              <w:pStyle w:val="Heading8"/>
              <w:numPr>
                <w:ilvl w:val="0"/>
                <w:numId w:val="122"/>
              </w:numPr>
              <w:outlineLvl w:val="7"/>
            </w:pPr>
            <w:bookmarkStart w:id="544" w:name="_Toc434941406"/>
            <w:bookmarkStart w:id="545" w:name="_Toc436123300"/>
            <w:bookmarkStart w:id="546" w:name="_Toc456783904"/>
            <w:r w:rsidRPr="00D714FC">
              <w:t xml:space="preserve">the </w:t>
            </w:r>
            <w:r w:rsidR="00B37AFA">
              <w:t>process used to</w:t>
            </w:r>
            <w:r w:rsidR="00B37AFA" w:rsidRPr="00D714FC">
              <w:t xml:space="preserve"> </w:t>
            </w:r>
            <w:r w:rsidRPr="00D714FC">
              <w:t xml:space="preserve">determine the </w:t>
            </w:r>
            <w:r w:rsidR="00C92E88">
              <w:t xml:space="preserve">planning and management </w:t>
            </w:r>
            <w:r w:rsidRPr="00D714FC">
              <w:t>charges (this should be at the general level, rather than for each individual charge);</w:t>
            </w:r>
            <w:bookmarkEnd w:id="544"/>
            <w:bookmarkEnd w:id="545"/>
            <w:bookmarkEnd w:id="546"/>
          </w:p>
          <w:p w:rsidR="004E7279" w:rsidRPr="00D714FC" w:rsidRDefault="000F354D" w:rsidP="00F43856">
            <w:pPr>
              <w:pStyle w:val="Heading8"/>
              <w:numPr>
                <w:ilvl w:val="0"/>
                <w:numId w:val="122"/>
              </w:numPr>
              <w:outlineLvl w:val="7"/>
            </w:pPr>
            <w:bookmarkStart w:id="547" w:name="_Toc434941407"/>
            <w:bookmarkStart w:id="548" w:name="_Toc436123301"/>
            <w:bookmarkStart w:id="549" w:name="_Toc456783905"/>
            <w:r>
              <w:t xml:space="preserve">how </w:t>
            </w:r>
            <w:r w:rsidR="004E7279" w:rsidRPr="00D714FC">
              <w:t xml:space="preserve">a </w:t>
            </w:r>
            <w:r w:rsidR="00C92E88">
              <w:t>person</w:t>
            </w:r>
            <w:r w:rsidR="004E7279" w:rsidRPr="00D714FC">
              <w:t xml:space="preserve"> may participate in the process </w:t>
            </w:r>
            <w:r>
              <w:t>used to</w:t>
            </w:r>
            <w:r w:rsidR="004E7279" w:rsidRPr="00D714FC">
              <w:t xml:space="preserve"> determin</w:t>
            </w:r>
            <w:r>
              <w:t>e</w:t>
            </w:r>
            <w:r w:rsidR="004E7279" w:rsidRPr="00D714FC">
              <w:t xml:space="preserve"> the </w:t>
            </w:r>
            <w:r w:rsidR="00E61A20">
              <w:t xml:space="preserve">planning and management </w:t>
            </w:r>
            <w:r w:rsidR="004E7279" w:rsidRPr="00D714FC">
              <w:t>charges;</w:t>
            </w:r>
            <w:bookmarkEnd w:id="547"/>
            <w:bookmarkEnd w:id="548"/>
            <w:bookmarkEnd w:id="549"/>
          </w:p>
          <w:p w:rsidR="00E61A20" w:rsidRDefault="00E61A20" w:rsidP="00F43856">
            <w:pPr>
              <w:pStyle w:val="Heading8"/>
              <w:numPr>
                <w:ilvl w:val="0"/>
                <w:numId w:val="122"/>
              </w:numPr>
              <w:outlineLvl w:val="7"/>
            </w:pPr>
            <w:bookmarkStart w:id="550" w:name="_Toc434941408"/>
            <w:bookmarkStart w:id="551" w:name="_Toc436123302"/>
            <w:bookmarkStart w:id="552" w:name="_Toc456783906"/>
            <w:r>
              <w:t xml:space="preserve">how a person </w:t>
            </w:r>
            <w:r w:rsidR="004E7279" w:rsidRPr="00D714FC">
              <w:t>can make an enquiry or resolve a dispute</w:t>
            </w:r>
            <w:r>
              <w:t xml:space="preserve"> with the person who adopted the Schedule of Charges</w:t>
            </w:r>
            <w:r w:rsidR="004E7279" w:rsidRPr="00D714FC">
              <w:t xml:space="preserve"> in relation to </w:t>
            </w:r>
            <w:r>
              <w:t xml:space="preserve">a </w:t>
            </w:r>
            <w:r w:rsidR="004E7279" w:rsidRPr="00D714FC">
              <w:t>regulated water charge</w:t>
            </w:r>
            <w:r>
              <w:t>;</w:t>
            </w:r>
            <w:bookmarkStart w:id="553" w:name="_Toc456783907"/>
            <w:bookmarkEnd w:id="550"/>
            <w:bookmarkEnd w:id="551"/>
            <w:bookmarkEnd w:id="552"/>
          </w:p>
          <w:p w:rsidR="00E61A20" w:rsidRDefault="00C92E88" w:rsidP="00F43856">
            <w:pPr>
              <w:pStyle w:val="Heading8"/>
              <w:numPr>
                <w:ilvl w:val="0"/>
                <w:numId w:val="122"/>
              </w:numPr>
              <w:outlineLvl w:val="7"/>
            </w:pPr>
            <w:r>
              <w:t>if applicable – any generally available discounts, surcharges or hardship policies;</w:t>
            </w:r>
            <w:bookmarkStart w:id="554" w:name="_Toc456783908"/>
            <w:bookmarkEnd w:id="553"/>
          </w:p>
          <w:p w:rsidR="00112256" w:rsidRPr="00112256" w:rsidRDefault="00112256" w:rsidP="00F43856">
            <w:pPr>
              <w:pStyle w:val="Heading8"/>
              <w:numPr>
                <w:ilvl w:val="0"/>
                <w:numId w:val="122"/>
              </w:numPr>
              <w:outlineLvl w:val="7"/>
            </w:pPr>
            <w:r w:rsidRPr="00112256">
              <w:t>any other information th</w:t>
            </w:r>
            <w:r w:rsidR="00E61A20">
              <w:t>at is</w:t>
            </w:r>
            <w:r w:rsidRPr="00112256">
              <w:t xml:space="preserve"> </w:t>
            </w:r>
            <w:r w:rsidR="00E61A20">
              <w:t xml:space="preserve">reasonably </w:t>
            </w:r>
            <w:r w:rsidRPr="00112256">
              <w:t>necessary or desirable to explain the charges to the customer.</w:t>
            </w:r>
            <w:bookmarkEnd w:id="554"/>
          </w:p>
          <w:p w:rsidR="001916BB" w:rsidRPr="001916BB" w:rsidRDefault="001916BB" w:rsidP="005F238E">
            <w:pPr>
              <w:pStyle w:val="Heading8"/>
              <w:outlineLvl w:val="7"/>
            </w:pPr>
            <w:bookmarkStart w:id="555" w:name="_Toc456783909"/>
            <w:bookmarkStart w:id="556" w:name="_Toc436123303"/>
            <w:r>
              <w:t>This rule should be a civil penalty provision.</w:t>
            </w:r>
            <w:bookmarkEnd w:id="555"/>
          </w:p>
          <w:p w:rsidR="004E7279" w:rsidRDefault="004E7279" w:rsidP="005F238E">
            <w:pPr>
              <w:pStyle w:val="Heading8"/>
              <w:outlineLvl w:val="7"/>
              <w:rPr>
                <w:rFonts w:ascii="Times New Roman" w:hAnsi="Times New Roman"/>
              </w:rPr>
            </w:pPr>
            <w:bookmarkStart w:id="557" w:name="_Toc456783910"/>
            <w:r>
              <w:rPr>
                <w:rFonts w:ascii="Times New Roman" w:hAnsi="Times New Roman"/>
              </w:rPr>
              <w:t xml:space="preserve">This rule advice is implemented in </w:t>
            </w:r>
            <w:r w:rsidR="00207A65">
              <w:rPr>
                <w:rFonts w:ascii="Times New Roman" w:hAnsi="Times New Roman"/>
              </w:rPr>
              <w:t>r</w:t>
            </w:r>
            <w:r>
              <w:rPr>
                <w:rFonts w:ascii="Times New Roman" w:hAnsi="Times New Roman"/>
              </w:rPr>
              <w:t>ule</w:t>
            </w:r>
            <w:r w:rsidR="00D00EBF">
              <w:rPr>
                <w:rFonts w:ascii="Times New Roman" w:hAnsi="Times New Roman"/>
              </w:rPr>
              <w:t>s</w:t>
            </w:r>
            <w:r>
              <w:rPr>
                <w:rFonts w:ascii="Times New Roman" w:hAnsi="Times New Roman"/>
              </w:rPr>
              <w:t xml:space="preserve"> 1</w:t>
            </w:r>
            <w:r w:rsidR="001916BB">
              <w:rPr>
                <w:rFonts w:ascii="Times New Roman" w:hAnsi="Times New Roman"/>
              </w:rPr>
              <w:t>2</w:t>
            </w:r>
            <w:r>
              <w:rPr>
                <w:rFonts w:ascii="Times New Roman" w:hAnsi="Times New Roman"/>
              </w:rPr>
              <w:t xml:space="preserve"> </w:t>
            </w:r>
            <w:r w:rsidR="00E61A20">
              <w:rPr>
                <w:rFonts w:ascii="Times New Roman" w:hAnsi="Times New Roman"/>
              </w:rPr>
              <w:t xml:space="preserve">and 13 </w:t>
            </w:r>
            <w:r>
              <w:rPr>
                <w:rFonts w:ascii="Times New Roman" w:hAnsi="Times New Roman"/>
              </w:rPr>
              <w:t xml:space="preserve">of the proposed </w:t>
            </w:r>
            <w:r w:rsidR="003F77BE">
              <w:rPr>
                <w:rFonts w:ascii="Times New Roman" w:hAnsi="Times New Roman"/>
              </w:rPr>
              <w:t>W</w:t>
            </w:r>
            <w:r>
              <w:rPr>
                <w:rFonts w:ascii="Times New Roman" w:hAnsi="Times New Roman"/>
              </w:rPr>
              <w:t xml:space="preserve">ater </w:t>
            </w:r>
            <w:r w:rsidR="003F77BE">
              <w:rPr>
                <w:rFonts w:ascii="Times New Roman" w:hAnsi="Times New Roman"/>
              </w:rPr>
              <w:t>C</w:t>
            </w:r>
            <w:r>
              <w:rPr>
                <w:rFonts w:ascii="Times New Roman" w:hAnsi="Times New Roman"/>
              </w:rPr>
              <w:t xml:space="preserve">harge </w:t>
            </w:r>
            <w:r w:rsidR="003F77BE">
              <w:rPr>
                <w:rFonts w:ascii="Times New Roman" w:hAnsi="Times New Roman"/>
              </w:rPr>
              <w:t>R</w:t>
            </w:r>
            <w:r>
              <w:rPr>
                <w:rFonts w:ascii="Times New Roman" w:hAnsi="Times New Roman"/>
              </w:rPr>
              <w:t>ules.</w:t>
            </w:r>
            <w:bookmarkEnd w:id="556"/>
            <w:bookmarkEnd w:id="557"/>
          </w:p>
          <w:p w:rsidR="00A67E4E" w:rsidRPr="00263E14" w:rsidRDefault="00A67E4E" w:rsidP="00AF7032">
            <w:pPr>
              <w:pStyle w:val="Ruleadvicesubheading"/>
            </w:pPr>
            <w:r w:rsidRPr="00263E14">
              <w:t>Conditions applying to planning and management charges</w:t>
            </w:r>
          </w:p>
          <w:p w:rsidR="00112256" w:rsidRPr="00316D3E" w:rsidRDefault="00112256" w:rsidP="00263E14">
            <w:pPr>
              <w:pStyle w:val="Heading8"/>
              <w:outlineLvl w:val="7"/>
            </w:pPr>
            <w:bookmarkStart w:id="558" w:name="_Toc456783911"/>
            <w:r w:rsidRPr="00112256">
              <w:t xml:space="preserve">The rules should clarify that a person, other than an infrastructure operator, </w:t>
            </w:r>
            <w:r w:rsidR="00E61A20">
              <w:t>must not</w:t>
            </w:r>
            <w:r w:rsidRPr="00112256">
              <w:t xml:space="preserve"> levy </w:t>
            </w:r>
            <w:r w:rsidR="001916BB">
              <w:t>a</w:t>
            </w:r>
            <w:r w:rsidRPr="00112256">
              <w:t xml:space="preserve"> planning and management charge </w:t>
            </w:r>
            <w:r w:rsidR="00E61A20">
              <w:t xml:space="preserve">that is not </w:t>
            </w:r>
            <w:r w:rsidR="008265CE">
              <w:t>specified, for the circumstances in which it is levied, in a Schedule of Charges that is in effect for the person at the</w:t>
            </w:r>
            <w:r w:rsidR="006F6738">
              <w:t xml:space="preserve"> time when the circumstances set out in the Schedule of Charges for incurring the charge are met</w:t>
            </w:r>
            <w:r w:rsidR="008265CE">
              <w:t xml:space="preserve">. </w:t>
            </w:r>
            <w:bookmarkEnd w:id="558"/>
          </w:p>
          <w:p w:rsidR="005864A3" w:rsidRDefault="005864A3" w:rsidP="005864A3">
            <w:pPr>
              <w:pStyle w:val="Heading8"/>
              <w:outlineLvl w:val="7"/>
            </w:pPr>
            <w:bookmarkStart w:id="559" w:name="_Toc456783914"/>
            <w:r>
              <w:t>This rule should be a civil penalty provision.</w:t>
            </w:r>
          </w:p>
          <w:p w:rsidR="006F6738" w:rsidRPr="00C537F1" w:rsidRDefault="006F6738" w:rsidP="006F6738">
            <w:pPr>
              <w:pStyle w:val="Heading8"/>
              <w:outlineLvl w:val="7"/>
            </w:pPr>
            <w:r>
              <w:t xml:space="preserve">The rules should ensure that person levying a planning and management charge does not contravene this provision if the charge </w:t>
            </w:r>
            <w:r w:rsidR="000A3F3D">
              <w:t xml:space="preserve">is </w:t>
            </w:r>
            <w:r>
              <w:t xml:space="preserve">levied retrospectively </w:t>
            </w:r>
            <w:r w:rsidR="000A3F3D">
              <w:t xml:space="preserve">in accordance with the relevant rules which allow for retrospectivity </w:t>
            </w:r>
            <w:r>
              <w:t>(see rule advice 5-I).</w:t>
            </w:r>
          </w:p>
          <w:bookmarkEnd w:id="559"/>
          <w:p w:rsidR="003779A4" w:rsidRPr="00AF7032" w:rsidRDefault="00770D6A" w:rsidP="00770D6A">
            <w:pPr>
              <w:pStyle w:val="Heading8"/>
              <w:outlineLvl w:val="7"/>
              <w:rPr>
                <w:sz w:val="18"/>
              </w:rPr>
            </w:pPr>
            <w:r w:rsidRPr="00AF7032">
              <w:rPr>
                <w:i/>
                <w:sz w:val="18"/>
              </w:rPr>
              <w:t xml:space="preserve">Note: </w:t>
            </w:r>
            <w:r w:rsidRPr="00AF7032">
              <w:rPr>
                <w:sz w:val="18"/>
              </w:rPr>
              <w:t>For a Schedule of Charges to come into effect, it must be adopted in accordance with the rules (see proposed rule 1</w:t>
            </w:r>
            <w:r w:rsidR="00616CA0" w:rsidRPr="00AF7032">
              <w:rPr>
                <w:sz w:val="18"/>
              </w:rPr>
              <w:t>2</w:t>
            </w:r>
            <w:r w:rsidRPr="00AF7032">
              <w:rPr>
                <w:sz w:val="18"/>
              </w:rPr>
              <w:t>) and include the information set out above (see proposed rule 13).</w:t>
            </w:r>
          </w:p>
          <w:p w:rsidR="00112256" w:rsidRPr="00BC64F5" w:rsidRDefault="00112256" w:rsidP="00690655">
            <w:pPr>
              <w:pStyle w:val="Heading8"/>
              <w:outlineLvl w:val="7"/>
              <w:rPr>
                <w:rFonts w:ascii="Times New Roman" w:hAnsi="Times New Roman"/>
              </w:rPr>
            </w:pPr>
            <w:bookmarkStart w:id="560" w:name="_Toc456783915"/>
            <w:r w:rsidRPr="00BC64F5">
              <w:rPr>
                <w:rFonts w:ascii="Times New Roman" w:hAnsi="Times New Roman"/>
              </w:rPr>
              <w:t xml:space="preserve">This rule advice is implemented in </w:t>
            </w:r>
            <w:r w:rsidR="00207A65" w:rsidRPr="00BC64F5">
              <w:rPr>
                <w:rFonts w:ascii="Times New Roman" w:hAnsi="Times New Roman"/>
              </w:rPr>
              <w:t>r</w:t>
            </w:r>
            <w:r w:rsidRPr="00BC64F5">
              <w:rPr>
                <w:rFonts w:ascii="Times New Roman" w:hAnsi="Times New Roman"/>
              </w:rPr>
              <w:t>ule 7</w:t>
            </w:r>
            <w:r w:rsidR="00906F9F">
              <w:rPr>
                <w:rFonts w:ascii="Times New Roman" w:hAnsi="Times New Roman"/>
              </w:rPr>
              <w:t xml:space="preserve"> </w:t>
            </w:r>
            <w:r w:rsidRPr="00BC64F5">
              <w:rPr>
                <w:rFonts w:ascii="Times New Roman" w:hAnsi="Times New Roman"/>
              </w:rPr>
              <w:t xml:space="preserve">of the proposed </w:t>
            </w:r>
            <w:r w:rsidR="003F77BE" w:rsidRPr="00BC64F5">
              <w:rPr>
                <w:rFonts w:ascii="Times New Roman" w:hAnsi="Times New Roman"/>
              </w:rPr>
              <w:t>W</w:t>
            </w:r>
            <w:r w:rsidRPr="00BC64F5">
              <w:rPr>
                <w:rFonts w:ascii="Times New Roman" w:hAnsi="Times New Roman"/>
              </w:rPr>
              <w:t xml:space="preserve">ater </w:t>
            </w:r>
            <w:r w:rsidR="003F77BE" w:rsidRPr="00BC64F5">
              <w:rPr>
                <w:rFonts w:ascii="Times New Roman" w:hAnsi="Times New Roman"/>
              </w:rPr>
              <w:t>C</w:t>
            </w:r>
            <w:r w:rsidRPr="00BC64F5">
              <w:rPr>
                <w:rFonts w:ascii="Times New Roman" w:hAnsi="Times New Roman"/>
              </w:rPr>
              <w:t xml:space="preserve">harge </w:t>
            </w:r>
            <w:r w:rsidR="003F77BE" w:rsidRPr="00BC64F5">
              <w:rPr>
                <w:rFonts w:ascii="Times New Roman" w:hAnsi="Times New Roman"/>
              </w:rPr>
              <w:t>R</w:t>
            </w:r>
            <w:r w:rsidRPr="00BC64F5">
              <w:rPr>
                <w:rFonts w:ascii="Times New Roman" w:hAnsi="Times New Roman"/>
              </w:rPr>
              <w:t>ules</w:t>
            </w:r>
            <w:r w:rsidR="00752375" w:rsidRPr="00BC64F5">
              <w:rPr>
                <w:rFonts w:ascii="Times New Roman" w:hAnsi="Times New Roman"/>
              </w:rPr>
              <w:t xml:space="preserve">. </w:t>
            </w:r>
            <w:bookmarkEnd w:id="504"/>
            <w:bookmarkEnd w:id="560"/>
          </w:p>
        </w:tc>
      </w:tr>
    </w:tbl>
    <w:bookmarkEnd w:id="424"/>
    <w:bookmarkEnd w:id="425"/>
    <w:bookmarkEnd w:id="426"/>
    <w:bookmarkEnd w:id="427"/>
    <w:bookmarkEnd w:id="428"/>
    <w:p w:rsidR="006246A8" w:rsidRPr="006246A8" w:rsidRDefault="006246A8" w:rsidP="005F238E">
      <w:pPr>
        <w:pStyle w:val="Heading4"/>
        <w:keepLines/>
      </w:pPr>
      <w:r>
        <w:t>Background</w:t>
      </w:r>
    </w:p>
    <w:p w:rsidR="00F76C88" w:rsidRDefault="00F76C88" w:rsidP="005F238E">
      <w:pPr>
        <w:keepNext/>
        <w:keepLines/>
        <w:rPr>
          <w:rFonts w:cs="Times New Roman"/>
        </w:rPr>
      </w:pPr>
      <w:r>
        <w:rPr>
          <w:rFonts w:cs="Times New Roman"/>
        </w:rPr>
        <w:t xml:space="preserve">Part 4 of </w:t>
      </w:r>
      <w:r w:rsidR="004504E8" w:rsidRPr="00D714FC">
        <w:rPr>
          <w:rFonts w:cs="Times New Roman"/>
        </w:rPr>
        <w:t xml:space="preserve">the </w:t>
      </w:r>
      <w:r w:rsidR="00E623B1" w:rsidRPr="0067271D">
        <w:rPr>
          <w:rFonts w:cs="Times New Roman"/>
        </w:rPr>
        <w:t>Water Charge (Infrastructure) Rules 2010</w:t>
      </w:r>
      <w:r w:rsidR="00E623B1">
        <w:rPr>
          <w:rFonts w:cs="Times New Roman"/>
        </w:rPr>
        <w:t xml:space="preserve"> (</w:t>
      </w:r>
      <w:r w:rsidR="004504E8" w:rsidRPr="00D714FC">
        <w:rPr>
          <w:rFonts w:cs="Times New Roman"/>
        </w:rPr>
        <w:t>WCIR</w:t>
      </w:r>
      <w:r w:rsidR="00E623B1">
        <w:rPr>
          <w:rFonts w:cs="Times New Roman"/>
        </w:rPr>
        <w:t>)</w:t>
      </w:r>
      <w:r w:rsidR="004504E8" w:rsidRPr="00D714FC">
        <w:rPr>
          <w:rFonts w:cs="Times New Roman"/>
        </w:rPr>
        <w:t xml:space="preserve"> </w:t>
      </w:r>
      <w:r w:rsidR="00262689" w:rsidRPr="00D714FC">
        <w:rPr>
          <w:rFonts w:cs="Times New Roman"/>
        </w:rPr>
        <w:t xml:space="preserve">currently </w:t>
      </w:r>
      <w:r w:rsidR="004504E8" w:rsidRPr="00D714FC">
        <w:rPr>
          <w:rFonts w:cs="Times New Roman"/>
        </w:rPr>
        <w:t>require</w:t>
      </w:r>
      <w:r>
        <w:rPr>
          <w:rFonts w:cs="Times New Roman"/>
        </w:rPr>
        <w:t>s</w:t>
      </w:r>
      <w:r w:rsidR="004504E8" w:rsidRPr="00D714FC">
        <w:rPr>
          <w:rFonts w:cs="Times New Roman"/>
        </w:rPr>
        <w:t xml:space="preserve"> all infrastructure operators to produce a </w:t>
      </w:r>
      <w:r w:rsidR="00262689" w:rsidRPr="00D714FC">
        <w:rPr>
          <w:rFonts w:cs="Times New Roman"/>
        </w:rPr>
        <w:t>Schedule of Charges</w:t>
      </w:r>
      <w:r w:rsidR="003A19D4" w:rsidRPr="00D714FC">
        <w:rPr>
          <w:rFonts w:cs="Times New Roman"/>
        </w:rPr>
        <w:t xml:space="preserve"> (</w:t>
      </w:r>
      <w:r w:rsidR="00262689" w:rsidRPr="00D714FC">
        <w:rPr>
          <w:rFonts w:cs="Times New Roman"/>
        </w:rPr>
        <w:t>“Schedule”</w:t>
      </w:r>
      <w:r w:rsidR="003A19D4" w:rsidRPr="00D714FC">
        <w:rPr>
          <w:rFonts w:cs="Times New Roman"/>
        </w:rPr>
        <w:t>)</w:t>
      </w:r>
      <w:r>
        <w:rPr>
          <w:rFonts w:cs="Times New Roman"/>
        </w:rPr>
        <w:t xml:space="preserve"> to promote pricing transparency and enable customers (and potential customers) to make comparisons across infrastructure operators</w:t>
      </w:r>
      <w:r w:rsidR="004504E8" w:rsidRPr="00D714FC">
        <w:rPr>
          <w:rFonts w:cs="Times New Roman"/>
        </w:rPr>
        <w:t xml:space="preserve">. </w:t>
      </w:r>
    </w:p>
    <w:p w:rsidR="00F76C88" w:rsidRDefault="00F76C88" w:rsidP="00D17F9C">
      <w:pPr>
        <w:pStyle w:val="Heading5"/>
      </w:pPr>
      <w:r w:rsidRPr="00A23802">
        <w:t>Information to be included about infrastructure charges and planning and management charges</w:t>
      </w:r>
    </w:p>
    <w:p w:rsidR="00E161B2" w:rsidRPr="00D714FC" w:rsidRDefault="00F76C88" w:rsidP="00F82FD9">
      <w:pPr>
        <w:spacing w:after="120"/>
        <w:rPr>
          <w:rFonts w:eastAsia="Arial" w:cs="Times New Roman"/>
        </w:rPr>
      </w:pPr>
      <w:r>
        <w:rPr>
          <w:rFonts w:cs="Times New Roman"/>
        </w:rPr>
        <w:t>Part 4 prohibits i</w:t>
      </w:r>
      <w:r w:rsidR="004504E8" w:rsidRPr="00D714FC">
        <w:rPr>
          <w:rFonts w:cs="Times New Roman"/>
        </w:rPr>
        <w:t>nfrastructure operators from imposing a regulated charge</w:t>
      </w:r>
      <w:r w:rsidR="004504E8" w:rsidRPr="00D714FC">
        <w:rPr>
          <w:rStyle w:val="FootnoteReference"/>
          <w:rFonts w:cs="Times New Roman"/>
        </w:rPr>
        <w:footnoteReference w:id="279"/>
      </w:r>
      <w:r w:rsidR="004504E8" w:rsidRPr="00D714FC">
        <w:rPr>
          <w:rFonts w:cs="Times New Roman"/>
        </w:rPr>
        <w:t xml:space="preserve"> relating to an infrastructure service unless that charge is listed in their </w:t>
      </w:r>
      <w:r w:rsidR="00262689" w:rsidRPr="00D714FC">
        <w:rPr>
          <w:rFonts w:cs="Times New Roman"/>
        </w:rPr>
        <w:t xml:space="preserve">Schedule </w:t>
      </w:r>
      <w:r w:rsidR="004504E8" w:rsidRPr="00D714FC">
        <w:rPr>
          <w:rFonts w:cs="Times New Roman"/>
        </w:rPr>
        <w:t xml:space="preserve">and a copy of the </w:t>
      </w:r>
      <w:r w:rsidR="00262689" w:rsidRPr="00D714FC">
        <w:rPr>
          <w:rFonts w:cs="Times New Roman"/>
        </w:rPr>
        <w:t xml:space="preserve">Schedule </w:t>
      </w:r>
      <w:r w:rsidR="004504E8" w:rsidRPr="00D714FC">
        <w:rPr>
          <w:rFonts w:cs="Times New Roman"/>
        </w:rPr>
        <w:t xml:space="preserve">has been given to the customer. </w:t>
      </w:r>
      <w:r w:rsidR="00F970BC" w:rsidRPr="00D714FC">
        <w:rPr>
          <w:rFonts w:eastAsia="Arial" w:cs="Times New Roman"/>
        </w:rPr>
        <w:t xml:space="preserve">Rule 4 </w:t>
      </w:r>
      <w:r w:rsidR="004504E8" w:rsidRPr="00D714FC">
        <w:rPr>
          <w:rFonts w:eastAsia="Arial" w:cs="Times New Roman"/>
        </w:rPr>
        <w:t xml:space="preserve">provides the definition of what must be included for a document to be a </w:t>
      </w:r>
      <w:r w:rsidR="00262689" w:rsidRPr="00D714FC">
        <w:rPr>
          <w:rFonts w:eastAsia="Arial" w:cs="Times New Roman"/>
        </w:rPr>
        <w:t>Schedule of Charges</w:t>
      </w:r>
      <w:r w:rsidR="004504E8" w:rsidRPr="00D714FC">
        <w:rPr>
          <w:rFonts w:eastAsia="Arial" w:cs="Times New Roman"/>
        </w:rPr>
        <w:t xml:space="preserve"> that complies with the Rules: </w:t>
      </w:r>
    </w:p>
    <w:p w:rsidR="00E161B2" w:rsidRPr="00D714FC" w:rsidRDefault="00C75CE7" w:rsidP="00A82DE6">
      <w:pPr>
        <w:pStyle w:val="Lvl1Bulletpoint"/>
      </w:pPr>
      <w:r>
        <w:t>a</w:t>
      </w:r>
      <w:r w:rsidR="00F970BC" w:rsidRPr="00D714FC">
        <w:t xml:space="preserve">ll regulated charges the </w:t>
      </w:r>
      <w:r w:rsidR="00B56102">
        <w:t>infrastructure operator</w:t>
      </w:r>
      <w:r w:rsidR="00B56102" w:rsidRPr="00D714FC">
        <w:t xml:space="preserve"> </w:t>
      </w:r>
      <w:r w:rsidR="00F970BC" w:rsidRPr="00D714FC">
        <w:t xml:space="preserve">may levy in respect of an infrastructure service </w:t>
      </w:r>
      <w:r>
        <w:t xml:space="preserve">it </w:t>
      </w:r>
      <w:r w:rsidR="00F970BC" w:rsidRPr="00D714FC">
        <w:t>provide</w:t>
      </w:r>
      <w:r>
        <w:t>s</w:t>
      </w:r>
    </w:p>
    <w:p w:rsidR="00E161B2" w:rsidRPr="00D714FC" w:rsidRDefault="00C75CE7" w:rsidP="00A82DE6">
      <w:pPr>
        <w:pStyle w:val="Lvl1Bulletpoint"/>
      </w:pPr>
      <w:r>
        <w:t>d</w:t>
      </w:r>
      <w:r w:rsidR="00F970BC" w:rsidRPr="00D714FC">
        <w:t xml:space="preserve">etails of the regulated charges sufficient to enable a customer to determine its liability </w:t>
      </w:r>
    </w:p>
    <w:p w:rsidR="00E161B2" w:rsidRPr="00D714FC" w:rsidRDefault="00C75CE7" w:rsidP="00A82DE6">
      <w:pPr>
        <w:pStyle w:val="Lvl1Bulletpoint"/>
      </w:pPr>
      <w:r>
        <w:t>d</w:t>
      </w:r>
      <w:r w:rsidR="00F970BC" w:rsidRPr="00D714FC">
        <w:t>etails of discounts or surcharges applicable to regulated charges</w:t>
      </w:r>
    </w:p>
    <w:p w:rsidR="0061009F" w:rsidRDefault="00C75CE7" w:rsidP="00A82DE6">
      <w:pPr>
        <w:pStyle w:val="Lvl1Bulletpoint"/>
      </w:pPr>
      <w:r>
        <w:t>i</w:t>
      </w:r>
      <w:r w:rsidR="00F970BC" w:rsidRPr="00D714FC">
        <w:t xml:space="preserve">f the </w:t>
      </w:r>
      <w:r w:rsidR="00D834DB">
        <w:t>Schedule</w:t>
      </w:r>
      <w:r w:rsidR="00D834DB" w:rsidRPr="00D714FC">
        <w:t xml:space="preserve"> </w:t>
      </w:r>
      <w:r w:rsidR="00F970BC" w:rsidRPr="00D714FC">
        <w:t xml:space="preserve">is issued by an </w:t>
      </w:r>
      <w:r w:rsidR="00B743F5">
        <w:t>irrigation infrastructure operator (</w:t>
      </w:r>
      <w:r w:rsidR="00F970BC" w:rsidRPr="00D714FC">
        <w:t>IIO</w:t>
      </w:r>
      <w:r w:rsidR="00B743F5">
        <w:t>)</w:t>
      </w:r>
      <w:r w:rsidR="00F970BC" w:rsidRPr="00D714FC">
        <w:t xml:space="preserve"> and regulated charges are of the type referred to in s</w:t>
      </w:r>
      <w:r w:rsidR="008B3520">
        <w:t xml:space="preserve">ubsection </w:t>
      </w:r>
      <w:r w:rsidR="00F970BC" w:rsidRPr="00D714FC">
        <w:t xml:space="preserve">91(1)(a) of the </w:t>
      </w:r>
      <w:r w:rsidR="00610501" w:rsidRPr="00610501">
        <w:rPr>
          <w:i/>
        </w:rPr>
        <w:t xml:space="preserve">Water </w:t>
      </w:r>
      <w:r w:rsidR="00F970BC" w:rsidRPr="00610501">
        <w:rPr>
          <w:i/>
        </w:rPr>
        <w:t>Act</w:t>
      </w:r>
      <w:r w:rsidR="00610501" w:rsidRPr="00610501">
        <w:rPr>
          <w:i/>
        </w:rPr>
        <w:t xml:space="preserve"> 2007</w:t>
      </w:r>
      <w:r w:rsidR="00610501">
        <w:t xml:space="preserve"> (the Act)</w:t>
      </w:r>
      <w:r w:rsidR="0092072D" w:rsidRPr="00D714FC">
        <w:t>,</w:t>
      </w:r>
      <w:r w:rsidR="004504E8" w:rsidRPr="00D714FC">
        <w:rPr>
          <w:rStyle w:val="FootnoteReference"/>
          <w:rFonts w:eastAsia="Arial"/>
        </w:rPr>
        <w:footnoteReference w:id="280"/>
      </w:r>
      <w:r w:rsidR="004504E8" w:rsidRPr="00D714FC">
        <w:t xml:space="preserve"> the </w:t>
      </w:r>
      <w:r w:rsidR="0031257D" w:rsidRPr="00D714FC">
        <w:t xml:space="preserve">Schedule </w:t>
      </w:r>
      <w:r w:rsidR="004504E8" w:rsidRPr="00D714FC">
        <w:t>must include</w:t>
      </w:r>
      <w:r w:rsidR="00F970BC" w:rsidRPr="00D714FC">
        <w:t xml:space="preserve"> a statement </w:t>
      </w:r>
      <w:r w:rsidR="004504E8" w:rsidRPr="00D714FC">
        <w:t xml:space="preserve">which sets </w:t>
      </w:r>
      <w:r w:rsidR="00F970BC" w:rsidRPr="00D714FC">
        <w:t>out the process for determining the amount of those regulated charges, showing separately components attributable to:</w:t>
      </w:r>
    </w:p>
    <w:p w:rsidR="0061009F" w:rsidRPr="0061009F" w:rsidRDefault="0061009F" w:rsidP="00A82DE6">
      <w:pPr>
        <w:pStyle w:val="Lvl1Bulletpoint"/>
      </w:pPr>
      <w:r>
        <w:rPr>
          <w:rFonts w:eastAsia="Arial"/>
        </w:rPr>
        <w:t>s</w:t>
      </w:r>
      <w:r w:rsidR="00F970BC" w:rsidRPr="0061009F">
        <w:rPr>
          <w:rFonts w:eastAsia="Arial"/>
        </w:rPr>
        <w:t>torage</w:t>
      </w:r>
    </w:p>
    <w:p w:rsidR="0061009F" w:rsidRPr="0061009F" w:rsidRDefault="00F76C88" w:rsidP="00A82DE6">
      <w:pPr>
        <w:pStyle w:val="Lvl1Bulletpoint"/>
      </w:pPr>
      <w:r w:rsidRPr="0061009F">
        <w:rPr>
          <w:rFonts w:eastAsia="Arial"/>
        </w:rPr>
        <w:t>b</w:t>
      </w:r>
      <w:r w:rsidR="003708B1" w:rsidRPr="0061009F">
        <w:rPr>
          <w:rFonts w:eastAsia="Arial"/>
        </w:rPr>
        <w:t xml:space="preserve">ulk water </w:t>
      </w:r>
      <w:r w:rsidR="00B92EA4" w:rsidRPr="0061009F">
        <w:rPr>
          <w:rFonts w:eastAsia="Arial"/>
        </w:rPr>
        <w:t>charges</w:t>
      </w:r>
      <w:r w:rsidR="003708B1" w:rsidRPr="0061009F">
        <w:rPr>
          <w:rFonts w:eastAsia="Arial"/>
        </w:rPr>
        <w:t xml:space="preserve"> </w:t>
      </w:r>
      <w:r w:rsidR="0092072D" w:rsidRPr="0061009F">
        <w:rPr>
          <w:rFonts w:eastAsia="Arial"/>
        </w:rPr>
        <w:t>(</w:t>
      </w:r>
      <w:r w:rsidR="003708B1" w:rsidRPr="0061009F">
        <w:rPr>
          <w:rFonts w:eastAsia="Arial"/>
        </w:rPr>
        <w:t>equivalent to charges for on-river infrastructure services</w:t>
      </w:r>
      <w:r w:rsidR="0092072D" w:rsidRPr="0061009F">
        <w:rPr>
          <w:rFonts w:eastAsia="Arial"/>
        </w:rPr>
        <w:t>)</w:t>
      </w:r>
    </w:p>
    <w:p w:rsidR="0061009F" w:rsidRPr="0061009F" w:rsidRDefault="00F76C88" w:rsidP="00A82DE6">
      <w:pPr>
        <w:pStyle w:val="Lvl1Bulletpoint"/>
      </w:pPr>
      <w:r w:rsidRPr="0061009F">
        <w:rPr>
          <w:rFonts w:eastAsia="Arial"/>
        </w:rPr>
        <w:t>c</w:t>
      </w:r>
      <w:r w:rsidR="00F970BC" w:rsidRPr="0061009F">
        <w:rPr>
          <w:rFonts w:eastAsia="Arial"/>
        </w:rPr>
        <w:t>onnecting or disconnecting a customer</w:t>
      </w:r>
    </w:p>
    <w:p w:rsidR="00E161B2" w:rsidRPr="0061009F" w:rsidRDefault="00F76C88" w:rsidP="00A82DE6">
      <w:pPr>
        <w:pStyle w:val="Lvl1Bulletpoint"/>
      </w:pPr>
      <w:r w:rsidRPr="0061009F">
        <w:rPr>
          <w:rFonts w:eastAsia="Arial"/>
        </w:rPr>
        <w:t>h</w:t>
      </w:r>
      <w:r w:rsidR="00F970BC" w:rsidRPr="0061009F">
        <w:rPr>
          <w:rFonts w:eastAsia="Arial"/>
        </w:rPr>
        <w:t>ol</w:t>
      </w:r>
      <w:r w:rsidR="004504E8" w:rsidRPr="0061009F">
        <w:rPr>
          <w:rFonts w:eastAsia="Arial"/>
        </w:rPr>
        <w:t>ding of, or management of, a water access entitlement</w:t>
      </w:r>
      <w:r w:rsidR="00832A68" w:rsidRPr="0061009F">
        <w:rPr>
          <w:rFonts w:eastAsia="Arial"/>
        </w:rPr>
        <w:t xml:space="preserve"> (WAE)</w:t>
      </w:r>
      <w:r w:rsidR="00F970BC" w:rsidRPr="0061009F">
        <w:rPr>
          <w:rFonts w:eastAsia="Arial"/>
        </w:rPr>
        <w:t xml:space="preserve"> by the IIO.</w:t>
      </w:r>
    </w:p>
    <w:p w:rsidR="00800FE5" w:rsidRPr="00D714FC" w:rsidRDefault="00800FE5" w:rsidP="0031257D">
      <w:pPr>
        <w:rPr>
          <w:rFonts w:cs="Times New Roman"/>
        </w:rPr>
      </w:pPr>
      <w:r w:rsidRPr="00D714FC">
        <w:rPr>
          <w:rFonts w:cs="Times New Roman"/>
        </w:rPr>
        <w:t xml:space="preserve">The </w:t>
      </w:r>
      <w:r w:rsidR="008555EC" w:rsidRPr="0067271D">
        <w:rPr>
          <w:rFonts w:cs="Times New Roman"/>
        </w:rPr>
        <w:t>Water Charge (Planning and Management Information) Rules 2010</w:t>
      </w:r>
      <w:r w:rsidR="008555EC">
        <w:rPr>
          <w:rFonts w:cs="Times New Roman"/>
        </w:rPr>
        <w:t xml:space="preserve"> (</w:t>
      </w:r>
      <w:r w:rsidR="0092072D" w:rsidRPr="00D714FC">
        <w:rPr>
          <w:rFonts w:cs="Times New Roman"/>
        </w:rPr>
        <w:t>WCPMIR</w:t>
      </w:r>
      <w:r w:rsidR="008555EC">
        <w:rPr>
          <w:rFonts w:cs="Times New Roman"/>
        </w:rPr>
        <w:t>)</w:t>
      </w:r>
      <w:r w:rsidRPr="00D714FC">
        <w:rPr>
          <w:rFonts w:cs="Times New Roman"/>
        </w:rPr>
        <w:t xml:space="preserve"> also require a person who determines a </w:t>
      </w:r>
      <w:r w:rsidR="003708B1" w:rsidRPr="00D714FC">
        <w:rPr>
          <w:rFonts w:cs="Times New Roman"/>
        </w:rPr>
        <w:t xml:space="preserve">planning and management </w:t>
      </w:r>
      <w:r w:rsidRPr="00D714FC">
        <w:rPr>
          <w:rFonts w:cs="Times New Roman"/>
        </w:rPr>
        <w:t>charge (usually a Minister or another government executive or a delegate of that person) to publish certain information on that charge (see also section</w:t>
      </w:r>
      <w:r w:rsidR="00C75CE7">
        <w:rPr>
          <w:rFonts w:cs="Times New Roman"/>
        </w:rPr>
        <w:t> </w:t>
      </w:r>
      <w:r w:rsidR="00510C65">
        <w:rPr>
          <w:rFonts w:cs="Times New Roman"/>
        </w:rPr>
        <w:t>5.4</w:t>
      </w:r>
      <w:r w:rsidRPr="00D714FC">
        <w:rPr>
          <w:rFonts w:cs="Times New Roman"/>
        </w:rPr>
        <w:t>).</w:t>
      </w:r>
    </w:p>
    <w:p w:rsidR="00A84A61" w:rsidRPr="00D714FC" w:rsidRDefault="00A84A61" w:rsidP="00A84A61">
      <w:pPr>
        <w:rPr>
          <w:rFonts w:cs="Times New Roman"/>
        </w:rPr>
      </w:pPr>
      <w:r>
        <w:rPr>
          <w:rFonts w:cs="Times New Roman"/>
        </w:rPr>
        <w:t>In its Draft Advice, the ACCC noted that t</w:t>
      </w:r>
      <w:r w:rsidRPr="00D714FC">
        <w:rPr>
          <w:rFonts w:cs="Times New Roman"/>
        </w:rPr>
        <w:t>he current rule requirements governing what information</w:t>
      </w:r>
      <w:r>
        <w:rPr>
          <w:rFonts w:cs="Times New Roman"/>
        </w:rPr>
        <w:t xml:space="preserve"> an infrastructure operator</w:t>
      </w:r>
      <w:r w:rsidR="00C6733C">
        <w:rPr>
          <w:rFonts w:cs="Times New Roman"/>
        </w:rPr>
        <w:t xml:space="preserve"> </w:t>
      </w:r>
      <w:r w:rsidRPr="00D714FC">
        <w:rPr>
          <w:rFonts w:cs="Times New Roman"/>
        </w:rPr>
        <w:t xml:space="preserve">should be provide </w:t>
      </w:r>
      <w:r>
        <w:rPr>
          <w:rFonts w:cs="Times New Roman"/>
        </w:rPr>
        <w:t xml:space="preserve">to its customers (on the Schedule) </w:t>
      </w:r>
      <w:r w:rsidRPr="00D714FC">
        <w:rPr>
          <w:rFonts w:cs="Times New Roman"/>
        </w:rPr>
        <w:t xml:space="preserve">are phrased in terms of </w:t>
      </w:r>
      <w:r w:rsidRPr="00D714FC">
        <w:rPr>
          <w:rFonts w:cs="Times New Roman"/>
          <w:i/>
        </w:rPr>
        <w:t>outcomes</w:t>
      </w:r>
      <w:r w:rsidRPr="00D714FC">
        <w:rPr>
          <w:rFonts w:cs="Times New Roman"/>
        </w:rPr>
        <w:t>. For example, under the current rules, an operator must “include details of the regulated charges sufficient to enable a customer…to determine the customer’s liability…”</w:t>
      </w:r>
      <w:r w:rsidRPr="00D714FC">
        <w:rPr>
          <w:rStyle w:val="FootnoteReference"/>
          <w:rFonts w:cs="Times New Roman"/>
        </w:rPr>
        <w:footnoteReference w:id="281"/>
      </w:r>
      <w:r w:rsidRPr="00D714FC">
        <w:rPr>
          <w:rFonts w:cs="Times New Roman"/>
        </w:rPr>
        <w:t xml:space="preserve"> In practice, to achieve this outcome, an operator must provide a range of information such as the amount of the charge, who is required to pay the charge, what type or class of right the charge is levied on, etc. </w:t>
      </w:r>
      <w:r>
        <w:rPr>
          <w:rFonts w:cs="Times New Roman"/>
        </w:rPr>
        <w:t>T</w:t>
      </w:r>
      <w:r w:rsidRPr="00D714FC">
        <w:rPr>
          <w:rFonts w:cs="Times New Roman"/>
        </w:rPr>
        <w:t>he rules currently do not explicitly state what information must be provided for the operator to comply with the rule requirements. This</w:t>
      </w:r>
      <w:r>
        <w:rPr>
          <w:rFonts w:cs="Times New Roman"/>
        </w:rPr>
        <w:t xml:space="preserve"> formulation</w:t>
      </w:r>
      <w:r w:rsidRPr="00D714FC">
        <w:rPr>
          <w:rFonts w:cs="Times New Roman"/>
        </w:rPr>
        <w:t xml:space="preserve"> creates uncertainty for the operator, </w:t>
      </w:r>
      <w:r>
        <w:rPr>
          <w:rFonts w:cs="Times New Roman"/>
        </w:rPr>
        <w:t xml:space="preserve">which could result in further regulatory costs. Additionally, it </w:t>
      </w:r>
      <w:r w:rsidRPr="00D714FC">
        <w:rPr>
          <w:rFonts w:cs="Times New Roman"/>
        </w:rPr>
        <w:t>is likely to result in considerable difference</w:t>
      </w:r>
      <w:r>
        <w:rPr>
          <w:rFonts w:cs="Times New Roman"/>
        </w:rPr>
        <w:t>s</w:t>
      </w:r>
      <w:r w:rsidRPr="00D714FC">
        <w:rPr>
          <w:rFonts w:cs="Times New Roman"/>
        </w:rPr>
        <w:t xml:space="preserve"> in the level and type of information provided across operators, which provides less transparency for irrigators and other customers. </w:t>
      </w:r>
    </w:p>
    <w:p w:rsidR="00A84A61" w:rsidRPr="00D714FC" w:rsidRDefault="00A84A61" w:rsidP="00A84A61">
      <w:pPr>
        <w:rPr>
          <w:rFonts w:cs="Times New Roman"/>
        </w:rPr>
      </w:pPr>
      <w:r w:rsidRPr="00D714FC">
        <w:rPr>
          <w:rFonts w:cs="Times New Roman"/>
        </w:rPr>
        <w:t xml:space="preserve">Accordingly, </w:t>
      </w:r>
      <w:r>
        <w:rPr>
          <w:rFonts w:cs="Times New Roman"/>
        </w:rPr>
        <w:t xml:space="preserve">in the Draft Advice, </w:t>
      </w:r>
      <w:r w:rsidRPr="00D714FC">
        <w:rPr>
          <w:rFonts w:cs="Times New Roman"/>
        </w:rPr>
        <w:t xml:space="preserve">the ACCC </w:t>
      </w:r>
      <w:r>
        <w:rPr>
          <w:rFonts w:cs="Times New Roman"/>
        </w:rPr>
        <w:t>proposed</w:t>
      </w:r>
      <w:r w:rsidRPr="00D714FC">
        <w:rPr>
          <w:rFonts w:cs="Times New Roman"/>
        </w:rPr>
        <w:t xml:space="preserve"> a more direct approach, under which the rules will clearly specify what is required to achieve the intended outcomes. In setting out the information requirements, the ACCC </w:t>
      </w:r>
      <w:r>
        <w:rPr>
          <w:rFonts w:cs="Times New Roman"/>
        </w:rPr>
        <w:t>proposed</w:t>
      </w:r>
      <w:r w:rsidRPr="00D714FC">
        <w:rPr>
          <w:rFonts w:cs="Times New Roman"/>
        </w:rPr>
        <w:t xml:space="preserve"> that the specific requirements for each charge (set out below) should be closely based on a subset of the current requirements in </w:t>
      </w:r>
      <w:r w:rsidR="00207A65">
        <w:rPr>
          <w:rFonts w:cs="Times New Roman"/>
        </w:rPr>
        <w:t>r</w:t>
      </w:r>
      <w:r w:rsidRPr="00D714FC">
        <w:rPr>
          <w:rFonts w:cs="Times New Roman"/>
        </w:rPr>
        <w:t>ule 4 of the WCPMIR. The ACCC considers that the current drafting of the WCIR already requires substantially similar information in relation to information to be provided</w:t>
      </w:r>
      <w:r w:rsidR="00252489">
        <w:rPr>
          <w:rFonts w:cs="Times New Roman"/>
        </w:rPr>
        <w:t xml:space="preserve"> by</w:t>
      </w:r>
      <w:r w:rsidRPr="00D714FC">
        <w:rPr>
          <w:rFonts w:cs="Times New Roman"/>
        </w:rPr>
        <w:t xml:space="preserve"> infrastructure operators, but by employing the approach of </w:t>
      </w:r>
      <w:r w:rsidR="00207A65">
        <w:rPr>
          <w:rFonts w:cs="Times New Roman"/>
        </w:rPr>
        <w:t>r</w:t>
      </w:r>
      <w:r w:rsidRPr="00D714FC">
        <w:rPr>
          <w:rFonts w:cs="Times New Roman"/>
        </w:rPr>
        <w:t>ule</w:t>
      </w:r>
      <w:r w:rsidR="00C75CE7">
        <w:rPr>
          <w:rFonts w:cs="Times New Roman"/>
        </w:rPr>
        <w:t> </w:t>
      </w:r>
      <w:r w:rsidRPr="00D714FC">
        <w:rPr>
          <w:rFonts w:cs="Times New Roman"/>
        </w:rPr>
        <w:t>4 of the WCPMIR, the information requirements for infrastructure operators (and other entities who determine planning and management charges) will be much clearer.</w:t>
      </w:r>
      <w:r>
        <w:rPr>
          <w:rStyle w:val="FootnoteReference"/>
          <w:rFonts w:cs="Times New Roman"/>
        </w:rPr>
        <w:footnoteReference w:id="282"/>
      </w:r>
    </w:p>
    <w:p w:rsidR="00FD0F1A" w:rsidRPr="00FC64B5" w:rsidRDefault="00FD0F1A" w:rsidP="00FC64B5">
      <w:pPr>
        <w:pStyle w:val="Heading6"/>
        <w:rPr>
          <w:rStyle w:val="SubtleEmphasis"/>
          <w:i/>
          <w:iCs/>
          <w:color w:val="404040" w:themeColor="text1" w:themeTint="BF"/>
        </w:rPr>
      </w:pPr>
      <w:r w:rsidRPr="00FC64B5">
        <w:rPr>
          <w:rStyle w:val="SubtleEmphasis"/>
          <w:i/>
          <w:iCs/>
          <w:color w:val="404040" w:themeColor="text1" w:themeTint="BF"/>
        </w:rPr>
        <w:t>Application of Schedule of Charges rule</w:t>
      </w:r>
    </w:p>
    <w:p w:rsidR="00FD0F1A" w:rsidRPr="00D714FC" w:rsidRDefault="00FD0F1A" w:rsidP="00FD0F1A">
      <w:pPr>
        <w:rPr>
          <w:rFonts w:cs="Times New Roman"/>
        </w:rPr>
      </w:pPr>
      <w:r w:rsidRPr="00D714FC">
        <w:rPr>
          <w:rFonts w:cs="Times New Roman"/>
        </w:rPr>
        <w:t xml:space="preserve">Currently, the WCIR, in conjunction with the WCPMIR, require the publication of different types of information about charges, at different times, depending on whether the charges are infrastructure charges or planning and management charges. Information requirements also differ depending on whether infrastructure charges or planning and management charges are imposed by an infrastructure operator, </w:t>
      </w:r>
      <w:r>
        <w:rPr>
          <w:rFonts w:cs="Times New Roman"/>
        </w:rPr>
        <w:t>IIO</w:t>
      </w:r>
      <w:r w:rsidRPr="00D714FC">
        <w:rPr>
          <w:rFonts w:cs="Times New Roman"/>
        </w:rPr>
        <w:t xml:space="preserve"> or some other entity.</w:t>
      </w:r>
    </w:p>
    <w:p w:rsidR="00FD0F1A" w:rsidRPr="00D714FC" w:rsidRDefault="00FD0F1A" w:rsidP="00FD0F1A">
      <w:pPr>
        <w:rPr>
          <w:rFonts w:cs="Times New Roman"/>
        </w:rPr>
      </w:pPr>
      <w:r w:rsidRPr="00D714FC">
        <w:rPr>
          <w:rFonts w:cs="Times New Roman"/>
        </w:rPr>
        <w:t xml:space="preserve">In </w:t>
      </w:r>
      <w:r>
        <w:rPr>
          <w:rFonts w:cs="Times New Roman"/>
        </w:rPr>
        <w:t xml:space="preserve">its Draft Advice, </w:t>
      </w:r>
      <w:r w:rsidRPr="00D714FC">
        <w:rPr>
          <w:rFonts w:cs="Times New Roman"/>
        </w:rPr>
        <w:t>the ACCC consider</w:t>
      </w:r>
      <w:r>
        <w:rPr>
          <w:rFonts w:cs="Times New Roman"/>
        </w:rPr>
        <w:t>ed</w:t>
      </w:r>
      <w:r w:rsidRPr="00D714FC">
        <w:rPr>
          <w:rFonts w:cs="Times New Roman"/>
        </w:rPr>
        <w:t xml:space="preserve"> that the Schedule of Charge</w:t>
      </w:r>
      <w:r>
        <w:rPr>
          <w:rFonts w:cs="Times New Roman"/>
        </w:rPr>
        <w:t>s</w:t>
      </w:r>
      <w:r w:rsidRPr="00D714FC">
        <w:rPr>
          <w:rFonts w:cs="Times New Roman"/>
        </w:rPr>
        <w:t xml:space="preserve"> requirements should be standardised across all operators and should not differ based on the operator’s size or ownership status. This will ensure that all customers are provided with the same access to information regardless of the size or ownership status of their operator. It will also streamline the application of the rules, making it simpler for operators to understand the rule requirements. </w:t>
      </w:r>
      <w:r w:rsidR="00A84A61">
        <w:rPr>
          <w:rFonts w:cs="Times New Roman"/>
        </w:rPr>
        <w:t>In combining the three sets of water charge rules, t</w:t>
      </w:r>
      <w:r w:rsidRPr="00D714FC">
        <w:rPr>
          <w:rFonts w:cs="Times New Roman"/>
        </w:rPr>
        <w:t xml:space="preserve">he </w:t>
      </w:r>
      <w:r>
        <w:rPr>
          <w:rFonts w:cs="Times New Roman"/>
        </w:rPr>
        <w:t xml:space="preserve">ACCC also </w:t>
      </w:r>
      <w:r w:rsidR="00A84A61">
        <w:rPr>
          <w:rFonts w:cs="Times New Roman"/>
        </w:rPr>
        <w:t>sought to harmonise the requirements, related to the information to be included on a</w:t>
      </w:r>
      <w:r>
        <w:rPr>
          <w:rFonts w:cs="Times New Roman"/>
        </w:rPr>
        <w:t xml:space="preserve"> </w:t>
      </w:r>
      <w:r w:rsidRPr="00D714FC">
        <w:rPr>
          <w:rFonts w:cs="Times New Roman"/>
        </w:rPr>
        <w:t>Schedule of Charges</w:t>
      </w:r>
      <w:r w:rsidR="00A84A61">
        <w:rPr>
          <w:rFonts w:cs="Times New Roman"/>
        </w:rPr>
        <w:t>, which apply to infrastructure operators and</w:t>
      </w:r>
      <w:r w:rsidRPr="00D714FC">
        <w:rPr>
          <w:rFonts w:cs="Times New Roman"/>
        </w:rPr>
        <w:t xml:space="preserve"> entities other than infrastructure operators who determine planning and management charges.</w:t>
      </w:r>
    </w:p>
    <w:p w:rsidR="00FD0F1A" w:rsidRPr="00A23802" w:rsidRDefault="00F2523F" w:rsidP="00D17F9C">
      <w:pPr>
        <w:pStyle w:val="Heading5"/>
        <w:rPr>
          <w:i/>
        </w:rPr>
      </w:pPr>
      <w:r>
        <w:t>General i</w:t>
      </w:r>
      <w:r w:rsidR="00FD0F1A" w:rsidRPr="00A23802">
        <w:t>nformation</w:t>
      </w:r>
    </w:p>
    <w:p w:rsidR="00FD0F1A" w:rsidRPr="00D714FC" w:rsidRDefault="00FD0F1A" w:rsidP="003E1B68">
      <w:pPr>
        <w:rPr>
          <w:rFonts w:cs="Times New Roman"/>
        </w:rPr>
      </w:pPr>
      <w:r w:rsidRPr="00D714FC">
        <w:rPr>
          <w:rFonts w:cs="Times New Roman"/>
        </w:rPr>
        <w:t>One aim of the current Schedule of Charges requirements, in conjunction with the Network Service Plan</w:t>
      </w:r>
      <w:r>
        <w:rPr>
          <w:rFonts w:cs="Times New Roman"/>
        </w:rPr>
        <w:t xml:space="preserve"> (NSP)</w:t>
      </w:r>
      <w:r w:rsidRPr="00D714FC">
        <w:rPr>
          <w:rFonts w:cs="Times New Roman"/>
        </w:rPr>
        <w:t xml:space="preserve"> requirements of WCIR Part 5, is that customers be able to understand, and participate in, the operator’s processes for setting charges. </w:t>
      </w:r>
      <w:r w:rsidR="00A84A61">
        <w:rPr>
          <w:rFonts w:cs="Times New Roman"/>
        </w:rPr>
        <w:t>In the Draft Advice, t</w:t>
      </w:r>
      <w:r w:rsidRPr="00D714FC">
        <w:rPr>
          <w:rFonts w:cs="Times New Roman"/>
        </w:rPr>
        <w:t>he ACCC recognise</w:t>
      </w:r>
      <w:r w:rsidR="00A84A61">
        <w:rPr>
          <w:rFonts w:cs="Times New Roman"/>
        </w:rPr>
        <w:t>d</w:t>
      </w:r>
      <w:r w:rsidRPr="00D714FC">
        <w:rPr>
          <w:rFonts w:cs="Times New Roman"/>
        </w:rPr>
        <w:t xml:space="preserve"> </w:t>
      </w:r>
      <w:r w:rsidR="00A84A61">
        <w:rPr>
          <w:rFonts w:cs="Times New Roman"/>
        </w:rPr>
        <w:t xml:space="preserve">stakeholder </w:t>
      </w:r>
      <w:r w:rsidRPr="00D714FC">
        <w:rPr>
          <w:rFonts w:cs="Times New Roman"/>
        </w:rPr>
        <w:t>feedback that Part 5 requirements place too great a cost on operators in an attempt to achieve these (and other) ends. Also, the ACCC consider</w:t>
      </w:r>
      <w:r w:rsidR="00A84A61">
        <w:rPr>
          <w:rFonts w:cs="Times New Roman"/>
        </w:rPr>
        <w:t>ed</w:t>
      </w:r>
      <w:r w:rsidRPr="00D714FC">
        <w:rPr>
          <w:rFonts w:cs="Times New Roman"/>
        </w:rPr>
        <w:t xml:space="preserve"> that the current information requirement specified in </w:t>
      </w:r>
      <w:r w:rsidR="00207A65">
        <w:rPr>
          <w:rFonts w:cs="Times New Roman"/>
        </w:rPr>
        <w:t>r</w:t>
      </w:r>
      <w:r w:rsidRPr="00D714FC">
        <w:rPr>
          <w:rFonts w:cs="Times New Roman"/>
        </w:rPr>
        <w:t>ule 4(b), which requires the infrastructure operator to “include details of the regulated charges sufficient to enable a customer…to determine the customer’s liability under the regulated charges…” does not provide sufficient clarity for an operator to know whether the rule requirement has been fulfilled. The ACCC further note</w:t>
      </w:r>
      <w:r w:rsidR="00A84A61">
        <w:rPr>
          <w:rFonts w:cs="Times New Roman"/>
        </w:rPr>
        <w:t>d</w:t>
      </w:r>
      <w:r w:rsidRPr="00D714FC">
        <w:rPr>
          <w:rFonts w:cs="Times New Roman"/>
        </w:rPr>
        <w:t xml:space="preserve"> that it is not always clear whether, and how, a customer can seek to participate in the operator’s processes for setting charges.</w:t>
      </w:r>
    </w:p>
    <w:p w:rsidR="00FD0F1A" w:rsidRPr="00D714FC" w:rsidRDefault="00FD0F1A" w:rsidP="00F82FD9">
      <w:pPr>
        <w:spacing w:after="120"/>
        <w:rPr>
          <w:rFonts w:cs="Times New Roman"/>
        </w:rPr>
      </w:pPr>
      <w:r w:rsidRPr="00D714FC">
        <w:rPr>
          <w:rFonts w:cs="Times New Roman"/>
        </w:rPr>
        <w:t xml:space="preserve">Accordingly, the ACCC </w:t>
      </w:r>
      <w:r w:rsidR="00A84A61">
        <w:rPr>
          <w:rFonts w:cs="Times New Roman"/>
        </w:rPr>
        <w:t>proposed</w:t>
      </w:r>
      <w:r w:rsidR="00A84A61" w:rsidRPr="00D714FC">
        <w:rPr>
          <w:rFonts w:cs="Times New Roman"/>
        </w:rPr>
        <w:t xml:space="preserve"> </w:t>
      </w:r>
      <w:r w:rsidRPr="00D714FC">
        <w:rPr>
          <w:rFonts w:cs="Times New Roman"/>
        </w:rPr>
        <w:t xml:space="preserve">that an </w:t>
      </w:r>
      <w:r w:rsidR="00A84A61">
        <w:rPr>
          <w:rFonts w:cs="Times New Roman"/>
        </w:rPr>
        <w:t xml:space="preserve">infrastructure </w:t>
      </w:r>
      <w:r w:rsidRPr="00D714FC">
        <w:rPr>
          <w:rFonts w:cs="Times New Roman"/>
        </w:rPr>
        <w:t>operator should be required to include on its Schedule of Charges a statement setting out the process(es) by which:</w:t>
      </w:r>
    </w:p>
    <w:p w:rsidR="00FD0F1A" w:rsidRPr="00D714FC" w:rsidRDefault="00FD0F1A" w:rsidP="00A946C7">
      <w:pPr>
        <w:pStyle w:val="ListParagraph"/>
        <w:numPr>
          <w:ilvl w:val="0"/>
          <w:numId w:val="8"/>
        </w:numPr>
        <w:rPr>
          <w:rFonts w:cs="Times New Roman"/>
        </w:rPr>
      </w:pPr>
      <w:r w:rsidRPr="00D714FC">
        <w:rPr>
          <w:rFonts w:cs="Times New Roman"/>
        </w:rPr>
        <w:t>the infrastructure operator determined the regulated water charges contained in the Schedule of Charges (this should be at the general level, rather than for each individual charge);</w:t>
      </w:r>
    </w:p>
    <w:p w:rsidR="00FD0F1A" w:rsidRPr="00D714FC" w:rsidRDefault="00FD0F1A" w:rsidP="00A946C7">
      <w:pPr>
        <w:pStyle w:val="ListParagraph"/>
        <w:numPr>
          <w:ilvl w:val="0"/>
          <w:numId w:val="8"/>
        </w:numPr>
        <w:rPr>
          <w:rFonts w:cs="Times New Roman"/>
        </w:rPr>
      </w:pPr>
      <w:r w:rsidRPr="00D714FC">
        <w:rPr>
          <w:rFonts w:cs="Times New Roman"/>
        </w:rPr>
        <w:t>a customer may participate in the infrastructure operator’s processes for determining the regulated water charges in the Schedule of Charges;</w:t>
      </w:r>
    </w:p>
    <w:p w:rsidR="00FD0F1A" w:rsidRPr="00D714FC" w:rsidRDefault="00FD0F1A" w:rsidP="00A946C7">
      <w:pPr>
        <w:pStyle w:val="ListParagraph"/>
        <w:numPr>
          <w:ilvl w:val="0"/>
          <w:numId w:val="8"/>
        </w:numPr>
        <w:rPr>
          <w:rFonts w:cs="Times New Roman"/>
        </w:rPr>
      </w:pPr>
      <w:r w:rsidRPr="00D714FC">
        <w:rPr>
          <w:rFonts w:cs="Times New Roman"/>
        </w:rPr>
        <w:t>a customer can make an enquiry or resolve a dispute with the infrastructure operator in relation to regulated water charges.</w:t>
      </w:r>
    </w:p>
    <w:p w:rsidR="00FD0F1A" w:rsidRPr="00D714FC" w:rsidRDefault="00FD0F1A" w:rsidP="003E1B68">
      <w:pPr>
        <w:rPr>
          <w:rFonts w:cs="Times New Roman"/>
        </w:rPr>
      </w:pPr>
      <w:r w:rsidRPr="00D714FC">
        <w:rPr>
          <w:rFonts w:cs="Times New Roman"/>
        </w:rPr>
        <w:t xml:space="preserve">An entity other than an infrastructure operator who determines planning and management charges should also be subject to </w:t>
      </w:r>
      <w:r w:rsidR="00AD7D23">
        <w:rPr>
          <w:rFonts w:cs="Times New Roman"/>
        </w:rPr>
        <w:t>these</w:t>
      </w:r>
      <w:r w:rsidR="00AD7D23" w:rsidRPr="00D714FC">
        <w:rPr>
          <w:rFonts w:cs="Times New Roman"/>
        </w:rPr>
        <w:t xml:space="preserve"> </w:t>
      </w:r>
      <w:r w:rsidRPr="00D714FC">
        <w:rPr>
          <w:rFonts w:cs="Times New Roman"/>
        </w:rPr>
        <w:t>requirements.</w:t>
      </w:r>
    </w:p>
    <w:p w:rsidR="00FD0F1A" w:rsidRPr="00A23802" w:rsidRDefault="00FD0F1A" w:rsidP="007E1B3F">
      <w:pPr>
        <w:pStyle w:val="Heading5"/>
        <w:keepNext w:val="0"/>
        <w:keepLines w:val="0"/>
      </w:pPr>
      <w:r w:rsidRPr="00A23802">
        <w:t>Prescribed template</w:t>
      </w:r>
    </w:p>
    <w:p w:rsidR="00FD0F1A" w:rsidRPr="00D714FC" w:rsidRDefault="00A84A61" w:rsidP="007E1B3F">
      <w:pPr>
        <w:rPr>
          <w:rFonts w:cs="Times New Roman"/>
        </w:rPr>
      </w:pPr>
      <w:r>
        <w:rPr>
          <w:rFonts w:cs="Times New Roman"/>
        </w:rPr>
        <w:t>In the Draft Advice, t</w:t>
      </w:r>
      <w:r w:rsidR="00FD0F1A" w:rsidRPr="00D714FC">
        <w:rPr>
          <w:rFonts w:cs="Times New Roman"/>
        </w:rPr>
        <w:t xml:space="preserve">he ACCC accepted feedback from a majority of stakeholders that a prescribed template for the Schedule of Charges would not provide a net benefit for </w:t>
      </w:r>
      <w:r>
        <w:rPr>
          <w:rFonts w:cs="Times New Roman"/>
        </w:rPr>
        <w:t xml:space="preserve">infrastructure </w:t>
      </w:r>
      <w:r w:rsidR="00FD0F1A" w:rsidRPr="00D714FC">
        <w:rPr>
          <w:rFonts w:cs="Times New Roman"/>
        </w:rPr>
        <w:t xml:space="preserve">operators and their customers. Waterfind was the main stakeholder who supported a prescribed template on the grounds that </w:t>
      </w:r>
      <w:r w:rsidR="00AC38D9">
        <w:rPr>
          <w:rFonts w:cs="Times New Roman"/>
        </w:rPr>
        <w:t>it</w:t>
      </w:r>
      <w:r w:rsidR="00FD0F1A" w:rsidRPr="00D714FC">
        <w:rPr>
          <w:rFonts w:cs="Times New Roman"/>
        </w:rPr>
        <w:t xml:space="preserve"> would be useful to customers (both existing and potential new customers) and operators </w:t>
      </w:r>
      <w:r w:rsidR="00AC38D9">
        <w:rPr>
          <w:rFonts w:cs="Times New Roman"/>
        </w:rPr>
        <w:t>(</w:t>
      </w:r>
      <w:r w:rsidR="00FD0F1A" w:rsidRPr="00D714FC">
        <w:rPr>
          <w:rFonts w:cs="Times New Roman"/>
        </w:rPr>
        <w:t>in achieving compliance with the rules</w:t>
      </w:r>
      <w:r w:rsidR="00AC38D9">
        <w:rPr>
          <w:rFonts w:cs="Times New Roman"/>
        </w:rPr>
        <w:t>)</w:t>
      </w:r>
      <w:r w:rsidR="00FD0F1A" w:rsidRPr="00D714FC">
        <w:rPr>
          <w:rFonts w:cs="Times New Roman"/>
        </w:rPr>
        <w:t>.</w:t>
      </w:r>
      <w:r w:rsidR="00FD0F1A" w:rsidRPr="00D714FC">
        <w:rPr>
          <w:rStyle w:val="FootnoteReference"/>
          <w:rFonts w:cs="Times New Roman"/>
        </w:rPr>
        <w:footnoteReference w:id="283"/>
      </w:r>
      <w:r w:rsidR="00FD0F1A" w:rsidRPr="00D714FC">
        <w:rPr>
          <w:rFonts w:cs="Times New Roman"/>
        </w:rPr>
        <w:t xml:space="preserve"> The ACCC also note</w:t>
      </w:r>
      <w:r w:rsidR="000613E1">
        <w:rPr>
          <w:rFonts w:cs="Times New Roman"/>
        </w:rPr>
        <w:t>d</w:t>
      </w:r>
      <w:r w:rsidR="00FD0F1A" w:rsidRPr="00D714FC">
        <w:rPr>
          <w:rFonts w:cs="Times New Roman"/>
        </w:rPr>
        <w:t xml:space="preserve"> the </w:t>
      </w:r>
      <w:r w:rsidR="00A35180">
        <w:rPr>
          <w:rFonts w:cs="Times New Roman"/>
        </w:rPr>
        <w:t>National Irrigators’ Council’s (</w:t>
      </w:r>
      <w:r w:rsidR="00FD0F1A" w:rsidRPr="00D714FC">
        <w:rPr>
          <w:rFonts w:cs="Times New Roman"/>
        </w:rPr>
        <w:t>NIC</w:t>
      </w:r>
      <w:r w:rsidR="000613E1">
        <w:rPr>
          <w:rFonts w:cs="Times New Roman"/>
        </w:rPr>
        <w:t>’s</w:t>
      </w:r>
      <w:r w:rsidR="00A35180">
        <w:rPr>
          <w:rFonts w:cs="Times New Roman"/>
        </w:rPr>
        <w:t>)</w:t>
      </w:r>
      <w:r w:rsidR="000613E1">
        <w:rPr>
          <w:rFonts w:cs="Times New Roman"/>
        </w:rPr>
        <w:t xml:space="preserve"> </w:t>
      </w:r>
      <w:r w:rsidR="00FD0F1A" w:rsidRPr="00D714FC">
        <w:rPr>
          <w:rFonts w:cs="Times New Roman"/>
        </w:rPr>
        <w:t>recommendation for the ACCC to produce a glossary of terms.</w:t>
      </w:r>
      <w:r w:rsidR="00FD0F1A" w:rsidRPr="00D714FC">
        <w:rPr>
          <w:rStyle w:val="FootnoteReference"/>
          <w:rFonts w:cs="Times New Roman"/>
        </w:rPr>
        <w:footnoteReference w:id="284"/>
      </w:r>
      <w:r w:rsidR="00FD0F1A" w:rsidRPr="00D714FC">
        <w:rPr>
          <w:rFonts w:cs="Times New Roman"/>
        </w:rPr>
        <w:t xml:space="preserve"> The ACCC consider</w:t>
      </w:r>
      <w:r w:rsidR="000613E1">
        <w:rPr>
          <w:rFonts w:cs="Times New Roman"/>
        </w:rPr>
        <w:t>ed</w:t>
      </w:r>
      <w:r w:rsidR="00FD0F1A" w:rsidRPr="00D714FC">
        <w:rPr>
          <w:rFonts w:cs="Times New Roman"/>
        </w:rPr>
        <w:t xml:space="preserve"> that the concerns of Waterfind, the NIC and other stakeholders with similar views can better be addressed via guidance material than a specific rule requirement. </w:t>
      </w:r>
    </w:p>
    <w:p w:rsidR="00800FE5" w:rsidRDefault="00FD0F1A" w:rsidP="00FD0F1A">
      <w:pPr>
        <w:rPr>
          <w:rFonts w:cs="Times New Roman"/>
        </w:rPr>
      </w:pPr>
      <w:r w:rsidRPr="00D714FC">
        <w:rPr>
          <w:rFonts w:cs="Times New Roman"/>
        </w:rPr>
        <w:t xml:space="preserve">The ACCC will produce a Schedule of Charges template in its guidance material that operators </w:t>
      </w:r>
      <w:r w:rsidRPr="00D714FC">
        <w:rPr>
          <w:rFonts w:cs="Times New Roman"/>
          <w:i/>
        </w:rPr>
        <w:t>may</w:t>
      </w:r>
      <w:r w:rsidRPr="00D714FC">
        <w:rPr>
          <w:rFonts w:cs="Times New Roman"/>
        </w:rPr>
        <w:t xml:space="preserve"> use. In producing this guidance template, the ACCC </w:t>
      </w:r>
      <w:r>
        <w:rPr>
          <w:rFonts w:cs="Times New Roman"/>
        </w:rPr>
        <w:t>will</w:t>
      </w:r>
      <w:r w:rsidRPr="00D714FC">
        <w:rPr>
          <w:rFonts w:cs="Times New Roman"/>
        </w:rPr>
        <w:t xml:space="preserve"> provide a list or glossary of suggested terms that an operator may also use when forming its own Schedule of Charges.</w:t>
      </w:r>
      <w:r w:rsidR="00E260C2">
        <w:rPr>
          <w:rFonts w:cs="Times New Roman"/>
        </w:rPr>
        <w:t xml:space="preserve"> </w:t>
      </w:r>
    </w:p>
    <w:p w:rsidR="00012A25" w:rsidRPr="00D714FC" w:rsidRDefault="00012A25" w:rsidP="00075838">
      <w:pPr>
        <w:pStyle w:val="Heading4"/>
        <w:rPr>
          <w:rFonts w:ascii="Times New Roman" w:hAnsi="Times New Roman" w:cs="Times New Roman"/>
        </w:rPr>
      </w:pPr>
      <w:r w:rsidRPr="00D714FC">
        <w:rPr>
          <w:rFonts w:ascii="Times New Roman" w:hAnsi="Times New Roman" w:cs="Times New Roman"/>
        </w:rPr>
        <w:t>Stakeholder feedback</w:t>
      </w:r>
    </w:p>
    <w:p w:rsidR="0056666D" w:rsidRPr="00D714FC" w:rsidRDefault="0056666D" w:rsidP="0056666D">
      <w:pPr>
        <w:rPr>
          <w:rFonts w:cs="Times New Roman"/>
        </w:rPr>
      </w:pPr>
      <w:r w:rsidRPr="00D714FC">
        <w:rPr>
          <w:rFonts w:cs="Times New Roman"/>
        </w:rPr>
        <w:t xml:space="preserve">A number of submissions to the Act Review raised concerns over ‘government charges’ specifically in relation to open and transparent price determination of </w:t>
      </w:r>
      <w:r w:rsidR="001B19ED">
        <w:rPr>
          <w:rFonts w:cs="Times New Roman"/>
        </w:rPr>
        <w:t xml:space="preserve">the </w:t>
      </w:r>
      <w:r w:rsidRPr="00D714FC">
        <w:rPr>
          <w:rFonts w:cs="Times New Roman"/>
        </w:rPr>
        <w:t>M</w:t>
      </w:r>
      <w:r w:rsidR="0092072D" w:rsidRPr="00D714FC">
        <w:rPr>
          <w:rFonts w:cs="Times New Roman"/>
        </w:rPr>
        <w:t>urray-</w:t>
      </w:r>
      <w:r w:rsidRPr="00D714FC">
        <w:rPr>
          <w:rFonts w:cs="Times New Roman"/>
        </w:rPr>
        <w:t>D</w:t>
      </w:r>
      <w:r w:rsidR="0092072D" w:rsidRPr="00D714FC">
        <w:rPr>
          <w:rFonts w:cs="Times New Roman"/>
        </w:rPr>
        <w:t xml:space="preserve">arling </w:t>
      </w:r>
      <w:r w:rsidRPr="00D714FC">
        <w:rPr>
          <w:rFonts w:cs="Times New Roman"/>
        </w:rPr>
        <w:t>B</w:t>
      </w:r>
      <w:r w:rsidR="0092072D" w:rsidRPr="00D714FC">
        <w:rPr>
          <w:rFonts w:cs="Times New Roman"/>
        </w:rPr>
        <w:t xml:space="preserve">asin </w:t>
      </w:r>
      <w:r w:rsidRPr="00D714FC">
        <w:rPr>
          <w:rFonts w:cs="Times New Roman"/>
        </w:rPr>
        <w:t>A</w:t>
      </w:r>
      <w:r w:rsidR="0092072D" w:rsidRPr="00D714FC">
        <w:rPr>
          <w:rFonts w:cs="Times New Roman"/>
        </w:rPr>
        <w:t>uthority</w:t>
      </w:r>
      <w:r w:rsidR="001B19ED">
        <w:rPr>
          <w:rFonts w:cs="Times New Roman"/>
        </w:rPr>
        <w:t>’s</w:t>
      </w:r>
      <w:r w:rsidR="0092072D" w:rsidRPr="00D714FC">
        <w:rPr>
          <w:rFonts w:cs="Times New Roman"/>
        </w:rPr>
        <w:t xml:space="preserve"> (MDBA</w:t>
      </w:r>
      <w:r w:rsidR="001B19ED">
        <w:rPr>
          <w:rFonts w:cs="Times New Roman"/>
        </w:rPr>
        <w:t>’s</w:t>
      </w:r>
      <w:r w:rsidR="0092072D" w:rsidRPr="00D714FC">
        <w:rPr>
          <w:rFonts w:cs="Times New Roman"/>
        </w:rPr>
        <w:t>)</w:t>
      </w:r>
      <w:r w:rsidRPr="00D714FC">
        <w:rPr>
          <w:rFonts w:cs="Times New Roman"/>
        </w:rPr>
        <w:t xml:space="preserve"> </w:t>
      </w:r>
      <w:r w:rsidR="001B19ED">
        <w:rPr>
          <w:rFonts w:cs="Times New Roman"/>
        </w:rPr>
        <w:t>R</w:t>
      </w:r>
      <w:r w:rsidRPr="00D714FC">
        <w:rPr>
          <w:rFonts w:cs="Times New Roman"/>
        </w:rPr>
        <w:t>iver</w:t>
      </w:r>
      <w:r w:rsidR="001B19ED">
        <w:rPr>
          <w:rFonts w:cs="Times New Roman"/>
        </w:rPr>
        <w:t xml:space="preserve"> Murray</w:t>
      </w:r>
      <w:r w:rsidRPr="00D714FC">
        <w:rPr>
          <w:rFonts w:cs="Times New Roman"/>
        </w:rPr>
        <w:t xml:space="preserve"> </w:t>
      </w:r>
      <w:r w:rsidR="001B19ED">
        <w:rPr>
          <w:rFonts w:cs="Times New Roman"/>
        </w:rPr>
        <w:t>O</w:t>
      </w:r>
      <w:r w:rsidRPr="00D714FC">
        <w:rPr>
          <w:rFonts w:cs="Times New Roman"/>
        </w:rPr>
        <w:t>peration</w:t>
      </w:r>
      <w:r w:rsidR="001B19ED">
        <w:rPr>
          <w:rFonts w:cs="Times New Roman"/>
        </w:rPr>
        <w:t>s (RMO)</w:t>
      </w:r>
      <w:r w:rsidRPr="00D714FC">
        <w:rPr>
          <w:rFonts w:cs="Times New Roman"/>
        </w:rPr>
        <w:t xml:space="preserve"> charges.</w:t>
      </w:r>
      <w:r w:rsidR="0059041D" w:rsidRPr="00D714FC">
        <w:rPr>
          <w:rStyle w:val="FootnoteReference"/>
          <w:rFonts w:cs="Times New Roman"/>
        </w:rPr>
        <w:footnoteReference w:id="285"/>
      </w:r>
      <w:r w:rsidRPr="00D714FC">
        <w:rPr>
          <w:rFonts w:cs="Times New Roman"/>
        </w:rPr>
        <w:t xml:space="preserve"> These </w:t>
      </w:r>
      <w:r w:rsidR="008E0B67">
        <w:rPr>
          <w:rFonts w:cs="Times New Roman"/>
        </w:rPr>
        <w:t xml:space="preserve">submissions and associated </w:t>
      </w:r>
      <w:r w:rsidRPr="00D714FC">
        <w:rPr>
          <w:rFonts w:cs="Times New Roman"/>
        </w:rPr>
        <w:t xml:space="preserve">issues are considered in more depth in </w:t>
      </w:r>
      <w:r w:rsidR="0092072D" w:rsidRPr="00D714FC">
        <w:rPr>
          <w:rFonts w:cs="Times New Roman"/>
        </w:rPr>
        <w:t>section</w:t>
      </w:r>
      <w:r w:rsidR="008E0B67">
        <w:rPr>
          <w:rFonts w:cs="Times New Roman"/>
        </w:rPr>
        <w:t xml:space="preserve"> </w:t>
      </w:r>
      <w:r w:rsidRPr="00D714FC">
        <w:rPr>
          <w:rFonts w:cs="Times New Roman"/>
        </w:rPr>
        <w:t>5.12.</w:t>
      </w:r>
    </w:p>
    <w:p w:rsidR="00D9688E" w:rsidRPr="00D714FC" w:rsidRDefault="00D9688E" w:rsidP="002746AE">
      <w:pPr>
        <w:rPr>
          <w:rFonts w:cs="Times New Roman"/>
        </w:rPr>
      </w:pPr>
      <w:r>
        <w:rPr>
          <w:rFonts w:cs="Times New Roman"/>
        </w:rPr>
        <w:t>Eight</w:t>
      </w:r>
      <w:r w:rsidRPr="00D714FC">
        <w:rPr>
          <w:rFonts w:cs="Times New Roman"/>
        </w:rPr>
        <w:t xml:space="preserve"> </w:t>
      </w:r>
      <w:r w:rsidR="0056666D" w:rsidRPr="00D714FC">
        <w:rPr>
          <w:rFonts w:cs="Times New Roman"/>
        </w:rPr>
        <w:t xml:space="preserve">submissions to the ACCC’s </w:t>
      </w:r>
      <w:r w:rsidR="00004DB5" w:rsidRPr="00D714FC">
        <w:rPr>
          <w:rFonts w:cs="Times New Roman"/>
        </w:rPr>
        <w:t>Issues Paper</w:t>
      </w:r>
      <w:r w:rsidR="0056666D" w:rsidRPr="00D714FC">
        <w:rPr>
          <w:rFonts w:cs="Times New Roman"/>
        </w:rPr>
        <w:t xml:space="preserve"> made comments relating to information to be included on a </w:t>
      </w:r>
      <w:r w:rsidR="00262689" w:rsidRPr="00D714FC">
        <w:rPr>
          <w:rFonts w:cs="Times New Roman"/>
        </w:rPr>
        <w:t>Schedule of Charges</w:t>
      </w:r>
      <w:r w:rsidR="0056666D" w:rsidRPr="00D714FC">
        <w:rPr>
          <w:rFonts w:cs="Times New Roman"/>
        </w:rPr>
        <w:t xml:space="preserve">. </w:t>
      </w:r>
      <w:r w:rsidR="00344EF8">
        <w:rPr>
          <w:rFonts w:cs="Times New Roman"/>
        </w:rPr>
        <w:t>S</w:t>
      </w:r>
      <w:r w:rsidR="0056666D" w:rsidRPr="00D714FC">
        <w:rPr>
          <w:rFonts w:cs="Times New Roman"/>
        </w:rPr>
        <w:t xml:space="preserve">ome submissions also made comments on other aspects relating to the </w:t>
      </w:r>
      <w:r w:rsidR="00262689" w:rsidRPr="00D714FC">
        <w:rPr>
          <w:rFonts w:cs="Times New Roman"/>
        </w:rPr>
        <w:t>Schedule of Charges</w:t>
      </w:r>
      <w:r w:rsidR="0056666D" w:rsidRPr="00D714FC">
        <w:rPr>
          <w:rFonts w:cs="Times New Roman"/>
        </w:rPr>
        <w:t xml:space="preserve"> such as publication requirements and transparency of </w:t>
      </w:r>
      <w:r w:rsidR="0092072D" w:rsidRPr="00D714FC">
        <w:rPr>
          <w:rFonts w:cs="Times New Roman"/>
        </w:rPr>
        <w:t>‘</w:t>
      </w:r>
      <w:r w:rsidR="0056666D" w:rsidRPr="00D714FC">
        <w:rPr>
          <w:rFonts w:cs="Times New Roman"/>
        </w:rPr>
        <w:t>pass through</w:t>
      </w:r>
      <w:r w:rsidR="0092072D" w:rsidRPr="00D714FC">
        <w:rPr>
          <w:rFonts w:cs="Times New Roman"/>
        </w:rPr>
        <w:t>’</w:t>
      </w:r>
      <w:r w:rsidR="0056666D" w:rsidRPr="00D714FC">
        <w:rPr>
          <w:rFonts w:cs="Times New Roman"/>
        </w:rPr>
        <w:t xml:space="preserve"> charges. These are discussed in sections </w:t>
      </w:r>
      <w:r w:rsidR="006270BE">
        <w:rPr>
          <w:rFonts w:cs="Times New Roman"/>
        </w:rPr>
        <w:t>5.4.2</w:t>
      </w:r>
      <w:r w:rsidR="0056666D" w:rsidRPr="00D714FC">
        <w:rPr>
          <w:rFonts w:cs="Times New Roman"/>
        </w:rPr>
        <w:t xml:space="preserve"> and</w:t>
      </w:r>
      <w:r w:rsidR="00E51A5A">
        <w:rPr>
          <w:rFonts w:cs="Times New Roman"/>
        </w:rPr>
        <w:t xml:space="preserve"> 5.13</w:t>
      </w:r>
      <w:r w:rsidR="0056666D" w:rsidRPr="00D714FC">
        <w:rPr>
          <w:rFonts w:cs="Times New Roman"/>
        </w:rPr>
        <w:t xml:space="preserve">, respectively. </w:t>
      </w:r>
      <w:r w:rsidR="00AE3C3D">
        <w:rPr>
          <w:rFonts w:cs="Times New Roman"/>
        </w:rPr>
        <w:t xml:space="preserve">Infrastructure operators </w:t>
      </w:r>
      <w:r w:rsidR="0041530C">
        <w:rPr>
          <w:rFonts w:cs="Times New Roman"/>
        </w:rPr>
        <w:t xml:space="preserve">who gave feedback </w:t>
      </w:r>
      <w:r w:rsidR="00AE3C3D">
        <w:rPr>
          <w:rFonts w:cs="Times New Roman"/>
        </w:rPr>
        <w:t>generally agreed that Schedules of Charges were useful to customers but did not support the introduction of a mandatory template for Schedules of Charges.</w:t>
      </w:r>
      <w:r w:rsidR="00F640BA">
        <w:rPr>
          <w:rFonts w:cs="Times New Roman"/>
        </w:rPr>
        <w:t xml:space="preserve"> </w:t>
      </w:r>
      <w:r w:rsidR="0041530C">
        <w:rPr>
          <w:rFonts w:cs="Times New Roman"/>
        </w:rPr>
        <w:t xml:space="preserve">These </w:t>
      </w:r>
      <w:r w:rsidR="00F640BA">
        <w:rPr>
          <w:rFonts w:cs="Times New Roman"/>
        </w:rPr>
        <w:t xml:space="preserve">operators were also </w:t>
      </w:r>
      <w:r w:rsidR="0041530C">
        <w:rPr>
          <w:rFonts w:cs="Times New Roman"/>
        </w:rPr>
        <w:t xml:space="preserve">generally </w:t>
      </w:r>
      <w:r w:rsidR="00F640BA">
        <w:rPr>
          <w:rFonts w:cs="Times New Roman"/>
        </w:rPr>
        <w:t>of the view that their customers are happy with the information they provide.</w:t>
      </w:r>
      <w:r w:rsidR="00AE3C3D">
        <w:rPr>
          <w:rFonts w:cs="Times New Roman"/>
        </w:rPr>
        <w:t xml:space="preserve"> However, feedback from customers and from a water market intermediary indicated that in some cases the information provided by operators is difficult to understand, or that there is insufficient information provided. Several stakeholders participating in the ACCC’s first round of consultation supported transitioning to more </w:t>
      </w:r>
      <w:r w:rsidR="00405CC8">
        <w:rPr>
          <w:rFonts w:cs="Times New Roman"/>
        </w:rPr>
        <w:t xml:space="preserve">consistent use of </w:t>
      </w:r>
      <w:r w:rsidR="00AE3C3D">
        <w:rPr>
          <w:rFonts w:cs="Times New Roman"/>
        </w:rPr>
        <w:t>terminology across the Basin.</w:t>
      </w:r>
      <w:r w:rsidR="00AE3C3D">
        <w:rPr>
          <w:rStyle w:val="FootnoteReference"/>
          <w:rFonts w:cs="Times New Roman"/>
        </w:rPr>
        <w:footnoteReference w:id="286"/>
      </w:r>
    </w:p>
    <w:p w:rsidR="00903932" w:rsidRDefault="00903932" w:rsidP="00903932">
      <w:r>
        <w:t xml:space="preserve">There was a significant but varied response from stakeholders in response to the Draft Advice in relation to the proposed amendments to the rules relating to the information to be included on a </w:t>
      </w:r>
      <w:r w:rsidR="000A44CF">
        <w:t>S</w:t>
      </w:r>
      <w:r>
        <w:t xml:space="preserve">chedule of </w:t>
      </w:r>
      <w:r w:rsidR="000A44CF">
        <w:t>C</w:t>
      </w:r>
      <w:r>
        <w:t xml:space="preserve">harges. </w:t>
      </w:r>
    </w:p>
    <w:p w:rsidR="00903932" w:rsidRDefault="00903932" w:rsidP="00903932">
      <w:r>
        <w:t>Many stakeholders support the proposed amendments and the objective of improving pricing transparency.</w:t>
      </w:r>
      <w:r>
        <w:rPr>
          <w:rStyle w:val="FootnoteReference"/>
        </w:rPr>
        <w:footnoteReference w:id="287"/>
      </w:r>
      <w:r>
        <w:t xml:space="preserve"> The Commonwealth Environmental Water Holder (CEWH) and </w:t>
      </w:r>
      <w:r w:rsidR="00CD0E51">
        <w:t>Goulburn-Murray Water (</w:t>
      </w:r>
      <w:r>
        <w:t>GMW</w:t>
      </w:r>
      <w:r w:rsidR="00CD0E51">
        <w:t>)</w:t>
      </w:r>
      <w:r>
        <w:t xml:space="preserve"> identified that pricing transparency is important for efficient decision-making and / or allocation of resources.</w:t>
      </w:r>
      <w:r w:rsidRPr="00F00765">
        <w:rPr>
          <w:rStyle w:val="FootnoteReference"/>
          <w:rFonts w:cs="Times New Roman"/>
          <w:sz w:val="20"/>
          <w:szCs w:val="20"/>
        </w:rPr>
        <w:footnoteReference w:id="288"/>
      </w:r>
      <w:r>
        <w:t xml:space="preserve"> GMW added that the proposed amendments are consistent with, among other things, GMW’s inten</w:t>
      </w:r>
      <w:r w:rsidR="00AD7D23">
        <w:t>t</w:t>
      </w:r>
      <w:r>
        <w:t xml:space="preserve">ion to improve its </w:t>
      </w:r>
      <w:r w:rsidR="000A44CF">
        <w:t>S</w:t>
      </w:r>
      <w:r>
        <w:t xml:space="preserve">chedule of </w:t>
      </w:r>
      <w:r w:rsidR="000A44CF">
        <w:t>C</w:t>
      </w:r>
      <w:r>
        <w:t>harges.</w:t>
      </w:r>
      <w:r w:rsidRPr="00F00765">
        <w:rPr>
          <w:rStyle w:val="FootnoteReference"/>
          <w:rFonts w:cs="Times New Roman"/>
          <w:sz w:val="20"/>
          <w:szCs w:val="20"/>
        </w:rPr>
        <w:footnoteReference w:id="289"/>
      </w:r>
      <w:r>
        <w:t xml:space="preserve"> The CEWH identified in particular, that the proposed amendments that seek to “clearly identify the purpose for which specific charges are being levied and the circumstances under which those charges will be applied”, support the objective of price transparency.</w:t>
      </w:r>
      <w:r w:rsidRPr="00F00765">
        <w:rPr>
          <w:rStyle w:val="FootnoteReference"/>
          <w:rFonts w:cs="Times New Roman"/>
          <w:sz w:val="20"/>
          <w:szCs w:val="20"/>
        </w:rPr>
        <w:footnoteReference w:id="290"/>
      </w:r>
      <w:r>
        <w:t xml:space="preserve"> The CEWH added that he “recognise[s] the important role that the Water Charge Rules play in providing a framework for determining and transparently communicating relevant water charges…”.</w:t>
      </w:r>
      <w:r w:rsidRPr="00F00765">
        <w:rPr>
          <w:rStyle w:val="FootnoteReference"/>
          <w:rFonts w:cs="Times New Roman"/>
          <w:sz w:val="20"/>
          <w:szCs w:val="20"/>
        </w:rPr>
        <w:footnoteReference w:id="291"/>
      </w:r>
      <w:r>
        <w:t xml:space="preserve"> The Local Government Association of Queensland </w:t>
      </w:r>
      <w:r w:rsidR="008F0D6B">
        <w:t xml:space="preserve">(LGAQ) </w:t>
      </w:r>
      <w:r>
        <w:t>identified that it supports amendments that seek to improve transparency and noted that the requirements under Part 4 of the WCIR have improved pricing transparency in Queensland.</w:t>
      </w:r>
      <w:r w:rsidRPr="00F00765">
        <w:rPr>
          <w:rStyle w:val="FootnoteReference"/>
          <w:rFonts w:cs="Times New Roman"/>
          <w:sz w:val="20"/>
          <w:szCs w:val="20"/>
        </w:rPr>
        <w:footnoteReference w:id="292"/>
      </w:r>
      <w:r>
        <w:t xml:space="preserve"> </w:t>
      </w:r>
    </w:p>
    <w:p w:rsidR="00903932" w:rsidRDefault="00903932" w:rsidP="00903932">
      <w:r>
        <w:t xml:space="preserve">The Victorian Farmers’ Federation (VFF) support </w:t>
      </w:r>
      <w:r w:rsidR="00207A65">
        <w:t>r</w:t>
      </w:r>
      <w:r>
        <w:t xml:space="preserve">ule </w:t>
      </w:r>
      <w:r w:rsidR="00207A65">
        <w:t>a</w:t>
      </w:r>
      <w:r>
        <w:t xml:space="preserve">dvices 5-E and 5-F. The VFF noted that there are differences in charging arrangements between jurisdictions and infrastructure operators. The VFF submitted that </w:t>
      </w:r>
      <w:r w:rsidR="00207A65">
        <w:t>r</w:t>
      </w:r>
      <w:r>
        <w:t xml:space="preserve">ule </w:t>
      </w:r>
      <w:r w:rsidR="00207A65">
        <w:t>a</w:t>
      </w:r>
      <w:r>
        <w:t xml:space="preserve">dvices 5-E and 5-F provide infrastructure operators with the flexibility to modify their </w:t>
      </w:r>
      <w:r w:rsidR="000A44CF">
        <w:t>S</w:t>
      </w:r>
      <w:r>
        <w:t xml:space="preserve">chedule of </w:t>
      </w:r>
      <w:r w:rsidR="000A44CF">
        <w:t>C</w:t>
      </w:r>
      <w:r>
        <w:t xml:space="preserve">harges to suit their charging arrangements while also providing customers with sufficient information. The VFF added that they support a template </w:t>
      </w:r>
      <w:r w:rsidR="000A44CF">
        <w:t>S</w:t>
      </w:r>
      <w:r>
        <w:t xml:space="preserve">chedule of </w:t>
      </w:r>
      <w:r w:rsidR="000A44CF">
        <w:t>C</w:t>
      </w:r>
      <w:r>
        <w:t>harges being developed as a guide to infrastructure operators.</w:t>
      </w:r>
    </w:p>
    <w:p w:rsidR="00903932" w:rsidRDefault="00903932" w:rsidP="00903932">
      <w:r>
        <w:t xml:space="preserve">Other stakeholders expressed concerns about the proposed amendments to the information to be included on a </w:t>
      </w:r>
      <w:r w:rsidR="000A44CF">
        <w:t>S</w:t>
      </w:r>
      <w:r>
        <w:t xml:space="preserve">chedule of </w:t>
      </w:r>
      <w:r w:rsidR="000A44CF">
        <w:t>C</w:t>
      </w:r>
      <w:r>
        <w:t>harges, particularly in relation to the compliance costs. The NIC submitted that the proposed amendments would increase regulatory burden.</w:t>
      </w:r>
      <w:r w:rsidRPr="00F00765">
        <w:rPr>
          <w:rStyle w:val="FootnoteReference"/>
          <w:rFonts w:cs="Times New Roman"/>
          <w:sz w:val="20"/>
          <w:szCs w:val="20"/>
        </w:rPr>
        <w:footnoteReference w:id="293"/>
      </w:r>
      <w:r>
        <w:t xml:space="preserve"> The National Farmers’ Federation (NFF) submitted its view that the benefits of the proposed amendments do not outweigh the costs.</w:t>
      </w:r>
      <w:r w:rsidRPr="00F00765">
        <w:rPr>
          <w:rStyle w:val="FootnoteReference"/>
          <w:sz w:val="20"/>
          <w:szCs w:val="20"/>
        </w:rPr>
        <w:footnoteReference w:id="294"/>
      </w:r>
      <w:r>
        <w:t xml:space="preserve"> The LGAQ submitted that the requirements should not unreasonably and unnecessarily increase costs for infrastructure operators, which are subsequently passed onto customers.</w:t>
      </w:r>
      <w:r w:rsidR="00AD7D23" w:rsidRPr="00700694">
        <w:rPr>
          <w:rStyle w:val="FootnoteReference"/>
          <w:rFonts w:cs="Times New Roman"/>
          <w:sz w:val="20"/>
          <w:szCs w:val="20"/>
        </w:rPr>
        <w:footnoteReference w:id="295"/>
      </w:r>
    </w:p>
    <w:p w:rsidR="00903932" w:rsidRDefault="00903932" w:rsidP="00903932">
      <w:r>
        <w:t xml:space="preserve">Some stakeholders identified the impact of regulatory costs on smaller infrastructure operators. For example, the NFF is concerned about the compliance costs that the proposed amendments will impose on smaller </w:t>
      </w:r>
      <w:r w:rsidR="003F241C">
        <w:t>IIO</w:t>
      </w:r>
      <w:r>
        <w:t>s who do not have business systems that would support the detail</w:t>
      </w:r>
      <w:r w:rsidR="00AD7D23">
        <w:t xml:space="preserve"> they thought would be</w:t>
      </w:r>
      <w:r>
        <w:t xml:space="preserve"> required in the proposed rules.</w:t>
      </w:r>
      <w:r w:rsidRPr="00F00765">
        <w:rPr>
          <w:rStyle w:val="FootnoteReference"/>
          <w:sz w:val="20"/>
          <w:szCs w:val="20"/>
        </w:rPr>
        <w:footnoteReference w:id="296"/>
      </w:r>
      <w:r>
        <w:t xml:space="preserve"> Similarly, the NIC and Western Murray Irrigation</w:t>
      </w:r>
      <w:r w:rsidR="006F0423">
        <w:t xml:space="preserve"> (WMI)</w:t>
      </w:r>
      <w:r>
        <w:t xml:space="preserve"> noted that smaller operators do not benefit (in terms of an offsetting reduction in regulatory costs) from the proposed repeal of the</w:t>
      </w:r>
      <w:r w:rsidR="00CF6842">
        <w:t xml:space="preserve"> NSP</w:t>
      </w:r>
      <w:r>
        <w:t>.</w:t>
      </w:r>
      <w:r>
        <w:rPr>
          <w:rStyle w:val="FootnoteReference"/>
        </w:rPr>
        <w:footnoteReference w:id="297"/>
      </w:r>
      <w:r>
        <w:t xml:space="preserve"> WMI added that the review process “should not seek to trade one cost against a benefit, where the future benefits and current costs are unevenly distributed”.</w:t>
      </w:r>
      <w:r w:rsidRPr="00F00765">
        <w:rPr>
          <w:rStyle w:val="FootnoteReference"/>
          <w:rFonts w:cs="Times New Roman"/>
          <w:sz w:val="20"/>
          <w:szCs w:val="20"/>
        </w:rPr>
        <w:footnoteReference w:id="298"/>
      </w:r>
    </w:p>
    <w:p w:rsidR="00903932" w:rsidRDefault="00903932" w:rsidP="00903932">
      <w:r>
        <w:t>The NIC also commented that the proposed amendments are “more lengthy, detailed and prescriptive”.</w:t>
      </w:r>
      <w:r w:rsidRPr="00F00765">
        <w:rPr>
          <w:rStyle w:val="FootnoteReference"/>
          <w:rFonts w:cs="Times New Roman"/>
          <w:sz w:val="20"/>
          <w:szCs w:val="20"/>
        </w:rPr>
        <w:footnoteReference w:id="299"/>
      </w:r>
      <w:r>
        <w:t xml:space="preserve"> </w:t>
      </w:r>
    </w:p>
    <w:p w:rsidR="00903932" w:rsidRDefault="00903932" w:rsidP="00903932">
      <w:r>
        <w:t>The Queensland Farmers’ Federation</w:t>
      </w:r>
      <w:r w:rsidR="00224A98">
        <w:t xml:space="preserve"> (QFF)</w:t>
      </w:r>
      <w:r>
        <w:t xml:space="preserve"> submitted that the proposed amendments are unnecessary and duplicate the information that SunWater is required to publish on its annual </w:t>
      </w:r>
      <w:r w:rsidR="00CF6842">
        <w:t>NSP</w:t>
      </w:r>
      <w:r>
        <w:t xml:space="preserve"> for its irrigation schemes (the </w:t>
      </w:r>
      <w:r w:rsidR="00CF6842">
        <w:t>NSP</w:t>
      </w:r>
      <w:r>
        <w:t xml:space="preserve"> is </w:t>
      </w:r>
      <w:r w:rsidR="004B025B">
        <w:t xml:space="preserve">prepared </w:t>
      </w:r>
      <w:r>
        <w:t>as part of the Queensland Competition Authority’s</w:t>
      </w:r>
      <w:r w:rsidR="00E45DD9">
        <w:t xml:space="preserve"> (QCA’s)</w:t>
      </w:r>
      <w:r>
        <w:t xml:space="preserve"> recommendation to the Queensland Minister in relation to SunWater’s irrigation charges).</w:t>
      </w:r>
      <w:r w:rsidRPr="00F00765">
        <w:rPr>
          <w:rStyle w:val="FootnoteReference"/>
          <w:rFonts w:cs="Times New Roman"/>
          <w:sz w:val="20"/>
          <w:szCs w:val="20"/>
        </w:rPr>
        <w:footnoteReference w:id="300"/>
      </w:r>
    </w:p>
    <w:p w:rsidR="00903932" w:rsidRPr="00903932" w:rsidRDefault="00903932" w:rsidP="002746AE">
      <w:r>
        <w:t xml:space="preserve">SunWater suggested that there might need to be further amendments to </w:t>
      </w:r>
      <w:r w:rsidR="00207A65">
        <w:t>r</w:t>
      </w:r>
      <w:r>
        <w:t xml:space="preserve">ule </w:t>
      </w:r>
      <w:r w:rsidR="00207A65">
        <w:t>a</w:t>
      </w:r>
      <w:r>
        <w:t xml:space="preserve">dvice 5-E to require infrastructure operators to provide information about </w:t>
      </w:r>
      <w:r w:rsidR="001F1D87">
        <w:t>Community Service Obligations (</w:t>
      </w:r>
      <w:r>
        <w:t>CSOs</w:t>
      </w:r>
      <w:r w:rsidR="001F1D87">
        <w:t>)</w:t>
      </w:r>
      <w:r>
        <w:t xml:space="preserve"> and subsidies, and how these benefit customers in the charges that they pay.</w:t>
      </w:r>
      <w:r w:rsidRPr="00F00765">
        <w:rPr>
          <w:rStyle w:val="FootnoteReference"/>
          <w:rFonts w:cs="Times New Roman"/>
          <w:sz w:val="20"/>
          <w:szCs w:val="20"/>
        </w:rPr>
        <w:footnoteReference w:id="301"/>
      </w:r>
      <w:r>
        <w:t xml:space="preserve"> This suggestion was provided within the context that SunWater’s charging arrangements for irrigation and non-irrigation customers differs due to government policies that cap and subsidise irrigation charges at the lower-bound level of cost recovery (see </w:t>
      </w:r>
      <w:r w:rsidR="00207A65">
        <w:t>s</w:t>
      </w:r>
      <w:r>
        <w:t xml:space="preserve">ection </w:t>
      </w:r>
      <w:r w:rsidR="004B025B">
        <w:t>5.6</w:t>
      </w:r>
      <w:r>
        <w:t xml:space="preserve"> for more detail). SunWater submitted that it recognises that it could improve the format and presentation of the information that it provides to customers about irrigation, non-irrigation and upper-bound prices to better reflect the effect of the Queensland Government’s policy and the amount of the subsidy. SunWater suggested that this could be implemented through the additional amendment to </w:t>
      </w:r>
      <w:r w:rsidR="00207A65">
        <w:t>r</w:t>
      </w:r>
      <w:r>
        <w:t xml:space="preserve">ule </w:t>
      </w:r>
      <w:r w:rsidR="00207A65">
        <w:t>a</w:t>
      </w:r>
      <w:r>
        <w:t>dvice 5-E.</w:t>
      </w:r>
      <w:r w:rsidR="00C6733C">
        <w:t xml:space="preserve"> </w:t>
      </w:r>
    </w:p>
    <w:p w:rsidR="00E63AE0" w:rsidRPr="00D714FC" w:rsidRDefault="0079321E" w:rsidP="000A4709">
      <w:pPr>
        <w:pStyle w:val="Heading4"/>
        <w:keepLines/>
        <w:rPr>
          <w:rFonts w:ascii="Times New Roman" w:hAnsi="Times New Roman" w:cs="Times New Roman"/>
        </w:rPr>
      </w:pPr>
      <w:r>
        <w:t>ACCC assessment</w:t>
      </w:r>
    </w:p>
    <w:p w:rsidR="00903932" w:rsidRPr="00EE0DEB" w:rsidRDefault="00903932" w:rsidP="00D17F9C">
      <w:pPr>
        <w:pStyle w:val="Heading5"/>
      </w:pPr>
      <w:r>
        <w:t>Responses to stakeholder feedback</w:t>
      </w:r>
    </w:p>
    <w:p w:rsidR="00903932" w:rsidRDefault="00903932" w:rsidP="00DA5F2B">
      <w:pPr>
        <w:spacing w:before="120" w:after="0"/>
      </w:pPr>
      <w:r>
        <w:t xml:space="preserve">The ACCC supports stakeholder feedback about the importance of pricing transparency to facilitate informed decisions and the efficient functioning of the water market. The ACCC maintains that the amendments proposed in the Draft Advice regarding the information to be included on a </w:t>
      </w:r>
      <w:r w:rsidR="000A44CF">
        <w:t>S</w:t>
      </w:r>
      <w:r>
        <w:t xml:space="preserve">chedule of </w:t>
      </w:r>
      <w:r w:rsidR="000A44CF">
        <w:t>C</w:t>
      </w:r>
      <w:r>
        <w:t xml:space="preserve">harges will significantly improve </w:t>
      </w:r>
      <w:r w:rsidR="00C912D6">
        <w:t>customers’ ability to understand and compare operators’ charging arrangements</w:t>
      </w:r>
      <w:r>
        <w:t xml:space="preserve">. </w:t>
      </w:r>
    </w:p>
    <w:p w:rsidR="00903932" w:rsidRDefault="0048011C" w:rsidP="00DA5F2B">
      <w:pPr>
        <w:spacing w:before="120" w:after="0"/>
      </w:pPr>
      <w:r>
        <w:t xml:space="preserve">The ACCC notes stakeholder concerns </w:t>
      </w:r>
      <w:r w:rsidR="00903932">
        <w:t xml:space="preserve">that the proposed amendments to the information to be included on a </w:t>
      </w:r>
      <w:r w:rsidR="000A44CF">
        <w:t>S</w:t>
      </w:r>
      <w:r w:rsidR="00903932">
        <w:t xml:space="preserve">chedule of </w:t>
      </w:r>
      <w:r w:rsidR="000A44CF">
        <w:t>C</w:t>
      </w:r>
      <w:r w:rsidR="00903932">
        <w:t>harges will significantly increase compliance costs.</w:t>
      </w:r>
      <w:r>
        <w:t xml:space="preserve"> However, </w:t>
      </w:r>
      <w:r w:rsidR="00903932">
        <w:t xml:space="preserve">the ACCC is of the view that </w:t>
      </w:r>
      <w:r w:rsidR="00CC3E6E">
        <w:t>many of</w:t>
      </w:r>
      <w:r w:rsidR="00903932">
        <w:t xml:space="preserve"> the proposed amendments are not in excess of what operators should currently be providing on their </w:t>
      </w:r>
      <w:r w:rsidR="000A44CF">
        <w:t>S</w:t>
      </w:r>
      <w:r w:rsidR="00903932">
        <w:t xml:space="preserve">chedule of </w:t>
      </w:r>
      <w:r w:rsidR="000A44CF">
        <w:t>C</w:t>
      </w:r>
      <w:r w:rsidR="00903932">
        <w:t xml:space="preserve">harges in accordance with the </w:t>
      </w:r>
      <w:r w:rsidR="00CC3E6E">
        <w:t>current rules</w:t>
      </w:r>
      <w:r w:rsidR="00903932">
        <w:t>.</w:t>
      </w:r>
      <w:r w:rsidR="00903932">
        <w:rPr>
          <w:rStyle w:val="FootnoteReference"/>
        </w:rPr>
        <w:footnoteReference w:id="302"/>
      </w:r>
      <w:r w:rsidR="00903932">
        <w:t xml:space="preserve"> As previously discussed, the issue with the current </w:t>
      </w:r>
      <w:r w:rsidR="00CC3E6E">
        <w:t xml:space="preserve">rules is that they refer generally to a </w:t>
      </w:r>
      <w:r>
        <w:t>‘</w:t>
      </w:r>
      <w:r w:rsidR="005A35D4">
        <w:t>S</w:t>
      </w:r>
      <w:r w:rsidR="00CC3E6E">
        <w:t xml:space="preserve">chedule of </w:t>
      </w:r>
      <w:r w:rsidR="005A35D4">
        <w:t>C</w:t>
      </w:r>
      <w:r w:rsidR="00CC3E6E">
        <w:t>harges</w:t>
      </w:r>
      <w:r>
        <w:t>’</w:t>
      </w:r>
      <w:r w:rsidR="00CC3E6E">
        <w:t xml:space="preserve">, </w:t>
      </w:r>
      <w:r>
        <w:t>which is</w:t>
      </w:r>
      <w:r w:rsidR="00CC3E6E">
        <w:t xml:space="preserve"> a defined term </w:t>
      </w:r>
      <w:r w:rsidR="00903932">
        <w:t>phrased in terms of outcomes</w:t>
      </w:r>
      <w:r w:rsidR="00CC3E6E">
        <w:t>,</w:t>
      </w:r>
      <w:r w:rsidR="00903932">
        <w:t xml:space="preserve"> rather than explicitly stating what information must be provided for the operator to comply with the rule requirements. The ACCC considers that the uncertainty associated with the high-level definition of the </w:t>
      </w:r>
      <w:r w:rsidR="000A44CF">
        <w:t>S</w:t>
      </w:r>
      <w:r w:rsidR="00903932">
        <w:t xml:space="preserve">chedule of </w:t>
      </w:r>
      <w:r w:rsidR="000A44CF">
        <w:t>C</w:t>
      </w:r>
      <w:r w:rsidR="00903932">
        <w:t xml:space="preserve">harges in the existing </w:t>
      </w:r>
      <w:r w:rsidR="00F71555">
        <w:t>rules creates significant</w:t>
      </w:r>
      <w:r w:rsidR="00903932">
        <w:t xml:space="preserve"> </w:t>
      </w:r>
      <w:r w:rsidR="00782E11">
        <w:t>uncertainty for</w:t>
      </w:r>
      <w:r w:rsidR="00903932">
        <w:t xml:space="preserve"> operator</w:t>
      </w:r>
      <w:r w:rsidR="00F71555">
        <w:t>s, as they must</w:t>
      </w:r>
      <w:r w:rsidR="00903932">
        <w:t xml:space="preserve"> interpret what </w:t>
      </w:r>
      <w:r w:rsidR="00F71555">
        <w:t>information m</w:t>
      </w:r>
      <w:r w:rsidR="00903932">
        <w:t xml:space="preserve">ust </w:t>
      </w:r>
      <w:r w:rsidR="00F71555">
        <w:t xml:space="preserve">be </w:t>
      </w:r>
      <w:r w:rsidR="00903932">
        <w:t>include</w:t>
      </w:r>
      <w:r w:rsidR="00F71555">
        <w:t>d</w:t>
      </w:r>
      <w:r w:rsidR="00903932">
        <w:t xml:space="preserve"> on their </w:t>
      </w:r>
      <w:r w:rsidR="000A44CF">
        <w:t>S</w:t>
      </w:r>
      <w:r w:rsidR="00903932">
        <w:t>chedule. The proposed amendments seek to achieve those outcomes (</w:t>
      </w:r>
      <w:r w:rsidR="00F71555">
        <w:t>that is,</w:t>
      </w:r>
      <w:r w:rsidR="00903932">
        <w:t xml:space="preserve"> the intent of the rule </w:t>
      </w:r>
      <w:r w:rsidR="00CC3E6E">
        <w:t xml:space="preserve">largely </w:t>
      </w:r>
      <w:r w:rsidR="00903932">
        <w:t>remains the same)</w:t>
      </w:r>
      <w:r w:rsidR="00F71555">
        <w:t>,</w:t>
      </w:r>
      <w:r w:rsidR="00903932">
        <w:t xml:space="preserve"> but in a manner which imposes less uncertainty on the operator about what information they must provide. </w:t>
      </w:r>
    </w:p>
    <w:p w:rsidR="001C678D" w:rsidRDefault="00D1759A" w:rsidP="00C912D6">
      <w:pPr>
        <w:spacing w:before="120" w:after="120"/>
      </w:pPr>
      <w:r>
        <w:t>T</w:t>
      </w:r>
      <w:r w:rsidR="001C678D">
        <w:t>able</w:t>
      </w:r>
      <w:r>
        <w:t xml:space="preserve"> 5.3</w:t>
      </w:r>
      <w:r w:rsidR="001C678D">
        <w:t xml:space="preserve"> below compares the current WCIR requirements for what a Schedule of Charges must include (in relation to infrastructure charges only, as the WCIR do not relate to planning and management charges). Currently, the content of a Schedule of Charges is specified under </w:t>
      </w:r>
      <w:r w:rsidR="00BB28D3">
        <w:t>r</w:t>
      </w:r>
      <w:r w:rsidR="001C678D">
        <w:t xml:space="preserve">ule 4. The table compares each element of </w:t>
      </w:r>
      <w:r w:rsidR="00BB28D3">
        <w:t>r</w:t>
      </w:r>
      <w:r w:rsidR="001C678D">
        <w:t>ule 4 to the proposed approach.</w:t>
      </w:r>
    </w:p>
    <w:p w:rsidR="001C678D" w:rsidRDefault="001C678D" w:rsidP="001C678D">
      <w:pPr>
        <w:pStyle w:val="Tabletitle"/>
      </w:pPr>
      <w:r>
        <w:t>Table 5.</w:t>
      </w:r>
      <w:r w:rsidR="00D1759A">
        <w:t>3</w:t>
      </w:r>
      <w:r>
        <w:t xml:space="preserve"> Comparison of existing and proposed information to be included on a Schedule of Charges</w:t>
      </w: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98"/>
      </w:tblGrid>
      <w:tr w:rsidR="001C678D" w:rsidRPr="001C678D" w:rsidTr="007A269E">
        <w:trPr>
          <w:cnfStyle w:val="100000000000" w:firstRow="1" w:lastRow="0" w:firstColumn="0" w:lastColumn="0" w:oddVBand="0" w:evenVBand="0" w:oddHBand="0" w:evenHBand="0" w:firstRowFirstColumn="0" w:firstRowLastColumn="0" w:lastRowFirstColumn="0" w:lastRowLastColumn="0"/>
          <w:cantSplit/>
          <w:trHeight w:val="437"/>
          <w:tblHeader/>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678D" w:rsidRPr="004C036D" w:rsidRDefault="001C678D" w:rsidP="004C036D">
            <w:pPr>
              <w:jc w:val="center"/>
              <w:rPr>
                <w:rFonts w:asciiTheme="minorHAnsi" w:hAnsiTheme="minorHAnsi"/>
                <w:sz w:val="20"/>
                <w:szCs w:val="20"/>
              </w:rPr>
            </w:pPr>
            <w:r w:rsidRPr="004C036D">
              <w:rPr>
                <w:rFonts w:asciiTheme="minorHAnsi" w:hAnsiTheme="minorHAnsi"/>
                <w:bCs w:val="0"/>
                <w:sz w:val="20"/>
                <w:szCs w:val="20"/>
              </w:rPr>
              <w:t>Existing WCIR requirements</w:t>
            </w:r>
          </w:p>
        </w:tc>
        <w:tc>
          <w:tcPr>
            <w:tcW w:w="4598" w:type="dxa"/>
            <w:tcBorders>
              <w:top w:val="single" w:sz="4" w:space="0" w:color="auto"/>
              <w:left w:val="single" w:sz="4" w:space="0" w:color="auto"/>
              <w:bottom w:val="single" w:sz="4" w:space="0" w:color="auto"/>
              <w:right w:val="single" w:sz="4" w:space="0" w:color="auto"/>
            </w:tcBorders>
            <w:vAlign w:val="center"/>
          </w:tcPr>
          <w:p w:rsidR="001C678D" w:rsidRPr="004C036D" w:rsidRDefault="001C678D" w:rsidP="004C03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Proposed requirement in the Final Advice</w:t>
            </w:r>
          </w:p>
        </w:tc>
      </w:tr>
      <w:tr w:rsidR="001C678D" w:rsidRPr="001C678D" w:rsidTr="007A26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678D" w:rsidRPr="004C036D" w:rsidRDefault="001C678D" w:rsidP="00CF4703">
            <w:pPr>
              <w:rPr>
                <w:rFonts w:asciiTheme="minorHAnsi" w:hAnsiTheme="minorHAnsi"/>
                <w:b w:val="0"/>
                <w:i/>
                <w:sz w:val="20"/>
                <w:szCs w:val="20"/>
              </w:rPr>
            </w:pPr>
            <w:r w:rsidRPr="004C036D">
              <w:rPr>
                <w:rFonts w:asciiTheme="minorHAnsi" w:hAnsiTheme="minorHAnsi"/>
                <w:b w:val="0"/>
                <w:i/>
                <w:sz w:val="20"/>
                <w:szCs w:val="20"/>
              </w:rPr>
              <w:t>4(a) The schedule of charges must set out all regulated charge</w:t>
            </w:r>
            <w:r w:rsidR="00CF4703">
              <w:rPr>
                <w:rFonts w:asciiTheme="minorHAnsi" w:hAnsiTheme="minorHAnsi"/>
                <w:b w:val="0"/>
                <w:i/>
                <w:sz w:val="20"/>
                <w:szCs w:val="20"/>
              </w:rPr>
              <w:t>s</w:t>
            </w:r>
            <w:r w:rsidRPr="004C036D">
              <w:rPr>
                <w:rStyle w:val="FootnoteReference"/>
                <w:rFonts w:asciiTheme="minorHAnsi" w:hAnsiTheme="minorHAnsi"/>
                <w:b w:val="0"/>
                <w:i/>
                <w:sz w:val="20"/>
                <w:szCs w:val="20"/>
              </w:rPr>
              <w:footnoteReference w:id="303"/>
            </w:r>
            <w:r w:rsidRPr="004C036D">
              <w:rPr>
                <w:rFonts w:asciiTheme="minorHAnsi" w:hAnsiTheme="minorHAnsi"/>
                <w:b w:val="0"/>
                <w:i/>
                <w:sz w:val="20"/>
                <w:szCs w:val="20"/>
              </w:rPr>
              <w:t xml:space="preserve"> that the operator may levy in respect of an infrastructure service provided by the operator</w:t>
            </w:r>
          </w:p>
        </w:tc>
        <w:tc>
          <w:tcPr>
            <w:tcW w:w="4598" w:type="dxa"/>
            <w:tcBorders>
              <w:top w:val="single" w:sz="4" w:space="0" w:color="auto"/>
              <w:left w:val="single" w:sz="4" w:space="0" w:color="auto"/>
              <w:bottom w:val="single" w:sz="4" w:space="0" w:color="auto"/>
              <w:right w:val="single" w:sz="4" w:space="0" w:color="auto"/>
            </w:tcBorders>
            <w:shd w:val="clear" w:color="auto" w:fill="auto"/>
          </w:tcPr>
          <w:p w:rsidR="001C678D" w:rsidRPr="004C036D" w:rsidRDefault="001C678D"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036D">
              <w:rPr>
                <w:rFonts w:asciiTheme="minorHAnsi" w:hAnsiTheme="minorHAnsi"/>
                <w:b/>
                <w:i/>
                <w:sz w:val="20"/>
                <w:szCs w:val="20"/>
              </w:rPr>
              <w:t>Retained</w:t>
            </w:r>
            <w:r w:rsidRPr="004C036D">
              <w:rPr>
                <w:rFonts w:asciiTheme="minorHAnsi" w:hAnsiTheme="minorHAnsi"/>
                <w:i/>
                <w:sz w:val="20"/>
                <w:szCs w:val="20"/>
              </w:rPr>
              <w:t xml:space="preserve"> via </w:t>
            </w:r>
            <w:r w:rsidRPr="004C036D">
              <w:rPr>
                <w:rFonts w:asciiTheme="minorHAnsi" w:hAnsiTheme="minorHAnsi"/>
                <w:sz w:val="20"/>
                <w:szCs w:val="20"/>
              </w:rPr>
              <w:t>requirements in rule 12, which requires that, “for each” infrastructure charge of the operator, the Schedule of Charges must include the name of the charge and other details (described below in this table)</w:t>
            </w:r>
          </w:p>
        </w:tc>
      </w:tr>
      <w:tr w:rsidR="001C678D" w:rsidRPr="001C678D" w:rsidTr="007A269E">
        <w:trPr>
          <w:cantSplit/>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nil"/>
              <w:right w:val="single" w:sz="4" w:space="0" w:color="auto"/>
            </w:tcBorders>
            <w:shd w:val="clear" w:color="auto" w:fill="D9D9D9" w:themeFill="background1" w:themeFillShade="D9"/>
          </w:tcPr>
          <w:p w:rsidR="001C678D" w:rsidRPr="004C036D" w:rsidRDefault="001C678D" w:rsidP="004C036D">
            <w:pPr>
              <w:rPr>
                <w:rFonts w:asciiTheme="minorHAnsi" w:hAnsiTheme="minorHAnsi"/>
                <w:bCs w:val="0"/>
                <w:i/>
                <w:sz w:val="20"/>
                <w:szCs w:val="20"/>
              </w:rPr>
            </w:pPr>
            <w:r w:rsidRPr="004C036D">
              <w:rPr>
                <w:rFonts w:asciiTheme="minorHAnsi" w:hAnsiTheme="minorHAnsi"/>
                <w:b w:val="0"/>
                <w:i/>
                <w:sz w:val="20"/>
                <w:szCs w:val="20"/>
              </w:rPr>
              <w:t>4(b) includes details of the regulated charges sufficient to enable a customer of the infrastructure operator to determine the customer’s liability under the regulated charges in respect of a period during which the customer receives, or is entitled to receive, infrastructure services from the infrastructure operator.</w:t>
            </w:r>
          </w:p>
          <w:p w:rsidR="001C678D" w:rsidRPr="004C036D" w:rsidRDefault="001C678D" w:rsidP="004C036D">
            <w:pPr>
              <w:rPr>
                <w:rFonts w:asciiTheme="minorHAnsi" w:hAnsiTheme="minorHAnsi"/>
                <w:b w:val="0"/>
                <w:sz w:val="20"/>
                <w:szCs w:val="20"/>
              </w:rPr>
            </w:pPr>
            <w:r w:rsidRPr="004C036D">
              <w:rPr>
                <w:rFonts w:asciiTheme="minorHAnsi" w:hAnsiTheme="minorHAnsi"/>
                <w:b w:val="0"/>
                <w:sz w:val="20"/>
                <w:szCs w:val="20"/>
              </w:rPr>
              <w:t>The ACCC has provided the following detailed guidance</w:t>
            </w:r>
            <w:r w:rsidRPr="004C036D">
              <w:rPr>
                <w:rStyle w:val="FootnoteReference"/>
                <w:rFonts w:asciiTheme="minorHAnsi" w:hAnsiTheme="minorHAnsi"/>
                <w:b w:val="0"/>
                <w:sz w:val="20"/>
                <w:szCs w:val="20"/>
              </w:rPr>
              <w:footnoteReference w:id="304"/>
            </w:r>
            <w:r w:rsidRPr="004C036D">
              <w:rPr>
                <w:rFonts w:asciiTheme="minorHAnsi" w:hAnsiTheme="minorHAnsi"/>
                <w:b w:val="0"/>
                <w:sz w:val="20"/>
                <w:szCs w:val="20"/>
              </w:rPr>
              <w:t xml:space="preserve"> on what would be needed to ensure this requirement is satisfied:</w:t>
            </w:r>
          </w:p>
          <w:p w:rsidR="001C678D" w:rsidRPr="004C036D" w:rsidRDefault="001C678D" w:rsidP="004C036D">
            <w:pPr>
              <w:autoSpaceDE w:val="0"/>
              <w:autoSpaceDN w:val="0"/>
              <w:adjustRightInd w:val="0"/>
              <w:rPr>
                <w:rFonts w:asciiTheme="minorHAnsi" w:hAnsiTheme="minorHAnsi"/>
                <w:b w:val="0"/>
                <w:sz w:val="20"/>
                <w:szCs w:val="20"/>
              </w:rPr>
            </w:pPr>
            <w:r w:rsidRPr="004C036D">
              <w:rPr>
                <w:rFonts w:asciiTheme="minorHAnsi" w:hAnsiTheme="minorHAnsi" w:cs="Times New Roman"/>
                <w:b w:val="0"/>
                <w:sz w:val="20"/>
                <w:szCs w:val="20"/>
              </w:rPr>
              <w:t xml:space="preserve">“In order to enable customers to determine their liability with respect to regulated charges, a schedule of charges must specify details of the type of infrastructure services provided by the operator. Such details must include the breakdown of associated regulated charges in accordance to the pricing policy used to levy these charges. </w:t>
            </w:r>
          </w:p>
        </w:tc>
        <w:tc>
          <w:tcPr>
            <w:tcW w:w="4598" w:type="dxa"/>
            <w:tcBorders>
              <w:top w:val="single" w:sz="4" w:space="0" w:color="auto"/>
              <w:left w:val="single" w:sz="4" w:space="0" w:color="auto"/>
              <w:bottom w:val="nil"/>
              <w:right w:val="single" w:sz="4" w:space="0" w:color="auto"/>
            </w:tcBorders>
            <w:shd w:val="clear" w:color="auto" w:fill="auto"/>
          </w:tcPr>
          <w:p w:rsidR="001C678D" w:rsidRPr="004C036D" w:rsidRDefault="001C678D" w:rsidP="004C036D">
            <w:pPr>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rPr>
            </w:pPr>
            <w:r w:rsidRPr="004C036D">
              <w:rPr>
                <w:rFonts w:asciiTheme="minorHAnsi" w:hAnsiTheme="minorHAnsi"/>
                <w:b/>
                <w:i/>
                <w:sz w:val="20"/>
                <w:szCs w:val="20"/>
              </w:rPr>
              <w:t>Retained</w:t>
            </w:r>
            <w:r w:rsidRPr="004C036D">
              <w:rPr>
                <w:rFonts w:asciiTheme="minorHAnsi" w:hAnsiTheme="minorHAnsi"/>
                <w:i/>
                <w:sz w:val="20"/>
                <w:szCs w:val="20"/>
              </w:rPr>
              <w:t xml:space="preserve"> </w:t>
            </w:r>
            <w:r w:rsidRPr="004C036D">
              <w:rPr>
                <w:rFonts w:asciiTheme="minorHAnsi" w:hAnsiTheme="minorHAnsi"/>
                <w:sz w:val="20"/>
                <w:szCs w:val="20"/>
              </w:rPr>
              <w:t>via a requirement for the Schedule to provide a description of the infrastructure service to which each charge relates.</w:t>
            </w:r>
            <w:r w:rsidRPr="004C036D">
              <w:rPr>
                <w:rFonts w:asciiTheme="minorHAnsi" w:hAnsiTheme="minorHAnsi"/>
                <w:b/>
                <w:i/>
                <w:sz w:val="20"/>
                <w:szCs w:val="20"/>
              </w:rPr>
              <w:t xml:space="preserve"> </w:t>
            </w:r>
          </w:p>
          <w:p w:rsidR="001C678D" w:rsidRPr="004C036D" w:rsidRDefault="001C678D" w:rsidP="00E2224E">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rPr>
            </w:pPr>
            <w:r w:rsidRPr="004C036D">
              <w:rPr>
                <w:rFonts w:asciiTheme="minorHAnsi" w:hAnsiTheme="minorHAnsi"/>
                <w:b/>
                <w:i/>
                <w:sz w:val="20"/>
                <w:szCs w:val="20"/>
              </w:rPr>
              <w:t>Added</w:t>
            </w:r>
            <w:r w:rsidRPr="004C036D">
              <w:rPr>
                <w:rFonts w:asciiTheme="minorHAnsi" w:hAnsiTheme="minorHAnsi"/>
                <w:b/>
                <w:sz w:val="20"/>
                <w:szCs w:val="20"/>
              </w:rPr>
              <w:t xml:space="preserve"> </w:t>
            </w:r>
            <w:r w:rsidRPr="004C036D">
              <w:rPr>
                <w:rFonts w:asciiTheme="minorHAnsi" w:hAnsiTheme="minorHAnsi"/>
                <w:sz w:val="20"/>
                <w:szCs w:val="20"/>
              </w:rPr>
              <w:t xml:space="preserve">a clear requirement for operators to set out the date that the </w:t>
            </w:r>
            <w:r w:rsidR="005A35D4">
              <w:rPr>
                <w:rFonts w:asciiTheme="minorHAnsi" w:hAnsiTheme="minorHAnsi"/>
                <w:sz w:val="20"/>
                <w:szCs w:val="20"/>
              </w:rPr>
              <w:t>S</w:t>
            </w:r>
            <w:r w:rsidRPr="004C036D">
              <w:rPr>
                <w:rFonts w:asciiTheme="minorHAnsi" w:hAnsiTheme="minorHAnsi"/>
                <w:sz w:val="20"/>
                <w:szCs w:val="20"/>
              </w:rPr>
              <w:t xml:space="preserve">chedule of </w:t>
            </w:r>
            <w:r w:rsidR="005A35D4">
              <w:rPr>
                <w:rFonts w:asciiTheme="minorHAnsi" w:hAnsiTheme="minorHAnsi"/>
                <w:sz w:val="20"/>
                <w:szCs w:val="20"/>
              </w:rPr>
              <w:t>C</w:t>
            </w:r>
            <w:r w:rsidRPr="004C036D">
              <w:rPr>
                <w:rFonts w:asciiTheme="minorHAnsi" w:hAnsiTheme="minorHAnsi"/>
                <w:sz w:val="20"/>
                <w:szCs w:val="20"/>
              </w:rPr>
              <w:t>harges</w:t>
            </w:r>
            <w:r w:rsidR="00E2224E">
              <w:rPr>
                <w:rFonts w:asciiTheme="minorHAnsi" w:hAnsiTheme="minorHAnsi"/>
                <w:sz w:val="20"/>
                <w:szCs w:val="20"/>
              </w:rPr>
              <w:t xml:space="preserve"> </w:t>
            </w:r>
            <w:r w:rsidRPr="004C036D">
              <w:rPr>
                <w:rFonts w:asciiTheme="minorHAnsi" w:hAnsiTheme="minorHAnsi"/>
                <w:sz w:val="20"/>
                <w:szCs w:val="20"/>
              </w:rPr>
              <w:t>takes effect</w:t>
            </w:r>
            <w:r w:rsidR="00E2224E">
              <w:rPr>
                <w:rFonts w:asciiTheme="minorHAnsi" w:hAnsiTheme="minorHAnsi"/>
                <w:sz w:val="20"/>
                <w:szCs w:val="20"/>
              </w:rPr>
              <w:t xml:space="preserve"> (or the date that individual charges are in effect, if that period is different to the period that the Schedule of Charges is in effect)</w:t>
            </w:r>
            <w:r w:rsidRPr="004C036D">
              <w:rPr>
                <w:rFonts w:asciiTheme="minorHAnsi" w:hAnsiTheme="minorHAnsi"/>
                <w:sz w:val="20"/>
                <w:szCs w:val="20"/>
              </w:rPr>
              <w:t>.</w:t>
            </w:r>
          </w:p>
        </w:tc>
      </w:tr>
      <w:tr w:rsidR="001C678D" w:rsidRPr="001C678D" w:rsidTr="006A397F">
        <w:trPr>
          <w:cnfStyle w:val="000000100000" w:firstRow="0" w:lastRow="0" w:firstColumn="0" w:lastColumn="0" w:oddVBand="0" w:evenVBand="0" w:oddHBand="1" w:evenHBand="0" w:firstRowFirstColumn="0" w:firstRowLastColumn="0" w:lastRowFirstColumn="0" w:lastRowLastColumn="0"/>
          <w:cantSplit/>
          <w:trHeight w:val="8003"/>
        </w:trPr>
        <w:tc>
          <w:tcPr>
            <w:cnfStyle w:val="001000000000" w:firstRow="0" w:lastRow="0" w:firstColumn="1" w:lastColumn="0" w:oddVBand="0" w:evenVBand="0" w:oddHBand="0" w:evenHBand="0" w:firstRowFirstColumn="0" w:firstRowLastColumn="0" w:lastRowFirstColumn="0" w:lastRowLastColumn="0"/>
            <w:tcW w:w="4644" w:type="dxa"/>
            <w:tcBorders>
              <w:top w:val="nil"/>
              <w:left w:val="single" w:sz="4" w:space="0" w:color="auto"/>
              <w:bottom w:val="nil"/>
              <w:right w:val="single" w:sz="4" w:space="0" w:color="auto"/>
            </w:tcBorders>
            <w:shd w:val="clear" w:color="auto" w:fill="D9D9D9" w:themeFill="background1" w:themeFillShade="D9"/>
          </w:tcPr>
          <w:p w:rsidR="001C678D" w:rsidRPr="004C036D" w:rsidRDefault="001C678D" w:rsidP="004C036D">
            <w:pPr>
              <w:autoSpaceDE w:val="0"/>
              <w:autoSpaceDN w:val="0"/>
              <w:adjustRightInd w:val="0"/>
              <w:rPr>
                <w:rFonts w:asciiTheme="minorHAnsi" w:hAnsiTheme="minorHAnsi" w:cs="Times New Roman"/>
                <w:b w:val="0"/>
                <w:sz w:val="20"/>
                <w:szCs w:val="20"/>
              </w:rPr>
            </w:pPr>
            <w:r w:rsidRPr="004C036D">
              <w:rPr>
                <w:rFonts w:asciiTheme="minorHAnsi" w:hAnsiTheme="minorHAnsi" w:cs="Times New Roman"/>
                <w:b w:val="0"/>
                <w:sz w:val="20"/>
                <w:szCs w:val="20"/>
              </w:rPr>
              <w:t>For each infrastructure service provided, the schedule of charges should specify:</w:t>
            </w:r>
          </w:p>
          <w:p w:rsidR="001C678D" w:rsidRPr="004C036D" w:rsidRDefault="001C678D" w:rsidP="004C036D">
            <w:pPr>
              <w:pStyle w:val="Bulletpoint"/>
              <w:numPr>
                <w:ilvl w:val="0"/>
                <w:numId w:val="3"/>
              </w:numPr>
              <w:spacing w:before="0"/>
              <w:ind w:left="340" w:hanging="340"/>
              <w:rPr>
                <w:rFonts w:asciiTheme="minorHAnsi" w:hAnsiTheme="minorHAnsi"/>
                <w:b w:val="0"/>
                <w:sz w:val="20"/>
                <w:szCs w:val="20"/>
              </w:rPr>
            </w:pPr>
            <w:r w:rsidRPr="004C036D">
              <w:rPr>
                <w:rFonts w:asciiTheme="minorHAnsi" w:hAnsiTheme="minorHAnsi"/>
                <w:b w:val="0"/>
                <w:sz w:val="20"/>
                <w:szCs w:val="20"/>
              </w:rPr>
              <w:t>the fixed and variable components of multi-part tariffs, including the basis of the charge—e.g. ML of entitlement, hectares, number or type of outlets</w:t>
            </w:r>
          </w:p>
          <w:p w:rsidR="001C678D" w:rsidRPr="004C036D" w:rsidRDefault="001C678D" w:rsidP="004C036D">
            <w:pPr>
              <w:pStyle w:val="Bulletpoint"/>
              <w:numPr>
                <w:ilvl w:val="0"/>
                <w:numId w:val="3"/>
              </w:numPr>
              <w:spacing w:before="0"/>
              <w:ind w:left="340" w:hanging="340"/>
              <w:rPr>
                <w:rFonts w:asciiTheme="minorHAnsi" w:hAnsiTheme="minorHAnsi"/>
                <w:b w:val="0"/>
                <w:sz w:val="20"/>
                <w:szCs w:val="20"/>
              </w:rPr>
            </w:pPr>
            <w:r w:rsidRPr="004C036D">
              <w:rPr>
                <w:rFonts w:asciiTheme="minorHAnsi" w:hAnsiTheme="minorHAnsi"/>
                <w:b w:val="0"/>
                <w:sz w:val="20"/>
                <w:szCs w:val="20"/>
              </w:rPr>
              <w:t>inclining block tariffs, if used—e.g. flat charge for entitlements up to a fixed minimum</w:t>
            </w:r>
          </w:p>
          <w:p w:rsidR="001C678D" w:rsidRPr="004C036D" w:rsidRDefault="001C678D" w:rsidP="004C036D">
            <w:pPr>
              <w:pStyle w:val="Bulletpoint"/>
              <w:numPr>
                <w:ilvl w:val="0"/>
                <w:numId w:val="3"/>
              </w:numPr>
              <w:spacing w:before="0"/>
              <w:ind w:left="340" w:hanging="340"/>
              <w:rPr>
                <w:rFonts w:asciiTheme="minorHAnsi" w:hAnsiTheme="minorHAnsi"/>
                <w:b w:val="0"/>
                <w:sz w:val="20"/>
                <w:szCs w:val="20"/>
              </w:rPr>
            </w:pPr>
            <w:r w:rsidRPr="004C036D">
              <w:rPr>
                <w:rFonts w:asciiTheme="minorHAnsi" w:hAnsiTheme="minorHAnsi"/>
                <w:b w:val="0"/>
                <w:sz w:val="20"/>
                <w:szCs w:val="20"/>
              </w:rPr>
              <w:t>casual use charges and the basis on which they are levied</w:t>
            </w:r>
          </w:p>
          <w:p w:rsidR="001C678D" w:rsidRPr="004C036D" w:rsidRDefault="001C678D" w:rsidP="004C036D">
            <w:pPr>
              <w:rPr>
                <w:rFonts w:asciiTheme="minorHAnsi" w:hAnsiTheme="minorHAnsi"/>
                <w:sz w:val="20"/>
                <w:szCs w:val="20"/>
              </w:rPr>
            </w:pPr>
          </w:p>
        </w:tc>
        <w:tc>
          <w:tcPr>
            <w:tcW w:w="4598" w:type="dxa"/>
            <w:tcBorders>
              <w:top w:val="nil"/>
              <w:left w:val="single" w:sz="4" w:space="0" w:color="auto"/>
              <w:bottom w:val="nil"/>
              <w:right w:val="single" w:sz="4" w:space="0" w:color="auto"/>
            </w:tcBorders>
            <w:shd w:val="clear" w:color="auto" w:fill="auto"/>
          </w:tcPr>
          <w:p w:rsidR="001C678D" w:rsidRPr="004C036D" w:rsidRDefault="001C678D"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rPr>
            </w:pPr>
            <w:r w:rsidRPr="004C036D">
              <w:rPr>
                <w:rFonts w:asciiTheme="minorHAnsi" w:hAnsiTheme="minorHAnsi"/>
                <w:b/>
                <w:i/>
                <w:sz w:val="20"/>
                <w:szCs w:val="20"/>
              </w:rPr>
              <w:t xml:space="preserve">Retained </w:t>
            </w:r>
            <w:r w:rsidRPr="004C036D">
              <w:rPr>
                <w:rFonts w:asciiTheme="minorHAnsi" w:hAnsiTheme="minorHAnsi"/>
                <w:sz w:val="20"/>
                <w:szCs w:val="20"/>
              </w:rPr>
              <w:t>via a requirement that the Schedule must include the amount of each charge or details of rates and all other details necessary to determine that amount.</w:t>
            </w:r>
            <w:r w:rsidRPr="004C036D">
              <w:rPr>
                <w:rFonts w:asciiTheme="minorHAnsi" w:hAnsiTheme="minorHAnsi"/>
                <w:i/>
                <w:sz w:val="20"/>
                <w:szCs w:val="20"/>
              </w:rPr>
              <w:t xml:space="preserve"> </w:t>
            </w:r>
          </w:p>
          <w:p w:rsidR="001C678D" w:rsidRPr="004C036D" w:rsidRDefault="001C678D" w:rsidP="004F6BD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036D">
              <w:rPr>
                <w:rFonts w:asciiTheme="minorHAnsi" w:hAnsiTheme="minorHAnsi"/>
                <w:b/>
                <w:i/>
                <w:sz w:val="20"/>
                <w:szCs w:val="20"/>
              </w:rPr>
              <w:t>Expressly added</w:t>
            </w:r>
            <w:r w:rsidRPr="004C036D">
              <w:rPr>
                <w:rFonts w:asciiTheme="minorHAnsi" w:hAnsiTheme="minorHAnsi"/>
                <w:b/>
                <w:sz w:val="20"/>
                <w:szCs w:val="20"/>
              </w:rPr>
              <w:t xml:space="preserve"> </w:t>
            </w:r>
            <w:r w:rsidRPr="004C036D">
              <w:rPr>
                <w:rFonts w:asciiTheme="minorHAnsi" w:hAnsiTheme="minorHAnsi"/>
                <w:sz w:val="20"/>
                <w:szCs w:val="20"/>
              </w:rPr>
              <w:t xml:space="preserve">a requirement for operators to set out when the charge is payable, and if payable by instalments, the number of instalments and intervals at which the charge is payable. (Note: if all charges are payable at the same date, then only one statement needs to be included on the </w:t>
            </w:r>
            <w:r w:rsidR="00B1638F">
              <w:rPr>
                <w:rFonts w:asciiTheme="minorHAnsi" w:hAnsiTheme="minorHAnsi"/>
                <w:sz w:val="20"/>
                <w:szCs w:val="20"/>
              </w:rPr>
              <w:t>S</w:t>
            </w:r>
            <w:r w:rsidRPr="004C036D">
              <w:rPr>
                <w:rFonts w:asciiTheme="minorHAnsi" w:hAnsiTheme="minorHAnsi"/>
                <w:sz w:val="20"/>
                <w:szCs w:val="20"/>
              </w:rPr>
              <w:t xml:space="preserve">chedule of </w:t>
            </w:r>
            <w:r w:rsidR="00B1638F">
              <w:rPr>
                <w:rFonts w:asciiTheme="minorHAnsi" w:hAnsiTheme="minorHAnsi"/>
                <w:sz w:val="20"/>
                <w:szCs w:val="20"/>
              </w:rPr>
              <w:t>C</w:t>
            </w:r>
            <w:r w:rsidRPr="004C036D">
              <w:rPr>
                <w:rFonts w:asciiTheme="minorHAnsi" w:hAnsiTheme="minorHAnsi"/>
                <w:sz w:val="20"/>
                <w:szCs w:val="20"/>
              </w:rPr>
              <w:t>harges).</w:t>
            </w:r>
          </w:p>
        </w:tc>
      </w:tr>
      <w:tr w:rsidR="001C678D" w:rsidRPr="001C678D" w:rsidTr="007A269E">
        <w:trPr>
          <w:cantSplit/>
          <w:trHeight w:val="51"/>
        </w:trPr>
        <w:tc>
          <w:tcPr>
            <w:cnfStyle w:val="001000000000" w:firstRow="0" w:lastRow="0" w:firstColumn="1" w:lastColumn="0" w:oddVBand="0" w:evenVBand="0" w:oddHBand="0" w:evenHBand="0" w:firstRowFirstColumn="0" w:firstRowLastColumn="0" w:lastRowFirstColumn="0" w:lastRowLastColumn="0"/>
            <w:tcW w:w="4644" w:type="dxa"/>
            <w:tcBorders>
              <w:top w:val="nil"/>
              <w:left w:val="single" w:sz="4" w:space="0" w:color="auto"/>
              <w:bottom w:val="single" w:sz="4" w:space="0" w:color="auto"/>
              <w:right w:val="single" w:sz="4" w:space="0" w:color="auto"/>
            </w:tcBorders>
            <w:shd w:val="clear" w:color="auto" w:fill="D9D9D9" w:themeFill="background1" w:themeFillShade="D9"/>
          </w:tcPr>
          <w:p w:rsidR="001C678D" w:rsidRPr="004C036D" w:rsidRDefault="001C678D" w:rsidP="0082647F">
            <w:pPr>
              <w:autoSpaceDE w:val="0"/>
              <w:autoSpaceDN w:val="0"/>
              <w:adjustRightInd w:val="0"/>
              <w:rPr>
                <w:rFonts w:asciiTheme="minorHAnsi" w:hAnsiTheme="minorHAnsi" w:cs="Times New Roman"/>
                <w:b w:val="0"/>
                <w:sz w:val="20"/>
                <w:szCs w:val="20"/>
              </w:rPr>
            </w:pPr>
            <w:r w:rsidRPr="004C036D">
              <w:rPr>
                <w:rFonts w:asciiTheme="minorHAnsi" w:hAnsiTheme="minorHAnsi" w:cs="Times New Roman"/>
                <w:b w:val="0"/>
                <w:sz w:val="20"/>
                <w:szCs w:val="20"/>
              </w:rPr>
              <w:t>[Details on regulated charges] may be broken down by:</w:t>
            </w:r>
          </w:p>
          <w:p w:rsidR="001C678D" w:rsidRPr="004C036D" w:rsidRDefault="001C678D" w:rsidP="0082647F">
            <w:pPr>
              <w:pStyle w:val="Bulletpoint"/>
              <w:numPr>
                <w:ilvl w:val="0"/>
                <w:numId w:val="3"/>
              </w:numPr>
              <w:spacing w:before="0"/>
              <w:rPr>
                <w:rFonts w:asciiTheme="minorHAnsi" w:hAnsiTheme="minorHAnsi"/>
                <w:b w:val="0"/>
                <w:sz w:val="20"/>
                <w:szCs w:val="20"/>
              </w:rPr>
            </w:pPr>
            <w:r w:rsidRPr="004C036D">
              <w:rPr>
                <w:rFonts w:asciiTheme="minorHAnsi" w:hAnsiTheme="minorHAnsi"/>
                <w:b w:val="0"/>
                <w:sz w:val="20"/>
                <w:szCs w:val="20"/>
              </w:rPr>
              <w:t>geographical areas (e.g. valley or district)</w:t>
            </w:r>
          </w:p>
          <w:p w:rsidR="001C678D" w:rsidRPr="004C036D" w:rsidRDefault="001C678D" w:rsidP="0082647F">
            <w:pPr>
              <w:pStyle w:val="Bulletpoint"/>
              <w:numPr>
                <w:ilvl w:val="0"/>
                <w:numId w:val="3"/>
              </w:numPr>
              <w:spacing w:before="0"/>
              <w:rPr>
                <w:rFonts w:asciiTheme="minorHAnsi" w:hAnsiTheme="minorHAnsi"/>
                <w:b w:val="0"/>
                <w:sz w:val="20"/>
                <w:szCs w:val="20"/>
              </w:rPr>
            </w:pPr>
            <w:r w:rsidRPr="004C036D">
              <w:rPr>
                <w:rFonts w:asciiTheme="minorHAnsi" w:hAnsiTheme="minorHAnsi"/>
                <w:b w:val="0"/>
                <w:sz w:val="20"/>
                <w:szCs w:val="20"/>
              </w:rPr>
              <w:t>infrastructure type (gravity fed channels or piped and pumped)</w:t>
            </w:r>
          </w:p>
          <w:p w:rsidR="001C678D" w:rsidRPr="004C036D" w:rsidRDefault="001C678D" w:rsidP="0082647F">
            <w:pPr>
              <w:pStyle w:val="Bulletpoint"/>
              <w:numPr>
                <w:ilvl w:val="0"/>
                <w:numId w:val="3"/>
              </w:numPr>
              <w:spacing w:before="0"/>
              <w:rPr>
                <w:rFonts w:asciiTheme="minorHAnsi" w:hAnsiTheme="minorHAnsi"/>
                <w:b w:val="0"/>
                <w:sz w:val="20"/>
                <w:szCs w:val="20"/>
              </w:rPr>
            </w:pPr>
            <w:r w:rsidRPr="004C036D">
              <w:rPr>
                <w:rFonts w:asciiTheme="minorHAnsi" w:hAnsiTheme="minorHAnsi"/>
                <w:b w:val="0"/>
                <w:sz w:val="20"/>
                <w:szCs w:val="20"/>
              </w:rPr>
              <w:t>water quality (premium or standard; stock and domestic or irrigation).</w:t>
            </w:r>
          </w:p>
          <w:p w:rsidR="001C678D" w:rsidRPr="004C036D" w:rsidRDefault="001C678D" w:rsidP="0082647F">
            <w:pPr>
              <w:pStyle w:val="Bulletpoint"/>
              <w:numPr>
                <w:ilvl w:val="0"/>
                <w:numId w:val="3"/>
              </w:numPr>
              <w:spacing w:before="0"/>
              <w:ind w:left="340" w:hanging="340"/>
              <w:rPr>
                <w:rFonts w:asciiTheme="minorHAnsi" w:hAnsiTheme="minorHAnsi"/>
                <w:b w:val="0"/>
                <w:sz w:val="20"/>
                <w:szCs w:val="20"/>
              </w:rPr>
            </w:pPr>
            <w:r w:rsidRPr="004C036D">
              <w:rPr>
                <w:rFonts w:asciiTheme="minorHAnsi" w:hAnsiTheme="minorHAnsi"/>
                <w:b w:val="0"/>
                <w:sz w:val="20"/>
                <w:szCs w:val="20"/>
              </w:rPr>
              <w:t>charges for market segments where different rates apply to:</w:t>
            </w:r>
          </w:p>
          <w:p w:rsidR="001C678D" w:rsidRPr="004C036D" w:rsidRDefault="001C678D" w:rsidP="00F43856">
            <w:pPr>
              <w:pStyle w:val="Bulletpoint"/>
              <w:numPr>
                <w:ilvl w:val="1"/>
                <w:numId w:val="83"/>
              </w:numPr>
              <w:spacing w:before="0"/>
              <w:rPr>
                <w:rFonts w:asciiTheme="minorHAnsi" w:hAnsiTheme="minorHAnsi"/>
                <w:b w:val="0"/>
                <w:sz w:val="20"/>
                <w:szCs w:val="20"/>
              </w:rPr>
            </w:pPr>
            <w:r w:rsidRPr="004C036D">
              <w:rPr>
                <w:rFonts w:asciiTheme="minorHAnsi" w:hAnsiTheme="minorHAnsi"/>
                <w:b w:val="0"/>
                <w:sz w:val="20"/>
                <w:szCs w:val="20"/>
              </w:rPr>
              <w:t>different geographical regions—e.g. valley/district</w:t>
            </w:r>
          </w:p>
          <w:p w:rsidR="001C678D" w:rsidRPr="004C036D" w:rsidRDefault="001C678D" w:rsidP="00F43856">
            <w:pPr>
              <w:pStyle w:val="Bulletpoint"/>
              <w:numPr>
                <w:ilvl w:val="1"/>
                <w:numId w:val="83"/>
              </w:numPr>
              <w:spacing w:before="0"/>
              <w:rPr>
                <w:rFonts w:asciiTheme="minorHAnsi" w:hAnsiTheme="minorHAnsi"/>
                <w:b w:val="0"/>
                <w:sz w:val="20"/>
                <w:szCs w:val="20"/>
              </w:rPr>
            </w:pPr>
            <w:r w:rsidRPr="004C036D">
              <w:rPr>
                <w:rFonts w:asciiTheme="minorHAnsi" w:hAnsiTheme="minorHAnsi"/>
                <w:b w:val="0"/>
                <w:sz w:val="20"/>
                <w:szCs w:val="20"/>
              </w:rPr>
              <w:t>segmentation by type of water right—e.g. stock and</w:t>
            </w:r>
          </w:p>
          <w:p w:rsidR="001C678D" w:rsidRPr="004C036D" w:rsidRDefault="001C678D" w:rsidP="00F43856">
            <w:pPr>
              <w:pStyle w:val="Bulletpoint"/>
              <w:numPr>
                <w:ilvl w:val="1"/>
                <w:numId w:val="83"/>
              </w:numPr>
              <w:spacing w:before="0"/>
              <w:rPr>
                <w:rFonts w:asciiTheme="minorHAnsi" w:hAnsiTheme="minorHAnsi"/>
                <w:b w:val="0"/>
                <w:sz w:val="20"/>
                <w:szCs w:val="20"/>
              </w:rPr>
            </w:pPr>
            <w:r w:rsidRPr="004C036D">
              <w:rPr>
                <w:rFonts w:asciiTheme="minorHAnsi" w:hAnsiTheme="minorHAnsi"/>
                <w:b w:val="0"/>
                <w:sz w:val="20"/>
                <w:szCs w:val="20"/>
              </w:rPr>
              <w:t>domestic/irrigation; type of water—e.g. high/general security</w:t>
            </w:r>
          </w:p>
          <w:p w:rsidR="001C678D" w:rsidRPr="004C036D" w:rsidRDefault="001C678D" w:rsidP="0082647F">
            <w:pPr>
              <w:pStyle w:val="Bulletpoint"/>
              <w:numPr>
                <w:ilvl w:val="0"/>
                <w:numId w:val="3"/>
              </w:numPr>
              <w:spacing w:before="0"/>
              <w:ind w:left="340" w:hanging="340"/>
              <w:rPr>
                <w:rFonts w:asciiTheme="minorHAnsi" w:hAnsiTheme="minorHAnsi"/>
                <w:b w:val="0"/>
                <w:sz w:val="20"/>
                <w:szCs w:val="20"/>
              </w:rPr>
            </w:pPr>
            <w:r w:rsidRPr="004C036D">
              <w:rPr>
                <w:rFonts w:asciiTheme="minorHAnsi" w:hAnsiTheme="minorHAnsi"/>
                <w:b w:val="0"/>
                <w:sz w:val="20"/>
                <w:szCs w:val="20"/>
              </w:rPr>
              <w:t>differentials applying to:</w:t>
            </w:r>
          </w:p>
          <w:p w:rsidR="001C678D" w:rsidRPr="004C036D" w:rsidRDefault="001C678D" w:rsidP="00F43856">
            <w:pPr>
              <w:pStyle w:val="Bulletpoint"/>
              <w:numPr>
                <w:ilvl w:val="1"/>
                <w:numId w:val="83"/>
              </w:numPr>
              <w:spacing w:before="0"/>
              <w:rPr>
                <w:rFonts w:asciiTheme="minorHAnsi" w:hAnsiTheme="minorHAnsi"/>
                <w:b w:val="0"/>
                <w:sz w:val="20"/>
                <w:szCs w:val="20"/>
              </w:rPr>
            </w:pPr>
            <w:r w:rsidRPr="004C036D">
              <w:rPr>
                <w:rFonts w:asciiTheme="minorHAnsi" w:hAnsiTheme="minorHAnsi" w:cs="Symbol"/>
                <w:b w:val="0"/>
                <w:sz w:val="20"/>
                <w:szCs w:val="20"/>
              </w:rPr>
              <w:t xml:space="preserve"> </w:t>
            </w:r>
            <w:r w:rsidRPr="004C036D">
              <w:rPr>
                <w:rFonts w:asciiTheme="minorHAnsi" w:hAnsiTheme="minorHAnsi"/>
                <w:b w:val="0"/>
                <w:sz w:val="20"/>
                <w:szCs w:val="20"/>
              </w:rPr>
              <w:t>different infrastructure—e.g. pumped and piped/gravity fed channels/combination of both</w:t>
            </w:r>
          </w:p>
          <w:p w:rsidR="001C678D" w:rsidRPr="004C036D" w:rsidRDefault="001C678D" w:rsidP="00F43856">
            <w:pPr>
              <w:pStyle w:val="Bulletpoint"/>
              <w:numPr>
                <w:ilvl w:val="1"/>
                <w:numId w:val="83"/>
              </w:numPr>
              <w:spacing w:before="0"/>
              <w:rPr>
                <w:rFonts w:asciiTheme="minorHAnsi" w:hAnsiTheme="minorHAnsi"/>
                <w:b w:val="0"/>
                <w:sz w:val="20"/>
                <w:szCs w:val="20"/>
              </w:rPr>
            </w:pPr>
            <w:r w:rsidRPr="004C036D">
              <w:rPr>
                <w:rFonts w:asciiTheme="minorHAnsi" w:hAnsiTheme="minorHAnsi"/>
                <w:b w:val="0"/>
                <w:sz w:val="20"/>
                <w:szCs w:val="20"/>
              </w:rPr>
              <w:t>different time of delivery—e.g. peak/off peak usage</w:t>
            </w:r>
          </w:p>
          <w:p w:rsidR="001C678D" w:rsidRPr="004C036D" w:rsidRDefault="001C678D" w:rsidP="00F43856">
            <w:pPr>
              <w:pStyle w:val="Bulletpoint"/>
              <w:numPr>
                <w:ilvl w:val="1"/>
                <w:numId w:val="83"/>
              </w:numPr>
              <w:spacing w:before="0"/>
              <w:rPr>
                <w:rFonts w:asciiTheme="minorHAnsi" w:hAnsiTheme="minorHAnsi"/>
                <w:b w:val="0"/>
                <w:sz w:val="20"/>
                <w:szCs w:val="20"/>
              </w:rPr>
            </w:pPr>
            <w:r w:rsidRPr="004C036D">
              <w:rPr>
                <w:rFonts w:asciiTheme="minorHAnsi" w:hAnsiTheme="minorHAnsi"/>
                <w:b w:val="0"/>
                <w:sz w:val="20"/>
                <w:szCs w:val="20"/>
              </w:rPr>
              <w:t>different customer groups—e.g. with enhanced delivery or drainage service”</w:t>
            </w:r>
          </w:p>
        </w:tc>
        <w:tc>
          <w:tcPr>
            <w:tcW w:w="4598" w:type="dxa"/>
            <w:tcBorders>
              <w:top w:val="nil"/>
              <w:left w:val="single" w:sz="4" w:space="0" w:color="auto"/>
              <w:bottom w:val="single" w:sz="4" w:space="0" w:color="auto"/>
              <w:right w:val="single" w:sz="4" w:space="0" w:color="auto"/>
            </w:tcBorders>
            <w:shd w:val="clear" w:color="auto" w:fill="auto"/>
          </w:tcPr>
          <w:p w:rsidR="001C678D" w:rsidRPr="004C036D" w:rsidRDefault="001C678D" w:rsidP="0082647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b/>
                <w:i/>
                <w:sz w:val="20"/>
                <w:szCs w:val="20"/>
              </w:rPr>
              <w:t xml:space="preserve">Retained </w:t>
            </w:r>
            <w:r w:rsidRPr="004C036D">
              <w:rPr>
                <w:rFonts w:asciiTheme="minorHAnsi" w:hAnsiTheme="minorHAnsi"/>
                <w:sz w:val="20"/>
                <w:szCs w:val="20"/>
              </w:rPr>
              <w:t>via a requirement that the Schedule must include the circumstances in which the charge is payable, which includes as applicable:</w:t>
            </w:r>
          </w:p>
          <w:p w:rsidR="001C678D" w:rsidRPr="004C036D" w:rsidRDefault="001C678D" w:rsidP="00F43856">
            <w:pPr>
              <w:pStyle w:val="ListParagraph"/>
              <w:numPr>
                <w:ilvl w:val="0"/>
                <w:numId w:val="79"/>
              </w:numPr>
              <w:tabs>
                <w:tab w:val="left" w:pos="340"/>
              </w:tabs>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the water resources, catchment or district, and the water resource plan or other plan, to which the charge relates and / or</w:t>
            </w:r>
          </w:p>
          <w:p w:rsidR="001C678D" w:rsidRPr="004C036D" w:rsidRDefault="001C678D" w:rsidP="00F43856">
            <w:pPr>
              <w:pStyle w:val="ListParagraph"/>
              <w:numPr>
                <w:ilvl w:val="0"/>
                <w:numId w:val="79"/>
              </w:numPr>
              <w:tabs>
                <w:tab w:val="left" w:pos="340"/>
              </w:tabs>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the class of person required to pay the charges and / or</w:t>
            </w:r>
          </w:p>
          <w:p w:rsidR="001C678D" w:rsidRPr="004C036D" w:rsidRDefault="001C678D" w:rsidP="00F43856">
            <w:pPr>
              <w:pStyle w:val="ListParagraph"/>
              <w:numPr>
                <w:ilvl w:val="0"/>
                <w:numId w:val="79"/>
              </w:numPr>
              <w:tabs>
                <w:tab w:val="left" w:pos="340"/>
              </w:tabs>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 xml:space="preserve">the class of water access right, irrigation right or water delivery right to which the charge relates. </w:t>
            </w:r>
          </w:p>
        </w:tc>
      </w:tr>
      <w:tr w:rsidR="001C678D" w:rsidRPr="001C678D" w:rsidTr="007A26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678D" w:rsidRPr="004C036D" w:rsidRDefault="001C678D" w:rsidP="004C036D">
            <w:pPr>
              <w:rPr>
                <w:rFonts w:asciiTheme="minorHAnsi" w:hAnsiTheme="minorHAnsi"/>
                <w:b w:val="0"/>
                <w:i/>
                <w:sz w:val="20"/>
                <w:szCs w:val="20"/>
              </w:rPr>
            </w:pPr>
            <w:r w:rsidRPr="004C036D">
              <w:rPr>
                <w:rFonts w:asciiTheme="minorHAnsi" w:hAnsiTheme="minorHAnsi"/>
                <w:b w:val="0"/>
                <w:i/>
                <w:sz w:val="20"/>
                <w:szCs w:val="20"/>
              </w:rPr>
              <w:t>4(c) If a discount or surcharge applies to a regulated charge, include details of the discount or surcharge and the circumstances in which it is applicable.</w:t>
            </w:r>
          </w:p>
        </w:tc>
        <w:tc>
          <w:tcPr>
            <w:tcW w:w="4598" w:type="dxa"/>
            <w:tcBorders>
              <w:top w:val="single" w:sz="4" w:space="0" w:color="auto"/>
              <w:left w:val="single" w:sz="4" w:space="0" w:color="auto"/>
              <w:bottom w:val="single" w:sz="4" w:space="0" w:color="auto"/>
              <w:right w:val="single" w:sz="4" w:space="0" w:color="auto"/>
            </w:tcBorders>
            <w:shd w:val="clear" w:color="auto" w:fill="auto"/>
          </w:tcPr>
          <w:p w:rsidR="00E2224E" w:rsidRDefault="001C678D" w:rsidP="00E2224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036D">
              <w:rPr>
                <w:rFonts w:asciiTheme="minorHAnsi" w:hAnsiTheme="minorHAnsi"/>
                <w:b/>
                <w:i/>
                <w:sz w:val="20"/>
                <w:szCs w:val="20"/>
              </w:rPr>
              <w:t>Retained</w:t>
            </w:r>
            <w:r w:rsidRPr="004C036D">
              <w:rPr>
                <w:rFonts w:asciiTheme="minorHAnsi" w:hAnsiTheme="minorHAnsi"/>
                <w:i/>
                <w:sz w:val="20"/>
                <w:szCs w:val="20"/>
              </w:rPr>
              <w:t xml:space="preserve"> </w:t>
            </w:r>
            <w:r w:rsidR="00E2224E">
              <w:rPr>
                <w:rFonts w:asciiTheme="minorHAnsi" w:hAnsiTheme="minorHAnsi"/>
                <w:sz w:val="20"/>
                <w:szCs w:val="20"/>
              </w:rPr>
              <w:t>to apply to discounts or surcharges in relation to particular charges and in general</w:t>
            </w:r>
            <w:r w:rsidRPr="004C036D">
              <w:rPr>
                <w:rFonts w:asciiTheme="minorHAnsi" w:hAnsiTheme="minorHAnsi"/>
                <w:sz w:val="20"/>
                <w:szCs w:val="20"/>
              </w:rPr>
              <w:t>.</w:t>
            </w:r>
            <w:r w:rsidR="00E2224E">
              <w:rPr>
                <w:rFonts w:asciiTheme="minorHAnsi" w:hAnsiTheme="minorHAnsi"/>
                <w:sz w:val="20"/>
                <w:szCs w:val="20"/>
              </w:rPr>
              <w:t xml:space="preserve"> </w:t>
            </w:r>
          </w:p>
          <w:p w:rsidR="001C678D" w:rsidRPr="004C036D" w:rsidRDefault="00526449" w:rsidP="00E2224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rPr>
            </w:pPr>
            <w:r>
              <w:rPr>
                <w:rFonts w:asciiTheme="minorHAnsi" w:hAnsiTheme="minorHAnsi"/>
                <w:b/>
                <w:i/>
                <w:sz w:val="20"/>
                <w:szCs w:val="20"/>
              </w:rPr>
              <w:t>Made compliance easier</w:t>
            </w:r>
            <w:r w:rsidR="00E2224E">
              <w:rPr>
                <w:rFonts w:asciiTheme="minorHAnsi" w:hAnsiTheme="minorHAnsi"/>
                <w:b/>
                <w:i/>
                <w:sz w:val="20"/>
                <w:szCs w:val="20"/>
              </w:rPr>
              <w:t xml:space="preserve"> </w:t>
            </w:r>
            <w:r w:rsidR="00E2224E">
              <w:rPr>
                <w:rFonts w:asciiTheme="minorHAnsi" w:hAnsiTheme="minorHAnsi"/>
                <w:sz w:val="20"/>
                <w:szCs w:val="20"/>
              </w:rPr>
              <w:t>via rule advice 5-J, section 5.4.3, which provides an automatic exemption for an operator to list particular types of discount</w:t>
            </w:r>
            <w:r w:rsidR="004F6BD0">
              <w:rPr>
                <w:rFonts w:asciiTheme="minorHAnsi" w:hAnsiTheme="minorHAnsi"/>
                <w:sz w:val="20"/>
                <w:szCs w:val="20"/>
              </w:rPr>
              <w:t>s on their Schedule of Charges.</w:t>
            </w:r>
          </w:p>
        </w:tc>
      </w:tr>
      <w:tr w:rsidR="001C678D" w:rsidRPr="001C678D" w:rsidTr="007A269E">
        <w:trPr>
          <w:cantSplit/>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bottom w:val="single" w:sz="4" w:space="0" w:color="auto"/>
            </w:tcBorders>
            <w:shd w:val="clear" w:color="auto" w:fill="D9D9D9" w:themeFill="background1" w:themeFillShade="D9"/>
          </w:tcPr>
          <w:p w:rsidR="001C678D" w:rsidRPr="004C036D" w:rsidRDefault="001C678D" w:rsidP="004C036D">
            <w:pPr>
              <w:rPr>
                <w:rFonts w:asciiTheme="minorHAnsi" w:hAnsiTheme="minorHAnsi"/>
                <w:b w:val="0"/>
                <w:i/>
                <w:sz w:val="20"/>
                <w:szCs w:val="20"/>
              </w:rPr>
            </w:pPr>
            <w:r w:rsidRPr="004C036D">
              <w:rPr>
                <w:rFonts w:asciiTheme="minorHAnsi" w:hAnsiTheme="minorHAnsi"/>
                <w:b w:val="0"/>
                <w:i/>
                <w:sz w:val="20"/>
                <w:szCs w:val="20"/>
              </w:rPr>
              <w:t xml:space="preserve">4(d) If the schedule is issued by </w:t>
            </w:r>
            <w:r w:rsidRPr="004C036D">
              <w:rPr>
                <w:rFonts w:asciiTheme="minorHAnsi" w:hAnsiTheme="minorHAnsi"/>
                <w:b w:val="0"/>
                <w:i/>
                <w:sz w:val="20"/>
                <w:szCs w:val="20"/>
                <w:u w:val="single"/>
              </w:rPr>
              <w:t>an irrigation infrastructure operator</w:t>
            </w:r>
            <w:r w:rsidRPr="004C036D">
              <w:rPr>
                <w:rFonts w:asciiTheme="minorHAnsi" w:hAnsiTheme="minorHAnsi"/>
                <w:b w:val="0"/>
                <w:i/>
                <w:sz w:val="20"/>
                <w:szCs w:val="20"/>
              </w:rPr>
              <w:t xml:space="preserve"> and sets out regulated charges that include fees or charges of a kind referred to in paragraph 91(1)(a) of the Act, the schedule of charges </w:t>
            </w:r>
            <w:r w:rsidRPr="004C036D">
              <w:rPr>
                <w:rFonts w:asciiTheme="minorHAnsi" w:hAnsiTheme="minorHAnsi"/>
                <w:b w:val="0"/>
                <w:i/>
                <w:sz w:val="20"/>
                <w:szCs w:val="20"/>
                <w:u w:val="single"/>
              </w:rPr>
              <w:t>must include a statement setting out the process for determining the amount of those regulated charges</w:t>
            </w:r>
            <w:r w:rsidRPr="004C036D">
              <w:rPr>
                <w:rFonts w:asciiTheme="minorHAnsi" w:hAnsiTheme="minorHAnsi"/>
                <w:b w:val="0"/>
                <w:i/>
                <w:sz w:val="20"/>
                <w:szCs w:val="20"/>
              </w:rPr>
              <w:t xml:space="preserve">. </w:t>
            </w:r>
          </w:p>
        </w:tc>
        <w:tc>
          <w:tcPr>
            <w:tcW w:w="4598" w:type="dxa"/>
            <w:tcBorders>
              <w:top w:val="single" w:sz="4" w:space="0" w:color="auto"/>
              <w:bottom w:val="single" w:sz="4" w:space="0" w:color="auto"/>
            </w:tcBorders>
            <w:shd w:val="clear" w:color="auto" w:fill="auto"/>
          </w:tcPr>
          <w:p w:rsidR="001C678D" w:rsidRPr="004C036D" w:rsidRDefault="001C678D" w:rsidP="004C036D">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rPr>
            </w:pPr>
            <w:r w:rsidRPr="004C036D">
              <w:rPr>
                <w:rFonts w:asciiTheme="minorHAnsi" w:hAnsiTheme="minorHAnsi"/>
                <w:b/>
                <w:i/>
                <w:sz w:val="20"/>
                <w:szCs w:val="20"/>
              </w:rPr>
              <w:t xml:space="preserve">Extended </w:t>
            </w:r>
            <w:r w:rsidRPr="004C036D">
              <w:rPr>
                <w:rFonts w:asciiTheme="minorHAnsi" w:hAnsiTheme="minorHAnsi"/>
                <w:sz w:val="20"/>
                <w:szCs w:val="20"/>
              </w:rPr>
              <w:t>to infrastructure operators</w:t>
            </w:r>
            <w:r w:rsidR="000B37D6">
              <w:rPr>
                <w:rFonts w:asciiTheme="minorHAnsi" w:hAnsiTheme="minorHAnsi"/>
                <w:sz w:val="20"/>
                <w:szCs w:val="20"/>
              </w:rPr>
              <w:t xml:space="preserve"> that are not irrigation infrastructure operators</w:t>
            </w:r>
            <w:r w:rsidRPr="004C036D">
              <w:rPr>
                <w:rFonts w:asciiTheme="minorHAnsi" w:hAnsiTheme="minorHAnsi"/>
                <w:sz w:val="20"/>
                <w:szCs w:val="20"/>
              </w:rPr>
              <w:t>.</w:t>
            </w:r>
          </w:p>
          <w:p w:rsidR="001C678D" w:rsidRPr="004C036D" w:rsidRDefault="001C678D" w:rsidP="004C036D">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4C036D">
              <w:rPr>
                <w:rFonts w:asciiTheme="minorHAnsi" w:hAnsiTheme="minorHAnsi"/>
                <w:b/>
                <w:i/>
                <w:sz w:val="20"/>
                <w:szCs w:val="20"/>
              </w:rPr>
              <w:t xml:space="preserve">Added </w:t>
            </w:r>
            <w:r w:rsidRPr="004C036D">
              <w:rPr>
                <w:rFonts w:asciiTheme="minorHAnsi" w:hAnsiTheme="minorHAnsi"/>
                <w:sz w:val="20"/>
                <w:szCs w:val="20"/>
              </w:rPr>
              <w:t>requirement to include a statement about how:</w:t>
            </w:r>
          </w:p>
          <w:p w:rsidR="001C678D" w:rsidRPr="004C036D" w:rsidRDefault="001C678D" w:rsidP="00F43856">
            <w:pPr>
              <w:pStyle w:val="ListParagraph"/>
              <w:numPr>
                <w:ilvl w:val="0"/>
                <w:numId w:val="80"/>
              </w:numPr>
              <w:tabs>
                <w:tab w:val="left" w:pos="340"/>
              </w:tabs>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 xml:space="preserve">a person can participate in that process. </w:t>
            </w:r>
          </w:p>
          <w:p w:rsidR="001C678D" w:rsidRPr="004C036D" w:rsidRDefault="001C678D" w:rsidP="00F43856">
            <w:pPr>
              <w:pStyle w:val="ListParagraph"/>
              <w:numPr>
                <w:ilvl w:val="0"/>
                <w:numId w:val="80"/>
              </w:numPr>
              <w:tabs>
                <w:tab w:val="left" w:pos="340"/>
              </w:tabs>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 xml:space="preserve">make an enquiry or resolve a dispute with the entity in relation to a regulated water charge. </w:t>
            </w:r>
          </w:p>
        </w:tc>
      </w:tr>
      <w:tr w:rsidR="001C678D" w:rsidRPr="001C678D" w:rsidTr="007A269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44" w:type="dxa"/>
            <w:tcBorders>
              <w:left w:val="single" w:sz="4" w:space="0" w:color="auto"/>
              <w:right w:val="single" w:sz="4" w:space="0" w:color="auto"/>
            </w:tcBorders>
            <w:shd w:val="clear" w:color="auto" w:fill="D9D9D9" w:themeFill="background1" w:themeFillShade="D9"/>
          </w:tcPr>
          <w:p w:rsidR="001C678D" w:rsidRDefault="001C678D" w:rsidP="004C036D">
            <w:pPr>
              <w:rPr>
                <w:rFonts w:asciiTheme="minorHAnsi" w:hAnsiTheme="minorHAnsi"/>
                <w:b w:val="0"/>
                <w:i/>
                <w:sz w:val="20"/>
                <w:szCs w:val="20"/>
              </w:rPr>
            </w:pPr>
            <w:r w:rsidRPr="004C036D">
              <w:rPr>
                <w:rFonts w:asciiTheme="minorHAnsi" w:hAnsiTheme="minorHAnsi"/>
                <w:b w:val="0"/>
                <w:i/>
                <w:sz w:val="20"/>
                <w:szCs w:val="20"/>
              </w:rPr>
              <w:t xml:space="preserve">4(d) If the schedule is issued by </w:t>
            </w:r>
            <w:r w:rsidRPr="004C036D">
              <w:rPr>
                <w:rFonts w:asciiTheme="minorHAnsi" w:hAnsiTheme="minorHAnsi"/>
                <w:b w:val="0"/>
                <w:i/>
                <w:sz w:val="20"/>
                <w:szCs w:val="20"/>
                <w:u w:val="single"/>
              </w:rPr>
              <w:t>an irrigation infrastructure operator</w:t>
            </w:r>
            <w:r w:rsidRPr="004C036D">
              <w:rPr>
                <w:rFonts w:asciiTheme="minorHAnsi" w:hAnsiTheme="minorHAnsi"/>
                <w:b w:val="0"/>
                <w:i/>
                <w:sz w:val="20"/>
                <w:szCs w:val="20"/>
              </w:rPr>
              <w:t xml:space="preserve"> and sets out regulated charges that include fees or charges of a kind referred to in paragraph 91(1)(a) of the Act, the schedule of charges must </w:t>
            </w:r>
            <w:r w:rsidR="00CF693B">
              <w:rPr>
                <w:rFonts w:asciiTheme="minorHAnsi" w:hAnsiTheme="minorHAnsi"/>
                <w:b w:val="0"/>
                <w:i/>
                <w:sz w:val="20"/>
                <w:szCs w:val="20"/>
              </w:rPr>
              <w:t xml:space="preserve">include a statement </w:t>
            </w:r>
            <w:r w:rsidRPr="004C036D">
              <w:rPr>
                <w:rFonts w:asciiTheme="minorHAnsi" w:hAnsiTheme="minorHAnsi"/>
                <w:b w:val="0"/>
                <w:i/>
                <w:sz w:val="20"/>
                <w:szCs w:val="20"/>
                <w:u w:val="single"/>
              </w:rPr>
              <w:t>show</w:t>
            </w:r>
            <w:r w:rsidR="00CF693B">
              <w:rPr>
                <w:rFonts w:asciiTheme="minorHAnsi" w:hAnsiTheme="minorHAnsi"/>
                <w:b w:val="0"/>
                <w:i/>
                <w:sz w:val="20"/>
                <w:szCs w:val="20"/>
                <w:u w:val="single"/>
              </w:rPr>
              <w:t>ing</w:t>
            </w:r>
            <w:r w:rsidRPr="004C036D">
              <w:rPr>
                <w:rFonts w:asciiTheme="minorHAnsi" w:hAnsiTheme="minorHAnsi"/>
                <w:b w:val="0"/>
                <w:i/>
                <w:sz w:val="20"/>
                <w:szCs w:val="20"/>
                <w:u w:val="single"/>
              </w:rPr>
              <w:t xml:space="preserve"> separately, as applicable, the components of those charges attributable to</w:t>
            </w:r>
            <w:r w:rsidRPr="004C036D">
              <w:rPr>
                <w:rFonts w:asciiTheme="minorHAnsi" w:hAnsiTheme="minorHAnsi"/>
                <w:b w:val="0"/>
                <w:i/>
                <w:sz w:val="20"/>
                <w:szCs w:val="20"/>
              </w:rPr>
              <w:t>:</w:t>
            </w:r>
          </w:p>
          <w:p w:rsidR="00CF693B" w:rsidRPr="004C036D" w:rsidRDefault="00CF693B" w:rsidP="004C036D">
            <w:pPr>
              <w:rPr>
                <w:rFonts w:asciiTheme="minorHAnsi" w:hAnsiTheme="minorHAnsi"/>
                <w:b w:val="0"/>
                <w:i/>
                <w:sz w:val="20"/>
                <w:szCs w:val="20"/>
              </w:rPr>
            </w:pPr>
          </w:p>
          <w:p w:rsidR="001C678D" w:rsidRPr="00CF693B" w:rsidRDefault="001C678D" w:rsidP="00F43856">
            <w:pPr>
              <w:pStyle w:val="ListParagraph"/>
              <w:numPr>
                <w:ilvl w:val="0"/>
                <w:numId w:val="81"/>
              </w:numPr>
              <w:tabs>
                <w:tab w:val="left" w:pos="340"/>
              </w:tabs>
              <w:contextualSpacing w:val="0"/>
              <w:rPr>
                <w:rFonts w:asciiTheme="minorHAnsi" w:hAnsiTheme="minorHAnsi"/>
                <w:b w:val="0"/>
                <w:sz w:val="20"/>
                <w:szCs w:val="20"/>
              </w:rPr>
            </w:pPr>
            <w:r w:rsidRPr="004C036D">
              <w:rPr>
                <w:rFonts w:asciiTheme="minorHAnsi" w:hAnsiTheme="minorHAnsi"/>
                <w:b w:val="0"/>
                <w:i/>
                <w:sz w:val="20"/>
                <w:szCs w:val="20"/>
              </w:rPr>
              <w:t>The storage of water in connection with infrastructure services provided through the irrigation network</w:t>
            </w:r>
          </w:p>
          <w:p w:rsidR="00CF693B" w:rsidRDefault="00CF693B" w:rsidP="00CF693B">
            <w:pPr>
              <w:pStyle w:val="ListParagraph"/>
              <w:tabs>
                <w:tab w:val="left" w:pos="340"/>
              </w:tabs>
              <w:contextualSpacing w:val="0"/>
              <w:rPr>
                <w:rFonts w:asciiTheme="minorHAnsi" w:hAnsiTheme="minorHAnsi"/>
                <w:b w:val="0"/>
                <w:sz w:val="20"/>
                <w:szCs w:val="20"/>
              </w:rPr>
            </w:pPr>
          </w:p>
          <w:p w:rsidR="00CF693B" w:rsidRPr="00CF693B" w:rsidRDefault="00CF693B" w:rsidP="00CF693B">
            <w:pPr>
              <w:pStyle w:val="ListParagraph"/>
              <w:tabs>
                <w:tab w:val="left" w:pos="340"/>
              </w:tabs>
              <w:contextualSpacing w:val="0"/>
              <w:rPr>
                <w:rFonts w:asciiTheme="minorHAnsi" w:hAnsiTheme="minorHAnsi"/>
                <w:b w:val="0"/>
                <w:sz w:val="20"/>
                <w:szCs w:val="20"/>
              </w:rPr>
            </w:pPr>
          </w:p>
          <w:p w:rsidR="00CF693B" w:rsidRDefault="00CF693B" w:rsidP="00F43856">
            <w:pPr>
              <w:pStyle w:val="ListParagraph"/>
              <w:numPr>
                <w:ilvl w:val="0"/>
                <w:numId w:val="81"/>
              </w:numPr>
              <w:tabs>
                <w:tab w:val="left" w:pos="340"/>
              </w:tabs>
              <w:contextualSpacing w:val="0"/>
              <w:rPr>
                <w:rFonts w:asciiTheme="minorHAnsi" w:hAnsiTheme="minorHAnsi"/>
                <w:b w:val="0"/>
                <w:i/>
                <w:sz w:val="20"/>
                <w:szCs w:val="20"/>
              </w:rPr>
            </w:pPr>
            <w:r w:rsidRPr="004C036D">
              <w:rPr>
                <w:rFonts w:asciiTheme="minorHAnsi" w:hAnsiTheme="minorHAnsi"/>
                <w:b w:val="0"/>
                <w:i/>
                <w:sz w:val="20"/>
                <w:szCs w:val="20"/>
              </w:rPr>
              <w:t>Bulk water charges imposed on the operator by another infrastructure operator</w:t>
            </w:r>
          </w:p>
          <w:p w:rsidR="00CF693B" w:rsidRPr="004C036D" w:rsidRDefault="00CF693B" w:rsidP="00CF693B">
            <w:pPr>
              <w:pStyle w:val="ListParagraph"/>
              <w:tabs>
                <w:tab w:val="left" w:pos="340"/>
              </w:tabs>
              <w:contextualSpacing w:val="0"/>
              <w:rPr>
                <w:rFonts w:asciiTheme="minorHAnsi" w:hAnsiTheme="minorHAnsi"/>
                <w:b w:val="0"/>
                <w:i/>
                <w:sz w:val="20"/>
                <w:szCs w:val="20"/>
              </w:rPr>
            </w:pPr>
          </w:p>
          <w:p w:rsidR="00CF693B" w:rsidRPr="00CF693B" w:rsidRDefault="00CF693B" w:rsidP="00F43856">
            <w:pPr>
              <w:pStyle w:val="ListParagraph"/>
              <w:numPr>
                <w:ilvl w:val="0"/>
                <w:numId w:val="81"/>
              </w:numPr>
              <w:tabs>
                <w:tab w:val="left" w:pos="340"/>
              </w:tabs>
              <w:contextualSpacing w:val="0"/>
              <w:rPr>
                <w:rFonts w:asciiTheme="minorHAnsi" w:hAnsiTheme="minorHAnsi"/>
                <w:b w:val="0"/>
                <w:i/>
                <w:sz w:val="20"/>
                <w:szCs w:val="20"/>
              </w:rPr>
            </w:pPr>
            <w:r w:rsidRPr="004C036D">
              <w:rPr>
                <w:rFonts w:asciiTheme="minorHAnsi" w:hAnsiTheme="minorHAnsi"/>
                <w:b w:val="0"/>
                <w:i/>
                <w:sz w:val="20"/>
                <w:szCs w:val="20"/>
              </w:rPr>
              <w:t>…</w:t>
            </w:r>
            <w:r>
              <w:rPr>
                <w:rFonts w:asciiTheme="minorHAnsi" w:hAnsiTheme="minorHAnsi"/>
                <w:b w:val="0"/>
                <w:i/>
                <w:sz w:val="20"/>
                <w:szCs w:val="20"/>
              </w:rPr>
              <w:t xml:space="preserve"> </w:t>
            </w:r>
            <w:r w:rsidRPr="00CF693B">
              <w:rPr>
                <w:rFonts w:asciiTheme="minorHAnsi" w:hAnsiTheme="minorHAnsi"/>
                <w:b w:val="0"/>
                <w:sz w:val="20"/>
                <w:szCs w:val="20"/>
              </w:rPr>
              <w:t>[see below]</w:t>
            </w:r>
          </w:p>
          <w:p w:rsidR="00CF693B" w:rsidRPr="00CF693B" w:rsidRDefault="00CF693B" w:rsidP="00CF693B">
            <w:pPr>
              <w:pStyle w:val="ListParagraph"/>
              <w:tabs>
                <w:tab w:val="left" w:pos="340"/>
              </w:tabs>
              <w:contextualSpacing w:val="0"/>
              <w:rPr>
                <w:rFonts w:asciiTheme="minorHAnsi" w:hAnsiTheme="minorHAnsi"/>
                <w:b w:val="0"/>
                <w:i/>
                <w:sz w:val="20"/>
                <w:szCs w:val="20"/>
              </w:rPr>
            </w:pPr>
          </w:p>
          <w:p w:rsidR="00CF693B" w:rsidRPr="00CF693B" w:rsidRDefault="00CF693B" w:rsidP="00F43856">
            <w:pPr>
              <w:pStyle w:val="ListParagraph"/>
              <w:numPr>
                <w:ilvl w:val="0"/>
                <w:numId w:val="81"/>
              </w:numPr>
              <w:tabs>
                <w:tab w:val="left" w:pos="340"/>
              </w:tabs>
              <w:contextualSpacing w:val="0"/>
              <w:rPr>
                <w:rFonts w:asciiTheme="minorHAnsi" w:hAnsiTheme="minorHAnsi"/>
                <w:b w:val="0"/>
                <w:i/>
                <w:sz w:val="20"/>
                <w:szCs w:val="20"/>
              </w:rPr>
            </w:pPr>
            <w:r w:rsidRPr="00CF693B">
              <w:rPr>
                <w:rFonts w:asciiTheme="minorHAnsi" w:hAnsiTheme="minorHAnsi"/>
                <w:b w:val="0"/>
                <w:i/>
                <w:sz w:val="20"/>
                <w:szCs w:val="20"/>
              </w:rPr>
              <w:t xml:space="preserve">The holding of, or management of, a water access entitlement [WAE] by the irrigation infrastructure operator. </w:t>
            </w:r>
          </w:p>
          <w:p w:rsidR="00CF693B" w:rsidRPr="00CF693B" w:rsidRDefault="00CF693B" w:rsidP="00CF693B">
            <w:pPr>
              <w:pStyle w:val="ListParagraph"/>
              <w:tabs>
                <w:tab w:val="left" w:pos="340"/>
              </w:tabs>
              <w:contextualSpacing w:val="0"/>
              <w:rPr>
                <w:rFonts w:asciiTheme="minorHAnsi" w:hAnsiTheme="minorHAnsi"/>
                <w:b w:val="0"/>
                <w:i/>
                <w:sz w:val="20"/>
                <w:szCs w:val="20"/>
              </w:rPr>
            </w:pPr>
          </w:p>
          <w:p w:rsidR="00CF693B" w:rsidRPr="00CF693B" w:rsidRDefault="00CF693B" w:rsidP="00CF693B">
            <w:pPr>
              <w:pStyle w:val="ListParagraph"/>
              <w:tabs>
                <w:tab w:val="left" w:pos="340"/>
              </w:tabs>
              <w:contextualSpacing w:val="0"/>
              <w:rPr>
                <w:rFonts w:asciiTheme="minorHAnsi" w:hAnsiTheme="minorHAnsi"/>
                <w:b w:val="0"/>
                <w:i/>
                <w:sz w:val="20"/>
                <w:szCs w:val="20"/>
              </w:rPr>
            </w:pPr>
          </w:p>
          <w:p w:rsidR="00CF693B" w:rsidRPr="00CF693B" w:rsidRDefault="00CF693B" w:rsidP="00F43856">
            <w:pPr>
              <w:pStyle w:val="ListParagraph"/>
              <w:numPr>
                <w:ilvl w:val="0"/>
                <w:numId w:val="101"/>
              </w:numPr>
              <w:tabs>
                <w:tab w:val="left" w:pos="340"/>
              </w:tabs>
              <w:contextualSpacing w:val="0"/>
              <w:rPr>
                <w:rFonts w:asciiTheme="minorHAnsi" w:hAnsiTheme="minorHAnsi"/>
                <w:b w:val="0"/>
                <w:sz w:val="20"/>
                <w:szCs w:val="20"/>
              </w:rPr>
            </w:pPr>
            <w:r w:rsidRPr="00CF693B">
              <w:rPr>
                <w:rFonts w:asciiTheme="minorHAnsi" w:hAnsiTheme="minorHAnsi"/>
                <w:b w:val="0"/>
                <w:i/>
                <w:sz w:val="20"/>
                <w:szCs w:val="20"/>
              </w:rPr>
              <w:t>Connecting or disconnecting a customer to water service infrastructure</w:t>
            </w:r>
          </w:p>
          <w:p w:rsidR="00CF693B" w:rsidRPr="00CF693B" w:rsidRDefault="00CF693B" w:rsidP="00CF693B">
            <w:pPr>
              <w:pStyle w:val="ListParagraph"/>
              <w:tabs>
                <w:tab w:val="left" w:pos="340"/>
              </w:tabs>
              <w:contextualSpacing w:val="0"/>
              <w:rPr>
                <w:rFonts w:asciiTheme="minorHAnsi" w:hAnsiTheme="minorHAnsi"/>
                <w:b w:val="0"/>
                <w:sz w:val="20"/>
                <w:szCs w:val="20"/>
              </w:rPr>
            </w:pPr>
          </w:p>
          <w:p w:rsidR="00CF693B" w:rsidRPr="00CF693B" w:rsidRDefault="00CF693B" w:rsidP="00CF693B">
            <w:pPr>
              <w:pStyle w:val="ListParagraph"/>
              <w:tabs>
                <w:tab w:val="left" w:pos="340"/>
              </w:tabs>
              <w:contextualSpacing w:val="0"/>
              <w:rPr>
                <w:rFonts w:asciiTheme="minorHAnsi" w:hAnsiTheme="minorHAnsi"/>
                <w:b w:val="0"/>
                <w:sz w:val="20"/>
                <w:szCs w:val="20"/>
              </w:rPr>
            </w:pPr>
          </w:p>
        </w:tc>
        <w:tc>
          <w:tcPr>
            <w:tcW w:w="4598" w:type="dxa"/>
            <w:tcBorders>
              <w:left w:val="single" w:sz="4" w:space="0" w:color="auto"/>
              <w:right w:val="single" w:sz="4" w:space="0" w:color="auto"/>
            </w:tcBorders>
            <w:shd w:val="clear" w:color="auto" w:fill="auto"/>
          </w:tcPr>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rPr>
            </w:pPr>
          </w:p>
          <w:p w:rsidR="001C678D" w:rsidRDefault="001C678D"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036D">
              <w:rPr>
                <w:rFonts w:asciiTheme="minorHAnsi" w:hAnsiTheme="minorHAnsi"/>
                <w:b/>
                <w:i/>
                <w:sz w:val="20"/>
                <w:szCs w:val="20"/>
              </w:rPr>
              <w:t>Removed</w:t>
            </w:r>
            <w:r w:rsidRPr="004C036D">
              <w:rPr>
                <w:rFonts w:asciiTheme="minorHAnsi" w:hAnsiTheme="minorHAnsi"/>
                <w:sz w:val="20"/>
                <w:szCs w:val="20"/>
              </w:rPr>
              <w:t xml:space="preserve"> requirement for operators to separately list the components of the charge attributable to the storage of water. </w:t>
            </w: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CF693B" w:rsidRPr="004C036D" w:rsidRDefault="003B4138" w:rsidP="004F3033">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b/>
                <w:i/>
                <w:sz w:val="20"/>
                <w:szCs w:val="20"/>
              </w:rPr>
              <w:t xml:space="preserve">Changed </w:t>
            </w:r>
            <w:r w:rsidR="004F3033">
              <w:rPr>
                <w:rFonts w:asciiTheme="minorHAnsi" w:hAnsiTheme="minorHAnsi"/>
                <w:sz w:val="20"/>
                <w:szCs w:val="20"/>
              </w:rPr>
              <w:t xml:space="preserve">to a general </w:t>
            </w:r>
            <w:r w:rsidR="00CF693B" w:rsidRPr="004C036D">
              <w:rPr>
                <w:rFonts w:asciiTheme="minorHAnsi" w:hAnsiTheme="minorHAnsi"/>
                <w:sz w:val="20"/>
                <w:szCs w:val="20"/>
              </w:rPr>
              <w:t xml:space="preserve">requirement to </w:t>
            </w:r>
            <w:r w:rsidR="004F3033">
              <w:rPr>
                <w:rFonts w:asciiTheme="minorHAnsi" w:hAnsiTheme="minorHAnsi"/>
                <w:sz w:val="20"/>
                <w:szCs w:val="20"/>
              </w:rPr>
              <w:t>set out</w:t>
            </w:r>
            <w:r w:rsidR="00CF693B" w:rsidRPr="004C036D">
              <w:rPr>
                <w:rFonts w:asciiTheme="minorHAnsi" w:hAnsiTheme="minorHAnsi"/>
                <w:sz w:val="20"/>
                <w:szCs w:val="20"/>
              </w:rPr>
              <w:t xml:space="preserve"> how the infrastructure operator has determined / calculated the infrastructure charges it levies to recover </w:t>
            </w:r>
            <w:r w:rsidR="004F3033">
              <w:rPr>
                <w:rFonts w:asciiTheme="minorHAnsi" w:hAnsiTheme="minorHAnsi"/>
                <w:sz w:val="20"/>
                <w:szCs w:val="20"/>
              </w:rPr>
              <w:t xml:space="preserve">the cost of infrastructure charges and planning and management charges it incurs, in accordance with the proposed </w:t>
            </w:r>
            <w:r w:rsidR="00CF693B" w:rsidRPr="004C036D">
              <w:rPr>
                <w:rFonts w:asciiTheme="minorHAnsi" w:hAnsiTheme="minorHAnsi"/>
                <w:sz w:val="20"/>
                <w:szCs w:val="20"/>
              </w:rPr>
              <w:t xml:space="preserve">separate rule </w:t>
            </w:r>
            <w:r w:rsidR="004F3033">
              <w:rPr>
                <w:rFonts w:asciiTheme="minorHAnsi" w:hAnsiTheme="minorHAnsi"/>
                <w:sz w:val="20"/>
                <w:szCs w:val="20"/>
              </w:rPr>
              <w:t xml:space="preserve">‘pass-through’ </w:t>
            </w:r>
            <w:r w:rsidR="00CF693B" w:rsidRPr="004C036D">
              <w:rPr>
                <w:rFonts w:asciiTheme="minorHAnsi" w:hAnsiTheme="minorHAnsi"/>
                <w:sz w:val="20"/>
                <w:szCs w:val="20"/>
              </w:rPr>
              <w:t xml:space="preserve">requirements (see section 5.13 and rule advice 5-Y) </w:t>
            </w: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CF693B"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4F3033" w:rsidRDefault="004F3033"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CF693B" w:rsidRDefault="00CF693B" w:rsidP="00CF693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036D">
              <w:rPr>
                <w:rFonts w:asciiTheme="minorHAnsi" w:hAnsiTheme="minorHAnsi"/>
                <w:b/>
                <w:i/>
                <w:sz w:val="20"/>
                <w:szCs w:val="20"/>
              </w:rPr>
              <w:t xml:space="preserve">Removed </w:t>
            </w:r>
            <w:r w:rsidRPr="004C036D">
              <w:rPr>
                <w:rFonts w:asciiTheme="minorHAnsi" w:hAnsiTheme="minorHAnsi"/>
                <w:sz w:val="20"/>
                <w:szCs w:val="20"/>
              </w:rPr>
              <w:t xml:space="preserve">requirement to separately </w:t>
            </w:r>
            <w:r w:rsidR="00526449">
              <w:rPr>
                <w:rFonts w:asciiTheme="minorHAnsi" w:hAnsiTheme="minorHAnsi"/>
                <w:sz w:val="20"/>
                <w:szCs w:val="20"/>
              </w:rPr>
              <w:t>set out</w:t>
            </w:r>
            <w:r w:rsidRPr="004C036D">
              <w:rPr>
                <w:rFonts w:asciiTheme="minorHAnsi" w:hAnsiTheme="minorHAnsi"/>
                <w:sz w:val="20"/>
                <w:szCs w:val="20"/>
              </w:rPr>
              <w:t xml:space="preserve"> the components of </w:t>
            </w:r>
            <w:r w:rsidR="003B4138">
              <w:rPr>
                <w:rFonts w:asciiTheme="minorHAnsi" w:hAnsiTheme="minorHAnsi"/>
                <w:sz w:val="20"/>
                <w:szCs w:val="20"/>
              </w:rPr>
              <w:t xml:space="preserve">operator </w:t>
            </w:r>
            <w:r w:rsidRPr="004C036D">
              <w:rPr>
                <w:rFonts w:asciiTheme="minorHAnsi" w:hAnsiTheme="minorHAnsi"/>
                <w:sz w:val="20"/>
                <w:szCs w:val="20"/>
              </w:rPr>
              <w:t>charge</w:t>
            </w:r>
            <w:r w:rsidR="003B4138">
              <w:rPr>
                <w:rFonts w:asciiTheme="minorHAnsi" w:hAnsiTheme="minorHAnsi"/>
                <w:sz w:val="20"/>
                <w:szCs w:val="20"/>
              </w:rPr>
              <w:t>s</w:t>
            </w:r>
            <w:r w:rsidRPr="004C036D">
              <w:rPr>
                <w:rFonts w:asciiTheme="minorHAnsi" w:hAnsiTheme="minorHAnsi"/>
                <w:sz w:val="20"/>
                <w:szCs w:val="20"/>
              </w:rPr>
              <w:t xml:space="preserve"> attributable to connection / disconnection. </w:t>
            </w:r>
          </w:p>
          <w:p w:rsidR="00CF693B" w:rsidRPr="004C036D" w:rsidRDefault="00CF693B" w:rsidP="004C036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b/>
                <w:i/>
                <w:sz w:val="20"/>
                <w:szCs w:val="20"/>
              </w:rPr>
              <w:t xml:space="preserve">Made compliance easier </w:t>
            </w:r>
            <w:r>
              <w:rPr>
                <w:rFonts w:asciiTheme="minorHAnsi" w:hAnsiTheme="minorHAnsi"/>
                <w:sz w:val="20"/>
                <w:szCs w:val="20"/>
              </w:rPr>
              <w:t xml:space="preserve">for where an operator does levy a separate charge </w:t>
            </w:r>
            <w:r w:rsidRPr="00802483">
              <w:rPr>
                <w:rFonts w:asciiTheme="minorHAnsi" w:hAnsiTheme="minorHAnsi"/>
                <w:sz w:val="20"/>
                <w:szCs w:val="20"/>
              </w:rPr>
              <w:t>that reflects the costs of physically connecting, or physically disconnecting a customer from the operator’s water service infrastructure, the operator may include a statement that the charge will be determined at the time of the connection or disconnection</w:t>
            </w:r>
            <w:r>
              <w:rPr>
                <w:rFonts w:asciiTheme="minorHAnsi" w:hAnsiTheme="minorHAnsi"/>
                <w:sz w:val="20"/>
                <w:szCs w:val="20"/>
              </w:rPr>
              <w:t>, instead of the amount of the charge.</w:t>
            </w:r>
          </w:p>
        </w:tc>
      </w:tr>
      <w:tr w:rsidR="00CF693B" w:rsidRPr="001C678D" w:rsidTr="007A269E">
        <w:trPr>
          <w:cantSplit/>
        </w:trPr>
        <w:tc>
          <w:tcPr>
            <w:cnfStyle w:val="001000000000" w:firstRow="0" w:lastRow="0" w:firstColumn="1" w:lastColumn="0" w:oddVBand="0" w:evenVBand="0" w:oddHBand="0" w:evenHBand="0" w:firstRowFirstColumn="0" w:firstRowLastColumn="0" w:lastRowFirstColumn="0" w:lastRowLastColumn="0"/>
            <w:tcW w:w="4644" w:type="dxa"/>
            <w:shd w:val="clear" w:color="auto" w:fill="D9D9D9" w:themeFill="background1" w:themeFillShade="D9"/>
          </w:tcPr>
          <w:p w:rsidR="00CF693B" w:rsidRPr="004C036D" w:rsidRDefault="00442C9F" w:rsidP="00442C9F">
            <w:pPr>
              <w:pStyle w:val="ListParagraph"/>
              <w:tabs>
                <w:tab w:val="left" w:pos="340"/>
              </w:tabs>
              <w:ind w:left="142"/>
              <w:contextualSpacing w:val="0"/>
              <w:rPr>
                <w:rFonts w:asciiTheme="minorHAnsi" w:hAnsiTheme="minorHAnsi"/>
                <w:b w:val="0"/>
                <w:sz w:val="20"/>
                <w:szCs w:val="20"/>
              </w:rPr>
            </w:pPr>
            <w:r>
              <w:rPr>
                <w:rFonts w:asciiTheme="minorHAnsi" w:hAnsiTheme="minorHAnsi"/>
                <w:b w:val="0"/>
                <w:sz w:val="20"/>
                <w:szCs w:val="20"/>
              </w:rPr>
              <w:t>(N/A)</w:t>
            </w:r>
          </w:p>
        </w:tc>
        <w:tc>
          <w:tcPr>
            <w:tcW w:w="4598" w:type="dxa"/>
            <w:shd w:val="clear" w:color="auto" w:fill="auto"/>
          </w:tcPr>
          <w:p w:rsidR="00CF693B" w:rsidRPr="004C036D" w:rsidRDefault="00CF693B" w:rsidP="004C036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b/>
                <w:i/>
                <w:sz w:val="20"/>
                <w:szCs w:val="20"/>
              </w:rPr>
              <w:t xml:space="preserve">Added </w:t>
            </w:r>
            <w:r w:rsidRPr="004C036D">
              <w:rPr>
                <w:rFonts w:asciiTheme="minorHAnsi" w:hAnsiTheme="minorHAnsi"/>
                <w:sz w:val="20"/>
                <w:szCs w:val="20"/>
              </w:rPr>
              <w:t xml:space="preserve">The following information should be provided about infrastructure charges and planning and management charges that the operator collects on behalf of another person, and planning and management charges that the operator levies, as applicable: </w:t>
            </w:r>
          </w:p>
          <w:p w:rsidR="00CF693B" w:rsidRPr="004C036D" w:rsidRDefault="00CF693B" w:rsidP="00F43856">
            <w:pPr>
              <w:pStyle w:val="ListParagraph"/>
              <w:numPr>
                <w:ilvl w:val="1"/>
                <w:numId w:val="82"/>
              </w:numPr>
              <w:tabs>
                <w:tab w:val="left" w:pos="340"/>
              </w:tabs>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 xml:space="preserve">Who determined the charge (if it is not determined by the person adopting the </w:t>
            </w:r>
            <w:r w:rsidR="00B1638F">
              <w:rPr>
                <w:rFonts w:asciiTheme="minorHAnsi" w:hAnsiTheme="minorHAnsi"/>
                <w:sz w:val="20"/>
                <w:szCs w:val="20"/>
              </w:rPr>
              <w:t>S</w:t>
            </w:r>
            <w:r w:rsidRPr="004C036D">
              <w:rPr>
                <w:rFonts w:asciiTheme="minorHAnsi" w:hAnsiTheme="minorHAnsi"/>
                <w:sz w:val="20"/>
                <w:szCs w:val="20"/>
              </w:rPr>
              <w:t xml:space="preserve">chedule of </w:t>
            </w:r>
            <w:r w:rsidR="00B1638F">
              <w:rPr>
                <w:rFonts w:asciiTheme="minorHAnsi" w:hAnsiTheme="minorHAnsi"/>
                <w:sz w:val="20"/>
                <w:szCs w:val="20"/>
              </w:rPr>
              <w:t>C</w:t>
            </w:r>
            <w:r w:rsidRPr="004C036D">
              <w:rPr>
                <w:rFonts w:asciiTheme="minorHAnsi" w:hAnsiTheme="minorHAnsi"/>
                <w:sz w:val="20"/>
                <w:szCs w:val="20"/>
              </w:rPr>
              <w:t>harges)</w:t>
            </w:r>
          </w:p>
          <w:p w:rsidR="00CF693B" w:rsidRPr="004C036D" w:rsidRDefault="00CF693B" w:rsidP="00F43856">
            <w:pPr>
              <w:pStyle w:val="ListParagraph"/>
              <w:numPr>
                <w:ilvl w:val="1"/>
                <w:numId w:val="82"/>
              </w:numPr>
              <w:tabs>
                <w:tab w:val="left" w:pos="340"/>
              </w:tabs>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 xml:space="preserve">Who the charge is payable to (if it is not payable to the operator or person adopting the </w:t>
            </w:r>
            <w:r w:rsidR="00B1638F">
              <w:rPr>
                <w:rFonts w:asciiTheme="minorHAnsi" w:hAnsiTheme="minorHAnsi"/>
                <w:sz w:val="20"/>
                <w:szCs w:val="20"/>
              </w:rPr>
              <w:t>S</w:t>
            </w:r>
            <w:r w:rsidRPr="004C036D">
              <w:rPr>
                <w:rFonts w:asciiTheme="minorHAnsi" w:hAnsiTheme="minorHAnsi"/>
                <w:sz w:val="20"/>
                <w:szCs w:val="20"/>
              </w:rPr>
              <w:t xml:space="preserve">chedule of </w:t>
            </w:r>
            <w:r w:rsidR="00B1638F">
              <w:rPr>
                <w:rFonts w:asciiTheme="minorHAnsi" w:hAnsiTheme="minorHAnsi"/>
                <w:sz w:val="20"/>
                <w:szCs w:val="20"/>
              </w:rPr>
              <w:t>C</w:t>
            </w:r>
            <w:r w:rsidRPr="004C036D">
              <w:rPr>
                <w:rFonts w:asciiTheme="minorHAnsi" w:hAnsiTheme="minorHAnsi"/>
                <w:sz w:val="20"/>
                <w:szCs w:val="20"/>
              </w:rPr>
              <w:t>harges)</w:t>
            </w:r>
          </w:p>
          <w:p w:rsidR="00CF693B" w:rsidRPr="004C036D" w:rsidRDefault="00CF693B" w:rsidP="00F43856">
            <w:pPr>
              <w:pStyle w:val="ListParagraph"/>
              <w:numPr>
                <w:ilvl w:val="1"/>
                <w:numId w:val="82"/>
              </w:numPr>
              <w:tabs>
                <w:tab w:val="left" w:pos="340"/>
              </w:tabs>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The name of the agency or person for whom the charge is being collected.</w:t>
            </w:r>
          </w:p>
          <w:p w:rsidR="00CF693B" w:rsidRPr="004C036D" w:rsidRDefault="00CF693B" w:rsidP="00CF693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036D">
              <w:rPr>
                <w:rFonts w:asciiTheme="minorHAnsi" w:hAnsiTheme="minorHAnsi"/>
                <w:sz w:val="20"/>
                <w:szCs w:val="20"/>
              </w:rPr>
              <w:t xml:space="preserve">The legislative, contractual or other authority for the charge (for a planning and management charge only). </w:t>
            </w:r>
          </w:p>
        </w:tc>
      </w:tr>
    </w:tbl>
    <w:p w:rsidR="001C678D" w:rsidRPr="00C663BA" w:rsidRDefault="001C678D" w:rsidP="00C912D6">
      <w:pPr>
        <w:spacing w:before="120" w:after="120"/>
        <w:rPr>
          <w:bCs/>
        </w:rPr>
      </w:pPr>
      <w:r>
        <w:t xml:space="preserve">Table </w:t>
      </w:r>
      <w:r w:rsidR="00BB28D3">
        <w:t xml:space="preserve">5.3 </w:t>
      </w:r>
      <w:r>
        <w:t>demonstrates that the requirements about what information an infrastructure operator must provide on a Schedule of Charges is substantially the same as the information that operators should currently be providing in order to comply with the existing requirements in the WCIR. In particular, the existing requirement to provide ‘</w:t>
      </w:r>
      <w:r w:rsidRPr="0036338A">
        <w:rPr>
          <w:i/>
        </w:rPr>
        <w:t>details of the regulated charges sufficient to enable a customer of the infrastructure operator to determine the customer’s liability under the regulated charges in respect of a period during which the customer receives, or is entitled to receive, infrastructure services from the infrastructure operator’</w:t>
      </w:r>
      <w:r>
        <w:t xml:space="preserve"> relies on the detail set out in the guidance material about what information must be provided to comply with the requirement. The ACCC considers that the proposed amendments remove uncertainty for infrastructure operators about what information they must provide on their </w:t>
      </w:r>
      <w:r w:rsidR="004209AC">
        <w:t>S</w:t>
      </w:r>
      <w:r>
        <w:t xml:space="preserve">chedule of </w:t>
      </w:r>
      <w:r w:rsidR="004209AC">
        <w:t>C</w:t>
      </w:r>
      <w:r>
        <w:t>harges to meet this requirement.</w:t>
      </w:r>
    </w:p>
    <w:p w:rsidR="001C678D" w:rsidRDefault="001C678D" w:rsidP="001C678D">
      <w:r>
        <w:t xml:space="preserve">The main area where additional information requirements could apply is in relation to </w:t>
      </w:r>
      <w:r w:rsidR="00666EAA">
        <w:t xml:space="preserve">where an operator collects </w:t>
      </w:r>
      <w:r>
        <w:t xml:space="preserve">infrastructure charges </w:t>
      </w:r>
      <w:r w:rsidR="00666EAA">
        <w:t xml:space="preserve">or </w:t>
      </w:r>
      <w:r>
        <w:t>planning and management charges</w:t>
      </w:r>
      <w:r w:rsidR="000171CD">
        <w:t xml:space="preserve"> on behalf of another person</w:t>
      </w:r>
      <w:r w:rsidR="006B4ADD">
        <w:t xml:space="preserve"> (which is distinct from a situation where an operator levies its own charges to ‘pass through’ the cost of charges it incurs)</w:t>
      </w:r>
      <w:r>
        <w:t>.</w:t>
      </w:r>
      <w:r w:rsidR="006B4ADD">
        <w:t xml:space="preserve"> Where this occurs, an operator must provide customers with details about the person the charge is being collected for, and the legislative, contractual or other authority for the charge. However, since </w:t>
      </w:r>
      <w:r>
        <w:t>most infrastructure operators do not collect charges on behalf of another person</w:t>
      </w:r>
      <w:r w:rsidR="006B4ADD">
        <w:t xml:space="preserve">, these requirements will </w:t>
      </w:r>
      <w:r>
        <w:t>not apply to most infrastructure operators.</w:t>
      </w:r>
    </w:p>
    <w:p w:rsidR="006B4ADD" w:rsidRDefault="006B4ADD" w:rsidP="001C678D">
      <w:r>
        <w:t>In the case where an operator determines a planning and management charge (on behalf of government), there are information requirements which apply under the current WCPMIR (not included in the table above). These requirements are largely unchanged in the current rules. However, these requirements do not apply to the majority of operators.</w:t>
      </w:r>
    </w:p>
    <w:p w:rsidR="00C912D6" w:rsidRDefault="006B4ADD" w:rsidP="00DA5F2B">
      <w:pPr>
        <w:spacing w:before="120" w:after="0"/>
      </w:pPr>
      <w:r>
        <w:t>O</w:t>
      </w:r>
      <w:r w:rsidR="001C678D">
        <w:t xml:space="preserve">n balance, the ACCC does not consider that </w:t>
      </w:r>
      <w:r w:rsidR="004506B2">
        <w:t xml:space="preserve">the proposed Schedule of Charges requirements </w:t>
      </w:r>
      <w:r w:rsidR="001C678D">
        <w:t>will significantly increase the regulatory burden incurred by an infrastructure operator</w:t>
      </w:r>
      <w:r w:rsidR="004506B2">
        <w:t xml:space="preserve"> beyond that associated with the current rules</w:t>
      </w:r>
      <w:r w:rsidR="001C678D">
        <w:t>.</w:t>
      </w:r>
      <w:r w:rsidR="00C912D6">
        <w:t xml:space="preserve"> </w:t>
      </w:r>
      <w:r w:rsidR="00903932">
        <w:t xml:space="preserve">The ACCC maintains that it is important for customers of all infrastructure operators to be afforded a minimum, consistent level of transparency and that this can be achieved without placing a disproportionate burden on smaller infrastructure operators. </w:t>
      </w:r>
    </w:p>
    <w:p w:rsidR="00C912D6" w:rsidRDefault="00C912D6" w:rsidP="00C912D6">
      <w:pPr>
        <w:spacing w:before="120" w:after="0"/>
      </w:pPr>
      <w:r>
        <w:t>Consistent with the existing WCIR, the ACCC proposed that the requirements about the information to be included on a Schedule of Charges should apply to all operators.</w:t>
      </w:r>
      <w:r>
        <w:rPr>
          <w:rStyle w:val="FootnoteReference"/>
        </w:rPr>
        <w:footnoteReference w:id="305"/>
      </w:r>
      <w:r>
        <w:t xml:space="preserve"> Therefore, this rule advice does not increase the number of entities required to </w:t>
      </w:r>
      <w:r w:rsidR="00526449">
        <w:t>produce a Schedule of Charges</w:t>
      </w:r>
      <w:r>
        <w:t xml:space="preserve">. </w:t>
      </w:r>
    </w:p>
    <w:p w:rsidR="00CC3E6E" w:rsidRDefault="0048011C" w:rsidP="00DA5F2B">
      <w:pPr>
        <w:spacing w:before="120" w:after="0"/>
      </w:pPr>
      <w:r>
        <w:t xml:space="preserve">The ACCC acknowledges that </w:t>
      </w:r>
      <w:r w:rsidR="00903932">
        <w:t xml:space="preserve">operators </w:t>
      </w:r>
      <w:r>
        <w:t xml:space="preserve">are likely to </w:t>
      </w:r>
      <w:r w:rsidR="00903932">
        <w:t xml:space="preserve">incur some costs initially to update </w:t>
      </w:r>
      <w:r>
        <w:t xml:space="preserve">their </w:t>
      </w:r>
      <w:r w:rsidR="000A44CF">
        <w:t>S</w:t>
      </w:r>
      <w:r w:rsidR="00903932">
        <w:t xml:space="preserve">chedules of </w:t>
      </w:r>
      <w:r w:rsidR="000A44CF">
        <w:t>C</w:t>
      </w:r>
      <w:r w:rsidR="00903932">
        <w:t>harges</w:t>
      </w:r>
      <w:r>
        <w:t>. However</w:t>
      </w:r>
      <w:r w:rsidR="00903932">
        <w:t xml:space="preserve">, the ACCC notes that in many cases, smaller infrastructure operators have </w:t>
      </w:r>
      <w:r>
        <w:t>quite simple</w:t>
      </w:r>
      <w:r w:rsidR="00903932">
        <w:t xml:space="preserve"> tariff structures and the</w:t>
      </w:r>
      <w:r>
        <w:t>s</w:t>
      </w:r>
      <w:r w:rsidR="00903932">
        <w:t xml:space="preserve">e </w:t>
      </w:r>
      <w:r>
        <w:t xml:space="preserve">operators should in general </w:t>
      </w:r>
      <w:r w:rsidR="00903932">
        <w:t xml:space="preserve">only </w:t>
      </w:r>
      <w:r>
        <w:t xml:space="preserve">incur modest </w:t>
      </w:r>
      <w:r w:rsidR="00903932">
        <w:t>regulatory costs</w:t>
      </w:r>
      <w:r w:rsidR="00782E11">
        <w:t xml:space="preserve"> </w:t>
      </w:r>
      <w:r w:rsidR="00903932">
        <w:t>(over and above the existing requirements)</w:t>
      </w:r>
      <w:r w:rsidR="004209AC" w:rsidRPr="004209AC">
        <w:t xml:space="preserve"> </w:t>
      </w:r>
      <w:r w:rsidR="004209AC">
        <w:t>to modify their Schedules</w:t>
      </w:r>
      <w:r w:rsidR="00903932">
        <w:t xml:space="preserve">. </w:t>
      </w:r>
      <w:r>
        <w:t>As such, the ACCC expects that</w:t>
      </w:r>
      <w:r w:rsidR="004209AC">
        <w:t xml:space="preserve"> the</w:t>
      </w:r>
      <w:r>
        <w:t xml:space="preserve"> regulatory cost of the proposed amendments relating to Schedule of Charge requirements will largely be in proportion to the complexity of operators’ charging arrangements. </w:t>
      </w:r>
      <w:r w:rsidR="00F71555">
        <w:t xml:space="preserve">Beyond this, the ACCC notes that there is currently a high degree of variance in the information provided on a Schedule of Charges between operators, and that not all operators are currently providing all the information required under the current rules. As such, operators who have provided insufficient information in the past will be required to make a greater degree of change to their Schedules of Charges compared to those whose current </w:t>
      </w:r>
      <w:r w:rsidR="004209AC">
        <w:t>S</w:t>
      </w:r>
      <w:r w:rsidR="00F71555">
        <w:t>chedules provide more information.</w:t>
      </w:r>
    </w:p>
    <w:p w:rsidR="00903932" w:rsidRDefault="00B673BE" w:rsidP="00DA5F2B">
      <w:pPr>
        <w:spacing w:before="120" w:after="0"/>
      </w:pPr>
      <w:r>
        <w:t>The ACCC</w:t>
      </w:r>
      <w:r w:rsidR="000810EF">
        <w:t xml:space="preserve"> notes</w:t>
      </w:r>
      <w:r>
        <w:t xml:space="preserve"> the concern raised by NFF that smaller operators will be unable to comply with the proposed amendments due to not having the needed business system capabilities. In response, the ACCC notes a</w:t>
      </w:r>
      <w:r w:rsidR="00903932">
        <w:t xml:space="preserve">ll the information proposed to be included on a </w:t>
      </w:r>
      <w:r w:rsidR="000A44CF">
        <w:t>S</w:t>
      </w:r>
      <w:r w:rsidR="00903932">
        <w:t xml:space="preserve">chedule of </w:t>
      </w:r>
      <w:r w:rsidR="000A44CF">
        <w:t>C</w:t>
      </w:r>
      <w:r w:rsidR="00903932">
        <w:t xml:space="preserve">harges should be readily available to the infrastructure operator. Therefore, the ACCC maintains its position that the application of the rules relating to the information to be included on a </w:t>
      </w:r>
      <w:r w:rsidR="000A44CF">
        <w:t>S</w:t>
      </w:r>
      <w:r w:rsidR="00903932">
        <w:t xml:space="preserve">chedule of </w:t>
      </w:r>
      <w:r w:rsidR="000A44CF">
        <w:t>C</w:t>
      </w:r>
      <w:r w:rsidR="00903932">
        <w:t xml:space="preserve">harges should not distinguish between infrastructure operators based on their size (and ownership status). </w:t>
      </w:r>
      <w:r>
        <w:t xml:space="preserve">The ACCC also notes that several revisions to its advice (e.g. in relation to ‘pass-through’ of charges incurred by operators (section 5.13) and accounting for customer contributions in relation to termination fees (section 6.2.1)) have the effect that the proposed rules are less prescriptive than those recommended in the Draft Advice. This means that the </w:t>
      </w:r>
      <w:r w:rsidR="000810EF">
        <w:t xml:space="preserve">regulatory </w:t>
      </w:r>
      <w:r>
        <w:t>burden will be lessened. Overall, the ACCC is confident that the proposed amendments do not require operators to provide information that is beyond their current business system capabilities.</w:t>
      </w:r>
    </w:p>
    <w:p w:rsidR="004209AC" w:rsidRPr="004209AC" w:rsidRDefault="004209AC" w:rsidP="00526449">
      <w:pPr>
        <w:spacing w:before="120" w:after="0"/>
      </w:pPr>
      <w:r>
        <w:t>The ACCC is of the view that the proposed amendments will improve the level of consistency in the information provided to customers, which will make it easier for customers to understand their operator’s charging arrangements and compare charges across infrastructure operators. The ACCC considers that this information can be provided to customers while still providing operators with sufficient flexibility in how they set their charges and charging arrangements.</w:t>
      </w:r>
    </w:p>
    <w:p w:rsidR="00903932" w:rsidRDefault="004209AC" w:rsidP="00DA5F2B">
      <w:pPr>
        <w:spacing w:before="120" w:after="0"/>
      </w:pPr>
      <w:r>
        <w:t>I</w:t>
      </w:r>
      <w:r w:rsidR="00C912D6">
        <w:t>n recognition of</w:t>
      </w:r>
      <w:r w:rsidR="00903932">
        <w:t xml:space="preserve"> the importance of operator discretion, the ACCC maintains its position from the Draft Advice that the rules should not include a template </w:t>
      </w:r>
      <w:r w:rsidR="000A44CF">
        <w:t>S</w:t>
      </w:r>
      <w:r w:rsidR="00903932">
        <w:t xml:space="preserve">chedule of </w:t>
      </w:r>
      <w:r w:rsidR="000A44CF">
        <w:t>C</w:t>
      </w:r>
      <w:r w:rsidR="00903932">
        <w:t xml:space="preserve">harges that infrastructure operators must follow as a requirement of the water charge rules. However, the ACCC does agree with the </w:t>
      </w:r>
      <w:r w:rsidR="00874041">
        <w:t>VFF</w:t>
      </w:r>
      <w:r w:rsidR="00903932">
        <w:t xml:space="preserve"> that the publication of an ‘example’ </w:t>
      </w:r>
      <w:r w:rsidR="000A44CF">
        <w:t>S</w:t>
      </w:r>
      <w:r w:rsidR="00903932">
        <w:t xml:space="preserve">chedule of </w:t>
      </w:r>
      <w:r w:rsidR="000A44CF">
        <w:t>C</w:t>
      </w:r>
      <w:r w:rsidR="00903932">
        <w:t>harges</w:t>
      </w:r>
      <w:r w:rsidR="00D1759A">
        <w:t xml:space="preserve"> in ACCC guidance</w:t>
      </w:r>
      <w:r w:rsidR="00C6733C">
        <w:t xml:space="preserve"> </w:t>
      </w:r>
      <w:r w:rsidR="00903932">
        <w:t xml:space="preserve">could </w:t>
      </w:r>
      <w:r w:rsidR="00D1759A">
        <w:t xml:space="preserve">assist </w:t>
      </w:r>
      <w:r w:rsidR="003E4B82">
        <w:t xml:space="preserve">operators in complying with the rules </w:t>
      </w:r>
      <w:r w:rsidR="00903932">
        <w:t>in relation to the:</w:t>
      </w:r>
    </w:p>
    <w:p w:rsidR="00903932" w:rsidRDefault="00903932" w:rsidP="00F43856">
      <w:pPr>
        <w:pStyle w:val="ListParagraph"/>
        <w:numPr>
          <w:ilvl w:val="0"/>
          <w:numId w:val="51"/>
        </w:numPr>
        <w:tabs>
          <w:tab w:val="left" w:pos="340"/>
        </w:tabs>
        <w:spacing w:before="120" w:after="0"/>
        <w:contextualSpacing w:val="0"/>
      </w:pPr>
      <w:r>
        <w:t xml:space="preserve">amount of detail required to be published on the </w:t>
      </w:r>
      <w:r w:rsidR="000A44CF">
        <w:t>S</w:t>
      </w:r>
      <w:r>
        <w:t xml:space="preserve">chedule of </w:t>
      </w:r>
      <w:r w:rsidR="000A44CF">
        <w:t>C</w:t>
      </w:r>
      <w:r>
        <w:t>harges</w:t>
      </w:r>
    </w:p>
    <w:p w:rsidR="00903932" w:rsidRDefault="00903932" w:rsidP="00F43856">
      <w:pPr>
        <w:pStyle w:val="ListParagraph"/>
        <w:numPr>
          <w:ilvl w:val="0"/>
          <w:numId w:val="51"/>
        </w:numPr>
        <w:tabs>
          <w:tab w:val="left" w:pos="340"/>
        </w:tabs>
        <w:spacing w:before="120" w:after="0"/>
        <w:contextualSpacing w:val="0"/>
      </w:pPr>
      <w:r>
        <w:t>cha</w:t>
      </w:r>
      <w:r w:rsidR="00191639">
        <w:t>n</w:t>
      </w:r>
      <w:r>
        <w:t xml:space="preserve">ges that operators will be required to make to their existing </w:t>
      </w:r>
      <w:r w:rsidR="000A44CF">
        <w:t>S</w:t>
      </w:r>
      <w:r>
        <w:t xml:space="preserve">chedule of </w:t>
      </w:r>
      <w:r w:rsidR="000A44CF">
        <w:t>C</w:t>
      </w:r>
      <w:r>
        <w:t xml:space="preserve">harges. </w:t>
      </w:r>
    </w:p>
    <w:p w:rsidR="00C912D6" w:rsidRDefault="00F2523F" w:rsidP="00C912D6">
      <w:pPr>
        <w:pStyle w:val="Heading5"/>
      </w:pPr>
      <w:r>
        <w:t>General i</w:t>
      </w:r>
      <w:r w:rsidR="00C912D6">
        <w:t>nformation</w:t>
      </w:r>
    </w:p>
    <w:p w:rsidR="00903932" w:rsidRDefault="00903932" w:rsidP="00DA5F2B">
      <w:pPr>
        <w:spacing w:before="120" w:after="0"/>
      </w:pPr>
      <w:r>
        <w:t xml:space="preserve">The ACCC notes that in the Draft Advice it was proposed that </w:t>
      </w:r>
      <w:r w:rsidR="00917A92">
        <w:t xml:space="preserve">the rules should retain the requirement for </w:t>
      </w:r>
      <w:r>
        <w:t xml:space="preserve">operators </w:t>
      </w:r>
      <w:r w:rsidR="00917A92">
        <w:t xml:space="preserve">to </w:t>
      </w:r>
      <w:r>
        <w:t xml:space="preserve">list on their </w:t>
      </w:r>
      <w:r w:rsidR="000A44CF">
        <w:t>S</w:t>
      </w:r>
      <w:r>
        <w:t xml:space="preserve">chedule of </w:t>
      </w:r>
      <w:r w:rsidR="000A44CF">
        <w:t>C</w:t>
      </w:r>
      <w:r>
        <w:t xml:space="preserve">harges a statement setting out how charges were determined and </w:t>
      </w:r>
      <w:r w:rsidR="00917A92">
        <w:t xml:space="preserve">add that an operator should also list </w:t>
      </w:r>
      <w:r>
        <w:t>where customers can find out more</w:t>
      </w:r>
      <w:r w:rsidR="00917A92">
        <w:t xml:space="preserve"> </w:t>
      </w:r>
      <w:r w:rsidR="00442C9F">
        <w:t>information, and how they may participate in</w:t>
      </w:r>
      <w:r w:rsidR="00917A92">
        <w:t xml:space="preserve"> </w:t>
      </w:r>
      <w:r>
        <w:t>those processes. The inten</w:t>
      </w:r>
      <w:r w:rsidR="004737B6">
        <w:t>t</w:t>
      </w:r>
      <w:r>
        <w:t xml:space="preserve">ion of this statement is to provide transparency about the operator’s processes for determining charges such that customers can engage in, or query, those processes. The ACCC acknowledges that the </w:t>
      </w:r>
      <w:r w:rsidR="00CF6842">
        <w:t>NSP</w:t>
      </w:r>
      <w:r>
        <w:t xml:space="preserve"> and associated consultation process may be one of the processes that the operator uses to determine its charges. However, to the extent that an operator is still required to produce a </w:t>
      </w:r>
      <w:r w:rsidR="00CF6842">
        <w:t>NSP</w:t>
      </w:r>
      <w:r>
        <w:t xml:space="preserve"> – because either it is a requirement within the Basin State or the ACCC’s proposed amendment to repeal Part 5 is not accepted –</w:t>
      </w:r>
      <w:r w:rsidR="00917A92">
        <w:t xml:space="preserve"> and produce the information statement about the process for determining its charges and how to participate in that process, </w:t>
      </w:r>
      <w:r>
        <w:t xml:space="preserve">the ACCC is of the view that this will still not represent significant duplication. An operator can simply list that this is one of the processes that it uses to determine its charges – it does not have to duplicate any of the information contained in the </w:t>
      </w:r>
      <w:r w:rsidR="00CF6842">
        <w:t>NSP</w:t>
      </w:r>
      <w:r>
        <w:t xml:space="preserve"> or consultation process itself. </w:t>
      </w:r>
    </w:p>
    <w:p w:rsidR="00903932" w:rsidRDefault="00903932" w:rsidP="00DA5F2B">
      <w:pPr>
        <w:spacing w:before="120" w:after="0"/>
      </w:pPr>
      <w:r>
        <w:t xml:space="preserve">The ACCC further notes that if the Minister accepts the ACCC’s proposal to repeal </w:t>
      </w:r>
      <w:r w:rsidR="004737B6">
        <w:t>Part 5 of the rules (</w:t>
      </w:r>
      <w:r>
        <w:t xml:space="preserve">the </w:t>
      </w:r>
      <w:r w:rsidR="00CF6842">
        <w:t>NSP</w:t>
      </w:r>
      <w:r w:rsidR="004737B6">
        <w:t xml:space="preserve"> requirements)</w:t>
      </w:r>
      <w:r>
        <w:t>, then the proposed statement about how charges were determined and where customers can find out more about those processes represents a significant reduction in regulatory costs for existing Part 5 operators</w:t>
      </w:r>
      <w:r w:rsidR="004737B6">
        <w:t xml:space="preserve"> (s</w:t>
      </w:r>
      <w:r>
        <w:t>ee section</w:t>
      </w:r>
      <w:r w:rsidR="00F24188">
        <w:t>s 4.7 and</w:t>
      </w:r>
      <w:r>
        <w:t xml:space="preserve"> 5.5 for further discussion</w:t>
      </w:r>
      <w:r w:rsidR="004737B6">
        <w:t>)</w:t>
      </w:r>
      <w:r>
        <w:t>.</w:t>
      </w:r>
    </w:p>
    <w:p w:rsidR="00903932" w:rsidRDefault="00903932" w:rsidP="00F2523F">
      <w:pPr>
        <w:spacing w:before="120" w:after="0"/>
      </w:pPr>
      <w:r>
        <w:t xml:space="preserve">The ACCC agrees with SunWater’s view that operators could be more transparent about government policies, subsidies and the consequential impact on charges. The ACCC considers that </w:t>
      </w:r>
      <w:r w:rsidR="00F2523F">
        <w:t xml:space="preserve">the proposed general information to be included in a Schedule of Charges is likely to such details where they are material to </w:t>
      </w:r>
      <w:r>
        <w:t>an infrastructure operator’s decision about the structure and level of its charges</w:t>
      </w:r>
      <w:r w:rsidR="00F2523F">
        <w:t xml:space="preserve">. </w:t>
      </w:r>
      <w:r>
        <w:t xml:space="preserve">Additionally, the ACCC is proposing further amendments in section 5.6 to more clearly take into account government policies and subsidies in the approval / determination of infrastructure charges. </w:t>
      </w:r>
    </w:p>
    <w:p w:rsidR="00903932" w:rsidRPr="00084909" w:rsidRDefault="00C575D4" w:rsidP="00D17F9C">
      <w:pPr>
        <w:pStyle w:val="Heading5"/>
      </w:pPr>
      <w:r>
        <w:t>Discounts and surcharges</w:t>
      </w:r>
    </w:p>
    <w:p w:rsidR="00D43A19" w:rsidRDefault="00903932" w:rsidP="00DA5F2B">
      <w:pPr>
        <w:spacing w:before="120" w:after="0"/>
      </w:pPr>
      <w:r>
        <w:t xml:space="preserve">The ACCC notes that the proposed rule amendment in the Draft Advice relating to the information that must be included on a </w:t>
      </w:r>
      <w:r w:rsidR="000A44CF">
        <w:t>S</w:t>
      </w:r>
      <w:r>
        <w:t xml:space="preserve">chedule of </w:t>
      </w:r>
      <w:r w:rsidR="000A44CF">
        <w:t>C</w:t>
      </w:r>
      <w:r>
        <w:t xml:space="preserve">harges does not clearly require general discounts and surcharges to be listed (e.g. for the early / late payment of an invoice). The ACCC considers that general discounts / surcharges should be set out on a </w:t>
      </w:r>
      <w:r w:rsidR="000A44CF">
        <w:t>S</w:t>
      </w:r>
      <w:r>
        <w:t xml:space="preserve">chedule of </w:t>
      </w:r>
      <w:r w:rsidR="000A44CF">
        <w:t>C</w:t>
      </w:r>
      <w:r>
        <w:t>harges, along with the circumstances in which they would apply. This should apply to discounts / surcharges applicable to a particular charge or charges, or discounts / surcharges on the overall amount paid by the customer. However, any such requirement should not extend to discounts provided to an individual customer or customers for reasons of the customer(s) hardship</w:t>
      </w:r>
      <w:r w:rsidR="00D43A19">
        <w:t xml:space="preserve"> or</w:t>
      </w:r>
      <w:r>
        <w:t xml:space="preserve"> in recognition of service disruption</w:t>
      </w:r>
      <w:r w:rsidR="00C575D4">
        <w:t xml:space="preserve"> (see </w:t>
      </w:r>
      <w:r w:rsidR="006902AA">
        <w:t>section </w:t>
      </w:r>
      <w:r w:rsidR="00C575D4">
        <w:t>5.4.3)</w:t>
      </w:r>
      <w:r w:rsidR="00D43A19">
        <w:t>.</w:t>
      </w:r>
    </w:p>
    <w:p w:rsidR="00C575D4" w:rsidRDefault="00C575D4" w:rsidP="00D17F9C">
      <w:pPr>
        <w:pStyle w:val="Heading5"/>
      </w:pPr>
      <w:r>
        <w:t>Interaction with rule 7</w:t>
      </w:r>
      <w:r w:rsidR="00891D16">
        <w:t xml:space="preserve"> (conditions applying to infrastructure charges</w:t>
      </w:r>
      <w:r w:rsidR="00856CF7">
        <w:t xml:space="preserve"> and planning and management charges</w:t>
      </w:r>
      <w:r w:rsidR="00891D16">
        <w:t>)</w:t>
      </w:r>
    </w:p>
    <w:p w:rsidR="00903932" w:rsidRDefault="00903932" w:rsidP="00DA5F2B">
      <w:pPr>
        <w:spacing w:before="120" w:after="0"/>
      </w:pPr>
      <w:r>
        <w:t xml:space="preserve">Rule 7 of the WCIR </w:t>
      </w:r>
      <w:r w:rsidR="00856CF7">
        <w:t xml:space="preserve">currently </w:t>
      </w:r>
      <w:r>
        <w:t xml:space="preserve">includes a requirement that an infrastructure charge cannot be levied unless it is set out on a </w:t>
      </w:r>
      <w:r w:rsidR="000A44CF">
        <w:t xml:space="preserve">Schedule </w:t>
      </w:r>
      <w:r>
        <w:t xml:space="preserve">of </w:t>
      </w:r>
      <w:r w:rsidR="000A44CF">
        <w:t>C</w:t>
      </w:r>
      <w:r>
        <w:t xml:space="preserve">harges </w:t>
      </w:r>
      <w:r>
        <w:rPr>
          <w:i/>
        </w:rPr>
        <w:t xml:space="preserve">that has been provided to the customer </w:t>
      </w:r>
      <w:r w:rsidRPr="00F910F4">
        <w:rPr>
          <w:i/>
        </w:rPr>
        <w:t>within the specified timeframes</w:t>
      </w:r>
      <w:r>
        <w:t>. In the Draft Advice, the ACCC sought to divide this into t</w:t>
      </w:r>
      <w:r w:rsidR="00856CF7">
        <w:t>hree</w:t>
      </w:r>
      <w:r>
        <w:t xml:space="preserve"> separate </w:t>
      </w:r>
      <w:r w:rsidR="00856CF7">
        <w:t xml:space="preserve">(express) </w:t>
      </w:r>
      <w:r>
        <w:t>requirements:</w:t>
      </w:r>
    </w:p>
    <w:p w:rsidR="00856CF7" w:rsidRDefault="00856CF7" w:rsidP="00F43856">
      <w:pPr>
        <w:pStyle w:val="ListParagraph"/>
        <w:numPr>
          <w:ilvl w:val="0"/>
          <w:numId w:val="52"/>
        </w:numPr>
        <w:tabs>
          <w:tab w:val="left" w:pos="340"/>
        </w:tabs>
        <w:spacing w:before="120" w:after="0"/>
        <w:contextualSpacing w:val="0"/>
      </w:pPr>
      <w:r>
        <w:t>that an operator’s Schedule of Charges must include all the relevant information prescribed in the rules (replacing the definition of a Schedule of Charges in rule 4 of the WCIR);</w:t>
      </w:r>
    </w:p>
    <w:p w:rsidR="00903932" w:rsidRDefault="00903932" w:rsidP="00F43856">
      <w:pPr>
        <w:pStyle w:val="ListParagraph"/>
        <w:numPr>
          <w:ilvl w:val="0"/>
          <w:numId w:val="52"/>
        </w:numPr>
        <w:tabs>
          <w:tab w:val="left" w:pos="340"/>
        </w:tabs>
        <w:spacing w:before="120" w:after="0"/>
        <w:contextualSpacing w:val="0"/>
      </w:pPr>
      <w:r>
        <w:t xml:space="preserve">that an operator </w:t>
      </w:r>
      <w:r w:rsidR="002A6F5E">
        <w:t xml:space="preserve">must </w:t>
      </w:r>
      <w:r>
        <w:t xml:space="preserve">not levy a charge unless it is on their </w:t>
      </w:r>
      <w:r w:rsidR="000A44CF">
        <w:t>S</w:t>
      </w:r>
      <w:r>
        <w:t xml:space="preserve">chedule of </w:t>
      </w:r>
      <w:r w:rsidR="000A44CF">
        <w:t>C</w:t>
      </w:r>
      <w:r>
        <w:t>harges</w:t>
      </w:r>
      <w:r w:rsidR="00856CF7">
        <w:t>;</w:t>
      </w:r>
    </w:p>
    <w:p w:rsidR="00903932" w:rsidRDefault="00903932" w:rsidP="00F43856">
      <w:pPr>
        <w:pStyle w:val="ListParagraph"/>
        <w:numPr>
          <w:ilvl w:val="0"/>
          <w:numId w:val="52"/>
        </w:numPr>
        <w:tabs>
          <w:tab w:val="left" w:pos="340"/>
        </w:tabs>
        <w:spacing w:before="120" w:after="0"/>
        <w:contextualSpacing w:val="0"/>
      </w:pPr>
      <w:r>
        <w:t xml:space="preserve">that an operator </w:t>
      </w:r>
      <w:r w:rsidR="002A6F5E">
        <w:t xml:space="preserve">must </w:t>
      </w:r>
      <w:r>
        <w:t>send</w:t>
      </w:r>
      <w:r w:rsidR="00A74EAF">
        <w:t xml:space="preserve"> / publish</w:t>
      </w:r>
      <w:r>
        <w:t xml:space="preserve"> their </w:t>
      </w:r>
      <w:r w:rsidR="000A44CF">
        <w:t>S</w:t>
      </w:r>
      <w:r>
        <w:t xml:space="preserve">chedule of </w:t>
      </w:r>
      <w:r w:rsidR="000A44CF">
        <w:t>C</w:t>
      </w:r>
      <w:r>
        <w:t>harges within specified timeframes.</w:t>
      </w:r>
      <w:r w:rsidR="00C6733C">
        <w:t xml:space="preserve"> </w:t>
      </w:r>
    </w:p>
    <w:p w:rsidR="00C575D4" w:rsidRDefault="00903932" w:rsidP="00DA5F2B">
      <w:pPr>
        <w:spacing w:before="120" w:after="0"/>
      </w:pPr>
      <w:r>
        <w:t>The intent of th</w:t>
      </w:r>
      <w:r w:rsidR="00A74EAF">
        <w:t>ese</w:t>
      </w:r>
      <w:r>
        <w:t xml:space="preserve"> amendment</w:t>
      </w:r>
      <w:r w:rsidR="00A74EAF">
        <w:t>s</w:t>
      </w:r>
      <w:r>
        <w:t xml:space="preserve"> </w:t>
      </w:r>
      <w:r w:rsidR="00856CF7">
        <w:t>was</w:t>
      </w:r>
      <w:r>
        <w:t xml:space="preserve"> to improve the operation of the rules such that </w:t>
      </w:r>
      <w:r w:rsidR="00856CF7">
        <w:t xml:space="preserve">(unlike the existing rules) </w:t>
      </w:r>
      <w:r>
        <w:t xml:space="preserve">an operator would not be penalised for, or prevented from, levying a charge that </w:t>
      </w:r>
      <w:r w:rsidRPr="00B1096F">
        <w:rPr>
          <w:i/>
        </w:rPr>
        <w:t>was</w:t>
      </w:r>
      <w:r>
        <w:t xml:space="preserve"> listed on their </w:t>
      </w:r>
      <w:r w:rsidR="000A44CF">
        <w:t>S</w:t>
      </w:r>
      <w:r>
        <w:t xml:space="preserve">chedule of </w:t>
      </w:r>
      <w:r w:rsidR="000A44CF">
        <w:t>C</w:t>
      </w:r>
      <w:r>
        <w:t>harges but</w:t>
      </w:r>
      <w:r w:rsidR="00D1759A">
        <w:t>,</w:t>
      </w:r>
      <w:r>
        <w:t xml:space="preserve"> for one reason or another</w:t>
      </w:r>
      <w:r w:rsidR="00D1759A">
        <w:t>,</w:t>
      </w:r>
      <w:r w:rsidR="00B34F4C">
        <w:t xml:space="preserve"> the Schedule</w:t>
      </w:r>
      <w:r>
        <w:t xml:space="preserve"> had not been </w:t>
      </w:r>
      <w:r w:rsidRPr="00D00F2C">
        <w:rPr>
          <w:i/>
        </w:rPr>
        <w:t>provided</w:t>
      </w:r>
      <w:r>
        <w:t xml:space="preserve"> to the customer.</w:t>
      </w:r>
      <w:r>
        <w:rPr>
          <w:rStyle w:val="FootnoteReference"/>
        </w:rPr>
        <w:footnoteReference w:id="306"/>
      </w:r>
      <w:r>
        <w:t xml:space="preserve"> The ACCC also proposed that</w:t>
      </w:r>
      <w:r w:rsidR="00A74EAF">
        <w:t xml:space="preserve"> these</w:t>
      </w:r>
      <w:r>
        <w:t xml:space="preserve"> requirement</w:t>
      </w:r>
      <w:r w:rsidR="00A74EAF">
        <w:t>s</w:t>
      </w:r>
      <w:r w:rsidR="004F6BD0">
        <w:t xml:space="preserve"> </w:t>
      </w:r>
      <w:r>
        <w:t>should be extended to other persons levying planning and management charges, consistent with the ACCC’s proposed advice to harmonise the requirements for infrastructure</w:t>
      </w:r>
      <w:r w:rsidR="00084909">
        <w:t xml:space="preserve"> charges</w:t>
      </w:r>
      <w:r>
        <w:t xml:space="preserve"> and planning and management charges. </w:t>
      </w:r>
    </w:p>
    <w:p w:rsidR="00903932" w:rsidRDefault="00903932" w:rsidP="00DA5F2B">
      <w:pPr>
        <w:spacing w:before="120" w:after="0"/>
      </w:pPr>
      <w:r>
        <w:t>The ACCC maintains th</w:t>
      </w:r>
      <w:r w:rsidR="002100D8">
        <w:t>e intent of these</w:t>
      </w:r>
      <w:r>
        <w:t xml:space="preserve"> </w:t>
      </w:r>
      <w:r w:rsidR="002100D8">
        <w:t>amendments in the Final Advice</w:t>
      </w:r>
      <w:r>
        <w:t>;</w:t>
      </w:r>
      <w:r w:rsidR="00C6733C">
        <w:t xml:space="preserve"> </w:t>
      </w:r>
      <w:r>
        <w:t xml:space="preserve">however, </w:t>
      </w:r>
      <w:r w:rsidR="00A74EAF">
        <w:t xml:space="preserve">in relation to requirement (ii), </w:t>
      </w:r>
      <w:r>
        <w:t>the proposed rule 7 published with the Draft Advice only require</w:t>
      </w:r>
      <w:r w:rsidR="002A6F5E">
        <w:t>d</w:t>
      </w:r>
      <w:r>
        <w:t xml:space="preserve"> that a charge </w:t>
      </w:r>
      <w:r>
        <w:rPr>
          <w:i/>
        </w:rPr>
        <w:t xml:space="preserve">not exceed </w:t>
      </w:r>
      <w:r>
        <w:t xml:space="preserve">the amount listed on the </w:t>
      </w:r>
      <w:r w:rsidR="000A44CF">
        <w:t>S</w:t>
      </w:r>
      <w:r>
        <w:t xml:space="preserve">chedule of </w:t>
      </w:r>
      <w:r w:rsidR="000A44CF">
        <w:t>C</w:t>
      </w:r>
      <w:r>
        <w:t>harges</w:t>
      </w:r>
      <w:r w:rsidR="00B76E75">
        <w:t xml:space="preserve">. </w:t>
      </w:r>
      <w:r>
        <w:t>The ACCC’s Final Advice clarif</w:t>
      </w:r>
      <w:r w:rsidR="00DD4B68">
        <w:t>ies</w:t>
      </w:r>
      <w:r>
        <w:t xml:space="preserve"> the wording of the proposed amendment, to reflect the policy intent. That is, that an infrastructure operator (or other relevant person) can only levy an infrastructure charge or planning and management charge if:</w:t>
      </w:r>
    </w:p>
    <w:p w:rsidR="00903932" w:rsidRDefault="00A35F2E" w:rsidP="00A82DE6">
      <w:pPr>
        <w:pStyle w:val="Lvl1Bulletpoint"/>
      </w:pPr>
      <w:r>
        <w:t xml:space="preserve">the charge is </w:t>
      </w:r>
      <w:r w:rsidR="002A6F5E">
        <w:t>specified in</w:t>
      </w:r>
      <w:r>
        <w:t xml:space="preserve"> the Schedule of Charges in effect at the time </w:t>
      </w:r>
      <w:r w:rsidR="00903932">
        <w:t>the infrastructure service is provided</w:t>
      </w:r>
      <w:r w:rsidR="00B34F4C">
        <w:t xml:space="preserve"> </w:t>
      </w:r>
      <w:r>
        <w:t>(</w:t>
      </w:r>
      <w:r w:rsidR="00B34F4C">
        <w:t>and for planning and management charges</w:t>
      </w:r>
      <w:r>
        <w:t>-</w:t>
      </w:r>
      <w:r w:rsidR="00B34F4C">
        <w:t xml:space="preserve"> </w:t>
      </w:r>
      <w:r>
        <w:t xml:space="preserve">at </w:t>
      </w:r>
      <w:r w:rsidR="00B34F4C">
        <w:t>the time the circumstances set out in the Schedule of Charges for incurring the charge are met</w:t>
      </w:r>
      <w:r w:rsidR="00903932">
        <w:t>) and</w:t>
      </w:r>
    </w:p>
    <w:p w:rsidR="00903932" w:rsidRDefault="00A35F2E" w:rsidP="00A82DE6">
      <w:pPr>
        <w:pStyle w:val="Lvl1Bulletpoint"/>
      </w:pPr>
      <w:r>
        <w:t xml:space="preserve">the charge is </w:t>
      </w:r>
      <w:r w:rsidR="00903932">
        <w:t xml:space="preserve">levied in accordance with that </w:t>
      </w:r>
      <w:r w:rsidR="000A44CF">
        <w:t>S</w:t>
      </w:r>
      <w:r w:rsidR="00903932">
        <w:t xml:space="preserve">chedule of </w:t>
      </w:r>
      <w:r w:rsidR="000A44CF">
        <w:t>C</w:t>
      </w:r>
      <w:r w:rsidR="00903932">
        <w:t xml:space="preserve">harges (i.e. at the amount </w:t>
      </w:r>
      <w:r w:rsidR="00A27DFB">
        <w:t>or</w:t>
      </w:r>
      <w:r w:rsidR="00903932">
        <w:t xml:space="preserve"> rate</w:t>
      </w:r>
      <w:r w:rsidR="00A27DFB">
        <w:t xml:space="preserve"> and in the</w:t>
      </w:r>
      <w:r w:rsidR="00C6733C">
        <w:t xml:space="preserve"> </w:t>
      </w:r>
      <w:r w:rsidR="00903932">
        <w:t>circumstances s</w:t>
      </w:r>
      <w:r w:rsidR="00A27DFB">
        <w:t>pecified</w:t>
      </w:r>
      <w:r w:rsidR="00903932">
        <w:t xml:space="preserve"> in the </w:t>
      </w:r>
      <w:r w:rsidR="000A44CF">
        <w:t>S</w:t>
      </w:r>
      <w:r w:rsidR="00903932">
        <w:t xml:space="preserve">chedule of </w:t>
      </w:r>
      <w:r w:rsidR="000A44CF">
        <w:t>C</w:t>
      </w:r>
      <w:r w:rsidR="00903932">
        <w:t>harges).</w:t>
      </w:r>
    </w:p>
    <w:p w:rsidR="005661CB" w:rsidRDefault="004A512A" w:rsidP="00DA5F2B">
      <w:pPr>
        <w:spacing w:before="120" w:after="0"/>
      </w:pPr>
      <w:r>
        <w:t>Further</w:t>
      </w:r>
      <w:r w:rsidR="00B34F4C">
        <w:t xml:space="preserve">, </w:t>
      </w:r>
      <w:r>
        <w:t xml:space="preserve">since releasing the Draft Advice and </w:t>
      </w:r>
      <w:r w:rsidR="002A6F5E">
        <w:t xml:space="preserve">after </w:t>
      </w:r>
      <w:r>
        <w:t xml:space="preserve">considering stakeholder feedback, </w:t>
      </w:r>
      <w:r w:rsidR="00B34F4C">
        <w:t>t</w:t>
      </w:r>
      <w:r w:rsidR="00903932">
        <w:t xml:space="preserve">he ACCC </w:t>
      </w:r>
      <w:r w:rsidR="00A35F2E">
        <w:t xml:space="preserve">considers that it is necessary to ensure that the rules provide scope for some charges to be levied despite not being </w:t>
      </w:r>
      <w:r w:rsidR="002A6F5E">
        <w:t>specified in</w:t>
      </w:r>
      <w:r w:rsidR="00A35F2E">
        <w:t xml:space="preserve"> a Schedule of Charges</w:t>
      </w:r>
      <w:r>
        <w:t xml:space="preserve">. </w:t>
      </w:r>
      <w:r w:rsidR="005661CB">
        <w:t>The ACCC proposes to allow for a degree of retrospectivity in certain circumstances where it is not practicable for the operator or person to publish those charges before providing an infrastructure service (or circumstances for incurring a charge are met). The ACCC considers that in these circumstances, an operator should not be prevented from levying a charge until it adopts a new Schedule of Charges</w:t>
      </w:r>
      <w:r w:rsidR="00EB1B89">
        <w:t>,</w:t>
      </w:r>
      <w:r w:rsidR="005661CB">
        <w:t xml:space="preserve"> </w:t>
      </w:r>
      <w:r w:rsidR="00EB1B89">
        <w:t>n</w:t>
      </w:r>
      <w:r w:rsidR="005661CB">
        <w:t xml:space="preserve">or be </w:t>
      </w:r>
      <w:r w:rsidR="00EB1B89">
        <w:t xml:space="preserve">required </w:t>
      </w:r>
      <w:r w:rsidR="005661CB">
        <w:t xml:space="preserve">to incur </w:t>
      </w:r>
      <w:r w:rsidR="00EB1B89">
        <w:t xml:space="preserve">the </w:t>
      </w:r>
      <w:r w:rsidR="005661CB">
        <w:t xml:space="preserve">costs </w:t>
      </w:r>
      <w:r w:rsidR="00EB1B89">
        <w:t>entailed in</w:t>
      </w:r>
      <w:r w:rsidR="005661CB">
        <w:t xml:space="preserve"> re-send</w:t>
      </w:r>
      <w:r w:rsidR="00EB1B89">
        <w:t>ing and</w:t>
      </w:r>
      <w:r w:rsidR="005661CB">
        <w:t xml:space="preserve"> re-publish</w:t>
      </w:r>
      <w:r w:rsidR="00EB1B89">
        <w:t>ing</w:t>
      </w:r>
      <w:r w:rsidR="005661CB">
        <w:t xml:space="preserve"> a Schedule of Charges within a short period of time</w:t>
      </w:r>
      <w:r w:rsidR="00B76E75">
        <w:t xml:space="preserve"> before it can levy the charge</w:t>
      </w:r>
      <w:r w:rsidR="005661CB">
        <w:t>.</w:t>
      </w:r>
    </w:p>
    <w:p w:rsidR="00B34F4C" w:rsidRDefault="004A512A" w:rsidP="00DA5F2B">
      <w:pPr>
        <w:spacing w:before="120" w:after="0"/>
      </w:pPr>
      <w:r>
        <w:t>The rules provide for these exemptions and retrospective application of charges</w:t>
      </w:r>
      <w:r w:rsidR="00B34F4C">
        <w:t xml:space="preserve"> in the following limited circumstances:</w:t>
      </w:r>
      <w:r w:rsidR="00903932">
        <w:t xml:space="preserve"> </w:t>
      </w:r>
    </w:p>
    <w:p w:rsidR="007D1074" w:rsidRDefault="004A512A" w:rsidP="00F43856">
      <w:pPr>
        <w:pStyle w:val="ListParagraph"/>
        <w:numPr>
          <w:ilvl w:val="0"/>
          <w:numId w:val="78"/>
        </w:numPr>
        <w:spacing w:before="120" w:after="0"/>
      </w:pPr>
      <w:r>
        <w:t>C</w:t>
      </w:r>
      <w:r w:rsidR="000A4485">
        <w:t xml:space="preserve">harges </w:t>
      </w:r>
      <w:r w:rsidR="002A6F5E">
        <w:t>levied under the proposed “pass-through rule” (rule 9A)</w:t>
      </w:r>
      <w:r w:rsidR="00B76E75">
        <w:t xml:space="preserve"> </w:t>
      </w:r>
      <w:r w:rsidR="002A6F5E">
        <w:t>may</w:t>
      </w:r>
      <w:r w:rsidR="000A4485">
        <w:t xml:space="preserve"> apply retrospectively</w:t>
      </w:r>
      <w:r>
        <w:t xml:space="preserve"> (up to </w:t>
      </w:r>
      <w:r w:rsidR="00EB78F8">
        <w:t>the time the charges incurred by the operator commenced</w:t>
      </w:r>
      <w:r>
        <w:t>)</w:t>
      </w:r>
      <w:r w:rsidR="000A4485">
        <w:t xml:space="preserve"> </w:t>
      </w:r>
      <w:r w:rsidR="007D1074">
        <w:t>(see section 5.4.2 and section 5.13)</w:t>
      </w:r>
    </w:p>
    <w:p w:rsidR="00B34F4C" w:rsidRDefault="004A512A" w:rsidP="00F43856">
      <w:pPr>
        <w:pStyle w:val="ListParagraph"/>
        <w:numPr>
          <w:ilvl w:val="0"/>
          <w:numId w:val="78"/>
        </w:numPr>
        <w:spacing w:before="120" w:after="0"/>
      </w:pPr>
      <w:r>
        <w:t>C</w:t>
      </w:r>
      <w:r w:rsidR="007D1074">
        <w:t xml:space="preserve">harges are allowed to apply retrospectively due to a delay in the approval or determination of </w:t>
      </w:r>
      <w:r>
        <w:t xml:space="preserve">a person’s </w:t>
      </w:r>
      <w:r w:rsidR="007D1074">
        <w:t>infrastructure charges or planning and management charges</w:t>
      </w:r>
      <w:r>
        <w:t xml:space="preserve"> that are determined by another entity</w:t>
      </w:r>
      <w:r w:rsidR="00B34F4C">
        <w:t xml:space="preserve"> (see section 5.4.2).</w:t>
      </w:r>
    </w:p>
    <w:p w:rsidR="007D1074" w:rsidRDefault="009D4B6C" w:rsidP="00F43856">
      <w:pPr>
        <w:pStyle w:val="ListParagraph"/>
        <w:numPr>
          <w:ilvl w:val="0"/>
          <w:numId w:val="78"/>
        </w:numPr>
        <w:spacing w:before="120" w:after="0"/>
      </w:pPr>
      <w:r>
        <w:t>S</w:t>
      </w:r>
      <w:r w:rsidR="0002756A">
        <w:t xml:space="preserve">ome </w:t>
      </w:r>
      <w:r>
        <w:t xml:space="preserve">infrastructure </w:t>
      </w:r>
      <w:r w:rsidR="0002756A">
        <w:t xml:space="preserve">charges do not need to be </w:t>
      </w:r>
      <w:r w:rsidR="004A512A">
        <w:t xml:space="preserve">included on a Schedule of Charges </w:t>
      </w:r>
      <w:r w:rsidR="00AD3A83">
        <w:t xml:space="preserve">(i) </w:t>
      </w:r>
      <w:r w:rsidR="0002756A">
        <w:t xml:space="preserve">at all, or </w:t>
      </w:r>
      <w:r w:rsidR="00AD3A83">
        <w:t xml:space="preserve">(ii) until the operator next adopts a </w:t>
      </w:r>
      <w:r w:rsidR="007D1074">
        <w:t xml:space="preserve">new </w:t>
      </w:r>
      <w:r w:rsidR="00B1638F">
        <w:t>S</w:t>
      </w:r>
      <w:r w:rsidR="00AD3A83">
        <w:t xml:space="preserve">chedule of </w:t>
      </w:r>
      <w:r w:rsidR="00B1638F">
        <w:t>C</w:t>
      </w:r>
      <w:r w:rsidR="00AD3A83">
        <w:t>harges</w:t>
      </w:r>
      <w:r w:rsidR="004A512A">
        <w:t xml:space="preserve"> (see section 5.4.3)</w:t>
      </w:r>
      <w:r w:rsidR="0002756A">
        <w:t xml:space="preserve">. </w:t>
      </w:r>
    </w:p>
    <w:p w:rsidR="00903932" w:rsidRDefault="00EB78F8" w:rsidP="007D1074">
      <w:pPr>
        <w:spacing w:before="120" w:after="0"/>
      </w:pPr>
      <w:r>
        <w:t xml:space="preserve">In these circumstances, the proposed requirements in rule 7 will not preclude a person (including an infrastructure operator) from levying an infrastructure charge or planning and management charge despite the charge not being listed on the Schedule of Charges </w:t>
      </w:r>
      <w:r w:rsidRPr="00EB1B89">
        <w:t>at the time</w:t>
      </w:r>
      <w:r w:rsidRPr="00B34F4C">
        <w:rPr>
          <w:i/>
        </w:rPr>
        <w:t xml:space="preserve"> </w:t>
      </w:r>
      <w:r w:rsidRPr="006416F0">
        <w:t>the infrastructure service is provided</w:t>
      </w:r>
      <w:r>
        <w:t xml:space="preserve"> (or, for a planning and management charge, at the time the circumstances for incurring the charge are met).</w:t>
      </w:r>
    </w:p>
    <w:p w:rsidR="00C575D4" w:rsidRDefault="00C575D4" w:rsidP="00D17F9C">
      <w:pPr>
        <w:pStyle w:val="Heading5"/>
      </w:pPr>
      <w:r>
        <w:t>Interactio</w:t>
      </w:r>
      <w:r w:rsidR="00891D16">
        <w:t>n with rule 9A (pass-through requirements)</w:t>
      </w:r>
    </w:p>
    <w:p w:rsidR="00903932" w:rsidRDefault="00903932" w:rsidP="00DA5F2B">
      <w:pPr>
        <w:spacing w:before="120" w:after="0"/>
      </w:pPr>
      <w:r>
        <w:t xml:space="preserve">In the Draft Advice, the ACCC proposed detailed rules about how certain categories of pass-through charges must be recovered to address concerns about the transparency of cost pass-throughs and to ensure that the pass-through mechanism does not distort customer decision-making (see section 5.13). Accordingly, the ACCC proposed that operators should be required to provide certain information on their </w:t>
      </w:r>
      <w:r w:rsidR="000A44CF">
        <w:t>S</w:t>
      </w:r>
      <w:r>
        <w:t xml:space="preserve">chedule of </w:t>
      </w:r>
      <w:r w:rsidR="000A44CF">
        <w:t>C</w:t>
      </w:r>
      <w:r>
        <w:t>harges about these cost pass-throughs including:</w:t>
      </w:r>
    </w:p>
    <w:p w:rsidR="00903932" w:rsidRDefault="00903932" w:rsidP="00A82DE6">
      <w:pPr>
        <w:pStyle w:val="Lvl1Bulletpoint"/>
      </w:pPr>
      <w:r>
        <w:t>for each planning and management charge recovered from customers in accordance with proposed rule 9A – the name of the entity levying the charge on the infrastructure operator</w:t>
      </w:r>
    </w:p>
    <w:p w:rsidR="00903932" w:rsidRDefault="00903932" w:rsidP="00A82DE6">
      <w:pPr>
        <w:pStyle w:val="Lvl1Bulletpoint"/>
      </w:pPr>
      <w:r>
        <w:t>for each infrastructure charge levied in accordance with proposed rule 9A – the name, amount and entity levying the charge being recovered and how the infrastructure charge levied by the infrastructure operator was determined.</w:t>
      </w:r>
    </w:p>
    <w:p w:rsidR="00903932" w:rsidRDefault="00903932" w:rsidP="00DA5F2B">
      <w:pPr>
        <w:spacing w:before="120" w:after="0"/>
      </w:pPr>
      <w:r>
        <w:t>In the Final Advice, the ACCC maintains the policy intent of the cost pass-through requirements but proposes to achieve this intent through simpler, less prescriptive rules</w:t>
      </w:r>
      <w:r w:rsidR="00657978">
        <w:t xml:space="preserve"> (see section 5.13)</w:t>
      </w:r>
      <w:r>
        <w:t xml:space="preserve">. Accordingly, </w:t>
      </w:r>
      <w:r w:rsidR="00657978">
        <w:t xml:space="preserve">in the </w:t>
      </w:r>
      <w:r w:rsidR="000A4485">
        <w:t>information</w:t>
      </w:r>
      <w:r w:rsidR="00657978">
        <w:t xml:space="preserve"> requirements for the Schedule of Charges, </w:t>
      </w:r>
      <w:r w:rsidR="00C575D4">
        <w:t xml:space="preserve">the ACCC is proposing that an infrastructure operator only be required to set out </w:t>
      </w:r>
      <w:r w:rsidR="00C575D4" w:rsidRPr="00C575D4">
        <w:rPr>
          <w:i/>
        </w:rPr>
        <w:t>in general terms</w:t>
      </w:r>
      <w:r w:rsidR="00C575D4">
        <w:t xml:space="preserve"> (on its </w:t>
      </w:r>
      <w:r w:rsidR="000A44CF">
        <w:t>S</w:t>
      </w:r>
      <w:r w:rsidR="00C575D4">
        <w:t xml:space="preserve">chedule of </w:t>
      </w:r>
      <w:r w:rsidR="000A44CF">
        <w:t>C</w:t>
      </w:r>
      <w:r w:rsidR="00C575D4">
        <w:t xml:space="preserve">harges) how it determined </w:t>
      </w:r>
      <w:r w:rsidR="00084909">
        <w:t xml:space="preserve">its own charges to recover </w:t>
      </w:r>
      <w:r>
        <w:t>the cost of infrastructure charges and planning and management charges that it incurs</w:t>
      </w:r>
      <w:r w:rsidR="00C575D4">
        <w:t xml:space="preserve">, rather than </w:t>
      </w:r>
      <w:r w:rsidR="009F18A6">
        <w:t>doing so for each such charge</w:t>
      </w:r>
      <w:r>
        <w:t xml:space="preserve">. The statement should </w:t>
      </w:r>
      <w:r w:rsidR="00C575D4">
        <w:t xml:space="preserve">be in general terms, but provide enough </w:t>
      </w:r>
      <w:r>
        <w:t xml:space="preserve">information to enable customers to understand the relationship between the </w:t>
      </w:r>
      <w:r w:rsidR="00891D16">
        <w:t xml:space="preserve">range of </w:t>
      </w:r>
      <w:r>
        <w:t xml:space="preserve">infrastructure charges and planning and management charges incurred by the operator and infrastructure charges levied by the operator to recover these costs. </w:t>
      </w:r>
    </w:p>
    <w:p w:rsidR="00084909" w:rsidRDefault="00084909" w:rsidP="00D17F9C">
      <w:pPr>
        <w:pStyle w:val="Heading5"/>
      </w:pPr>
      <w:r>
        <w:t>Summary of ACCC assessment</w:t>
      </w:r>
    </w:p>
    <w:p w:rsidR="00903932" w:rsidRDefault="00903932" w:rsidP="00DA5F2B">
      <w:pPr>
        <w:spacing w:before="120" w:after="0"/>
      </w:pPr>
      <w:r>
        <w:t>In summary, the ACCC’s Final Advice</w:t>
      </w:r>
      <w:r w:rsidR="007D7C00">
        <w:t xml:space="preserve"> </w:t>
      </w:r>
      <w:r>
        <w:t xml:space="preserve">is to: </w:t>
      </w:r>
    </w:p>
    <w:p w:rsidR="00903932" w:rsidRDefault="00903932" w:rsidP="00A82DE6">
      <w:pPr>
        <w:pStyle w:val="Lvl1Bulletpoint"/>
      </w:pPr>
      <w:r>
        <w:t xml:space="preserve">provide greater clarity about the information that should be included on the </w:t>
      </w:r>
      <w:r w:rsidR="000A44CF">
        <w:t>S</w:t>
      </w:r>
      <w:r>
        <w:t xml:space="preserve">chedule of </w:t>
      </w:r>
      <w:r w:rsidR="000A44CF">
        <w:t>C</w:t>
      </w:r>
      <w:r>
        <w:t xml:space="preserve">harges by replacing the existing </w:t>
      </w:r>
      <w:r w:rsidR="00D31506">
        <w:t xml:space="preserve">WCIR </w:t>
      </w:r>
      <w:r>
        <w:t>requirements, which are</w:t>
      </w:r>
      <w:r w:rsidR="00B83EBF">
        <w:t xml:space="preserve"> indirect and</w:t>
      </w:r>
      <w:r>
        <w:t xml:space="preserve"> framed in terms of outcomes, with more direct requirements about what is required to achieve those outcomes. </w:t>
      </w:r>
    </w:p>
    <w:p w:rsidR="00D31506" w:rsidRDefault="00D31506" w:rsidP="00A82DE6">
      <w:pPr>
        <w:pStyle w:val="Lvl1Bulletpoint"/>
      </w:pPr>
      <w:r>
        <w:t xml:space="preserve">improve the operation of the existing WCIR provisions, which prevent an operator from levying a charge in certain circumstances. </w:t>
      </w:r>
    </w:p>
    <w:p w:rsidR="00903932" w:rsidRDefault="00903932" w:rsidP="00A82DE6">
      <w:pPr>
        <w:pStyle w:val="Lvl1Bulletpoint"/>
      </w:pPr>
      <w:r>
        <w:t xml:space="preserve">harmonise the </w:t>
      </w:r>
      <w:r w:rsidR="00D31506">
        <w:t xml:space="preserve">Schedule of Charges </w:t>
      </w:r>
      <w:r>
        <w:t xml:space="preserve">requirements </w:t>
      </w:r>
      <w:r w:rsidR="00D31506">
        <w:t xml:space="preserve">applying to infrastructure operators and other persons in relation to </w:t>
      </w:r>
      <w:r w:rsidR="00151FFF">
        <w:t xml:space="preserve">the information that must be provided about, </w:t>
      </w:r>
      <w:r>
        <w:t>infrastructure charges and planning and management charges</w:t>
      </w:r>
      <w:r w:rsidR="00EB1B89">
        <w:t>, and the circumstances in which these charges can be levied</w:t>
      </w:r>
      <w:r>
        <w:t xml:space="preserve">. </w:t>
      </w:r>
    </w:p>
    <w:p w:rsidR="007D7C00" w:rsidRDefault="007D7C00" w:rsidP="00A82DE6">
      <w:pPr>
        <w:pStyle w:val="Lvl1Bulletpoint"/>
        <w:numPr>
          <w:ilvl w:val="0"/>
          <w:numId w:val="0"/>
        </w:numPr>
      </w:pPr>
    </w:p>
    <w:p w:rsidR="00E161B2" w:rsidRDefault="00F970BC" w:rsidP="00AF7032">
      <w:pPr>
        <w:pStyle w:val="Heading3"/>
      </w:pPr>
      <w:bookmarkStart w:id="561" w:name="_Ref433960082"/>
      <w:bookmarkStart w:id="562" w:name="_Toc436122297"/>
      <w:bookmarkStart w:id="563" w:name="_Toc436122792"/>
      <w:bookmarkStart w:id="564" w:name="_Toc436124147"/>
      <w:bookmarkStart w:id="565" w:name="_Toc456785803"/>
      <w:bookmarkStart w:id="566" w:name="_Toc461630714"/>
      <w:r w:rsidRPr="00D714FC">
        <w:t>Publication requirements</w:t>
      </w:r>
      <w:bookmarkEnd w:id="561"/>
      <w:bookmarkEnd w:id="562"/>
      <w:bookmarkEnd w:id="563"/>
      <w:bookmarkEnd w:id="564"/>
      <w:bookmarkEnd w:id="565"/>
      <w:bookmarkEnd w:id="566"/>
    </w:p>
    <w:p w:rsidR="00D07E1E" w:rsidRPr="00D07E1E" w:rsidRDefault="00D07E1E" w:rsidP="007E1B3F">
      <w:pPr>
        <w:pStyle w:val="Heading4"/>
        <w:keepNext w:val="0"/>
        <w:spacing w:before="0" w:after="0"/>
        <w:rPr>
          <w:rFonts w:ascii="Times New Roman" w:hAnsi="Times New Roman" w:cs="Times New Roman"/>
          <w:color w:val="FFFFFF" w:themeColor="background1"/>
          <w:sz w:val="8"/>
          <w:szCs w:val="16"/>
        </w:rPr>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p>
    <w:tbl>
      <w:tblPr>
        <w:tblStyle w:val="TableGrid"/>
        <w:tblW w:w="0" w:type="auto"/>
        <w:tblLook w:val="04A0" w:firstRow="1" w:lastRow="0" w:firstColumn="1" w:lastColumn="0" w:noHBand="0" w:noVBand="1"/>
      </w:tblPr>
      <w:tblGrid>
        <w:gridCol w:w="9242"/>
      </w:tblGrid>
      <w:tr w:rsidR="004C2E1C" w:rsidTr="004C2E1C">
        <w:tc>
          <w:tcPr>
            <w:tcW w:w="9242" w:type="dxa"/>
            <w:tcBorders>
              <w:top w:val="nil"/>
              <w:left w:val="nil"/>
              <w:bottom w:val="nil"/>
              <w:right w:val="nil"/>
            </w:tcBorders>
            <w:shd w:val="clear" w:color="auto" w:fill="D9D9D9" w:themeFill="background1" w:themeFillShade="D9"/>
          </w:tcPr>
          <w:p w:rsidR="00ED342F" w:rsidRPr="00D714FC" w:rsidRDefault="00ED342F" w:rsidP="007E1B3F">
            <w:pPr>
              <w:pStyle w:val="Caption"/>
              <w:keepNext w:val="0"/>
              <w:keepLines w:val="0"/>
              <w:rPr>
                <w:rFonts w:eastAsia="Arial"/>
              </w:rPr>
            </w:pPr>
            <w:bookmarkStart w:id="567" w:name="_Toc456783916"/>
            <w:bookmarkStart w:id="568" w:name="_Toc433975265"/>
            <w:bookmarkStart w:id="569" w:name="_Toc432937505"/>
            <w:bookmarkStart w:id="570" w:name="_Toc432768979"/>
            <w:bookmarkStart w:id="571" w:name="_Toc432769303"/>
            <w:bookmarkStart w:id="572" w:name="_Ref434841142"/>
            <w:r w:rsidRPr="00D714FC">
              <w:t xml:space="preserve">Rule advice </w:t>
            </w:r>
            <w:r w:rsidR="007F659D">
              <w:rPr>
                <w:noProof/>
              </w:rPr>
              <w:t>5</w:t>
            </w:r>
            <w:r>
              <w:noBreakHyphen/>
            </w:r>
            <w:r w:rsidR="007F659D">
              <w:rPr>
                <w:noProof/>
              </w:rPr>
              <w:t>G</w:t>
            </w:r>
            <w:bookmarkEnd w:id="567"/>
          </w:p>
          <w:p w:rsidR="004C2E1C" w:rsidRDefault="004C2E1C" w:rsidP="007E1B3F">
            <w:pPr>
              <w:pStyle w:val="Heading8"/>
              <w:outlineLvl w:val="7"/>
            </w:pPr>
            <w:bookmarkStart w:id="573" w:name="_Toc432937506"/>
            <w:bookmarkStart w:id="574" w:name="_Toc433975266"/>
            <w:bookmarkStart w:id="575" w:name="_Toc436123305"/>
            <w:bookmarkStart w:id="576" w:name="_Toc456783917"/>
            <w:bookmarkStart w:id="577" w:name="Rule_Advice_5G"/>
            <w:r w:rsidRPr="00D714FC">
              <w:t xml:space="preserve">The rules should be amended to require all infrastructure operators who have a website to publish their </w:t>
            </w:r>
            <w:r w:rsidR="00E729DB">
              <w:t>S</w:t>
            </w:r>
            <w:r w:rsidRPr="00D714FC">
              <w:t xml:space="preserve">chedule of </w:t>
            </w:r>
            <w:r w:rsidR="00E729DB">
              <w:t>C</w:t>
            </w:r>
            <w:r w:rsidRPr="00D714FC">
              <w:t>harges on a page on their website that is easily and publicly accessible (not only operators servicing over &gt;10</w:t>
            </w:r>
            <w:r w:rsidR="003A4864">
              <w:t xml:space="preserve"> </w:t>
            </w:r>
            <w:r w:rsidRPr="00D714FC">
              <w:t>G</w:t>
            </w:r>
            <w:r w:rsidR="003A4864">
              <w:t>L</w:t>
            </w:r>
            <w:r w:rsidRPr="00D714FC">
              <w:t xml:space="preserve"> of water access entitlement).</w:t>
            </w:r>
            <w:bookmarkEnd w:id="573"/>
            <w:bookmarkEnd w:id="574"/>
            <w:bookmarkEnd w:id="575"/>
            <w:bookmarkEnd w:id="576"/>
          </w:p>
          <w:p w:rsidR="003716E1" w:rsidRPr="003716E1" w:rsidRDefault="004C2E1C" w:rsidP="007E1B3F">
            <w:pPr>
              <w:pStyle w:val="Heading8"/>
              <w:outlineLvl w:val="7"/>
            </w:pPr>
            <w:bookmarkStart w:id="578" w:name="_Toc436123306"/>
            <w:bookmarkStart w:id="579" w:name="_Toc456783918"/>
            <w:r>
              <w:rPr>
                <w:rFonts w:ascii="Times New Roman" w:hAnsi="Times New Roman"/>
              </w:rPr>
              <w:t xml:space="preserve">This rule advice is implemented in </w:t>
            </w:r>
            <w:r w:rsidR="00207A65">
              <w:rPr>
                <w:rFonts w:ascii="Times New Roman" w:hAnsi="Times New Roman"/>
              </w:rPr>
              <w:t>r</w:t>
            </w:r>
            <w:r>
              <w:rPr>
                <w:rFonts w:ascii="Times New Roman" w:hAnsi="Times New Roman"/>
              </w:rPr>
              <w:t>ule 1</w:t>
            </w:r>
            <w:r w:rsidR="00EB74AC">
              <w:rPr>
                <w:rFonts w:ascii="Times New Roman" w:hAnsi="Times New Roman"/>
              </w:rPr>
              <w:t>5</w:t>
            </w:r>
            <w:r>
              <w:rPr>
                <w:rFonts w:ascii="Times New Roman" w:hAnsi="Times New Roman"/>
              </w:rPr>
              <w:t xml:space="preserve"> of the proposed </w:t>
            </w:r>
            <w:r w:rsidR="003F77BE">
              <w:rPr>
                <w:rFonts w:ascii="Times New Roman" w:hAnsi="Times New Roman"/>
              </w:rPr>
              <w:t>W</w:t>
            </w:r>
            <w:r>
              <w:rPr>
                <w:rFonts w:ascii="Times New Roman" w:hAnsi="Times New Roman"/>
              </w:rPr>
              <w:t xml:space="preserve">ater </w:t>
            </w:r>
            <w:r w:rsidR="003F77BE">
              <w:rPr>
                <w:rFonts w:ascii="Times New Roman" w:hAnsi="Times New Roman"/>
              </w:rPr>
              <w:t>C</w:t>
            </w:r>
            <w:r>
              <w:rPr>
                <w:rFonts w:ascii="Times New Roman" w:hAnsi="Times New Roman"/>
              </w:rPr>
              <w:t xml:space="preserve">harge </w:t>
            </w:r>
            <w:r w:rsidR="003F77BE">
              <w:rPr>
                <w:rFonts w:ascii="Times New Roman" w:hAnsi="Times New Roman"/>
              </w:rPr>
              <w:t>R</w:t>
            </w:r>
            <w:r>
              <w:rPr>
                <w:rFonts w:ascii="Times New Roman" w:hAnsi="Times New Roman"/>
              </w:rPr>
              <w:t>ules.</w:t>
            </w:r>
            <w:bookmarkEnd w:id="577"/>
            <w:bookmarkEnd w:id="578"/>
            <w:bookmarkEnd w:id="579"/>
          </w:p>
          <w:p w:rsidR="00BC64F5" w:rsidRDefault="00BC64F5" w:rsidP="007E1B3F">
            <w:bookmarkStart w:id="580" w:name="_Toc456783919"/>
          </w:p>
          <w:p w:rsidR="00ED342F" w:rsidRPr="00D714FC" w:rsidRDefault="00ED342F" w:rsidP="007E1B3F">
            <w:pPr>
              <w:pStyle w:val="Caption"/>
              <w:keepNext w:val="0"/>
              <w:keepLines w:val="0"/>
              <w:rPr>
                <w:rFonts w:eastAsia="Arial"/>
              </w:rPr>
            </w:pPr>
            <w:r w:rsidRPr="00D714FC">
              <w:t xml:space="preserve">Rule advice </w:t>
            </w:r>
            <w:r w:rsidR="007F659D">
              <w:rPr>
                <w:noProof/>
              </w:rPr>
              <w:t>5</w:t>
            </w:r>
            <w:r>
              <w:noBreakHyphen/>
            </w:r>
            <w:r w:rsidR="007F659D">
              <w:rPr>
                <w:noProof/>
              </w:rPr>
              <w:t>H</w:t>
            </w:r>
            <w:bookmarkEnd w:id="580"/>
          </w:p>
          <w:p w:rsidR="004C2E1C" w:rsidRPr="00D714FC" w:rsidRDefault="004C2E1C" w:rsidP="007E1B3F">
            <w:pPr>
              <w:pStyle w:val="Heading8"/>
              <w:spacing w:after="0"/>
              <w:outlineLvl w:val="7"/>
            </w:pPr>
            <w:bookmarkStart w:id="581" w:name="_Toc432937514"/>
            <w:bookmarkStart w:id="582" w:name="_Toc433975271"/>
            <w:bookmarkStart w:id="583" w:name="_Toc436123308"/>
            <w:bookmarkStart w:id="584" w:name="_Toc456783920"/>
            <w:bookmarkStart w:id="585" w:name="Rule_Advice_5H"/>
            <w:r w:rsidRPr="00D714FC">
              <w:t xml:space="preserve">The rules should be amended to remove requirements to publish a </w:t>
            </w:r>
            <w:r w:rsidR="00E729DB">
              <w:t>S</w:t>
            </w:r>
            <w:r w:rsidRPr="00D714FC">
              <w:t xml:space="preserve">chedule of </w:t>
            </w:r>
            <w:r w:rsidR="00E729DB">
              <w:t>C</w:t>
            </w:r>
            <w:r w:rsidRPr="00D714FC">
              <w:t xml:space="preserve">harges in a local newspaper or in the </w:t>
            </w:r>
            <w:r w:rsidRPr="00590B8F">
              <w:rPr>
                <w:i/>
              </w:rPr>
              <w:t>Gazette</w:t>
            </w:r>
            <w:bookmarkEnd w:id="581"/>
            <w:r w:rsidRPr="00D714FC">
              <w:t>.</w:t>
            </w:r>
            <w:bookmarkEnd w:id="582"/>
            <w:bookmarkEnd w:id="583"/>
            <w:bookmarkEnd w:id="584"/>
          </w:p>
          <w:p w:rsidR="004C2E1C" w:rsidRPr="00AF7032" w:rsidRDefault="004C2E1C" w:rsidP="007E1B3F">
            <w:pPr>
              <w:spacing w:before="120" w:after="120"/>
              <w:rPr>
                <w:rFonts w:ascii="Verdana" w:hAnsi="Verdana" w:cs="Times New Roman"/>
                <w:i/>
                <w:sz w:val="18"/>
              </w:rPr>
            </w:pPr>
            <w:r w:rsidRPr="00AF7032">
              <w:rPr>
                <w:rFonts w:ascii="Verdana" w:hAnsi="Verdana" w:cs="Times New Roman"/>
                <w:i/>
                <w:sz w:val="18"/>
              </w:rPr>
              <w:t xml:space="preserve">See also </w:t>
            </w:r>
            <w:r w:rsidR="00207A65" w:rsidRPr="00AF7032">
              <w:rPr>
                <w:rFonts w:ascii="Verdana" w:hAnsi="Verdana" w:cs="Times New Roman"/>
                <w:i/>
                <w:sz w:val="18"/>
              </w:rPr>
              <w:t>r</w:t>
            </w:r>
            <w:r w:rsidRPr="00AF7032">
              <w:rPr>
                <w:rFonts w:ascii="Verdana" w:hAnsi="Verdana" w:cs="Times New Roman"/>
                <w:i/>
                <w:sz w:val="18"/>
              </w:rPr>
              <w:t xml:space="preserve">ule advice 5-L. </w:t>
            </w:r>
          </w:p>
          <w:p w:rsidR="004C2E1C" w:rsidRDefault="004C2E1C" w:rsidP="007E1B3F">
            <w:pPr>
              <w:pStyle w:val="Heading8"/>
              <w:outlineLvl w:val="7"/>
            </w:pPr>
            <w:bookmarkStart w:id="586" w:name="_Toc436123309"/>
            <w:bookmarkStart w:id="587" w:name="_Toc456783921"/>
            <w:r>
              <w:rPr>
                <w:rFonts w:ascii="Times New Roman" w:hAnsi="Times New Roman"/>
              </w:rPr>
              <w:t xml:space="preserve">This rule advice is implemented in the repeal of current WCIR </w:t>
            </w:r>
            <w:r w:rsidR="00207A65">
              <w:rPr>
                <w:rFonts w:ascii="Times New Roman" w:hAnsi="Times New Roman"/>
              </w:rPr>
              <w:t>r</w:t>
            </w:r>
            <w:r>
              <w:rPr>
                <w:rFonts w:ascii="Times New Roman" w:hAnsi="Times New Roman"/>
              </w:rPr>
              <w:t>ule 15(1)(b) and (c).</w:t>
            </w:r>
            <w:bookmarkStart w:id="588" w:name="_Toc436123310"/>
            <w:bookmarkStart w:id="589" w:name="_Toc433975272"/>
            <w:bookmarkStart w:id="590" w:name="_Toc432937515"/>
            <w:bookmarkStart w:id="591" w:name="_Toc432768983"/>
            <w:bookmarkStart w:id="592" w:name="_Toc432769307"/>
            <w:bookmarkStart w:id="593" w:name="_Ref434841159"/>
            <w:bookmarkEnd w:id="585"/>
            <w:bookmarkEnd w:id="586"/>
            <w:bookmarkEnd w:id="587"/>
          </w:p>
          <w:p w:rsidR="00BC64F5" w:rsidRDefault="00BC64F5" w:rsidP="007E1B3F">
            <w:bookmarkStart w:id="594" w:name="_Toc456783922"/>
            <w:bookmarkEnd w:id="588"/>
            <w:bookmarkEnd w:id="589"/>
            <w:bookmarkEnd w:id="590"/>
            <w:bookmarkEnd w:id="591"/>
            <w:bookmarkEnd w:id="592"/>
            <w:bookmarkEnd w:id="593"/>
          </w:p>
          <w:p w:rsidR="00ED342F" w:rsidRDefault="00ED342F" w:rsidP="007E1B3F">
            <w:pPr>
              <w:pStyle w:val="Caption"/>
              <w:keepNext w:val="0"/>
              <w:keepLines w:val="0"/>
              <w:rPr>
                <w:noProof/>
              </w:rPr>
            </w:pPr>
            <w:r w:rsidRPr="00D714FC">
              <w:t xml:space="preserve">Rule advice </w:t>
            </w:r>
            <w:r w:rsidR="007F659D">
              <w:rPr>
                <w:noProof/>
              </w:rPr>
              <w:t>5</w:t>
            </w:r>
            <w:r>
              <w:noBreakHyphen/>
            </w:r>
            <w:r w:rsidR="007F659D">
              <w:rPr>
                <w:noProof/>
              </w:rPr>
              <w:t>I</w:t>
            </w:r>
            <w:bookmarkEnd w:id="594"/>
          </w:p>
          <w:p w:rsidR="005864A3" w:rsidRPr="005864A3" w:rsidRDefault="005864A3" w:rsidP="007E1B3F">
            <w:pPr>
              <w:pStyle w:val="Ruleadvicesubheading"/>
            </w:pPr>
            <w:bookmarkStart w:id="595" w:name="_Toc432937516"/>
            <w:bookmarkStart w:id="596" w:name="_Toc433975273"/>
            <w:bookmarkStart w:id="597" w:name="_Toc436123311"/>
            <w:bookmarkStart w:id="598" w:name="_Toc456783923"/>
            <w:bookmarkStart w:id="599" w:name="Rule_Advice_5I"/>
            <w:r w:rsidRPr="005864A3">
              <w:t>Timeframes to give / publish the Schedule of Charges</w:t>
            </w:r>
          </w:p>
          <w:p w:rsidR="004C2E1C" w:rsidRPr="00D714FC" w:rsidRDefault="004C2E1C" w:rsidP="007E1B3F">
            <w:pPr>
              <w:pStyle w:val="Heading8"/>
              <w:outlineLvl w:val="7"/>
            </w:pPr>
            <w:r w:rsidRPr="00D714FC">
              <w:t xml:space="preserve">The rules should be amended to change the </w:t>
            </w:r>
            <w:r w:rsidR="008B2D5B">
              <w:t xml:space="preserve">current </w:t>
            </w:r>
            <w:r w:rsidRPr="00D714FC">
              <w:t>timeframe</w:t>
            </w:r>
            <w:r w:rsidR="008B2D5B">
              <w:t>s</w:t>
            </w:r>
            <w:r w:rsidRPr="00D714FC">
              <w:t xml:space="preserve"> for when a Schedule of Charges</w:t>
            </w:r>
            <w:r w:rsidR="0085316E">
              <w:t xml:space="preserve"> that has been adopted by a person (including infrastructure operator)</w:t>
            </w:r>
            <w:r w:rsidRPr="00D714FC">
              <w:t xml:space="preserve"> must be </w:t>
            </w:r>
            <w:r w:rsidR="0085316E">
              <w:t>given</w:t>
            </w:r>
            <w:r w:rsidR="00FF3705">
              <w:t xml:space="preserve"> (see below</w:t>
            </w:r>
            <w:r w:rsidR="001F40FD">
              <w:t xml:space="preserve"> advice on the meaning of “give” in this context</w:t>
            </w:r>
            <w:r w:rsidR="00FF3705">
              <w:t>)</w:t>
            </w:r>
            <w:r w:rsidRPr="00D714FC">
              <w:t>:</w:t>
            </w:r>
            <w:bookmarkEnd w:id="595"/>
            <w:bookmarkEnd w:id="596"/>
            <w:bookmarkEnd w:id="597"/>
            <w:bookmarkEnd w:id="598"/>
          </w:p>
          <w:p w:rsidR="004C2E1C" w:rsidRPr="00D714FC" w:rsidRDefault="004C2E1C" w:rsidP="00020517">
            <w:pPr>
              <w:pStyle w:val="Ruleadvicebullet"/>
            </w:pPr>
            <w:bookmarkStart w:id="600" w:name="_Toc432937517"/>
            <w:bookmarkStart w:id="601" w:name="_Toc433975274"/>
            <w:bookmarkStart w:id="602" w:name="_Toc436123312"/>
            <w:bookmarkStart w:id="603" w:name="_Toc456783924"/>
            <w:r w:rsidRPr="00D714FC">
              <w:t>For</w:t>
            </w:r>
            <w:bookmarkStart w:id="604" w:name="_Toc432937518"/>
            <w:bookmarkEnd w:id="600"/>
            <w:r w:rsidRPr="00D714FC">
              <w:t xml:space="preserve"> an infrastructure operator wh</w:t>
            </w:r>
            <w:r w:rsidR="0085316E">
              <w:t>o</w:t>
            </w:r>
            <w:r w:rsidRPr="00D714FC">
              <w:t xml:space="preserve"> </w:t>
            </w:r>
            <w:r w:rsidR="00923B99">
              <w:t>levies an infrastructure charge in relation to either</w:t>
            </w:r>
            <w:r w:rsidRPr="00D714FC">
              <w:t>:</w:t>
            </w:r>
            <w:bookmarkEnd w:id="601"/>
            <w:bookmarkEnd w:id="602"/>
            <w:bookmarkEnd w:id="603"/>
          </w:p>
          <w:p w:rsidR="004C2E1C" w:rsidRPr="00C733B4" w:rsidRDefault="004C2E1C" w:rsidP="00C733B4">
            <w:pPr>
              <w:pStyle w:val="Ruleadvicebulletlevel2"/>
            </w:pPr>
            <w:bookmarkStart w:id="605" w:name="_Toc433975275"/>
            <w:bookmarkStart w:id="606" w:name="_Toc436123313"/>
            <w:bookmarkStart w:id="607" w:name="_Toc456783925"/>
            <w:r w:rsidRPr="00C733B4">
              <w:t xml:space="preserve">a </w:t>
            </w:r>
            <w:r w:rsidR="00923B99" w:rsidRPr="00C733B4">
              <w:t xml:space="preserve">bulk water service in respect of </w:t>
            </w:r>
            <w:r w:rsidRPr="00C733B4">
              <w:t>water access right</w:t>
            </w:r>
            <w:r w:rsidR="00923B99" w:rsidRPr="00C733B4">
              <w:t>s</w:t>
            </w:r>
            <w:r w:rsidR="003A2B5A" w:rsidRPr="00C733B4">
              <w:t>;</w:t>
            </w:r>
            <w:r w:rsidRPr="00C733B4">
              <w:t xml:space="preserve"> or</w:t>
            </w:r>
            <w:bookmarkEnd w:id="605"/>
            <w:bookmarkEnd w:id="606"/>
            <w:bookmarkEnd w:id="607"/>
            <w:r w:rsidRPr="00C733B4">
              <w:t xml:space="preserve"> </w:t>
            </w:r>
          </w:p>
          <w:p w:rsidR="004C2E1C" w:rsidRPr="00C733B4" w:rsidRDefault="00923B99" w:rsidP="00C733B4">
            <w:pPr>
              <w:pStyle w:val="Ruleadvicebulletlevel2"/>
            </w:pPr>
            <w:bookmarkStart w:id="608" w:name="_Toc433975276"/>
            <w:bookmarkStart w:id="609" w:name="_Toc436123314"/>
            <w:bookmarkStart w:id="610" w:name="_Toc456783926"/>
            <w:r w:rsidRPr="00C733B4">
              <w:t xml:space="preserve">infrastructure services in relation to the storage or delivery </w:t>
            </w:r>
            <w:r w:rsidR="003A2B5A" w:rsidRPr="00C733B4">
              <w:t>o</w:t>
            </w:r>
            <w:r w:rsidRPr="00C733B4">
              <w:t>f water</w:t>
            </w:r>
            <w:r w:rsidR="003A2B5A" w:rsidRPr="00C733B4">
              <w:t xml:space="preserve"> that is necessary</w:t>
            </w:r>
            <w:r w:rsidRPr="00C733B4">
              <w:t xml:space="preserve"> to give effect to </w:t>
            </w:r>
            <w:r w:rsidR="003A2B5A" w:rsidRPr="00C733B4">
              <w:t xml:space="preserve">an arrangement for the </w:t>
            </w:r>
            <w:r w:rsidR="004C2E1C" w:rsidRPr="00C733B4">
              <w:t xml:space="preserve">sharing </w:t>
            </w:r>
            <w:r w:rsidR="003A2B5A" w:rsidRPr="00C733B4">
              <w:t xml:space="preserve">of water </w:t>
            </w:r>
            <w:r w:rsidR="004C2E1C" w:rsidRPr="00C733B4">
              <w:t xml:space="preserve">between </w:t>
            </w:r>
            <w:r w:rsidR="003A2B5A" w:rsidRPr="00C733B4">
              <w:t xml:space="preserve">more than one </w:t>
            </w:r>
            <w:r w:rsidR="004C2E1C" w:rsidRPr="00C733B4">
              <w:t>Basin State;</w:t>
            </w:r>
            <w:bookmarkEnd w:id="608"/>
            <w:bookmarkEnd w:id="609"/>
            <w:bookmarkEnd w:id="610"/>
            <w:r w:rsidR="005864A3" w:rsidRPr="00C733B4">
              <w:rPr>
                <w:rStyle w:val="FootnoteReference"/>
                <w:vertAlign w:val="baseline"/>
              </w:rPr>
              <w:footnoteReference w:id="307"/>
            </w:r>
          </w:p>
          <w:p w:rsidR="003716E1" w:rsidRDefault="003A2B5A" w:rsidP="007E1B3F">
            <w:pPr>
              <w:pStyle w:val="Heading8"/>
              <w:ind w:left="426"/>
              <w:outlineLvl w:val="7"/>
            </w:pPr>
            <w:bookmarkStart w:id="611" w:name="_Toc456783927"/>
            <w:bookmarkStart w:id="612" w:name="_Toc433975277"/>
            <w:bookmarkStart w:id="613" w:name="_Toc436123315"/>
            <w:r>
              <w:t>the operator must give a copy of its</w:t>
            </w:r>
            <w:r w:rsidR="004C2E1C" w:rsidRPr="00D714FC">
              <w:t xml:space="preserve"> Schedule of Charges to its customers</w:t>
            </w:r>
            <w:r>
              <w:t>,</w:t>
            </w:r>
            <w:r w:rsidR="004C2E1C" w:rsidRPr="00D714FC">
              <w:t xml:space="preserve"> and publish</w:t>
            </w:r>
            <w:r w:rsidR="005864A3">
              <w:t xml:space="preserve"> it</w:t>
            </w:r>
            <w:r w:rsidR="004C2E1C" w:rsidRPr="00D714FC">
              <w:t xml:space="preserve"> on its website (if it has a website)</w:t>
            </w:r>
            <w:r>
              <w:t>,</w:t>
            </w:r>
            <w:r w:rsidR="004C2E1C" w:rsidRPr="00D714FC">
              <w:t xml:space="preserve"> 25 business days</w:t>
            </w:r>
            <w:r w:rsidR="00C04DE7">
              <w:t xml:space="preserve"> or more</w:t>
            </w:r>
            <w:r w:rsidR="004C2E1C" w:rsidRPr="00D714FC">
              <w:t xml:space="preserve"> before the Schedule of Charges comes into effect</w:t>
            </w:r>
            <w:r>
              <w:t>.</w:t>
            </w:r>
            <w:bookmarkEnd w:id="611"/>
            <w:r w:rsidR="00EC7C01">
              <w:t xml:space="preserve"> </w:t>
            </w:r>
          </w:p>
          <w:p w:rsidR="005C7478" w:rsidRPr="005C7478" w:rsidRDefault="0034539B" w:rsidP="00020517">
            <w:pPr>
              <w:pStyle w:val="Ruleadvicebullet"/>
            </w:pPr>
            <w:bookmarkStart w:id="614" w:name="_Toc456772170"/>
            <w:bookmarkStart w:id="615" w:name="_Toc456783478"/>
            <w:bookmarkStart w:id="616" w:name="_Toc433975278"/>
            <w:bookmarkStart w:id="617" w:name="_Toc436123316"/>
            <w:bookmarkStart w:id="618" w:name="_Toc456783928"/>
            <w:bookmarkEnd w:id="612"/>
            <w:bookmarkEnd w:id="613"/>
            <w:bookmarkEnd w:id="614"/>
            <w:bookmarkEnd w:id="615"/>
            <w:r w:rsidRPr="00D714FC">
              <w:t>For a</w:t>
            </w:r>
            <w:r>
              <w:t>n</w:t>
            </w:r>
            <w:r w:rsidRPr="00D714FC">
              <w:t xml:space="preserve"> infrastructure operator</w:t>
            </w:r>
            <w:r>
              <w:t xml:space="preserve"> of any other kind </w:t>
            </w:r>
            <w:r w:rsidR="001F40FD">
              <w:t>who</w:t>
            </w:r>
            <w:r>
              <w:t xml:space="preserve"> adopts a Schedule of Charges</w:t>
            </w:r>
            <w:r w:rsidRPr="00D714FC">
              <w:t>, the</w:t>
            </w:r>
            <w:r>
              <w:t xml:space="preserve"> operator must give a copy of the</w:t>
            </w:r>
            <w:r w:rsidRPr="00D714FC">
              <w:t xml:space="preserve"> Schedule of Charges to its customers</w:t>
            </w:r>
            <w:r>
              <w:t>,</w:t>
            </w:r>
            <w:r w:rsidRPr="00D714FC">
              <w:t xml:space="preserve"> and publish on its website (if it has a website)</w:t>
            </w:r>
            <w:r>
              <w:t>,</w:t>
            </w:r>
            <w:r w:rsidRPr="00D714FC">
              <w:t xml:space="preserve"> 10 business days </w:t>
            </w:r>
            <w:r>
              <w:t xml:space="preserve">or more </w:t>
            </w:r>
            <w:r w:rsidRPr="00D714FC">
              <w:t>before the Schedule of Charges comes into effect.</w:t>
            </w:r>
            <w:bookmarkEnd w:id="616"/>
            <w:bookmarkEnd w:id="617"/>
            <w:bookmarkEnd w:id="618"/>
            <w:r>
              <w:t xml:space="preserve"> </w:t>
            </w:r>
          </w:p>
          <w:p w:rsidR="00616930" w:rsidRDefault="005864A3" w:rsidP="00020517">
            <w:pPr>
              <w:pStyle w:val="Ruleadvicebullet"/>
            </w:pPr>
            <w:bookmarkStart w:id="619" w:name="_Toc433975279"/>
            <w:bookmarkStart w:id="620" w:name="_Toc436123317"/>
            <w:bookmarkStart w:id="621" w:name="_Toc456783929"/>
            <w:r>
              <w:t>A</w:t>
            </w:r>
            <w:r w:rsidR="004C2E1C" w:rsidRPr="00D714FC">
              <w:t xml:space="preserve"> person</w:t>
            </w:r>
            <w:r w:rsidR="00D92E3E">
              <w:t>,</w:t>
            </w:r>
            <w:r w:rsidR="004C2E1C" w:rsidRPr="00D714FC">
              <w:t xml:space="preserve"> other </w:t>
            </w:r>
            <w:r w:rsidR="00E91246">
              <w:t xml:space="preserve">than </w:t>
            </w:r>
            <w:r w:rsidR="004C2E1C" w:rsidRPr="00D714FC">
              <w:t xml:space="preserve">an infrastructure operator, who </w:t>
            </w:r>
            <w:r w:rsidR="00D92E3E">
              <w:t xml:space="preserve">adopts a </w:t>
            </w:r>
            <w:r w:rsidR="004C2E1C" w:rsidRPr="00D714FC">
              <w:t>Schedule of Charges must</w:t>
            </w:r>
            <w:r w:rsidR="00616930">
              <w:t>:</w:t>
            </w:r>
            <w:r w:rsidR="004C2E1C" w:rsidRPr="00D714FC">
              <w:t xml:space="preserve"> </w:t>
            </w:r>
          </w:p>
          <w:p w:rsidR="00616930" w:rsidRPr="00C733B4" w:rsidRDefault="004C2E1C" w:rsidP="00C733B4">
            <w:pPr>
              <w:pStyle w:val="Ruleadvicebulletlevel2"/>
            </w:pPr>
            <w:r w:rsidRPr="00C733B4">
              <w:t xml:space="preserve">publish </w:t>
            </w:r>
            <w:r w:rsidR="00616930" w:rsidRPr="00C733B4">
              <w:t xml:space="preserve">the Schedule of Charges </w:t>
            </w:r>
            <w:r w:rsidRPr="00C733B4">
              <w:t xml:space="preserve">on its </w:t>
            </w:r>
            <w:r w:rsidR="00616930" w:rsidRPr="00C733B4">
              <w:t xml:space="preserve">own </w:t>
            </w:r>
            <w:r w:rsidRPr="00C733B4">
              <w:t>website</w:t>
            </w:r>
            <w:r w:rsidR="00616930" w:rsidRPr="00C733B4">
              <w:t>, or cause the Schedule of Charges to be published on the website of:</w:t>
            </w:r>
          </w:p>
          <w:p w:rsidR="00616930" w:rsidRPr="005B4362" w:rsidRDefault="00616930" w:rsidP="00C733B4">
            <w:pPr>
              <w:pStyle w:val="Ruleadvicebulletlevel3"/>
            </w:pPr>
            <w:r w:rsidRPr="005B4362">
              <w:t>the person who determined the charge; or</w:t>
            </w:r>
          </w:p>
          <w:p w:rsidR="00FD37B6" w:rsidRDefault="00616930" w:rsidP="00C733B4">
            <w:pPr>
              <w:pStyle w:val="Ruleadvicebulletlevel3"/>
            </w:pPr>
            <w:r w:rsidRPr="005B4362">
              <w:t>the agency or person to whom the charge is payable</w:t>
            </w:r>
            <w:r w:rsidR="00FD37B6">
              <w:t>; or</w:t>
            </w:r>
          </w:p>
          <w:p w:rsidR="00616930" w:rsidRPr="005B4362" w:rsidRDefault="00FD37B6" w:rsidP="00C733B4">
            <w:pPr>
              <w:pStyle w:val="Ruleadvicebulletlevel3"/>
            </w:pPr>
            <w:r>
              <w:t>the agency or person on whose behalf the charge is collected</w:t>
            </w:r>
            <w:r w:rsidR="00616930" w:rsidRPr="005B4362">
              <w:t xml:space="preserve">; </w:t>
            </w:r>
            <w:r w:rsidR="005864A3">
              <w:t>and</w:t>
            </w:r>
          </w:p>
          <w:p w:rsidR="00616930" w:rsidRPr="00C733B4" w:rsidRDefault="00C51722" w:rsidP="00C733B4">
            <w:pPr>
              <w:pStyle w:val="Ruleadvicebulletlevel2"/>
            </w:pPr>
            <w:r w:rsidRPr="00C733B4">
              <w:t>ensure that the Schedule of Charges is made available at its principal place of business, or the principal place of business of:</w:t>
            </w:r>
          </w:p>
          <w:p w:rsidR="00C51722" w:rsidRPr="005B4362" w:rsidRDefault="00C51722" w:rsidP="00C733B4">
            <w:pPr>
              <w:pStyle w:val="Ruleadvicebulletlevel3"/>
            </w:pPr>
            <w:r w:rsidRPr="005B4362">
              <w:t>the person who determined the charge; or</w:t>
            </w:r>
          </w:p>
          <w:p w:rsidR="00FD37B6" w:rsidRDefault="00C51722" w:rsidP="00C733B4">
            <w:pPr>
              <w:pStyle w:val="Ruleadvicebulletlevel3"/>
            </w:pPr>
            <w:r w:rsidRPr="005B4362">
              <w:t>the agency or person to whom the charge is payable</w:t>
            </w:r>
            <w:r w:rsidR="00FD37B6">
              <w:t>; or</w:t>
            </w:r>
          </w:p>
          <w:p w:rsidR="00C51722" w:rsidRPr="005B4362" w:rsidRDefault="00FD37B6" w:rsidP="00C733B4">
            <w:pPr>
              <w:pStyle w:val="Ruleadvicebulletlevel3"/>
            </w:pPr>
            <w:r>
              <w:t>the agency or person on whose behalf the charge is collected;</w:t>
            </w:r>
          </w:p>
          <w:p w:rsidR="00AD4BB6" w:rsidRDefault="004C2E1C" w:rsidP="007E1B3F">
            <w:pPr>
              <w:pStyle w:val="Heading8"/>
              <w:ind w:left="709"/>
              <w:outlineLvl w:val="7"/>
            </w:pPr>
            <w:r w:rsidRPr="00D714FC">
              <w:t xml:space="preserve">25 business days </w:t>
            </w:r>
            <w:r w:rsidR="00C04DE7">
              <w:t xml:space="preserve">or more </w:t>
            </w:r>
            <w:r w:rsidRPr="00D714FC">
              <w:t xml:space="preserve">before the Schedule of Charges </w:t>
            </w:r>
            <w:r w:rsidR="000730DA">
              <w:t>takes</w:t>
            </w:r>
            <w:r w:rsidRPr="00D714FC">
              <w:t xml:space="preserve"> effect</w:t>
            </w:r>
            <w:r w:rsidR="000730DA">
              <w:t xml:space="preserve"> for the person who levies the charges</w:t>
            </w:r>
            <w:r w:rsidRPr="00D714FC">
              <w:t>.</w:t>
            </w:r>
            <w:bookmarkEnd w:id="619"/>
            <w:bookmarkEnd w:id="620"/>
            <w:bookmarkEnd w:id="621"/>
            <w:r w:rsidR="00EC7C01">
              <w:t xml:space="preserve"> </w:t>
            </w:r>
          </w:p>
          <w:p w:rsidR="008F17C2" w:rsidRDefault="00012AE5" w:rsidP="007E1B3F">
            <w:pPr>
              <w:pStyle w:val="Heading8"/>
              <w:outlineLvl w:val="7"/>
              <w:rPr>
                <w:sz w:val="18"/>
                <w:szCs w:val="18"/>
              </w:rPr>
            </w:pPr>
            <w:r w:rsidRPr="00DE1111">
              <w:rPr>
                <w:i/>
                <w:sz w:val="18"/>
                <w:szCs w:val="18"/>
              </w:rPr>
              <w:t xml:space="preserve">Note: </w:t>
            </w:r>
            <w:r w:rsidR="001F40FD" w:rsidRPr="00DE1111">
              <w:rPr>
                <w:sz w:val="18"/>
                <w:szCs w:val="18"/>
              </w:rPr>
              <w:t>As indicated above, t</w:t>
            </w:r>
            <w:r w:rsidR="002215B5" w:rsidRPr="00DE1111">
              <w:rPr>
                <w:sz w:val="18"/>
                <w:szCs w:val="18"/>
              </w:rPr>
              <w:t>h</w:t>
            </w:r>
            <w:r w:rsidR="00996B4D" w:rsidRPr="00DE1111">
              <w:rPr>
                <w:sz w:val="18"/>
                <w:szCs w:val="18"/>
              </w:rPr>
              <w:t xml:space="preserve">e person who is required to publish the Schedule of Charges </w:t>
            </w:r>
            <w:r w:rsidR="001F40FD" w:rsidRPr="00DE1111">
              <w:rPr>
                <w:sz w:val="18"/>
                <w:szCs w:val="18"/>
              </w:rPr>
              <w:t>should be</w:t>
            </w:r>
            <w:r w:rsidR="00996B4D" w:rsidRPr="00DE1111">
              <w:rPr>
                <w:sz w:val="18"/>
                <w:szCs w:val="18"/>
              </w:rPr>
              <w:t xml:space="preserve"> </w:t>
            </w:r>
            <w:r w:rsidR="002215B5" w:rsidRPr="00DE1111">
              <w:rPr>
                <w:sz w:val="18"/>
                <w:szCs w:val="18"/>
              </w:rPr>
              <w:t>the</w:t>
            </w:r>
            <w:r w:rsidR="00996B4D" w:rsidRPr="00DE1111">
              <w:rPr>
                <w:sz w:val="18"/>
                <w:szCs w:val="18"/>
              </w:rPr>
              <w:t xml:space="preserve"> person who adopts a Schedule of Charges</w:t>
            </w:r>
            <w:r w:rsidR="001F40FD" w:rsidRPr="00DE1111">
              <w:rPr>
                <w:sz w:val="18"/>
                <w:szCs w:val="18"/>
              </w:rPr>
              <w:t xml:space="preserve">. </w:t>
            </w:r>
          </w:p>
          <w:p w:rsidR="00607EE0" w:rsidRPr="00DE1111" w:rsidRDefault="008F17C2" w:rsidP="007E1B3F">
            <w:pPr>
              <w:pStyle w:val="Heading8"/>
              <w:outlineLvl w:val="7"/>
              <w:rPr>
                <w:sz w:val="18"/>
                <w:szCs w:val="18"/>
              </w:rPr>
            </w:pPr>
            <w:r>
              <w:t>These rules should be civil penalty provisions.</w:t>
            </w:r>
          </w:p>
          <w:p w:rsidR="007806CD" w:rsidRPr="009325A6" w:rsidRDefault="000B7F4C" w:rsidP="007E1B3F">
            <w:pPr>
              <w:pStyle w:val="Ruleadvicesubheading"/>
            </w:pPr>
            <w:r>
              <w:t>Delays due to determination / approval requirements</w:t>
            </w:r>
          </w:p>
          <w:p w:rsidR="00EC7CE2" w:rsidRDefault="005C7478" w:rsidP="007E1B3F">
            <w:pPr>
              <w:pStyle w:val="Heading8"/>
              <w:outlineLvl w:val="7"/>
            </w:pPr>
            <w:bookmarkStart w:id="622" w:name="_Toc456783930"/>
            <w:r>
              <w:t>The rules should provide that</w:t>
            </w:r>
            <w:r w:rsidR="00074338">
              <w:t xml:space="preserve"> i</w:t>
            </w:r>
            <w:r w:rsidR="00E91246" w:rsidRPr="005C7478">
              <w:t>f</w:t>
            </w:r>
            <w:bookmarkStart w:id="623" w:name="_Toc456783931"/>
            <w:bookmarkEnd w:id="622"/>
            <w:r w:rsidRPr="005C7478">
              <w:t xml:space="preserve"> </w:t>
            </w:r>
            <w:r w:rsidR="00E91246" w:rsidRPr="005C7478">
              <w:t xml:space="preserve">a person (including an infrastructure operator) is required under the rules to </w:t>
            </w:r>
            <w:r w:rsidR="00A35F87" w:rsidRPr="005C7478">
              <w:t>give</w:t>
            </w:r>
            <w:r w:rsidR="00E91246" w:rsidRPr="005C7478">
              <w:t xml:space="preserve"> / publish a </w:t>
            </w:r>
            <w:r w:rsidR="00EA6E15" w:rsidRPr="005C7478">
              <w:t>S</w:t>
            </w:r>
            <w:r w:rsidR="00E91246" w:rsidRPr="005C7478">
              <w:t xml:space="preserve">chedule of </w:t>
            </w:r>
            <w:r w:rsidR="00EA6E15" w:rsidRPr="005C7478">
              <w:t>C</w:t>
            </w:r>
            <w:r w:rsidR="00E91246" w:rsidRPr="005C7478">
              <w:t>harges</w:t>
            </w:r>
            <w:r w:rsidR="00074338">
              <w:t xml:space="preserve"> </w:t>
            </w:r>
            <w:r w:rsidR="00EC7CE2">
              <w:t>which:</w:t>
            </w:r>
          </w:p>
          <w:p w:rsidR="00EC7CE2" w:rsidRDefault="00074338" w:rsidP="00020517">
            <w:pPr>
              <w:pStyle w:val="Ruleadvicebullet"/>
            </w:pPr>
            <w:r>
              <w:t xml:space="preserve">includes charges that </w:t>
            </w:r>
            <w:r w:rsidR="00FF5A2A">
              <w:t xml:space="preserve">were approved or determined by </w:t>
            </w:r>
            <w:r w:rsidR="005D2928">
              <w:t xml:space="preserve">another person that was </w:t>
            </w:r>
            <w:r w:rsidR="00FF5A2A">
              <w:t xml:space="preserve">either the ACCC or </w:t>
            </w:r>
            <w:r w:rsidR="005D2928">
              <w:t>a State Agency</w:t>
            </w:r>
            <w:bookmarkStart w:id="624" w:name="_Toc456783933"/>
            <w:bookmarkEnd w:id="623"/>
            <w:r w:rsidR="00EC7CE2">
              <w:t>; and</w:t>
            </w:r>
          </w:p>
          <w:p w:rsidR="00EC7CE2" w:rsidRDefault="00EC7CE2" w:rsidP="00020517">
            <w:pPr>
              <w:pStyle w:val="Ruleadvicebullet"/>
            </w:pPr>
            <w:r>
              <w:t xml:space="preserve">the approval or determination </w:t>
            </w:r>
            <w:r w:rsidR="00A35F87">
              <w:t xml:space="preserve">is delayed </w:t>
            </w:r>
            <w:r w:rsidR="00635EDB">
              <w:t xml:space="preserve">such that the person is unable to comply with the timeframes for </w:t>
            </w:r>
            <w:r w:rsidR="00A35F87">
              <w:t>giv</w:t>
            </w:r>
            <w:r w:rsidR="00635EDB">
              <w:t>ing / publishing its Schedule of Charges</w:t>
            </w:r>
          </w:p>
          <w:p w:rsidR="00E91246" w:rsidRDefault="005D2928" w:rsidP="007E1B3F">
            <w:pPr>
              <w:pStyle w:val="Heading8"/>
              <w:outlineLvl w:val="7"/>
              <w:rPr>
                <w:szCs w:val="20"/>
              </w:rPr>
            </w:pPr>
            <w:bookmarkStart w:id="625" w:name="_Toc456783934"/>
            <w:bookmarkEnd w:id="624"/>
            <w:r>
              <w:t>the</w:t>
            </w:r>
            <w:r w:rsidR="00EC7CE2">
              <w:t xml:space="preserve"> operator </w:t>
            </w:r>
            <w:r w:rsidR="000B7F4C">
              <w:t xml:space="preserve">is </w:t>
            </w:r>
            <w:r w:rsidR="00EA53D4" w:rsidRPr="00074338">
              <w:t xml:space="preserve">taken to have complied with the </w:t>
            </w:r>
            <w:r w:rsidR="000B7F4C">
              <w:t>timing</w:t>
            </w:r>
            <w:r w:rsidR="00EA53D4" w:rsidRPr="00074338">
              <w:t xml:space="preserve"> requirements if </w:t>
            </w:r>
            <w:r>
              <w:t xml:space="preserve">they give / publish their Schedule of Charges </w:t>
            </w:r>
            <w:r w:rsidR="00E91246" w:rsidRPr="00074338">
              <w:t xml:space="preserve">as soon as </w:t>
            </w:r>
            <w:r w:rsidR="00EA53D4" w:rsidRPr="00074338">
              <w:t>practicable</w:t>
            </w:r>
            <w:r w:rsidR="00E91246" w:rsidRPr="00074338">
              <w:t xml:space="preserve"> after the </w:t>
            </w:r>
            <w:r w:rsidR="00E94F11" w:rsidRPr="00074338">
              <w:t xml:space="preserve">charges have been approved or determined (e.g. </w:t>
            </w:r>
            <w:r w:rsidR="00805AF2" w:rsidRPr="00074338">
              <w:t xml:space="preserve">after </w:t>
            </w:r>
            <w:r w:rsidR="00E94F11" w:rsidRPr="00074338">
              <w:t>the regulator</w:t>
            </w:r>
            <w:r w:rsidR="00E91246" w:rsidRPr="00074338">
              <w:t xml:space="preserve"> publishes its final decision</w:t>
            </w:r>
            <w:r w:rsidR="00E94F11" w:rsidRPr="00074338">
              <w:t>)</w:t>
            </w:r>
            <w:r w:rsidR="000B7F4C">
              <w:t xml:space="preserve">, and </w:t>
            </w:r>
            <w:bookmarkEnd w:id="625"/>
            <w:r w:rsidR="000B7F4C" w:rsidRPr="000B7F4C">
              <w:t>t</w:t>
            </w:r>
            <w:r w:rsidR="00635EDB" w:rsidRPr="000B7F4C">
              <w:rPr>
                <w:szCs w:val="20"/>
              </w:rPr>
              <w:t xml:space="preserve">he operator’s charges may take effect from the date specified in the regulatory decision, including if this date is before the date the operator </w:t>
            </w:r>
            <w:r w:rsidR="000B7F4C" w:rsidRPr="000B7F4C">
              <w:rPr>
                <w:szCs w:val="20"/>
              </w:rPr>
              <w:t>gives</w:t>
            </w:r>
            <w:r w:rsidR="00635EDB" w:rsidRPr="000B7F4C">
              <w:rPr>
                <w:szCs w:val="20"/>
              </w:rPr>
              <w:t xml:space="preserve"> / publishes its Schedule of Charges.</w:t>
            </w:r>
          </w:p>
          <w:p w:rsidR="000B7F4C" w:rsidRPr="000B7F4C" w:rsidRDefault="000B7F4C" w:rsidP="007E1B3F">
            <w:pPr>
              <w:pStyle w:val="Ruleadvicesubheading"/>
            </w:pPr>
            <w:r>
              <w:t xml:space="preserve">Changes in charges being passed through </w:t>
            </w:r>
          </w:p>
          <w:p w:rsidR="00B146CD" w:rsidRDefault="00635EDB" w:rsidP="007E1B3F">
            <w:pPr>
              <w:pStyle w:val="Heading8"/>
              <w:spacing w:before="120"/>
              <w:outlineLvl w:val="7"/>
            </w:pPr>
            <w:bookmarkStart w:id="626" w:name="_Toc456783935"/>
            <w:bookmarkStart w:id="627" w:name="_Toc433975280"/>
            <w:bookmarkStart w:id="628" w:name="_Toc432937519"/>
            <w:bookmarkStart w:id="629" w:name="_Toc436123318"/>
            <w:bookmarkEnd w:id="604"/>
            <w:r>
              <w:t>When the infrastructure charges and / planning and management charges incurred by an operator (and which rule advice 5-Y requires the operator to pass-through) have changed or will change,</w:t>
            </w:r>
            <w:r w:rsidR="009325A6">
              <w:t xml:space="preserve"> and this is the only reason an infrastructure operator needs to adopt a new Schedule of Charges,</w:t>
            </w:r>
            <w:r>
              <w:t xml:space="preserve"> t</w:t>
            </w:r>
            <w:r w:rsidR="00B146CD">
              <w:t xml:space="preserve">he rules should allow an infrastructure operator to </w:t>
            </w:r>
            <w:r w:rsidR="009325A6">
              <w:t xml:space="preserve">adopt </w:t>
            </w:r>
            <w:r w:rsidR="002A1B6F">
              <w:t>the</w:t>
            </w:r>
            <w:r w:rsidR="00B146CD">
              <w:t xml:space="preserve"> </w:t>
            </w:r>
            <w:r w:rsidR="009325A6">
              <w:t xml:space="preserve">new </w:t>
            </w:r>
            <w:r w:rsidR="00E729DB">
              <w:t>S</w:t>
            </w:r>
            <w:r w:rsidR="00B146CD">
              <w:t xml:space="preserve">chedule without triggering the obligation to </w:t>
            </w:r>
            <w:r w:rsidR="009325A6">
              <w:t>give</w:t>
            </w:r>
            <w:r w:rsidR="00B146CD" w:rsidRPr="00B146CD">
              <w:t xml:space="preserve"> </w:t>
            </w:r>
            <w:r w:rsidR="002A1B6F">
              <w:t>the Schedule</w:t>
            </w:r>
            <w:r w:rsidR="00B146CD">
              <w:t xml:space="preserve"> to </w:t>
            </w:r>
            <w:r w:rsidR="000B7F4C">
              <w:t xml:space="preserve">all its </w:t>
            </w:r>
            <w:r w:rsidR="00B146CD">
              <w:t xml:space="preserve">customers prior to </w:t>
            </w:r>
            <w:r w:rsidR="002A1B6F">
              <w:t xml:space="preserve">the </w:t>
            </w:r>
            <w:r w:rsidR="00B146CD">
              <w:t xml:space="preserve">charges coming into effect. </w:t>
            </w:r>
            <w:r w:rsidR="000B7F4C">
              <w:t>However</w:t>
            </w:r>
            <w:r w:rsidR="00B146CD">
              <w:t>, the infrastructure operator should still be required</w:t>
            </w:r>
            <w:r w:rsidR="00E96798">
              <w:rPr>
                <w:rFonts w:ascii="Calibri" w:hAnsi="Calibri"/>
              </w:rPr>
              <w:t>―</w:t>
            </w:r>
            <w:r w:rsidR="002A1B6F">
              <w:t>in relation to the newly adopted Schedule of Charges</w:t>
            </w:r>
            <w:r w:rsidR="00E96798">
              <w:rPr>
                <w:rFonts w:ascii="Calibri" w:hAnsi="Calibri"/>
              </w:rPr>
              <w:t>―</w:t>
            </w:r>
            <w:r w:rsidR="00702809">
              <w:t>to</w:t>
            </w:r>
            <w:r w:rsidR="00B146CD">
              <w:t>:</w:t>
            </w:r>
            <w:bookmarkEnd w:id="626"/>
            <w:r w:rsidR="00702809">
              <w:t xml:space="preserve"> </w:t>
            </w:r>
          </w:p>
          <w:p w:rsidR="00B146CD" w:rsidRPr="00EC7C01" w:rsidRDefault="00B146CD" w:rsidP="00020517">
            <w:pPr>
              <w:pStyle w:val="Ruleadvicebullet"/>
            </w:pPr>
            <w:bookmarkStart w:id="630" w:name="_Toc456783936"/>
            <w:r w:rsidRPr="00EC7C01">
              <w:t xml:space="preserve">publish </w:t>
            </w:r>
            <w:r w:rsidR="002A1B6F">
              <w:t xml:space="preserve">the </w:t>
            </w:r>
            <w:r w:rsidR="00E729DB">
              <w:t>S</w:t>
            </w:r>
            <w:r w:rsidRPr="00EC7C01">
              <w:t>chedule</w:t>
            </w:r>
            <w:r w:rsidR="002A1B6F">
              <w:t xml:space="preserve"> </w:t>
            </w:r>
            <w:r w:rsidRPr="00EC7C01">
              <w:t>on their website (if they have one) as soon as p</w:t>
            </w:r>
            <w:r w:rsidR="002A1B6F">
              <w:t>racticable</w:t>
            </w:r>
            <w:r w:rsidRPr="00EC7C01">
              <w:t xml:space="preserve"> after </w:t>
            </w:r>
            <w:bookmarkEnd w:id="630"/>
            <w:r w:rsidR="002A1B6F">
              <w:t xml:space="preserve">adoption; </w:t>
            </w:r>
          </w:p>
          <w:p w:rsidR="00B146CD" w:rsidRPr="00EC7C01" w:rsidRDefault="00B146CD" w:rsidP="00020517">
            <w:pPr>
              <w:pStyle w:val="Ruleadvicebullet"/>
            </w:pPr>
            <w:bookmarkStart w:id="631" w:name="_Toc456783937"/>
            <w:r w:rsidRPr="00EC7C01">
              <w:t>make the</w:t>
            </w:r>
            <w:r w:rsidR="002A1B6F">
              <w:t xml:space="preserve"> </w:t>
            </w:r>
            <w:r w:rsidR="00E729DB">
              <w:t>S</w:t>
            </w:r>
            <w:r w:rsidRPr="00EC7C01">
              <w:t>chedule available on request</w:t>
            </w:r>
            <w:bookmarkEnd w:id="631"/>
            <w:r w:rsidR="002A1B6F">
              <w:t>;</w:t>
            </w:r>
          </w:p>
          <w:p w:rsidR="00B146CD" w:rsidRPr="00D714FC" w:rsidRDefault="002A1B6F" w:rsidP="00020517">
            <w:pPr>
              <w:pStyle w:val="Ruleadvicebullet"/>
            </w:pPr>
            <w:bookmarkStart w:id="632" w:name="_Toc456783938"/>
            <w:r>
              <w:t xml:space="preserve">give the </w:t>
            </w:r>
            <w:r w:rsidR="00E729DB">
              <w:t>S</w:t>
            </w:r>
            <w:r w:rsidR="00B146CD">
              <w:t>chedule, or a notice regarding the details of the updates, when the operator next invoices customers.</w:t>
            </w:r>
            <w:bookmarkEnd w:id="632"/>
          </w:p>
          <w:p w:rsidR="00EA53D4" w:rsidRDefault="00B146CD" w:rsidP="007E1B3F">
            <w:pPr>
              <w:pStyle w:val="Heading8"/>
              <w:outlineLvl w:val="7"/>
            </w:pPr>
            <w:bookmarkStart w:id="633" w:name="_Toc456783939"/>
            <w:r>
              <w:t>The rule</w:t>
            </w:r>
            <w:r w:rsidR="000B7F4C">
              <w:t>s</w:t>
            </w:r>
            <w:r>
              <w:t xml:space="preserve"> should allow an updated charge to commence on the same</w:t>
            </w:r>
            <w:r w:rsidR="002A1B6F">
              <w:t xml:space="preserve"> date</w:t>
            </w:r>
            <w:r w:rsidR="000B7F4C">
              <w:t xml:space="preserve"> </w:t>
            </w:r>
            <w:r>
              <w:t xml:space="preserve">the infrastructure charge or planning and management charge incurred by the operator commences (even if this was before the </w:t>
            </w:r>
            <w:r w:rsidR="002A1B6F">
              <w:t xml:space="preserve">new </w:t>
            </w:r>
            <w:r w:rsidR="00E729DB">
              <w:t>S</w:t>
            </w:r>
            <w:r>
              <w:t xml:space="preserve">chedule of </w:t>
            </w:r>
            <w:r w:rsidR="00E729DB">
              <w:t>C</w:t>
            </w:r>
            <w:r>
              <w:t xml:space="preserve">harges is </w:t>
            </w:r>
            <w:r w:rsidR="002A1B6F">
              <w:t>adopt</w:t>
            </w:r>
            <w:r>
              <w:t>ed).</w:t>
            </w:r>
            <w:bookmarkEnd w:id="633"/>
            <w:r w:rsidR="004F6BD0">
              <w:t xml:space="preserve"> </w:t>
            </w:r>
          </w:p>
          <w:p w:rsidR="00B146CD" w:rsidRPr="00EA53D4" w:rsidRDefault="009325A6" w:rsidP="007E1B3F">
            <w:pPr>
              <w:pStyle w:val="Heading8"/>
              <w:outlineLvl w:val="7"/>
              <w:rPr>
                <w:sz w:val="18"/>
              </w:rPr>
            </w:pPr>
            <w:r w:rsidRPr="00EA53D4">
              <w:rPr>
                <w:i/>
                <w:sz w:val="18"/>
              </w:rPr>
              <w:t xml:space="preserve">Note: </w:t>
            </w:r>
            <w:r w:rsidRPr="00EA53D4">
              <w:rPr>
                <w:sz w:val="18"/>
              </w:rPr>
              <w:t xml:space="preserve">rule advice </w:t>
            </w:r>
            <w:r w:rsidR="00754AFE" w:rsidRPr="00EA53D4">
              <w:rPr>
                <w:sz w:val="18"/>
              </w:rPr>
              <w:t xml:space="preserve">5-Y </w:t>
            </w:r>
            <w:r w:rsidRPr="00EA53D4">
              <w:rPr>
                <w:sz w:val="18"/>
              </w:rPr>
              <w:t xml:space="preserve">allows an operator to defer updating any infrastructure charge(s) that it levies to recover </w:t>
            </w:r>
            <w:r w:rsidR="00C4383A">
              <w:rPr>
                <w:sz w:val="18"/>
              </w:rPr>
              <w:t>the cost of charges it incurs</w:t>
            </w:r>
            <w:r w:rsidRPr="00EA53D4">
              <w:rPr>
                <w:i/>
                <w:sz w:val="18"/>
              </w:rPr>
              <w:t xml:space="preserve"> </w:t>
            </w:r>
            <w:r w:rsidRPr="00EA53D4">
              <w:rPr>
                <w:sz w:val="18"/>
              </w:rPr>
              <w:t>for up to three months after th</w:t>
            </w:r>
            <w:r w:rsidR="00C4383A">
              <w:rPr>
                <w:sz w:val="18"/>
              </w:rPr>
              <w:t>e</w:t>
            </w:r>
            <w:r w:rsidRPr="00EA53D4">
              <w:rPr>
                <w:sz w:val="18"/>
              </w:rPr>
              <w:t xml:space="preserve"> charges it incurs are changed.</w:t>
            </w:r>
          </w:p>
          <w:p w:rsidR="00690436" w:rsidRPr="00690436" w:rsidRDefault="00690436" w:rsidP="007E1B3F">
            <w:pPr>
              <w:pStyle w:val="Ruleadvicesubheading"/>
            </w:pPr>
            <w:bookmarkStart w:id="634" w:name="_Toc456783943"/>
            <w:bookmarkEnd w:id="627"/>
            <w:bookmarkEnd w:id="628"/>
            <w:bookmarkEnd w:id="629"/>
            <w:r>
              <w:t>Requirement to give the Schedule of Charges to new customers or on request</w:t>
            </w:r>
          </w:p>
          <w:p w:rsidR="008F17C2" w:rsidRDefault="009A613D" w:rsidP="007E1B3F">
            <w:pPr>
              <w:pStyle w:val="Heading8"/>
              <w:outlineLvl w:val="7"/>
            </w:pPr>
            <w:r>
              <w:t xml:space="preserve">The rules should be amended </w:t>
            </w:r>
            <w:r w:rsidR="008B2D5B">
              <w:t>to change the current timeframe</w:t>
            </w:r>
            <w:r w:rsidR="008F17C2">
              <w:t>s</w:t>
            </w:r>
            <w:r w:rsidR="008B2D5B">
              <w:t xml:space="preserve"> for </w:t>
            </w:r>
            <w:r>
              <w:t>a</w:t>
            </w:r>
            <w:r w:rsidR="00EC7C01" w:rsidRPr="00EC7C01">
              <w:t xml:space="preserve">n infrastructure operator to </w:t>
            </w:r>
            <w:r w:rsidR="008F17C2">
              <w:t>give a copy of its</w:t>
            </w:r>
            <w:r w:rsidR="00EC7C01" w:rsidRPr="00EC7C01">
              <w:t xml:space="preserve"> </w:t>
            </w:r>
            <w:r w:rsidR="00E729DB">
              <w:t>S</w:t>
            </w:r>
            <w:r w:rsidR="00EC7C01" w:rsidRPr="00EC7C01">
              <w:t xml:space="preserve">chedule of </w:t>
            </w:r>
            <w:r w:rsidR="00E729DB">
              <w:t>C</w:t>
            </w:r>
            <w:r w:rsidR="00EC7C01" w:rsidRPr="00EC7C01">
              <w:t>harges</w:t>
            </w:r>
            <w:r w:rsidR="008F17C2">
              <w:t>:</w:t>
            </w:r>
          </w:p>
          <w:p w:rsidR="009A613D" w:rsidRDefault="00EC7C01" w:rsidP="00020517">
            <w:pPr>
              <w:pStyle w:val="Ruleadvicebullet"/>
            </w:pPr>
            <w:r w:rsidRPr="00EC7C01">
              <w:t xml:space="preserve">to a </w:t>
            </w:r>
            <w:r w:rsidR="00C4383A">
              <w:t xml:space="preserve">new </w:t>
            </w:r>
            <w:r w:rsidRPr="00EC7C01">
              <w:t>customer</w:t>
            </w:r>
            <w:r w:rsidR="008F17C2">
              <w:t>—to</w:t>
            </w:r>
            <w:r w:rsidRPr="00EC7C01">
              <w:t xml:space="preserve"> within 10 business days of the </w:t>
            </w:r>
            <w:r w:rsidR="009A613D">
              <w:t xml:space="preserve">day that the operator </w:t>
            </w:r>
            <w:r w:rsidR="00B36FAA">
              <w:t xml:space="preserve">first receives notice or otherwise becomes </w:t>
            </w:r>
            <w:r w:rsidRPr="00EC7C01">
              <w:t>aware that the person is a customer.</w:t>
            </w:r>
            <w:bookmarkEnd w:id="634"/>
          </w:p>
          <w:p w:rsidR="008B2D5B" w:rsidRDefault="008B2D5B" w:rsidP="00020517">
            <w:pPr>
              <w:pStyle w:val="Ruleadvicebullet"/>
            </w:pPr>
            <w:r w:rsidRPr="004E3E67">
              <w:t>on request</w:t>
            </w:r>
            <w:r w:rsidR="008F17C2">
              <w:t>—within 10 business days of the request (</w:t>
            </w:r>
            <w:r w:rsidRPr="004E3E67">
              <w:t>reduced from 20 business days</w:t>
            </w:r>
            <w:r w:rsidR="008F17C2">
              <w:t>)</w:t>
            </w:r>
            <w:r w:rsidRPr="004E3E67">
              <w:t xml:space="preserve">. </w:t>
            </w:r>
          </w:p>
          <w:p w:rsidR="009A2A30" w:rsidRDefault="009A2A30" w:rsidP="007E1B3F">
            <w:pPr>
              <w:pStyle w:val="Heading8"/>
              <w:outlineLvl w:val="7"/>
            </w:pPr>
            <w:r>
              <w:t xml:space="preserve">The rules should also require that the operator not only provide its current Schedule of Charges but also any Schedule of Charges which is </w:t>
            </w:r>
            <w:r w:rsidRPr="00EA53D4">
              <w:t>not yet</w:t>
            </w:r>
            <w:r>
              <w:t xml:space="preserve"> in effect but has been given to the operator’s other customers in accordance with the rules.</w:t>
            </w:r>
          </w:p>
          <w:p w:rsidR="008F17C2" w:rsidRPr="008F17C2" w:rsidRDefault="008F17C2" w:rsidP="007E1B3F">
            <w:pPr>
              <w:pStyle w:val="Heading8"/>
              <w:outlineLvl w:val="7"/>
            </w:pPr>
            <w:r>
              <w:t>These rules should be civil penalty provisions.</w:t>
            </w:r>
          </w:p>
          <w:p w:rsidR="008F17C2" w:rsidRPr="001F40FD" w:rsidRDefault="008F17C2" w:rsidP="007E1B3F">
            <w:pPr>
              <w:pStyle w:val="Ruleadvicesubheading"/>
            </w:pPr>
            <w:r w:rsidRPr="001F40FD">
              <w:t>The meaning of ‘give’</w:t>
            </w:r>
          </w:p>
          <w:p w:rsidR="008F17C2" w:rsidRDefault="008F17C2" w:rsidP="007E1B3F">
            <w:pPr>
              <w:pStyle w:val="Heading8"/>
              <w:outlineLvl w:val="7"/>
            </w:pPr>
            <w:r>
              <w:t>The rules should be amended such that an operator is taken to have given a Schedule of Charges to its customers on the day that it is posted or otherwise sent. That is, a</w:t>
            </w:r>
            <w:r w:rsidRPr="00D714FC">
              <w:t xml:space="preserve">n infrastructure operator should not be required to ensure that a customer has </w:t>
            </w:r>
            <w:r w:rsidRPr="00EA53D4">
              <w:rPr>
                <w:bCs/>
                <w:i/>
              </w:rPr>
              <w:t>received</w:t>
            </w:r>
            <w:r w:rsidRPr="00D714FC">
              <w:t xml:space="preserve"> the Schedule of Charges within the timeframe specified in the rules. </w:t>
            </w:r>
          </w:p>
          <w:p w:rsidR="008F17C2" w:rsidRDefault="008F17C2" w:rsidP="007E1B3F">
            <w:pPr>
              <w:pStyle w:val="Heading8"/>
              <w:outlineLvl w:val="7"/>
            </w:pPr>
            <w:r>
              <w:t>Further, the rules should clarify that a</w:t>
            </w:r>
            <w:r w:rsidRPr="00D714FC">
              <w:t>n infrastructure operator</w:t>
            </w:r>
            <w:r>
              <w:t>:</w:t>
            </w:r>
            <w:r w:rsidRPr="00D714FC">
              <w:t xml:space="preserve"> </w:t>
            </w:r>
          </w:p>
          <w:p w:rsidR="008F17C2" w:rsidRDefault="008F17C2" w:rsidP="00020517">
            <w:pPr>
              <w:pStyle w:val="Ruleadvicebullet"/>
            </w:pPr>
            <w:r w:rsidRPr="00D714FC">
              <w:t xml:space="preserve">does not need to </w:t>
            </w:r>
            <w:r>
              <w:t>send the Schedule of Charges to</w:t>
            </w:r>
            <w:r w:rsidRPr="00D714FC">
              <w:t xml:space="preserve"> all customers via the same means</w:t>
            </w:r>
            <w:r>
              <w:t xml:space="preserve"> </w:t>
            </w:r>
          </w:p>
          <w:p w:rsidR="008F17C2" w:rsidRDefault="008F17C2" w:rsidP="00020517">
            <w:pPr>
              <w:pStyle w:val="Ruleadvicebullet"/>
            </w:pPr>
            <w:r>
              <w:t>may send the Schedule of Charges in electronic form including via fax, email or text message including by attaching the document to an email or referring to an Internet address where the document can be found in an email or text message</w:t>
            </w:r>
            <w:r w:rsidRPr="00D714FC">
              <w:t>.</w:t>
            </w:r>
          </w:p>
          <w:p w:rsidR="004C2E1C" w:rsidRPr="00BD60CC" w:rsidRDefault="004C2E1C" w:rsidP="007E1B3F">
            <w:pPr>
              <w:pStyle w:val="Heading8"/>
              <w:spacing w:before="120"/>
              <w:outlineLvl w:val="7"/>
            </w:pPr>
            <w:bookmarkStart w:id="635" w:name="_Toc436123319"/>
            <w:bookmarkStart w:id="636" w:name="_Toc456783945"/>
            <w:r>
              <w:rPr>
                <w:rFonts w:ascii="Times New Roman" w:hAnsi="Times New Roman"/>
              </w:rPr>
              <w:t xml:space="preserve">This rule advice is implemented in </w:t>
            </w:r>
            <w:r w:rsidR="00207A65">
              <w:rPr>
                <w:rFonts w:ascii="Times New Roman" w:hAnsi="Times New Roman"/>
              </w:rPr>
              <w:t>r</w:t>
            </w:r>
            <w:r>
              <w:rPr>
                <w:rFonts w:ascii="Times New Roman" w:hAnsi="Times New Roman"/>
              </w:rPr>
              <w:t>ule</w:t>
            </w:r>
            <w:r w:rsidR="00EC7C01">
              <w:rPr>
                <w:rFonts w:ascii="Times New Roman" w:hAnsi="Times New Roman"/>
              </w:rPr>
              <w:t>s</w:t>
            </w:r>
            <w:r w:rsidR="009E1A80">
              <w:rPr>
                <w:rFonts w:ascii="Times New Roman" w:hAnsi="Times New Roman"/>
              </w:rPr>
              <w:t xml:space="preserve"> 3,</w:t>
            </w:r>
            <w:r w:rsidR="00EC7C01">
              <w:rPr>
                <w:rFonts w:ascii="Times New Roman" w:hAnsi="Times New Roman"/>
              </w:rPr>
              <w:t xml:space="preserve"> </w:t>
            </w:r>
            <w:r w:rsidR="005C3620">
              <w:rPr>
                <w:rFonts w:ascii="Times New Roman" w:hAnsi="Times New Roman"/>
              </w:rPr>
              <w:t>11, 12</w:t>
            </w:r>
            <w:r w:rsidR="00EC7C01">
              <w:rPr>
                <w:rFonts w:ascii="Times New Roman" w:hAnsi="Times New Roman"/>
              </w:rPr>
              <w:t xml:space="preserve"> and</w:t>
            </w:r>
            <w:r>
              <w:rPr>
                <w:rFonts w:ascii="Times New Roman" w:hAnsi="Times New Roman"/>
              </w:rPr>
              <w:t xml:space="preserve"> 1</w:t>
            </w:r>
            <w:r w:rsidR="006C481C">
              <w:rPr>
                <w:rFonts w:ascii="Times New Roman" w:hAnsi="Times New Roman"/>
              </w:rPr>
              <w:t>5</w:t>
            </w:r>
            <w:r>
              <w:rPr>
                <w:rFonts w:ascii="Times New Roman" w:hAnsi="Times New Roman"/>
              </w:rPr>
              <w:t xml:space="preserve"> of the proposed </w:t>
            </w:r>
            <w:r w:rsidR="003F77BE">
              <w:rPr>
                <w:rFonts w:ascii="Times New Roman" w:hAnsi="Times New Roman"/>
              </w:rPr>
              <w:t>W</w:t>
            </w:r>
            <w:r>
              <w:rPr>
                <w:rFonts w:ascii="Times New Roman" w:hAnsi="Times New Roman"/>
              </w:rPr>
              <w:t xml:space="preserve">ater </w:t>
            </w:r>
            <w:r w:rsidR="003F77BE">
              <w:rPr>
                <w:rFonts w:ascii="Times New Roman" w:hAnsi="Times New Roman"/>
              </w:rPr>
              <w:t>C</w:t>
            </w:r>
            <w:r>
              <w:rPr>
                <w:rFonts w:ascii="Times New Roman" w:hAnsi="Times New Roman"/>
              </w:rPr>
              <w:t xml:space="preserve">harge </w:t>
            </w:r>
            <w:r w:rsidR="003F77BE">
              <w:rPr>
                <w:rFonts w:ascii="Times New Roman" w:hAnsi="Times New Roman"/>
              </w:rPr>
              <w:t>R</w:t>
            </w:r>
            <w:r>
              <w:rPr>
                <w:rFonts w:ascii="Times New Roman" w:hAnsi="Times New Roman"/>
              </w:rPr>
              <w:t>ules.</w:t>
            </w:r>
            <w:bookmarkEnd w:id="599"/>
            <w:bookmarkEnd w:id="635"/>
            <w:bookmarkEnd w:id="636"/>
          </w:p>
        </w:tc>
      </w:tr>
    </w:tbl>
    <w:bookmarkEnd w:id="568"/>
    <w:bookmarkEnd w:id="569"/>
    <w:bookmarkEnd w:id="570"/>
    <w:bookmarkEnd w:id="571"/>
    <w:bookmarkEnd w:id="572"/>
    <w:p w:rsidR="006246A8" w:rsidRPr="006246A8" w:rsidRDefault="006246A8" w:rsidP="005A011A">
      <w:pPr>
        <w:pStyle w:val="Heading4"/>
        <w:keepNext w:val="0"/>
      </w:pPr>
      <w:r>
        <w:t>Background</w:t>
      </w:r>
    </w:p>
    <w:p w:rsidR="008D3FFD" w:rsidRPr="00D714FC" w:rsidRDefault="008D3FFD" w:rsidP="00F82FD9">
      <w:pPr>
        <w:spacing w:after="120"/>
        <w:rPr>
          <w:rFonts w:eastAsia="Arial" w:cs="Times New Roman"/>
        </w:rPr>
      </w:pPr>
      <w:r w:rsidRPr="00D714FC">
        <w:rPr>
          <w:rFonts w:eastAsia="Arial" w:cs="Times New Roman"/>
        </w:rPr>
        <w:t xml:space="preserve">Under the current Part 4 of the </w:t>
      </w:r>
      <w:r w:rsidR="00E623B1" w:rsidRPr="0067271D">
        <w:rPr>
          <w:rFonts w:eastAsia="Arial" w:cs="Times New Roman"/>
        </w:rPr>
        <w:t>Water Charge (Infrastructure) Rules 2010</w:t>
      </w:r>
      <w:r w:rsidR="00E623B1" w:rsidRPr="00A16AFC">
        <w:rPr>
          <w:rFonts w:eastAsia="Arial" w:cs="Times New Roman"/>
          <w:i/>
        </w:rPr>
        <w:t xml:space="preserve"> </w:t>
      </w:r>
      <w:r w:rsidR="00E623B1">
        <w:rPr>
          <w:rFonts w:eastAsia="Arial" w:cs="Times New Roman"/>
        </w:rPr>
        <w:t>(</w:t>
      </w:r>
      <w:r w:rsidRPr="00D714FC">
        <w:rPr>
          <w:rFonts w:eastAsia="Arial" w:cs="Times New Roman"/>
        </w:rPr>
        <w:t>WCIR</w:t>
      </w:r>
      <w:r w:rsidR="00E623B1">
        <w:rPr>
          <w:rFonts w:eastAsia="Arial" w:cs="Times New Roman"/>
        </w:rPr>
        <w:t>)</w:t>
      </w:r>
      <w:r w:rsidRPr="00D714FC">
        <w:rPr>
          <w:rFonts w:eastAsia="Arial" w:cs="Times New Roman"/>
        </w:rPr>
        <w:t xml:space="preserve">, </w:t>
      </w:r>
      <w:r w:rsidR="0067271D">
        <w:rPr>
          <w:rFonts w:eastAsia="Arial" w:cs="Times New Roman"/>
        </w:rPr>
        <w:t>r</w:t>
      </w:r>
      <w:r w:rsidRPr="00D714FC">
        <w:rPr>
          <w:rFonts w:eastAsia="Arial" w:cs="Times New Roman"/>
        </w:rPr>
        <w:t xml:space="preserve">ules 11-15 </w:t>
      </w:r>
      <w:r w:rsidR="003041BE" w:rsidRPr="00D714FC">
        <w:rPr>
          <w:rFonts w:eastAsia="Arial" w:cs="Times New Roman"/>
        </w:rPr>
        <w:t xml:space="preserve">require a </w:t>
      </w:r>
      <w:r w:rsidR="00262689" w:rsidRPr="00D714FC">
        <w:rPr>
          <w:rFonts w:eastAsia="Arial" w:cs="Times New Roman"/>
        </w:rPr>
        <w:t>Schedule of Charges</w:t>
      </w:r>
      <w:r w:rsidR="003041BE" w:rsidRPr="00D714FC">
        <w:rPr>
          <w:rFonts w:eastAsia="Arial" w:cs="Times New Roman"/>
        </w:rPr>
        <w:t xml:space="preserve"> (</w:t>
      </w:r>
      <w:r w:rsidR="0031257D" w:rsidRPr="00D714FC">
        <w:rPr>
          <w:rFonts w:eastAsia="Arial" w:cs="Times New Roman"/>
        </w:rPr>
        <w:t>“Schedule”</w:t>
      </w:r>
      <w:r w:rsidR="003041BE" w:rsidRPr="00D714FC">
        <w:rPr>
          <w:rFonts w:eastAsia="Arial" w:cs="Times New Roman"/>
        </w:rPr>
        <w:t xml:space="preserve">) </w:t>
      </w:r>
      <w:r w:rsidRPr="00D714FC">
        <w:rPr>
          <w:rFonts w:eastAsia="Arial" w:cs="Times New Roman"/>
        </w:rPr>
        <w:t>to be provided to customers.</w:t>
      </w:r>
      <w:r w:rsidR="0031257D" w:rsidRPr="00D714FC">
        <w:rPr>
          <w:rFonts w:eastAsia="Arial" w:cs="Times New Roman"/>
        </w:rPr>
        <w:t xml:space="preserve"> An</w:t>
      </w:r>
      <w:r w:rsidRPr="00D714FC">
        <w:rPr>
          <w:rFonts w:eastAsia="Arial" w:cs="Times New Roman"/>
        </w:rPr>
        <w:t xml:space="preserve"> </w:t>
      </w:r>
      <w:r w:rsidR="0031257D" w:rsidRPr="00D714FC">
        <w:rPr>
          <w:rFonts w:eastAsia="Arial" w:cs="Times New Roman"/>
        </w:rPr>
        <w:t>infrastructure operator</w:t>
      </w:r>
      <w:r w:rsidRPr="00D714FC">
        <w:rPr>
          <w:rFonts w:eastAsia="Arial" w:cs="Times New Roman"/>
        </w:rPr>
        <w:t xml:space="preserve"> </w:t>
      </w:r>
      <w:r w:rsidR="0031257D" w:rsidRPr="00D714FC">
        <w:rPr>
          <w:rFonts w:eastAsia="Arial" w:cs="Times New Roman"/>
        </w:rPr>
        <w:t>is</w:t>
      </w:r>
      <w:r w:rsidR="00AE1988" w:rsidRPr="00D714FC">
        <w:rPr>
          <w:rFonts w:eastAsia="Arial" w:cs="Times New Roman"/>
        </w:rPr>
        <w:t xml:space="preserve"> currently</w:t>
      </w:r>
      <w:r w:rsidR="0031257D" w:rsidRPr="00D714FC">
        <w:rPr>
          <w:rFonts w:eastAsia="Arial" w:cs="Times New Roman"/>
        </w:rPr>
        <w:t xml:space="preserve"> </w:t>
      </w:r>
      <w:r w:rsidRPr="00D714FC">
        <w:rPr>
          <w:rFonts w:eastAsia="Arial" w:cs="Times New Roman"/>
        </w:rPr>
        <w:t>required to:</w:t>
      </w:r>
    </w:p>
    <w:p w:rsidR="00FE77F5" w:rsidRPr="00D714FC" w:rsidRDefault="008D3FFD" w:rsidP="00A82DE6">
      <w:pPr>
        <w:pStyle w:val="Lvl1Bulletpoint"/>
        <w:rPr>
          <w:rFonts w:eastAsia="Arial"/>
        </w:rPr>
      </w:pPr>
      <w:r w:rsidRPr="00D714FC">
        <w:rPr>
          <w:rFonts w:eastAsia="Arial"/>
        </w:rPr>
        <w:t xml:space="preserve">provide </w:t>
      </w:r>
      <w:r w:rsidR="0031257D" w:rsidRPr="00D714FC">
        <w:rPr>
          <w:rFonts w:eastAsia="Arial"/>
        </w:rPr>
        <w:t>its Schedule</w:t>
      </w:r>
      <w:r w:rsidRPr="00D714FC">
        <w:rPr>
          <w:rFonts w:eastAsia="Arial"/>
        </w:rPr>
        <w:t xml:space="preserve"> to existing customers and new customers</w:t>
      </w:r>
      <w:r w:rsidR="00FE77F5" w:rsidRPr="00D714FC">
        <w:rPr>
          <w:rFonts w:eastAsia="Arial"/>
        </w:rPr>
        <w:t xml:space="preserve"> (rule 11)</w:t>
      </w:r>
    </w:p>
    <w:p w:rsidR="008D3FFD" w:rsidRPr="00D714FC" w:rsidRDefault="008D3FFD" w:rsidP="00A82DE6">
      <w:pPr>
        <w:pStyle w:val="Lvl1Bulletpoint"/>
        <w:rPr>
          <w:rFonts w:eastAsia="Arial"/>
        </w:rPr>
      </w:pPr>
      <w:r w:rsidRPr="00D714FC">
        <w:rPr>
          <w:rFonts w:eastAsia="Arial"/>
        </w:rPr>
        <w:t>provide</w:t>
      </w:r>
      <w:r w:rsidR="00E03655" w:rsidRPr="00D714FC">
        <w:rPr>
          <w:rFonts w:eastAsia="Arial"/>
        </w:rPr>
        <w:t xml:space="preserve"> a revised</w:t>
      </w:r>
      <w:r w:rsidRPr="00D714FC">
        <w:rPr>
          <w:rFonts w:eastAsia="Arial"/>
        </w:rPr>
        <w:t xml:space="preserve"> </w:t>
      </w:r>
      <w:r w:rsidR="0031257D" w:rsidRPr="00D714FC">
        <w:rPr>
          <w:rFonts w:eastAsia="Arial"/>
        </w:rPr>
        <w:t xml:space="preserve">Schedule </w:t>
      </w:r>
      <w:r w:rsidRPr="00D714FC">
        <w:rPr>
          <w:rFonts w:eastAsia="Arial"/>
        </w:rPr>
        <w:t>when changes occur</w:t>
      </w:r>
      <w:r w:rsidR="00FE77F5" w:rsidRPr="00D714FC">
        <w:rPr>
          <w:rFonts w:eastAsia="Arial"/>
        </w:rPr>
        <w:t xml:space="preserve"> (</w:t>
      </w:r>
      <w:r w:rsidR="002C7126">
        <w:rPr>
          <w:rFonts w:eastAsia="Arial"/>
        </w:rPr>
        <w:t>sub</w:t>
      </w:r>
      <w:r w:rsidR="00FE77F5" w:rsidRPr="00D714FC">
        <w:rPr>
          <w:rFonts w:eastAsia="Arial"/>
        </w:rPr>
        <w:t>rule 12(1))</w:t>
      </w:r>
    </w:p>
    <w:p w:rsidR="008D3FFD" w:rsidRPr="00D714FC" w:rsidRDefault="008D3FFD" w:rsidP="00A82DE6">
      <w:pPr>
        <w:pStyle w:val="Lvl1Bulletpoint"/>
        <w:rPr>
          <w:rFonts w:eastAsia="Arial"/>
        </w:rPr>
      </w:pPr>
      <w:r w:rsidRPr="00D714FC">
        <w:rPr>
          <w:rFonts w:eastAsia="Arial"/>
        </w:rPr>
        <w:t xml:space="preserve">provide </w:t>
      </w:r>
      <w:r w:rsidR="0031257D" w:rsidRPr="00D714FC">
        <w:rPr>
          <w:rFonts w:eastAsia="Arial"/>
        </w:rPr>
        <w:t xml:space="preserve">its Schedule </w:t>
      </w:r>
      <w:r w:rsidRPr="00D714FC">
        <w:rPr>
          <w:rFonts w:eastAsia="Arial"/>
        </w:rPr>
        <w:t xml:space="preserve">at least 10 business days before charges or changes to </w:t>
      </w:r>
      <w:r w:rsidR="0031257D" w:rsidRPr="00D714FC">
        <w:rPr>
          <w:rFonts w:eastAsia="Arial"/>
        </w:rPr>
        <w:t>the Schedule</w:t>
      </w:r>
      <w:r w:rsidRPr="00D714FC">
        <w:rPr>
          <w:rFonts w:eastAsia="Arial"/>
        </w:rPr>
        <w:t xml:space="preserve"> come into effect</w:t>
      </w:r>
      <w:r w:rsidR="00FE77F5" w:rsidRPr="00D714FC">
        <w:rPr>
          <w:rFonts w:eastAsia="Arial"/>
        </w:rPr>
        <w:t xml:space="preserve"> (</w:t>
      </w:r>
      <w:r w:rsidR="007A2D86" w:rsidRPr="00D714FC">
        <w:rPr>
          <w:rFonts w:eastAsia="Arial"/>
        </w:rPr>
        <w:t>sub</w:t>
      </w:r>
      <w:r w:rsidR="00FE77F5" w:rsidRPr="00D714FC">
        <w:rPr>
          <w:rFonts w:eastAsia="Arial"/>
        </w:rPr>
        <w:t>rules 7</w:t>
      </w:r>
      <w:r w:rsidR="007A2D86" w:rsidRPr="00D714FC">
        <w:rPr>
          <w:rFonts w:eastAsia="Arial"/>
        </w:rPr>
        <w:t>(a)</w:t>
      </w:r>
      <w:r w:rsidR="00FE77F5" w:rsidRPr="00D714FC">
        <w:rPr>
          <w:rFonts w:eastAsia="Arial"/>
        </w:rPr>
        <w:t xml:space="preserve"> and</w:t>
      </w:r>
      <w:r w:rsidR="00C6733C">
        <w:rPr>
          <w:rFonts w:eastAsia="Arial"/>
        </w:rPr>
        <w:t xml:space="preserve"> </w:t>
      </w:r>
      <w:r w:rsidR="00FE77F5" w:rsidRPr="00D714FC">
        <w:rPr>
          <w:rFonts w:eastAsia="Arial"/>
        </w:rPr>
        <w:t>12(2))</w:t>
      </w:r>
    </w:p>
    <w:p w:rsidR="008D3FFD" w:rsidRPr="00D714FC" w:rsidRDefault="008D3FFD" w:rsidP="00A82DE6">
      <w:pPr>
        <w:pStyle w:val="Lvl1Bulletpoint"/>
        <w:rPr>
          <w:rFonts w:eastAsia="Arial"/>
        </w:rPr>
      </w:pPr>
      <w:r w:rsidRPr="00D714FC">
        <w:rPr>
          <w:rFonts w:eastAsia="Arial"/>
        </w:rPr>
        <w:t xml:space="preserve">provide </w:t>
      </w:r>
      <w:r w:rsidR="0031257D" w:rsidRPr="00D714FC">
        <w:rPr>
          <w:rFonts w:eastAsia="Arial"/>
        </w:rPr>
        <w:t xml:space="preserve">its Schedule </w:t>
      </w:r>
      <w:r w:rsidR="00FE77F5" w:rsidRPr="00D714FC">
        <w:rPr>
          <w:rFonts w:eastAsia="Arial"/>
        </w:rPr>
        <w:t xml:space="preserve">when </w:t>
      </w:r>
      <w:r w:rsidR="0031257D" w:rsidRPr="00D714FC">
        <w:rPr>
          <w:rFonts w:eastAsia="Arial"/>
        </w:rPr>
        <w:t>it receives</w:t>
      </w:r>
      <w:r w:rsidR="00FE77F5" w:rsidRPr="00D714FC">
        <w:rPr>
          <w:rFonts w:eastAsia="Arial"/>
        </w:rPr>
        <w:t xml:space="preserve"> a </w:t>
      </w:r>
      <w:r w:rsidRPr="00D714FC">
        <w:rPr>
          <w:rFonts w:eastAsia="Arial"/>
        </w:rPr>
        <w:t>request</w:t>
      </w:r>
      <w:r w:rsidR="00FE77F5" w:rsidRPr="00D714FC">
        <w:rPr>
          <w:rFonts w:eastAsia="Arial"/>
        </w:rPr>
        <w:t xml:space="preserve"> in writing (rule 13)</w:t>
      </w:r>
    </w:p>
    <w:p w:rsidR="008D3FFD" w:rsidRPr="00D714FC" w:rsidRDefault="00E03655" w:rsidP="00A82DE6">
      <w:pPr>
        <w:pStyle w:val="Lvl1Bulletpoint"/>
        <w:rPr>
          <w:rFonts w:eastAsia="Arial"/>
        </w:rPr>
      </w:pPr>
      <w:r w:rsidRPr="00D714FC">
        <w:rPr>
          <w:rFonts w:eastAsia="Arial"/>
        </w:rPr>
        <w:t xml:space="preserve">if the infrastructure operator </w:t>
      </w:r>
      <w:r w:rsidR="00422314" w:rsidRPr="00D714FC">
        <w:rPr>
          <w:rFonts w:eastAsia="Arial"/>
        </w:rPr>
        <w:t xml:space="preserve">provides infrastructure services in relation to </w:t>
      </w:r>
      <w:r w:rsidRPr="00D714FC">
        <w:rPr>
          <w:rFonts w:eastAsia="Arial"/>
        </w:rPr>
        <w:t>at least 10 GL</w:t>
      </w:r>
      <w:r w:rsidR="00422314" w:rsidRPr="00D714FC">
        <w:rPr>
          <w:rFonts w:eastAsia="Arial"/>
        </w:rPr>
        <w:t xml:space="preserve"> of managed water resources</w:t>
      </w:r>
      <w:r w:rsidRPr="00D714FC">
        <w:rPr>
          <w:rFonts w:eastAsia="Arial"/>
        </w:rPr>
        <w:t xml:space="preserve">, </w:t>
      </w:r>
      <w:r w:rsidR="008D3FFD" w:rsidRPr="00D714FC">
        <w:rPr>
          <w:rFonts w:eastAsia="Arial"/>
        </w:rPr>
        <w:t xml:space="preserve">publish </w:t>
      </w:r>
      <w:r w:rsidR="0031257D" w:rsidRPr="00D714FC">
        <w:rPr>
          <w:rFonts w:eastAsia="Arial"/>
        </w:rPr>
        <w:t xml:space="preserve">its </w:t>
      </w:r>
      <w:r w:rsidR="008D3FFD" w:rsidRPr="00D714FC">
        <w:rPr>
          <w:rFonts w:eastAsia="Arial"/>
        </w:rPr>
        <w:t>S</w:t>
      </w:r>
      <w:r w:rsidR="0031257D" w:rsidRPr="00D714FC">
        <w:rPr>
          <w:rFonts w:eastAsia="Arial"/>
        </w:rPr>
        <w:t>chedule</w:t>
      </w:r>
      <w:r w:rsidRPr="00D714FC">
        <w:rPr>
          <w:rFonts w:eastAsia="Arial"/>
        </w:rPr>
        <w:t xml:space="preserve"> on their business’ internet site,</w:t>
      </w:r>
      <w:r w:rsidR="008D3FFD" w:rsidRPr="00D714FC">
        <w:rPr>
          <w:rFonts w:eastAsia="Arial"/>
        </w:rPr>
        <w:t xml:space="preserve"> </w:t>
      </w:r>
      <w:r w:rsidRPr="00D714FC">
        <w:rPr>
          <w:rFonts w:eastAsia="Arial"/>
        </w:rPr>
        <w:t xml:space="preserve">or in a </w:t>
      </w:r>
      <w:r w:rsidR="008D3FFD" w:rsidRPr="00D714FC">
        <w:rPr>
          <w:rFonts w:eastAsia="Arial"/>
        </w:rPr>
        <w:t>local newspaper or in the Gazette</w:t>
      </w:r>
      <w:r w:rsidR="00FE77F5" w:rsidRPr="00D714FC">
        <w:rPr>
          <w:rFonts w:eastAsia="Arial"/>
        </w:rPr>
        <w:t xml:space="preserve"> (rule 15)</w:t>
      </w:r>
      <w:r w:rsidR="008D3FFD" w:rsidRPr="00D714FC">
        <w:rPr>
          <w:rFonts w:eastAsia="Arial"/>
        </w:rPr>
        <w:t>.</w:t>
      </w:r>
    </w:p>
    <w:p w:rsidR="00D70B8F" w:rsidRPr="00D714FC" w:rsidRDefault="009A3A42" w:rsidP="00F82FD9">
      <w:pPr>
        <w:spacing w:after="120"/>
        <w:rPr>
          <w:rFonts w:eastAsia="Arial" w:cs="Times New Roman"/>
        </w:rPr>
      </w:pPr>
      <w:r w:rsidRPr="00D714FC">
        <w:rPr>
          <w:rFonts w:eastAsia="Arial" w:cs="Times New Roman"/>
        </w:rPr>
        <w:t>Rule 7 in Part 2 of the WCIR prevents an infrastructure operator from imposing a regulated charge</w:t>
      </w:r>
      <w:r w:rsidR="00863EF7" w:rsidRPr="00D714FC">
        <w:rPr>
          <w:rStyle w:val="FootnoteReference"/>
          <w:rFonts w:eastAsia="Arial" w:cs="Times New Roman"/>
        </w:rPr>
        <w:footnoteReference w:id="308"/>
      </w:r>
      <w:r w:rsidRPr="00D714FC">
        <w:rPr>
          <w:rFonts w:eastAsia="Arial" w:cs="Times New Roman"/>
        </w:rPr>
        <w:t xml:space="preserve"> </w:t>
      </w:r>
      <w:r w:rsidR="00AC7DF9" w:rsidRPr="00D714FC">
        <w:rPr>
          <w:rFonts w:eastAsia="Arial" w:cs="Times New Roman"/>
        </w:rPr>
        <w:t xml:space="preserve">unless it has </w:t>
      </w:r>
      <w:r w:rsidR="00FD37B6">
        <w:rPr>
          <w:rFonts w:eastAsia="Arial" w:cs="Times New Roman"/>
        </w:rPr>
        <w:t>given</w:t>
      </w:r>
      <w:r w:rsidR="00FD37B6" w:rsidRPr="00D714FC">
        <w:rPr>
          <w:rFonts w:eastAsia="Arial" w:cs="Times New Roman"/>
        </w:rPr>
        <w:t xml:space="preserve"> </w:t>
      </w:r>
      <w:r w:rsidRPr="00D714FC">
        <w:rPr>
          <w:rFonts w:eastAsia="Arial" w:cs="Times New Roman"/>
        </w:rPr>
        <w:t xml:space="preserve">its current </w:t>
      </w:r>
      <w:r w:rsidR="0031257D" w:rsidRPr="00D714FC">
        <w:rPr>
          <w:rFonts w:eastAsia="Arial" w:cs="Times New Roman"/>
        </w:rPr>
        <w:t>Schedule</w:t>
      </w:r>
      <w:r w:rsidR="00E729DB">
        <w:rPr>
          <w:rFonts w:eastAsia="Arial" w:cs="Times New Roman"/>
        </w:rPr>
        <w:t xml:space="preserve"> of Charges</w:t>
      </w:r>
      <w:r w:rsidR="0031257D" w:rsidRPr="00D714FC">
        <w:rPr>
          <w:rFonts w:eastAsia="Arial" w:cs="Times New Roman"/>
        </w:rPr>
        <w:t xml:space="preserve"> </w:t>
      </w:r>
      <w:r w:rsidRPr="00D714FC">
        <w:rPr>
          <w:rFonts w:eastAsia="Arial" w:cs="Times New Roman"/>
        </w:rPr>
        <w:t>to customers:</w:t>
      </w:r>
    </w:p>
    <w:p w:rsidR="009A3A42" w:rsidRPr="00D714FC" w:rsidRDefault="009A3A42" w:rsidP="00A82DE6">
      <w:pPr>
        <w:pStyle w:val="Lvl1Bulletpoint"/>
        <w:rPr>
          <w:rFonts w:eastAsia="Arial"/>
        </w:rPr>
      </w:pPr>
      <w:r w:rsidRPr="00D714FC">
        <w:rPr>
          <w:rFonts w:eastAsia="Arial"/>
        </w:rPr>
        <w:t xml:space="preserve">10 business days before the service is provided, for customers who were existing customers by </w:t>
      </w:r>
      <w:r w:rsidR="002C7126">
        <w:rPr>
          <w:rFonts w:eastAsia="Arial"/>
        </w:rPr>
        <w:t>three</w:t>
      </w:r>
      <w:r w:rsidRPr="00D714FC">
        <w:rPr>
          <w:rFonts w:eastAsia="Arial"/>
        </w:rPr>
        <w:t xml:space="preserve"> months after the rules commenced (that is, before the end of the “transitional period” for the commencement of the WCIR);</w:t>
      </w:r>
      <w:r w:rsidR="009F6A7C" w:rsidRPr="00D714FC">
        <w:rPr>
          <w:rFonts w:eastAsia="Arial"/>
        </w:rPr>
        <w:t xml:space="preserve"> or</w:t>
      </w:r>
    </w:p>
    <w:p w:rsidR="009A3A42" w:rsidRPr="00D714FC" w:rsidRDefault="00AB0C25" w:rsidP="00A82DE6">
      <w:pPr>
        <w:pStyle w:val="Lvl1Bulletpoint"/>
        <w:rPr>
          <w:rFonts w:eastAsia="Arial"/>
        </w:rPr>
      </w:pPr>
      <w:r>
        <w:rPr>
          <w:rFonts w:eastAsia="Arial"/>
        </w:rPr>
        <w:t>b</w:t>
      </w:r>
      <w:r w:rsidR="009A3A42" w:rsidRPr="00D714FC">
        <w:rPr>
          <w:rFonts w:eastAsia="Arial"/>
        </w:rPr>
        <w:t>efore the service is provided, for new customers.</w:t>
      </w:r>
    </w:p>
    <w:p w:rsidR="009A3A42" w:rsidRDefault="009A3A42" w:rsidP="005A011A">
      <w:pPr>
        <w:rPr>
          <w:rFonts w:eastAsia="Arial" w:cs="Times New Roman"/>
        </w:rPr>
      </w:pPr>
      <w:r w:rsidRPr="00D714FC">
        <w:rPr>
          <w:rFonts w:eastAsia="Arial" w:cs="Times New Roman"/>
        </w:rPr>
        <w:t xml:space="preserve">The effect of this rule in most cases is that an operator must </w:t>
      </w:r>
      <w:r w:rsidR="00FD37B6">
        <w:rPr>
          <w:rFonts w:eastAsia="Arial" w:cs="Times New Roman"/>
        </w:rPr>
        <w:t>give</w:t>
      </w:r>
      <w:r w:rsidR="00FD37B6" w:rsidRPr="00D714FC">
        <w:rPr>
          <w:rFonts w:eastAsia="Arial" w:cs="Times New Roman"/>
        </w:rPr>
        <w:t xml:space="preserve"> </w:t>
      </w:r>
      <w:r w:rsidRPr="00D714FC">
        <w:rPr>
          <w:rFonts w:eastAsia="Arial" w:cs="Times New Roman"/>
        </w:rPr>
        <w:t xml:space="preserve">its </w:t>
      </w:r>
      <w:r w:rsidR="0031257D" w:rsidRPr="00D714FC">
        <w:rPr>
          <w:rFonts w:eastAsia="Arial" w:cs="Times New Roman"/>
        </w:rPr>
        <w:t xml:space="preserve">Schedule of Charges </w:t>
      </w:r>
      <w:r w:rsidRPr="00D714FC">
        <w:rPr>
          <w:rFonts w:eastAsia="Arial" w:cs="Times New Roman"/>
        </w:rPr>
        <w:t>to customers 10 business days before the S</w:t>
      </w:r>
      <w:r w:rsidR="0031257D" w:rsidRPr="00D714FC">
        <w:rPr>
          <w:rFonts w:eastAsia="Arial" w:cs="Times New Roman"/>
        </w:rPr>
        <w:t>chedule</w:t>
      </w:r>
      <w:r w:rsidRPr="00D714FC">
        <w:rPr>
          <w:rFonts w:eastAsia="Arial" w:cs="Times New Roman"/>
        </w:rPr>
        <w:t xml:space="preserve"> comes into effect.</w:t>
      </w:r>
      <w:r w:rsidR="00B371C9" w:rsidRPr="00B371C9">
        <w:rPr>
          <w:rFonts w:eastAsia="Arial" w:cs="Times New Roman"/>
        </w:rPr>
        <w:t xml:space="preserve"> </w:t>
      </w:r>
      <w:r w:rsidR="00B371C9">
        <w:rPr>
          <w:rFonts w:eastAsia="Arial" w:cs="Times New Roman"/>
        </w:rPr>
        <w:t>An operator is only taken to have ‘</w:t>
      </w:r>
      <w:r w:rsidR="00FD37B6">
        <w:rPr>
          <w:rFonts w:eastAsia="Arial" w:cs="Times New Roman"/>
        </w:rPr>
        <w:t>given</w:t>
      </w:r>
      <w:r w:rsidR="00B371C9">
        <w:rPr>
          <w:rFonts w:eastAsia="Arial" w:cs="Times New Roman"/>
        </w:rPr>
        <w:t xml:space="preserve">’ the Schedule of Charges when it is </w:t>
      </w:r>
      <w:r w:rsidR="00B371C9">
        <w:rPr>
          <w:rFonts w:eastAsia="Arial" w:cs="Times New Roman"/>
          <w:i/>
        </w:rPr>
        <w:t xml:space="preserve">received </w:t>
      </w:r>
      <w:r w:rsidR="00B371C9">
        <w:rPr>
          <w:rFonts w:eastAsia="Arial" w:cs="Times New Roman"/>
        </w:rPr>
        <w:t>by the customer.</w:t>
      </w:r>
    </w:p>
    <w:p w:rsidR="0008163D" w:rsidRDefault="0008163D" w:rsidP="0008163D">
      <w:pPr>
        <w:rPr>
          <w:rFonts w:eastAsia="Arial" w:cs="Times New Roman"/>
        </w:rPr>
      </w:pPr>
      <w:r w:rsidRPr="00D714FC">
        <w:rPr>
          <w:rFonts w:eastAsia="Arial" w:cs="Times New Roman"/>
        </w:rPr>
        <w:t xml:space="preserve">The intent of </w:t>
      </w:r>
      <w:r w:rsidR="00207A65">
        <w:rPr>
          <w:rFonts w:eastAsia="Arial" w:cs="Times New Roman"/>
        </w:rPr>
        <w:t>r</w:t>
      </w:r>
      <w:r w:rsidRPr="00D714FC">
        <w:rPr>
          <w:rFonts w:eastAsia="Arial" w:cs="Times New Roman"/>
        </w:rPr>
        <w:t xml:space="preserve">ule 7 and the Part 4 provisions is that an operator’s Schedule of Charges should be provided to the operator’s customers, so that customers </w:t>
      </w:r>
      <w:r w:rsidRPr="00D714FC">
        <w:rPr>
          <w:rFonts w:cs="Times New Roman"/>
          <w:iCs/>
          <w:color w:val="000000"/>
        </w:rPr>
        <w:t xml:space="preserve">are given all relevant information needed to determine their liabilities in respect to regulated charges. Further, this information should in general be available to customers </w:t>
      </w:r>
      <w:r w:rsidRPr="00D714FC">
        <w:rPr>
          <w:rFonts w:cs="Times New Roman"/>
          <w:i/>
          <w:iCs/>
          <w:color w:val="000000"/>
        </w:rPr>
        <w:t>before</w:t>
      </w:r>
      <w:r w:rsidRPr="00D714FC">
        <w:rPr>
          <w:rFonts w:cs="Times New Roman"/>
          <w:iCs/>
          <w:color w:val="000000"/>
        </w:rPr>
        <w:t xml:space="preserve"> the charges actually commence.</w:t>
      </w:r>
      <w:r w:rsidRPr="00D714FC">
        <w:rPr>
          <w:rFonts w:eastAsia="Arial" w:cs="Times New Roman"/>
        </w:rPr>
        <w:t xml:space="preserve"> Information about an operator’s charging arrangements should also be readily available to other interested parties (for example, prospective customers). These publication requirements contribute to the Basin Water Charging Objectives and Principles</w:t>
      </w:r>
      <w:r>
        <w:rPr>
          <w:rFonts w:eastAsia="Arial" w:cs="Times New Roman"/>
        </w:rPr>
        <w:t xml:space="preserve"> (BWCOP)</w:t>
      </w:r>
      <w:r w:rsidRPr="00D714FC">
        <w:rPr>
          <w:rFonts w:eastAsia="Arial" w:cs="Times New Roman"/>
        </w:rPr>
        <w:t xml:space="preserve"> by making market information readily available to market participants and by promoting pricing transparency for water storage and delivery services.</w:t>
      </w:r>
    </w:p>
    <w:p w:rsidR="00651BD4" w:rsidRDefault="00651BD4" w:rsidP="00D17F9C">
      <w:pPr>
        <w:pStyle w:val="Heading5"/>
        <w:rPr>
          <w:rFonts w:eastAsia="Arial"/>
        </w:rPr>
      </w:pPr>
      <w:r>
        <w:rPr>
          <w:rFonts w:eastAsia="Arial"/>
        </w:rPr>
        <w:t>Timing of publication</w:t>
      </w:r>
    </w:p>
    <w:p w:rsidR="00651BD4" w:rsidRDefault="00651BD4" w:rsidP="00F82FD9">
      <w:pPr>
        <w:spacing w:after="120"/>
        <w:rPr>
          <w:rFonts w:eastAsia="Arial" w:cs="Times New Roman"/>
        </w:rPr>
      </w:pPr>
      <w:r>
        <w:rPr>
          <w:rFonts w:eastAsia="Arial" w:cs="Times New Roman"/>
        </w:rPr>
        <w:t xml:space="preserve">In the Draft Advice, the ACCC sought to facilitate the timely publication of off-river infrastructure operators’ </w:t>
      </w:r>
      <w:r w:rsidR="00E729DB">
        <w:rPr>
          <w:rFonts w:eastAsia="Arial" w:cs="Times New Roman"/>
        </w:rPr>
        <w:t>S</w:t>
      </w:r>
      <w:r>
        <w:rPr>
          <w:rFonts w:eastAsia="Arial" w:cs="Times New Roman"/>
        </w:rPr>
        <w:t xml:space="preserve">chedules of </w:t>
      </w:r>
      <w:r w:rsidR="00E729DB">
        <w:rPr>
          <w:rFonts w:eastAsia="Arial" w:cs="Times New Roman"/>
        </w:rPr>
        <w:t>C</w:t>
      </w:r>
      <w:r>
        <w:rPr>
          <w:rFonts w:eastAsia="Arial" w:cs="Times New Roman"/>
        </w:rPr>
        <w:t xml:space="preserve">harges, by: </w:t>
      </w:r>
    </w:p>
    <w:p w:rsidR="00651BD4" w:rsidRDefault="00651BD4" w:rsidP="00A82DE6">
      <w:pPr>
        <w:pStyle w:val="Lvl1Bulletpoint"/>
        <w:rPr>
          <w:rFonts w:eastAsia="Arial"/>
        </w:rPr>
      </w:pPr>
      <w:r w:rsidRPr="00C845EC">
        <w:rPr>
          <w:rFonts w:eastAsia="Arial"/>
        </w:rPr>
        <w:t xml:space="preserve">requiring on-river infrastructure operators and persons determining planning and management charges to publish / send their </w:t>
      </w:r>
      <w:r w:rsidR="00E729DB">
        <w:rPr>
          <w:rFonts w:eastAsia="Arial"/>
        </w:rPr>
        <w:t>S</w:t>
      </w:r>
      <w:r w:rsidRPr="00C845EC">
        <w:rPr>
          <w:rFonts w:eastAsia="Arial"/>
        </w:rPr>
        <w:t xml:space="preserve">chedule of </w:t>
      </w:r>
      <w:r w:rsidR="00E729DB">
        <w:rPr>
          <w:rFonts w:eastAsia="Arial"/>
        </w:rPr>
        <w:t>C</w:t>
      </w:r>
      <w:r w:rsidRPr="00C845EC">
        <w:rPr>
          <w:rFonts w:eastAsia="Arial"/>
        </w:rPr>
        <w:t>harges 25 business days in advance, and imposing complementary timeframes for approval / determination</w:t>
      </w:r>
      <w:r>
        <w:rPr>
          <w:rFonts w:eastAsia="Arial"/>
        </w:rPr>
        <w:t xml:space="preserve"> decisions</w:t>
      </w:r>
      <w:r w:rsidRPr="00C845EC">
        <w:rPr>
          <w:rFonts w:eastAsia="Arial"/>
        </w:rPr>
        <w:t xml:space="preserve"> (see </w:t>
      </w:r>
      <w:r w:rsidR="00207A65">
        <w:rPr>
          <w:rFonts w:eastAsia="Arial"/>
        </w:rPr>
        <w:t>r</w:t>
      </w:r>
      <w:r w:rsidRPr="00C845EC">
        <w:rPr>
          <w:rFonts w:eastAsia="Arial"/>
        </w:rPr>
        <w:t xml:space="preserve">ule </w:t>
      </w:r>
      <w:r w:rsidR="00207A65">
        <w:rPr>
          <w:rFonts w:eastAsia="Arial"/>
        </w:rPr>
        <w:t>a</w:t>
      </w:r>
      <w:r w:rsidRPr="00C845EC">
        <w:rPr>
          <w:rFonts w:eastAsia="Arial"/>
        </w:rPr>
        <w:t xml:space="preserve">dvice 5-N). </w:t>
      </w:r>
    </w:p>
    <w:p w:rsidR="00651BD4" w:rsidRDefault="00651BD4" w:rsidP="00A82DE6">
      <w:pPr>
        <w:pStyle w:val="Lvl1Bulletpoint"/>
        <w:rPr>
          <w:rFonts w:eastAsia="Arial"/>
        </w:rPr>
      </w:pPr>
      <w:r>
        <w:rPr>
          <w:rFonts w:eastAsia="Arial"/>
        </w:rPr>
        <w:t xml:space="preserve">amending the requirement to ‘sending’ a </w:t>
      </w:r>
      <w:r w:rsidR="00E729DB">
        <w:rPr>
          <w:rFonts w:eastAsia="Arial"/>
        </w:rPr>
        <w:t>S</w:t>
      </w:r>
      <w:r>
        <w:rPr>
          <w:rFonts w:eastAsia="Arial"/>
        </w:rPr>
        <w:t xml:space="preserve">chedule of </w:t>
      </w:r>
      <w:r w:rsidR="00E729DB">
        <w:rPr>
          <w:rFonts w:eastAsia="Arial"/>
        </w:rPr>
        <w:t>C</w:t>
      </w:r>
      <w:r>
        <w:rPr>
          <w:rFonts w:eastAsia="Arial"/>
        </w:rPr>
        <w:t>harges by the required number of days</w:t>
      </w:r>
      <w:r w:rsidR="00FD37B6">
        <w:rPr>
          <w:rFonts w:eastAsia="Arial"/>
        </w:rPr>
        <w:t>—</w:t>
      </w:r>
      <w:r w:rsidR="00FD37B6" w:rsidRPr="00FD37B6">
        <w:rPr>
          <w:rFonts w:eastAsia="Arial"/>
        </w:rPr>
        <w:t xml:space="preserve">the wording of the existing </w:t>
      </w:r>
      <w:r w:rsidR="00FD37B6">
        <w:rPr>
          <w:rFonts w:eastAsia="Arial"/>
        </w:rPr>
        <w:t>WCIR</w:t>
      </w:r>
      <w:r w:rsidR="00FD37B6" w:rsidRPr="00FD37B6">
        <w:rPr>
          <w:rFonts w:eastAsia="Arial"/>
        </w:rPr>
        <w:t xml:space="preserve"> refer</w:t>
      </w:r>
      <w:r w:rsidR="00FD37B6">
        <w:rPr>
          <w:rFonts w:eastAsia="Arial"/>
        </w:rPr>
        <w:t>s</w:t>
      </w:r>
      <w:r w:rsidR="00FD37B6" w:rsidRPr="00FD37B6">
        <w:rPr>
          <w:rFonts w:eastAsia="Arial"/>
        </w:rPr>
        <w:t xml:space="preserve"> to an operator </w:t>
      </w:r>
      <w:r w:rsidR="00EB1B89">
        <w:rPr>
          <w:rFonts w:eastAsia="Arial"/>
        </w:rPr>
        <w:t>‘</w:t>
      </w:r>
      <w:r w:rsidR="00FD37B6" w:rsidRPr="00FD37B6">
        <w:rPr>
          <w:rFonts w:eastAsia="Arial"/>
        </w:rPr>
        <w:t>giving</w:t>
      </w:r>
      <w:r w:rsidR="00EB1B89">
        <w:rPr>
          <w:rFonts w:eastAsia="Arial"/>
        </w:rPr>
        <w:t>’</w:t>
      </w:r>
      <w:r w:rsidR="00FD37B6" w:rsidRPr="00FD37B6">
        <w:rPr>
          <w:rFonts w:eastAsia="Arial"/>
        </w:rPr>
        <w:t xml:space="preserve"> the Schedule of Charges to customers</w:t>
      </w:r>
      <w:r w:rsidR="00FD37B6">
        <w:rPr>
          <w:rFonts w:eastAsia="Arial"/>
        </w:rPr>
        <w:t xml:space="preserve"> which has been interpreted as ensuring that customers have </w:t>
      </w:r>
      <w:r w:rsidR="00FD37B6" w:rsidRPr="00FD37B6">
        <w:rPr>
          <w:rFonts w:eastAsia="Arial"/>
          <w:i/>
        </w:rPr>
        <w:t>received</w:t>
      </w:r>
      <w:r w:rsidR="00FD37B6">
        <w:rPr>
          <w:rFonts w:eastAsia="Arial"/>
        </w:rPr>
        <w:t xml:space="preserve"> the Schedule of Charges </w:t>
      </w:r>
      <w:r>
        <w:rPr>
          <w:rFonts w:eastAsia="Arial"/>
        </w:rPr>
        <w:t xml:space="preserve">10 business days in advance. Therefore, if the </w:t>
      </w:r>
      <w:r w:rsidR="00E729DB">
        <w:rPr>
          <w:rFonts w:eastAsia="Arial"/>
        </w:rPr>
        <w:t>S</w:t>
      </w:r>
      <w:r>
        <w:rPr>
          <w:rFonts w:eastAsia="Arial"/>
        </w:rPr>
        <w:t xml:space="preserve">chedule of </w:t>
      </w:r>
      <w:r w:rsidR="00E729DB">
        <w:rPr>
          <w:rFonts w:eastAsia="Arial"/>
        </w:rPr>
        <w:t>C</w:t>
      </w:r>
      <w:r>
        <w:rPr>
          <w:rFonts w:eastAsia="Arial"/>
        </w:rPr>
        <w:t xml:space="preserve">harges is sent via the post (although as noted above the current rules do not require this), it effectively means that an operator must send the </w:t>
      </w:r>
      <w:r w:rsidR="00E729DB">
        <w:rPr>
          <w:rFonts w:eastAsia="Arial"/>
        </w:rPr>
        <w:t>S</w:t>
      </w:r>
      <w:r>
        <w:rPr>
          <w:rFonts w:eastAsia="Arial"/>
        </w:rPr>
        <w:t xml:space="preserve">chedule of </w:t>
      </w:r>
      <w:r w:rsidR="00E729DB">
        <w:rPr>
          <w:rFonts w:eastAsia="Arial"/>
        </w:rPr>
        <w:t>C</w:t>
      </w:r>
      <w:r>
        <w:rPr>
          <w:rFonts w:eastAsia="Arial"/>
        </w:rPr>
        <w:t xml:space="preserve">harges </w:t>
      </w:r>
      <w:r w:rsidRPr="00E0149B">
        <w:rPr>
          <w:rFonts w:eastAsia="Arial"/>
          <w:i/>
        </w:rPr>
        <w:t>more than</w:t>
      </w:r>
      <w:r>
        <w:rPr>
          <w:rFonts w:eastAsia="Arial"/>
        </w:rPr>
        <w:t xml:space="preserve"> 10 business days in advance. </w:t>
      </w:r>
    </w:p>
    <w:p w:rsidR="004E1DF9" w:rsidRPr="004E1DF9" w:rsidRDefault="004E1DF9" w:rsidP="00D17F9C">
      <w:pPr>
        <w:pStyle w:val="Heading5"/>
        <w:rPr>
          <w:rFonts w:eastAsia="Arial"/>
        </w:rPr>
      </w:pPr>
      <w:r>
        <w:rPr>
          <w:rFonts w:eastAsia="Arial"/>
        </w:rPr>
        <w:t>Place of publication</w:t>
      </w:r>
    </w:p>
    <w:p w:rsidR="00E13256" w:rsidRDefault="00E13256" w:rsidP="00E13256">
      <w:pPr>
        <w:rPr>
          <w:rFonts w:eastAsia="Arial" w:cs="Times New Roman"/>
        </w:rPr>
      </w:pPr>
      <w:r>
        <w:rPr>
          <w:rFonts w:eastAsia="Arial" w:cs="Times New Roman"/>
        </w:rPr>
        <w:t>A number of submissions to the Act Review and Issues Paper submitted concerns</w:t>
      </w:r>
      <w:r w:rsidRPr="00D714FC">
        <w:rPr>
          <w:rFonts w:eastAsia="Arial" w:cs="Times New Roman"/>
        </w:rPr>
        <w:t xml:space="preserve"> about the current wording of </w:t>
      </w:r>
      <w:r>
        <w:rPr>
          <w:rFonts w:eastAsia="Arial" w:cs="Times New Roman"/>
        </w:rPr>
        <w:t>the publication requirements including their</w:t>
      </w:r>
      <w:r w:rsidRPr="00D714FC">
        <w:rPr>
          <w:rFonts w:eastAsia="Arial" w:cs="Times New Roman"/>
        </w:rPr>
        <w:t xml:space="preserve"> view that several amendments could be made to streamline the information provision requirements and decrease regulatory burden for operators, while maintaining effective pricing transparency and providing information to customers and other interested parties.</w:t>
      </w:r>
      <w:r w:rsidRPr="00282B5F">
        <w:rPr>
          <w:rFonts w:eastAsia="Arial" w:cs="Times New Roman"/>
        </w:rPr>
        <w:t xml:space="preserve"> </w:t>
      </w:r>
      <w:r w:rsidR="0008163D">
        <w:rPr>
          <w:rFonts w:eastAsia="Arial" w:cs="Times New Roman"/>
        </w:rPr>
        <w:t>In the Draft Advice, t</w:t>
      </w:r>
      <w:r w:rsidR="0008163D" w:rsidRPr="00D714FC">
        <w:rPr>
          <w:rFonts w:eastAsia="Arial" w:cs="Times New Roman"/>
        </w:rPr>
        <w:t>he ACCC note</w:t>
      </w:r>
      <w:r w:rsidR="0008163D">
        <w:rPr>
          <w:rFonts w:eastAsia="Arial" w:cs="Times New Roman"/>
        </w:rPr>
        <w:t>d</w:t>
      </w:r>
      <w:r w:rsidR="0008163D" w:rsidRPr="00D714FC">
        <w:rPr>
          <w:rFonts w:eastAsia="Arial" w:cs="Times New Roman"/>
        </w:rPr>
        <w:t xml:space="preserve"> that the current publication requirements in the WCIR do not explicitly require operators to mail hard copies of documents to customers. The ACCC is of the view that, while mailing of documentation may be an option used by some operators, it is not generally necessary to be compliant with the Rules. </w:t>
      </w:r>
    </w:p>
    <w:p w:rsidR="0008163D" w:rsidRPr="00D714FC" w:rsidRDefault="00E13256" w:rsidP="0008163D">
      <w:pPr>
        <w:rPr>
          <w:rFonts w:eastAsia="Arial" w:cs="Times New Roman"/>
        </w:rPr>
      </w:pPr>
      <w:r>
        <w:rPr>
          <w:rFonts w:eastAsia="Arial" w:cs="Times New Roman"/>
        </w:rPr>
        <w:t xml:space="preserve">Nonetheless, in the Draft Advice, the ACCC sought to reduce the regulatory burden associated with providing the </w:t>
      </w:r>
      <w:r w:rsidR="00E729DB">
        <w:rPr>
          <w:rFonts w:eastAsia="Arial" w:cs="Times New Roman"/>
        </w:rPr>
        <w:t>S</w:t>
      </w:r>
      <w:r>
        <w:rPr>
          <w:rFonts w:eastAsia="Arial" w:cs="Times New Roman"/>
        </w:rPr>
        <w:t xml:space="preserve">chedule of </w:t>
      </w:r>
      <w:r w:rsidR="00E729DB">
        <w:rPr>
          <w:rFonts w:eastAsia="Arial" w:cs="Times New Roman"/>
        </w:rPr>
        <w:t>C</w:t>
      </w:r>
      <w:r>
        <w:rPr>
          <w:rFonts w:eastAsia="Arial" w:cs="Times New Roman"/>
        </w:rPr>
        <w:t xml:space="preserve">harges by providing </w:t>
      </w:r>
      <w:r w:rsidR="0008163D" w:rsidRPr="00D714FC">
        <w:rPr>
          <w:rFonts w:eastAsia="Arial" w:cs="Times New Roman"/>
        </w:rPr>
        <w:t xml:space="preserve">clarity for operators about what constitutes sufficient provision of information to customers. </w:t>
      </w:r>
      <w:r w:rsidR="0008163D">
        <w:rPr>
          <w:rFonts w:eastAsia="Arial" w:cs="Times New Roman"/>
        </w:rPr>
        <w:t xml:space="preserve">That is, </w:t>
      </w:r>
      <w:r w:rsidR="0008163D" w:rsidRPr="00D714FC">
        <w:rPr>
          <w:rFonts w:eastAsia="Arial" w:cs="Times New Roman"/>
        </w:rPr>
        <w:t xml:space="preserve">the </w:t>
      </w:r>
      <w:r>
        <w:rPr>
          <w:rFonts w:eastAsia="Arial" w:cs="Times New Roman"/>
        </w:rPr>
        <w:t xml:space="preserve">ACCC proposed that the </w:t>
      </w:r>
      <w:r w:rsidR="0008163D" w:rsidRPr="00D714FC">
        <w:rPr>
          <w:rFonts w:eastAsia="Arial" w:cs="Times New Roman"/>
        </w:rPr>
        <w:t xml:space="preserve">rules should make clear that an electronic copy of the Schedule of Charges </w:t>
      </w:r>
      <w:r>
        <w:rPr>
          <w:rFonts w:eastAsia="Arial" w:cs="Times New Roman"/>
        </w:rPr>
        <w:t>can</w:t>
      </w:r>
      <w:r w:rsidR="0008163D" w:rsidRPr="00D714FC">
        <w:rPr>
          <w:rFonts w:eastAsia="Arial" w:cs="Times New Roman"/>
        </w:rPr>
        <w:t xml:space="preserve"> be provided where possible. </w:t>
      </w:r>
    </w:p>
    <w:p w:rsidR="0008163D" w:rsidRPr="00D714FC" w:rsidRDefault="006270BE" w:rsidP="0008163D">
      <w:pPr>
        <w:rPr>
          <w:rFonts w:eastAsia="Arial" w:cs="Times New Roman"/>
        </w:rPr>
      </w:pPr>
      <w:r>
        <w:rPr>
          <w:rFonts w:eastAsia="Arial" w:cs="Times New Roman"/>
        </w:rPr>
        <w:t>R</w:t>
      </w:r>
      <w:r w:rsidR="0008163D" w:rsidRPr="00D714FC">
        <w:rPr>
          <w:rFonts w:eastAsia="Arial" w:cs="Times New Roman"/>
        </w:rPr>
        <w:t>ule 15</w:t>
      </w:r>
      <w:r w:rsidR="0008163D" w:rsidRPr="00D714FC">
        <w:rPr>
          <w:rStyle w:val="FootnoteReference"/>
          <w:rFonts w:eastAsia="Arial" w:cs="Times New Roman"/>
        </w:rPr>
        <w:footnoteReference w:id="309"/>
      </w:r>
      <w:r w:rsidR="0008163D" w:rsidRPr="00D714FC">
        <w:rPr>
          <w:rFonts w:eastAsia="Arial" w:cs="Times New Roman"/>
        </w:rPr>
        <w:t xml:space="preserve"> currently requires that where an infrastructure operator provides infrastructure services in relation to more than 10</w:t>
      </w:r>
      <w:r w:rsidR="003A4864">
        <w:rPr>
          <w:rFonts w:eastAsia="Arial" w:cs="Times New Roman"/>
        </w:rPr>
        <w:t xml:space="preserve"> </w:t>
      </w:r>
      <w:r w:rsidR="0008163D" w:rsidRPr="00D714FC">
        <w:rPr>
          <w:rFonts w:eastAsia="Arial" w:cs="Times New Roman"/>
        </w:rPr>
        <w:t>GL of managed water resources,</w:t>
      </w:r>
      <w:r w:rsidR="0008163D" w:rsidRPr="00D714FC">
        <w:rPr>
          <w:rStyle w:val="FootnoteReference"/>
          <w:rFonts w:eastAsia="Arial" w:cs="Times New Roman"/>
        </w:rPr>
        <w:footnoteReference w:id="310"/>
      </w:r>
      <w:r w:rsidR="0008163D" w:rsidRPr="00D714FC">
        <w:rPr>
          <w:rFonts w:eastAsia="Arial" w:cs="Times New Roman"/>
        </w:rPr>
        <w:t xml:space="preserve"> that operator must (in addition to providing their Schedule of Charges to customers) publish their Schedule, either on their website, in a local newspaper o</w:t>
      </w:r>
      <w:r w:rsidR="00803CCF">
        <w:rPr>
          <w:rFonts w:eastAsia="Arial" w:cs="Times New Roman"/>
        </w:rPr>
        <w:t>r</w:t>
      </w:r>
      <w:r w:rsidR="0008163D" w:rsidRPr="00D714FC">
        <w:rPr>
          <w:rFonts w:eastAsia="Arial" w:cs="Times New Roman"/>
        </w:rPr>
        <w:t xml:space="preserve"> in the </w:t>
      </w:r>
      <w:r w:rsidR="0008163D" w:rsidRPr="00D714FC">
        <w:rPr>
          <w:rFonts w:eastAsia="Arial" w:cs="Times New Roman"/>
          <w:i/>
        </w:rPr>
        <w:t>Gazette</w:t>
      </w:r>
      <w:r w:rsidR="0008163D" w:rsidRPr="00D714FC">
        <w:rPr>
          <w:rFonts w:eastAsia="Arial" w:cs="Times New Roman"/>
        </w:rPr>
        <w:t xml:space="preserve">. </w:t>
      </w:r>
      <w:r w:rsidR="0008163D">
        <w:rPr>
          <w:rFonts w:eastAsia="Arial" w:cs="Times New Roman"/>
        </w:rPr>
        <w:t xml:space="preserve">In the Draft Advice, </w:t>
      </w:r>
      <w:r w:rsidR="0008163D" w:rsidRPr="00D714FC">
        <w:rPr>
          <w:rFonts w:eastAsia="Arial" w:cs="Times New Roman"/>
        </w:rPr>
        <w:t>the ACCC consider</w:t>
      </w:r>
      <w:r w:rsidR="0008163D">
        <w:rPr>
          <w:rFonts w:eastAsia="Arial" w:cs="Times New Roman"/>
        </w:rPr>
        <w:t>ed</w:t>
      </w:r>
      <w:r w:rsidR="0008163D" w:rsidRPr="00D714FC">
        <w:rPr>
          <w:rFonts w:eastAsia="Arial" w:cs="Times New Roman"/>
        </w:rPr>
        <w:t xml:space="preserve"> that this requirement </w:t>
      </w:r>
      <w:r w:rsidR="0008163D">
        <w:rPr>
          <w:rFonts w:eastAsia="Arial" w:cs="Times New Roman"/>
        </w:rPr>
        <w:t>should</w:t>
      </w:r>
      <w:r w:rsidR="0008163D" w:rsidRPr="00D714FC">
        <w:rPr>
          <w:rFonts w:eastAsia="Arial" w:cs="Times New Roman"/>
        </w:rPr>
        <w:t xml:space="preserve"> be streamlined to:</w:t>
      </w:r>
    </w:p>
    <w:p w:rsidR="0008163D" w:rsidRPr="00D714FC" w:rsidRDefault="0008163D" w:rsidP="00A82DE6">
      <w:pPr>
        <w:pStyle w:val="Lvl1Bulletpoint"/>
        <w:rPr>
          <w:rFonts w:eastAsia="Arial"/>
        </w:rPr>
      </w:pPr>
      <w:r>
        <w:rPr>
          <w:rFonts w:eastAsia="Arial"/>
        </w:rPr>
        <w:t>r</w:t>
      </w:r>
      <w:r w:rsidRPr="00D714FC">
        <w:rPr>
          <w:rFonts w:eastAsia="Arial"/>
        </w:rPr>
        <w:t>equire all infrastructure operators who have a business website to publish their Schedule on their website, at the same time they are required to provide their Schedule to their customers; and</w:t>
      </w:r>
    </w:p>
    <w:p w:rsidR="0008163D" w:rsidRPr="00D714FC" w:rsidRDefault="0008163D" w:rsidP="00A82DE6">
      <w:pPr>
        <w:pStyle w:val="Lvl1Bulletpoint"/>
        <w:rPr>
          <w:rFonts w:eastAsia="Arial"/>
        </w:rPr>
      </w:pPr>
      <w:r>
        <w:rPr>
          <w:rFonts w:eastAsia="Arial"/>
        </w:rPr>
        <w:t>m</w:t>
      </w:r>
      <w:r w:rsidRPr="00D714FC">
        <w:rPr>
          <w:rFonts w:eastAsia="Arial"/>
        </w:rPr>
        <w:t>aintain the current requirement for all infrastructure operators to provide a copy of their Schedule upon receiving a request.</w:t>
      </w:r>
      <w:r w:rsidR="00C6733C">
        <w:rPr>
          <w:rFonts w:eastAsia="Arial"/>
        </w:rPr>
        <w:t xml:space="preserve"> </w:t>
      </w:r>
    </w:p>
    <w:p w:rsidR="004E1DF9" w:rsidRDefault="0008163D" w:rsidP="0008163D">
      <w:pPr>
        <w:rPr>
          <w:rFonts w:eastAsia="Arial" w:cs="Times New Roman"/>
        </w:rPr>
      </w:pPr>
      <w:r>
        <w:rPr>
          <w:rFonts w:eastAsia="Arial" w:cs="Times New Roman"/>
        </w:rPr>
        <w:t>C</w:t>
      </w:r>
      <w:r w:rsidRPr="00D714FC">
        <w:rPr>
          <w:rFonts w:eastAsia="Arial" w:cs="Times New Roman"/>
        </w:rPr>
        <w:t xml:space="preserve">onsistent with the ACCC’s </w:t>
      </w:r>
      <w:r>
        <w:rPr>
          <w:rFonts w:eastAsia="Arial" w:cs="Times New Roman"/>
        </w:rPr>
        <w:t>rule advice in section 5.5 (</w:t>
      </w:r>
      <w:r w:rsidRPr="00D714FC">
        <w:rPr>
          <w:rFonts w:eastAsia="Arial" w:cs="Times New Roman"/>
        </w:rPr>
        <w:t>to repeal Part 5</w:t>
      </w:r>
      <w:r>
        <w:rPr>
          <w:rFonts w:eastAsia="Arial" w:cs="Times New Roman"/>
        </w:rPr>
        <w:t xml:space="preserve"> of the WCIR)</w:t>
      </w:r>
      <w:r w:rsidRPr="00D714FC">
        <w:rPr>
          <w:rFonts w:eastAsia="Arial" w:cs="Times New Roman"/>
        </w:rPr>
        <w:t xml:space="preserve">, the ACCC </w:t>
      </w:r>
      <w:r w:rsidR="00173A70">
        <w:rPr>
          <w:rFonts w:eastAsia="Arial" w:cs="Times New Roman"/>
        </w:rPr>
        <w:t xml:space="preserve">proposed in the Draft Advice </w:t>
      </w:r>
      <w:r w:rsidRPr="00D714FC">
        <w:rPr>
          <w:rFonts w:eastAsia="Arial" w:cs="Times New Roman"/>
        </w:rPr>
        <w:t xml:space="preserve">that </w:t>
      </w:r>
      <w:r>
        <w:rPr>
          <w:rFonts w:eastAsia="Arial" w:cs="Times New Roman"/>
        </w:rPr>
        <w:t xml:space="preserve">publication requirements in relation to </w:t>
      </w:r>
      <w:r w:rsidRPr="00D714FC">
        <w:rPr>
          <w:rFonts w:eastAsia="Arial" w:cs="Times New Roman"/>
        </w:rPr>
        <w:t>Part 5 should be amended or repealed</w:t>
      </w:r>
      <w:r>
        <w:rPr>
          <w:rFonts w:eastAsia="Arial" w:cs="Times New Roman"/>
        </w:rPr>
        <w:t xml:space="preserve"> accordingly</w:t>
      </w:r>
      <w:r w:rsidRPr="00D714FC">
        <w:rPr>
          <w:rFonts w:eastAsia="Arial" w:cs="Times New Roman"/>
        </w:rPr>
        <w:t>.</w:t>
      </w:r>
    </w:p>
    <w:p w:rsidR="00012A25" w:rsidRPr="00D714FC" w:rsidRDefault="00012A25" w:rsidP="00257786">
      <w:pPr>
        <w:pStyle w:val="Heading4"/>
        <w:keepNext w:val="0"/>
        <w:rPr>
          <w:rFonts w:ascii="Times New Roman" w:hAnsi="Times New Roman" w:cs="Times New Roman"/>
        </w:rPr>
      </w:pPr>
      <w:r w:rsidRPr="00D714FC">
        <w:rPr>
          <w:rFonts w:ascii="Times New Roman" w:hAnsi="Times New Roman" w:cs="Times New Roman"/>
        </w:rPr>
        <w:t>Stakeholder feedback</w:t>
      </w:r>
    </w:p>
    <w:p w:rsidR="0027495C" w:rsidRPr="00EC2917" w:rsidRDefault="0027495C" w:rsidP="00257786">
      <w:pPr>
        <w:spacing w:before="120" w:after="0"/>
        <w:rPr>
          <w:rFonts w:cs="Times New Roman"/>
          <w:sz w:val="24"/>
          <w:szCs w:val="24"/>
        </w:rPr>
      </w:pPr>
      <w:r w:rsidRPr="00D714FC">
        <w:rPr>
          <w:rFonts w:cs="Times New Roman"/>
        </w:rPr>
        <w:t>T</w:t>
      </w:r>
      <w:r w:rsidR="00CA13B5">
        <w:rPr>
          <w:rFonts w:cs="Times New Roman"/>
        </w:rPr>
        <w:t>hree</w:t>
      </w:r>
      <w:r w:rsidRPr="00D714FC">
        <w:rPr>
          <w:rFonts w:cs="Times New Roman"/>
        </w:rPr>
        <w:t xml:space="preserve"> </w:t>
      </w:r>
      <w:r w:rsidR="00B53EDD" w:rsidRPr="00D714FC">
        <w:rPr>
          <w:rFonts w:cs="Times New Roman"/>
        </w:rPr>
        <w:t xml:space="preserve">submissions to the Act </w:t>
      </w:r>
      <w:r w:rsidRPr="00D714FC">
        <w:rPr>
          <w:rFonts w:cs="Times New Roman"/>
        </w:rPr>
        <w:t>Review</w:t>
      </w:r>
      <w:r w:rsidR="00A76638">
        <w:rPr>
          <w:rFonts w:cs="Times New Roman"/>
        </w:rPr>
        <w:t xml:space="preserve"> </w:t>
      </w:r>
      <w:r w:rsidRPr="00D714FC">
        <w:rPr>
          <w:rFonts w:cs="Times New Roman"/>
        </w:rPr>
        <w:t xml:space="preserve">directly </w:t>
      </w:r>
      <w:r w:rsidR="00B53EDD" w:rsidRPr="00D714FC">
        <w:rPr>
          <w:rFonts w:cs="Times New Roman"/>
        </w:rPr>
        <w:t xml:space="preserve">raised concerns </w:t>
      </w:r>
      <w:r w:rsidR="009F6A7C" w:rsidRPr="00D714FC">
        <w:rPr>
          <w:rFonts w:cs="Times New Roman"/>
        </w:rPr>
        <w:t xml:space="preserve">about the WCIR’s </w:t>
      </w:r>
      <w:r w:rsidR="00B53EDD" w:rsidRPr="00D714FC">
        <w:rPr>
          <w:rFonts w:cs="Times New Roman"/>
        </w:rPr>
        <w:t>publication requirements.</w:t>
      </w:r>
      <w:r w:rsidR="00A76638" w:rsidRPr="00D714FC">
        <w:rPr>
          <w:rStyle w:val="FootnoteReference"/>
          <w:rFonts w:cs="Times New Roman"/>
        </w:rPr>
        <w:footnoteReference w:id="311"/>
      </w:r>
      <w:r w:rsidR="00B53EDD" w:rsidRPr="00D714FC">
        <w:rPr>
          <w:rFonts w:cs="Times New Roman"/>
        </w:rPr>
        <w:t xml:space="preserve"> </w:t>
      </w:r>
      <w:r w:rsidR="009F6A7C" w:rsidRPr="00D714FC">
        <w:rPr>
          <w:rFonts w:cs="Times New Roman"/>
        </w:rPr>
        <w:t>I</w:t>
      </w:r>
      <w:r w:rsidR="00B53EDD" w:rsidRPr="00D714FC">
        <w:rPr>
          <w:rFonts w:cs="Times New Roman"/>
        </w:rPr>
        <w:t xml:space="preserve">n their view, </w:t>
      </w:r>
      <w:r w:rsidR="009F6A7C" w:rsidRPr="00D714FC">
        <w:rPr>
          <w:rFonts w:cs="Times New Roman"/>
        </w:rPr>
        <w:t xml:space="preserve">the WCIR </w:t>
      </w:r>
      <w:r w:rsidR="00B53EDD" w:rsidRPr="00D714FC">
        <w:rPr>
          <w:rFonts w:cs="Times New Roman"/>
        </w:rPr>
        <w:t xml:space="preserve">require physical postage of </w:t>
      </w:r>
      <w:r w:rsidR="000B3F48" w:rsidRPr="00D714FC">
        <w:rPr>
          <w:rFonts w:cs="Times New Roman"/>
        </w:rPr>
        <w:t>the Schedule of Charges, as well as information required by Part 5 of the WCIR (</w:t>
      </w:r>
      <w:r w:rsidR="00B53EDD" w:rsidRPr="00D714FC">
        <w:rPr>
          <w:rFonts w:cs="Times New Roman"/>
        </w:rPr>
        <w:t>the Network Consultation Paper</w:t>
      </w:r>
      <w:r w:rsidR="000B3F48" w:rsidRPr="00D714FC">
        <w:rPr>
          <w:rFonts w:cs="Times New Roman"/>
        </w:rPr>
        <w:t>,</w:t>
      </w:r>
      <w:r w:rsidR="00B53EDD" w:rsidRPr="00D714FC">
        <w:rPr>
          <w:rFonts w:cs="Times New Roman"/>
        </w:rPr>
        <w:t xml:space="preserve"> Network Services </w:t>
      </w:r>
      <w:r w:rsidR="00BD7BA3" w:rsidRPr="00D714FC">
        <w:rPr>
          <w:rFonts w:cs="Times New Roman"/>
        </w:rPr>
        <w:t>Plan</w:t>
      </w:r>
      <w:r w:rsidR="00BD7BA3">
        <w:rPr>
          <w:rFonts w:cs="Times New Roman"/>
        </w:rPr>
        <w:t xml:space="preserve"> (NSP) </w:t>
      </w:r>
      <w:r w:rsidR="00B53EDD" w:rsidRPr="00D714FC">
        <w:rPr>
          <w:rFonts w:cs="Times New Roman"/>
        </w:rPr>
        <w:t>and Information Statement</w:t>
      </w:r>
      <w:r w:rsidR="000B3F48" w:rsidRPr="00D714FC">
        <w:rPr>
          <w:rFonts w:cs="Times New Roman"/>
        </w:rPr>
        <w:t>)</w:t>
      </w:r>
      <w:r w:rsidR="00B53EDD" w:rsidRPr="00D714FC">
        <w:rPr>
          <w:rFonts w:cs="Times New Roman"/>
        </w:rPr>
        <w:t xml:space="preserve">. </w:t>
      </w:r>
      <w:r w:rsidR="00A76638">
        <w:rPr>
          <w:rFonts w:cs="Times New Roman"/>
        </w:rPr>
        <w:t xml:space="preserve">These submissions </w:t>
      </w:r>
      <w:r w:rsidR="00B53EDD" w:rsidRPr="00D714FC">
        <w:rPr>
          <w:rFonts w:cs="Times New Roman"/>
        </w:rPr>
        <w:t xml:space="preserve">noted that </w:t>
      </w:r>
      <w:r w:rsidRPr="00D714FC">
        <w:rPr>
          <w:rFonts w:cs="Times New Roman"/>
        </w:rPr>
        <w:t xml:space="preserve">a requirement to post hard copies of documents to customers </w:t>
      </w:r>
      <w:r w:rsidR="00B53EDD" w:rsidRPr="00D714FC">
        <w:rPr>
          <w:rFonts w:cs="Times New Roman"/>
        </w:rPr>
        <w:t xml:space="preserve">increases the administrative burden </w:t>
      </w:r>
      <w:r w:rsidRPr="00D714FC">
        <w:rPr>
          <w:rFonts w:cs="Times New Roman"/>
        </w:rPr>
        <w:t xml:space="preserve">for the operator </w:t>
      </w:r>
      <w:r w:rsidR="00B53EDD" w:rsidRPr="00D714FC">
        <w:rPr>
          <w:rFonts w:cs="Times New Roman"/>
        </w:rPr>
        <w:t xml:space="preserve">and </w:t>
      </w:r>
      <w:r w:rsidRPr="00D714FC">
        <w:rPr>
          <w:rFonts w:cs="Times New Roman"/>
        </w:rPr>
        <w:t xml:space="preserve">adds </w:t>
      </w:r>
      <w:r w:rsidR="00B53EDD" w:rsidRPr="00D714FC">
        <w:rPr>
          <w:rFonts w:cs="Times New Roman"/>
        </w:rPr>
        <w:t>complexity for customers</w:t>
      </w:r>
      <w:r w:rsidR="00A76638">
        <w:rPr>
          <w:rFonts w:cs="Times New Roman"/>
        </w:rPr>
        <w:t xml:space="preserve">, and </w:t>
      </w:r>
      <w:r w:rsidR="00B53EDD" w:rsidRPr="00D714FC">
        <w:rPr>
          <w:rFonts w:cs="Times New Roman"/>
        </w:rPr>
        <w:t>recommended that language in the relevant parts of the WCIR in relation to providing information be changed from ‘provide’ to ‘make available’.</w:t>
      </w:r>
      <w:r w:rsidR="00281267" w:rsidRPr="00D714FC">
        <w:rPr>
          <w:rFonts w:cs="Times New Roman"/>
        </w:rPr>
        <w:t xml:space="preserve"> </w:t>
      </w:r>
    </w:p>
    <w:p w:rsidR="00CA13B5" w:rsidRDefault="00CA13B5" w:rsidP="00DA5F2B">
      <w:pPr>
        <w:spacing w:before="120" w:after="0"/>
        <w:rPr>
          <w:rFonts w:cs="Times New Roman"/>
        </w:rPr>
      </w:pPr>
      <w:r>
        <w:rPr>
          <w:rFonts w:cs="Times New Roman"/>
        </w:rPr>
        <w:t>Nine</w:t>
      </w:r>
      <w:r w:rsidRPr="00D714FC">
        <w:rPr>
          <w:rFonts w:cs="Times New Roman"/>
        </w:rPr>
        <w:t xml:space="preserve"> </w:t>
      </w:r>
      <w:r w:rsidR="003A4B6E" w:rsidRPr="00D714FC">
        <w:rPr>
          <w:rFonts w:cs="Times New Roman"/>
        </w:rPr>
        <w:t xml:space="preserve">submissions to the ACCC’s </w:t>
      </w:r>
      <w:r w:rsidR="00004DB5" w:rsidRPr="00D714FC">
        <w:rPr>
          <w:rFonts w:cs="Times New Roman"/>
        </w:rPr>
        <w:t>Issues Paper</w:t>
      </w:r>
      <w:r w:rsidR="003A4B6E" w:rsidRPr="00D714FC">
        <w:rPr>
          <w:rFonts w:cs="Times New Roman"/>
        </w:rPr>
        <w:t xml:space="preserve"> </w:t>
      </w:r>
      <w:r w:rsidR="00B44C3A" w:rsidRPr="00D714FC">
        <w:rPr>
          <w:rFonts w:cs="Times New Roman"/>
        </w:rPr>
        <w:t xml:space="preserve">also </w:t>
      </w:r>
      <w:r w:rsidR="003A4B6E" w:rsidRPr="00D714FC">
        <w:rPr>
          <w:rFonts w:cs="Times New Roman"/>
        </w:rPr>
        <w:t>raised concerns with the current publication requirements</w:t>
      </w:r>
      <w:r w:rsidR="00A76638">
        <w:rPr>
          <w:rFonts w:cs="Times New Roman"/>
        </w:rPr>
        <w:t>.</w:t>
      </w:r>
      <w:r w:rsidR="00A76638">
        <w:rPr>
          <w:rStyle w:val="FootnoteReference"/>
          <w:rFonts w:cs="Times New Roman"/>
        </w:rPr>
        <w:footnoteReference w:id="312"/>
      </w:r>
      <w:r w:rsidR="009F0347">
        <w:rPr>
          <w:rFonts w:cs="Times New Roman"/>
        </w:rPr>
        <w:t xml:space="preserve"> Most</w:t>
      </w:r>
      <w:r w:rsidR="00A76638">
        <w:rPr>
          <w:rFonts w:cs="Times New Roman"/>
        </w:rPr>
        <w:t xml:space="preserve"> of these submissions reiterated the view expressed to</w:t>
      </w:r>
      <w:r w:rsidR="00AB0C25">
        <w:rPr>
          <w:rFonts w:cs="Times New Roman"/>
        </w:rPr>
        <w:t xml:space="preserve"> the Act Review</w:t>
      </w:r>
      <w:r w:rsidR="00A76638">
        <w:rPr>
          <w:rFonts w:cs="Times New Roman"/>
        </w:rPr>
        <w:t xml:space="preserve"> that the WCIR currently require</w:t>
      </w:r>
      <w:r w:rsidR="00AB0C25">
        <w:rPr>
          <w:rFonts w:cs="Times New Roman"/>
        </w:rPr>
        <w:t>s</w:t>
      </w:r>
      <w:r w:rsidR="00A76638">
        <w:rPr>
          <w:rFonts w:cs="Times New Roman"/>
        </w:rPr>
        <w:t xml:space="preserve"> operators to post their Schedules to customers, and contended that the WCIR should be amended to permit an operator to use electronic communication methods. Several of these submitters also pointed out the difficulties that some irrigation infrastructure operators (IIO) have in meeting the </w:t>
      </w:r>
      <w:r w:rsidR="00AB0C25">
        <w:rPr>
          <w:rFonts w:cs="Times New Roman"/>
        </w:rPr>
        <w:t>‘</w:t>
      </w:r>
      <w:r w:rsidR="00A76638">
        <w:rPr>
          <w:rFonts w:cs="Times New Roman"/>
        </w:rPr>
        <w:t xml:space="preserve">10 day rule’ (current WCIR rule 7, under which an operator may not impose a regulated charge relating to an infrastructure service unless it has given a copy of its current </w:t>
      </w:r>
      <w:r w:rsidR="00E729DB">
        <w:rPr>
          <w:rFonts w:cs="Times New Roman"/>
        </w:rPr>
        <w:t>S</w:t>
      </w:r>
      <w:r w:rsidR="00A76638">
        <w:rPr>
          <w:rFonts w:cs="Times New Roman"/>
        </w:rPr>
        <w:t xml:space="preserve">chedule of </w:t>
      </w:r>
      <w:r w:rsidR="00E729DB">
        <w:rPr>
          <w:rFonts w:cs="Times New Roman"/>
        </w:rPr>
        <w:t>C</w:t>
      </w:r>
      <w:r w:rsidR="00A76638">
        <w:rPr>
          <w:rFonts w:cs="Times New Roman"/>
        </w:rPr>
        <w:t xml:space="preserve">harges to existing customers 10 business days before the service is provided) in the context where that IIO is passing through charges of a Part 6 infrastructure operator whose charges are determined by </w:t>
      </w:r>
      <w:r w:rsidR="00AB0C25">
        <w:rPr>
          <w:rFonts w:cs="Times New Roman"/>
        </w:rPr>
        <w:t xml:space="preserve">the ACCC or </w:t>
      </w:r>
      <w:r w:rsidR="00A76638">
        <w:rPr>
          <w:rFonts w:cs="Times New Roman"/>
        </w:rPr>
        <w:t>an accredited regulator.</w:t>
      </w:r>
      <w:r w:rsidR="009F0347">
        <w:rPr>
          <w:rFonts w:cs="Times New Roman"/>
        </w:rPr>
        <w:t xml:space="preserve"> Other views expressed in the ACCC’s initial consultation period were that operators should be required to submit their Schedules of Charges to the regulator, and that publication requirements under the water charge rules are inconsistent with requirements in urban water sectors.</w:t>
      </w:r>
    </w:p>
    <w:p w:rsidR="00514B0F" w:rsidRDefault="00514B0F" w:rsidP="00DA5F2B">
      <w:pPr>
        <w:spacing w:before="120" w:after="0"/>
      </w:pPr>
      <w:r>
        <w:t>A number of submissions to the Draft Advice commented on the publication requirements relating to the place and timing for publishing information about fees and charges.</w:t>
      </w:r>
    </w:p>
    <w:p w:rsidR="00514B0F" w:rsidRDefault="00514B0F" w:rsidP="00DA5F2B">
      <w:pPr>
        <w:spacing w:before="120" w:after="0"/>
      </w:pPr>
      <w:r>
        <w:t>The CEWH, Mr Tom Loffler and Goulburn-Murray Water (GMW) commented generally on the importance of the publication of information on fees and charges, and / or other information about an infrastructure operator’s policies and rules. The CEWH identified that the publication of this information is important for the efficient and effective operation of the market.</w:t>
      </w:r>
      <w:r w:rsidRPr="00700694">
        <w:rPr>
          <w:rStyle w:val="FootnoteReference"/>
          <w:rFonts w:cs="Times New Roman"/>
          <w:sz w:val="20"/>
          <w:szCs w:val="20"/>
        </w:rPr>
        <w:footnoteReference w:id="313"/>
      </w:r>
      <w:r>
        <w:t xml:space="preserve"> Mr Loffler noted that access to information including infrastructure operator policies is important for customers to be able to make informed decisions.</w:t>
      </w:r>
      <w:r w:rsidRPr="00700694">
        <w:rPr>
          <w:rStyle w:val="FootnoteReference"/>
          <w:rFonts w:cs="Times New Roman"/>
          <w:sz w:val="20"/>
          <w:szCs w:val="20"/>
        </w:rPr>
        <w:footnoteReference w:id="314"/>
      </w:r>
      <w:r>
        <w:t xml:space="preserve"> </w:t>
      </w:r>
    </w:p>
    <w:p w:rsidR="00514B0F" w:rsidRDefault="00514B0F" w:rsidP="00DA5F2B">
      <w:pPr>
        <w:spacing w:before="120" w:after="0"/>
      </w:pPr>
      <w:r>
        <w:t>The Queensland Farmers’ Federation</w:t>
      </w:r>
      <w:r w:rsidR="008E524B">
        <w:t xml:space="preserve"> (QFF)</w:t>
      </w:r>
      <w:r>
        <w:t xml:space="preserve"> submitted that it supports </w:t>
      </w:r>
      <w:r w:rsidR="00207A65">
        <w:t>r</w:t>
      </w:r>
      <w:r>
        <w:t xml:space="preserve">ule </w:t>
      </w:r>
      <w:r w:rsidR="00207A65">
        <w:t>a</w:t>
      </w:r>
      <w:r>
        <w:t>dvices 5</w:t>
      </w:r>
      <w:r w:rsidR="00257786">
        <w:t>-</w:t>
      </w:r>
      <w:r>
        <w:t xml:space="preserve">G, </w:t>
      </w:r>
      <w:r w:rsidR="00257786">
        <w:t>5-</w:t>
      </w:r>
      <w:r>
        <w:t xml:space="preserve">H and </w:t>
      </w:r>
      <w:r w:rsidR="00257786">
        <w:t>5-</w:t>
      </w:r>
      <w:r>
        <w:t>I.</w:t>
      </w:r>
      <w:r w:rsidRPr="00700694">
        <w:rPr>
          <w:rStyle w:val="FootnoteReference"/>
          <w:rFonts w:cs="Times New Roman"/>
          <w:sz w:val="20"/>
          <w:szCs w:val="20"/>
        </w:rPr>
        <w:footnoteReference w:id="315"/>
      </w:r>
      <w:r>
        <w:t xml:space="preserve"> GMW noted that the proposed amendments are consistent with, among other things, GMW’s inten</w:t>
      </w:r>
      <w:r w:rsidR="00257786">
        <w:t>t</w:t>
      </w:r>
      <w:r>
        <w:t xml:space="preserve">ion to: </w:t>
      </w:r>
    </w:p>
    <w:p w:rsidR="00514B0F" w:rsidRDefault="00514B0F" w:rsidP="00A82DE6">
      <w:pPr>
        <w:pStyle w:val="Lvl1Bulletpoint"/>
      </w:pPr>
      <w:r>
        <w:t xml:space="preserve">ensure information is accessible </w:t>
      </w:r>
    </w:p>
    <w:p w:rsidR="00514B0F" w:rsidRDefault="00514B0F" w:rsidP="00A82DE6">
      <w:pPr>
        <w:pStyle w:val="Lvl1Bulletpoint"/>
      </w:pPr>
      <w:r>
        <w:t>improve its communication tools and approach.</w:t>
      </w:r>
      <w:r w:rsidRPr="00F00765">
        <w:rPr>
          <w:rStyle w:val="FootnoteReference"/>
          <w:rFonts w:cs="Times New Roman"/>
          <w:sz w:val="20"/>
          <w:szCs w:val="20"/>
        </w:rPr>
        <w:footnoteReference w:id="316"/>
      </w:r>
      <w:r w:rsidR="00C6733C">
        <w:rPr>
          <w:rFonts w:cs="Times New Roman"/>
          <w:sz w:val="20"/>
          <w:szCs w:val="20"/>
        </w:rPr>
        <w:t xml:space="preserve"> </w:t>
      </w:r>
    </w:p>
    <w:p w:rsidR="00514B0F" w:rsidRDefault="00514B0F" w:rsidP="00DA5F2B">
      <w:pPr>
        <w:spacing w:before="120" w:after="0"/>
      </w:pPr>
      <w:r>
        <w:t>The Local Government Association of Queensland</w:t>
      </w:r>
      <w:r w:rsidR="008F0D6B">
        <w:t xml:space="preserve"> (LGAQ)</w:t>
      </w:r>
      <w:r>
        <w:t xml:space="preserve"> identified that it supports amendments that seek to improve transparency and noted that the (existing) requirements under Part 4 of the WCIR have improved pricing transparency in Queensland.</w:t>
      </w:r>
      <w:r w:rsidRPr="00F00765">
        <w:rPr>
          <w:rStyle w:val="FootnoteReference"/>
          <w:rFonts w:cs="Times New Roman"/>
          <w:sz w:val="20"/>
          <w:szCs w:val="20"/>
        </w:rPr>
        <w:footnoteReference w:id="317"/>
      </w:r>
      <w:r>
        <w:t xml:space="preserve"> However, the LGAQ also supports other stakeholders’ feedback regarding to the cost of sending information to, and consulting with, customers; that is, an infrastructure operator should not incur unreasonable or unnecessary costs, which it subsequently passes onto customers.</w:t>
      </w:r>
      <w:r w:rsidRPr="00AC0D9B">
        <w:rPr>
          <w:rStyle w:val="FootnoteReference"/>
          <w:rFonts w:cs="Times New Roman"/>
          <w:sz w:val="20"/>
          <w:szCs w:val="20"/>
        </w:rPr>
        <w:t xml:space="preserve"> </w:t>
      </w:r>
      <w:r w:rsidRPr="00700694">
        <w:rPr>
          <w:rStyle w:val="FootnoteReference"/>
          <w:rFonts w:cs="Times New Roman"/>
          <w:sz w:val="20"/>
          <w:szCs w:val="20"/>
        </w:rPr>
        <w:footnoteReference w:id="318"/>
      </w:r>
      <w:r>
        <w:t xml:space="preserve"> </w:t>
      </w:r>
    </w:p>
    <w:p w:rsidR="00DA5F2B" w:rsidRPr="00DA5F2B" w:rsidRDefault="00DA5F2B" w:rsidP="00D17F9C">
      <w:pPr>
        <w:pStyle w:val="Heading5"/>
      </w:pPr>
      <w:r>
        <w:t>Timing of publication</w:t>
      </w:r>
    </w:p>
    <w:p w:rsidR="00514B0F" w:rsidRDefault="00514B0F" w:rsidP="00DA5F2B">
      <w:pPr>
        <w:spacing w:before="120" w:after="0"/>
      </w:pPr>
      <w:r>
        <w:t xml:space="preserve">Stakeholders also commented on the requirements relating to the timeframe for publishing the </w:t>
      </w:r>
      <w:r w:rsidR="00E729DB">
        <w:t>S</w:t>
      </w:r>
      <w:r>
        <w:t xml:space="preserve">chedule of </w:t>
      </w:r>
      <w:r w:rsidR="00E729DB">
        <w:t>C</w:t>
      </w:r>
      <w:r>
        <w:t xml:space="preserve">harges. </w:t>
      </w:r>
    </w:p>
    <w:p w:rsidR="00514B0F" w:rsidRDefault="00514B0F" w:rsidP="00DA5F2B">
      <w:pPr>
        <w:spacing w:before="120" w:after="0"/>
      </w:pPr>
      <w:r>
        <w:t>The CEWH supports infrastructure operators being required to publish information in advance.</w:t>
      </w:r>
      <w:r w:rsidRPr="00700694">
        <w:rPr>
          <w:rStyle w:val="FootnoteReference"/>
          <w:rFonts w:cs="Times New Roman"/>
          <w:sz w:val="20"/>
          <w:szCs w:val="20"/>
        </w:rPr>
        <w:footnoteReference w:id="319"/>
      </w:r>
      <w:r>
        <w:t xml:space="preserve"> Similarly, the South Australian Murray Irrigators</w:t>
      </w:r>
      <w:r w:rsidR="00874041">
        <w:t xml:space="preserve"> (SAMI)</w:t>
      </w:r>
      <w:r>
        <w:t xml:space="preserve"> identified that one of the complaints they receive from their members is “the lack of transparent, accurate and timely information that contains known trigger points from which business decisions can be made and banked on”.</w:t>
      </w:r>
      <w:r w:rsidRPr="00F00765">
        <w:rPr>
          <w:rStyle w:val="FootnoteReference"/>
          <w:rFonts w:cs="Times New Roman"/>
          <w:sz w:val="20"/>
          <w:szCs w:val="20"/>
        </w:rPr>
        <w:footnoteReference w:id="320"/>
      </w:r>
      <w:r>
        <w:t xml:space="preserve"> </w:t>
      </w:r>
    </w:p>
    <w:p w:rsidR="00257786" w:rsidRDefault="00514B0F" w:rsidP="00DA5F2B">
      <w:pPr>
        <w:spacing w:before="120" w:after="0"/>
      </w:pPr>
      <w:r>
        <w:t xml:space="preserve">In comparison, WaterNSW and GMW identified some concerns about meeting the proposed amendments to the timeframes for on-river infrastructure operators to send their </w:t>
      </w:r>
      <w:r w:rsidR="00E729DB">
        <w:t>S</w:t>
      </w:r>
      <w:r>
        <w:t xml:space="preserve">chedule of </w:t>
      </w:r>
      <w:r w:rsidR="00E729DB">
        <w:t>C</w:t>
      </w:r>
      <w:r>
        <w:t xml:space="preserve">harges (from 10 business days to 25 business days, </w:t>
      </w:r>
      <w:r w:rsidR="00207A65">
        <w:t>r</w:t>
      </w:r>
      <w:r>
        <w:t xml:space="preserve">ule </w:t>
      </w:r>
      <w:r w:rsidR="00207A65">
        <w:t>a</w:t>
      </w:r>
      <w:r>
        <w:t>dvice 5-I).</w:t>
      </w:r>
      <w:r w:rsidRPr="00700694">
        <w:rPr>
          <w:rStyle w:val="FootnoteReference"/>
          <w:rFonts w:cs="Times New Roman"/>
          <w:sz w:val="20"/>
          <w:szCs w:val="20"/>
        </w:rPr>
        <w:footnoteReference w:id="321"/>
      </w:r>
      <w:r>
        <w:t xml:space="preserve"> The basis for their concerns is that their ability to meet the required timeframes is dependent on the timing of a regulator’s decision. </w:t>
      </w:r>
    </w:p>
    <w:p w:rsidR="00514B0F" w:rsidRDefault="00514B0F" w:rsidP="00DA5F2B">
      <w:pPr>
        <w:spacing w:before="120" w:after="0"/>
      </w:pPr>
      <w:r>
        <w:t xml:space="preserve">Subsequently, once the regulator publishes its decision, there are internal administrative processes (e.g. Board approval, scheduling the mailing house) that must be conducted before they can publish the </w:t>
      </w:r>
      <w:r w:rsidR="00E729DB">
        <w:t>S</w:t>
      </w:r>
      <w:r>
        <w:t xml:space="preserve">chedule of </w:t>
      </w:r>
      <w:r w:rsidR="00E729DB">
        <w:t>C</w:t>
      </w:r>
      <w:r>
        <w:t xml:space="preserve">harges. GMW identified that the timeframes proposed under </w:t>
      </w:r>
      <w:r w:rsidR="00207A65">
        <w:t>r</w:t>
      </w:r>
      <w:r>
        <w:t xml:space="preserve">ule </w:t>
      </w:r>
      <w:r w:rsidR="00207A65">
        <w:t>a</w:t>
      </w:r>
      <w:r>
        <w:t xml:space="preserve">dvice 5-N (relating to when a regulator must publish its final decision, being 30 business days before the start of the regulatory period) and </w:t>
      </w:r>
      <w:r w:rsidR="00207A65">
        <w:t>r</w:t>
      </w:r>
      <w:r>
        <w:t xml:space="preserve">ule </w:t>
      </w:r>
      <w:r w:rsidR="00207A65">
        <w:t>a</w:t>
      </w:r>
      <w:r>
        <w:t>dvice 5-I, only leave</w:t>
      </w:r>
      <w:r w:rsidR="00207A65">
        <w:t>s</w:t>
      </w:r>
      <w:r>
        <w:t xml:space="preserve"> </w:t>
      </w:r>
      <w:r w:rsidR="00E729DB">
        <w:t>five</w:t>
      </w:r>
      <w:r>
        <w:t xml:space="preserve"> business days for the infrastructure operator to complete these internal administrative processes and publish its </w:t>
      </w:r>
      <w:r w:rsidR="00E729DB">
        <w:t>S</w:t>
      </w:r>
      <w:r>
        <w:t xml:space="preserve">chedule of </w:t>
      </w:r>
      <w:r w:rsidR="00E729DB">
        <w:t>C</w:t>
      </w:r>
      <w:r>
        <w:t xml:space="preserve">harges. GMW submitted that it typically requires one month to complete these processes; WaterNSW submitted that it would typically require two weeks. Therefore, WaterNSW and GMW made some suggestions for further amendments to </w:t>
      </w:r>
      <w:r w:rsidR="00207A65">
        <w:t>r</w:t>
      </w:r>
      <w:r>
        <w:t xml:space="preserve">ule </w:t>
      </w:r>
      <w:r w:rsidR="00207A65">
        <w:t>a</w:t>
      </w:r>
      <w:r>
        <w:t>dvice 5-I.</w:t>
      </w:r>
      <w:r>
        <w:rPr>
          <w:rStyle w:val="FootnoteReference"/>
        </w:rPr>
        <w:footnoteReference w:id="322"/>
      </w:r>
      <w:r>
        <w:t xml:space="preserve"> </w:t>
      </w:r>
    </w:p>
    <w:p w:rsidR="00514B0F" w:rsidRDefault="00514B0F" w:rsidP="00A82DE6">
      <w:pPr>
        <w:pStyle w:val="Lvl1Bulletpoint"/>
      </w:pPr>
      <w:r>
        <w:t xml:space="preserve">A reduction of the number of days in advance that the </w:t>
      </w:r>
      <w:r w:rsidR="00E729DB">
        <w:t>S</w:t>
      </w:r>
      <w:r>
        <w:t xml:space="preserve">chedule of </w:t>
      </w:r>
      <w:r w:rsidR="00E729DB">
        <w:t>C</w:t>
      </w:r>
      <w:r>
        <w:t xml:space="preserve">harges must be sent – WaterNSW supported a reduction to 15 business days, GMW suggested 20 business days. GMW also proposed a further related amendment, which would be applicable to </w:t>
      </w:r>
      <w:r w:rsidR="00207A65">
        <w:t>r</w:t>
      </w:r>
      <w:r>
        <w:t xml:space="preserve">ule </w:t>
      </w:r>
      <w:r w:rsidR="00207A65">
        <w:t>a</w:t>
      </w:r>
      <w:r>
        <w:t xml:space="preserve">dvice 5-N: the regulator’s notice of their final decision should be provided 50 business days before the charges come into effect (hence, the operator would have one month to release the </w:t>
      </w:r>
      <w:r w:rsidR="00E729DB">
        <w:t>S</w:t>
      </w:r>
      <w:r>
        <w:t xml:space="preserve">chedule of </w:t>
      </w:r>
      <w:r w:rsidR="00E729DB">
        <w:t>C</w:t>
      </w:r>
      <w:r>
        <w:t>harges).</w:t>
      </w:r>
    </w:p>
    <w:p w:rsidR="00514B0F" w:rsidRDefault="00514B0F" w:rsidP="00A82DE6">
      <w:pPr>
        <w:pStyle w:val="Lvl1Bulletpoint"/>
      </w:pPr>
      <w:r>
        <w:t xml:space="preserve">An exemption from the timeframe for sending the </w:t>
      </w:r>
      <w:r w:rsidR="00E729DB">
        <w:t>S</w:t>
      </w:r>
      <w:r>
        <w:t xml:space="preserve">chedule of </w:t>
      </w:r>
      <w:r w:rsidR="00E729DB">
        <w:t>C</w:t>
      </w:r>
      <w:r>
        <w:t>harges for infrastructure operators wh</w:t>
      </w:r>
      <w:r w:rsidR="00CC2199">
        <w:t>ere the operator’s</w:t>
      </w:r>
      <w:r>
        <w:t xml:space="preserve"> charges must be approved or determined by an economic regulator (WaterNSW).</w:t>
      </w:r>
    </w:p>
    <w:p w:rsidR="00514B0F" w:rsidRDefault="00514B0F" w:rsidP="00A82DE6">
      <w:pPr>
        <w:pStyle w:val="Lvl1Bulletpoint"/>
      </w:pPr>
      <w:r>
        <w:t xml:space="preserve">The timeframes for sending the </w:t>
      </w:r>
      <w:r w:rsidR="00E729DB">
        <w:t>S</w:t>
      </w:r>
      <w:r>
        <w:t xml:space="preserve">chedule of </w:t>
      </w:r>
      <w:r w:rsidR="00E729DB">
        <w:t>C</w:t>
      </w:r>
      <w:r>
        <w:t>harges should only be triggered when the regulator publishes their final decision. WaterNSW suggested that infrastructure operators could have 15 days to publish the</w:t>
      </w:r>
      <w:r w:rsidR="00CC2199">
        <w:t>ir</w:t>
      </w:r>
      <w:r>
        <w:t xml:space="preserve"> </w:t>
      </w:r>
      <w:r w:rsidR="00E729DB">
        <w:t>S</w:t>
      </w:r>
      <w:r>
        <w:t xml:space="preserve">chedule of </w:t>
      </w:r>
      <w:r w:rsidR="00E729DB">
        <w:t>C</w:t>
      </w:r>
      <w:r>
        <w:t>harges from the release of the final decision.</w:t>
      </w:r>
    </w:p>
    <w:p w:rsidR="00514B0F" w:rsidRDefault="00514B0F" w:rsidP="00DA5F2B">
      <w:pPr>
        <w:spacing w:before="120" w:after="0"/>
      </w:pPr>
      <w:r>
        <w:t xml:space="preserve">In submissions to the ACCC’s Issues Paper and again in consultation meetings on the ACCC’s Draft Advice, some stakeholders </w:t>
      </w:r>
      <w:r w:rsidR="0018283C">
        <w:t>we</w:t>
      </w:r>
      <w:r>
        <w:t xml:space="preserve">re concerned that the ability for off-river infrastructure operators to meet the required timeframes for publication can be affected by delays outside of their control. This is relevant to charges that these infrastructure operators pass through to their customers, such as </w:t>
      </w:r>
      <w:r w:rsidR="00603CD5">
        <w:t xml:space="preserve">planning and management charges or </w:t>
      </w:r>
      <w:r>
        <w:t>on-river</w:t>
      </w:r>
      <w:r w:rsidR="00603CD5">
        <w:t xml:space="preserve"> </w:t>
      </w:r>
      <w:r>
        <w:t>infrastructure charges</w:t>
      </w:r>
      <w:r w:rsidR="00603CD5">
        <w:t xml:space="preserve"> (also known as “bulk charges”).</w:t>
      </w:r>
      <w:r>
        <w:t xml:space="preserve"> </w:t>
      </w:r>
    </w:p>
    <w:p w:rsidR="00DA5F2B" w:rsidRPr="00DA5F2B" w:rsidRDefault="00DA5F2B" w:rsidP="00D17F9C">
      <w:pPr>
        <w:pStyle w:val="Heading5"/>
      </w:pPr>
      <w:r>
        <w:t>Place of publication</w:t>
      </w:r>
    </w:p>
    <w:p w:rsidR="00514B0F" w:rsidRDefault="00514B0F" w:rsidP="00DA5F2B">
      <w:pPr>
        <w:spacing w:before="120" w:after="0"/>
      </w:pPr>
      <w:r>
        <w:t xml:space="preserve">Some stakeholders commented on the means by which infrastructure operators must send information to their customers. </w:t>
      </w:r>
    </w:p>
    <w:p w:rsidR="00514B0F" w:rsidRDefault="00514B0F" w:rsidP="00DA5F2B">
      <w:pPr>
        <w:spacing w:before="120" w:after="0"/>
      </w:pPr>
      <w:r>
        <w:t xml:space="preserve">The </w:t>
      </w:r>
      <w:r w:rsidR="00A35180">
        <w:t>National Irrigators’ Council (</w:t>
      </w:r>
      <w:r>
        <w:t>NIC</w:t>
      </w:r>
      <w:r w:rsidR="00A35180">
        <w:t>)</w:t>
      </w:r>
      <w:r>
        <w:t xml:space="preserve"> noted that contact details for electronic communication (e.g. email) are unreliable.</w:t>
      </w:r>
      <w:r w:rsidRPr="00700694">
        <w:rPr>
          <w:rStyle w:val="FootnoteReference"/>
          <w:rFonts w:cs="Times New Roman"/>
          <w:sz w:val="20"/>
          <w:szCs w:val="20"/>
        </w:rPr>
        <w:footnoteReference w:id="323"/>
      </w:r>
      <w:r>
        <w:t xml:space="preserve"> The ACCC understands that the concern is that consequently infrastructure operators will still need to post the </w:t>
      </w:r>
      <w:r w:rsidR="00E729DB">
        <w:t>S</w:t>
      </w:r>
      <w:r>
        <w:t xml:space="preserve">chedule of </w:t>
      </w:r>
      <w:r w:rsidR="00E729DB">
        <w:t>C</w:t>
      </w:r>
      <w:r>
        <w:t>harges to many customers.</w:t>
      </w:r>
      <w:r w:rsidR="00C6733C">
        <w:t xml:space="preserve"> </w:t>
      </w:r>
      <w:r>
        <w:t xml:space="preserve">Other stakeholders, during the consultation process on the Draft Advice, are also of the view that they would need to maintain separate databases for customers with email addresses and those without and that this would create additional costs to create and maintain. The NIC’s preferred approach, to reduce industry costs, is for the rules to be amended so that infrastructure operators are only required to publish their </w:t>
      </w:r>
      <w:r w:rsidR="00E729DB">
        <w:t>S</w:t>
      </w:r>
      <w:r>
        <w:t xml:space="preserve">chedule of </w:t>
      </w:r>
      <w:r w:rsidR="00E729DB">
        <w:t>C</w:t>
      </w:r>
      <w:r>
        <w:t>harges on a website, rather than sending a copy to each customer (via the post or electronically).</w:t>
      </w:r>
    </w:p>
    <w:p w:rsidR="00DA5F2B" w:rsidRPr="00DA5F2B" w:rsidRDefault="00DA5F2B" w:rsidP="00D17F9C">
      <w:pPr>
        <w:pStyle w:val="Heading5"/>
      </w:pPr>
      <w:r>
        <w:t>Drafting</w:t>
      </w:r>
    </w:p>
    <w:p w:rsidR="00514B0F" w:rsidRDefault="00514B0F" w:rsidP="00DA5F2B">
      <w:pPr>
        <w:spacing w:before="120" w:after="0"/>
      </w:pPr>
      <w:r>
        <w:t>Lower</w:t>
      </w:r>
      <w:r w:rsidR="0076282A">
        <w:t xml:space="preserve"> </w:t>
      </w:r>
      <w:r>
        <w:t xml:space="preserve">Murray Water (LMW) commented on the drafting of the proposed amendments in relation to sending the </w:t>
      </w:r>
      <w:r w:rsidR="00E729DB">
        <w:t>S</w:t>
      </w:r>
      <w:r>
        <w:t xml:space="preserve">chedule of </w:t>
      </w:r>
      <w:r w:rsidR="00E729DB">
        <w:t>C</w:t>
      </w:r>
      <w:r>
        <w:t>harges to new customers (</w:t>
      </w:r>
      <w:r w:rsidR="00CC2199">
        <w:t>sub</w:t>
      </w:r>
      <w:r>
        <w:t>rules 11(4)(b)), 11(5)(b)).</w:t>
      </w:r>
      <w:r w:rsidRPr="009064A7">
        <w:rPr>
          <w:rStyle w:val="FootnoteReference"/>
          <w:rFonts w:cs="Times New Roman"/>
          <w:sz w:val="20"/>
          <w:szCs w:val="20"/>
        </w:rPr>
        <w:footnoteReference w:id="324"/>
      </w:r>
      <w:r w:rsidRPr="009064A7">
        <w:rPr>
          <w:rStyle w:val="FootnoteReference"/>
          <w:rFonts w:cs="Times New Roman"/>
          <w:sz w:val="20"/>
          <w:szCs w:val="20"/>
        </w:rPr>
        <w:t xml:space="preserve"> </w:t>
      </w:r>
      <w:r>
        <w:t xml:space="preserve">LMW questions how an infrastructure operator is able to know in advance whether someone will become a customer and that it is “not reasonable or feasible” for an infrastructure operator to send a </w:t>
      </w:r>
      <w:r w:rsidR="00E729DB">
        <w:t>S</w:t>
      </w:r>
      <w:r>
        <w:t xml:space="preserve">chedule of </w:t>
      </w:r>
      <w:r w:rsidR="00E729DB">
        <w:t>C</w:t>
      </w:r>
      <w:r>
        <w:t xml:space="preserve">harges on the day that they do become a customer. LMW argues that it should be the responsibility of the customer through due diligence to make informed decisions and investigate an infrastructure service before they receive it. LMW added that any person could have immediate access to LMW’s </w:t>
      </w:r>
      <w:r w:rsidR="00E729DB">
        <w:t>S</w:t>
      </w:r>
      <w:r>
        <w:t xml:space="preserve">chedule of </w:t>
      </w:r>
      <w:r w:rsidR="00E729DB">
        <w:t>C</w:t>
      </w:r>
      <w:r>
        <w:t xml:space="preserve">harges on request. LMW suggested that the ACCC should amend the proposed rule such that infrastructure operators must send the </w:t>
      </w:r>
      <w:r w:rsidR="00E729DB">
        <w:t>S</w:t>
      </w:r>
      <w:r>
        <w:t xml:space="preserve">chedule of </w:t>
      </w:r>
      <w:r w:rsidR="00E729DB">
        <w:t>C</w:t>
      </w:r>
      <w:r>
        <w:t>harges within 15 days of a person becoming a customer.</w:t>
      </w:r>
      <w:r w:rsidRPr="001B4379">
        <w:rPr>
          <w:rStyle w:val="FootnoteReference"/>
          <w:rFonts w:cs="Times New Roman"/>
          <w:sz w:val="20"/>
          <w:szCs w:val="20"/>
        </w:rPr>
        <w:footnoteReference w:id="325"/>
      </w:r>
      <w:r w:rsidR="00C6733C">
        <w:rPr>
          <w:rStyle w:val="FootnoteReference"/>
          <w:rFonts w:cs="Times New Roman"/>
          <w:sz w:val="20"/>
          <w:szCs w:val="20"/>
        </w:rPr>
        <w:t xml:space="preserve"> </w:t>
      </w:r>
    </w:p>
    <w:p w:rsidR="00514B0F" w:rsidRPr="00CA13B5" w:rsidRDefault="00514B0F" w:rsidP="00DA5F2B">
      <w:pPr>
        <w:spacing w:before="120" w:after="0"/>
      </w:pPr>
      <w:r w:rsidRPr="004328C8">
        <w:t>The N</w:t>
      </w:r>
      <w:r>
        <w:t>IC requested</w:t>
      </w:r>
      <w:r w:rsidRPr="004328C8">
        <w:t xml:space="preserve"> a d</w:t>
      </w:r>
      <w:r>
        <w:t xml:space="preserve">rafting amendment to </w:t>
      </w:r>
      <w:r w:rsidR="00207A65">
        <w:t>sub</w:t>
      </w:r>
      <w:r>
        <w:t xml:space="preserve">rule 3(6); </w:t>
      </w:r>
      <w:r w:rsidRPr="004328C8">
        <w:t xml:space="preserve">the term “send” should be used for consistency with </w:t>
      </w:r>
      <w:r w:rsidR="00207A65">
        <w:t>sub</w:t>
      </w:r>
      <w:r w:rsidRPr="004328C8">
        <w:t>rule 11(4)(a).</w:t>
      </w:r>
    </w:p>
    <w:p w:rsidR="00E63AE0" w:rsidRDefault="0079321E" w:rsidP="00793691">
      <w:pPr>
        <w:pStyle w:val="Heading4"/>
        <w:rPr>
          <w:rFonts w:ascii="Times New Roman" w:hAnsi="Times New Roman" w:cs="Times New Roman"/>
        </w:rPr>
      </w:pPr>
      <w:r>
        <w:rPr>
          <w:rFonts w:ascii="Times New Roman" w:hAnsi="Times New Roman" w:cs="Times New Roman"/>
        </w:rPr>
        <w:t>ACCC assessment</w:t>
      </w:r>
    </w:p>
    <w:p w:rsidR="00514B0F" w:rsidRPr="0031695A" w:rsidRDefault="00514B0F" w:rsidP="00D17F9C">
      <w:pPr>
        <w:pStyle w:val="Heading5"/>
      </w:pPr>
      <w:r w:rsidRPr="0031695A">
        <w:t>Timing of publication</w:t>
      </w:r>
    </w:p>
    <w:p w:rsidR="00514B0F" w:rsidRDefault="00514B0F" w:rsidP="005D1BA6">
      <w:r>
        <w:t xml:space="preserve">The ACCC acknowledges the concerns of off-river infrastructure operators about the timing of price approval / determination decisions in relation to charges they incur and pass-through to their customers, and the impact this has on: </w:t>
      </w:r>
    </w:p>
    <w:p w:rsidR="00514B0F" w:rsidRDefault="00514B0F" w:rsidP="00A82DE6">
      <w:pPr>
        <w:pStyle w:val="Lvl1Bulletpoint"/>
      </w:pPr>
      <w:r>
        <w:t xml:space="preserve">their ability to meet the required timeframes for sending their </w:t>
      </w:r>
      <w:r w:rsidR="00E729DB">
        <w:t>S</w:t>
      </w:r>
      <w:r>
        <w:t xml:space="preserve">chedule of </w:t>
      </w:r>
      <w:r w:rsidR="00E729DB">
        <w:t>C</w:t>
      </w:r>
      <w:r>
        <w:t xml:space="preserve">harges or </w:t>
      </w:r>
    </w:p>
    <w:p w:rsidR="00514B0F" w:rsidRDefault="00514B0F" w:rsidP="00A82DE6">
      <w:pPr>
        <w:pStyle w:val="Lvl1Bulletpoint"/>
      </w:pPr>
      <w:r>
        <w:t xml:space="preserve">the additional costs that they incur to meet those timeframes (i.e. through sending multiple </w:t>
      </w:r>
      <w:r w:rsidR="00E729DB">
        <w:t>S</w:t>
      </w:r>
      <w:r>
        <w:t xml:space="preserve">chedules of </w:t>
      </w:r>
      <w:r w:rsidR="00E729DB">
        <w:t>C</w:t>
      </w:r>
      <w:r>
        <w:t>harges within a short period of time).</w:t>
      </w:r>
    </w:p>
    <w:p w:rsidR="00514B0F" w:rsidRDefault="00514B0F" w:rsidP="00EB1B89">
      <w:pPr>
        <w:spacing w:before="120" w:after="120"/>
      </w:pPr>
      <w:r>
        <w:t xml:space="preserve">In the Draft Advice, the ACCC </w:t>
      </w:r>
      <w:r w:rsidR="00CC2199">
        <w:t xml:space="preserve">proposed two key amendments to </w:t>
      </w:r>
      <w:r>
        <w:t xml:space="preserve">facilitate the timely publication / provision of off-river infrastructure operators’ </w:t>
      </w:r>
      <w:r w:rsidR="00E729DB">
        <w:t>S</w:t>
      </w:r>
      <w:r>
        <w:t xml:space="preserve">chedule of </w:t>
      </w:r>
      <w:r w:rsidR="00E729DB">
        <w:t>C</w:t>
      </w:r>
      <w:r>
        <w:t>harges</w:t>
      </w:r>
      <w:r w:rsidR="007A25E3">
        <w:t>.</w:t>
      </w:r>
    </w:p>
    <w:p w:rsidR="00514B0F" w:rsidRDefault="00CC2199" w:rsidP="007A25E3">
      <w:r>
        <w:t xml:space="preserve">First, </w:t>
      </w:r>
      <w:r w:rsidR="00514B0F">
        <w:t xml:space="preserve">that the publication requirements be </w:t>
      </w:r>
      <w:r w:rsidR="001A6EF6">
        <w:t xml:space="preserve">amended to </w:t>
      </w:r>
      <w:r w:rsidR="00DD5DE6">
        <w:t>make clear that an operator</w:t>
      </w:r>
      <w:r w:rsidR="001A6EF6">
        <w:t xml:space="preserve"> </w:t>
      </w:r>
      <w:r w:rsidR="00514B0F">
        <w:t xml:space="preserve">need </w:t>
      </w:r>
      <w:r w:rsidR="00DD5DE6">
        <w:t xml:space="preserve">not </w:t>
      </w:r>
      <w:r w:rsidR="00514B0F">
        <w:t xml:space="preserve">ensure that the customer </w:t>
      </w:r>
      <w:r w:rsidR="00514B0F" w:rsidRPr="00773968">
        <w:rPr>
          <w:i/>
        </w:rPr>
        <w:t>receives</w:t>
      </w:r>
      <w:r w:rsidR="00514B0F">
        <w:t xml:space="preserve"> the </w:t>
      </w:r>
      <w:r w:rsidR="00E729DB">
        <w:t>S</w:t>
      </w:r>
      <w:r w:rsidR="00514B0F">
        <w:t xml:space="preserve">chedule of </w:t>
      </w:r>
      <w:r w:rsidR="00E729DB">
        <w:t>C</w:t>
      </w:r>
      <w:r w:rsidR="00514B0F">
        <w:t>harges</w:t>
      </w:r>
      <w:r w:rsidR="001A6EF6">
        <w:t xml:space="preserve"> within the specified timeframes</w:t>
      </w:r>
      <w:r w:rsidR="00DD5DE6">
        <w:t xml:space="preserve">; rather, the operator is only required to ensure </w:t>
      </w:r>
      <w:r w:rsidR="001A6EF6">
        <w:t>that it has be</w:t>
      </w:r>
      <w:r w:rsidR="00032A35">
        <w:t>e</w:t>
      </w:r>
      <w:r w:rsidR="001A6EF6">
        <w:t xml:space="preserve">n </w:t>
      </w:r>
      <w:r w:rsidR="001A6EF6" w:rsidRPr="00151FFF">
        <w:rPr>
          <w:i/>
        </w:rPr>
        <w:t>sent</w:t>
      </w:r>
      <w:r w:rsidR="001A6EF6">
        <w:t xml:space="preserve"> within those timeframes. This amendment</w:t>
      </w:r>
      <w:r w:rsidR="00514B0F">
        <w:t xml:space="preserve"> effectively reduc</w:t>
      </w:r>
      <w:r w:rsidR="001A6EF6">
        <w:t>es</w:t>
      </w:r>
      <w:r w:rsidR="00514B0F">
        <w:t xml:space="preserve"> the number of days in advance that the operator must finalise</w:t>
      </w:r>
      <w:r w:rsidR="007A25E3">
        <w:t xml:space="preserve"> and send</w:t>
      </w:r>
      <w:r w:rsidR="00514B0F">
        <w:t xml:space="preserve"> their </w:t>
      </w:r>
      <w:r w:rsidR="00E729DB">
        <w:t>S</w:t>
      </w:r>
      <w:r w:rsidR="00514B0F">
        <w:t xml:space="preserve">chedule of </w:t>
      </w:r>
      <w:r w:rsidR="00E729DB">
        <w:t>C</w:t>
      </w:r>
      <w:r w:rsidR="00514B0F">
        <w:t>harges.</w:t>
      </w:r>
      <w:r w:rsidR="0046630D">
        <w:rPr>
          <w:rStyle w:val="FootnoteReference"/>
        </w:rPr>
        <w:footnoteReference w:id="326"/>
      </w:r>
    </w:p>
    <w:p w:rsidR="00514B0F" w:rsidRDefault="00CC2199" w:rsidP="007A25E3">
      <w:r>
        <w:t xml:space="preserve">Second, </w:t>
      </w:r>
      <w:r w:rsidR="00514B0F">
        <w:t>that infrastructure operators</w:t>
      </w:r>
      <w:r w:rsidR="001B4073">
        <w:t xml:space="preserve"> </w:t>
      </w:r>
      <w:r w:rsidR="000738F0">
        <w:t xml:space="preserve">meeting the proposed criteria for the application of Part 6 (or which would meet the criteria if their charges were not </w:t>
      </w:r>
      <w:r w:rsidR="001B4073">
        <w:t xml:space="preserve">approved or determined </w:t>
      </w:r>
      <w:r w:rsidR="00B371C9">
        <w:t xml:space="preserve">by </w:t>
      </w:r>
      <w:r w:rsidR="000738F0">
        <w:t xml:space="preserve">a single State Agency) </w:t>
      </w:r>
      <w:r w:rsidR="00514B0F">
        <w:t xml:space="preserve">and persons, other than infrastructure operators, determining planning and management charges should be required to publish / send their </w:t>
      </w:r>
      <w:r w:rsidR="00E729DB">
        <w:t>S</w:t>
      </w:r>
      <w:r w:rsidR="00514B0F">
        <w:t xml:space="preserve">chedule of </w:t>
      </w:r>
      <w:r w:rsidR="00E729DB">
        <w:t>C</w:t>
      </w:r>
      <w:r w:rsidR="00514B0F">
        <w:t xml:space="preserve">harges earlier than </w:t>
      </w:r>
      <w:r w:rsidR="000738F0">
        <w:t>other</w:t>
      </w:r>
      <w:r w:rsidR="00514B0F">
        <w:t xml:space="preserve"> infrastructure operators (25 business days in advance, instead of 10). The ACCC also proposed complementary timeframes for approvals / determinations of infrastructure charges under Part 6 (see section 5.6.1).</w:t>
      </w:r>
      <w:r w:rsidR="00514B0F">
        <w:rPr>
          <w:rStyle w:val="FootnoteReference"/>
        </w:rPr>
        <w:footnoteReference w:id="327"/>
      </w:r>
      <w:r w:rsidR="00514B0F">
        <w:t xml:space="preserve"> </w:t>
      </w:r>
    </w:p>
    <w:p w:rsidR="00514B0F" w:rsidRDefault="00514B0F" w:rsidP="00DA5F2B">
      <w:pPr>
        <w:spacing w:before="120" w:after="0"/>
      </w:pPr>
      <w:r>
        <w:t>The ACCC maintains that these amendments will address some of the concerns raised by off-river infrastructure operators in relation to their ability to meet the publication requirements. However, the ACCC acknowledges the following additional issues</w:t>
      </w:r>
      <w:r w:rsidR="001B4073">
        <w:t>, which the rules proposed with the Draft Advice do not address</w:t>
      </w:r>
      <w:r>
        <w:t>.</w:t>
      </w:r>
    </w:p>
    <w:p w:rsidR="00514B0F" w:rsidRDefault="00514B0F" w:rsidP="00A82DE6">
      <w:pPr>
        <w:pStyle w:val="Lvl1Bulletpoint"/>
      </w:pPr>
      <w:r>
        <w:t xml:space="preserve">If the proposed amendments to the application of Part 6 (in rule 23, see section 5.6) are accepted, Basin State regulators will not be bound by the requirements in Part 6 regarding the timeframes for </w:t>
      </w:r>
      <w:r w:rsidR="00C27D0D">
        <w:t xml:space="preserve">charge </w:t>
      </w:r>
      <w:r>
        <w:t>approvals / determinations</w:t>
      </w:r>
      <w:r w:rsidR="001B4073">
        <w:t xml:space="preserve"> (which will assist in facilitating the earlier publication of infrastructure operators’ Schedule of Charges)</w:t>
      </w:r>
      <w:r>
        <w:t xml:space="preserve">. </w:t>
      </w:r>
    </w:p>
    <w:p w:rsidR="00514B0F" w:rsidRDefault="00514B0F" w:rsidP="00A82DE6">
      <w:pPr>
        <w:pStyle w:val="Lvl1Bulletpoint"/>
      </w:pPr>
      <w:r>
        <w:t xml:space="preserve">The proposed amendments do not protect an infrastructure operator </w:t>
      </w:r>
      <w:r w:rsidR="005B4099">
        <w:t xml:space="preserve">or other person </w:t>
      </w:r>
      <w:r>
        <w:t xml:space="preserve">whose charges are approved / determined </w:t>
      </w:r>
      <w:r w:rsidR="00C27D0D">
        <w:t xml:space="preserve">if the timing of </w:t>
      </w:r>
      <w:r>
        <w:t>a regulatory decision relating to the approval / determination of those charges</w:t>
      </w:r>
      <w:r w:rsidR="00C27D0D">
        <w:t xml:space="preserve"> prevents them from being able to meet the required timeframes</w:t>
      </w:r>
      <w:r>
        <w:t>.</w:t>
      </w:r>
      <w:r>
        <w:rPr>
          <w:rStyle w:val="FootnoteReference"/>
        </w:rPr>
        <w:footnoteReference w:id="328"/>
      </w:r>
      <w:r>
        <w:t xml:space="preserve"> </w:t>
      </w:r>
    </w:p>
    <w:p w:rsidR="00FD519B" w:rsidRDefault="00BF20D4" w:rsidP="00A82DE6">
      <w:pPr>
        <w:pStyle w:val="Lvl1Bulletpoint"/>
      </w:pPr>
      <w:r>
        <w:t xml:space="preserve">An infrastructure operator might face difficulties in complying with </w:t>
      </w:r>
      <w:r w:rsidR="00FD519B">
        <w:t xml:space="preserve">the proposed </w:t>
      </w:r>
      <w:r>
        <w:t>pass-through rules (see section 5.13) w</w:t>
      </w:r>
      <w:r w:rsidR="001B4073">
        <w:t xml:space="preserve">hen there are delays </w:t>
      </w:r>
      <w:r w:rsidR="00C27D0D">
        <w:t xml:space="preserve">or other timing issues, </w:t>
      </w:r>
      <w:r w:rsidR="001B4073">
        <w:t xml:space="preserve">such that the Schedule of Charges cannot be sent / published in advance of the date from which an infrastructure operator incurs charges that </w:t>
      </w:r>
      <w:r w:rsidR="00FD519B">
        <w:t xml:space="preserve">it must recover </w:t>
      </w:r>
      <w:r w:rsidR="001B4073">
        <w:t>through infrastructure charges it imposes on its own customers (see section 5.13 for the requirements relating to how an infrastructure operator should</w:t>
      </w:r>
      <w:r>
        <w:t xml:space="preserve"> recover these costs).</w:t>
      </w:r>
    </w:p>
    <w:p w:rsidR="00BF20D4" w:rsidRDefault="00514B0F" w:rsidP="00FD519B">
      <w:pPr>
        <w:spacing w:before="120" w:after="0"/>
      </w:pPr>
      <w:r>
        <w:t xml:space="preserve">Therefore, the ACCC </w:t>
      </w:r>
      <w:r w:rsidR="00FD519B">
        <w:t>proposes</w:t>
      </w:r>
      <w:r>
        <w:t xml:space="preserve"> further, more direct amendments to the water charge rules</w:t>
      </w:r>
      <w:r w:rsidR="00FD519B">
        <w:t xml:space="preserve"> to ensure that </w:t>
      </w:r>
      <w:r>
        <w:t xml:space="preserve">infrastructure operators and other persons </w:t>
      </w:r>
      <w:r w:rsidR="00FD519B">
        <w:t>are</w:t>
      </w:r>
      <w:r>
        <w:t xml:space="preserve"> able to comply with the requirements in the water charge rules relating to:</w:t>
      </w:r>
    </w:p>
    <w:p w:rsidR="00514B0F" w:rsidRPr="005D1BA6" w:rsidRDefault="00514B0F" w:rsidP="00A82DE6">
      <w:pPr>
        <w:pStyle w:val="Lvl1Bulletpoint"/>
      </w:pPr>
      <w:r w:rsidRPr="005D1BA6">
        <w:t xml:space="preserve">the timeframes for publishing / sending their </w:t>
      </w:r>
      <w:r w:rsidR="00E729DB">
        <w:t>S</w:t>
      </w:r>
      <w:r w:rsidRPr="005D1BA6">
        <w:t xml:space="preserve">chedule of </w:t>
      </w:r>
      <w:r w:rsidR="00E729DB">
        <w:t>C</w:t>
      </w:r>
      <w:r w:rsidRPr="005D1BA6">
        <w:t>harges because of a delay in a</w:t>
      </w:r>
      <w:r w:rsidR="00C70AEE" w:rsidRPr="005D1BA6">
        <w:t>n</w:t>
      </w:r>
      <w:r w:rsidRPr="005D1BA6">
        <w:t xml:space="preserve"> approval / determination decision relating to infrastructure</w:t>
      </w:r>
      <w:r w:rsidR="00E30FF5" w:rsidRPr="005D1BA6">
        <w:t xml:space="preserve"> </w:t>
      </w:r>
      <w:r w:rsidRPr="005D1BA6">
        <w:t>charges</w:t>
      </w:r>
      <w:r w:rsidR="005B4099">
        <w:t xml:space="preserve"> or planning and management charges</w:t>
      </w:r>
      <w:r w:rsidRPr="005D1BA6">
        <w:t xml:space="preserve">, which is outside of their control </w:t>
      </w:r>
    </w:p>
    <w:p w:rsidR="00FD519B" w:rsidRDefault="00514B0F" w:rsidP="00A82DE6">
      <w:pPr>
        <w:pStyle w:val="Lvl1Bulletpoint"/>
      </w:pPr>
      <w:r w:rsidRPr="005D1BA6">
        <w:t xml:space="preserve">levying charges that are not </w:t>
      </w:r>
      <w:r w:rsidR="00BF20D4">
        <w:t>specified</w:t>
      </w:r>
      <w:r w:rsidR="00BF20D4" w:rsidRPr="005D1BA6">
        <w:t xml:space="preserve"> </w:t>
      </w:r>
      <w:r w:rsidR="00BF20D4">
        <w:t>i</w:t>
      </w:r>
      <w:r w:rsidRPr="005D1BA6">
        <w:t xml:space="preserve">n </w:t>
      </w:r>
      <w:r w:rsidR="00E7417F" w:rsidRPr="005D1BA6">
        <w:t xml:space="preserve">the </w:t>
      </w:r>
      <w:r w:rsidR="00E729DB">
        <w:t>S</w:t>
      </w:r>
      <w:r w:rsidRPr="005D1BA6">
        <w:t xml:space="preserve">chedule of </w:t>
      </w:r>
      <w:r w:rsidR="00E729DB">
        <w:t>C</w:t>
      </w:r>
      <w:r w:rsidRPr="005D1BA6">
        <w:t>harges</w:t>
      </w:r>
      <w:r w:rsidR="00BF20D4">
        <w:t xml:space="preserve"> currently</w:t>
      </w:r>
      <w:r w:rsidR="00E7417F" w:rsidRPr="005D1BA6">
        <w:t xml:space="preserve"> in effect</w:t>
      </w:r>
      <w:r w:rsidR="000421C6">
        <w:t xml:space="preserve"> </w:t>
      </w:r>
      <w:r w:rsidR="00FD519B">
        <w:t>(</w:t>
      </w:r>
      <w:r w:rsidR="000421C6">
        <w:t>in accordance with rule 7</w:t>
      </w:r>
      <w:r w:rsidR="00FD519B">
        <w:t>)</w:t>
      </w:r>
      <w:r w:rsidR="000421C6">
        <w:t xml:space="preserve"> </w:t>
      </w:r>
    </w:p>
    <w:p w:rsidR="00514B0F" w:rsidRPr="005D1BA6" w:rsidRDefault="000421C6" w:rsidP="00A82DE6">
      <w:pPr>
        <w:pStyle w:val="Lvl1Bulletpoint"/>
      </w:pPr>
      <w:r>
        <w:t xml:space="preserve">the requirements relating to how charges should be levied to cover the costs of infrastructure </w:t>
      </w:r>
      <w:r w:rsidR="00FD519B">
        <w:t xml:space="preserve">charges </w:t>
      </w:r>
      <w:r>
        <w:t>and planning and management charges the operator passes-through to its customers (see section 5.13)</w:t>
      </w:r>
      <w:r w:rsidR="00514B0F" w:rsidRPr="005D1BA6">
        <w:t xml:space="preserve">. </w:t>
      </w:r>
    </w:p>
    <w:p w:rsidR="00957A74" w:rsidRPr="00FC64B5" w:rsidRDefault="00EB1B89" w:rsidP="00FC64B5">
      <w:pPr>
        <w:pStyle w:val="Heading6"/>
      </w:pPr>
      <w:r w:rsidRPr="00FC64B5">
        <w:t xml:space="preserve">Exemption </w:t>
      </w:r>
      <w:r w:rsidR="00EB78F8" w:rsidRPr="00FC64B5">
        <w:t>due to the timing of a charge approval / determination</w:t>
      </w:r>
    </w:p>
    <w:p w:rsidR="002E231D" w:rsidRDefault="00514B0F" w:rsidP="00DA5F2B">
      <w:pPr>
        <w:spacing w:before="120" w:after="0"/>
      </w:pPr>
      <w:r w:rsidRPr="0038590A">
        <w:t>Th</w:t>
      </w:r>
      <w:r w:rsidR="00DC01C4">
        <w:t>e ACCC</w:t>
      </w:r>
      <w:r>
        <w:t xml:space="preserve"> </w:t>
      </w:r>
      <w:r w:rsidR="00924AF0">
        <w:t>proposes</w:t>
      </w:r>
      <w:r>
        <w:t xml:space="preserve"> that the rules should provide an exemption</w:t>
      </w:r>
      <w:r w:rsidR="00924AF0">
        <w:t xml:space="preserve"> from the requirements</w:t>
      </w:r>
      <w:r w:rsidR="002E231D">
        <w:t xml:space="preserve"> to give / publish a Schedule of Charges in advance of the Schedule coming into effect</w:t>
      </w:r>
      <w:r w:rsidR="00635EDB">
        <w:t xml:space="preserve"> where</w:t>
      </w:r>
      <w:r>
        <w:t xml:space="preserve"> a</w:t>
      </w:r>
      <w:r w:rsidR="00635EDB">
        <w:t xml:space="preserve"> person (including a</w:t>
      </w:r>
      <w:r>
        <w:t xml:space="preserve">n infrastructure operator </w:t>
      </w:r>
      <w:r w:rsidR="00635EDB">
        <w:t xml:space="preserve">or another person who determines planning and management charges) is </w:t>
      </w:r>
      <w:r>
        <w:t xml:space="preserve">required to have charges </w:t>
      </w:r>
      <w:r w:rsidR="00EB78F8">
        <w:t xml:space="preserve">contained in their Schedule </w:t>
      </w:r>
      <w:r>
        <w:t>approved or determined by the ACCC or State</w:t>
      </w:r>
      <w:r w:rsidR="00B61EDB">
        <w:t xml:space="preserve"> Agency</w:t>
      </w:r>
      <w:r w:rsidR="00CC2199">
        <w:t>,</w:t>
      </w:r>
      <w:r>
        <w:t xml:space="preserve"> </w:t>
      </w:r>
      <w:r w:rsidR="00635EDB">
        <w:t xml:space="preserve">and </w:t>
      </w:r>
      <w:r>
        <w:t>the</w:t>
      </w:r>
      <w:r w:rsidR="00FD519B">
        <w:t xml:space="preserve"> timing of</w:t>
      </w:r>
      <w:r>
        <w:t xml:space="preserve"> the approval / determination</w:t>
      </w:r>
      <w:r w:rsidR="002E231D">
        <w:t xml:space="preserve"> decision</w:t>
      </w:r>
      <w:r w:rsidR="00FD519B">
        <w:t xml:space="preserve"> prevents the timeframes being met</w:t>
      </w:r>
      <w:r w:rsidR="00635EDB">
        <w:t xml:space="preserve">. </w:t>
      </w:r>
      <w:r w:rsidR="00FD519B">
        <w:t>T</w:t>
      </w:r>
      <w:r w:rsidR="00635EDB">
        <w:t xml:space="preserve">he rules should allow the person </w:t>
      </w:r>
      <w:r w:rsidR="00924AF0">
        <w:t xml:space="preserve">to </w:t>
      </w:r>
      <w:r w:rsidR="00635EDB">
        <w:t xml:space="preserve">instead </w:t>
      </w:r>
      <w:r w:rsidR="002E231D">
        <w:t xml:space="preserve">give / </w:t>
      </w:r>
      <w:r>
        <w:t xml:space="preserve">publish a </w:t>
      </w:r>
      <w:r w:rsidR="00E729DB">
        <w:t>S</w:t>
      </w:r>
      <w:r>
        <w:t xml:space="preserve">chedule of </w:t>
      </w:r>
      <w:r w:rsidR="00E729DB">
        <w:t>C</w:t>
      </w:r>
      <w:r>
        <w:t>harges as soon as p</w:t>
      </w:r>
      <w:r w:rsidR="002E231D">
        <w:t>racticable</w:t>
      </w:r>
      <w:r>
        <w:t xml:space="preserve"> after the </w:t>
      </w:r>
      <w:r w:rsidR="00FD519B">
        <w:t xml:space="preserve">ACCC or State Agency </w:t>
      </w:r>
      <w:r>
        <w:t xml:space="preserve">publishes its final decision. </w:t>
      </w:r>
    </w:p>
    <w:p w:rsidR="00C27D0D" w:rsidRDefault="002E231D" w:rsidP="00DA5F2B">
      <w:pPr>
        <w:spacing w:before="120" w:after="0"/>
      </w:pPr>
      <w:r>
        <w:t>In accordance with these amendments, the ACCC considers that t</w:t>
      </w:r>
      <w:r w:rsidR="00514B0F">
        <w:t xml:space="preserve">he rules should also allow the adopted </w:t>
      </w:r>
      <w:r w:rsidR="00E729DB">
        <w:t>S</w:t>
      </w:r>
      <w:r w:rsidR="00514B0F">
        <w:t xml:space="preserve">chedule of </w:t>
      </w:r>
      <w:r w:rsidR="00E729DB">
        <w:t>C</w:t>
      </w:r>
      <w:r w:rsidR="00514B0F">
        <w:t xml:space="preserve">harges to take effect from the date specified in the regulatory decision. </w:t>
      </w:r>
      <w:r>
        <w:t xml:space="preserve">The ACCC notes that to the extent that </w:t>
      </w:r>
      <w:r w:rsidR="00FD519B">
        <w:t>the timing of</w:t>
      </w:r>
      <w:r>
        <w:t xml:space="preserve"> the regulatory decision means that the operator cannot adopt a Schedule of Charges before the date on which the Schedule will take effect, this will mean that the charges can apply retrospectively to the extent necessary to comply with the regulatory decision. </w:t>
      </w:r>
    </w:p>
    <w:p w:rsidR="00A22663" w:rsidRDefault="00A22663" w:rsidP="00DA5F2B">
      <w:pPr>
        <w:spacing w:before="120" w:after="0"/>
      </w:pPr>
      <w:r>
        <w:t>Therefore, t</w:t>
      </w:r>
      <w:r w:rsidR="002E231D">
        <w:t xml:space="preserve">he ACCC has proposed </w:t>
      </w:r>
      <w:r>
        <w:t xml:space="preserve">complementary </w:t>
      </w:r>
      <w:r w:rsidR="002E231D">
        <w:t xml:space="preserve">amendments to rule 7 (the conditions under which a person can levy an infrastructure charge or planning and management charge) to </w:t>
      </w:r>
      <w:r>
        <w:t xml:space="preserve">ensure that </w:t>
      </w:r>
      <w:r w:rsidR="002E231D">
        <w:t xml:space="preserve">a person will not be prevented from levying a charge </w:t>
      </w:r>
      <w:r>
        <w:t xml:space="preserve">from the date specified in the regulatory decision despite the charge not being listed on the Schedule of Charges at the time an infrastructure service is provided </w:t>
      </w:r>
      <w:r w:rsidR="00C27D0D">
        <w:t xml:space="preserve">(for infrastructure charges) </w:t>
      </w:r>
      <w:r>
        <w:t xml:space="preserve">or the circumstances for incurring the charge </w:t>
      </w:r>
      <w:r w:rsidR="00C27D0D">
        <w:t xml:space="preserve">(for planning and management charges) </w:t>
      </w:r>
      <w:r>
        <w:t xml:space="preserve">are met. </w:t>
      </w:r>
    </w:p>
    <w:p w:rsidR="00DA05B8" w:rsidRDefault="00C27D0D" w:rsidP="00DA5F2B">
      <w:pPr>
        <w:spacing w:before="120" w:after="0"/>
      </w:pPr>
      <w:r>
        <w:t>T</w:t>
      </w:r>
      <w:r w:rsidR="00DA05B8">
        <w:t>he ACCC will provide detailed guidance material to assist operators to comply with these requirements</w:t>
      </w:r>
      <w:r>
        <w:t xml:space="preserve"> if these proposed amendments are made</w:t>
      </w:r>
      <w:r w:rsidR="00DA05B8">
        <w:t xml:space="preserve">. </w:t>
      </w:r>
    </w:p>
    <w:p w:rsidR="001C2122" w:rsidRDefault="001C2122" w:rsidP="00C27D0D">
      <w:pPr>
        <w:spacing w:before="120" w:after="0"/>
      </w:pPr>
      <w:r>
        <w:t xml:space="preserve">The ACCC considers that outside of </w:t>
      </w:r>
      <w:r w:rsidR="00C27D0D">
        <w:t xml:space="preserve">issues arising from the timing of </w:t>
      </w:r>
      <w:r>
        <w:t xml:space="preserve">a </w:t>
      </w:r>
      <w:r w:rsidR="00C27D0D">
        <w:t>charge</w:t>
      </w:r>
      <w:r>
        <w:t xml:space="preserve"> approval / determination, infrastructure operators should continue to publish / send their Schedule of Charges to all customers in advance and within the timeframes specified in the Draft Advice. </w:t>
      </w:r>
    </w:p>
    <w:p w:rsidR="00444771" w:rsidRDefault="001C2122" w:rsidP="00C27D0D">
      <w:pPr>
        <w:spacing w:before="120" w:after="0"/>
      </w:pPr>
      <w:r>
        <w:t xml:space="preserve">In particular, the ACCC acknowledges concerns from infrastructure operators whose charges must be approved or determined by the ACCC or a State Agency about meeting the 25 business day publication requirement proposed in the Draft Advice. However, the ACCC considers it is possible for infrastructure operators to complete administrative processes for adopting a Schedule of Charges following a price approval / determination decision within a shorter timeframe than those set out in submissions. </w:t>
      </w:r>
    </w:p>
    <w:p w:rsidR="00957A74" w:rsidRPr="00FC64B5" w:rsidRDefault="00EB1B89" w:rsidP="00FC64B5">
      <w:pPr>
        <w:pStyle w:val="Heading6"/>
      </w:pPr>
      <w:r w:rsidRPr="00FC64B5">
        <w:t xml:space="preserve">Exemption </w:t>
      </w:r>
      <w:r w:rsidR="00DC4DC8" w:rsidRPr="00FC64B5">
        <w:t xml:space="preserve">for charges levied consistently with </w:t>
      </w:r>
      <w:r w:rsidR="00957A74" w:rsidRPr="00FC64B5">
        <w:t xml:space="preserve">proposed </w:t>
      </w:r>
      <w:r w:rsidR="00D04356" w:rsidRPr="00FC64B5">
        <w:t xml:space="preserve">pass-through </w:t>
      </w:r>
      <w:r w:rsidR="00957A74" w:rsidRPr="00FC64B5">
        <w:t xml:space="preserve">rule </w:t>
      </w:r>
      <w:r w:rsidR="00D04356" w:rsidRPr="00FC64B5">
        <w:t xml:space="preserve">(rule </w:t>
      </w:r>
      <w:r w:rsidR="00957A74" w:rsidRPr="00FC64B5">
        <w:t>9A</w:t>
      </w:r>
      <w:r w:rsidR="00D04356" w:rsidRPr="00FC64B5">
        <w:t>)</w:t>
      </w:r>
    </w:p>
    <w:p w:rsidR="00DC4DC8" w:rsidRDefault="00FD006D" w:rsidP="00DA5F2B">
      <w:pPr>
        <w:spacing w:before="120" w:after="0"/>
      </w:pPr>
      <w:r>
        <w:t>T</w:t>
      </w:r>
      <w:r w:rsidR="009D1FAD">
        <w:t xml:space="preserve">he ACCC recognises that delays in the </w:t>
      </w:r>
      <w:r>
        <w:t xml:space="preserve">approval </w:t>
      </w:r>
      <w:r w:rsidR="00444771">
        <w:t>or</w:t>
      </w:r>
      <w:r>
        <w:t xml:space="preserve"> </w:t>
      </w:r>
      <w:r w:rsidR="009D1FAD">
        <w:t>determination of infrastructure charges or planning and management charges are particularly problematic for other infrastructure operators that incur these charges, and will be required under the proposed water charge rule</w:t>
      </w:r>
      <w:r w:rsidR="009A6814">
        <w:t xml:space="preserve"> 9A</w:t>
      </w:r>
      <w:r w:rsidR="009D1FAD">
        <w:t xml:space="preserve"> to pass through these costs to their customers (see section 5.13). </w:t>
      </w:r>
      <w:r w:rsidR="00DC4DC8">
        <w:t xml:space="preserve">More generally, the ACCC considers that an operator should not be required to </w:t>
      </w:r>
      <w:r w:rsidR="00DC4DC8" w:rsidRPr="00DC4DC8">
        <w:rPr>
          <w:i/>
        </w:rPr>
        <w:t>immediately</w:t>
      </w:r>
      <w:r w:rsidR="00DC4DC8">
        <w:t xml:space="preserve"> update and send their Schedule of Charges when the infrastructure charges or planning and management charges it incurs are amended. </w:t>
      </w:r>
    </w:p>
    <w:p w:rsidR="008765EA" w:rsidRDefault="009A6814" w:rsidP="00DA5F2B">
      <w:pPr>
        <w:spacing w:before="120" w:after="0"/>
      </w:pPr>
      <w:r>
        <w:t>In such cases, t</w:t>
      </w:r>
      <w:r w:rsidR="00514B0F">
        <w:t xml:space="preserve">he ACCC considers that </w:t>
      </w:r>
      <w:r w:rsidR="00B61EDB">
        <w:t xml:space="preserve">the </w:t>
      </w:r>
      <w:r w:rsidR="00032A35">
        <w:t xml:space="preserve">rules should </w:t>
      </w:r>
      <w:r w:rsidR="00DC4DC8">
        <w:t>enable</w:t>
      </w:r>
      <w:r w:rsidR="008765EA">
        <w:t xml:space="preserve"> infrastructure operators </w:t>
      </w:r>
      <w:r w:rsidR="00F34F2C">
        <w:t xml:space="preserve">to comply with the proposed 9A rules </w:t>
      </w:r>
      <w:r w:rsidR="00DC4DC8">
        <w:t>without</w:t>
      </w:r>
      <w:r w:rsidR="008765EA">
        <w:t xml:space="preserve"> incur</w:t>
      </w:r>
      <w:r w:rsidR="00DC4DC8">
        <w:t>ring</w:t>
      </w:r>
      <w:r w:rsidR="008765EA">
        <w:t xml:space="preserve"> </w:t>
      </w:r>
      <w:r w:rsidR="00DC4DC8">
        <w:t xml:space="preserve">undue additional costs for </w:t>
      </w:r>
      <w:r w:rsidR="00F34F2C">
        <w:t>sending / publishing a Schedule of Charges</w:t>
      </w:r>
      <w:r w:rsidR="00482237">
        <w:t xml:space="preserve">. </w:t>
      </w:r>
      <w:r w:rsidR="00F34F2C">
        <w:t>The ACCC recognises that s</w:t>
      </w:r>
      <w:r w:rsidR="00482237">
        <w:t>ome examples of the costs an infrastructure operator might incur, which might not be</w:t>
      </w:r>
      <w:r w:rsidR="00F34F2C">
        <w:t xml:space="preserve"> fully</w:t>
      </w:r>
      <w:r w:rsidR="00482237">
        <w:t xml:space="preserve"> addressed by the rules proposed in the Draft Advice:</w:t>
      </w:r>
      <w:r w:rsidR="008765EA">
        <w:t xml:space="preserve"> </w:t>
      </w:r>
    </w:p>
    <w:p w:rsidR="00032A35" w:rsidRDefault="008765EA" w:rsidP="00F43856">
      <w:pPr>
        <w:pStyle w:val="ListParagraph"/>
        <w:numPr>
          <w:ilvl w:val="0"/>
          <w:numId w:val="92"/>
        </w:numPr>
        <w:spacing w:before="120" w:after="0"/>
      </w:pPr>
      <w:r>
        <w:t xml:space="preserve">sending multiple Schedules of Charges within a short time period when the operator is only </w:t>
      </w:r>
      <w:r w:rsidR="00530A46">
        <w:t>adopting</w:t>
      </w:r>
      <w:r>
        <w:t xml:space="preserve"> </w:t>
      </w:r>
      <w:r w:rsidR="00530A46">
        <w:t>new</w:t>
      </w:r>
      <w:r>
        <w:t xml:space="preserve"> Schedule</w:t>
      </w:r>
      <w:r w:rsidR="00530A46">
        <w:t>s</w:t>
      </w:r>
      <w:r>
        <w:t xml:space="preserve"> of Charges to update those charges that it is passing through to its customers consistently with rule 9A</w:t>
      </w:r>
    </w:p>
    <w:p w:rsidR="008765EA" w:rsidRDefault="008765EA" w:rsidP="00F43856">
      <w:pPr>
        <w:pStyle w:val="ListParagraph"/>
        <w:numPr>
          <w:ilvl w:val="0"/>
          <w:numId w:val="92"/>
        </w:numPr>
        <w:spacing w:before="120" w:after="0"/>
      </w:pPr>
      <w:r>
        <w:t>forgoing revenue by</w:t>
      </w:r>
      <w:r w:rsidR="00530A46">
        <w:t xml:space="preserve"> </w:t>
      </w:r>
      <w:r>
        <w:t>being prevented from levying the charges it is passing through consistently with rule 9A, from the same date that the operator itself incurs</w:t>
      </w:r>
      <w:r w:rsidR="00BE6350">
        <w:t xml:space="preserve"> those charges</w:t>
      </w:r>
      <w:r>
        <w:t xml:space="preserve"> (because the rules would require an operator to send their Schedule of Charges at least 10 business days before those charges could take effect).</w:t>
      </w:r>
    </w:p>
    <w:p w:rsidR="00BB7D00" w:rsidRDefault="008765EA" w:rsidP="00DA5F2B">
      <w:pPr>
        <w:spacing w:before="120" w:after="0"/>
      </w:pPr>
      <w:r>
        <w:t>The ACCC</w:t>
      </w:r>
      <w:r w:rsidR="00482237">
        <w:t>’s Final Advice</w:t>
      </w:r>
      <w:r>
        <w:t xml:space="preserve"> therefore proposes </w:t>
      </w:r>
      <w:r w:rsidR="00482237">
        <w:t>t</w:t>
      </w:r>
      <w:r w:rsidR="00987D20">
        <w:t>wo</w:t>
      </w:r>
      <w:r w:rsidR="00482237">
        <w:t xml:space="preserve"> further amendments</w:t>
      </w:r>
      <w:r w:rsidR="00F34F2C">
        <w:t xml:space="preserve"> from the Draft Advice</w:t>
      </w:r>
      <w:r w:rsidR="00530A46">
        <w:t xml:space="preserve"> to address these issues</w:t>
      </w:r>
      <w:r w:rsidR="00482237">
        <w:t xml:space="preserve"> while still maintaining the principle that a customer should be informed in advance about changes to the charges that the infrastructure operator </w:t>
      </w:r>
      <w:r w:rsidR="00530A46">
        <w:t>levies</w:t>
      </w:r>
      <w:r w:rsidR="00482237">
        <w:t>.</w:t>
      </w:r>
      <w:r w:rsidR="00BB7D00">
        <w:t xml:space="preserve"> </w:t>
      </w:r>
    </w:p>
    <w:p w:rsidR="0067223D" w:rsidRDefault="00482237" w:rsidP="0067223D">
      <w:pPr>
        <w:spacing w:before="120" w:after="0"/>
      </w:pPr>
      <w:r>
        <w:t xml:space="preserve">First, </w:t>
      </w:r>
      <w:r w:rsidR="00F34F2C">
        <w:t xml:space="preserve">the ACCC proposes that </w:t>
      </w:r>
      <w:r w:rsidR="00514B0F">
        <w:t xml:space="preserve">an infrastructure operator should be able to </w:t>
      </w:r>
      <w:r w:rsidR="00F34F2C" w:rsidRPr="00F34F2C">
        <w:t>adopt a new</w:t>
      </w:r>
      <w:r w:rsidR="00F34F2C">
        <w:rPr>
          <w:i/>
        </w:rPr>
        <w:t xml:space="preserve"> </w:t>
      </w:r>
      <w:r w:rsidR="00E729DB">
        <w:t>S</w:t>
      </w:r>
      <w:r w:rsidR="00514B0F">
        <w:t xml:space="preserve">chedule of </w:t>
      </w:r>
      <w:r w:rsidR="00E729DB">
        <w:t>C</w:t>
      </w:r>
      <w:r w:rsidR="00514B0F">
        <w:t xml:space="preserve">harges </w:t>
      </w:r>
      <w:r w:rsidR="00E11DB8">
        <w:t xml:space="preserve">which differs from the previous Schedule only </w:t>
      </w:r>
      <w:r>
        <w:t xml:space="preserve">in relation to infrastructure charges that it levies </w:t>
      </w:r>
      <w:r w:rsidR="00E11DB8">
        <w:t xml:space="preserve">under proposed </w:t>
      </w:r>
      <w:r>
        <w:t>rule 9A</w:t>
      </w:r>
      <w:r w:rsidR="00E11DB8">
        <w:t xml:space="preserve"> regarding pass-throughs</w:t>
      </w:r>
      <w:r>
        <w:t xml:space="preserve"> </w:t>
      </w:r>
      <w:r w:rsidR="00514B0F">
        <w:t xml:space="preserve">without triggering the obligation to </w:t>
      </w:r>
      <w:r w:rsidR="00514B0F">
        <w:rPr>
          <w:i/>
        </w:rPr>
        <w:t xml:space="preserve">send </w:t>
      </w:r>
      <w:r w:rsidR="00514B0F">
        <w:t xml:space="preserve">the updated </w:t>
      </w:r>
      <w:r w:rsidR="00E729DB">
        <w:t>S</w:t>
      </w:r>
      <w:r w:rsidR="00514B0F">
        <w:t xml:space="preserve">chedule to customers prior to those charges coming into effect. </w:t>
      </w:r>
      <w:r w:rsidR="0067223D">
        <w:t>Instead, the operator should:</w:t>
      </w:r>
    </w:p>
    <w:p w:rsidR="0067223D" w:rsidRDefault="0067223D" w:rsidP="00A82DE6">
      <w:pPr>
        <w:pStyle w:val="Lvl1Bulletpoint"/>
      </w:pPr>
      <w:r>
        <w:t xml:space="preserve">publish their updated Schedule of Charges on their website (if they have one) as soon as </w:t>
      </w:r>
      <w:r w:rsidR="00D04356">
        <w:t xml:space="preserve">practicable </w:t>
      </w:r>
      <w:r>
        <w:t>after the update</w:t>
      </w:r>
    </w:p>
    <w:p w:rsidR="0067223D" w:rsidRDefault="0067223D" w:rsidP="00A82DE6">
      <w:pPr>
        <w:pStyle w:val="Lvl1Bulletpoint"/>
      </w:pPr>
      <w:r>
        <w:t>make the updated Schedule of Charges available on request</w:t>
      </w:r>
    </w:p>
    <w:p w:rsidR="0067223D" w:rsidRDefault="0067223D" w:rsidP="00A82DE6">
      <w:pPr>
        <w:pStyle w:val="Lvl1Bulletpoint"/>
      </w:pPr>
      <w:r>
        <w:t xml:space="preserve">send the updated Schedule of Charges, or a notice regarding the details of the update, when it next invoices customers. </w:t>
      </w:r>
    </w:p>
    <w:p w:rsidR="00824B33" w:rsidRDefault="00271412" w:rsidP="00482237">
      <w:r>
        <w:t>Second</w:t>
      </w:r>
      <w:r w:rsidR="00482237">
        <w:t>,</w:t>
      </w:r>
      <w:r w:rsidR="004F6BD0">
        <w:t xml:space="preserve"> </w:t>
      </w:r>
      <w:r>
        <w:t xml:space="preserve">the ACCC considers that </w:t>
      </w:r>
      <w:r w:rsidR="00482237">
        <w:t>t</w:t>
      </w:r>
      <w:r w:rsidR="00514B0F">
        <w:t>he rules should also allow the operator’s charges</w:t>
      </w:r>
      <w:r w:rsidR="0067223D">
        <w:t xml:space="preserve"> that it levies consistently with proposed rule 9A</w:t>
      </w:r>
      <w:r w:rsidR="00514B0F">
        <w:t xml:space="preserve"> to commence from the same date that the infrastructure charge or planning and management charge incurred by the operator commences</w:t>
      </w:r>
      <w:r w:rsidR="00824B33">
        <w:t>. The ACCC notes proposed amendments set out in section 5.13 will allow infrastructure operators up to three months to adopt a new Schedule of Charges when there are changes to the infrastructure charges and planning and management charges it incurs and is required to pass-through to its customers.</w:t>
      </w:r>
    </w:p>
    <w:p w:rsidR="00BB559F" w:rsidRDefault="00824B33" w:rsidP="00482237">
      <w:r>
        <w:t xml:space="preserve">Taken together, this will mean the operator’s charges levied to comply with proposed rule 9A may commence on a date earlier than the date the new </w:t>
      </w:r>
      <w:r w:rsidR="00E729DB">
        <w:t>S</w:t>
      </w:r>
      <w:r w:rsidR="00514B0F">
        <w:t xml:space="preserve">chedule of </w:t>
      </w:r>
      <w:r w:rsidR="00E729DB">
        <w:t>C</w:t>
      </w:r>
      <w:r w:rsidR="00514B0F">
        <w:t xml:space="preserve">harges is </w:t>
      </w:r>
      <w:r w:rsidR="0067223D">
        <w:t>adopted</w:t>
      </w:r>
      <w:r>
        <w:t xml:space="preserve"> (but not earlier than the date the new charges incurred by the operator commenced)</w:t>
      </w:r>
      <w:r w:rsidR="0067223D">
        <w:t xml:space="preserve">. </w:t>
      </w:r>
    </w:p>
    <w:p w:rsidR="001C2122" w:rsidRDefault="00E00A58" w:rsidP="001C2122">
      <w:r>
        <w:t xml:space="preserve">If the </w:t>
      </w:r>
      <w:r w:rsidR="00E11DB8">
        <w:t>proposed rule amendments are adopted</w:t>
      </w:r>
      <w:r>
        <w:t xml:space="preserve">, the ACCC will provide guidance to </w:t>
      </w:r>
      <w:r w:rsidR="00BB559F">
        <w:t xml:space="preserve">operators to </w:t>
      </w:r>
      <w:r>
        <w:t xml:space="preserve">assist </w:t>
      </w:r>
      <w:r w:rsidR="00BB559F">
        <w:t>them</w:t>
      </w:r>
      <w:r>
        <w:t xml:space="preserve"> </w:t>
      </w:r>
      <w:r w:rsidR="00824B33">
        <w:t xml:space="preserve">to </w:t>
      </w:r>
      <w:r>
        <w:t xml:space="preserve">comply with these requirements. </w:t>
      </w:r>
    </w:p>
    <w:p w:rsidR="001C2122" w:rsidRPr="00FC64B5" w:rsidRDefault="001C2122" w:rsidP="00FC64B5">
      <w:pPr>
        <w:pStyle w:val="Heading6"/>
      </w:pPr>
      <w:r w:rsidRPr="00FC64B5">
        <w:t>Summary</w:t>
      </w:r>
      <w:r w:rsidR="00D04356" w:rsidRPr="00FC64B5">
        <w:t>—</w:t>
      </w:r>
      <w:r w:rsidR="00E11DB8" w:rsidRPr="00FC64B5">
        <w:t>timeframes for publishing / sending a Schedule of Charges</w:t>
      </w:r>
    </w:p>
    <w:p w:rsidR="00242467" w:rsidRDefault="00514B0F" w:rsidP="00E11DB8">
      <w:r>
        <w:t>In summary, the ACCC’s Final Advice</w:t>
      </w:r>
      <w:r w:rsidR="00412AEC">
        <w:t xml:space="preserve"> in relation to the timing of publication</w:t>
      </w:r>
      <w:r>
        <w:t xml:space="preserve"> is to maintain the </w:t>
      </w:r>
      <w:r w:rsidR="00B61EDB">
        <w:t>intent of</w:t>
      </w:r>
      <w:r>
        <w:t xml:space="preserve"> the Draft Advice </w:t>
      </w:r>
      <w:r w:rsidR="00B61EDB">
        <w:t xml:space="preserve">to </w:t>
      </w:r>
      <w:r>
        <w:t>reduc</w:t>
      </w:r>
      <w:r w:rsidR="00B61EDB">
        <w:t>e</w:t>
      </w:r>
      <w:r>
        <w:t xml:space="preserve"> the regulatory costs associated with sending or updating the </w:t>
      </w:r>
      <w:r w:rsidR="00E729DB">
        <w:t>S</w:t>
      </w:r>
      <w:r>
        <w:t xml:space="preserve">chedule of </w:t>
      </w:r>
      <w:r w:rsidR="00E729DB">
        <w:t>C</w:t>
      </w:r>
      <w:r>
        <w:t>harges</w:t>
      </w:r>
      <w:r w:rsidR="00B61EDB">
        <w:t xml:space="preserve">. However, the ACCC </w:t>
      </w:r>
      <w:r w:rsidR="00E11DB8">
        <w:t xml:space="preserve">has updated its rules advice to address situations where the timing of a charge approval or determination by a regulator would make it difficult or impossible for an operator to meet the timeframes proposed. </w:t>
      </w:r>
    </w:p>
    <w:p w:rsidR="00DE54B0" w:rsidRDefault="00DE54B0" w:rsidP="00DE54B0">
      <w:r>
        <w:t xml:space="preserve">The ACCC considers that these amendments strike an appropriate balance between providing greater flexibility to infrastructure operators (and therefore reducing their regulatory costs) while still ensuring that there is an adequate </w:t>
      </w:r>
      <w:r w:rsidR="007673C9">
        <w:t>level</w:t>
      </w:r>
      <w:r>
        <w:t xml:space="preserve"> of transparency for customers. </w:t>
      </w:r>
    </w:p>
    <w:p w:rsidR="00514B0F" w:rsidRPr="00DD5DE6" w:rsidRDefault="00514B0F" w:rsidP="00E439B4">
      <w:pPr>
        <w:pStyle w:val="Heading5"/>
      </w:pPr>
      <w:r w:rsidRPr="00DD5DE6">
        <w:t>Place of publication</w:t>
      </w:r>
    </w:p>
    <w:p w:rsidR="00514B0F" w:rsidRDefault="00514B0F" w:rsidP="00514B0F">
      <w:r>
        <w:t xml:space="preserve">The ACCC </w:t>
      </w:r>
      <w:r w:rsidR="008B121E">
        <w:t xml:space="preserve">continues to support the policy position that the Schedule of Charges should be </w:t>
      </w:r>
      <w:r w:rsidR="00E11DB8">
        <w:t>given</w:t>
      </w:r>
      <w:r w:rsidR="008B121E">
        <w:t xml:space="preserve"> to all customers</w:t>
      </w:r>
      <w:r w:rsidR="00E11DB8">
        <w:t>,</w:t>
      </w:r>
      <w:r w:rsidR="008B121E">
        <w:t xml:space="preserve"> rather than moving to publication</w:t>
      </w:r>
      <w:r w:rsidR="00A66956">
        <w:t xml:space="preserve"> on the operator’s website only</w:t>
      </w:r>
      <w:r w:rsidR="008B121E">
        <w:t xml:space="preserve">. </w:t>
      </w:r>
      <w:r>
        <w:t xml:space="preserve">Website only publication increases the possibility that customers will not become aware of changes to the </w:t>
      </w:r>
      <w:r w:rsidR="00E729DB">
        <w:t>S</w:t>
      </w:r>
      <w:r>
        <w:t xml:space="preserve">chedule of </w:t>
      </w:r>
      <w:r w:rsidR="00E729DB">
        <w:t>C</w:t>
      </w:r>
      <w:r>
        <w:t xml:space="preserve">harges until after those new charges come into effect and in some cases, customers may not find out that their charges have changed until they receive an invoice that reflects those changes. In particular, </w:t>
      </w:r>
      <w:r w:rsidR="008B121E">
        <w:t xml:space="preserve">the ACCC is concerned that </w:t>
      </w:r>
      <w:r>
        <w:t xml:space="preserve">website only publication </w:t>
      </w:r>
      <w:r w:rsidR="008B121E">
        <w:t>will</w:t>
      </w:r>
      <w:r>
        <w:t xml:space="preserve"> </w:t>
      </w:r>
      <w:r w:rsidR="001A6EF6">
        <w:t xml:space="preserve">be </w:t>
      </w:r>
      <w:r>
        <w:t xml:space="preserve">most likely to disadvantage customers without internet access. </w:t>
      </w:r>
    </w:p>
    <w:p w:rsidR="00514B0F" w:rsidRDefault="00514B0F" w:rsidP="00316D3E">
      <w:pPr>
        <w:pStyle w:val="Tabletitle"/>
      </w:pPr>
      <w:r>
        <w:t xml:space="preserve">Box </w:t>
      </w:r>
      <w:r w:rsidR="00326F95">
        <w:t>5.3</w:t>
      </w:r>
      <w:r>
        <w:t>: Publication requirements (timing and place of publication) in other regulated industries</w:t>
      </w:r>
    </w:p>
    <w:tbl>
      <w:tblPr>
        <w:tblStyle w:val="TableGrid"/>
        <w:tblW w:w="9283" w:type="dxa"/>
        <w:tblLook w:val="04A0" w:firstRow="1" w:lastRow="0" w:firstColumn="1" w:lastColumn="0" w:noHBand="0" w:noVBand="1"/>
      </w:tblPr>
      <w:tblGrid>
        <w:gridCol w:w="9283"/>
      </w:tblGrid>
      <w:tr w:rsidR="00DD6D0B" w:rsidTr="00F82FD9">
        <w:trPr>
          <w:trHeight w:val="3005"/>
        </w:trPr>
        <w:tc>
          <w:tcPr>
            <w:tcW w:w="9283" w:type="dxa"/>
            <w:shd w:val="clear" w:color="auto" w:fill="D9D9D9" w:themeFill="background1" w:themeFillShade="D9"/>
          </w:tcPr>
          <w:p w:rsidR="00DD6D0B" w:rsidRDefault="00DD6D0B" w:rsidP="00DD6D0B">
            <w:pPr>
              <w:pStyle w:val="tabletext"/>
            </w:pPr>
            <w:r>
              <w:t>Table</w:t>
            </w:r>
            <w:r w:rsidR="001C247F">
              <w:t xml:space="preserve"> 5.4</w:t>
            </w:r>
            <w:r>
              <w:t xml:space="preserve"> below summarises the publication requirements in some other regulated industries where there are long-term contractual relationships between the business and the customer. A common theme in all publication requirements is that the </w:t>
            </w:r>
            <w:r w:rsidR="00E729DB">
              <w:t>S</w:t>
            </w:r>
            <w:r>
              <w:t xml:space="preserve">chedule of </w:t>
            </w:r>
            <w:r w:rsidR="00E729DB">
              <w:t>C</w:t>
            </w:r>
            <w:r>
              <w:t>harges must be published on the business’ website and provided to customers on request. However, there are also a number of differences between the requirements in these industries, which provide a range of other protections to customers to ensure they are informed about charges and variations to charges including:</w:t>
            </w:r>
          </w:p>
          <w:p w:rsidR="00DD6D0B" w:rsidRDefault="00DD6D0B" w:rsidP="00DD6D0B">
            <w:pPr>
              <w:pStyle w:val="tabletextindentbullet"/>
            </w:pPr>
            <w:r>
              <w:t xml:space="preserve">customers must be notified of variations to the </w:t>
            </w:r>
            <w:r w:rsidR="00E729DB">
              <w:t>S</w:t>
            </w:r>
            <w:r>
              <w:t xml:space="preserve">chedule of </w:t>
            </w:r>
            <w:r w:rsidR="00E729DB">
              <w:t>C</w:t>
            </w:r>
            <w:r>
              <w:t xml:space="preserve">harges with the next bill and / or via newspaper notices. </w:t>
            </w:r>
          </w:p>
          <w:p w:rsidR="00DD6D0B" w:rsidRDefault="00DD6D0B" w:rsidP="00DD6D0B">
            <w:pPr>
              <w:pStyle w:val="tabletextindentbullet"/>
            </w:pPr>
            <w:r>
              <w:t xml:space="preserve">limitations on the frequency with which charges can be varied and the amount of notice that is required before a new </w:t>
            </w:r>
            <w:r w:rsidR="00E729DB">
              <w:t>S</w:t>
            </w:r>
            <w:r>
              <w:t xml:space="preserve">chedule of </w:t>
            </w:r>
            <w:r w:rsidR="00E729DB">
              <w:t>C</w:t>
            </w:r>
            <w:r>
              <w:t>harges can take effect.</w:t>
            </w:r>
          </w:p>
          <w:p w:rsidR="00DD6D0B" w:rsidRDefault="00DD6D0B" w:rsidP="00DD6D0B">
            <w:pPr>
              <w:pStyle w:val="tabletextindentbullet"/>
            </w:pPr>
            <w:r>
              <w:t xml:space="preserve">options for customers to choose to have the </w:t>
            </w:r>
            <w:r w:rsidR="00E729DB">
              <w:t>S</w:t>
            </w:r>
            <w:r>
              <w:t xml:space="preserve">chedule of </w:t>
            </w:r>
            <w:r w:rsidR="00E729DB">
              <w:t>C</w:t>
            </w:r>
            <w:r>
              <w:t xml:space="preserve">harges, and updated </w:t>
            </w:r>
            <w:r w:rsidR="00E729DB">
              <w:t>S</w:t>
            </w:r>
            <w:r>
              <w:t xml:space="preserve">chedule of </w:t>
            </w:r>
            <w:r w:rsidR="00E729DB">
              <w:t>C</w:t>
            </w:r>
            <w:r>
              <w:t>harges, emailed or sent via post, until further notice.</w:t>
            </w:r>
          </w:p>
          <w:p w:rsidR="00DD6D0B" w:rsidRDefault="00DD6D0B" w:rsidP="00DD6D0B">
            <w:pPr>
              <w:pStyle w:val="tabletext"/>
            </w:pPr>
            <w:r>
              <w:t xml:space="preserve">The ACCC considers that the publication requirements in the proposed water charge rules are consistent with other industries. The proposed water charge rules will require operators to publish on a website and provide the </w:t>
            </w:r>
            <w:r w:rsidR="00E729DB">
              <w:t>S</w:t>
            </w:r>
            <w:r>
              <w:t xml:space="preserve">chedule of </w:t>
            </w:r>
            <w:r w:rsidR="00E729DB">
              <w:t>C</w:t>
            </w:r>
            <w:r>
              <w:t xml:space="preserve">harges on request. To limit the likelihood that variations could occur without the customer knowing, the water charge rules also require operators to send their </w:t>
            </w:r>
            <w:r w:rsidR="00E729DB">
              <w:t>S</w:t>
            </w:r>
            <w:r>
              <w:t xml:space="preserve">chedule of </w:t>
            </w:r>
            <w:r w:rsidR="00E729DB">
              <w:t>C</w:t>
            </w:r>
            <w:r>
              <w:t xml:space="preserve">harges to each customer. The ACCC considers that this is a reasonable substitute for the customer protections in other industries, such as in energy, which limits the frequency operators can vary the charges. </w:t>
            </w:r>
          </w:p>
          <w:p w:rsidR="00DD6D0B" w:rsidRDefault="00DD6D0B" w:rsidP="00DD6D0B">
            <w:pPr>
              <w:pStyle w:val="tabletext"/>
            </w:pPr>
            <w:r>
              <w:t xml:space="preserve">The ACCC notes that proposed clarifications to the rules that operators can send their </w:t>
            </w:r>
            <w:r w:rsidR="00E729DB">
              <w:t>S</w:t>
            </w:r>
            <w:r>
              <w:t xml:space="preserve">chedule of </w:t>
            </w:r>
            <w:r w:rsidR="00E729DB">
              <w:t>C</w:t>
            </w:r>
            <w:r>
              <w:t>harges to customer</w:t>
            </w:r>
            <w:r w:rsidR="00DE2286">
              <w:t>s</w:t>
            </w:r>
            <w:r>
              <w:t xml:space="preserve"> via electronic communication methods e.g. email should mean that sending information to customers should not represent a significant cost to operators. Further, the ACCC has proposed amendments that will reduce the circumstances that trigger the requirements to send the </w:t>
            </w:r>
            <w:r w:rsidR="00E729DB">
              <w:t>S</w:t>
            </w:r>
            <w:r>
              <w:t xml:space="preserve">chedule of </w:t>
            </w:r>
            <w:r w:rsidR="00E729DB">
              <w:t>C</w:t>
            </w:r>
            <w:r>
              <w:t>harges</w:t>
            </w:r>
            <w:r w:rsidR="009477AC">
              <w:t xml:space="preserve"> (as discussed above)</w:t>
            </w:r>
            <w:r>
              <w:t xml:space="preserve">. </w:t>
            </w:r>
          </w:p>
          <w:p w:rsidR="00DD6D0B" w:rsidRDefault="00DD6D0B" w:rsidP="009477AC">
            <w:pPr>
              <w:pStyle w:val="tabletext"/>
            </w:pPr>
            <w:r>
              <w:t xml:space="preserve">The ACCC also notes that the rural water sector differs to other industries in that not all of the businesses regulated by the water charge rules have a website. Therefore, the rules would need to provide different requirements and customer protections for those operators that could publish on their website (primarily instead of sending the </w:t>
            </w:r>
            <w:r w:rsidR="00E729DB">
              <w:t>S</w:t>
            </w:r>
            <w:r>
              <w:t xml:space="preserve">chedule of </w:t>
            </w:r>
            <w:r w:rsidR="00E729DB">
              <w:t>C</w:t>
            </w:r>
            <w:r>
              <w:t>harges) as compared to operators that do not have a website. The ACCC considers that it is preferable to have a consistent set of requirements and customer protections applying across all operators.</w:t>
            </w:r>
          </w:p>
        </w:tc>
      </w:tr>
    </w:tbl>
    <w:p w:rsidR="00DD6D0B" w:rsidRDefault="00DD6D0B" w:rsidP="00DD6D0B">
      <w:pPr>
        <w:pStyle w:val="tabletext"/>
      </w:pPr>
    </w:p>
    <w:p w:rsidR="00514B0F" w:rsidRPr="008C39C6" w:rsidRDefault="00514B0F" w:rsidP="00464189">
      <w:pPr>
        <w:pStyle w:val="Tabletitle"/>
        <w:keepLines/>
      </w:pPr>
      <w:r>
        <w:t xml:space="preserve">Table </w:t>
      </w:r>
      <w:r w:rsidR="00326F95">
        <w:t>5.</w:t>
      </w:r>
      <w:r w:rsidR="00D1759A">
        <w:t>4</w:t>
      </w:r>
      <w:r>
        <w:t>: Overview of publication requirements in other regulated industries</w:t>
      </w:r>
    </w:p>
    <w:tbl>
      <w:tblPr>
        <w:tblStyle w:val="LightShading"/>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971"/>
        <w:gridCol w:w="6207"/>
      </w:tblGrid>
      <w:tr w:rsidR="00514B0F" w:rsidRPr="00C7264A" w:rsidTr="007A269E">
        <w:trPr>
          <w:cnfStyle w:val="100000000000" w:firstRow="1" w:lastRow="0" w:firstColumn="0" w:lastColumn="0" w:oddVBand="0" w:evenVBand="0" w:oddHBand="0" w:evenHBand="0" w:firstRowFirstColumn="0" w:firstRowLastColumn="0" w:lastRowFirstColumn="0" w:lastRowLastColumn="0"/>
          <w:cantSplit/>
          <w:trHeight w:val="427"/>
          <w:tblHeader/>
        </w:trPr>
        <w:tc>
          <w:tcPr>
            <w:cnfStyle w:val="001000000000" w:firstRow="0" w:lastRow="0" w:firstColumn="1" w:lastColumn="0" w:oddVBand="0" w:evenVBand="0" w:oddHBand="0" w:evenHBand="0" w:firstRowFirstColumn="0" w:firstRowLastColumn="0" w:lastRowFirstColumn="0" w:lastRowLastColumn="0"/>
            <w:tcW w:w="1114" w:type="dxa"/>
            <w:tcBorders>
              <w:bottom w:val="single" w:sz="4" w:space="0" w:color="auto"/>
            </w:tcBorders>
            <w:shd w:val="clear" w:color="auto" w:fill="D9D9D9" w:themeFill="background1" w:themeFillShade="D9"/>
          </w:tcPr>
          <w:p w:rsidR="00514B0F" w:rsidRPr="00C7264A" w:rsidRDefault="00514B0F" w:rsidP="00464189">
            <w:pPr>
              <w:pStyle w:val="tabletext"/>
              <w:keepNext/>
              <w:keepLines/>
            </w:pPr>
            <w:r w:rsidRPr="00C7264A">
              <w:t>Industry</w:t>
            </w:r>
          </w:p>
        </w:tc>
        <w:tc>
          <w:tcPr>
            <w:tcW w:w="1971" w:type="dxa"/>
            <w:tcBorders>
              <w:bottom w:val="single" w:sz="4" w:space="0" w:color="auto"/>
            </w:tcBorders>
            <w:shd w:val="clear" w:color="auto" w:fill="D9D9D9" w:themeFill="background1" w:themeFillShade="D9"/>
          </w:tcPr>
          <w:p w:rsidR="00514B0F" w:rsidRPr="00C7264A" w:rsidRDefault="00514B0F" w:rsidP="00464189">
            <w:pPr>
              <w:pStyle w:val="tabletext"/>
              <w:keepNext/>
              <w:keepLines/>
              <w:cnfStyle w:val="100000000000" w:firstRow="1" w:lastRow="0" w:firstColumn="0" w:lastColumn="0" w:oddVBand="0" w:evenVBand="0" w:oddHBand="0" w:evenHBand="0" w:firstRowFirstColumn="0" w:firstRowLastColumn="0" w:lastRowFirstColumn="0" w:lastRowLastColumn="0"/>
            </w:pPr>
            <w:r w:rsidRPr="00C7264A">
              <w:t>Relevant legislation and section number</w:t>
            </w:r>
          </w:p>
        </w:tc>
        <w:tc>
          <w:tcPr>
            <w:tcW w:w="6207" w:type="dxa"/>
            <w:tcBorders>
              <w:bottom w:val="single" w:sz="4" w:space="0" w:color="auto"/>
            </w:tcBorders>
            <w:shd w:val="clear" w:color="auto" w:fill="D9D9D9" w:themeFill="background1" w:themeFillShade="D9"/>
          </w:tcPr>
          <w:p w:rsidR="00514B0F" w:rsidRPr="00C7264A" w:rsidRDefault="00514B0F" w:rsidP="00464189">
            <w:pPr>
              <w:pStyle w:val="tabletext"/>
              <w:keepNext/>
              <w:keepLines/>
              <w:cnfStyle w:val="100000000000" w:firstRow="1" w:lastRow="0" w:firstColumn="0" w:lastColumn="0" w:oddVBand="0" w:evenVBand="0" w:oddHBand="0" w:evenHBand="0" w:firstRowFirstColumn="0" w:firstRowLastColumn="0" w:lastRowFirstColumn="0" w:lastRowLastColumn="0"/>
            </w:pPr>
            <w:r>
              <w:t>P</w:t>
            </w:r>
            <w:r w:rsidRPr="00C7264A">
              <w:t>ublication requirements</w:t>
            </w:r>
            <w:r>
              <w:t xml:space="preserve"> (timing and place of publication)</w:t>
            </w:r>
          </w:p>
        </w:tc>
      </w:tr>
      <w:tr w:rsidR="00514B0F" w:rsidRPr="00C7264A" w:rsidTr="00E439B4">
        <w:trPr>
          <w:cnfStyle w:val="000000100000" w:firstRow="0" w:lastRow="0" w:firstColumn="0" w:lastColumn="0" w:oddVBand="0" w:evenVBand="0" w:oddHBand="1" w:evenHBand="0" w:firstRowFirstColumn="0" w:firstRowLastColumn="0" w:lastRowFirstColumn="0" w:lastRowLastColumn="0"/>
          <w:cantSplit/>
          <w:trHeight w:val="3974"/>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bottom w:val="single" w:sz="4" w:space="0" w:color="auto"/>
            </w:tcBorders>
            <w:shd w:val="clear" w:color="auto" w:fill="auto"/>
          </w:tcPr>
          <w:p w:rsidR="00514B0F" w:rsidRPr="00C7264A" w:rsidRDefault="00514B0F" w:rsidP="00464189">
            <w:pPr>
              <w:pStyle w:val="tabletext"/>
              <w:keepNext/>
              <w:keepLines/>
              <w:rPr>
                <w:b w:val="0"/>
              </w:rPr>
            </w:pPr>
            <w:r w:rsidRPr="00C7264A">
              <w:rPr>
                <w:b w:val="0"/>
              </w:rPr>
              <w:t>Energy</w:t>
            </w:r>
          </w:p>
        </w:tc>
        <w:tc>
          <w:tcPr>
            <w:tcW w:w="1971" w:type="dxa"/>
            <w:tcBorders>
              <w:top w:val="single" w:sz="4" w:space="0" w:color="auto"/>
              <w:bottom w:val="single" w:sz="4" w:space="0" w:color="auto"/>
            </w:tcBorders>
            <w:shd w:val="clear" w:color="auto" w:fill="auto"/>
          </w:tcPr>
          <w:p w:rsidR="00514B0F" w:rsidRPr="007A269E" w:rsidRDefault="00514B0F" w:rsidP="00464189">
            <w:pPr>
              <w:pStyle w:val="tabletext"/>
              <w:keepNext/>
              <w:keepLines/>
              <w:cnfStyle w:val="000000100000" w:firstRow="0" w:lastRow="0" w:firstColumn="0" w:lastColumn="0" w:oddVBand="0" w:evenVBand="0" w:oddHBand="1" w:evenHBand="0" w:firstRowFirstColumn="0" w:firstRowLastColumn="0" w:lastRowFirstColumn="0" w:lastRowLastColumn="0"/>
              <w:rPr>
                <w:i/>
              </w:rPr>
            </w:pPr>
            <w:r w:rsidRPr="007A269E">
              <w:rPr>
                <w:i/>
              </w:rPr>
              <w:t>National Energy Retail Law (SA) Act 2011</w:t>
            </w:r>
          </w:p>
          <w:p w:rsidR="00514B0F" w:rsidRPr="007A269E" w:rsidRDefault="00514B0F" w:rsidP="00464189">
            <w:pPr>
              <w:pStyle w:val="tabletext"/>
              <w:keepNext/>
              <w:keepLines/>
              <w:cnfStyle w:val="000000100000" w:firstRow="0" w:lastRow="0" w:firstColumn="0" w:lastColumn="0" w:oddVBand="0" w:evenVBand="0" w:oddHBand="1" w:evenHBand="0" w:firstRowFirstColumn="0" w:firstRowLastColumn="0" w:lastRowFirstColumn="0" w:lastRowLastColumn="0"/>
            </w:pPr>
            <w:r w:rsidRPr="007A269E">
              <w:t>Section 23 (in relation to standing offer prices</w:t>
            </w:r>
            <w:r w:rsidRPr="007A269E">
              <w:rPr>
                <w:rStyle w:val="FootnoteReference"/>
                <w:bCs/>
                <w:sz w:val="18"/>
                <w:szCs w:val="18"/>
              </w:rPr>
              <w:footnoteReference w:id="329"/>
            </w:r>
            <w:r w:rsidRPr="007A269E">
              <w:t>)</w:t>
            </w:r>
          </w:p>
        </w:tc>
        <w:tc>
          <w:tcPr>
            <w:tcW w:w="6207" w:type="dxa"/>
            <w:tcBorders>
              <w:top w:val="single" w:sz="4" w:space="0" w:color="auto"/>
              <w:bottom w:val="single" w:sz="4" w:space="0" w:color="auto"/>
            </w:tcBorders>
            <w:shd w:val="clear" w:color="auto" w:fill="auto"/>
          </w:tcPr>
          <w:p w:rsidR="00514B0F" w:rsidRPr="007A269E" w:rsidRDefault="00514B0F" w:rsidP="00464189">
            <w:pPr>
              <w:pStyle w:val="tabletext"/>
              <w:keepNext/>
              <w:keepLines/>
              <w:cnfStyle w:val="000000100000" w:firstRow="0" w:lastRow="0" w:firstColumn="0" w:lastColumn="0" w:oddVBand="0" w:evenVBand="0" w:oddHBand="1" w:evenHBand="0" w:firstRowFirstColumn="0" w:firstRowLastColumn="0" w:lastRowFirstColumn="0" w:lastRowLastColumn="0"/>
            </w:pPr>
            <w:r w:rsidRPr="007A269E">
              <w:t>The retailer must:</w:t>
            </w:r>
          </w:p>
          <w:p w:rsidR="00514B0F" w:rsidRPr="007A269E" w:rsidRDefault="00514B0F" w:rsidP="00464189">
            <w:pPr>
              <w:pStyle w:val="tabletextindentbullet"/>
              <w:keepNext/>
              <w:keepLines/>
              <w:cnfStyle w:val="000000100000" w:firstRow="0" w:lastRow="0" w:firstColumn="0" w:lastColumn="0" w:oddVBand="0" w:evenVBand="0" w:oddHBand="1" w:evenHBand="0" w:firstRowFirstColumn="0" w:firstRowLastColumn="0" w:lastRowFirstColumn="0" w:lastRowLastColumn="0"/>
            </w:pPr>
            <w:r w:rsidRPr="007A269E">
              <w:t xml:space="preserve">publish their charges, and any variations to those charges, on their website. </w:t>
            </w:r>
          </w:p>
          <w:p w:rsidR="00514B0F" w:rsidRPr="007A269E" w:rsidRDefault="00514B0F" w:rsidP="00464189">
            <w:pPr>
              <w:pStyle w:val="tabletextindentbullet"/>
              <w:keepNext/>
              <w:keepLines/>
              <w:cnfStyle w:val="000000100000" w:firstRow="0" w:lastRow="0" w:firstColumn="0" w:lastColumn="0" w:oddVBand="0" w:evenVBand="0" w:oddHBand="1" w:evenHBand="0" w:firstRowFirstColumn="0" w:firstRowLastColumn="0" w:lastRowFirstColumn="0" w:lastRowLastColumn="0"/>
            </w:pPr>
            <w:r w:rsidRPr="007A269E">
              <w:t>publish a notification of variations to charges (and that those charges can be accessed from the website) in a newspaper circulating in jurisdictions in which the retailer has small customers.</w:t>
            </w:r>
          </w:p>
          <w:p w:rsidR="00514B0F" w:rsidRPr="007A269E" w:rsidRDefault="00514B0F" w:rsidP="00464189">
            <w:pPr>
              <w:pStyle w:val="tabletextindentbullet"/>
              <w:keepNext/>
              <w:keepLines/>
              <w:cnfStyle w:val="000000100000" w:firstRow="0" w:lastRow="0" w:firstColumn="0" w:lastColumn="0" w:oddVBand="0" w:evenVBand="0" w:oddHBand="1" w:evenHBand="0" w:firstRowFirstColumn="0" w:firstRowLastColumn="0" w:lastRowFirstColumn="0" w:lastRowLastColumn="0"/>
            </w:pPr>
            <w:r w:rsidRPr="007A269E">
              <w:t>inform each affected customer of the variation when the retailed sends the next bill to the customer.</w:t>
            </w:r>
          </w:p>
          <w:p w:rsidR="00514B0F" w:rsidRPr="007A269E" w:rsidRDefault="00514B0F" w:rsidP="00464189">
            <w:pPr>
              <w:pStyle w:val="tabletextindentbullet"/>
              <w:keepNext/>
              <w:keepLines/>
              <w:cnfStyle w:val="000000100000" w:firstRow="0" w:lastRow="0" w:firstColumn="0" w:lastColumn="0" w:oddVBand="0" w:evenVBand="0" w:oddHBand="1" w:evenHBand="0" w:firstRowFirstColumn="0" w:firstRowLastColumn="0" w:lastRowFirstColumn="0" w:lastRowLastColumn="0"/>
            </w:pPr>
            <w:r w:rsidRPr="007A269E">
              <w:t>not vary its charges more than once every six months.</w:t>
            </w:r>
          </w:p>
          <w:p w:rsidR="00514B0F" w:rsidRPr="007A269E" w:rsidRDefault="00514B0F" w:rsidP="00464189">
            <w:pPr>
              <w:pStyle w:val="tabletextindentbullet"/>
              <w:keepNext/>
              <w:keepLines/>
              <w:cnfStyle w:val="000000100000" w:firstRow="0" w:lastRow="0" w:firstColumn="0" w:lastColumn="0" w:oddVBand="0" w:evenVBand="0" w:oddHBand="1" w:evenHBand="0" w:firstRowFirstColumn="0" w:firstRowLastColumn="0" w:lastRowFirstColumn="0" w:lastRowLastColumn="0"/>
            </w:pPr>
            <w:r w:rsidRPr="007A269E">
              <w:t>allow 10 business days between when it publishes the variation and when it can come into effect.</w:t>
            </w:r>
          </w:p>
          <w:p w:rsidR="00514B0F" w:rsidRPr="007A269E" w:rsidRDefault="00514B0F" w:rsidP="00464189">
            <w:pPr>
              <w:pStyle w:val="tabletextindentbullet"/>
              <w:keepNext/>
              <w:keepLines/>
              <w:cnfStyle w:val="000000100000" w:firstRow="0" w:lastRow="0" w:firstColumn="0" w:lastColumn="0" w:oddVBand="0" w:evenVBand="0" w:oddHBand="1" w:evenHBand="0" w:firstRowFirstColumn="0" w:firstRowLastColumn="0" w:lastRowFirstColumn="0" w:lastRowLastColumn="0"/>
            </w:pPr>
            <w:r w:rsidRPr="007A269E">
              <w:t>notify the Australian Energy Regulator (AER) of the charges and any variation, as soon as practicable, in the manner and form required by the AER Retail Pricing Information Guidelines. Section 24 also requires retailers to present its charges in accordance with these Guidelines.</w:t>
            </w:r>
            <w:r w:rsidRPr="007A269E">
              <w:rPr>
                <w:rStyle w:val="FootnoteReference"/>
                <w:sz w:val="18"/>
                <w:szCs w:val="18"/>
              </w:rPr>
              <w:footnoteReference w:id="330"/>
            </w:r>
          </w:p>
          <w:p w:rsidR="00514B0F" w:rsidRPr="007A269E" w:rsidRDefault="00514B0F" w:rsidP="00464189">
            <w:pPr>
              <w:pStyle w:val="tabletext"/>
              <w:keepNext/>
              <w:keepLines/>
              <w:cnfStyle w:val="000000100000" w:firstRow="0" w:lastRow="0" w:firstColumn="0" w:lastColumn="0" w:oddVBand="0" w:evenVBand="0" w:oddHBand="1" w:evenHBand="0" w:firstRowFirstColumn="0" w:firstRowLastColumn="0" w:lastRowFirstColumn="0" w:lastRowLastColumn="0"/>
            </w:pPr>
            <w:r w:rsidRPr="007A269E">
              <w:t>The AER must, as soon as practicable after being notified by a retailer, publish the charges or variation on the AER’s website.</w:t>
            </w:r>
          </w:p>
        </w:tc>
      </w:tr>
      <w:tr w:rsidR="00514B0F" w:rsidRPr="00C7264A" w:rsidTr="00E439B4">
        <w:trPr>
          <w:cantSplit/>
          <w:trHeight w:val="658"/>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left w:val="nil"/>
              <w:bottom w:val="single" w:sz="4" w:space="0" w:color="auto"/>
              <w:right w:val="nil"/>
            </w:tcBorders>
            <w:shd w:val="clear" w:color="auto" w:fill="auto"/>
          </w:tcPr>
          <w:p w:rsidR="00514B0F" w:rsidRPr="00C7264A" w:rsidRDefault="00514B0F" w:rsidP="00464189">
            <w:pPr>
              <w:pStyle w:val="tabletext"/>
              <w:keepNext/>
              <w:keepLines/>
              <w:rPr>
                <w:b w:val="0"/>
              </w:rPr>
            </w:pPr>
            <w:r>
              <w:rPr>
                <w:b w:val="0"/>
              </w:rPr>
              <w:t>Super</w:t>
            </w:r>
            <w:r w:rsidR="00E51A5A">
              <w:rPr>
                <w:b w:val="0"/>
              </w:rPr>
              <w:t>-</w:t>
            </w:r>
            <w:r>
              <w:rPr>
                <w:b w:val="0"/>
              </w:rPr>
              <w:t>annuation</w:t>
            </w:r>
          </w:p>
        </w:tc>
        <w:tc>
          <w:tcPr>
            <w:tcW w:w="1971" w:type="dxa"/>
            <w:tcBorders>
              <w:top w:val="single" w:sz="4" w:space="0" w:color="auto"/>
              <w:left w:val="nil"/>
              <w:bottom w:val="single" w:sz="4" w:space="0" w:color="auto"/>
              <w:right w:val="nil"/>
            </w:tcBorders>
            <w:shd w:val="clear" w:color="auto" w:fill="auto"/>
          </w:tcPr>
          <w:p w:rsidR="00514B0F" w:rsidRPr="007A269E" w:rsidRDefault="00514B0F" w:rsidP="00464189">
            <w:pPr>
              <w:pStyle w:val="tabletext"/>
              <w:keepNext/>
              <w:keepLines/>
              <w:cnfStyle w:val="000000000000" w:firstRow="0" w:lastRow="0" w:firstColumn="0" w:lastColumn="0" w:oddVBand="0" w:evenVBand="0" w:oddHBand="0" w:evenHBand="0" w:firstRowFirstColumn="0" w:firstRowLastColumn="0" w:lastRowFirstColumn="0" w:lastRowLastColumn="0"/>
              <w:rPr>
                <w:i/>
              </w:rPr>
            </w:pPr>
            <w:r w:rsidRPr="007A269E">
              <w:rPr>
                <w:i/>
              </w:rPr>
              <w:t>Corporations Regulations 2001 (Commonwealth)</w:t>
            </w:r>
          </w:p>
          <w:p w:rsidR="00514B0F" w:rsidRPr="007A269E" w:rsidRDefault="00514B0F" w:rsidP="00464189">
            <w:pPr>
              <w:pStyle w:val="tabletext"/>
              <w:keepNext/>
              <w:keepLines/>
              <w:cnfStyle w:val="000000000000" w:firstRow="0" w:lastRow="0" w:firstColumn="0" w:lastColumn="0" w:oddVBand="0" w:evenVBand="0" w:oddHBand="0" w:evenHBand="0" w:firstRowFirstColumn="0" w:firstRowLastColumn="0" w:lastRowFirstColumn="0" w:lastRowLastColumn="0"/>
            </w:pPr>
            <w:r w:rsidRPr="007A269E">
              <w:t>Regulation 7.9.75BA</w:t>
            </w:r>
          </w:p>
          <w:p w:rsidR="00514B0F" w:rsidRPr="007A269E" w:rsidRDefault="00514B0F" w:rsidP="00464189">
            <w:pPr>
              <w:pStyle w:val="tabletext"/>
              <w:keepNext/>
              <w:keepLines/>
              <w:cnfStyle w:val="000000000000" w:firstRow="0" w:lastRow="0" w:firstColumn="0" w:lastColumn="0" w:oddVBand="0" w:evenVBand="0" w:oddHBand="0" w:evenHBand="0" w:firstRowFirstColumn="0" w:firstRowLastColumn="0" w:lastRowFirstColumn="0" w:lastRowLastColumn="0"/>
            </w:pPr>
            <w:r w:rsidRPr="007A269E">
              <w:t>Provision of fund information about a regulated superannuation fund (other than a self</w:t>
            </w:r>
            <w:r w:rsidR="00DD6D0B" w:rsidRPr="007A269E">
              <w:t>-</w:t>
            </w:r>
            <w:r w:rsidRPr="007A269E">
              <w:t>managed superannuation fund)</w:t>
            </w:r>
          </w:p>
        </w:tc>
        <w:tc>
          <w:tcPr>
            <w:tcW w:w="6207" w:type="dxa"/>
            <w:tcBorders>
              <w:top w:val="single" w:sz="4" w:space="0" w:color="auto"/>
              <w:left w:val="nil"/>
              <w:bottom w:val="single" w:sz="4" w:space="0" w:color="auto"/>
              <w:right w:val="nil"/>
            </w:tcBorders>
            <w:shd w:val="clear" w:color="auto" w:fill="auto"/>
          </w:tcPr>
          <w:p w:rsidR="00514B0F" w:rsidRPr="007A269E" w:rsidRDefault="00514B0F" w:rsidP="00464189">
            <w:pPr>
              <w:pStyle w:val="tabletext"/>
              <w:keepNext/>
              <w:keepLines/>
              <w:cnfStyle w:val="000000000000" w:firstRow="0" w:lastRow="0" w:firstColumn="0" w:lastColumn="0" w:oddVBand="0" w:evenVBand="0" w:oddHBand="0" w:evenHBand="0" w:firstRowFirstColumn="0" w:firstRowLastColumn="0" w:lastRowFirstColumn="0" w:lastRowLastColumn="0"/>
            </w:pPr>
            <w:r w:rsidRPr="007A269E">
              <w:t>The trustee (of a regulated superannuation fund, other than a self</w:t>
            </w:r>
            <w:r w:rsidR="00DD6D0B" w:rsidRPr="007A269E">
              <w:t>-</w:t>
            </w:r>
            <w:r w:rsidRPr="007A269E">
              <w:t>managed superannuation fund) must make the fund information available on a website that it maintained by or on behalf of the trustee.</w:t>
            </w:r>
          </w:p>
          <w:p w:rsidR="00514B0F" w:rsidRPr="007A269E" w:rsidRDefault="00514B0F" w:rsidP="00464189">
            <w:pPr>
              <w:pStyle w:val="tabletext"/>
              <w:keepNext/>
              <w:keepLines/>
              <w:cnfStyle w:val="000000000000" w:firstRow="0" w:lastRow="0" w:firstColumn="0" w:lastColumn="0" w:oddVBand="0" w:evenVBand="0" w:oddHBand="0" w:evenHBand="0" w:firstRowFirstColumn="0" w:firstRowLastColumn="0" w:lastRowFirstColumn="0" w:lastRowLastColumn="0"/>
            </w:pPr>
            <w:r w:rsidRPr="007A269E">
              <w:t>For the first financial year or reporting period in which the trustee makes the fund information available on the website, the trustee must:</w:t>
            </w:r>
          </w:p>
          <w:p w:rsidR="00514B0F" w:rsidRPr="007A269E" w:rsidRDefault="00514B0F" w:rsidP="00464189">
            <w:pPr>
              <w:pStyle w:val="tabletextindentbullet"/>
              <w:keepNext/>
              <w:keepLines/>
              <w:cnfStyle w:val="000000000000" w:firstRow="0" w:lastRow="0" w:firstColumn="0" w:lastColumn="0" w:oddVBand="0" w:evenVBand="0" w:oddHBand="0" w:evenHBand="0" w:firstRowFirstColumn="0" w:firstRowLastColumn="0" w:lastRowFirstColumn="0" w:lastRowLastColumn="0"/>
            </w:pPr>
            <w:r w:rsidRPr="007A269E">
              <w:t>notify each holder that the fund information is available on the website and explain how to access the website. (This can be included in other information / materials sent to the holder).</w:t>
            </w:r>
          </w:p>
          <w:p w:rsidR="00514B0F" w:rsidRPr="007A269E" w:rsidRDefault="00514B0F" w:rsidP="00464189">
            <w:pPr>
              <w:pStyle w:val="tabletextindentbullet"/>
              <w:keepNext/>
              <w:keepLines/>
              <w:cnfStyle w:val="000000000000" w:firstRow="0" w:lastRow="0" w:firstColumn="0" w:lastColumn="0" w:oddVBand="0" w:evenVBand="0" w:oddHBand="0" w:evenHBand="0" w:firstRowFirstColumn="0" w:firstRowLastColumn="0" w:lastRowFirstColumn="0" w:lastRowLastColumn="0"/>
            </w:pPr>
            <w:r w:rsidRPr="007A269E">
              <w:t xml:space="preserve">notify the holder that they may elect to have a hard copy, or electronic copy (if available) of the fund information sent, free of charge. </w:t>
            </w:r>
          </w:p>
          <w:p w:rsidR="00514B0F" w:rsidRPr="007A269E" w:rsidRDefault="00514B0F" w:rsidP="00464189">
            <w:pPr>
              <w:pStyle w:val="tabletext"/>
              <w:keepNext/>
              <w:keepLines/>
              <w:cnfStyle w:val="000000000000" w:firstRow="0" w:lastRow="0" w:firstColumn="0" w:lastColumn="0" w:oddVBand="0" w:evenVBand="0" w:oddHBand="0" w:evenHBand="0" w:firstRowFirstColumn="0" w:firstRowLastColumn="0" w:lastRowFirstColumn="0" w:lastRowLastColumn="0"/>
            </w:pPr>
            <w:r w:rsidRPr="007A269E">
              <w:t xml:space="preserve">If a holder elects to have a hard copy or electronic copy of the fund information sent, the trustee must, for each subsequent financial year or reporting period, send the fund information for the financial year or reporting period, in that form, until the holder notifies the trustee that a hard copy is no longer required. </w:t>
            </w:r>
          </w:p>
          <w:p w:rsidR="00514B0F" w:rsidRPr="007A269E" w:rsidRDefault="00514B0F" w:rsidP="00464189">
            <w:pPr>
              <w:pStyle w:val="tabletext"/>
              <w:keepNext/>
              <w:keepLines/>
              <w:cnfStyle w:val="000000000000" w:firstRow="0" w:lastRow="0" w:firstColumn="0" w:lastColumn="0" w:oddVBand="0" w:evenVBand="0" w:oddHBand="0" w:evenHBand="0" w:firstRowFirstColumn="0" w:firstRowLastColumn="0" w:lastRowFirstColumn="0" w:lastRowLastColumn="0"/>
            </w:pPr>
            <w:r w:rsidRPr="007A269E">
              <w:t xml:space="preserve">If a holder does not elect to have a hard copy or electronic copy sent, the trustee must notify the holder each year that the fund information is available on the website. </w:t>
            </w:r>
          </w:p>
        </w:tc>
      </w:tr>
      <w:tr w:rsidR="00514B0F" w:rsidRPr="00C7264A" w:rsidTr="00E439B4">
        <w:trPr>
          <w:cnfStyle w:val="000000100000" w:firstRow="0" w:lastRow="0" w:firstColumn="0" w:lastColumn="0" w:oddVBand="0" w:evenVBand="0" w:oddHBand="1" w:evenHBand="0" w:firstRowFirstColumn="0" w:firstRowLastColumn="0" w:lastRowFirstColumn="0" w:lastRowLastColumn="0"/>
          <w:cantSplit/>
          <w:trHeight w:val="102"/>
        </w:trPr>
        <w:tc>
          <w:tcPr>
            <w:cnfStyle w:val="001000000000" w:firstRow="0" w:lastRow="0" w:firstColumn="1" w:lastColumn="0" w:oddVBand="0" w:evenVBand="0" w:oddHBand="0" w:evenHBand="0" w:firstRowFirstColumn="0" w:firstRowLastColumn="0" w:lastRowFirstColumn="0" w:lastRowLastColumn="0"/>
            <w:tcW w:w="1114" w:type="dxa"/>
            <w:tcBorders>
              <w:top w:val="single" w:sz="4" w:space="0" w:color="auto"/>
              <w:bottom w:val="single" w:sz="4" w:space="0" w:color="auto"/>
            </w:tcBorders>
            <w:shd w:val="clear" w:color="auto" w:fill="auto"/>
          </w:tcPr>
          <w:p w:rsidR="00514B0F" w:rsidRPr="00C7264A" w:rsidRDefault="00514B0F" w:rsidP="00DD6D0B">
            <w:pPr>
              <w:pStyle w:val="tabletext"/>
              <w:rPr>
                <w:b w:val="0"/>
              </w:rPr>
            </w:pPr>
            <w:r>
              <w:rPr>
                <w:b w:val="0"/>
              </w:rPr>
              <w:t>Urban water</w:t>
            </w:r>
          </w:p>
        </w:tc>
        <w:tc>
          <w:tcPr>
            <w:tcW w:w="1971" w:type="dxa"/>
            <w:tcBorders>
              <w:top w:val="single" w:sz="4" w:space="0" w:color="auto"/>
              <w:bottom w:val="single" w:sz="4" w:space="0" w:color="auto"/>
            </w:tcBorders>
            <w:shd w:val="clear" w:color="auto" w:fill="auto"/>
          </w:tcPr>
          <w:p w:rsidR="00514B0F" w:rsidRPr="007A269E" w:rsidRDefault="00514B0F" w:rsidP="00DD6D0B">
            <w:pPr>
              <w:pStyle w:val="tabletext"/>
              <w:cnfStyle w:val="000000100000" w:firstRow="0" w:lastRow="0" w:firstColumn="0" w:lastColumn="0" w:oddVBand="0" w:evenVBand="0" w:oddHBand="1" w:evenHBand="0" w:firstRowFirstColumn="0" w:firstRowLastColumn="0" w:lastRowFirstColumn="0" w:lastRowLastColumn="0"/>
            </w:pPr>
            <w:r w:rsidRPr="007A269E">
              <w:t>Customer Service Code (Urban Water Businesses)</w:t>
            </w:r>
          </w:p>
          <w:p w:rsidR="00514B0F" w:rsidRPr="007A269E" w:rsidRDefault="00514B0F" w:rsidP="00DD6D0B">
            <w:pPr>
              <w:pStyle w:val="tabletext"/>
              <w:cnfStyle w:val="000000100000" w:firstRow="0" w:lastRow="0" w:firstColumn="0" w:lastColumn="0" w:oddVBand="0" w:evenVBand="0" w:oddHBand="1" w:evenHBand="0" w:firstRowFirstColumn="0" w:firstRowLastColumn="0" w:lastRowFirstColumn="0" w:lastRowLastColumn="0"/>
            </w:pPr>
            <w:r w:rsidRPr="007A269E">
              <w:t xml:space="preserve">Made under section 4F of the </w:t>
            </w:r>
            <w:r w:rsidRPr="007A269E">
              <w:rPr>
                <w:i/>
              </w:rPr>
              <w:t xml:space="preserve">Water Industry Act 1994 (Victoria) </w:t>
            </w:r>
            <w:r w:rsidRPr="007A269E">
              <w:t xml:space="preserve">and in accordance with the Water Industry Regulatory Order. </w:t>
            </w:r>
          </w:p>
        </w:tc>
        <w:tc>
          <w:tcPr>
            <w:tcW w:w="6207" w:type="dxa"/>
            <w:tcBorders>
              <w:top w:val="single" w:sz="4" w:space="0" w:color="auto"/>
              <w:bottom w:val="single" w:sz="4" w:space="0" w:color="auto"/>
            </w:tcBorders>
            <w:shd w:val="clear" w:color="auto" w:fill="auto"/>
          </w:tcPr>
          <w:p w:rsidR="00514B0F" w:rsidRPr="007A269E" w:rsidRDefault="00514B0F" w:rsidP="00DD6D0B">
            <w:pPr>
              <w:pStyle w:val="tabletext"/>
              <w:cnfStyle w:val="000000100000" w:firstRow="0" w:lastRow="0" w:firstColumn="0" w:lastColumn="0" w:oddVBand="0" w:evenVBand="0" w:oddHBand="1" w:evenHBand="0" w:firstRowFirstColumn="0" w:firstRowLastColumn="0" w:lastRowFirstColumn="0" w:lastRowLastColumn="0"/>
            </w:pPr>
            <w:r w:rsidRPr="007A269E">
              <w:t>The water business must:</w:t>
            </w:r>
          </w:p>
          <w:p w:rsidR="00514B0F" w:rsidRPr="007A269E" w:rsidRDefault="00514B0F" w:rsidP="00DD6D0B">
            <w:pPr>
              <w:pStyle w:val="tabletextindentbullet"/>
              <w:cnfStyle w:val="000000100000" w:firstRow="0" w:lastRow="0" w:firstColumn="0" w:lastColumn="0" w:oddVBand="0" w:evenVBand="0" w:oddHBand="1" w:evenHBand="0" w:firstRowFirstColumn="0" w:firstRowLastColumn="0" w:lastRowFirstColumn="0" w:lastRowLastColumn="0"/>
            </w:pPr>
            <w:r w:rsidRPr="007A269E">
              <w:t xml:space="preserve">publish the </w:t>
            </w:r>
            <w:r w:rsidR="00E729DB" w:rsidRPr="007A269E">
              <w:t>S</w:t>
            </w:r>
            <w:r w:rsidRPr="007A269E">
              <w:t xml:space="preserve">chedule of </w:t>
            </w:r>
            <w:r w:rsidR="00E729DB" w:rsidRPr="007A269E">
              <w:t>C</w:t>
            </w:r>
            <w:r w:rsidRPr="007A269E">
              <w:t>harges on their website.</w:t>
            </w:r>
          </w:p>
          <w:p w:rsidR="00514B0F" w:rsidRPr="007A269E" w:rsidRDefault="00514B0F" w:rsidP="00DD6D0B">
            <w:pPr>
              <w:pStyle w:val="tabletextindentbullet"/>
              <w:cnfStyle w:val="000000100000" w:firstRow="0" w:lastRow="0" w:firstColumn="0" w:lastColumn="0" w:oddVBand="0" w:evenVBand="0" w:oddHBand="1" w:evenHBand="0" w:firstRowFirstColumn="0" w:firstRowLastColumn="0" w:lastRowFirstColumn="0" w:lastRowLastColumn="0"/>
            </w:pPr>
            <w:r w:rsidRPr="007A269E">
              <w:t xml:space="preserve">provide the </w:t>
            </w:r>
            <w:r w:rsidR="00E729DB" w:rsidRPr="007A269E">
              <w:t>S</w:t>
            </w:r>
            <w:r w:rsidRPr="007A269E">
              <w:t xml:space="preserve">chedule of </w:t>
            </w:r>
            <w:r w:rsidR="00E729DB" w:rsidRPr="007A269E">
              <w:t>C</w:t>
            </w:r>
            <w:r w:rsidRPr="007A269E">
              <w:t xml:space="preserve">harges to a customer on request. </w:t>
            </w:r>
          </w:p>
          <w:p w:rsidR="00514B0F" w:rsidRPr="007A269E" w:rsidRDefault="00DD6D0B" w:rsidP="00DD6D0B">
            <w:pPr>
              <w:pStyle w:val="tabletextindentbullet"/>
              <w:cnfStyle w:val="000000100000" w:firstRow="0" w:lastRow="0" w:firstColumn="0" w:lastColumn="0" w:oddVBand="0" w:evenVBand="0" w:oddHBand="1" w:evenHBand="0" w:firstRowFirstColumn="0" w:firstRowLastColumn="0" w:lastRowFirstColumn="0" w:lastRowLastColumn="0"/>
            </w:pPr>
            <w:r w:rsidRPr="007A269E">
              <w:t>n</w:t>
            </w:r>
            <w:r w:rsidR="00514B0F" w:rsidRPr="007A269E">
              <w:t xml:space="preserve">otify customers of any variation in charges for services on or with the first bill after the decision to vary the charges has been made. (Note: The Code also requires that a water business’ billing cycle must be at least quarterly unless otherwise approved by the </w:t>
            </w:r>
            <w:r w:rsidR="00A224C1" w:rsidRPr="007A269E">
              <w:t>Essential Services Commission of Victoria (</w:t>
            </w:r>
            <w:r w:rsidR="00514B0F" w:rsidRPr="007A269E">
              <w:t>ESCV</w:t>
            </w:r>
            <w:r w:rsidR="00A224C1" w:rsidRPr="007A269E">
              <w:t>)</w:t>
            </w:r>
            <w:r w:rsidR="00514B0F" w:rsidRPr="007A269E">
              <w:t xml:space="preserve"> or more frequently if agreed with the customer).</w:t>
            </w:r>
          </w:p>
        </w:tc>
      </w:tr>
    </w:tbl>
    <w:p w:rsidR="00DA5F2B" w:rsidRDefault="00DA5F2B" w:rsidP="00514B0F"/>
    <w:p w:rsidR="00514B0F" w:rsidRDefault="00514B0F" w:rsidP="00FC3878">
      <w:pPr>
        <w:spacing w:after="120"/>
      </w:pPr>
      <w:r>
        <w:t xml:space="preserve">The ACCC maintains that infrastructure charges are highly relevant to how customers operate their own business, including their short-run operating decisions (such as how much to produce in a particular year) and long-run access decisions (i.e. whether to retain, increase or decrease their access to their operator’s network). The ACCC therefore considers that customers </w:t>
      </w:r>
      <w:r w:rsidR="00B56C00">
        <w:t xml:space="preserve">should </w:t>
      </w:r>
      <w:r>
        <w:t xml:space="preserve">receive a copy of their </w:t>
      </w:r>
      <w:r w:rsidR="00E729DB">
        <w:t>S</w:t>
      </w:r>
      <w:r>
        <w:t xml:space="preserve">chedule of </w:t>
      </w:r>
      <w:r w:rsidR="00E729DB">
        <w:t>C</w:t>
      </w:r>
      <w:r>
        <w:t xml:space="preserve">harges, preferably before changes come into effect, in order to make timely and efficient decisions. However, the ACCC acknowledges that the need to send the </w:t>
      </w:r>
      <w:r w:rsidR="006E7664">
        <w:t>S</w:t>
      </w:r>
      <w:r>
        <w:t xml:space="preserve">chedule of </w:t>
      </w:r>
      <w:r w:rsidR="006E7664">
        <w:t>C</w:t>
      </w:r>
      <w:r>
        <w:t>harges, and in advance of the charges coming into effect, must be balanced against the costs imposed on operators. Therefore, the ACCC support</w:t>
      </w:r>
      <w:r w:rsidR="00B54386">
        <w:t>s</w:t>
      </w:r>
      <w:r>
        <w:t xml:space="preserve"> amendments to the water charge rules that will reduce the costs associated with sending or updating the </w:t>
      </w:r>
      <w:r w:rsidR="006E7664">
        <w:t>S</w:t>
      </w:r>
      <w:r>
        <w:t xml:space="preserve">chedule. For example: </w:t>
      </w:r>
    </w:p>
    <w:p w:rsidR="009477AC" w:rsidRDefault="00514B0F" w:rsidP="00A82DE6">
      <w:pPr>
        <w:pStyle w:val="Lvl1Bulletpoint"/>
        <w:rPr>
          <w:rFonts w:eastAsia="Arial"/>
        </w:rPr>
      </w:pPr>
      <w:r w:rsidRPr="00B54386">
        <w:rPr>
          <w:rFonts w:eastAsia="Arial"/>
        </w:rPr>
        <w:t xml:space="preserve">The ACCC maintains </w:t>
      </w:r>
      <w:r w:rsidR="00DE2286">
        <w:rPr>
          <w:rFonts w:eastAsia="Arial"/>
        </w:rPr>
        <w:t>its</w:t>
      </w:r>
      <w:r w:rsidR="00DE2286" w:rsidRPr="00B54386">
        <w:rPr>
          <w:rFonts w:eastAsia="Arial"/>
        </w:rPr>
        <w:t xml:space="preserve"> </w:t>
      </w:r>
      <w:r w:rsidRPr="00B54386">
        <w:rPr>
          <w:rFonts w:eastAsia="Arial"/>
        </w:rPr>
        <w:t xml:space="preserve">position in the Draft Advice that operators can send their </w:t>
      </w:r>
      <w:r w:rsidR="006E7664">
        <w:rPr>
          <w:rFonts w:eastAsia="Arial"/>
        </w:rPr>
        <w:t>S</w:t>
      </w:r>
      <w:r w:rsidRPr="00B54386">
        <w:rPr>
          <w:rFonts w:eastAsia="Arial"/>
        </w:rPr>
        <w:t xml:space="preserve">chedule of </w:t>
      </w:r>
      <w:r w:rsidR="006E7664">
        <w:rPr>
          <w:rFonts w:eastAsia="Arial"/>
        </w:rPr>
        <w:t>C</w:t>
      </w:r>
      <w:r w:rsidRPr="00B54386">
        <w:rPr>
          <w:rFonts w:eastAsia="Arial"/>
        </w:rPr>
        <w:t xml:space="preserve">harges via electronic means (e.g. via email) rather than post (proposed </w:t>
      </w:r>
      <w:r w:rsidR="00DB6AE4">
        <w:rPr>
          <w:rFonts w:eastAsia="Arial"/>
        </w:rPr>
        <w:t>sub</w:t>
      </w:r>
      <w:r w:rsidRPr="00B54386">
        <w:rPr>
          <w:rFonts w:eastAsia="Arial"/>
        </w:rPr>
        <w:t xml:space="preserve">rule 3(6)). The ACCC </w:t>
      </w:r>
      <w:r w:rsidR="00E7417F">
        <w:rPr>
          <w:rFonts w:eastAsia="Arial"/>
        </w:rPr>
        <w:t xml:space="preserve">considers the cost of maintaining a record of customers’ preferred contact method (where an operator provides a choice to customers) would </w:t>
      </w:r>
      <w:r w:rsidR="00E11DB8">
        <w:rPr>
          <w:rFonts w:eastAsia="Arial"/>
        </w:rPr>
        <w:t xml:space="preserve">not </w:t>
      </w:r>
      <w:r w:rsidR="00E7417F">
        <w:rPr>
          <w:rFonts w:eastAsia="Arial"/>
        </w:rPr>
        <w:t>be significant</w:t>
      </w:r>
      <w:r w:rsidRPr="00B54386">
        <w:rPr>
          <w:rFonts w:eastAsia="Arial"/>
        </w:rPr>
        <w:t>.</w:t>
      </w:r>
    </w:p>
    <w:p w:rsidR="00514B0F" w:rsidRPr="00B54386" w:rsidRDefault="009477AC" w:rsidP="00A82DE6">
      <w:pPr>
        <w:pStyle w:val="Lvl1Bulletpoint"/>
        <w:rPr>
          <w:rFonts w:eastAsia="Arial"/>
        </w:rPr>
      </w:pPr>
      <w:r>
        <w:rPr>
          <w:rFonts w:eastAsia="Arial"/>
        </w:rPr>
        <w:t xml:space="preserve">The ACCC maintains the proposed amendments from </w:t>
      </w:r>
      <w:r w:rsidR="001151A7">
        <w:rPr>
          <w:rFonts w:eastAsia="Arial"/>
        </w:rPr>
        <w:t xml:space="preserve">the </w:t>
      </w:r>
      <w:r>
        <w:rPr>
          <w:rFonts w:eastAsia="Arial"/>
        </w:rPr>
        <w:t xml:space="preserve">Draft Advice which effectively reduce the number of days in advance of a Schedule of Charges coming into effect that the Schedule must be given to customers. The proposed amendments to the rules mean that an operator only needs to </w:t>
      </w:r>
      <w:r w:rsidR="001151A7">
        <w:rPr>
          <w:rFonts w:eastAsia="Arial"/>
        </w:rPr>
        <w:t xml:space="preserve">give / </w:t>
      </w:r>
      <w:r>
        <w:rPr>
          <w:rFonts w:eastAsia="Arial"/>
        </w:rPr>
        <w:t xml:space="preserve">send the Schedule 25 / 10 business days in advance rather than ensuring that the customer receives it within </w:t>
      </w:r>
      <w:r w:rsidR="001151A7">
        <w:rPr>
          <w:rFonts w:eastAsia="Arial"/>
        </w:rPr>
        <w:t>10 business days</w:t>
      </w:r>
      <w:r>
        <w:rPr>
          <w:rFonts w:eastAsia="Arial"/>
        </w:rPr>
        <w:t>.</w:t>
      </w:r>
    </w:p>
    <w:p w:rsidR="00514B0F" w:rsidRPr="00E7417F" w:rsidRDefault="00514B0F" w:rsidP="00A82DE6">
      <w:pPr>
        <w:pStyle w:val="Lvl1Bulletpoint"/>
        <w:rPr>
          <w:rFonts w:eastAsia="Arial"/>
        </w:rPr>
      </w:pPr>
      <w:r w:rsidRPr="00B54386">
        <w:rPr>
          <w:rFonts w:eastAsia="Arial"/>
        </w:rPr>
        <w:t>Further, the ACCC is proposing amendments to the timing of publication</w:t>
      </w:r>
      <w:r w:rsidR="009477AC">
        <w:rPr>
          <w:rFonts w:eastAsia="Arial"/>
        </w:rPr>
        <w:t xml:space="preserve"> (as discussed above)</w:t>
      </w:r>
      <w:r w:rsidRPr="00B54386">
        <w:rPr>
          <w:rFonts w:eastAsia="Arial"/>
        </w:rPr>
        <w:t>,</w:t>
      </w:r>
      <w:r w:rsidR="009477AC">
        <w:rPr>
          <w:rFonts w:eastAsia="Arial"/>
        </w:rPr>
        <w:t xml:space="preserve"> and additional exemptions from the charges that must be included on a Schedule of Charges (see section 5.4.3),</w:t>
      </w:r>
      <w:r w:rsidRPr="00B54386">
        <w:rPr>
          <w:rFonts w:eastAsia="Arial"/>
        </w:rPr>
        <w:t xml:space="preserve"> which will reduce the circumstances that trigger the need to </w:t>
      </w:r>
      <w:r w:rsidR="009477AC">
        <w:rPr>
          <w:rFonts w:eastAsia="Arial"/>
        </w:rPr>
        <w:t xml:space="preserve">adopt and send / </w:t>
      </w:r>
      <w:r w:rsidRPr="00B54386">
        <w:rPr>
          <w:rFonts w:eastAsia="Arial"/>
        </w:rPr>
        <w:t xml:space="preserve">publish a new </w:t>
      </w:r>
      <w:r w:rsidR="006E7664">
        <w:rPr>
          <w:rFonts w:eastAsia="Arial"/>
        </w:rPr>
        <w:t>S</w:t>
      </w:r>
      <w:r w:rsidRPr="00B54386">
        <w:rPr>
          <w:rFonts w:eastAsia="Arial"/>
        </w:rPr>
        <w:t xml:space="preserve">chedule of </w:t>
      </w:r>
      <w:r w:rsidR="006E7664">
        <w:rPr>
          <w:rFonts w:eastAsia="Arial"/>
        </w:rPr>
        <w:t>C</w:t>
      </w:r>
      <w:r w:rsidRPr="00B54386">
        <w:rPr>
          <w:rFonts w:eastAsia="Arial"/>
        </w:rPr>
        <w:t>harges</w:t>
      </w:r>
      <w:r w:rsidR="009477AC">
        <w:rPr>
          <w:rFonts w:eastAsia="Arial"/>
        </w:rPr>
        <w:t>. In turn, these amendments should</w:t>
      </w:r>
      <w:r w:rsidRPr="00B54386">
        <w:rPr>
          <w:rFonts w:eastAsia="Arial"/>
        </w:rPr>
        <w:t xml:space="preserve"> reduce the likelihood </w:t>
      </w:r>
      <w:r w:rsidR="009477AC">
        <w:rPr>
          <w:rFonts w:eastAsia="Arial"/>
        </w:rPr>
        <w:t xml:space="preserve">of, </w:t>
      </w:r>
      <w:r w:rsidRPr="00B54386">
        <w:rPr>
          <w:rFonts w:eastAsia="Arial"/>
        </w:rPr>
        <w:t>and therefore costs associated with</w:t>
      </w:r>
      <w:r w:rsidR="009477AC">
        <w:rPr>
          <w:rFonts w:eastAsia="Arial"/>
        </w:rPr>
        <w:t>,</w:t>
      </w:r>
      <w:r w:rsidRPr="00B54386">
        <w:rPr>
          <w:rFonts w:eastAsia="Arial"/>
        </w:rPr>
        <w:t xml:space="preserve"> mailing out multiple </w:t>
      </w:r>
      <w:r w:rsidR="006E7664">
        <w:rPr>
          <w:rFonts w:eastAsia="Arial"/>
        </w:rPr>
        <w:t>S</w:t>
      </w:r>
      <w:r w:rsidRPr="00B54386">
        <w:rPr>
          <w:rFonts w:eastAsia="Arial"/>
        </w:rPr>
        <w:t xml:space="preserve">chedules within a short period of time. </w:t>
      </w:r>
    </w:p>
    <w:p w:rsidR="00514B0F" w:rsidRDefault="00514B0F" w:rsidP="00514B0F">
      <w:r>
        <w:t xml:space="preserve">In summary, the ACCC’s Final Advice is to maintain its position that infrastructure operators should be required to </w:t>
      </w:r>
      <w:r w:rsidR="001151A7">
        <w:t xml:space="preserve">give its </w:t>
      </w:r>
      <w:r w:rsidR="006E7664">
        <w:t>S</w:t>
      </w:r>
      <w:r>
        <w:t xml:space="preserve">chedule of </w:t>
      </w:r>
      <w:r w:rsidR="006E7664">
        <w:t>C</w:t>
      </w:r>
      <w:r>
        <w:t>harges to its customers in addition to publishing the</w:t>
      </w:r>
      <w:r w:rsidR="006E7664">
        <w:t xml:space="preserve"> S</w:t>
      </w:r>
      <w:r>
        <w:t xml:space="preserve">chedule on </w:t>
      </w:r>
      <w:r w:rsidR="001151A7">
        <w:t xml:space="preserve">its </w:t>
      </w:r>
      <w:r>
        <w:t xml:space="preserve">website (if </w:t>
      </w:r>
      <w:r w:rsidR="001151A7">
        <w:t>it</w:t>
      </w:r>
      <w:r>
        <w:t xml:space="preserve"> has a website).</w:t>
      </w:r>
    </w:p>
    <w:p w:rsidR="00514B0F" w:rsidRPr="0031695A" w:rsidRDefault="00514B0F" w:rsidP="00D17F9C">
      <w:pPr>
        <w:pStyle w:val="Heading5"/>
      </w:pPr>
      <w:r w:rsidRPr="0031695A">
        <w:t>Drafting</w:t>
      </w:r>
    </w:p>
    <w:p w:rsidR="00514B0F" w:rsidRDefault="00514B0F" w:rsidP="00514B0F">
      <w:r>
        <w:t xml:space="preserve">The ACCC </w:t>
      </w:r>
      <w:r w:rsidR="00A70DA6">
        <w:t xml:space="preserve">agrees that </w:t>
      </w:r>
      <w:r>
        <w:t xml:space="preserve">the requirements for infrastructure operators to send a </w:t>
      </w:r>
      <w:r w:rsidR="006E7664">
        <w:t>S</w:t>
      </w:r>
      <w:r>
        <w:t xml:space="preserve">chedule of </w:t>
      </w:r>
      <w:r w:rsidR="006E7664">
        <w:t>C</w:t>
      </w:r>
      <w:r>
        <w:t>harges to new customers</w:t>
      </w:r>
      <w:r w:rsidR="00A70DA6">
        <w:t xml:space="preserve"> should be clarified</w:t>
      </w:r>
      <w:r>
        <w:t xml:space="preserve">. The ACCC considers that it is reasonable for the operator to send a </w:t>
      </w:r>
      <w:r w:rsidR="006E7664">
        <w:t>S</w:t>
      </w:r>
      <w:r>
        <w:t xml:space="preserve">chedule of </w:t>
      </w:r>
      <w:r w:rsidR="006E7664">
        <w:t>C</w:t>
      </w:r>
      <w:r>
        <w:t>harges to a person within 10 business days of the operator becoming aware</w:t>
      </w:r>
      <w:r w:rsidR="009477AC">
        <w:t xml:space="preserve"> or receiving notice</w:t>
      </w:r>
      <w:r>
        <w:t xml:space="preserve"> that the person is a customer (</w:t>
      </w:r>
      <w:r w:rsidR="00DE2286">
        <w:t xml:space="preserve">in </w:t>
      </w:r>
      <w:r>
        <w:t xml:space="preserve">situations where an operator was not aware that the person was a customer at the time it </w:t>
      </w:r>
      <w:r w:rsidR="006E7664">
        <w:t xml:space="preserve">generally </w:t>
      </w:r>
      <w:r>
        <w:t>sent</w:t>
      </w:r>
      <w:r w:rsidR="006E7664">
        <w:t xml:space="preserve"> out</w:t>
      </w:r>
      <w:r>
        <w:t xml:space="preserve"> its </w:t>
      </w:r>
      <w:r w:rsidR="006E7664">
        <w:t>S</w:t>
      </w:r>
      <w:r>
        <w:t xml:space="preserve">chedule of </w:t>
      </w:r>
      <w:r w:rsidR="006E7664">
        <w:t>C</w:t>
      </w:r>
      <w:r>
        <w:t xml:space="preserve">harges). </w:t>
      </w:r>
    </w:p>
    <w:p w:rsidR="00243C6D" w:rsidRDefault="00243C6D" w:rsidP="00243C6D">
      <w:r>
        <w:t>The ACCC has also proposed some minor amendments relating to the requirements to send a Schedule of Charges on request</w:t>
      </w:r>
      <w:r w:rsidR="001151A7">
        <w:t>, reducing the time limit for an operator to respond to a request from 25 to 10 business days following receipt of a written request</w:t>
      </w:r>
      <w:r>
        <w:t xml:space="preserve">. </w:t>
      </w:r>
      <w:r w:rsidR="001151A7">
        <w:t>This will align the timing requirements with those applying to sending the Schedule of Charges to new customers. The ACCC does not consider that reducing the number of days that the operator has to fulfil this request will represent a significant compliance burden, noting that the proposed rules clarify that an operator is taken to have ‘given’ information on the day that it is sent (see below).</w:t>
      </w:r>
    </w:p>
    <w:p w:rsidR="00243C6D" w:rsidRDefault="001151A7" w:rsidP="00243C6D">
      <w:r>
        <w:t xml:space="preserve">In both cases, </w:t>
      </w:r>
      <w:r w:rsidR="00243C6D">
        <w:t xml:space="preserve">an operator should be required to send a copy of its current Schedule of Charges </w:t>
      </w:r>
      <w:r w:rsidR="00243C6D" w:rsidRPr="00243C6D">
        <w:rPr>
          <w:i/>
        </w:rPr>
        <w:t xml:space="preserve">and </w:t>
      </w:r>
      <w:r w:rsidR="00243C6D">
        <w:t xml:space="preserve">any other Schedule of Charges which is not yet in effect but has been given to the operator’s other customers in accordance with the rules. This will ensure that a person is provided with all relevant information relating to the operator’s charges / charging arrangements. </w:t>
      </w:r>
    </w:p>
    <w:p w:rsidR="00514B0F" w:rsidRDefault="00514B0F" w:rsidP="00514B0F">
      <w:r>
        <w:t xml:space="preserve">The ACCC supports the NIC’s suggestion to use consistent terminology </w:t>
      </w:r>
      <w:r w:rsidR="00234E24">
        <w:t>in relation to the use of the words, ‘give’, ‘send’ and ‘provide’</w:t>
      </w:r>
      <w:r>
        <w:t>.</w:t>
      </w:r>
      <w:r w:rsidR="00234E24">
        <w:t xml:space="preserve"> The ACCC notes that the </w:t>
      </w:r>
      <w:r w:rsidR="001151A7">
        <w:t>proposed water charge</w:t>
      </w:r>
      <w:r w:rsidR="00234E24">
        <w:t xml:space="preserve"> rules included with this Final Advice consistently use the word ‘give’. The</w:t>
      </w:r>
      <w:r w:rsidR="001151A7">
        <w:t xml:space="preserve"> proposed water charge</w:t>
      </w:r>
      <w:r w:rsidR="00234E24">
        <w:t xml:space="preserve"> rules clarify </w:t>
      </w:r>
      <w:r w:rsidR="001151A7">
        <w:t>(</w:t>
      </w:r>
      <w:r w:rsidR="00234E24">
        <w:t>in subrule 3(6)</w:t>
      </w:r>
      <w:r w:rsidR="001151A7">
        <w:t>)</w:t>
      </w:r>
      <w:r w:rsidR="00234E24">
        <w:t xml:space="preserve"> that if a document is ‘sent’ via post or electronic means, then it is taken to have been ‘given’ on the day that it is posted or otherwise ‘sent’. This retain</w:t>
      </w:r>
      <w:r w:rsidR="001151A7">
        <w:t>s</w:t>
      </w:r>
      <w:r w:rsidR="00234E24">
        <w:t xml:space="preserve"> the intent of the Draft Advice that operators will be taken to have complied with the timing requirements for sending documents, including the Schedule of Charges, on the day that they send and</w:t>
      </w:r>
      <w:r w:rsidR="00A66956">
        <w:t xml:space="preserve"> that operators</w:t>
      </w:r>
      <w:r w:rsidR="00234E24">
        <w:t xml:space="preserve"> </w:t>
      </w:r>
      <w:r w:rsidR="00A66956">
        <w:t xml:space="preserve">should </w:t>
      </w:r>
      <w:r w:rsidR="00234E24">
        <w:t>not have to allow extra time to ensure that a customer actually receives it</w:t>
      </w:r>
      <w:r w:rsidR="001151A7">
        <w:t xml:space="preserve"> within the prescribed timeframe</w:t>
      </w:r>
      <w:r w:rsidR="00234E24">
        <w:t xml:space="preserve">. </w:t>
      </w:r>
    </w:p>
    <w:p w:rsidR="00C64152" w:rsidRDefault="00514B0F" w:rsidP="00FC3878">
      <w:pPr>
        <w:spacing w:after="120"/>
      </w:pPr>
      <w:r>
        <w:t xml:space="preserve">For planning and management charges, the existing </w:t>
      </w:r>
      <w:r w:rsidR="008555EC" w:rsidRPr="0067271D">
        <w:rPr>
          <w:rFonts w:cs="Times New Roman"/>
        </w:rPr>
        <w:t xml:space="preserve">Water Charge (Planning and Management Information) Rules 2010 </w:t>
      </w:r>
      <w:r w:rsidR="008555EC">
        <w:rPr>
          <w:rFonts w:cs="Times New Roman"/>
        </w:rPr>
        <w:t>(</w:t>
      </w:r>
      <w:r>
        <w:t>WCPMIR</w:t>
      </w:r>
      <w:r w:rsidR="008555EC">
        <w:t>)</w:t>
      </w:r>
      <w:r>
        <w:t xml:space="preserve"> and the proposed </w:t>
      </w:r>
      <w:r w:rsidR="00073D51">
        <w:t xml:space="preserve">water charge </w:t>
      </w:r>
      <w:r>
        <w:t xml:space="preserve">rules published with the Draft Advice impose the obligation to comply with the publication requirements </w:t>
      </w:r>
      <w:r w:rsidR="00C64152">
        <w:t xml:space="preserve">and rule 7 (the conditions under which a person can levy a planning and management charge) </w:t>
      </w:r>
      <w:r>
        <w:t>on the person determining the charge.</w:t>
      </w:r>
      <w:r w:rsidR="00C64152">
        <w:t xml:space="preserve"> However, </w:t>
      </w:r>
      <w:r>
        <w:t xml:space="preserve">in </w:t>
      </w:r>
      <w:r w:rsidR="00C64152">
        <w:t xml:space="preserve">some </w:t>
      </w:r>
      <w:r>
        <w:t xml:space="preserve">circumstances, the person determining the charge (e.g. </w:t>
      </w:r>
      <w:r w:rsidR="00E7417F">
        <w:t xml:space="preserve">a minister or </w:t>
      </w:r>
      <w:r>
        <w:t>independent economic regulator) is not the same person who levies the charge (e.g. a Basin State Department)</w:t>
      </w:r>
      <w:r w:rsidR="00C64152">
        <w:t>. Therefore, i</w:t>
      </w:r>
      <w:r w:rsidR="00921663">
        <w:t>n relation to planning and management charges, t</w:t>
      </w:r>
      <w:r>
        <w:t>he ACCC proposes that the rules should be amended to</w:t>
      </w:r>
      <w:r w:rsidR="00C64152">
        <w:t xml:space="preserve"> reflect these </w:t>
      </w:r>
      <w:r w:rsidR="0093125D">
        <w:t xml:space="preserve">different </w:t>
      </w:r>
      <w:r w:rsidR="00C64152">
        <w:t>arrangements. The rules should</w:t>
      </w:r>
      <w:r>
        <w:t xml:space="preserve"> allow </w:t>
      </w:r>
      <w:r w:rsidR="00921663">
        <w:t>any of the following persons to adopt a Schedule of Charges</w:t>
      </w:r>
      <w:r w:rsidR="00C64152">
        <w:t>:</w:t>
      </w:r>
      <w:r w:rsidR="00921663">
        <w:t xml:space="preserve"> </w:t>
      </w:r>
    </w:p>
    <w:p w:rsidR="00921663" w:rsidRDefault="009320A3" w:rsidP="00A82DE6">
      <w:pPr>
        <w:pStyle w:val="Lvl1Bulletpoint"/>
      </w:pPr>
      <w:r>
        <w:t xml:space="preserve">a person who </w:t>
      </w:r>
      <w:r w:rsidR="00921663">
        <w:t>determines the charge</w:t>
      </w:r>
    </w:p>
    <w:p w:rsidR="00921663" w:rsidRDefault="009320A3" w:rsidP="00A82DE6">
      <w:pPr>
        <w:pStyle w:val="Lvl1Bulletpoint"/>
      </w:pPr>
      <w:r>
        <w:t xml:space="preserve">a person who </w:t>
      </w:r>
      <w:r w:rsidR="00921663">
        <w:t>levies the charge</w:t>
      </w:r>
    </w:p>
    <w:p w:rsidR="00921663" w:rsidRDefault="009320A3" w:rsidP="00A82DE6">
      <w:pPr>
        <w:pStyle w:val="Lvl1Bulletpoint"/>
      </w:pPr>
      <w:r>
        <w:t xml:space="preserve">a person who </w:t>
      </w:r>
      <w:r w:rsidR="00921663">
        <w:t>on whose behalf the charge is collected.</w:t>
      </w:r>
    </w:p>
    <w:p w:rsidR="00C64152" w:rsidRDefault="00921663" w:rsidP="00921663">
      <w:r>
        <w:t xml:space="preserve">The </w:t>
      </w:r>
      <w:r w:rsidR="00C64152">
        <w:t xml:space="preserve">proposed rules require that the </w:t>
      </w:r>
      <w:r>
        <w:t xml:space="preserve">person who adopts the Schedule of Charges must ensure that it is published consistently with the publication requirements. Where possible, the ACCC has retained the language from the WCPMIR such that the person </w:t>
      </w:r>
      <w:r w:rsidR="00C64152">
        <w:t>who adopts the Schedule of Charges</w:t>
      </w:r>
      <w:r>
        <w:t xml:space="preserve"> can meet th</w:t>
      </w:r>
      <w:r w:rsidR="0084422D">
        <w:t xml:space="preserve">eir publication </w:t>
      </w:r>
      <w:r>
        <w:t xml:space="preserve">obligation by </w:t>
      </w:r>
      <w:r>
        <w:rPr>
          <w:i/>
        </w:rPr>
        <w:t xml:space="preserve">causing </w:t>
      </w:r>
      <w:r>
        <w:t xml:space="preserve">the Schedule of Charges to be published on another relevant person’s website. </w:t>
      </w:r>
      <w:r w:rsidR="00C64152">
        <w:t xml:space="preserve">The ACCC considers that the proposed amendment will provide a greater recognition of the different arrangements in Basin States regarding </w:t>
      </w:r>
      <w:r w:rsidR="00E74B12">
        <w:t>the determination (and levying / collecting) of planning and management charges.</w:t>
      </w:r>
    </w:p>
    <w:p w:rsidR="00921663" w:rsidRDefault="00921663" w:rsidP="00921663">
      <w:r>
        <w:t>The ACCC notes that</w:t>
      </w:r>
      <w:r w:rsidR="009320A3">
        <w:t>,</w:t>
      </w:r>
      <w:r>
        <w:t xml:space="preserve"> regardless of the person who adopts and publishes the Schedule of Charges, the </w:t>
      </w:r>
      <w:r w:rsidR="00E74B12">
        <w:t xml:space="preserve">proposed amendments to the rules will further require that the </w:t>
      </w:r>
      <w:r>
        <w:t>person levying the charge must</w:t>
      </w:r>
      <w:r w:rsidR="004F6BD0">
        <w:t xml:space="preserve"> </w:t>
      </w:r>
      <w:r>
        <w:t xml:space="preserve">comply with rule 7 (the conditions under which a person can levy a planning and management charge). This means that the person cannot levy a charge unless it is specified on the Schedule of Charges, and it is levied consistently with that specification. </w:t>
      </w:r>
      <w:r w:rsidR="007614E3">
        <w:t xml:space="preserve">The ACCC therefore expects that when the person who adopts the Schedule of Charges is not the same person who levies the charge, there will need to be communication between these persons to ensure that </w:t>
      </w:r>
      <w:r w:rsidR="00C64152">
        <w:t>all requirements relating to the Schedule of Charges are met.</w:t>
      </w:r>
      <w:r w:rsidR="004F6BD0">
        <w:t xml:space="preserve"> </w:t>
      </w:r>
    </w:p>
    <w:p w:rsidR="00D04356" w:rsidRDefault="00D04356" w:rsidP="00D04356">
      <w:pPr>
        <w:pStyle w:val="Heading5"/>
      </w:pPr>
      <w:r>
        <w:t>Basin Plan water trading rules reference to WCIR 15</w:t>
      </w:r>
    </w:p>
    <w:p w:rsidR="00D04356" w:rsidRDefault="00D04356" w:rsidP="00D04356">
      <w:r>
        <w:t xml:space="preserve">The ACCC notes that subrule 12.47(5) of the Basin Plan water trading rules (BPWTRs) currently contains a cross-reference to WCIR 15 which places certain Schedule of Charge publication requirements on operators servicing in excess of 10GL of water. BPWTR 12.47(5) requires operators to whom WCIR 15 applies to also provide a copy of their </w:t>
      </w:r>
      <w:r w:rsidR="00B4604F">
        <w:t xml:space="preserve">water trading </w:t>
      </w:r>
      <w:r>
        <w:t xml:space="preserve">rules to a ‘central information point’ </w:t>
      </w:r>
      <w:r w:rsidR="00B4604F">
        <w:t>(</w:t>
      </w:r>
      <w:r>
        <w:t>which is currently the MDBA itself</w:t>
      </w:r>
      <w:r w:rsidR="00B4604F">
        <w:t>)</w:t>
      </w:r>
      <w:r>
        <w:t>.</w:t>
      </w:r>
    </w:p>
    <w:p w:rsidR="00D04356" w:rsidRPr="00D04356" w:rsidRDefault="00D04356" w:rsidP="00D04356">
      <w:r>
        <w:t xml:space="preserve">If the ACCC’s rule advice 5-G is adopted, the obligation for an operator to publish a Schedule of Charges on its website would be broadened to all operators with a website, not just those servicing water access entitlements over 10GL. This could, in turn, broaden the application of </w:t>
      </w:r>
      <w:r w:rsidR="00B4604F">
        <w:t>BPWTR </w:t>
      </w:r>
      <w:r>
        <w:t xml:space="preserve">12.47(5). To avoid this, a minor technical amendment to </w:t>
      </w:r>
      <w:r w:rsidR="00B4604F">
        <w:t xml:space="preserve">BPWTR </w:t>
      </w:r>
      <w:r>
        <w:t>12.47 would be needed to ensure its current scope is maintained.</w:t>
      </w:r>
    </w:p>
    <w:p w:rsidR="00E161B2" w:rsidRDefault="00F970BC" w:rsidP="00E439B4">
      <w:pPr>
        <w:pStyle w:val="Heading3"/>
        <w:keepLines/>
      </w:pPr>
      <w:bookmarkStart w:id="637" w:name="_Toc436122298"/>
      <w:bookmarkStart w:id="638" w:name="_Toc436122793"/>
      <w:bookmarkStart w:id="639" w:name="_Toc436124148"/>
      <w:bookmarkStart w:id="640" w:name="_Toc456785804"/>
      <w:bookmarkStart w:id="641" w:name="_Toc461630715"/>
      <w:r w:rsidRPr="00D714FC">
        <w:t>Exemptions from the publication requirements</w:t>
      </w:r>
      <w:bookmarkEnd w:id="637"/>
      <w:bookmarkEnd w:id="638"/>
      <w:bookmarkEnd w:id="639"/>
      <w:bookmarkEnd w:id="640"/>
      <w:bookmarkEnd w:id="641"/>
      <w:r w:rsidRPr="00D714FC">
        <w:tab/>
      </w:r>
    </w:p>
    <w:p w:rsidR="00D632F2" w:rsidRPr="00E94172" w:rsidRDefault="00D07E1E" w:rsidP="00E439B4">
      <w:pPr>
        <w:pStyle w:val="Heading4"/>
        <w:keepLines/>
        <w:spacing w:before="0" w:after="0"/>
        <w:rPr>
          <w:rFonts w:ascii="Times New Roman" w:hAnsi="Times New Roman" w:cs="Times New Roman"/>
          <w:color w:val="FFFFFF" w:themeColor="background1"/>
        </w:rPr>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p>
    <w:tbl>
      <w:tblPr>
        <w:tblStyle w:val="TableGrid"/>
        <w:tblW w:w="9293" w:type="dxa"/>
        <w:tblLook w:val="04A0" w:firstRow="1" w:lastRow="0" w:firstColumn="1" w:lastColumn="0" w:noHBand="0" w:noVBand="1"/>
      </w:tblPr>
      <w:tblGrid>
        <w:gridCol w:w="9293"/>
      </w:tblGrid>
      <w:tr w:rsidR="00D632F2" w:rsidTr="00FC3878">
        <w:trPr>
          <w:trHeight w:val="8391"/>
        </w:trPr>
        <w:tc>
          <w:tcPr>
            <w:tcW w:w="9293" w:type="dxa"/>
            <w:tcBorders>
              <w:top w:val="nil"/>
              <w:left w:val="nil"/>
              <w:bottom w:val="nil"/>
              <w:right w:val="nil"/>
            </w:tcBorders>
            <w:shd w:val="clear" w:color="auto" w:fill="D9D9D9" w:themeFill="background1" w:themeFillShade="D9"/>
          </w:tcPr>
          <w:p w:rsidR="00ED342F" w:rsidRPr="00D714FC" w:rsidRDefault="00ED342F" w:rsidP="00E439B4">
            <w:pPr>
              <w:pStyle w:val="Caption"/>
              <w:rPr>
                <w:rFonts w:eastAsia="Arial"/>
              </w:rPr>
            </w:pPr>
            <w:bookmarkStart w:id="642" w:name="_Toc456783946"/>
            <w:bookmarkStart w:id="643" w:name="_Toc433975283"/>
            <w:bookmarkStart w:id="644" w:name="_Toc432937520"/>
            <w:bookmarkStart w:id="645" w:name="_Toc432768984"/>
            <w:bookmarkStart w:id="646" w:name="_Toc432769308"/>
            <w:bookmarkStart w:id="647" w:name="_Ref433914743"/>
            <w:r w:rsidRPr="00D714FC">
              <w:t xml:space="preserve">Rule advice </w:t>
            </w:r>
            <w:r w:rsidR="007F659D">
              <w:rPr>
                <w:noProof/>
              </w:rPr>
              <w:t>5</w:t>
            </w:r>
            <w:r>
              <w:noBreakHyphen/>
            </w:r>
            <w:r w:rsidR="007F659D">
              <w:rPr>
                <w:noProof/>
              </w:rPr>
              <w:t>J</w:t>
            </w:r>
            <w:bookmarkEnd w:id="642"/>
          </w:p>
          <w:p w:rsidR="00971F6D" w:rsidRPr="00B60F70" w:rsidRDefault="00971F6D" w:rsidP="00E439B4">
            <w:pPr>
              <w:pStyle w:val="Ruleadvicesubheading"/>
              <w:keepNext/>
              <w:keepLines/>
            </w:pPr>
            <w:bookmarkStart w:id="648" w:name="_Toc456783947"/>
            <w:bookmarkStart w:id="649" w:name="_Toc432937522"/>
            <w:bookmarkStart w:id="650" w:name="_Toc433975284"/>
            <w:bookmarkStart w:id="651" w:name="_Toc436123321"/>
            <w:bookmarkStart w:id="652" w:name="Rule_Advice_5J"/>
            <w:r w:rsidRPr="00B60F70">
              <w:t xml:space="preserve">Amendments to the </w:t>
            </w:r>
            <w:r w:rsidR="00B60F70" w:rsidRPr="00B60F70">
              <w:t xml:space="preserve">exemption process relating to </w:t>
            </w:r>
            <w:r w:rsidR="00E61879">
              <w:t>infrastructure charges specified in</w:t>
            </w:r>
            <w:r w:rsidR="00B60F70" w:rsidRPr="00B60F70">
              <w:t xml:space="preserve"> contracts</w:t>
            </w:r>
            <w:r w:rsidR="00E61879">
              <w:t xml:space="preserve"> (Rule 9)</w:t>
            </w:r>
          </w:p>
          <w:p w:rsidR="00D632F2" w:rsidRDefault="00D632F2" w:rsidP="00E439B4">
            <w:pPr>
              <w:pStyle w:val="Heading8"/>
              <w:keepNext/>
              <w:keepLines/>
              <w:outlineLvl w:val="7"/>
            </w:pPr>
            <w:r w:rsidRPr="00D714FC">
              <w:t>The rules should be amended to allow for an application for an exemption from the requirement</w:t>
            </w:r>
            <w:r w:rsidR="004F2420">
              <w:t xml:space="preserve"> to </w:t>
            </w:r>
            <w:r w:rsidR="00E61879">
              <w:t>include</w:t>
            </w:r>
            <w:r w:rsidR="004F2420">
              <w:t xml:space="preserve"> </w:t>
            </w:r>
            <w:r w:rsidR="00E61879">
              <w:t>infrastructure charges specified in a contract between the operator and one or more customers</w:t>
            </w:r>
            <w:r w:rsidR="0084422D">
              <w:t xml:space="preserve"> in the operator’s Schedule of Charges</w:t>
            </w:r>
            <w:r>
              <w:t>:</w:t>
            </w:r>
            <w:bookmarkEnd w:id="648"/>
          </w:p>
          <w:p w:rsidR="0064063E" w:rsidRDefault="00D632F2" w:rsidP="00E439B4">
            <w:pPr>
              <w:pStyle w:val="Ruleadvicebullet"/>
              <w:keepNext/>
              <w:keepLines/>
            </w:pPr>
            <w:bookmarkStart w:id="653" w:name="_Toc456783948"/>
            <w:r w:rsidRPr="00D714FC">
              <w:t xml:space="preserve">in a situation where publication would have a material </w:t>
            </w:r>
            <w:r w:rsidR="00E61879">
              <w:t xml:space="preserve">financial loss </w:t>
            </w:r>
            <w:r w:rsidR="00A97020">
              <w:t xml:space="preserve">for, </w:t>
            </w:r>
            <w:r w:rsidR="00E61879">
              <w:t xml:space="preserve">or material detriment </w:t>
            </w:r>
            <w:r w:rsidR="00A97020">
              <w:t>to,</w:t>
            </w:r>
            <w:r w:rsidR="00A97020" w:rsidRPr="00D714FC">
              <w:t xml:space="preserve"> </w:t>
            </w:r>
            <w:r w:rsidRPr="00D714FC">
              <w:t xml:space="preserve">the </w:t>
            </w:r>
            <w:r w:rsidRPr="0064063E">
              <w:t>operator</w:t>
            </w:r>
            <w:bookmarkStart w:id="654" w:name="_Toc432937525"/>
            <w:bookmarkEnd w:id="649"/>
            <w:bookmarkEnd w:id="653"/>
            <w:r w:rsidR="0054727E">
              <w:t xml:space="preserve"> </w:t>
            </w:r>
            <w:r w:rsidR="00E61879">
              <w:t xml:space="preserve">or the customer </w:t>
            </w:r>
            <w:r w:rsidR="0054727E">
              <w:t xml:space="preserve">(as opposed to the </w:t>
            </w:r>
            <w:r w:rsidR="00E61879">
              <w:t xml:space="preserve">current rules, which require that there be a ‘material and adverse effect’ on either both the </w:t>
            </w:r>
            <w:r w:rsidR="0054727E">
              <w:t xml:space="preserve">operator </w:t>
            </w:r>
            <w:r w:rsidR="0054727E">
              <w:rPr>
                <w:i/>
              </w:rPr>
              <w:t xml:space="preserve">and </w:t>
            </w:r>
            <w:r w:rsidR="0054727E">
              <w:t>the customer, or the customer only);</w:t>
            </w:r>
          </w:p>
          <w:p w:rsidR="0064063E" w:rsidRDefault="00D632F2" w:rsidP="00E439B4">
            <w:pPr>
              <w:pStyle w:val="Ruleadvicebullet"/>
              <w:keepNext/>
              <w:keepLines/>
            </w:pPr>
            <w:bookmarkStart w:id="655" w:name="_Toc456783949"/>
            <w:r w:rsidRPr="0064063E">
              <w:t xml:space="preserve">within 12 months of the rules being amended, for contracts that were entered into before the rules </w:t>
            </w:r>
            <w:r w:rsidR="00EE2E52">
              <w:t xml:space="preserve">were </w:t>
            </w:r>
            <w:r w:rsidRPr="0064063E">
              <w:t>amended</w:t>
            </w:r>
            <w:bookmarkEnd w:id="655"/>
            <w:r w:rsidR="0054727E">
              <w:t xml:space="preserve"> (despite the existing rules under which an application should have </w:t>
            </w:r>
            <w:r w:rsidR="00463D0B">
              <w:t xml:space="preserve">already </w:t>
            </w:r>
            <w:r w:rsidR="0054727E">
              <w:t>been made);</w:t>
            </w:r>
          </w:p>
          <w:p w:rsidR="00D632F2" w:rsidRDefault="0064063E" w:rsidP="00E439B4">
            <w:pPr>
              <w:pStyle w:val="Ruleadvicebullet"/>
              <w:keepNext/>
              <w:keepLines/>
            </w:pPr>
            <w:bookmarkStart w:id="656" w:name="_Toc456783950"/>
            <w:r>
              <w:t>on behalf of a group of customers subject to the same contract with the infrastructure operator (including the same infrastructure charges)</w:t>
            </w:r>
            <w:r w:rsidR="00C24DAA">
              <w:t xml:space="preserve"> where it can be shown that publication of the amount of the charge(s) would result in a material financial loss for, or material detriment to, the operator and / or </w:t>
            </w:r>
            <w:r w:rsidR="0084422D">
              <w:t xml:space="preserve">each </w:t>
            </w:r>
            <w:r w:rsidR="00C24DAA">
              <w:t>customer;</w:t>
            </w:r>
            <w:bookmarkEnd w:id="650"/>
            <w:bookmarkEnd w:id="651"/>
            <w:bookmarkEnd w:id="654"/>
            <w:bookmarkEnd w:id="656"/>
          </w:p>
          <w:p w:rsidR="00D841E3" w:rsidRPr="00D841E3" w:rsidRDefault="00D841E3" w:rsidP="00E439B4">
            <w:pPr>
              <w:pStyle w:val="Ruleadvicebullet"/>
              <w:keepNext/>
              <w:keepLines/>
            </w:pPr>
            <w:r>
              <w:t xml:space="preserve">in a situation where the contract specifies </w:t>
            </w:r>
            <w:r w:rsidR="006D6713">
              <w:t>a formula</w:t>
            </w:r>
            <w:r>
              <w:t xml:space="preserve"> by which the charge would be determined (this clarifies the existing rule, which may have the effect that an application could only be made </w:t>
            </w:r>
            <w:r w:rsidR="0084422D">
              <w:t>where the amount of</w:t>
            </w:r>
            <w:r>
              <w:t xml:space="preserve"> a charge is directly specified).</w:t>
            </w:r>
          </w:p>
          <w:p w:rsidR="00D632F2" w:rsidRDefault="00D632F2" w:rsidP="00E439B4">
            <w:pPr>
              <w:pStyle w:val="Heading8"/>
              <w:keepNext/>
              <w:keepLines/>
              <w:outlineLvl w:val="7"/>
              <w:rPr>
                <w:rFonts w:ascii="Times New Roman" w:hAnsi="Times New Roman"/>
              </w:rPr>
            </w:pPr>
            <w:bookmarkStart w:id="657" w:name="_Toc436123322"/>
            <w:bookmarkStart w:id="658" w:name="_Toc456783951"/>
            <w:r>
              <w:rPr>
                <w:rFonts w:ascii="Times New Roman" w:hAnsi="Times New Roman"/>
              </w:rPr>
              <w:t xml:space="preserve">This rule advice is implemented in </w:t>
            </w:r>
            <w:r w:rsidR="00DB6AE4">
              <w:rPr>
                <w:rFonts w:ascii="Times New Roman" w:hAnsi="Times New Roman"/>
              </w:rPr>
              <w:t>r</w:t>
            </w:r>
            <w:r>
              <w:rPr>
                <w:rFonts w:ascii="Times New Roman" w:hAnsi="Times New Roman"/>
              </w:rPr>
              <w:t>ule</w:t>
            </w:r>
            <w:r w:rsidR="0064063E">
              <w:rPr>
                <w:rFonts w:ascii="Times New Roman" w:hAnsi="Times New Roman"/>
              </w:rPr>
              <w:t>s</w:t>
            </w:r>
            <w:r>
              <w:rPr>
                <w:rFonts w:ascii="Times New Roman" w:hAnsi="Times New Roman"/>
              </w:rPr>
              <w:t xml:space="preserve"> 9 </w:t>
            </w:r>
            <w:r w:rsidR="0064063E">
              <w:rPr>
                <w:rFonts w:ascii="Times New Roman" w:hAnsi="Times New Roman"/>
              </w:rPr>
              <w:t xml:space="preserve">and 78 </w:t>
            </w:r>
            <w:r>
              <w:rPr>
                <w:rFonts w:ascii="Times New Roman" w:hAnsi="Times New Roman"/>
              </w:rPr>
              <w:t xml:space="preserve">of the proposed </w:t>
            </w:r>
            <w:r w:rsidR="00436161">
              <w:rPr>
                <w:rFonts w:ascii="Times New Roman" w:hAnsi="Times New Roman"/>
              </w:rPr>
              <w:t>W</w:t>
            </w:r>
            <w:r>
              <w:rPr>
                <w:rFonts w:ascii="Times New Roman" w:hAnsi="Times New Roman"/>
              </w:rPr>
              <w:t xml:space="preserve">ater </w:t>
            </w:r>
            <w:r w:rsidR="00436161">
              <w:rPr>
                <w:rFonts w:ascii="Times New Roman" w:hAnsi="Times New Roman"/>
              </w:rPr>
              <w:t>C</w:t>
            </w:r>
            <w:r>
              <w:rPr>
                <w:rFonts w:ascii="Times New Roman" w:hAnsi="Times New Roman"/>
              </w:rPr>
              <w:t xml:space="preserve">harge </w:t>
            </w:r>
            <w:r w:rsidR="00436161">
              <w:rPr>
                <w:rFonts w:ascii="Times New Roman" w:hAnsi="Times New Roman"/>
              </w:rPr>
              <w:t>R</w:t>
            </w:r>
            <w:r>
              <w:rPr>
                <w:rFonts w:ascii="Times New Roman" w:hAnsi="Times New Roman"/>
              </w:rPr>
              <w:t>ules.</w:t>
            </w:r>
            <w:bookmarkEnd w:id="657"/>
            <w:bookmarkEnd w:id="658"/>
          </w:p>
          <w:p w:rsidR="00971F6D" w:rsidRPr="00971F6D" w:rsidRDefault="00137B93" w:rsidP="00E439B4">
            <w:pPr>
              <w:pStyle w:val="Ruleadvicesubheading"/>
              <w:keepNext/>
              <w:keepLines/>
            </w:pPr>
            <w:r>
              <w:t>Other e</w:t>
            </w:r>
            <w:r w:rsidR="00971F6D">
              <w:t xml:space="preserve">xemptions </w:t>
            </w:r>
            <w:r w:rsidR="00641CAF">
              <w:t>from Schedule of Charges requirements for infrastructure operators</w:t>
            </w:r>
          </w:p>
          <w:p w:rsidR="00D632F2" w:rsidRPr="0064063E" w:rsidRDefault="00D632F2" w:rsidP="00E439B4">
            <w:pPr>
              <w:pStyle w:val="Heading8"/>
              <w:keepNext/>
              <w:keepLines/>
              <w:outlineLvl w:val="7"/>
            </w:pPr>
            <w:bookmarkStart w:id="659" w:name="_Toc456783952"/>
            <w:r w:rsidRPr="0064063E">
              <w:t xml:space="preserve">The rules should be amended </w:t>
            </w:r>
            <w:r w:rsidR="00890DA3">
              <w:t xml:space="preserve">such that a </w:t>
            </w:r>
            <w:r w:rsidR="00992708">
              <w:t>S</w:t>
            </w:r>
            <w:r w:rsidR="00890DA3">
              <w:t xml:space="preserve">chedule of </w:t>
            </w:r>
            <w:r w:rsidR="00992708">
              <w:t>C</w:t>
            </w:r>
            <w:r w:rsidR="00890DA3">
              <w:t>harges need not include</w:t>
            </w:r>
            <w:r w:rsidR="005D272C">
              <w:t xml:space="preserve"> the following</w:t>
            </w:r>
            <w:r w:rsidR="00890DA3">
              <w:t xml:space="preserve">: </w:t>
            </w:r>
            <w:bookmarkEnd w:id="659"/>
          </w:p>
          <w:p w:rsidR="00D866D9" w:rsidRPr="0084422D" w:rsidRDefault="00890DA3" w:rsidP="00E439B4">
            <w:pPr>
              <w:pStyle w:val="Ruleadvicebullet"/>
              <w:keepNext/>
              <w:keepLines/>
            </w:pPr>
            <w:bookmarkStart w:id="660" w:name="_Toc456783953"/>
            <w:r>
              <w:t>for a charge in relation to which an exemption has been granted under rule 9</w:t>
            </w:r>
            <w:r w:rsidR="006A71C8">
              <w:t>—</w:t>
            </w:r>
            <w:r>
              <w:t xml:space="preserve">details of the charge </w:t>
            </w:r>
            <w:r w:rsidR="00D866D9">
              <w:t>other than</w:t>
            </w:r>
            <w:r w:rsidR="0084422D">
              <w:t xml:space="preserve"> </w:t>
            </w:r>
            <w:r w:rsidR="000F4504">
              <w:t>the information specified in rule advice 5-K below</w:t>
            </w:r>
            <w:r w:rsidR="00D866D9" w:rsidRPr="0084422D">
              <w:t>.</w:t>
            </w:r>
          </w:p>
          <w:p w:rsidR="00FD3517" w:rsidRPr="00FD3517" w:rsidRDefault="00D866D9" w:rsidP="00E439B4">
            <w:pPr>
              <w:pStyle w:val="Ruleadvicebullet"/>
              <w:keepNext/>
              <w:keepLines/>
            </w:pPr>
            <w:r>
              <w:t xml:space="preserve">where </w:t>
            </w:r>
            <w:r w:rsidR="00D632F2" w:rsidRPr="0064063E">
              <w:t>a discount on a</w:t>
            </w:r>
            <w:r>
              <w:t>n infrastructure</w:t>
            </w:r>
            <w:r w:rsidR="00D632F2" w:rsidRPr="0064063E">
              <w:t xml:space="preserve"> charge </w:t>
            </w:r>
            <w:r>
              <w:t xml:space="preserve">is </w:t>
            </w:r>
            <w:r w:rsidR="00D632F2" w:rsidRPr="0064063E">
              <w:t>provided to an individual customer or customers for reasons of the customers</w:t>
            </w:r>
            <w:r>
              <w:t>’</w:t>
            </w:r>
            <w:r w:rsidR="00D632F2" w:rsidRPr="0064063E">
              <w:t xml:space="preserve"> hardship</w:t>
            </w:r>
            <w:r>
              <w:t xml:space="preserve"> (e.g. a natural disaster)</w:t>
            </w:r>
            <w:r w:rsidR="00D632F2" w:rsidRPr="0064063E">
              <w:t>, or in recognition of a service disruption they have experienced</w:t>
            </w:r>
            <w:bookmarkEnd w:id="660"/>
            <w:r w:rsidR="00D632F2" w:rsidRPr="0064063E">
              <w:t xml:space="preserve"> </w:t>
            </w:r>
            <w:r w:rsidR="00FD3517">
              <w:t>(e.g. temporary channel closure)</w:t>
            </w:r>
            <w:r w:rsidR="00641CAF">
              <w:rPr>
                <w:rFonts w:ascii="Calibri" w:hAnsi="Calibri"/>
              </w:rPr>
              <w:t>―</w:t>
            </w:r>
            <w:r w:rsidR="00FD3517">
              <w:t>the amount of the discount and any other information relevant to that discount.</w:t>
            </w:r>
          </w:p>
          <w:p w:rsidR="00FD3517" w:rsidRDefault="005D272C" w:rsidP="00E439B4">
            <w:pPr>
              <w:pStyle w:val="Ruleadvicebullet"/>
              <w:keepNext/>
              <w:keepLines/>
            </w:pPr>
            <w:bookmarkStart w:id="661" w:name="_Toc456783954"/>
            <w:r>
              <w:t>f</w:t>
            </w:r>
            <w:r w:rsidR="00FD3517">
              <w:t>or a</w:t>
            </w:r>
            <w:r>
              <w:t>n infrastructure</w:t>
            </w:r>
            <w:r w:rsidR="00FD3517">
              <w:t xml:space="preserve"> charge </w:t>
            </w:r>
            <w:r>
              <w:t xml:space="preserve">the infrastructure operator </w:t>
            </w:r>
            <w:r w:rsidR="00FD3517">
              <w:t>lev</w:t>
            </w:r>
            <w:r>
              <w:t>ies</w:t>
            </w:r>
            <w:r w:rsidR="00FD3517">
              <w:t xml:space="preserve"> in accordance with proposed rule 9A (see rule advice 5-Y) to recover the amount of any infrastructure charge or planning and management charge incurred by the operator in relation to a transaction undertaken on behalf of a customer, such as a trade application charge</w:t>
            </w:r>
            <w:r>
              <w:t>—</w:t>
            </w:r>
            <w:r w:rsidR="00FD3517">
              <w:t>all details of the charge.</w:t>
            </w:r>
            <w:r w:rsidR="00FC3FB3">
              <w:t xml:space="preserve"> </w:t>
            </w:r>
          </w:p>
          <w:p w:rsidR="00FD3517" w:rsidRPr="00FD3517" w:rsidRDefault="00641CAF" w:rsidP="00E439B4">
            <w:pPr>
              <w:pStyle w:val="Heading8"/>
              <w:keepNext/>
              <w:keepLines/>
              <w:outlineLvl w:val="7"/>
            </w:pPr>
            <w:r>
              <w:t>T</w:t>
            </w:r>
            <w:r w:rsidR="00FD3517" w:rsidRPr="00FD3517">
              <w:t xml:space="preserve">he rules should </w:t>
            </w:r>
            <w:r>
              <w:t xml:space="preserve">also provide </w:t>
            </w:r>
            <w:r w:rsidR="00FD3517" w:rsidRPr="00FD3517">
              <w:t>that if an operator levies</w:t>
            </w:r>
            <w:r w:rsidR="00FC3FB3">
              <w:t xml:space="preserve"> or proposes to levy</w:t>
            </w:r>
            <w:r w:rsidR="00FD3517" w:rsidRPr="00FD3517">
              <w:t xml:space="preserve"> an infrastructure charge for an infrastructure service</w:t>
            </w:r>
            <w:r w:rsidR="0084422D">
              <w:t xml:space="preserve"> (</w:t>
            </w:r>
            <w:r w:rsidR="00FD3517" w:rsidRPr="00FD3517">
              <w:t>other than a service in relation to the physical connection to</w:t>
            </w:r>
            <w:r w:rsidR="00FC3FB3">
              <w:t>,</w:t>
            </w:r>
            <w:r w:rsidR="00FD3517" w:rsidRPr="00FD3517">
              <w:t xml:space="preserve"> or disconnection from the operator’s water service infrastructure</w:t>
            </w:r>
            <w:r w:rsidR="0084422D">
              <w:t>)</w:t>
            </w:r>
            <w:r w:rsidR="00FC3FB3">
              <w:t xml:space="preserve"> and</w:t>
            </w:r>
            <w:r w:rsidR="00FD3517" w:rsidRPr="00FD3517">
              <w:t>:</w:t>
            </w:r>
          </w:p>
          <w:p w:rsidR="00FD3517" w:rsidRPr="00FD3517" w:rsidRDefault="00FD3517" w:rsidP="00E439B4">
            <w:pPr>
              <w:pStyle w:val="Ruleadvicebullet"/>
              <w:keepNext/>
              <w:keepLines/>
            </w:pPr>
            <w:r>
              <w:t>the nature of the service is known, but the information regarding the amount of the charge or details of rates and all other details necessary to determine that amount cannot be reasonably determined; or</w:t>
            </w:r>
          </w:p>
          <w:p w:rsidR="00FD3517" w:rsidRDefault="00FD3517" w:rsidP="00E439B4">
            <w:pPr>
              <w:pStyle w:val="Ruleadvicebullet"/>
              <w:keepNext/>
              <w:keepLines/>
            </w:pPr>
            <w:r>
              <w:t>the nature of the infrastructure service is not known</w:t>
            </w:r>
            <w:r w:rsidR="00FC3FB3">
              <w:t xml:space="preserve"> sufficiently in advance in order for it to be practicable to expect that the charge could be included in a Schedule of Charges</w:t>
            </w:r>
            <w:r>
              <w:t>;</w:t>
            </w:r>
          </w:p>
          <w:p w:rsidR="00FC3FB3" w:rsidRDefault="00FD3517" w:rsidP="00E439B4">
            <w:pPr>
              <w:pStyle w:val="Heading8"/>
              <w:keepNext/>
              <w:keepLines/>
              <w:ind w:left="426"/>
              <w:outlineLvl w:val="7"/>
            </w:pPr>
            <w:r w:rsidRPr="00FD3517">
              <w:t>then the operator does not need to include any</w:t>
            </w:r>
            <w:r w:rsidR="00603151">
              <w:t xml:space="preserve"> details about the charge on that</w:t>
            </w:r>
            <w:r w:rsidRPr="00FD3517">
              <w:t xml:space="preserve"> Schedule of Charges. However, the operator must adopt a new Schedule of Charges which includes details of that charge within 12 months of the infrastructure charge being levied</w:t>
            </w:r>
            <w:r w:rsidR="00641CAF">
              <w:t>.</w:t>
            </w:r>
            <w:r w:rsidR="004F6BD0">
              <w:t xml:space="preserve"> </w:t>
            </w:r>
          </w:p>
          <w:p w:rsidR="00FD3517" w:rsidRPr="003E6D79" w:rsidRDefault="00641CAF" w:rsidP="00E439B4">
            <w:pPr>
              <w:pStyle w:val="Heading8"/>
              <w:keepNext/>
              <w:keepLines/>
              <w:outlineLvl w:val="7"/>
              <w:rPr>
                <w:sz w:val="18"/>
                <w:szCs w:val="18"/>
              </w:rPr>
            </w:pPr>
            <w:r w:rsidRPr="003E6D79">
              <w:rPr>
                <w:i/>
                <w:sz w:val="18"/>
                <w:szCs w:val="18"/>
              </w:rPr>
              <w:t>Note</w:t>
            </w:r>
            <w:r w:rsidRPr="003E6D79">
              <w:rPr>
                <w:sz w:val="18"/>
                <w:szCs w:val="18"/>
              </w:rPr>
              <w:t xml:space="preserve">: In practice, if the operator would ordinarily have adopted a new Schedule of Charges within 12 months (e.g. because it updates its infrastructure charges each year), the operator may include the required details on that new </w:t>
            </w:r>
            <w:r w:rsidR="003A600C">
              <w:rPr>
                <w:sz w:val="18"/>
                <w:szCs w:val="18"/>
              </w:rPr>
              <w:t>S</w:t>
            </w:r>
            <w:r w:rsidRPr="003E6D79">
              <w:rPr>
                <w:sz w:val="18"/>
                <w:szCs w:val="18"/>
              </w:rPr>
              <w:t>chedule. However, if this were not to occur, an operator would still be required by this rule to adopt a new schedule which includes the relevant details</w:t>
            </w:r>
            <w:r w:rsidR="00766C65" w:rsidRPr="003E6D79">
              <w:rPr>
                <w:sz w:val="18"/>
                <w:szCs w:val="18"/>
              </w:rPr>
              <w:t xml:space="preserve"> within the required timeframe</w:t>
            </w:r>
            <w:r w:rsidR="00FC3FB3" w:rsidRPr="003E6D79">
              <w:rPr>
                <w:sz w:val="18"/>
                <w:szCs w:val="18"/>
              </w:rPr>
              <w:t xml:space="preserve">. </w:t>
            </w:r>
          </w:p>
          <w:p w:rsidR="00BE0E33" w:rsidRPr="003E6D79" w:rsidRDefault="0064063E" w:rsidP="00E439B4">
            <w:pPr>
              <w:pStyle w:val="Heading8"/>
              <w:keepNext/>
              <w:keepLines/>
              <w:outlineLvl w:val="7"/>
              <w:rPr>
                <w:sz w:val="18"/>
                <w:szCs w:val="18"/>
              </w:rPr>
            </w:pPr>
            <w:bookmarkStart w:id="662" w:name="_Toc456783959"/>
            <w:bookmarkEnd w:id="661"/>
            <w:r w:rsidRPr="003E6D79">
              <w:rPr>
                <w:i/>
                <w:sz w:val="18"/>
                <w:szCs w:val="18"/>
              </w:rPr>
              <w:t>Note:</w:t>
            </w:r>
            <w:r w:rsidRPr="003E6D79">
              <w:rPr>
                <w:sz w:val="18"/>
                <w:szCs w:val="18"/>
              </w:rPr>
              <w:t xml:space="preserve"> this rule advice is relevant to </w:t>
            </w:r>
            <w:r w:rsidR="005D272C" w:rsidRPr="003E6D79">
              <w:rPr>
                <w:sz w:val="18"/>
                <w:szCs w:val="18"/>
              </w:rPr>
              <w:t xml:space="preserve">proposed rule 7 in </w:t>
            </w:r>
            <w:r w:rsidR="00DB6AE4" w:rsidRPr="003E6D79">
              <w:rPr>
                <w:sz w:val="18"/>
                <w:szCs w:val="18"/>
              </w:rPr>
              <w:t>r</w:t>
            </w:r>
            <w:r w:rsidRPr="003E6D79">
              <w:rPr>
                <w:sz w:val="18"/>
                <w:szCs w:val="18"/>
              </w:rPr>
              <w:t xml:space="preserve">ule </w:t>
            </w:r>
            <w:r w:rsidR="00DB6AE4" w:rsidRPr="003E6D79">
              <w:rPr>
                <w:sz w:val="18"/>
                <w:szCs w:val="18"/>
              </w:rPr>
              <w:t>a</w:t>
            </w:r>
            <w:r w:rsidRPr="003E6D79">
              <w:rPr>
                <w:sz w:val="18"/>
                <w:szCs w:val="18"/>
              </w:rPr>
              <w:t>dvice 5-E</w:t>
            </w:r>
            <w:r w:rsidR="00E2011C" w:rsidRPr="003E6D79">
              <w:rPr>
                <w:sz w:val="18"/>
                <w:szCs w:val="18"/>
              </w:rPr>
              <w:t xml:space="preserve"> because it allows infrastructure charges in these circumstances</w:t>
            </w:r>
            <w:r w:rsidR="004F6BD0">
              <w:rPr>
                <w:sz w:val="18"/>
                <w:szCs w:val="18"/>
              </w:rPr>
              <w:t xml:space="preserve"> </w:t>
            </w:r>
            <w:r w:rsidR="00E2011C" w:rsidRPr="003E6D79">
              <w:rPr>
                <w:sz w:val="18"/>
                <w:szCs w:val="18"/>
              </w:rPr>
              <w:t>to be levied despite the charges (and all other details of those charges) not being on a Schedule of Charges at the time the infrastructure service is provided</w:t>
            </w:r>
            <w:r w:rsidR="005D272C" w:rsidRPr="003E6D79">
              <w:rPr>
                <w:sz w:val="18"/>
                <w:szCs w:val="18"/>
              </w:rPr>
              <w:t xml:space="preserve">. </w:t>
            </w:r>
            <w:bookmarkEnd w:id="662"/>
          </w:p>
          <w:p w:rsidR="00702809" w:rsidRDefault="00BE0E33" w:rsidP="00E439B4">
            <w:pPr>
              <w:pStyle w:val="Heading8"/>
              <w:keepNext/>
              <w:keepLines/>
              <w:outlineLvl w:val="7"/>
            </w:pPr>
            <w:bookmarkStart w:id="663" w:name="_Toc456783961"/>
            <w:r w:rsidRPr="0064063E">
              <w:rPr>
                <w:rFonts w:ascii="Times New Roman" w:hAnsi="Times New Roman"/>
              </w:rPr>
              <w:t xml:space="preserve">This rule advice is implemented in </w:t>
            </w:r>
            <w:r w:rsidR="00DB6AE4">
              <w:rPr>
                <w:rFonts w:ascii="Times New Roman" w:hAnsi="Times New Roman"/>
              </w:rPr>
              <w:t>r</w:t>
            </w:r>
            <w:r w:rsidRPr="0064063E">
              <w:rPr>
                <w:rFonts w:ascii="Times New Roman" w:hAnsi="Times New Roman"/>
              </w:rPr>
              <w:t>ule</w:t>
            </w:r>
            <w:r w:rsidR="000F4504">
              <w:rPr>
                <w:rFonts w:ascii="Times New Roman" w:hAnsi="Times New Roman"/>
              </w:rPr>
              <w:t>s 9 and</w:t>
            </w:r>
            <w:r w:rsidRPr="0064063E">
              <w:rPr>
                <w:rFonts w:ascii="Times New Roman" w:hAnsi="Times New Roman"/>
              </w:rPr>
              <w:t xml:space="preserve"> 11 of the proposed </w:t>
            </w:r>
            <w:r w:rsidR="00436161">
              <w:rPr>
                <w:rFonts w:ascii="Times New Roman" w:hAnsi="Times New Roman"/>
              </w:rPr>
              <w:t>W</w:t>
            </w:r>
            <w:r w:rsidRPr="0064063E">
              <w:rPr>
                <w:rFonts w:ascii="Times New Roman" w:hAnsi="Times New Roman"/>
              </w:rPr>
              <w:t xml:space="preserve">ater </w:t>
            </w:r>
            <w:r w:rsidR="00436161">
              <w:rPr>
                <w:rFonts w:ascii="Times New Roman" w:hAnsi="Times New Roman"/>
              </w:rPr>
              <w:t>C</w:t>
            </w:r>
            <w:r w:rsidRPr="0064063E">
              <w:rPr>
                <w:rFonts w:ascii="Times New Roman" w:hAnsi="Times New Roman"/>
              </w:rPr>
              <w:t xml:space="preserve">harge </w:t>
            </w:r>
            <w:r w:rsidR="00436161">
              <w:rPr>
                <w:rFonts w:ascii="Times New Roman" w:hAnsi="Times New Roman"/>
              </w:rPr>
              <w:t>R</w:t>
            </w:r>
            <w:r w:rsidRPr="0064063E">
              <w:rPr>
                <w:rFonts w:ascii="Times New Roman" w:hAnsi="Times New Roman"/>
              </w:rPr>
              <w:t>ules.</w:t>
            </w:r>
            <w:bookmarkStart w:id="664" w:name="_Toc456783962"/>
            <w:bookmarkEnd w:id="652"/>
            <w:bookmarkEnd w:id="663"/>
          </w:p>
          <w:p w:rsidR="00ED342F" w:rsidRPr="00D714FC" w:rsidRDefault="00ED342F" w:rsidP="00E439B4">
            <w:pPr>
              <w:pStyle w:val="Caption"/>
              <w:rPr>
                <w:rFonts w:eastAsia="Arial"/>
              </w:rPr>
            </w:pPr>
            <w:r w:rsidRPr="00D714FC">
              <w:t xml:space="preserve">Rule advice </w:t>
            </w:r>
            <w:r w:rsidR="007F659D">
              <w:rPr>
                <w:noProof/>
              </w:rPr>
              <w:t>5</w:t>
            </w:r>
            <w:r>
              <w:noBreakHyphen/>
            </w:r>
            <w:r w:rsidR="007F659D">
              <w:rPr>
                <w:noProof/>
              </w:rPr>
              <w:t>K</w:t>
            </w:r>
            <w:bookmarkEnd w:id="664"/>
          </w:p>
          <w:p w:rsidR="00824B33" w:rsidRDefault="00D632F2" w:rsidP="00E439B4">
            <w:pPr>
              <w:pStyle w:val="Heading8"/>
              <w:keepNext/>
              <w:keepLines/>
              <w:outlineLvl w:val="7"/>
            </w:pPr>
            <w:bookmarkStart w:id="665" w:name="_Toc433975286"/>
            <w:bookmarkStart w:id="666" w:name="_Toc436123324"/>
            <w:bookmarkStart w:id="667" w:name="_Toc456783963"/>
            <w:bookmarkStart w:id="668" w:name="_Toc432937527"/>
            <w:bookmarkStart w:id="669" w:name="Rule_Advice_5K"/>
            <w:r w:rsidRPr="00D714FC">
              <w:t xml:space="preserve">The rules should be amended to require infrastructure operators who have received an exemption under </w:t>
            </w:r>
            <w:r w:rsidR="00DB6AE4">
              <w:t>r</w:t>
            </w:r>
            <w:r w:rsidRPr="00D714FC">
              <w:t>ule 9 to include</w:t>
            </w:r>
            <w:r w:rsidR="00824B33">
              <w:t>:</w:t>
            </w:r>
            <w:r w:rsidR="001417F0">
              <w:t xml:space="preserve"> </w:t>
            </w:r>
          </w:p>
          <w:p w:rsidR="00D632F2" w:rsidRPr="00D714FC" w:rsidRDefault="001417F0" w:rsidP="00E439B4">
            <w:pPr>
              <w:pStyle w:val="Ruleadvicebullet"/>
              <w:keepNext/>
              <w:keepLines/>
            </w:pPr>
            <w:r>
              <w:t>a</w:t>
            </w:r>
            <w:r w:rsidR="00D632F2" w:rsidRPr="00D714FC">
              <w:t xml:space="preserve"> notice of the exemption on their Schedule of Charges</w:t>
            </w:r>
            <w:r w:rsidR="00590B8F">
              <w:t>;</w:t>
            </w:r>
            <w:bookmarkEnd w:id="665"/>
            <w:bookmarkEnd w:id="666"/>
            <w:bookmarkEnd w:id="667"/>
          </w:p>
          <w:p w:rsidR="00D632F2" w:rsidRPr="00D714FC" w:rsidRDefault="00D632F2" w:rsidP="00E439B4">
            <w:pPr>
              <w:pStyle w:val="Ruleadvicebullet"/>
              <w:keepNext/>
              <w:keepLines/>
            </w:pPr>
            <w:bookmarkStart w:id="670" w:name="_Toc436123325"/>
            <w:bookmarkStart w:id="671" w:name="_Toc456783964"/>
            <w:r w:rsidRPr="00D714FC">
              <w:t xml:space="preserve">the name of the </w:t>
            </w:r>
            <w:r w:rsidR="001A6EF6">
              <w:t>customer(s)</w:t>
            </w:r>
            <w:r w:rsidRPr="00D714FC">
              <w:t>;</w:t>
            </w:r>
            <w:bookmarkEnd w:id="670"/>
            <w:bookmarkEnd w:id="671"/>
          </w:p>
          <w:p w:rsidR="00D632F2" w:rsidRPr="00D714FC" w:rsidRDefault="00D632F2" w:rsidP="00E439B4">
            <w:pPr>
              <w:pStyle w:val="Ruleadvicebullet"/>
              <w:keepNext/>
              <w:keepLines/>
            </w:pPr>
            <w:bookmarkStart w:id="672" w:name="_Toc436123326"/>
            <w:bookmarkStart w:id="673" w:name="_Toc456783965"/>
            <w:r w:rsidRPr="00D714FC">
              <w:t xml:space="preserve">the time period of the </w:t>
            </w:r>
            <w:r w:rsidR="001A6EF6">
              <w:t>contract</w:t>
            </w:r>
            <w:r w:rsidRPr="00D714FC">
              <w:t>;</w:t>
            </w:r>
            <w:bookmarkEnd w:id="672"/>
            <w:bookmarkEnd w:id="673"/>
          </w:p>
          <w:p w:rsidR="00D632F2" w:rsidRDefault="00D632F2" w:rsidP="00E439B4">
            <w:pPr>
              <w:pStyle w:val="Ruleadvicebullet"/>
              <w:keepNext/>
              <w:keepLines/>
            </w:pPr>
            <w:bookmarkStart w:id="674" w:name="_Toc436123327"/>
            <w:bookmarkStart w:id="675" w:name="_Toc456783966"/>
            <w:r w:rsidRPr="00D714FC">
              <w:t>the nature of the infrastructure service to which the charge exempt from disclosure relates.</w:t>
            </w:r>
            <w:bookmarkEnd w:id="674"/>
            <w:bookmarkEnd w:id="675"/>
          </w:p>
          <w:p w:rsidR="001417F0" w:rsidRPr="001417F0" w:rsidRDefault="001417F0" w:rsidP="00E439B4">
            <w:pPr>
              <w:pStyle w:val="Heading8"/>
              <w:keepNext/>
              <w:keepLines/>
              <w:outlineLvl w:val="7"/>
            </w:pPr>
            <w:r>
              <w:t xml:space="preserve">The rules should require the operator to provide this information on a Schedule of Charges within 12 months after the exemption is granted. </w:t>
            </w:r>
          </w:p>
          <w:p w:rsidR="00D632F2" w:rsidRDefault="00D632F2" w:rsidP="00E439B4">
            <w:pPr>
              <w:pStyle w:val="Heading8"/>
              <w:keepNext/>
              <w:keepLines/>
              <w:outlineLvl w:val="7"/>
            </w:pPr>
            <w:bookmarkStart w:id="676" w:name="_Toc432937528"/>
            <w:bookmarkStart w:id="677" w:name="_Toc433975287"/>
            <w:bookmarkStart w:id="678" w:name="_Toc436123328"/>
            <w:bookmarkStart w:id="679" w:name="_Toc456783967"/>
            <w:bookmarkEnd w:id="668"/>
            <w:r w:rsidRPr="00D714FC">
              <w:t>Rule 55 should be amended to allow the ACCC to publish the name of the parties who are the subject of the exemption, and the type of infrastructure service to which the exemption relates.</w:t>
            </w:r>
            <w:bookmarkEnd w:id="676"/>
            <w:bookmarkEnd w:id="677"/>
            <w:bookmarkEnd w:id="678"/>
            <w:bookmarkEnd w:id="679"/>
          </w:p>
          <w:p w:rsidR="00D632F2" w:rsidRPr="00BD60CC" w:rsidRDefault="00D632F2" w:rsidP="00E439B4">
            <w:pPr>
              <w:pStyle w:val="Heading8"/>
              <w:keepNext/>
              <w:keepLines/>
              <w:outlineLvl w:val="7"/>
            </w:pPr>
            <w:bookmarkStart w:id="680" w:name="_Toc436123329"/>
            <w:bookmarkStart w:id="681" w:name="_Toc456783968"/>
            <w:r>
              <w:rPr>
                <w:rFonts w:ascii="Times New Roman" w:hAnsi="Times New Roman"/>
              </w:rPr>
              <w:t xml:space="preserve">This rule advice is implemented in </w:t>
            </w:r>
            <w:r w:rsidR="00DB6AE4">
              <w:rPr>
                <w:rFonts w:ascii="Times New Roman" w:hAnsi="Times New Roman"/>
              </w:rPr>
              <w:t>r</w:t>
            </w:r>
            <w:r>
              <w:rPr>
                <w:rFonts w:ascii="Times New Roman" w:hAnsi="Times New Roman"/>
              </w:rPr>
              <w:t>ule</w:t>
            </w:r>
            <w:r w:rsidR="006D6713">
              <w:rPr>
                <w:rFonts w:ascii="Times New Roman" w:hAnsi="Times New Roman"/>
              </w:rPr>
              <w:t>s</w:t>
            </w:r>
            <w:r>
              <w:rPr>
                <w:rFonts w:ascii="Times New Roman" w:hAnsi="Times New Roman"/>
              </w:rPr>
              <w:t xml:space="preserve"> 9 and 55 of the proposed </w:t>
            </w:r>
            <w:r w:rsidR="00436161">
              <w:rPr>
                <w:rFonts w:ascii="Times New Roman" w:hAnsi="Times New Roman"/>
              </w:rPr>
              <w:t>W</w:t>
            </w:r>
            <w:r>
              <w:rPr>
                <w:rFonts w:ascii="Times New Roman" w:hAnsi="Times New Roman"/>
              </w:rPr>
              <w:t xml:space="preserve">ater </w:t>
            </w:r>
            <w:r w:rsidR="00436161">
              <w:rPr>
                <w:rFonts w:ascii="Times New Roman" w:hAnsi="Times New Roman"/>
              </w:rPr>
              <w:t>C</w:t>
            </w:r>
            <w:r>
              <w:rPr>
                <w:rFonts w:ascii="Times New Roman" w:hAnsi="Times New Roman"/>
              </w:rPr>
              <w:t xml:space="preserve">harge </w:t>
            </w:r>
            <w:r w:rsidR="00436161">
              <w:rPr>
                <w:rFonts w:ascii="Times New Roman" w:hAnsi="Times New Roman"/>
              </w:rPr>
              <w:t>R</w:t>
            </w:r>
            <w:r>
              <w:rPr>
                <w:rFonts w:ascii="Times New Roman" w:hAnsi="Times New Roman"/>
              </w:rPr>
              <w:t>ules.</w:t>
            </w:r>
            <w:bookmarkEnd w:id="669"/>
            <w:bookmarkEnd w:id="680"/>
            <w:bookmarkEnd w:id="681"/>
          </w:p>
        </w:tc>
      </w:tr>
    </w:tbl>
    <w:bookmarkEnd w:id="643"/>
    <w:bookmarkEnd w:id="644"/>
    <w:bookmarkEnd w:id="645"/>
    <w:bookmarkEnd w:id="646"/>
    <w:bookmarkEnd w:id="647"/>
    <w:p w:rsidR="006246A8" w:rsidRPr="006246A8" w:rsidRDefault="006246A8" w:rsidP="006246A8">
      <w:pPr>
        <w:pStyle w:val="Heading4"/>
      </w:pPr>
      <w:r>
        <w:t>Background</w:t>
      </w:r>
    </w:p>
    <w:p w:rsidR="00727A11" w:rsidRPr="00D714FC" w:rsidRDefault="00727A11" w:rsidP="00727A11">
      <w:pPr>
        <w:rPr>
          <w:rFonts w:cs="Times New Roman"/>
        </w:rPr>
      </w:pPr>
      <w:r w:rsidRPr="00D714FC">
        <w:rPr>
          <w:rFonts w:cs="Times New Roman"/>
        </w:rPr>
        <w:t xml:space="preserve">Rule 9 of the </w:t>
      </w:r>
      <w:r w:rsidR="00E623B1" w:rsidRPr="0067271D">
        <w:rPr>
          <w:rFonts w:cs="Times New Roman"/>
        </w:rPr>
        <w:t>Water Charge (Infrastructure) Rules 2010</w:t>
      </w:r>
      <w:r w:rsidR="00E623B1">
        <w:rPr>
          <w:rFonts w:cs="Times New Roman"/>
        </w:rPr>
        <w:t xml:space="preserve"> (</w:t>
      </w:r>
      <w:r w:rsidRPr="00D714FC">
        <w:rPr>
          <w:rFonts w:cs="Times New Roman"/>
        </w:rPr>
        <w:t>WCIR</w:t>
      </w:r>
      <w:r w:rsidR="00E623B1">
        <w:rPr>
          <w:rFonts w:cs="Times New Roman"/>
        </w:rPr>
        <w:t>)</w:t>
      </w:r>
      <w:r w:rsidRPr="00D714FC">
        <w:rPr>
          <w:rFonts w:cs="Times New Roman"/>
        </w:rPr>
        <w:t xml:space="preserve"> currently provides that where an infrastructure operator and a customer have entered or propose to enter into a written contract for the provision of infrastructure services to the customer at agreed charges specified in the contract and believe, on reasonable grounds, that disclosure of details would have a material and adverse effect for the operator and customer or customer, the operator and the customer jointly or the customer may apply in writing to the ACCC for an exemption from requirements to include its </w:t>
      </w:r>
      <w:r w:rsidR="001865C9" w:rsidRPr="00D714FC">
        <w:rPr>
          <w:rFonts w:cs="Times New Roman"/>
        </w:rPr>
        <w:t xml:space="preserve">infrastructure </w:t>
      </w:r>
      <w:r w:rsidRPr="00D714FC">
        <w:rPr>
          <w:rFonts w:cs="Times New Roman"/>
        </w:rPr>
        <w:t xml:space="preserve">charges for those services in its </w:t>
      </w:r>
      <w:r w:rsidR="00262689" w:rsidRPr="00D714FC">
        <w:rPr>
          <w:rFonts w:cs="Times New Roman"/>
        </w:rPr>
        <w:t>Schedule of Charges</w:t>
      </w:r>
      <w:r w:rsidRPr="00D714FC">
        <w:rPr>
          <w:rFonts w:cs="Times New Roman"/>
        </w:rPr>
        <w:t xml:space="preserve">. </w:t>
      </w:r>
    </w:p>
    <w:p w:rsidR="00727A11" w:rsidRPr="00D714FC" w:rsidRDefault="00727A11" w:rsidP="00727A11">
      <w:pPr>
        <w:rPr>
          <w:rFonts w:cs="Times New Roman"/>
        </w:rPr>
      </w:pPr>
      <w:r w:rsidRPr="00D714FC">
        <w:rPr>
          <w:rFonts w:cs="Times New Roman"/>
        </w:rPr>
        <w:t xml:space="preserve">In its </w:t>
      </w:r>
      <w:r w:rsidR="005B7802">
        <w:rPr>
          <w:rFonts w:cs="Times New Roman"/>
        </w:rPr>
        <w:t>F</w:t>
      </w:r>
      <w:r w:rsidRPr="00D714FC">
        <w:rPr>
          <w:rFonts w:cs="Times New Roman"/>
        </w:rPr>
        <w:t xml:space="preserve">inal </w:t>
      </w:r>
      <w:r w:rsidR="005B7802">
        <w:rPr>
          <w:rFonts w:cs="Times New Roman"/>
        </w:rPr>
        <w:t>A</w:t>
      </w:r>
      <w:r w:rsidRPr="00D714FC">
        <w:rPr>
          <w:rFonts w:cs="Times New Roman"/>
        </w:rPr>
        <w:t xml:space="preserve">dvice on the </w:t>
      </w:r>
      <w:r w:rsidR="00D06F8D">
        <w:rPr>
          <w:rFonts w:cs="Times New Roman"/>
        </w:rPr>
        <w:t xml:space="preserve">development of the </w:t>
      </w:r>
      <w:r w:rsidR="007936C4" w:rsidRPr="00D714FC">
        <w:rPr>
          <w:rFonts w:cs="Times New Roman"/>
        </w:rPr>
        <w:t>WCIR</w:t>
      </w:r>
      <w:r w:rsidRPr="00D714FC">
        <w:rPr>
          <w:rFonts w:cs="Times New Roman"/>
        </w:rPr>
        <w:t>, the ACCC considered this exemption provision to be adequate to ensure commercial disadvantage does not arise as a result of the publication requirement. In other circumstances, the benefits of increased transparency in water infrastructure markets outweigh the commercial sensitivity felt by parties to contracts.</w:t>
      </w:r>
      <w:r w:rsidRPr="00D714FC">
        <w:rPr>
          <w:rStyle w:val="FootnoteReference"/>
          <w:rFonts w:cs="Times New Roman"/>
        </w:rPr>
        <w:footnoteReference w:id="331"/>
      </w:r>
    </w:p>
    <w:p w:rsidR="006C1734" w:rsidRDefault="006C1734" w:rsidP="006C1734">
      <w:pPr>
        <w:rPr>
          <w:rFonts w:cs="Times New Roman"/>
        </w:rPr>
      </w:pPr>
      <w:r>
        <w:rPr>
          <w:rFonts w:cs="Times New Roman"/>
        </w:rPr>
        <w:t xml:space="preserve">The ACCC believes that the disclosure of infrastructure charges is essential to the objective of pricing transparency. The discussion in section 5.3 noted the potential for infrastructure operators to discriminate in the charges they levy on different types of customers. Pricing transparency is essential to ensuring customers are aware not only of the charges they will incur but also the charges levied by the infrastructure operator for the same or similar infrastructure services. </w:t>
      </w:r>
    </w:p>
    <w:p w:rsidR="006C1734" w:rsidRPr="00D714FC" w:rsidRDefault="003F1613" w:rsidP="006C1734">
      <w:pPr>
        <w:rPr>
          <w:rFonts w:cs="Times New Roman"/>
        </w:rPr>
      </w:pPr>
      <w:r>
        <w:rPr>
          <w:rFonts w:cs="Times New Roman"/>
        </w:rPr>
        <w:t>In its Draft Advice, t</w:t>
      </w:r>
      <w:r w:rsidR="006C1734" w:rsidRPr="00D714FC">
        <w:rPr>
          <w:rFonts w:cs="Times New Roman"/>
        </w:rPr>
        <w:t>he ACCC identified that the following improvements could be made to this rule:</w:t>
      </w:r>
    </w:p>
    <w:p w:rsidR="006C1734" w:rsidRPr="00A37902" w:rsidRDefault="006C1734" w:rsidP="00E439B4">
      <w:pPr>
        <w:pStyle w:val="Heading5"/>
      </w:pPr>
      <w:r w:rsidRPr="00A37902">
        <w:rPr>
          <w:rStyle w:val="SubtleEmphasis"/>
          <w:i w:val="0"/>
          <w:iCs w:val="0"/>
          <w:color w:val="auto"/>
        </w:rPr>
        <w:t xml:space="preserve">Allowing for applications on </w:t>
      </w:r>
      <w:r w:rsidRPr="00E439B4">
        <w:rPr>
          <w:rStyle w:val="SubtleEmphasis"/>
          <w:i w:val="0"/>
          <w:iCs w:val="0"/>
          <w:color w:val="auto"/>
        </w:rPr>
        <w:t>the</w:t>
      </w:r>
      <w:r w:rsidRPr="00A37902">
        <w:rPr>
          <w:rStyle w:val="SubtleEmphasis"/>
          <w:i w:val="0"/>
          <w:iCs w:val="0"/>
          <w:color w:val="auto"/>
        </w:rPr>
        <w:t xml:space="preserve"> grounds of a material and adverse effect on the operator only</w:t>
      </w:r>
    </w:p>
    <w:p w:rsidR="006C1734" w:rsidRPr="00D714FC" w:rsidRDefault="006C1734" w:rsidP="006C1734">
      <w:pPr>
        <w:rPr>
          <w:rFonts w:cs="Times New Roman"/>
        </w:rPr>
      </w:pPr>
      <w:r w:rsidRPr="00D714FC">
        <w:rPr>
          <w:rFonts w:cs="Times New Roman"/>
        </w:rPr>
        <w:t xml:space="preserve">Currently, the ability to apply for an exemption requires that there is a material and adverse effect to the customer(s) of the operator. </w:t>
      </w:r>
      <w:r w:rsidR="00DB6AE4">
        <w:rPr>
          <w:rFonts w:cs="Times New Roman"/>
        </w:rPr>
        <w:t>Subr</w:t>
      </w:r>
      <w:r w:rsidRPr="00D714FC">
        <w:rPr>
          <w:rFonts w:cs="Times New Roman"/>
        </w:rPr>
        <w:t xml:space="preserve">ule 9(2) provides for the case where there is a material and adverse effect on </w:t>
      </w:r>
      <w:r w:rsidRPr="00D714FC">
        <w:rPr>
          <w:rFonts w:cs="Times New Roman"/>
          <w:i/>
        </w:rPr>
        <w:t xml:space="preserve">both </w:t>
      </w:r>
      <w:r w:rsidRPr="00D714FC">
        <w:rPr>
          <w:rFonts w:cs="Times New Roman"/>
        </w:rPr>
        <w:t xml:space="preserve">the operator and the customer and </w:t>
      </w:r>
      <w:r w:rsidR="00DB6AE4">
        <w:rPr>
          <w:rFonts w:cs="Times New Roman"/>
        </w:rPr>
        <w:t>subr</w:t>
      </w:r>
      <w:r w:rsidRPr="00D714FC">
        <w:rPr>
          <w:rFonts w:cs="Times New Roman"/>
        </w:rPr>
        <w:t>ule 9(</w:t>
      </w:r>
      <w:r w:rsidR="003F1613">
        <w:rPr>
          <w:rFonts w:cs="Times New Roman"/>
        </w:rPr>
        <w:t>3</w:t>
      </w:r>
      <w:r w:rsidRPr="00D714FC">
        <w:rPr>
          <w:rFonts w:cs="Times New Roman"/>
        </w:rPr>
        <w:t xml:space="preserve">) provides for the case where the material and adverse effect is on the customer only. </w:t>
      </w:r>
    </w:p>
    <w:p w:rsidR="006C1734" w:rsidRPr="00D714FC" w:rsidRDefault="006C1734" w:rsidP="006C1734">
      <w:pPr>
        <w:rPr>
          <w:rFonts w:cs="Times New Roman"/>
        </w:rPr>
      </w:pPr>
      <w:r w:rsidRPr="00D714FC">
        <w:rPr>
          <w:rFonts w:cs="Times New Roman"/>
        </w:rPr>
        <w:t>The proposed amendment provide</w:t>
      </w:r>
      <w:r w:rsidR="00743FD8">
        <w:rPr>
          <w:rFonts w:cs="Times New Roman"/>
        </w:rPr>
        <w:t>d</w:t>
      </w:r>
      <w:r w:rsidRPr="00D714FC">
        <w:rPr>
          <w:rFonts w:cs="Times New Roman"/>
        </w:rPr>
        <w:t xml:space="preserve"> for </w:t>
      </w:r>
      <w:r>
        <w:rPr>
          <w:rFonts w:cs="Times New Roman"/>
        </w:rPr>
        <w:t xml:space="preserve">the </w:t>
      </w:r>
      <w:r w:rsidRPr="00D714FC">
        <w:rPr>
          <w:rFonts w:cs="Times New Roman"/>
        </w:rPr>
        <w:t xml:space="preserve">additional situation where </w:t>
      </w:r>
      <w:r w:rsidRPr="00D714FC">
        <w:rPr>
          <w:rFonts w:cs="Times New Roman"/>
          <w:i/>
        </w:rPr>
        <w:t>only</w:t>
      </w:r>
      <w:r w:rsidRPr="00D714FC">
        <w:rPr>
          <w:rFonts w:cs="Times New Roman"/>
        </w:rPr>
        <w:t xml:space="preserve"> the operator would incur the negative effects of publication. The ACCC consider</w:t>
      </w:r>
      <w:r w:rsidR="00743FD8">
        <w:rPr>
          <w:rFonts w:cs="Times New Roman"/>
        </w:rPr>
        <w:t>ed</w:t>
      </w:r>
      <w:r w:rsidRPr="00D714FC">
        <w:rPr>
          <w:rFonts w:cs="Times New Roman"/>
        </w:rPr>
        <w:t xml:space="preserve"> that it may be reasonable for the operator to be afforded the protection of </w:t>
      </w:r>
      <w:r w:rsidR="00DB6AE4">
        <w:rPr>
          <w:rFonts w:cs="Times New Roman"/>
        </w:rPr>
        <w:t>r</w:t>
      </w:r>
      <w:r w:rsidRPr="00D714FC">
        <w:rPr>
          <w:rFonts w:cs="Times New Roman"/>
        </w:rPr>
        <w:t>ule 9 even though no detriment is occurring for the customer. In this case, the ACCC consider</w:t>
      </w:r>
      <w:r w:rsidR="00743FD8">
        <w:rPr>
          <w:rFonts w:cs="Times New Roman"/>
        </w:rPr>
        <w:t>ed</w:t>
      </w:r>
      <w:r w:rsidRPr="00D714FC">
        <w:rPr>
          <w:rFonts w:cs="Times New Roman"/>
        </w:rPr>
        <w:t xml:space="preserve"> that the operator should be able to apply in writing to the ACCC for an exemption. </w:t>
      </w:r>
      <w:r w:rsidR="003F1613">
        <w:rPr>
          <w:rFonts w:cs="Times New Roman"/>
        </w:rPr>
        <w:t xml:space="preserve">The ACCC therefore made draft rule advice to extend </w:t>
      </w:r>
      <w:r w:rsidR="00DB6AE4">
        <w:rPr>
          <w:rFonts w:cs="Times New Roman"/>
        </w:rPr>
        <w:t>r</w:t>
      </w:r>
      <w:r w:rsidR="003F1613">
        <w:rPr>
          <w:rFonts w:cs="Times New Roman"/>
        </w:rPr>
        <w:t>ule 9 to apply in cases where there is a material and adverse effect on the operator only (draft rule advice 5-J).</w:t>
      </w:r>
    </w:p>
    <w:p w:rsidR="006C1734" w:rsidRPr="00B146CD" w:rsidRDefault="006C1734" w:rsidP="00E439B4">
      <w:pPr>
        <w:pStyle w:val="Heading5"/>
        <w:rPr>
          <w:rStyle w:val="SubtleEmphasis"/>
          <w:i w:val="0"/>
          <w:iCs w:val="0"/>
          <w:color w:val="auto"/>
        </w:rPr>
      </w:pPr>
      <w:r w:rsidRPr="00B146CD">
        <w:rPr>
          <w:rStyle w:val="SubtleEmphasis"/>
          <w:i w:val="0"/>
          <w:iCs w:val="0"/>
          <w:color w:val="auto"/>
        </w:rPr>
        <w:t xml:space="preserve">An infrastructure operator should be required to provide notice that it has been granted an </w:t>
      </w:r>
      <w:r w:rsidRPr="00E439B4">
        <w:rPr>
          <w:rStyle w:val="SubtleEmphasis"/>
          <w:i w:val="0"/>
          <w:iCs w:val="0"/>
          <w:color w:val="auto"/>
        </w:rPr>
        <w:t>exemption</w:t>
      </w:r>
    </w:p>
    <w:p w:rsidR="006C1734" w:rsidRPr="00D714FC" w:rsidRDefault="006C1734" w:rsidP="006C1734">
      <w:pPr>
        <w:rPr>
          <w:rFonts w:cs="Times New Roman"/>
        </w:rPr>
      </w:pPr>
      <w:r w:rsidRPr="00D714FC">
        <w:rPr>
          <w:rFonts w:cs="Times New Roman"/>
        </w:rPr>
        <w:t xml:space="preserve">Currently, subrule 9(12) requires the ACCC to publish notice of an exemption on its website; thus, information about when an exemption is granted is already in the public domain. However, the ACCC remains concerned that operators’ customers should have readily available access to this information. In particular, the </w:t>
      </w:r>
      <w:r w:rsidR="00743FD8">
        <w:rPr>
          <w:rFonts w:cs="Times New Roman"/>
        </w:rPr>
        <w:t xml:space="preserve">Draft Advice </w:t>
      </w:r>
      <w:r w:rsidRPr="00D714FC">
        <w:rPr>
          <w:rFonts w:cs="Times New Roman"/>
        </w:rPr>
        <w:t>consider</w:t>
      </w:r>
      <w:r w:rsidR="00743FD8">
        <w:rPr>
          <w:rFonts w:cs="Times New Roman"/>
        </w:rPr>
        <w:t>ed</w:t>
      </w:r>
      <w:r w:rsidRPr="00D714FC">
        <w:rPr>
          <w:rFonts w:cs="Times New Roman"/>
        </w:rPr>
        <w:t xml:space="preserve"> that the current subrule 9(12) d</w:t>
      </w:r>
      <w:r w:rsidR="00743FD8">
        <w:rPr>
          <w:rFonts w:cs="Times New Roman"/>
        </w:rPr>
        <w:t>id</w:t>
      </w:r>
      <w:r w:rsidRPr="00D714FC">
        <w:rPr>
          <w:rFonts w:cs="Times New Roman"/>
        </w:rPr>
        <w:t xml:space="preserve"> not necessarily facilitate the desired level of transparency for customers of an operator or water market participants more broadly.</w:t>
      </w:r>
    </w:p>
    <w:p w:rsidR="006C1734" w:rsidRPr="00D714FC" w:rsidRDefault="006C1734" w:rsidP="006C1734">
      <w:pPr>
        <w:spacing w:before="240"/>
        <w:rPr>
          <w:rFonts w:cs="Times New Roman"/>
        </w:rPr>
      </w:pPr>
      <w:r w:rsidRPr="00D714FC">
        <w:rPr>
          <w:rFonts w:cs="Times New Roman"/>
        </w:rPr>
        <w:t>Therefore, the ACCC consider</w:t>
      </w:r>
      <w:r w:rsidR="00743FD8">
        <w:rPr>
          <w:rFonts w:cs="Times New Roman"/>
        </w:rPr>
        <w:t>ed</w:t>
      </w:r>
      <w:r w:rsidRPr="00D714FC">
        <w:rPr>
          <w:rFonts w:cs="Times New Roman"/>
        </w:rPr>
        <w:t xml:space="preserve"> that it </w:t>
      </w:r>
      <w:r w:rsidR="00743FD8">
        <w:rPr>
          <w:rFonts w:cs="Times New Roman"/>
        </w:rPr>
        <w:t>wa</w:t>
      </w:r>
      <w:r w:rsidRPr="00D714FC">
        <w:rPr>
          <w:rFonts w:cs="Times New Roman"/>
        </w:rPr>
        <w:t>s appropriate for operators to declare</w:t>
      </w:r>
      <w:r w:rsidR="003F1613">
        <w:rPr>
          <w:rStyle w:val="FootnoteReference"/>
          <w:rFonts w:cs="Times New Roman"/>
        </w:rPr>
        <w:footnoteReference w:id="332"/>
      </w:r>
      <w:r w:rsidRPr="00D714FC">
        <w:rPr>
          <w:rFonts w:cs="Times New Roman"/>
        </w:rPr>
        <w:t xml:space="preserve"> on their Schedule of Charges when they have been granted an exemption under </w:t>
      </w:r>
      <w:r w:rsidR="00DB6AE4">
        <w:rPr>
          <w:rFonts w:cs="Times New Roman"/>
        </w:rPr>
        <w:t>r</w:t>
      </w:r>
      <w:r w:rsidRPr="00D714FC">
        <w:rPr>
          <w:rFonts w:cs="Times New Roman"/>
        </w:rPr>
        <w:t xml:space="preserve">ule 9. This </w:t>
      </w:r>
      <w:r w:rsidR="003F1613">
        <w:rPr>
          <w:rFonts w:cs="Times New Roman"/>
        </w:rPr>
        <w:t xml:space="preserve">draft rule advice </w:t>
      </w:r>
      <w:r w:rsidR="00743FD8">
        <w:rPr>
          <w:rFonts w:cs="Times New Roman"/>
        </w:rPr>
        <w:t xml:space="preserve">would </w:t>
      </w:r>
      <w:r w:rsidRPr="00D714FC">
        <w:rPr>
          <w:rFonts w:cs="Times New Roman"/>
        </w:rPr>
        <w:t xml:space="preserve">provide improved transparency for customers of the operator, while still preserving the intent of </w:t>
      </w:r>
      <w:r w:rsidR="00DB6AE4">
        <w:rPr>
          <w:rFonts w:cs="Times New Roman"/>
        </w:rPr>
        <w:t>r</w:t>
      </w:r>
      <w:r w:rsidRPr="00D714FC">
        <w:rPr>
          <w:rFonts w:cs="Times New Roman"/>
        </w:rPr>
        <w:t xml:space="preserve">ule 9 to protect from commercial disadvantage in the stated circumstances. </w:t>
      </w:r>
    </w:p>
    <w:p w:rsidR="00012A25" w:rsidRPr="00D714FC" w:rsidRDefault="00012A25" w:rsidP="00075838">
      <w:pPr>
        <w:pStyle w:val="Heading4"/>
        <w:rPr>
          <w:rFonts w:ascii="Times New Roman" w:hAnsi="Times New Roman" w:cs="Times New Roman"/>
        </w:rPr>
      </w:pPr>
      <w:r w:rsidRPr="00D714FC">
        <w:rPr>
          <w:rFonts w:ascii="Times New Roman" w:hAnsi="Times New Roman" w:cs="Times New Roman"/>
        </w:rPr>
        <w:t>Stakeholder feedback</w:t>
      </w:r>
    </w:p>
    <w:p w:rsidR="00E83ECD" w:rsidRDefault="00E83ECD" w:rsidP="00FC3878">
      <w:pPr>
        <w:spacing w:before="120" w:after="120"/>
      </w:pPr>
      <w:r>
        <w:t>In the Issues Paper, the ACCC asked for stakeholder feedback on:</w:t>
      </w:r>
    </w:p>
    <w:p w:rsidR="00E83ECD" w:rsidRPr="00A37902" w:rsidRDefault="00E83ECD" w:rsidP="00A82DE6">
      <w:pPr>
        <w:pStyle w:val="Lvl1Bulletpoint"/>
      </w:pPr>
      <w:r w:rsidRPr="00A37902">
        <w:t xml:space="preserve">the circumstances in which an infrastructure operator should be exempt from the obligation to include all their regulated charges in their </w:t>
      </w:r>
      <w:r w:rsidR="0049588D">
        <w:t>S</w:t>
      </w:r>
      <w:r w:rsidRPr="00A37902">
        <w:t xml:space="preserve">chedule of </w:t>
      </w:r>
      <w:r w:rsidR="0049588D">
        <w:t>C</w:t>
      </w:r>
      <w:r w:rsidRPr="00A37902">
        <w:t>harges.</w:t>
      </w:r>
    </w:p>
    <w:p w:rsidR="00E83ECD" w:rsidRPr="00A37902" w:rsidRDefault="00E83ECD" w:rsidP="00A82DE6">
      <w:pPr>
        <w:pStyle w:val="Lvl1Bulletpoint"/>
      </w:pPr>
      <w:r w:rsidRPr="00A37902">
        <w:t>the procedural requirements that infrastructure operators should be required to meet when applying for an exemption.</w:t>
      </w:r>
    </w:p>
    <w:p w:rsidR="00E83ECD" w:rsidRDefault="00E83ECD" w:rsidP="0031695A">
      <w:pPr>
        <w:spacing w:before="120"/>
      </w:pPr>
      <w:r>
        <w:t>Only two stakeholders responded to the Issues Paper on this matter. Central Irrigation Trust</w:t>
      </w:r>
      <w:r w:rsidR="00996599">
        <w:t xml:space="preserve"> (CIT)</w:t>
      </w:r>
      <w:r>
        <w:t xml:space="preserve"> commented that the existing rule is satisfactory. Murrumbidgee Irrigation Limited</w:t>
      </w:r>
      <w:r w:rsidR="008621D4">
        <w:t xml:space="preserve"> (MI)</w:t>
      </w:r>
      <w:r>
        <w:t xml:space="preserve"> submitted that it did not support the publication of commercially negotiated contracts, particularly when those charges are confidential. MI considered that it is sufficient that there is agreement between the customer paying the charge and the infrastructure operator, and that the customer knows the charge with certainty and in advance. </w:t>
      </w:r>
    </w:p>
    <w:p w:rsidR="00E83ECD" w:rsidRDefault="00E83ECD" w:rsidP="00A37902">
      <w:r>
        <w:t xml:space="preserve">The ACCC received four written submissions on the Draft Advice from stakeholders commenting on the need to apply for an exemption, and the ACCC’s proposed amendments to that provision. </w:t>
      </w:r>
    </w:p>
    <w:p w:rsidR="00E83ECD" w:rsidRDefault="00E83ECD" w:rsidP="00A37902">
      <w:r>
        <w:t xml:space="preserve">The South Australian Department of Treasury and Finance and the National Irrigators’ Council </w:t>
      </w:r>
      <w:r w:rsidR="00071C0C">
        <w:t xml:space="preserve">(NIC) </w:t>
      </w:r>
      <w:r>
        <w:t>consider that the publication of commercially negotiated charges and / or uncertainty as to whether an exemption will be obtained could affect the willingness for operators and / or (potential) customers to enter into commercial arrangements.</w:t>
      </w:r>
    </w:p>
    <w:p w:rsidR="00E83ECD" w:rsidRDefault="00E83ECD" w:rsidP="00135446">
      <w:pPr>
        <w:spacing w:after="120"/>
      </w:pPr>
      <w:r>
        <w:t>The South Australian Department of Treasury and Finance’s main concern in this respect is the need to apply for an exemption on a case-by-case basis.</w:t>
      </w:r>
      <w:r w:rsidRPr="00073821">
        <w:rPr>
          <w:rStyle w:val="FootnoteReference"/>
          <w:sz w:val="20"/>
          <w:szCs w:val="20"/>
        </w:rPr>
        <w:footnoteReference w:id="333"/>
      </w:r>
      <w:r>
        <w:t xml:space="preserve"> The South Australian Department of Treasury and Finance has requested that the ACCC consider a class exemption for infrastructure operators who meet the following criteria:</w:t>
      </w:r>
    </w:p>
    <w:p w:rsidR="00E83ECD" w:rsidRDefault="00E83ECD" w:rsidP="00A82DE6">
      <w:pPr>
        <w:pStyle w:val="Lvl1Bulletpoint"/>
      </w:pPr>
      <w:r>
        <w:t xml:space="preserve">the infrastructure operator’s charges are covered by an access arrangement or third-party access regime under Part IIIA of the </w:t>
      </w:r>
      <w:r w:rsidR="00C91F5B" w:rsidRPr="00C91F5B">
        <w:rPr>
          <w:i/>
        </w:rPr>
        <w:t>Competition and Consumer Act 2010</w:t>
      </w:r>
      <w:r w:rsidR="00C91F5B">
        <w:t xml:space="preserve"> (</w:t>
      </w:r>
      <w:r>
        <w:t>CCA</w:t>
      </w:r>
      <w:r w:rsidR="00C91F5B">
        <w:t>)</w:t>
      </w:r>
      <w:r>
        <w:t>,</w:t>
      </w:r>
      <w:r>
        <w:rPr>
          <w:rStyle w:val="FootnoteReference"/>
        </w:rPr>
        <w:footnoteReference w:id="334"/>
      </w:r>
      <w:r>
        <w:t xml:space="preserve"> and</w:t>
      </w:r>
    </w:p>
    <w:p w:rsidR="00E83ECD" w:rsidRDefault="00E83ECD" w:rsidP="00A82DE6">
      <w:pPr>
        <w:pStyle w:val="Lvl1Bulletpoint"/>
      </w:pPr>
      <w:r>
        <w:t>there is independent regulatory oversight, including annual reporting, on the access arrangement or third-party access regime.</w:t>
      </w:r>
    </w:p>
    <w:p w:rsidR="00E83ECD" w:rsidRDefault="00E83ECD" w:rsidP="00A37902">
      <w:r>
        <w:t>The NIC is of the view that commercial entities are unlikely to consent to publishing their charges; however, applying for an exemption is “unappealing” because the test would be difficult to satisfy.</w:t>
      </w:r>
      <w:r w:rsidRPr="00A178BE">
        <w:rPr>
          <w:rStyle w:val="FootnoteReference"/>
          <w:color w:val="000000"/>
          <w:sz w:val="20"/>
          <w:szCs w:val="20"/>
        </w:rPr>
        <w:footnoteReference w:id="335"/>
      </w:r>
      <w:r w:rsidR="00C6733C">
        <w:t xml:space="preserve"> </w:t>
      </w:r>
      <w:r>
        <w:t xml:space="preserve">In the absence of commercial arrangements, the NIC warn that the infrastructure operator will have fewer customers over which it can recover its costs, resulting in higher charges for irrigators. </w:t>
      </w:r>
    </w:p>
    <w:p w:rsidR="00E83ECD" w:rsidRDefault="00B71238" w:rsidP="00A37902">
      <w:r>
        <w:t>Lower Murray Water (</w:t>
      </w:r>
      <w:r w:rsidR="00E83ECD">
        <w:t>LMW</w:t>
      </w:r>
      <w:r>
        <w:t>)</w:t>
      </w:r>
      <w:r w:rsidR="00E83ECD">
        <w:t xml:space="preserve"> similarly submitted that it does not support the requirement to publish commercially negotiated charges and called for the removal of this requirement and the accompanying exemption process.</w:t>
      </w:r>
      <w:r w:rsidR="00E83ECD" w:rsidRPr="00A178BE">
        <w:rPr>
          <w:rStyle w:val="FootnoteReference"/>
          <w:sz w:val="20"/>
          <w:szCs w:val="20"/>
        </w:rPr>
        <w:footnoteReference w:id="336"/>
      </w:r>
      <w:r w:rsidR="00E83ECD">
        <w:t xml:space="preserve"> LMW made five main arguments</w:t>
      </w:r>
      <w:r w:rsidR="0030009A">
        <w:t>:</w:t>
      </w:r>
    </w:p>
    <w:p w:rsidR="00E83ECD" w:rsidRDefault="00E83ECD" w:rsidP="00135446">
      <w:pPr>
        <w:pStyle w:val="Lvl1Bulletpoint"/>
        <w:spacing w:after="0"/>
        <w:ind w:left="568" w:hanging="284"/>
      </w:pPr>
      <w:r>
        <w:t>In relation to the exemption process and legal test under which the ACCC must assess applications, LMW noted:</w:t>
      </w:r>
    </w:p>
    <w:p w:rsidR="00E83ECD" w:rsidRDefault="00E83ECD" w:rsidP="009B6ED8">
      <w:pPr>
        <w:pStyle w:val="Lvl2Bulletpoint"/>
      </w:pPr>
      <w:r>
        <w:t>it would be “unlikely” that an operator would obtain an exemption.</w:t>
      </w:r>
    </w:p>
    <w:p w:rsidR="00E83ECD" w:rsidRDefault="00E83ECD" w:rsidP="009B6ED8">
      <w:pPr>
        <w:pStyle w:val="Lvl2Bulletpoint"/>
      </w:pPr>
      <w:r>
        <w:t>it would be a potentially time-consuming process for the infrastructure operator if there were back and forth communication before the ACCC makes a decision.</w:t>
      </w:r>
    </w:p>
    <w:p w:rsidR="00E83ECD" w:rsidRDefault="00E83ECD" w:rsidP="009B6ED8">
      <w:pPr>
        <w:pStyle w:val="Lvl2Bulletpoint"/>
      </w:pPr>
      <w:r>
        <w:t>customers can get annoyed at the time taken for government approval of applications and processes.</w:t>
      </w:r>
    </w:p>
    <w:p w:rsidR="00E83ECD" w:rsidRDefault="00E83ECD" w:rsidP="009B6ED8">
      <w:pPr>
        <w:pStyle w:val="Lvl2Bulletpoint"/>
      </w:pPr>
      <w:r>
        <w:t>it places an administrative burden on the ACCC to monitor compliance and assess exemption applications.</w:t>
      </w:r>
    </w:p>
    <w:p w:rsidR="00E83ECD" w:rsidRDefault="00E83ECD" w:rsidP="00A82DE6">
      <w:pPr>
        <w:pStyle w:val="Lvl1Bulletpoint"/>
      </w:pPr>
      <w:r>
        <w:t xml:space="preserve">LMW is working to make its </w:t>
      </w:r>
      <w:r w:rsidR="0049588D">
        <w:t>S</w:t>
      </w:r>
      <w:r>
        <w:t xml:space="preserve">chedule of </w:t>
      </w:r>
      <w:r w:rsidR="0049588D">
        <w:t>C</w:t>
      </w:r>
      <w:r>
        <w:t xml:space="preserve">harges easier for customers to understand and publishing additional information about commercially negotiated charges, which will not be applicable to most customers, will create confusion. </w:t>
      </w:r>
    </w:p>
    <w:p w:rsidR="00E83ECD" w:rsidRDefault="00E83ECD" w:rsidP="00A82DE6">
      <w:pPr>
        <w:pStyle w:val="Lvl1Bulletpoint"/>
      </w:pPr>
      <w:r>
        <w:t xml:space="preserve">If a customer had concerns about the details of a contract that LMW has with another customer then they could use the </w:t>
      </w:r>
      <w:r w:rsidRPr="00E85B2B">
        <w:rPr>
          <w:i/>
        </w:rPr>
        <w:t>Freedom of Information Act 1982</w:t>
      </w:r>
      <w:r>
        <w:t xml:space="preserve">. Further, the customer who has entered into a commercial arrangement with LMW has a contract, which sets out the relevant information, and if a dispute arises then that customer has legislated avenues for resolving the dispute. </w:t>
      </w:r>
    </w:p>
    <w:p w:rsidR="00E83ECD" w:rsidRDefault="00E83ECD" w:rsidP="00A82DE6">
      <w:pPr>
        <w:pStyle w:val="Lvl1Bulletpoint"/>
      </w:pPr>
      <w:r>
        <w:t xml:space="preserve">An operator would need to send a new </w:t>
      </w:r>
      <w:r w:rsidR="0049588D">
        <w:t>S</w:t>
      </w:r>
      <w:r>
        <w:t xml:space="preserve">chedule of </w:t>
      </w:r>
      <w:r w:rsidR="0049588D">
        <w:t>C</w:t>
      </w:r>
      <w:r>
        <w:t xml:space="preserve">harges to all customers every time it enters into a new (commercially negotiated) contract, which is unwarranted, impractical and unfeasible. LMW added that because it may need to publish a new </w:t>
      </w:r>
      <w:r w:rsidR="0049588D">
        <w:t>S</w:t>
      </w:r>
      <w:r>
        <w:t xml:space="preserve">chedule of </w:t>
      </w:r>
      <w:r w:rsidR="0049588D">
        <w:t>C</w:t>
      </w:r>
      <w:r>
        <w:t xml:space="preserve">harges several times per year to comply with this requirement, the process would be costly, time consuming and undesirable. LMW also noted that draft </w:t>
      </w:r>
      <w:r w:rsidR="0049588D">
        <w:t>r</w:t>
      </w:r>
      <w:r>
        <w:t xml:space="preserve">ule </w:t>
      </w:r>
      <w:r w:rsidR="0049588D">
        <w:t>a</w:t>
      </w:r>
      <w:r>
        <w:t xml:space="preserve">dvice 5-K means that an operator would still need to send the </w:t>
      </w:r>
      <w:r w:rsidR="0049588D">
        <w:t>S</w:t>
      </w:r>
      <w:r>
        <w:t xml:space="preserve">chedule of </w:t>
      </w:r>
      <w:r w:rsidR="0049588D">
        <w:t>C</w:t>
      </w:r>
      <w:r>
        <w:t xml:space="preserve">harges, even if the operator is successful in obtaining an exemption. This is because the operator still needs to publish other information about the contract such as the name of the entity paying the charge. </w:t>
      </w:r>
    </w:p>
    <w:p w:rsidR="00E83ECD" w:rsidRPr="00A37902" w:rsidRDefault="00DB2D91" w:rsidP="00A82DE6">
      <w:pPr>
        <w:pStyle w:val="Lvl1Bulletpoint"/>
      </w:pPr>
      <w:r>
        <w:t>T</w:t>
      </w:r>
      <w:r w:rsidR="00E83ECD" w:rsidRPr="00A37902">
        <w:t>he ACCC has not had regard to commercial confidentiality clauses</w:t>
      </w:r>
      <w:r w:rsidR="00E47CE9" w:rsidRPr="00A37902">
        <w:t xml:space="preserve"> and </w:t>
      </w:r>
      <w:r w:rsidR="00E83ECD" w:rsidRPr="00A37902">
        <w:t>the ACCC should consider the benefit to the community of the publication of this information.</w:t>
      </w:r>
    </w:p>
    <w:p w:rsidR="00E83ECD" w:rsidRDefault="00E83ECD" w:rsidP="00743FD8">
      <w:r>
        <w:t xml:space="preserve">Mr Connolly alleges that the Victorian Environmental Water Holder </w:t>
      </w:r>
      <w:r w:rsidR="00874041">
        <w:t xml:space="preserve">(VEWH) </w:t>
      </w:r>
      <w:r>
        <w:t>“does not pay the same as irrigators for their water delivered through [Goulburn Murray Water’s] IIO delivery system”.</w:t>
      </w:r>
      <w:r w:rsidRPr="00283DE7">
        <w:rPr>
          <w:rStyle w:val="FootnoteReference"/>
          <w:rFonts w:cs="Times New Roman"/>
          <w:color w:val="000000"/>
          <w:sz w:val="20"/>
          <w:szCs w:val="20"/>
        </w:rPr>
        <w:footnoteReference w:id="337"/>
      </w:r>
      <w:r>
        <w:t xml:space="preserve"> Mr Connolly’s view is based on his reading of GMW’s 2015-16 </w:t>
      </w:r>
      <w:r w:rsidR="0049588D">
        <w:t>S</w:t>
      </w:r>
      <w:r>
        <w:t xml:space="preserve">chedule of </w:t>
      </w:r>
      <w:r w:rsidR="0049588D">
        <w:t>C</w:t>
      </w:r>
      <w:r>
        <w:t>harges and GMW’s application to the Essential Services Commission</w:t>
      </w:r>
      <w:r w:rsidR="00ED02CF">
        <w:t xml:space="preserve"> of Victoria (ESCV)</w:t>
      </w:r>
      <w:r>
        <w:t xml:space="preserve"> for the approval</w:t>
      </w:r>
      <w:r w:rsidR="00E47CE9">
        <w:t xml:space="preserve"> </w:t>
      </w:r>
      <w:r>
        <w:t>/</w:t>
      </w:r>
      <w:r w:rsidR="00E47CE9">
        <w:t xml:space="preserve"> </w:t>
      </w:r>
      <w:r>
        <w:t xml:space="preserve">determination of its charges. Mr Connolly notes that the application sets out that the VEWH’s charges are levied according to a ‘delivery share equivalent approach’ but there is no ‘delivery share equivalent’, “which can be accessed by all customers in the [2015-16] Schedule of charges”. </w:t>
      </w:r>
    </w:p>
    <w:p w:rsidR="00E83ECD" w:rsidRDefault="00E83ECD" w:rsidP="00743FD8">
      <w:r>
        <w:t>The VEWH</w:t>
      </w:r>
      <w:r w:rsidR="00396FD5" w:rsidRPr="00283DE7">
        <w:rPr>
          <w:rStyle w:val="FootnoteReference"/>
          <w:rFonts w:cs="Times New Roman"/>
          <w:sz w:val="20"/>
          <w:szCs w:val="20"/>
        </w:rPr>
        <w:footnoteReference w:id="338"/>
      </w:r>
      <w:r>
        <w:t xml:space="preserve"> submitted that there is scope for clarifying in the Final Advice that environmental water holders do pay off-river infrastructure charges, headworks and delivery charges, and that they might receive a lower priority delivery service. </w:t>
      </w:r>
      <w:r w:rsidR="00DC01C4">
        <w:t>T</w:t>
      </w:r>
      <w:r>
        <w:t>he VEWH also submitted that in some cases, the infrastructure services obtained by environmental water holders can be the same or different to the service received by irrigators. The VEWH considers that these differences should be acknowledged, where they exist.</w:t>
      </w:r>
      <w:r w:rsidR="00C6733C">
        <w:t xml:space="preserve"> </w:t>
      </w:r>
    </w:p>
    <w:p w:rsidR="00E83ECD" w:rsidRDefault="00E83ECD" w:rsidP="00743FD8">
      <w:r>
        <w:t>The Queensland Farmers</w:t>
      </w:r>
      <w:r w:rsidR="008E524B">
        <w:t>’</w:t>
      </w:r>
      <w:r>
        <w:t xml:space="preserve"> Federation (QFF) submitted that it supports proposed amendments to the exemption provisions (</w:t>
      </w:r>
      <w:r w:rsidR="00DB6AE4">
        <w:t>r</w:t>
      </w:r>
      <w:r>
        <w:t xml:space="preserve">ule </w:t>
      </w:r>
      <w:r w:rsidR="00DB6AE4">
        <w:t>a</w:t>
      </w:r>
      <w:r>
        <w:t>dvices 5-J and 5-K).</w:t>
      </w:r>
      <w:r w:rsidRPr="00700694">
        <w:rPr>
          <w:rStyle w:val="FootnoteReference"/>
          <w:rFonts w:cs="Times New Roman"/>
          <w:sz w:val="20"/>
          <w:szCs w:val="20"/>
        </w:rPr>
        <w:footnoteReference w:id="339"/>
      </w:r>
      <w:r>
        <w:t xml:space="preserve"> </w:t>
      </w:r>
    </w:p>
    <w:p w:rsidR="00E63AE0" w:rsidRDefault="0079321E" w:rsidP="00FA40C2">
      <w:pPr>
        <w:pStyle w:val="Heading4"/>
        <w:rPr>
          <w:rFonts w:ascii="Times New Roman" w:hAnsi="Times New Roman" w:cs="Times New Roman"/>
        </w:rPr>
      </w:pPr>
      <w:r>
        <w:rPr>
          <w:rFonts w:ascii="Times New Roman" w:hAnsi="Times New Roman" w:cs="Times New Roman"/>
        </w:rPr>
        <w:t>ACCC assessment</w:t>
      </w:r>
    </w:p>
    <w:p w:rsidR="00E83ECD" w:rsidRPr="00A37902" w:rsidRDefault="00E83ECD" w:rsidP="00D17F9C">
      <w:pPr>
        <w:pStyle w:val="Heading5"/>
      </w:pPr>
      <w:r w:rsidRPr="00A37902">
        <w:t>Rule 9 – Exemption relating to certain contracts</w:t>
      </w:r>
    </w:p>
    <w:p w:rsidR="00E83ECD" w:rsidRDefault="00E83ECD" w:rsidP="00743FD8">
      <w:r>
        <w:t xml:space="preserve">The ACCC recognises stakeholder concerns about the willingness for customers and operators to enter into commercial contracts due to the requirement to publish commercially negotiated charges and / or uncertainty about whether an exemption will be provided. The ACCC considers that the publication of commercially negotiated contracts will remove information asymmetries, to the benefit </w:t>
      </w:r>
      <w:r w:rsidR="00174834">
        <w:t xml:space="preserve">of </w:t>
      </w:r>
      <w:r>
        <w:t xml:space="preserve">all customers, including those that are negotiating with the operator. However, where the customer does have a concern about the charge being published, the rules allow the customer (and / or operator) to apply for an exemption. </w:t>
      </w:r>
    </w:p>
    <w:p w:rsidR="00E83ECD" w:rsidRDefault="00E83ECD" w:rsidP="00743FD8">
      <w:r>
        <w:t>The ACCC notes that the exemption process in rule 9 of the water charge rules places the burden of proof on the operator and / or customer to provide evidence that publication will result in a material financial loss for, or material detriment to, the operator or customer. The ACCC maintains that the rule should require publication unless the customer</w:t>
      </w:r>
      <w:r w:rsidR="00174834">
        <w:t xml:space="preserve"> </w:t>
      </w:r>
      <w:r>
        <w:t>/ operator can provide this evidence. However, the ACCC agrees that there is scope to provide additional guidance material about what evidence would be required to prove that there would be a ‘material financial loss or detriment’. This guidance material could assist in providing greater confidence to operators and customers about the process and in reducing uncertainty about the likelihood of success</w:t>
      </w:r>
      <w:r w:rsidR="003652AA">
        <w:t>fully obtaining an exemption</w:t>
      </w:r>
      <w:r>
        <w:t xml:space="preserve">. The ACCC’s guidance material will also be important for addressing stakeholder concerns about the timeliness of the exemption process. </w:t>
      </w:r>
    </w:p>
    <w:p w:rsidR="00E83ECD" w:rsidRDefault="00E83ECD" w:rsidP="00743FD8">
      <w:r>
        <w:t xml:space="preserve">Under rule 9, the ACCC must make a decision about an application for exemption within 30 business days. However, factors that will add to the amount of time required to complete this process include the </w:t>
      </w:r>
      <w:r w:rsidR="00A14774">
        <w:t xml:space="preserve">time required for the </w:t>
      </w:r>
      <w:r>
        <w:t xml:space="preserve">operator / customer to prepare the application and </w:t>
      </w:r>
      <w:r w:rsidR="00A14774">
        <w:t xml:space="preserve">the ACCC’s use </w:t>
      </w:r>
      <w:r>
        <w:t xml:space="preserve">of the ‘clock-stop’ provisions to request further information. The ACCC considers that updated guidance material, which clearly identifies what information is required to support an exemption application, will reduce the time required to compile the application and the likelihood of the ACCC needing to request further information (by using the ‘clock-stop’ provisions). These factors should assist in reducing stakeholder concerns about the timeliness of the exemption process. </w:t>
      </w:r>
    </w:p>
    <w:p w:rsidR="00E83ECD" w:rsidRDefault="00E83ECD" w:rsidP="003652AA">
      <w:r w:rsidRPr="00743FD8">
        <w:t xml:space="preserve">The ACCC continues to support the amendment to the exemption process proposed in the Draft Advice, which would allow an operator </w:t>
      </w:r>
      <w:r w:rsidRPr="003652AA">
        <w:rPr>
          <w:i/>
        </w:rPr>
        <w:t>alone</w:t>
      </w:r>
      <w:r w:rsidRPr="00743FD8">
        <w:t xml:space="preserve"> to seek an exemption. This amendment will increase the circumstances in which parties to the contract can apply for an exemption. Under the existing rules, an operator cannot apply for an exemption without the customer also applying, and the operator / customer must prove that the publication would be of detriment to the customer alone, or both the operator and customer.</w:t>
      </w:r>
    </w:p>
    <w:p w:rsidR="003652AA" w:rsidRPr="00743FD8" w:rsidRDefault="003652AA" w:rsidP="003652AA">
      <w:r>
        <w:t>The ACCC considers that the following t</w:t>
      </w:r>
      <w:r w:rsidR="00B4604F">
        <w:t>hree</w:t>
      </w:r>
      <w:r>
        <w:t xml:space="preserve"> additional amendments (in this Final Advice) to the exemption process will enhance the opportunities for operators and customers to apply for an exemption and contribute to addressing stakeholder concerns about the regulatory burden associated with the provision.</w:t>
      </w:r>
    </w:p>
    <w:p w:rsidR="00E83ECD" w:rsidRPr="00743FD8" w:rsidRDefault="003652AA" w:rsidP="003652AA">
      <w:r>
        <w:t>First, t</w:t>
      </w:r>
      <w:r w:rsidR="00E83ECD" w:rsidRPr="00743FD8">
        <w:t xml:space="preserve">he current rule requires an operator / customer to apply for an exemption before </w:t>
      </w:r>
      <w:r w:rsidR="00B4484D">
        <w:t xml:space="preserve">entering into </w:t>
      </w:r>
      <w:r w:rsidR="00E83ECD" w:rsidRPr="00743FD8">
        <w:t xml:space="preserve">a contract. The ACCC proposes amending the requirement to allow operators and / or customers to apply for an exemption from publishing charges in pre-existing contracts at the time the </w:t>
      </w:r>
      <w:r w:rsidR="00C70035">
        <w:t xml:space="preserve">amendments to the </w:t>
      </w:r>
      <w:r w:rsidR="00E83ECD" w:rsidRPr="00743FD8">
        <w:t xml:space="preserve">rules </w:t>
      </w:r>
      <w:r w:rsidR="00C70035">
        <w:t>take effect</w:t>
      </w:r>
      <w:r w:rsidR="00C70035" w:rsidRPr="00743FD8">
        <w:t xml:space="preserve"> </w:t>
      </w:r>
      <w:r w:rsidR="00E83ECD" w:rsidRPr="00743FD8">
        <w:t>(</w:t>
      </w:r>
      <w:r w:rsidR="00C70035">
        <w:t xml:space="preserve">the ‘transition date’), </w:t>
      </w:r>
      <w:r w:rsidR="00E83ECD" w:rsidRPr="00743FD8">
        <w:t xml:space="preserve">where such charges are not currently disclosed at all, in contravention of the existing rules. The ACCC considers that it is reasonable to provide operators with 12 months from the </w:t>
      </w:r>
      <w:r w:rsidR="00C70035">
        <w:t xml:space="preserve">transition </w:t>
      </w:r>
      <w:r w:rsidR="00E83ECD" w:rsidRPr="00743FD8">
        <w:t xml:space="preserve">date to either publish these charges or apply for an exemption. The ACCC views this situation as preferable to operators continuing to not publish these charges because they can no longer apply for an exemption or </w:t>
      </w:r>
      <w:r w:rsidR="00174834">
        <w:t>the risk of possible enforcement action for non-compliance with the existing disclosure requirements</w:t>
      </w:r>
    </w:p>
    <w:p w:rsidR="00E83ECD" w:rsidRDefault="003652AA" w:rsidP="003652AA">
      <w:r>
        <w:t>Second, c</w:t>
      </w:r>
      <w:r w:rsidRPr="00743FD8">
        <w:t xml:space="preserve">urrently, the rules refer to ‘the customer’ (or ‘the customer and the operator’) in relation to an exemption application. </w:t>
      </w:r>
      <w:r w:rsidR="00E83ECD" w:rsidRPr="00743FD8">
        <w:t>The rules should provide for an exemption application involving multiple customers subject to the same contract. This clarification will reduce the potential regulatory burden of needing to apply multiple times for an exemption related to a single contract</w:t>
      </w:r>
      <w:r w:rsidR="000F4504">
        <w:t xml:space="preserve"> / charge</w:t>
      </w:r>
      <w:r w:rsidR="00E83ECD" w:rsidRPr="00743FD8">
        <w:t xml:space="preserve">. </w:t>
      </w:r>
    </w:p>
    <w:p w:rsidR="00F62A10" w:rsidRPr="00F62A10" w:rsidRDefault="00F62A10" w:rsidP="003652AA">
      <w:r>
        <w:t xml:space="preserve">Third, the existing rules and those published with the Draft Advice specify that an exemption application can only be made when the operator and customer have entered into a contract in writing for the provision of infrastructure services at </w:t>
      </w:r>
      <w:r>
        <w:rPr>
          <w:i/>
        </w:rPr>
        <w:t xml:space="preserve">agreed infrastructure charges specified in the contract. </w:t>
      </w:r>
      <w:r>
        <w:t xml:space="preserve">Given that the application is required to be made before the contract is entered into (and therefore before the infrastructure service is provided / charge is levied), the ACCC is concerned that this could unduly prevent an application from being made where the nature of the infrastructure service or contract is such that the amount </w:t>
      </w:r>
      <w:r w:rsidR="000F4504">
        <w:t xml:space="preserve">of the </w:t>
      </w:r>
      <w:r>
        <w:t xml:space="preserve">charge </w:t>
      </w:r>
      <w:r w:rsidR="006D6713">
        <w:t>depends on variables that are not known in advance</w:t>
      </w:r>
      <w:r>
        <w:t xml:space="preserve">. The ACCC has therefore proposed to clarify the drafting such that an application could be made when the contract specifies </w:t>
      </w:r>
      <w:r>
        <w:rPr>
          <w:i/>
        </w:rPr>
        <w:t xml:space="preserve">the infrastructure charges that will apply – whether directly or by specifying </w:t>
      </w:r>
      <w:r w:rsidR="006D6713">
        <w:rPr>
          <w:i/>
        </w:rPr>
        <w:t>a formula</w:t>
      </w:r>
      <w:r>
        <w:rPr>
          <w:i/>
        </w:rPr>
        <w:t xml:space="preserve"> by which they will be determined.</w:t>
      </w:r>
      <w:r>
        <w:t xml:space="preserve"> This amendment is consistent with the ACCC’s proposed exemptions from the information to be included on a Schedule of Charges (see below). </w:t>
      </w:r>
    </w:p>
    <w:p w:rsidR="00E83ECD" w:rsidRDefault="00E83ECD" w:rsidP="00743FD8">
      <w:r>
        <w:t xml:space="preserve">The ACCC notes stakeholder concerns about commercial confidentiality. The ACCC considers that the existing exemption process, and the ACCC’s proposed amendments to that process, provides operators and customers sufficient protection from the publication of commercially sensitive information when it would cause a material financial loss or detriment to the operator and / or the customer(s). </w:t>
      </w:r>
    </w:p>
    <w:p w:rsidR="00174834" w:rsidRDefault="00E83ECD" w:rsidP="00743FD8">
      <w:r>
        <w:t>In relation to concerns about publishing commercially sensitive information, the ACCC notes one suggestion raised in a private consultation meeting was the ACCC should consider alternatives that would still enable the ACCC to monitor compliance with the non-discrimination provisions.</w:t>
      </w:r>
      <w:r>
        <w:rPr>
          <w:rStyle w:val="FootnoteReference"/>
        </w:rPr>
        <w:footnoteReference w:id="340"/>
      </w:r>
      <w:r>
        <w:t xml:space="preserve"> One suggestion was that the operator could reveal the contract / charge to the ACCC for clearance that the charge was non-discriminatory. </w:t>
      </w:r>
    </w:p>
    <w:p w:rsidR="00E83ECD" w:rsidRPr="00743FD8" w:rsidRDefault="00E83ECD" w:rsidP="00743FD8">
      <w:r>
        <w:t>The ACCC agrees that one of the benefits of publishing this information about commercially negotiated charges is to monitor compliance with other requirements in the rules (such as the non-discrimination provisions). However, publication is also intended to provide transparency to customers</w:t>
      </w:r>
      <w:r w:rsidR="00174834">
        <w:t xml:space="preserve"> more gene</w:t>
      </w:r>
      <w:r w:rsidR="00FA701D">
        <w:t>r</w:t>
      </w:r>
      <w:r w:rsidR="00174834">
        <w:t>ally</w:t>
      </w:r>
      <w:r>
        <w:t xml:space="preserve">. The ACCC maintains that it is important for all customers to be able to view and compare all the charges that the infrastructure operator offers to other customers, and to understand what is driving the differences. </w:t>
      </w:r>
    </w:p>
    <w:p w:rsidR="00FA701D" w:rsidRDefault="00E83ECD" w:rsidP="00743FD8">
      <w:r>
        <w:t xml:space="preserve">The ACCC </w:t>
      </w:r>
      <w:r w:rsidR="00B4484D">
        <w:t>considers</w:t>
      </w:r>
      <w:r>
        <w:t xml:space="preserve"> that charges pursuant to a Part IIIA access arrangement and / or subject to regulatory oversight should be </w:t>
      </w:r>
      <w:r w:rsidR="00B4484D">
        <w:t xml:space="preserve">subject to the same publication and transparency requirements as </w:t>
      </w:r>
      <w:r>
        <w:t>other types of regulated charges</w:t>
      </w:r>
      <w:r w:rsidR="00FA701D">
        <w:t xml:space="preserve"> (see section 5.11)</w:t>
      </w:r>
      <w:r>
        <w:t xml:space="preserve">. </w:t>
      </w:r>
    </w:p>
    <w:p w:rsidR="00E83ECD" w:rsidRDefault="00E83ECD" w:rsidP="00743FD8">
      <w:r>
        <w:t>The ACCC acknowledges stakeholder feedback about the importance of commercially negotiated contracts to assist operators in recovering the costs of operating their business. The ACCC’s Final Advice on the proposed non-discrimination provisions (see section 5.3</w:t>
      </w:r>
      <w:r w:rsidR="00F62A10">
        <w:t>.1</w:t>
      </w:r>
      <w:r>
        <w:t>) allow</w:t>
      </w:r>
      <w:r w:rsidR="00FA701D">
        <w:t>s for</w:t>
      </w:r>
      <w:r>
        <w:t xml:space="preserve"> an operator to provide an infrastructure service at a lower, discounted charge for a particular customer</w:t>
      </w:r>
      <w:r w:rsidR="00FA701D">
        <w:t xml:space="preserve"> where this represents </w:t>
      </w:r>
      <w:r>
        <w:t>a ‘prudent discount’.</w:t>
      </w:r>
      <w:r>
        <w:rPr>
          <w:rStyle w:val="FootnoteReference"/>
        </w:rPr>
        <w:footnoteReference w:id="341"/>
      </w:r>
      <w:r>
        <w:t xml:space="preserve"> However, even if a commercially negotiated charge could be characterised as a ‘prudent discount’, the operator </w:t>
      </w:r>
      <w:r w:rsidR="00FA701D">
        <w:t xml:space="preserve">should </w:t>
      </w:r>
      <w:r>
        <w:t xml:space="preserve">still </w:t>
      </w:r>
      <w:r w:rsidR="00FA701D">
        <w:t>be required</w:t>
      </w:r>
      <w:r>
        <w:t xml:space="preserve"> to publish the charge on their </w:t>
      </w:r>
      <w:r w:rsidR="0049588D">
        <w:t>S</w:t>
      </w:r>
      <w:r>
        <w:t xml:space="preserve">chedule of </w:t>
      </w:r>
      <w:r w:rsidR="0049588D">
        <w:t>C</w:t>
      </w:r>
      <w:r>
        <w:t xml:space="preserve">harges </w:t>
      </w:r>
      <w:r w:rsidR="00FA701D">
        <w:t xml:space="preserve">unless they have been </w:t>
      </w:r>
      <w:r>
        <w:t>granted an exemption. The ACCC considers that where there are benefits of the commercial negotiation to the larger customer base, this should be communicated to the operator’s other customers</w:t>
      </w:r>
      <w:r w:rsidR="00FA701D">
        <w:t xml:space="preserve"> unless </w:t>
      </w:r>
      <w:r>
        <w:t xml:space="preserve">the operator and / or customer can </w:t>
      </w:r>
      <w:r w:rsidR="00FA701D">
        <w:t>demonstrate to the ACCC</w:t>
      </w:r>
      <w:r>
        <w:t xml:space="preserve"> that publishing the charge would cause a material financial loss or detriment.</w:t>
      </w:r>
      <w:r w:rsidR="00C6733C">
        <w:t xml:space="preserve"> </w:t>
      </w:r>
    </w:p>
    <w:p w:rsidR="00D859D9" w:rsidRDefault="00E83ECD" w:rsidP="00743FD8">
      <w:r>
        <w:t>The ACCC maintains from the Draft Advice that it is important for infrastructure operators to publish other details about commercial arrangements even when the ACCC has approved an exemption from publishing the amount of the charge</w:t>
      </w:r>
      <w:r w:rsidR="003E4B82">
        <w:t xml:space="preserve"> to ensure that </w:t>
      </w:r>
      <w:r>
        <w:t xml:space="preserve">customers </w:t>
      </w:r>
      <w:r w:rsidR="003E4B82">
        <w:t>are</w:t>
      </w:r>
      <w:r>
        <w:t xml:space="preserve"> informed about the existence of such arrangements. Indeed, customer awareness that a commercial arrangement exists is necessary for the customer to be able to enact the </w:t>
      </w:r>
      <w:r w:rsidRPr="00D94DDE">
        <w:rPr>
          <w:i/>
        </w:rPr>
        <w:t>Freedom of Information Act</w:t>
      </w:r>
      <w:r w:rsidR="007E1F87">
        <w:rPr>
          <w:i/>
        </w:rPr>
        <w:t xml:space="preserve"> 1982</w:t>
      </w:r>
      <w:r>
        <w:rPr>
          <w:i/>
        </w:rPr>
        <w:t>.</w:t>
      </w:r>
      <w:r w:rsidRPr="000B4FD2">
        <w:rPr>
          <w:rStyle w:val="FootnoteReference"/>
        </w:rPr>
        <w:footnoteReference w:id="342"/>
      </w:r>
      <w:r w:rsidRPr="000B4FD2">
        <w:t xml:space="preserve"> </w:t>
      </w:r>
    </w:p>
    <w:p w:rsidR="00F62A10" w:rsidRDefault="00E83ECD" w:rsidP="00743FD8">
      <w:r>
        <w:t xml:space="preserve">However, the ACCC does recognise stakeholder concerns about this requirement </w:t>
      </w:r>
      <w:r w:rsidR="00E84A2E">
        <w:t xml:space="preserve">to include additional information despite obtaining an exemption </w:t>
      </w:r>
      <w:r>
        <w:t xml:space="preserve">triggering the publication requirements and the potential for customer confusion with </w:t>
      </w:r>
      <w:r w:rsidR="0049588D">
        <w:t xml:space="preserve">infrastructure operators frequently sending </w:t>
      </w:r>
      <w:r>
        <w:t xml:space="preserve">a new </w:t>
      </w:r>
      <w:r w:rsidR="0049588D">
        <w:t>S</w:t>
      </w:r>
      <w:r>
        <w:t xml:space="preserve">chedule of </w:t>
      </w:r>
      <w:r w:rsidR="0049588D">
        <w:t>C</w:t>
      </w:r>
      <w:r>
        <w:t xml:space="preserve">harges </w:t>
      </w:r>
      <w:r w:rsidRPr="00743FD8">
        <w:t>to customers</w:t>
      </w:r>
      <w:r w:rsidR="00F62A10">
        <w:t xml:space="preserve">. Therefore, the ACCC has proposed to amend the rules such that an operator will only be required to provide this information on their Schedule of Charges within 12 months after the exemption is granted. </w:t>
      </w:r>
    </w:p>
    <w:p w:rsidR="00E83ECD" w:rsidRDefault="009165B7" w:rsidP="00D17F9C">
      <w:pPr>
        <w:pStyle w:val="Heading5"/>
      </w:pPr>
      <w:r>
        <w:t xml:space="preserve">Other </w:t>
      </w:r>
      <w:r w:rsidR="00E83ECD">
        <w:t>exemption</w:t>
      </w:r>
      <w:r w:rsidR="008C51E4">
        <w:t>s</w:t>
      </w:r>
      <w:r w:rsidR="007F2A3D">
        <w:t xml:space="preserve"> </w:t>
      </w:r>
    </w:p>
    <w:p w:rsidR="00CA59A1" w:rsidRDefault="00E83ECD" w:rsidP="00743FD8">
      <w:r>
        <w:t xml:space="preserve">The ACCC notes that the proposed amendments to rule 7 (in </w:t>
      </w:r>
      <w:r w:rsidR="00DB6AE4">
        <w:t>r</w:t>
      </w:r>
      <w:r>
        <w:t xml:space="preserve">ule </w:t>
      </w:r>
      <w:r w:rsidR="00DB6AE4">
        <w:t>a</w:t>
      </w:r>
      <w:r>
        <w:t>dvice 5-E</w:t>
      </w:r>
      <w:r w:rsidR="0027465A">
        <w:t xml:space="preserve"> of</w:t>
      </w:r>
      <w:r>
        <w:t xml:space="preserve"> section 5.4.1) would prohibit an infrastructure operator or other person from levying an infrastructure charge where</w:t>
      </w:r>
      <w:r w:rsidR="00887AEC">
        <w:t xml:space="preserve"> this charge is not set out on the </w:t>
      </w:r>
      <w:r w:rsidR="0049588D">
        <w:t>S</w:t>
      </w:r>
      <w:r w:rsidR="00887AEC">
        <w:t xml:space="preserve">chedule of </w:t>
      </w:r>
      <w:r w:rsidR="0049588D">
        <w:t>C</w:t>
      </w:r>
      <w:r w:rsidR="00887AEC">
        <w:t>harges in effect</w:t>
      </w:r>
      <w:r w:rsidR="009165B7">
        <w:t xml:space="preserve"> at the time the infrastructure service is provided and levied consistently with</w:t>
      </w:r>
      <w:r w:rsidR="004F6BD0">
        <w:t xml:space="preserve"> </w:t>
      </w:r>
      <w:r w:rsidR="00B87187">
        <w:t xml:space="preserve">how the charge is specified in </w:t>
      </w:r>
      <w:r w:rsidR="009165B7">
        <w:t>that Schedule of Charges (i.e. at the rate / circumstances set out on the Schedule of Charges)</w:t>
      </w:r>
      <w:r w:rsidR="00887AEC">
        <w:t xml:space="preserve">. </w:t>
      </w:r>
    </w:p>
    <w:p w:rsidR="00E83ECD" w:rsidRDefault="00CD7ADF" w:rsidP="00135446">
      <w:pPr>
        <w:spacing w:after="120"/>
      </w:pPr>
      <w:r>
        <w:t>However, t</w:t>
      </w:r>
      <w:r w:rsidR="00887AEC">
        <w:t xml:space="preserve">he ACCC </w:t>
      </w:r>
      <w:r>
        <w:t xml:space="preserve">acknowledges that </w:t>
      </w:r>
      <w:r w:rsidR="00887AEC">
        <w:t xml:space="preserve">there are a number of scenarios where it </w:t>
      </w:r>
      <w:r w:rsidR="008C51E4">
        <w:t>would</w:t>
      </w:r>
      <w:r w:rsidR="00887AEC">
        <w:t xml:space="preserve"> not be feasible for an operator to set out some or all of the details of an infrastructure charge on their </w:t>
      </w:r>
      <w:r w:rsidR="002E3739">
        <w:t>S</w:t>
      </w:r>
      <w:r w:rsidR="00887AEC">
        <w:t xml:space="preserve">chedule of </w:t>
      </w:r>
      <w:r w:rsidR="002E3739">
        <w:t>C</w:t>
      </w:r>
      <w:r w:rsidR="00887AEC">
        <w:t>harges</w:t>
      </w:r>
      <w:r w:rsidR="00CA59A1">
        <w:t xml:space="preserve"> at the time the operator adopts a Schedule of </w:t>
      </w:r>
      <w:r w:rsidR="00FB6F5F">
        <w:t>C</w:t>
      </w:r>
      <w:r w:rsidR="00CA59A1">
        <w:t xml:space="preserve">harges. </w:t>
      </w:r>
      <w:r>
        <w:t>This would apply where, f</w:t>
      </w:r>
      <w:r w:rsidR="00CA59A1">
        <w:t>or example:</w:t>
      </w:r>
    </w:p>
    <w:p w:rsidR="00E83ECD" w:rsidRPr="002418E4" w:rsidRDefault="00E83ECD" w:rsidP="00A82DE6">
      <w:pPr>
        <w:pStyle w:val="Lvl1Bulletpoint"/>
      </w:pPr>
      <w:r w:rsidRPr="002418E4">
        <w:t>the amount of the charge is unknown until the customer requests the service - for example,</w:t>
      </w:r>
      <w:r w:rsidR="00CD7ADF">
        <w:t xml:space="preserve"> a service for the connection or disconnection of a customer from the operator’s network</w:t>
      </w:r>
      <w:r w:rsidRPr="002418E4">
        <w:t>.</w:t>
      </w:r>
    </w:p>
    <w:p w:rsidR="00E83ECD" w:rsidRPr="002418E4" w:rsidRDefault="00E83ECD" w:rsidP="00A82DE6">
      <w:pPr>
        <w:pStyle w:val="Lvl1Bulletpoint"/>
      </w:pPr>
      <w:r w:rsidRPr="002418E4">
        <w:t>the operator could not have reasonably anticipated the nature of the infrastructure service nor the amount of the charge in advance – for example, charges for works carried out by the operator on a customer’s property.</w:t>
      </w:r>
    </w:p>
    <w:p w:rsidR="00342DB3" w:rsidRDefault="00342DB3" w:rsidP="00A82DE6">
      <w:pPr>
        <w:pStyle w:val="Lvl1Bulletpoint"/>
      </w:pPr>
      <w:r w:rsidRPr="002418E4">
        <w:t>the infrastructure charge is set out in a new commercial agreement between the operator and a customer</w:t>
      </w:r>
      <w:r w:rsidR="00CA59A1">
        <w:t xml:space="preserve"> for an infrastructure service that the operator could not have anticipated providing </w:t>
      </w:r>
      <w:r w:rsidRPr="002418E4">
        <w:t>.</w:t>
      </w:r>
    </w:p>
    <w:p w:rsidR="00E83ECD" w:rsidRPr="002418E4" w:rsidRDefault="00E83ECD" w:rsidP="00A82DE6">
      <w:pPr>
        <w:pStyle w:val="Lvl1Bulletpoint"/>
      </w:pPr>
      <w:r w:rsidRPr="002418E4">
        <w:t>the operator provides a discount to an individual customer or customers for reasons of the customer(s) hardship, or in recognition of service disruption.</w:t>
      </w:r>
    </w:p>
    <w:p w:rsidR="00342DB3" w:rsidRDefault="00342DB3" w:rsidP="00A82DE6">
      <w:pPr>
        <w:pStyle w:val="Lvl1Bulletpoint"/>
      </w:pPr>
      <w:r>
        <w:t>the infrastructure charge passes on the cost of a ‘transaction charge’ incurred by the operator on behalf of a customer</w:t>
      </w:r>
      <w:r w:rsidR="002A434C">
        <w:t>, consistently with proposed rule 9A</w:t>
      </w:r>
      <w:r>
        <w:t>.</w:t>
      </w:r>
      <w:r w:rsidR="002A434C">
        <w:rPr>
          <w:rStyle w:val="FootnoteReference"/>
        </w:rPr>
        <w:footnoteReference w:id="343"/>
      </w:r>
    </w:p>
    <w:p w:rsidR="00FB6F5F" w:rsidRDefault="00FB6F5F" w:rsidP="007F2A3D">
      <w:r>
        <w:t>Absent any further measures, t</w:t>
      </w:r>
      <w:r w:rsidR="00CA59A1">
        <w:t>he proposed amendments to rule 7 would mean that if these situations arise after a Schedule of Charges</w:t>
      </w:r>
      <w:r w:rsidR="00671035">
        <w:t xml:space="preserve"> comes into effect</w:t>
      </w:r>
      <w:r w:rsidR="00CA59A1">
        <w:t>, then the operator would be prohibited from levying a charge for those infrastructure services until it adopted a new Schedule of Charges that set out all the details of the charge</w:t>
      </w:r>
      <w:r w:rsidR="00671035">
        <w:t xml:space="preserve"> (and that Schedule had </w:t>
      </w:r>
      <w:r w:rsidR="006B3102">
        <w:t>c</w:t>
      </w:r>
      <w:r w:rsidR="00671035">
        <w:t>ome into effect)</w:t>
      </w:r>
      <w:r w:rsidR="00584EE4">
        <w:t>, which would also trigger the notification requirements to send / publis</w:t>
      </w:r>
      <w:r w:rsidR="00851088">
        <w:t xml:space="preserve">h the new Schedule of Charges. </w:t>
      </w:r>
    </w:p>
    <w:p w:rsidR="007F2A3D" w:rsidRDefault="00851088" w:rsidP="009320A3">
      <w:pPr>
        <w:spacing w:after="0"/>
      </w:pPr>
      <w:r>
        <w:t>The ACCC recognises that this could represent a significant regulatory burden for some infrastructure operators, particularly operators who are likely to enter into a number of commercial and written contracts throughout the year</w:t>
      </w:r>
      <w:r w:rsidR="009320A3">
        <w:t>.</w:t>
      </w:r>
      <w:r>
        <w:t xml:space="preserve"> For example, the ACCC acknowledges </w:t>
      </w:r>
      <w:r w:rsidR="00671035">
        <w:t>stakeholder</w:t>
      </w:r>
      <w:r>
        <w:t xml:space="preserve"> concerns about the compliance costs and potential for customer confusion if an operator is required to regularly</w:t>
      </w:r>
      <w:r w:rsidR="00FB6F5F">
        <w:t xml:space="preserve"> adopt and</w:t>
      </w:r>
      <w:r>
        <w:t xml:space="preserve"> send a new Schedule of Charges throughout the year to include these types of charges</w:t>
      </w:r>
      <w:r w:rsidR="00671035">
        <w:t xml:space="preserve"> on its Schedule</w:t>
      </w:r>
      <w:r>
        <w:t>. Therefore, the ACCC considers that there should be some exemptions</w:t>
      </w:r>
      <w:r w:rsidR="00671035">
        <w:t xml:space="preserve"> from rule 7</w:t>
      </w:r>
      <w:r>
        <w:t xml:space="preserve">, which would allow an operator to levy charges for these infrastructure services, despite the charge not being listed on the operator’s Schedule of Charges at the time the infrastructure service is provided. </w:t>
      </w:r>
      <w:r w:rsidR="007F2A3D">
        <w:t>In these cases only, the ACCC considers that it is reasonable for the exemption</w:t>
      </w:r>
      <w:r w:rsidR="00671035">
        <w:t xml:space="preserve"> from rule</w:t>
      </w:r>
      <w:r w:rsidR="009320A3">
        <w:t> </w:t>
      </w:r>
      <w:r w:rsidR="00671035">
        <w:t>7</w:t>
      </w:r>
      <w:r w:rsidR="007F2A3D">
        <w:t xml:space="preserve"> to be automatic. This is because the case for not publishing these charges is straightforward. In particular: </w:t>
      </w:r>
    </w:p>
    <w:p w:rsidR="007F2A3D" w:rsidRDefault="007F2A3D" w:rsidP="00F43856">
      <w:pPr>
        <w:pStyle w:val="ListParagraph"/>
        <w:numPr>
          <w:ilvl w:val="0"/>
          <w:numId w:val="69"/>
        </w:numPr>
      </w:pPr>
      <w:r>
        <w:t xml:space="preserve">the charge is not or cannot </w:t>
      </w:r>
      <w:r w:rsidR="00FB6F5F">
        <w:t xml:space="preserve">reasonably </w:t>
      </w:r>
      <w:r>
        <w:t>be known at the time the operator adopts their Schedule of Charges</w:t>
      </w:r>
    </w:p>
    <w:p w:rsidR="007F2A3D" w:rsidRDefault="007F2A3D" w:rsidP="00F43856">
      <w:pPr>
        <w:pStyle w:val="ListParagraph"/>
        <w:numPr>
          <w:ilvl w:val="0"/>
          <w:numId w:val="69"/>
        </w:numPr>
      </w:pPr>
      <w:r>
        <w:t xml:space="preserve">the operator is responding to a personal hardship that a customer or customers are experiencing or </w:t>
      </w:r>
    </w:p>
    <w:p w:rsidR="008C041D" w:rsidRDefault="007F2A3D" w:rsidP="00F43856">
      <w:pPr>
        <w:pStyle w:val="ListParagraph"/>
        <w:numPr>
          <w:ilvl w:val="0"/>
          <w:numId w:val="69"/>
        </w:numPr>
      </w:pPr>
      <w:r>
        <w:t xml:space="preserve">it would not be practical given the range of transaction charges that many operators are likely to be required to pass through to their customers. </w:t>
      </w:r>
    </w:p>
    <w:p w:rsidR="00671035" w:rsidRDefault="007F2A3D" w:rsidP="008C041D">
      <w:r>
        <w:t>Therefore, the benefits of requiring an operator to apply for an exemption would not outweigh the costs.</w:t>
      </w:r>
    </w:p>
    <w:p w:rsidR="008C041D" w:rsidRDefault="00851088" w:rsidP="00135446">
      <w:pPr>
        <w:spacing w:after="120"/>
      </w:pPr>
      <w:r>
        <w:t xml:space="preserve">The ACCC considers that a </w:t>
      </w:r>
      <w:r w:rsidR="00B1638F">
        <w:t>S</w:t>
      </w:r>
      <w:r>
        <w:t xml:space="preserve">chedule of </w:t>
      </w:r>
      <w:r w:rsidR="00B1638F">
        <w:t>C</w:t>
      </w:r>
      <w:r>
        <w:t>harges need not include:</w:t>
      </w:r>
    </w:p>
    <w:p w:rsidR="00537D78" w:rsidRDefault="0013544A" w:rsidP="00F43856">
      <w:pPr>
        <w:pStyle w:val="ListParagraph"/>
        <w:numPr>
          <w:ilvl w:val="0"/>
          <w:numId w:val="84"/>
        </w:numPr>
      </w:pPr>
      <w:r>
        <w:t xml:space="preserve">for a charge in relation to which an exemption has been granted under rule </w:t>
      </w:r>
      <w:r w:rsidR="003054B3">
        <w:t>9</w:t>
      </w:r>
      <w:r w:rsidR="008C041D">
        <w:t>—</w:t>
      </w:r>
      <w:r>
        <w:t xml:space="preserve">details of the charge </w:t>
      </w:r>
      <w:r w:rsidR="00671035">
        <w:t>(</w:t>
      </w:r>
      <w:r>
        <w:t>other than the information required by proposed subrule 9(13A)</w:t>
      </w:r>
      <w:r w:rsidR="00671035">
        <w:t xml:space="preserve">, </w:t>
      </w:r>
      <w:r>
        <w:t>as discussed above).</w:t>
      </w:r>
    </w:p>
    <w:p w:rsidR="00537D78" w:rsidRDefault="0013544A" w:rsidP="00F43856">
      <w:pPr>
        <w:pStyle w:val="ListParagraph"/>
        <w:numPr>
          <w:ilvl w:val="0"/>
          <w:numId w:val="84"/>
        </w:numPr>
      </w:pPr>
      <w:r>
        <w:t>where a discount on an infrastructure charge is provided to an individual customer or customers for reasons of the customers’ hardship (e.g. a natural disaster), or in recognition of a service disruption experienced by the customer (e.g. a temporary channel closure)</w:t>
      </w:r>
      <w:r w:rsidR="008C041D">
        <w:t>—</w:t>
      </w:r>
      <w:r>
        <w:t>the amount of the discount and any other information relevant to that discount.</w:t>
      </w:r>
    </w:p>
    <w:p w:rsidR="00851088" w:rsidRDefault="0013544A" w:rsidP="00F43856">
      <w:pPr>
        <w:pStyle w:val="ListParagraph"/>
        <w:numPr>
          <w:ilvl w:val="0"/>
          <w:numId w:val="84"/>
        </w:numPr>
      </w:pPr>
      <w:r>
        <w:t xml:space="preserve">for a charge levied in accordance with rule 9A to recover the amount of any infrastructure charge or planning and management charge incurred (but not determined) by the operator in relation to </w:t>
      </w:r>
      <w:r w:rsidRPr="008C041D">
        <w:t>a transaction undertaken on behalf of a customer such as a trade application charge</w:t>
      </w:r>
      <w:r w:rsidR="008C041D">
        <w:t>—</w:t>
      </w:r>
      <w:r>
        <w:t>all details of the charge.</w:t>
      </w:r>
    </w:p>
    <w:p w:rsidR="00537D78" w:rsidRDefault="00802483" w:rsidP="00F43856">
      <w:pPr>
        <w:pStyle w:val="ListParagraph"/>
        <w:numPr>
          <w:ilvl w:val="0"/>
          <w:numId w:val="84"/>
        </w:numPr>
      </w:pPr>
      <w:r>
        <w:t>for a charge that reflects the costs of physically connecting, or physically disconnecting a customer from the operator’s water service infrastructure</w:t>
      </w:r>
      <w:r w:rsidR="008C041D">
        <w:t>—</w:t>
      </w:r>
      <w:r>
        <w:t>the operator may include a statement that the charge will be determined at the time of the connection or disconnection, instead of the amount of the charge</w:t>
      </w:r>
      <w:r w:rsidR="00737E9F">
        <w:t>.</w:t>
      </w:r>
    </w:p>
    <w:p w:rsidR="008F0668" w:rsidRDefault="008F0668" w:rsidP="00F43856">
      <w:pPr>
        <w:pStyle w:val="ListParagraph"/>
        <w:numPr>
          <w:ilvl w:val="0"/>
          <w:numId w:val="84"/>
        </w:numPr>
      </w:pPr>
      <w:r w:rsidRPr="008F0668">
        <w:t>for an infrastructure charge relating to an infrastructure service</w:t>
      </w:r>
      <w:r w:rsidR="008C041D">
        <w:t xml:space="preserve"> (</w:t>
      </w:r>
      <w:r w:rsidRPr="008F0668">
        <w:t>other than a service in relation to the physical connection to or disconnection from the operator’s water service infrastructure</w:t>
      </w:r>
      <w:r w:rsidR="008C041D">
        <w:t>)</w:t>
      </w:r>
      <w:r w:rsidRPr="008F0668">
        <w:t xml:space="preserve"> where circumstances are such that</w:t>
      </w:r>
      <w:r>
        <w:t xml:space="preserve"> </w:t>
      </w:r>
      <w:r w:rsidRPr="008F0668">
        <w:t xml:space="preserve">the </w:t>
      </w:r>
      <w:r w:rsidR="005C5375">
        <w:t>amount of the charge (or details of rates and all other details necessary to determine that amount)</w:t>
      </w:r>
      <w:r w:rsidRPr="008F0668">
        <w:t xml:space="preserve"> cannot reasonably be determined</w:t>
      </w:r>
      <w:r w:rsidR="008C041D">
        <w:t>—</w:t>
      </w:r>
      <w:r w:rsidRPr="008F0668">
        <w:t>all details of the charge</w:t>
      </w:r>
      <w:r>
        <w:t>.</w:t>
      </w:r>
      <w:r w:rsidRPr="008F0668">
        <w:t xml:space="preserve"> </w:t>
      </w:r>
    </w:p>
    <w:p w:rsidR="003054B3" w:rsidRDefault="003054B3" w:rsidP="003054B3">
      <w:r>
        <w:t xml:space="preserve">In relation to charges described by item (ii), if an infrastructure charge relates to a discount provided for reasons of hardship or service disruption, the ACCC considers that this charge and other relevant details need </w:t>
      </w:r>
      <w:r w:rsidR="005C5375">
        <w:t>not</w:t>
      </w:r>
      <w:r>
        <w:t xml:space="preserve"> be included on the operator’s current or subsequent Schedule of Charges.</w:t>
      </w:r>
      <w:r w:rsidRPr="00EE2B15">
        <w:rPr>
          <w:vertAlign w:val="superscript"/>
        </w:rPr>
        <w:footnoteReference w:id="344"/>
      </w:r>
      <w:r w:rsidRPr="00EE2B15">
        <w:rPr>
          <w:vertAlign w:val="superscript"/>
        </w:rPr>
        <w:t xml:space="preserve"> </w:t>
      </w:r>
      <w:r>
        <w:t xml:space="preserve">Such discounts relate to situations which may be highly sensitive or specific to the particular customer and the nature of the hardship. In these cases, the ACCC does not consider that requiring disclosure of the discount would significantly contribute to pricing transparency of a kind which is useful for customer decision-making. </w:t>
      </w:r>
      <w:r w:rsidR="00EE2B15">
        <w:t>However</w:t>
      </w:r>
      <w:r>
        <w:t xml:space="preserve">, the ACCC notes that these charges should still be subject to the proposed non-discrimination provisions. This will ensure that any discounts offered on the basis of hardship or service disruption do not unreasonably favour one customer group over another. </w:t>
      </w:r>
    </w:p>
    <w:p w:rsidR="00851088" w:rsidRDefault="003054B3" w:rsidP="00851088">
      <w:r>
        <w:t>In relation to charges described by item (iii)</w:t>
      </w:r>
      <w:r w:rsidR="009320A3">
        <w:t>, i</w:t>
      </w:r>
      <w:r w:rsidR="00851088">
        <w:t>f the infrastructure charges are levied by the operator consistently with proposed rule 9A, in order to pass through the cost of a ‘transaction charge’ incurred on behalf of a customer, the ACCC considers that the details of the charge need not be disclosed on the operator’s current, or subsequent Schedule of Charges. This is because the automatic exemption proposed here will only apply where the operator’s infrastructure charge (passing through the transaction charge) is consistent with proposed rule 9A</w:t>
      </w:r>
      <w:r w:rsidR="00EE2B15">
        <w:t>,</w:t>
      </w:r>
      <w:r w:rsidR="00851088">
        <w:t xml:space="preserve"> which will ensure pricing transparency by requiring that the cost of transaction charges’ are passed through only on to those customers responsible for the costs being incurred. </w:t>
      </w:r>
    </w:p>
    <w:p w:rsidR="003054B3" w:rsidRDefault="00851088" w:rsidP="00CA59A1">
      <w:r>
        <w:t>The ACCC also notes that any transaction charges the operator incurs will, by definition, be either an infrastructure charge or planning and management charge, and the details of the transaction charge would therefore still be set out on the Schedule of Charges of the entity that determined the transaction charge. The automatic exemption would not extend to any transaction charge determined directly by (rather than incurred by) the infrastructure operator to re</w:t>
      </w:r>
      <w:r w:rsidR="003054B3">
        <w:t>cover its own costs.</w:t>
      </w:r>
    </w:p>
    <w:p w:rsidR="003054B3" w:rsidRPr="003054B3" w:rsidRDefault="003054B3" w:rsidP="003054B3">
      <w:r>
        <w:t xml:space="preserve">In relation to charges described by item (iv), </w:t>
      </w:r>
      <w:r w:rsidR="008A7395">
        <w:t xml:space="preserve">where an operator levies infrastructure charges for a service of physically connecting or disconnecting a customer to or from its water service infrastructure, the amount of the charge </w:t>
      </w:r>
      <w:r w:rsidR="007048B3">
        <w:t>may</w:t>
      </w:r>
      <w:r w:rsidR="008A7395">
        <w:t xml:space="preserve"> be dependent on factors occurring at the time of the connection or disconnection (for example, a charge could be calculated based on the time and / or equipment used to perform the connection or disconnection). I</w:t>
      </w:r>
      <w:r w:rsidR="007048B3">
        <w:t xml:space="preserve">f the operator considers this is likely, </w:t>
      </w:r>
      <w:r w:rsidR="00D87EAB">
        <w:t xml:space="preserve">the ACCC considers it would be </w:t>
      </w:r>
      <w:r w:rsidR="008A7395">
        <w:t xml:space="preserve">sufficient for the operator to list on its </w:t>
      </w:r>
      <w:r w:rsidR="00B1638F">
        <w:t>Schedule of Charges</w:t>
      </w:r>
      <w:r w:rsidR="008A7395">
        <w:t xml:space="preserve"> that the amount of the charge will be determined upon application or at the time of the connection or disconnection </w:t>
      </w:r>
      <w:r w:rsidR="00D87EAB">
        <w:t>(according to however the operator determines the amount of the charge). The ACCC does not consider that it is necessary that operators report on the amount of connection or disconnection fees actually charged. As these kinds of infrastructure services are highly specific but not uncommon, the ACCC considers it likely that customers would be able to informally gather sufficient general information about the likely costs involved even without a requirement for the operator to report on fees actually levied.</w:t>
      </w:r>
      <w:r w:rsidR="00CD09CF">
        <w:t xml:space="preserve"> </w:t>
      </w:r>
    </w:p>
    <w:p w:rsidR="007F2A3D" w:rsidRPr="00B12EA0" w:rsidRDefault="008F0668" w:rsidP="008837EA">
      <w:r>
        <w:t xml:space="preserve">In relation to charges described by item (v) </w:t>
      </w:r>
      <w:r w:rsidR="00101EB5">
        <w:t>(where the operator either knows the infrastructure service but not the amount of the charge or does not know the infrastructure service sufficiently early for it to be included on a Schedule of Charges)</w:t>
      </w:r>
      <w:r w:rsidR="009320A3">
        <w:t>,</w:t>
      </w:r>
      <w:r w:rsidR="00101EB5">
        <w:t xml:space="preserve"> </w:t>
      </w:r>
      <w:r>
        <w:t>t</w:t>
      </w:r>
      <w:r w:rsidR="00B12EA0">
        <w:t xml:space="preserve">he ACCC considers that </w:t>
      </w:r>
      <w:r w:rsidR="00537D78">
        <w:t>the</w:t>
      </w:r>
      <w:r>
        <w:t>se</w:t>
      </w:r>
      <w:r w:rsidR="00537D78">
        <w:t xml:space="preserve"> are situations where an infrastructure operator should not be required to list the charge on its current Schedule of Charges</w:t>
      </w:r>
      <w:r w:rsidR="007F2A3D">
        <w:t xml:space="preserve"> </w:t>
      </w:r>
      <w:r w:rsidR="007F2A3D" w:rsidRPr="00824B33">
        <w:t>at the time</w:t>
      </w:r>
      <w:r w:rsidR="007F2A3D">
        <w:t xml:space="preserve"> </w:t>
      </w:r>
      <w:r w:rsidR="00D87EAB">
        <w:t>an infrastructure</w:t>
      </w:r>
      <w:r w:rsidR="007F2A3D">
        <w:t xml:space="preserve"> service is provided</w:t>
      </w:r>
      <w:r w:rsidR="00537D78">
        <w:t xml:space="preserve"> in order to be able to levy </w:t>
      </w:r>
      <w:r w:rsidR="00D87EAB">
        <w:t>a</w:t>
      </w:r>
      <w:r w:rsidR="00537D78">
        <w:t xml:space="preserve"> charge</w:t>
      </w:r>
      <w:r>
        <w:t>. H</w:t>
      </w:r>
      <w:r w:rsidR="00537D78">
        <w:t>owever, unlike the circumstances discussed above</w:t>
      </w:r>
      <w:r w:rsidR="00D87EAB">
        <w:t xml:space="preserve"> </w:t>
      </w:r>
      <w:r w:rsidR="007048B3">
        <w:t xml:space="preserve">for physical </w:t>
      </w:r>
      <w:r w:rsidR="00D87EAB">
        <w:t>connection / disconnection</w:t>
      </w:r>
      <w:r w:rsidR="00537D78">
        <w:t xml:space="preserve">, the operator </w:t>
      </w:r>
      <w:r w:rsidR="00537D78" w:rsidRPr="00D87EAB">
        <w:rPr>
          <w:i/>
        </w:rPr>
        <w:t>should</w:t>
      </w:r>
      <w:r w:rsidR="00537D78">
        <w:t xml:space="preserve"> be required to include / report all relevant details of the charge on the next Schedule of Charges that the operator adopts, or within 12 months, whichever comes first. </w:t>
      </w:r>
    </w:p>
    <w:p w:rsidR="00522A6E" w:rsidRDefault="00522A6E" w:rsidP="00522A6E">
      <w:r>
        <w:t xml:space="preserve">The ACCC notes that most infrastructure operators publish a new </w:t>
      </w:r>
      <w:r w:rsidR="002E3739">
        <w:t>S</w:t>
      </w:r>
      <w:r>
        <w:t xml:space="preserve">chedule of </w:t>
      </w:r>
      <w:r w:rsidR="002E3739">
        <w:t>C</w:t>
      </w:r>
      <w:r>
        <w:t xml:space="preserve">harges at least annually (typically commencing in the new financial year). The ACCC therefore considers that the pricing transparency benefits associated with requiring all infrastructure charges to be disclosed on a Schedule of Charges will still be largely realised if operators are only required to publish details of infrastructure charges </w:t>
      </w:r>
      <w:r w:rsidR="00101EB5">
        <w:t xml:space="preserve">(such as those </w:t>
      </w:r>
      <w:r>
        <w:t>set out in new commercial agreements</w:t>
      </w:r>
      <w:r w:rsidR="00101EB5">
        <w:t>) within 12 months or</w:t>
      </w:r>
      <w:r>
        <w:t xml:space="preserve"> when they next adopt a new </w:t>
      </w:r>
      <w:r w:rsidR="002E3739">
        <w:t>S</w:t>
      </w:r>
      <w:r>
        <w:t xml:space="preserve">chedule of </w:t>
      </w:r>
      <w:r w:rsidR="002E3739">
        <w:t>C</w:t>
      </w:r>
      <w:r>
        <w:t xml:space="preserve">harges. </w:t>
      </w:r>
    </w:p>
    <w:p w:rsidR="00522A6E" w:rsidRDefault="00522A6E" w:rsidP="00522A6E">
      <w:r>
        <w:t xml:space="preserve">For example, consider an operator that has adopted a new </w:t>
      </w:r>
      <w:r w:rsidR="002E3739">
        <w:t>S</w:t>
      </w:r>
      <w:r>
        <w:t xml:space="preserve">chedule of </w:t>
      </w:r>
      <w:r w:rsidR="002E3739">
        <w:t>C</w:t>
      </w:r>
      <w:r>
        <w:t xml:space="preserve">harges at the beginning of the financial year, but then, several months later, enters into a new commercial arrangement to provide infrastructure services to a customer at a lower charge than their standard charge for that service. </w:t>
      </w:r>
      <w:r w:rsidR="00B82123">
        <w:t xml:space="preserve">In such cases, information about the nature of the service being provided and the related infrastructure charges may often be useful for other customers (e.g. because the commercial arrangement relates to a new or different infrastructure service which other customers may be interested in receiving). Therefore, the ACCC considers it appropriate that, within a reasonable timeframe, other customers are made aware of the details of the charge (assuming an exemption under rule 9 does not apply). However, the ACCC appreciates that a requirement that operators resend an updated Schedule of Charges each and every time it enters into such a contract </w:t>
      </w:r>
      <w:r w:rsidR="007048B3">
        <w:t>would impose additional costs o</w:t>
      </w:r>
      <w:r w:rsidR="006B3102">
        <w:t>n</w:t>
      </w:r>
      <w:r w:rsidR="007048B3">
        <w:t xml:space="preserve"> the operator</w:t>
      </w:r>
      <w:r w:rsidR="00B82123">
        <w:t>. Therefore, the ACCC’s position is that, while ultimately the operator should be required to provide information on infrastructure charges in such situations (unless a rule 9 exemption applies), t</w:t>
      </w:r>
      <w:r>
        <w:t xml:space="preserve">he infrastructure operator </w:t>
      </w:r>
      <w:r w:rsidR="00B82123">
        <w:t>sh</w:t>
      </w:r>
      <w:r>
        <w:t xml:space="preserve">ould not be required to adopt or update their </w:t>
      </w:r>
      <w:r w:rsidR="002E3739">
        <w:t>S</w:t>
      </w:r>
      <w:r>
        <w:t xml:space="preserve">chedule of </w:t>
      </w:r>
      <w:r w:rsidR="002E3739">
        <w:t>C</w:t>
      </w:r>
      <w:r>
        <w:t>harges immediately</w:t>
      </w:r>
      <w:r w:rsidR="007048B3">
        <w:t xml:space="preserve">. Instead, the rules should require the operator to </w:t>
      </w:r>
      <w:r>
        <w:t xml:space="preserve">list the details of the infrastructure charge on </w:t>
      </w:r>
      <w:r w:rsidR="00570DDA">
        <w:t>its next</w:t>
      </w:r>
      <w:r>
        <w:t xml:space="preserve"> </w:t>
      </w:r>
      <w:r w:rsidR="002E3739">
        <w:t>S</w:t>
      </w:r>
      <w:r>
        <w:t xml:space="preserve">chedule </w:t>
      </w:r>
      <w:r w:rsidR="00570DDA">
        <w:t>of Charges</w:t>
      </w:r>
      <w:r>
        <w:t>.</w:t>
      </w:r>
    </w:p>
    <w:p w:rsidR="00522A6E" w:rsidRDefault="00522A6E" w:rsidP="00522A6E">
      <w:r>
        <w:t>I</w:t>
      </w:r>
      <w:r w:rsidR="00CD7ADF">
        <w:t>n the event that</w:t>
      </w:r>
      <w:r>
        <w:t xml:space="preserve"> </w:t>
      </w:r>
      <w:r w:rsidR="002E3739">
        <w:t xml:space="preserve">an operator </w:t>
      </w:r>
      <w:r w:rsidR="00CD7ADF">
        <w:t xml:space="preserve">levies </w:t>
      </w:r>
      <w:r>
        <w:t xml:space="preserve">infrastructure charges associated with a particular commercial agreement </w:t>
      </w:r>
      <w:r w:rsidR="00CD7ADF">
        <w:t>only for a particular period</w:t>
      </w:r>
      <w:r>
        <w:t xml:space="preserve">—for example, the commercial agreement was for a ‘one-off’ service—the ACCC considers that the details of the charge should still be disclosed in the operator’s next </w:t>
      </w:r>
      <w:r w:rsidR="002E3739">
        <w:t>S</w:t>
      </w:r>
      <w:r>
        <w:t xml:space="preserve">chedule of </w:t>
      </w:r>
      <w:r w:rsidR="002E3739">
        <w:t>C</w:t>
      </w:r>
      <w:r>
        <w:t>harges</w:t>
      </w:r>
      <w:r w:rsidR="002E3739">
        <w:t>. This will</w:t>
      </w:r>
      <w:r>
        <w:t xml:space="preserve"> assist with pricing transparency and ensure customers are more fully informed.</w:t>
      </w:r>
    </w:p>
    <w:p w:rsidR="00E83ECD" w:rsidRDefault="008E2D86" w:rsidP="00743FD8">
      <w:r>
        <w:t xml:space="preserve">The effect of the exemptions set out above is that an infrastructure operator would not be precluded from levying the relevant infrastructure charges (under proposed rule 7). </w:t>
      </w:r>
      <w:r w:rsidR="00E83ECD">
        <w:t xml:space="preserve">However, the ACCC notes that these charges </w:t>
      </w:r>
      <w:r w:rsidR="008C51E4">
        <w:t>should</w:t>
      </w:r>
      <w:r w:rsidR="00E83ECD">
        <w:t xml:space="preserve"> still be subject to the </w:t>
      </w:r>
      <w:r w:rsidR="008C51E4">
        <w:t xml:space="preserve">proposed </w:t>
      </w:r>
      <w:r w:rsidR="00E83ECD">
        <w:t xml:space="preserve">non-discrimination provisions (see </w:t>
      </w:r>
      <w:r w:rsidR="008837EA">
        <w:t>section </w:t>
      </w:r>
      <w:r w:rsidR="00E83ECD">
        <w:t xml:space="preserve">5.3). </w:t>
      </w:r>
    </w:p>
    <w:p w:rsidR="00213F83" w:rsidRDefault="00213F83" w:rsidP="005000E5">
      <w:pPr>
        <w:pStyle w:val="Heading2"/>
        <w:ind w:left="862" w:hanging="578"/>
      </w:pPr>
      <w:bookmarkStart w:id="682" w:name="_Ref433619040"/>
      <w:bookmarkStart w:id="683" w:name="_Toc436122299"/>
      <w:bookmarkStart w:id="684" w:name="_Toc436122794"/>
      <w:bookmarkStart w:id="685" w:name="_Toc436124149"/>
      <w:bookmarkStart w:id="686" w:name="_Toc456785805"/>
      <w:bookmarkStart w:id="687" w:name="_Toc461630716"/>
      <w:r w:rsidRPr="00D714FC">
        <w:t>Network Service Plans (Part 5)</w:t>
      </w:r>
      <w:bookmarkEnd w:id="682"/>
      <w:bookmarkEnd w:id="683"/>
      <w:bookmarkEnd w:id="684"/>
      <w:bookmarkEnd w:id="685"/>
      <w:bookmarkEnd w:id="686"/>
      <w:bookmarkEnd w:id="687"/>
    </w:p>
    <w:p w:rsidR="00673DC7" w:rsidRPr="00E83E5D" w:rsidRDefault="00D07E1E" w:rsidP="00E83E5D">
      <w:pPr>
        <w:pStyle w:val="Heading3Un-numbered"/>
        <w:spacing w:before="0" w:after="0"/>
        <w:rPr>
          <w:rFonts w:ascii="Times New Roman" w:hAnsi="Times New Roman"/>
          <w:color w:val="FFFFFF" w:themeColor="background1"/>
          <w:sz w:val="12"/>
          <w:szCs w:val="12"/>
        </w:rPr>
      </w:pPr>
      <w:r w:rsidRPr="00E83E5D">
        <w:rPr>
          <w:color w:val="FFFFFF" w:themeColor="background1"/>
          <w:sz w:val="12"/>
          <w:szCs w:val="12"/>
        </w:rPr>
        <w:fldChar w:fldCharType="begin"/>
      </w:r>
      <w:r w:rsidRPr="00E83E5D">
        <w:rPr>
          <w:color w:val="FFFFFF" w:themeColor="background1"/>
          <w:sz w:val="12"/>
          <w:szCs w:val="12"/>
        </w:rPr>
        <w:instrText xml:space="preserve"> REF _Ref434840359 \h  \* MERGEFORMAT </w:instrText>
      </w:r>
      <w:r w:rsidRPr="00E83E5D">
        <w:rPr>
          <w:color w:val="FFFFFF" w:themeColor="background1"/>
          <w:sz w:val="12"/>
          <w:szCs w:val="12"/>
        </w:rPr>
      </w:r>
      <w:r w:rsidRPr="00E83E5D">
        <w:rPr>
          <w:color w:val="FFFFFF" w:themeColor="background1"/>
          <w:sz w:val="12"/>
          <w:szCs w:val="12"/>
        </w:rPr>
        <w:fldChar w:fldCharType="separate"/>
      </w:r>
      <w:r w:rsidR="00BD218B" w:rsidRPr="00BD218B">
        <w:rPr>
          <w:color w:val="FFFFFF" w:themeColor="background1"/>
          <w:sz w:val="12"/>
          <w:szCs w:val="12"/>
        </w:rPr>
        <w:t>Rule advice</w:t>
      </w:r>
      <w:r w:rsidRPr="00E83E5D">
        <w:rPr>
          <w:color w:val="FFFFFF" w:themeColor="background1"/>
          <w:sz w:val="12"/>
          <w:szCs w:val="12"/>
        </w:rPr>
        <w:fldChar w:fldCharType="end"/>
      </w:r>
    </w:p>
    <w:tbl>
      <w:tblPr>
        <w:tblStyle w:val="TableGrid"/>
        <w:tblW w:w="0" w:type="auto"/>
        <w:tblLook w:val="04A0" w:firstRow="1" w:lastRow="0" w:firstColumn="1" w:lastColumn="0" w:noHBand="0" w:noVBand="1"/>
      </w:tblPr>
      <w:tblGrid>
        <w:gridCol w:w="9242"/>
      </w:tblGrid>
      <w:tr w:rsidR="00673DC7" w:rsidTr="00BD267F">
        <w:tc>
          <w:tcPr>
            <w:tcW w:w="9242" w:type="dxa"/>
            <w:tcBorders>
              <w:top w:val="nil"/>
              <w:left w:val="nil"/>
              <w:bottom w:val="nil"/>
              <w:right w:val="nil"/>
            </w:tcBorders>
            <w:shd w:val="clear" w:color="auto" w:fill="D9D9D9" w:themeFill="background1" w:themeFillShade="D9"/>
          </w:tcPr>
          <w:p w:rsidR="00ED342F" w:rsidRPr="00D714FC" w:rsidRDefault="00ED342F" w:rsidP="00AF7032">
            <w:pPr>
              <w:pStyle w:val="Caption"/>
              <w:rPr>
                <w:rFonts w:eastAsia="Arial"/>
              </w:rPr>
            </w:pPr>
            <w:bookmarkStart w:id="688" w:name="_Toc456783969"/>
            <w:bookmarkStart w:id="689" w:name="_Toc433975289"/>
            <w:bookmarkStart w:id="690" w:name="_Toc432937530"/>
            <w:bookmarkStart w:id="691" w:name="_Toc432768986"/>
            <w:bookmarkStart w:id="692" w:name="_Toc432769310"/>
            <w:bookmarkStart w:id="693" w:name="_Ref433621718"/>
            <w:bookmarkStart w:id="694" w:name="_Ref433621787"/>
            <w:r w:rsidRPr="00D714FC">
              <w:t xml:space="preserve">Rule advice </w:t>
            </w:r>
            <w:r w:rsidR="007F659D">
              <w:rPr>
                <w:noProof/>
              </w:rPr>
              <w:t>5</w:t>
            </w:r>
            <w:r>
              <w:noBreakHyphen/>
            </w:r>
            <w:r w:rsidR="007F659D">
              <w:rPr>
                <w:noProof/>
              </w:rPr>
              <w:t>L</w:t>
            </w:r>
            <w:bookmarkEnd w:id="688"/>
          </w:p>
          <w:p w:rsidR="00673DC7" w:rsidRDefault="00673DC7" w:rsidP="00CD7ADF">
            <w:pPr>
              <w:pStyle w:val="Heading8"/>
              <w:outlineLvl w:val="7"/>
            </w:pPr>
            <w:bookmarkStart w:id="695" w:name="_Toc432937531"/>
            <w:bookmarkStart w:id="696" w:name="_Toc433975290"/>
            <w:bookmarkStart w:id="697" w:name="_Toc436123331"/>
            <w:bookmarkStart w:id="698" w:name="_Toc456783970"/>
            <w:bookmarkStart w:id="699" w:name="Rule_Advice_5L"/>
            <w:r w:rsidRPr="00D714FC">
              <w:t>The rules should be amended to repeal the Network Service Plan</w:t>
            </w:r>
            <w:r w:rsidR="00CF6842">
              <w:t xml:space="preserve"> (</w:t>
            </w:r>
            <w:r w:rsidR="00782E11">
              <w:t>Part 5</w:t>
            </w:r>
            <w:r w:rsidRPr="00D714FC">
              <w:t>) requirements</w:t>
            </w:r>
            <w:r w:rsidR="00FD2DE6">
              <w:t>. Effective standards can be ensured</w:t>
            </w:r>
            <w:r w:rsidR="00DC62BA">
              <w:t xml:space="preserve"> </w:t>
            </w:r>
            <w:r w:rsidR="00FD2DE6">
              <w:t>through</w:t>
            </w:r>
            <w:r w:rsidR="00C6733C">
              <w:t xml:space="preserve"> </w:t>
            </w:r>
            <w:bookmarkStart w:id="700" w:name="_Toc432937533"/>
            <w:bookmarkStart w:id="701" w:name="_Toc433975291"/>
            <w:bookmarkEnd w:id="695"/>
            <w:bookmarkEnd w:id="696"/>
            <w:r w:rsidRPr="00D714FC">
              <w:t xml:space="preserve">rule advices </w:t>
            </w:r>
            <w:r>
              <w:t xml:space="preserve">5-A to 5-E, </w:t>
            </w:r>
            <w:r w:rsidRPr="00D714FC">
              <w:t xml:space="preserve">relating to enhancing the non-discrimination </w:t>
            </w:r>
            <w:r>
              <w:t xml:space="preserve">and pricing transparency </w:t>
            </w:r>
            <w:r w:rsidRPr="00D714FC">
              <w:t>provisions.</w:t>
            </w:r>
            <w:bookmarkEnd w:id="697"/>
            <w:bookmarkEnd w:id="698"/>
            <w:bookmarkEnd w:id="700"/>
            <w:bookmarkEnd w:id="701"/>
          </w:p>
          <w:p w:rsidR="005078A7" w:rsidRPr="00AF7032" w:rsidRDefault="005078A7" w:rsidP="00CD7ADF">
            <w:pPr>
              <w:pStyle w:val="Heading8"/>
              <w:outlineLvl w:val="7"/>
              <w:rPr>
                <w:sz w:val="18"/>
              </w:rPr>
            </w:pPr>
            <w:bookmarkStart w:id="702" w:name="_Toc456783971"/>
            <w:r w:rsidRPr="00AF7032">
              <w:rPr>
                <w:i/>
                <w:sz w:val="18"/>
              </w:rPr>
              <w:t>Note</w:t>
            </w:r>
            <w:r w:rsidRPr="00AF7032">
              <w:rPr>
                <w:sz w:val="18"/>
              </w:rPr>
              <w:t xml:space="preserve">: </w:t>
            </w:r>
            <w:r w:rsidR="00097B29" w:rsidRPr="00AF7032">
              <w:rPr>
                <w:sz w:val="18"/>
              </w:rPr>
              <w:t>there is merit in repealing the Part 5 requirements in the near term to avoid operators incurring unnecessary expenditure.</w:t>
            </w:r>
            <w:bookmarkEnd w:id="702"/>
            <w:r w:rsidR="00097B29" w:rsidRPr="00AF7032">
              <w:rPr>
                <w:sz w:val="18"/>
              </w:rPr>
              <w:t xml:space="preserve"> </w:t>
            </w:r>
          </w:p>
          <w:p w:rsidR="00673DC7" w:rsidRPr="00F40B6E" w:rsidRDefault="00673DC7" w:rsidP="00752375">
            <w:pPr>
              <w:pStyle w:val="Heading8"/>
              <w:outlineLvl w:val="7"/>
            </w:pPr>
            <w:bookmarkStart w:id="703" w:name="_Toc436123332"/>
            <w:bookmarkStart w:id="704" w:name="_Toc456783972"/>
            <w:r>
              <w:rPr>
                <w:rFonts w:ascii="Times New Roman" w:hAnsi="Times New Roman"/>
              </w:rPr>
              <w:t>This rule advice is implemented in the repeal of Part 5 of the current WCIR and related provisions referencing Part 5 operators.</w:t>
            </w:r>
            <w:bookmarkEnd w:id="699"/>
            <w:bookmarkEnd w:id="703"/>
            <w:bookmarkEnd w:id="704"/>
          </w:p>
        </w:tc>
      </w:tr>
    </w:tbl>
    <w:bookmarkEnd w:id="689"/>
    <w:bookmarkEnd w:id="690"/>
    <w:bookmarkEnd w:id="691"/>
    <w:bookmarkEnd w:id="692"/>
    <w:bookmarkEnd w:id="693"/>
    <w:bookmarkEnd w:id="694"/>
    <w:p w:rsidR="006246A8" w:rsidRPr="006246A8" w:rsidRDefault="006246A8" w:rsidP="00E83E5D">
      <w:pPr>
        <w:pStyle w:val="Heading3Un-numbered"/>
      </w:pPr>
      <w:r>
        <w:t>Background</w:t>
      </w:r>
    </w:p>
    <w:p w:rsidR="00213F83" w:rsidRPr="00D714FC" w:rsidRDefault="00213F83" w:rsidP="00135446">
      <w:pPr>
        <w:spacing w:after="120"/>
        <w:rPr>
          <w:rFonts w:cs="Times New Roman"/>
        </w:rPr>
      </w:pPr>
      <w:r w:rsidRPr="00D714FC">
        <w:rPr>
          <w:rFonts w:cs="Times New Roman"/>
        </w:rPr>
        <w:t xml:space="preserve">Currently under the </w:t>
      </w:r>
      <w:r w:rsidR="00E623B1" w:rsidRPr="0067271D">
        <w:rPr>
          <w:rFonts w:cs="Times New Roman"/>
        </w:rPr>
        <w:t>Water Charge (Infrastructure) Rules 2010 (</w:t>
      </w:r>
      <w:r w:rsidRPr="0067271D">
        <w:rPr>
          <w:rFonts w:cs="Times New Roman"/>
        </w:rPr>
        <w:t>WCIR</w:t>
      </w:r>
      <w:r w:rsidR="00E623B1" w:rsidRPr="0067271D">
        <w:rPr>
          <w:rFonts w:cs="Times New Roman"/>
        </w:rPr>
        <w:t>)</w:t>
      </w:r>
      <w:r w:rsidR="00B2792C">
        <w:rPr>
          <w:rFonts w:cs="Times New Roman"/>
        </w:rPr>
        <w:t>,</w:t>
      </w:r>
      <w:r w:rsidRPr="00D714FC">
        <w:rPr>
          <w:rFonts w:cs="Times New Roman"/>
        </w:rPr>
        <w:t xml:space="preserve"> a Part 5 operator is defined as including member-owned operators servicing more than 125 </w:t>
      </w:r>
      <w:r w:rsidR="005D027E">
        <w:rPr>
          <w:rFonts w:cs="Times New Roman"/>
        </w:rPr>
        <w:t>gigalitres (</w:t>
      </w:r>
      <w:r w:rsidRPr="00D714FC">
        <w:rPr>
          <w:rFonts w:cs="Times New Roman"/>
        </w:rPr>
        <w:t>GL</w:t>
      </w:r>
      <w:r w:rsidR="005D027E">
        <w:rPr>
          <w:rFonts w:cs="Times New Roman"/>
        </w:rPr>
        <w:t>)</w:t>
      </w:r>
      <w:r w:rsidRPr="00D714FC">
        <w:rPr>
          <w:rFonts w:cs="Times New Roman"/>
        </w:rPr>
        <w:t>, and other infrastructure operators (that are not member-owned) servicing between 125 and 250 GL of water held under water access entitlements</w:t>
      </w:r>
      <w:r w:rsidR="00832A68">
        <w:rPr>
          <w:rFonts w:cs="Times New Roman"/>
        </w:rPr>
        <w:t xml:space="preserve"> (WAE)</w:t>
      </w:r>
      <w:r w:rsidRPr="00D714FC">
        <w:rPr>
          <w:rFonts w:cs="Times New Roman"/>
        </w:rPr>
        <w:t>. There are currently five Part 5 operators:</w:t>
      </w:r>
    </w:p>
    <w:p w:rsidR="00213F83" w:rsidRPr="00D714FC" w:rsidRDefault="00213F83" w:rsidP="00A82DE6">
      <w:pPr>
        <w:pStyle w:val="Lvl1Bulletpoint"/>
      </w:pPr>
      <w:r w:rsidRPr="00D714FC">
        <w:t>SunWater;</w:t>
      </w:r>
    </w:p>
    <w:p w:rsidR="00213F83" w:rsidRPr="00D714FC" w:rsidRDefault="00213F83" w:rsidP="00A82DE6">
      <w:pPr>
        <w:pStyle w:val="Lvl1Bulletpoint"/>
      </w:pPr>
      <w:r w:rsidRPr="00D714FC">
        <w:t>Coleambally Irrigation Cooperative Limited (CICL);</w:t>
      </w:r>
    </w:p>
    <w:p w:rsidR="00213F83" w:rsidRPr="00D714FC" w:rsidRDefault="00213F83" w:rsidP="00A82DE6">
      <w:pPr>
        <w:pStyle w:val="Lvl1Bulletpoint"/>
      </w:pPr>
      <w:r w:rsidRPr="00D714FC">
        <w:t>Murray Irrigation Limited (MIL);</w:t>
      </w:r>
    </w:p>
    <w:p w:rsidR="00213F83" w:rsidRPr="00D714FC" w:rsidRDefault="00213F83" w:rsidP="00A82DE6">
      <w:pPr>
        <w:pStyle w:val="Lvl1Bulletpoint"/>
      </w:pPr>
      <w:r w:rsidRPr="00D714FC">
        <w:t xml:space="preserve">Murrumbidgee Irrigation </w:t>
      </w:r>
      <w:r w:rsidR="007B7B55">
        <w:t xml:space="preserve">Limited </w:t>
      </w:r>
      <w:r w:rsidRPr="00D714FC">
        <w:t>(MI); and</w:t>
      </w:r>
    </w:p>
    <w:p w:rsidR="00213F83" w:rsidRPr="00D714FC" w:rsidRDefault="00213F83" w:rsidP="00A82DE6">
      <w:pPr>
        <w:pStyle w:val="Lvl1Bulletpoint"/>
      </w:pPr>
      <w:r w:rsidRPr="00D714FC">
        <w:t>Central Irrigation Trust (CIT).</w:t>
      </w:r>
    </w:p>
    <w:p w:rsidR="00213F83" w:rsidRPr="00D714FC" w:rsidRDefault="00213F83" w:rsidP="00135446">
      <w:pPr>
        <w:spacing w:before="240" w:after="120"/>
        <w:rPr>
          <w:rFonts w:cs="Times New Roman"/>
        </w:rPr>
      </w:pPr>
      <w:r w:rsidRPr="00D714FC">
        <w:rPr>
          <w:rFonts w:cs="Times New Roman"/>
        </w:rPr>
        <w:t>Although the WCIR do not require the charges of Part 5 operators to be approved or determined by a regulator, they do impose certain requirements in relation to network planning and customer consultation:</w:t>
      </w:r>
    </w:p>
    <w:p w:rsidR="00213F83" w:rsidRPr="00D714FC" w:rsidRDefault="00213F83" w:rsidP="00F43856">
      <w:pPr>
        <w:pStyle w:val="ListParagraph"/>
        <w:numPr>
          <w:ilvl w:val="0"/>
          <w:numId w:val="49"/>
        </w:numPr>
      </w:pPr>
      <w:r w:rsidRPr="00D714FC">
        <w:t xml:space="preserve">At least once every five years, a Part 5 operator must develop a </w:t>
      </w:r>
      <w:r w:rsidR="00BD7BA3">
        <w:t>N</w:t>
      </w:r>
      <w:r w:rsidRPr="00D714FC">
        <w:t xml:space="preserve">etwork </w:t>
      </w:r>
      <w:r w:rsidR="00BD7BA3">
        <w:t>S</w:t>
      </w:r>
      <w:r w:rsidRPr="00D714FC">
        <w:t xml:space="preserve">ervice </w:t>
      </w:r>
      <w:r w:rsidR="00BD7BA3">
        <w:t>P</w:t>
      </w:r>
      <w:r w:rsidRPr="00D714FC">
        <w:t>lan (NSP) that provides details of the operator’s plans relating to its water service infrastructure over the forthcoming five year period.</w:t>
      </w:r>
    </w:p>
    <w:p w:rsidR="00213F83" w:rsidRPr="00D714FC" w:rsidRDefault="00213F83" w:rsidP="00F43856">
      <w:pPr>
        <w:pStyle w:val="ListParagraph"/>
        <w:numPr>
          <w:ilvl w:val="0"/>
          <w:numId w:val="49"/>
        </w:numPr>
      </w:pPr>
      <w:r w:rsidRPr="00D714FC">
        <w:t xml:space="preserve">In developing their NSP, Part 5 operators must prepare a </w:t>
      </w:r>
      <w:r w:rsidR="00BD7BA3">
        <w:t>N</w:t>
      </w:r>
      <w:r w:rsidRPr="00D714FC">
        <w:t xml:space="preserve">etwork </w:t>
      </w:r>
      <w:r w:rsidR="00BD7BA3">
        <w:t>C</w:t>
      </w:r>
      <w:r w:rsidRPr="00D714FC">
        <w:t xml:space="preserve">onsultation </w:t>
      </w:r>
      <w:r w:rsidR="00BD7BA3">
        <w:t>P</w:t>
      </w:r>
      <w:r w:rsidRPr="00D714FC">
        <w:t>aper to facilitate consultation with their customers.</w:t>
      </w:r>
      <w:r w:rsidRPr="00D714FC">
        <w:rPr>
          <w:rStyle w:val="FootnoteReference"/>
        </w:rPr>
        <w:footnoteReference w:id="345"/>
      </w:r>
    </w:p>
    <w:p w:rsidR="00213F83" w:rsidRPr="00D714FC" w:rsidRDefault="00213F83" w:rsidP="00F43856">
      <w:pPr>
        <w:pStyle w:val="ListParagraph"/>
        <w:numPr>
          <w:ilvl w:val="0"/>
          <w:numId w:val="49"/>
        </w:numPr>
      </w:pPr>
      <w:r w:rsidRPr="00D714FC">
        <w:t>Part 5 operators must give, or cause to be given, a copy of the NSP to each customer, along with a summary of the consultation undertaken in preparing the NSP.</w:t>
      </w:r>
      <w:r w:rsidRPr="00D714FC">
        <w:rPr>
          <w:rStyle w:val="FootnoteReference"/>
        </w:rPr>
        <w:footnoteReference w:id="346"/>
      </w:r>
      <w:r w:rsidRPr="00D714FC">
        <w:t xml:space="preserve"> </w:t>
      </w:r>
    </w:p>
    <w:p w:rsidR="00213F83" w:rsidRPr="00D714FC" w:rsidRDefault="00213F83" w:rsidP="00F43856">
      <w:pPr>
        <w:pStyle w:val="ListParagraph"/>
        <w:numPr>
          <w:ilvl w:val="0"/>
          <w:numId w:val="49"/>
        </w:numPr>
      </w:pPr>
      <w:r w:rsidRPr="00D714FC">
        <w:t xml:space="preserve">Part 5 operators must also submit a copy of their NSP to the ACCC who will provide it to a qualified engineer for comment and advice on the prudency and efficiency of the </w:t>
      </w:r>
      <w:r w:rsidR="009E7B62" w:rsidRPr="00D714FC">
        <w:t>NSP</w:t>
      </w:r>
      <w:r w:rsidRPr="00D714FC">
        <w:t>.</w:t>
      </w:r>
      <w:r w:rsidRPr="00D714FC">
        <w:rPr>
          <w:rStyle w:val="FootnoteReference"/>
          <w:szCs w:val="24"/>
        </w:rPr>
        <w:footnoteReference w:id="347"/>
      </w:r>
      <w:r w:rsidRPr="00D714FC">
        <w:t xml:space="preserve"> The ACCC will then provide any comment or advice from the engineer to the operator. Within 20 business days after receiving the comment or advice, the operator must give a copy </w:t>
      </w:r>
      <w:r w:rsidR="009E7B62" w:rsidRPr="00D714FC">
        <w:t xml:space="preserve">of the advice </w:t>
      </w:r>
      <w:r w:rsidRPr="00D714FC">
        <w:t>to each of its customers.</w:t>
      </w:r>
    </w:p>
    <w:p w:rsidR="00213F83" w:rsidRPr="00D714FC" w:rsidRDefault="00213F83" w:rsidP="00F43856">
      <w:pPr>
        <w:pStyle w:val="ListParagraph"/>
        <w:numPr>
          <w:ilvl w:val="0"/>
          <w:numId w:val="49"/>
        </w:numPr>
      </w:pPr>
      <w:r w:rsidRPr="00867A4B">
        <w:rPr>
          <w:szCs w:val="24"/>
        </w:rPr>
        <w:t>A Part 5 operator must also prepare an information statement</w:t>
      </w:r>
      <w:r w:rsidRPr="00D714FC">
        <w:rPr>
          <w:rStyle w:val="FootnoteReference"/>
          <w:szCs w:val="24"/>
        </w:rPr>
        <w:footnoteReference w:id="348"/>
      </w:r>
      <w:r w:rsidRPr="00867A4B">
        <w:rPr>
          <w:szCs w:val="24"/>
        </w:rPr>
        <w:t xml:space="preserve"> each year and provide this to customers when providing its Schedule of Charges.</w:t>
      </w:r>
    </w:p>
    <w:p w:rsidR="00213F83" w:rsidRPr="00D714FC" w:rsidRDefault="00213F83" w:rsidP="00673DC7">
      <w:pPr>
        <w:rPr>
          <w:rFonts w:cs="Times New Roman"/>
        </w:rPr>
      </w:pPr>
      <w:r w:rsidRPr="00D714FC">
        <w:rPr>
          <w:rFonts w:cs="Times New Roman"/>
        </w:rPr>
        <w:t>During the</w:t>
      </w:r>
      <w:r w:rsidR="00A41509">
        <w:rPr>
          <w:rFonts w:cs="Times New Roman"/>
        </w:rPr>
        <w:t xml:space="preserve"> </w:t>
      </w:r>
      <w:r w:rsidRPr="00D714FC">
        <w:rPr>
          <w:rFonts w:cs="Times New Roman"/>
        </w:rPr>
        <w:t>Review</w:t>
      </w:r>
      <w:r w:rsidR="00830F3D">
        <w:rPr>
          <w:rFonts w:cs="Times New Roman"/>
        </w:rPr>
        <w:t xml:space="preserve"> of the Act</w:t>
      </w:r>
      <w:r w:rsidRPr="00D714FC">
        <w:rPr>
          <w:rFonts w:cs="Times New Roman"/>
        </w:rPr>
        <w:t xml:space="preserve">, some operators expressed concerns about the significant information and consultation requirements associated with NSPs, and the costs that this can entail for Part 5 operators. In its Issues Paper, the ACCC sought feedback about the advantages and disadvantages of current </w:t>
      </w:r>
      <w:r w:rsidR="007A45F6" w:rsidRPr="00D714FC">
        <w:rPr>
          <w:rFonts w:cs="Times New Roman"/>
        </w:rPr>
        <w:t>Part</w:t>
      </w:r>
      <w:r w:rsidR="007A45F6">
        <w:rPr>
          <w:rFonts w:cs="Times New Roman"/>
        </w:rPr>
        <w:t> </w:t>
      </w:r>
      <w:r w:rsidRPr="00D714FC">
        <w:rPr>
          <w:rFonts w:cs="Times New Roman"/>
        </w:rPr>
        <w:t>5 requirements and whether there are alternative ways to ensure an operator’s customer</w:t>
      </w:r>
      <w:r w:rsidR="009E7B62" w:rsidRPr="00D714FC">
        <w:rPr>
          <w:rFonts w:cs="Times New Roman"/>
        </w:rPr>
        <w:t>s</w:t>
      </w:r>
      <w:r w:rsidRPr="00D714FC">
        <w:rPr>
          <w:rFonts w:cs="Times New Roman"/>
        </w:rPr>
        <w:t xml:space="preserve"> are aware of, and can have input into, water infrastructure investment planning and decision making.</w:t>
      </w:r>
    </w:p>
    <w:p w:rsidR="007A45F6" w:rsidRPr="00D714FC" w:rsidRDefault="00867A4B" w:rsidP="00867A4B">
      <w:pPr>
        <w:rPr>
          <w:rFonts w:cs="Times New Roman"/>
        </w:rPr>
      </w:pPr>
      <w:r>
        <w:rPr>
          <w:rFonts w:cs="Times New Roman"/>
        </w:rPr>
        <w:t>I</w:t>
      </w:r>
      <w:r w:rsidR="007A45F6">
        <w:rPr>
          <w:rFonts w:cs="Times New Roman"/>
        </w:rPr>
        <w:t>n forming its Draft Advice</w:t>
      </w:r>
      <w:r w:rsidR="00610501">
        <w:rPr>
          <w:rFonts w:cs="Times New Roman"/>
        </w:rPr>
        <w:t>,</w:t>
      </w:r>
      <w:r w:rsidR="007A45F6">
        <w:rPr>
          <w:rFonts w:cs="Times New Roman"/>
        </w:rPr>
        <w:t xml:space="preserve"> </w:t>
      </w:r>
      <w:r w:rsidR="007A45F6" w:rsidRPr="00D714FC">
        <w:rPr>
          <w:rFonts w:cs="Times New Roman"/>
        </w:rPr>
        <w:t>the ACCC note</w:t>
      </w:r>
      <w:r w:rsidR="007A45F6">
        <w:rPr>
          <w:rFonts w:cs="Times New Roman"/>
        </w:rPr>
        <w:t>d</w:t>
      </w:r>
      <w:r w:rsidR="007A45F6" w:rsidRPr="00D714FC">
        <w:rPr>
          <w:rFonts w:cs="Times New Roman"/>
        </w:rPr>
        <w:t xml:space="preserve"> stakeholders views </w:t>
      </w:r>
      <w:r w:rsidR="007A45F6">
        <w:rPr>
          <w:rFonts w:cs="Times New Roman"/>
        </w:rPr>
        <w:t>received in response to the Issues Paper</w:t>
      </w:r>
      <w:r w:rsidR="00E31E09">
        <w:rPr>
          <w:rFonts w:cs="Times New Roman"/>
        </w:rPr>
        <w:t xml:space="preserve"> and Act Review</w:t>
      </w:r>
      <w:r w:rsidR="007A45F6">
        <w:rPr>
          <w:rFonts w:cs="Times New Roman"/>
        </w:rPr>
        <w:t xml:space="preserve"> </w:t>
      </w:r>
      <w:r w:rsidR="007A45F6" w:rsidRPr="00D714FC">
        <w:rPr>
          <w:rFonts w:cs="Times New Roman"/>
        </w:rPr>
        <w:t>that the compliance costs of Part 5 outweigh the benefits obtained. The ACCC consider</w:t>
      </w:r>
      <w:r>
        <w:rPr>
          <w:rFonts w:cs="Times New Roman"/>
        </w:rPr>
        <w:t>ed</w:t>
      </w:r>
      <w:r w:rsidR="007A45F6" w:rsidRPr="00D714FC">
        <w:rPr>
          <w:rFonts w:cs="Times New Roman"/>
        </w:rPr>
        <w:t xml:space="preserve"> that effective standards </w:t>
      </w:r>
      <w:r>
        <w:rPr>
          <w:rFonts w:cs="Times New Roman"/>
        </w:rPr>
        <w:t xml:space="preserve">could </w:t>
      </w:r>
      <w:r w:rsidR="007A45F6" w:rsidRPr="00D714FC">
        <w:rPr>
          <w:rFonts w:cs="Times New Roman"/>
        </w:rPr>
        <w:t xml:space="preserve">be maintained, through proposed amendments to the non-discrimination provisions (see section 5.3) and pricing transparency provisions (see section 5.4), rather than the current Part 5 requirements, at significantly lower compliance costs. </w:t>
      </w:r>
      <w:r w:rsidR="00E77981">
        <w:rPr>
          <w:rFonts w:cs="Times New Roman"/>
        </w:rPr>
        <w:t xml:space="preserve">Accordingly, the ACCC made draft rule advice to repeal Part 5 of the WCIR, as well as rule requirements for Part 5 operators specifically that are located in other Parts of the rules (draft rule advice 5-L). This draft rule advice was contingent on the ACCC’s </w:t>
      </w:r>
      <w:r w:rsidR="00BF06E1">
        <w:rPr>
          <w:rFonts w:cs="Times New Roman"/>
        </w:rPr>
        <w:t>D</w:t>
      </w:r>
      <w:r w:rsidR="00E77981">
        <w:rPr>
          <w:rFonts w:cs="Times New Roman"/>
        </w:rPr>
        <w:t xml:space="preserve">raft </w:t>
      </w:r>
      <w:r w:rsidR="00BF06E1">
        <w:rPr>
          <w:rFonts w:cs="Times New Roman"/>
        </w:rPr>
        <w:t>A</w:t>
      </w:r>
      <w:r w:rsidR="00E77981">
        <w:rPr>
          <w:rFonts w:cs="Times New Roman"/>
        </w:rPr>
        <w:t>dvice relating to pricing transparency and non-discrimination also being adopted.</w:t>
      </w:r>
    </w:p>
    <w:p w:rsidR="00213F83" w:rsidRPr="00D714FC" w:rsidRDefault="00213F83" w:rsidP="00E83E5D">
      <w:pPr>
        <w:pStyle w:val="Heading3Un-numbered"/>
      </w:pPr>
      <w:r w:rsidRPr="00D714FC">
        <w:t>Stakeholder feedback</w:t>
      </w:r>
    </w:p>
    <w:p w:rsidR="00213F83" w:rsidRPr="00D714FC" w:rsidRDefault="00213F83" w:rsidP="00FF055C">
      <w:pPr>
        <w:keepNext/>
        <w:rPr>
          <w:rFonts w:cs="Times New Roman"/>
          <w:color w:val="000000"/>
        </w:rPr>
      </w:pPr>
      <w:r w:rsidRPr="00D714FC">
        <w:rPr>
          <w:rFonts w:cs="Times New Roman"/>
          <w:color w:val="000000"/>
        </w:rPr>
        <w:t>Stakeholders raised significant concerns in relation to the regulatory burden of Part 5, via submissions to the Act Review, submissions to the ACCC’s Issues Paper</w:t>
      </w:r>
      <w:r w:rsidR="009E7B62" w:rsidRPr="00D714FC">
        <w:rPr>
          <w:rFonts w:cs="Times New Roman"/>
          <w:color w:val="000000"/>
        </w:rPr>
        <w:t xml:space="preserve">, </w:t>
      </w:r>
      <w:r w:rsidRPr="00D714FC">
        <w:rPr>
          <w:rFonts w:cs="Times New Roman"/>
          <w:color w:val="000000"/>
        </w:rPr>
        <w:t>in meetings with ACCC staff</w:t>
      </w:r>
      <w:r w:rsidR="009E7B62" w:rsidRPr="00D714FC">
        <w:rPr>
          <w:rFonts w:cs="Times New Roman"/>
          <w:color w:val="000000"/>
        </w:rPr>
        <w:t xml:space="preserve"> and at public forums</w:t>
      </w:r>
      <w:r w:rsidRPr="00D714FC">
        <w:rPr>
          <w:rFonts w:cs="Times New Roman"/>
          <w:color w:val="000000"/>
        </w:rPr>
        <w:t>. Many stakeholders questioned what, if any, additional benefits are being achieved through the Part 5 requirements as distinct from those activities already undertaken by member-owned operators or under state-based processes.</w:t>
      </w:r>
      <w:r w:rsidR="007A45F6">
        <w:rPr>
          <w:rFonts w:cs="Times New Roman"/>
          <w:color w:val="000000"/>
        </w:rPr>
        <w:t xml:space="preserve"> The majority of feedback received by the ACCC in its first round of consultation supported the repeal of Part 5 requirements of the WCIR.</w:t>
      </w:r>
      <w:r w:rsidR="007A45F6">
        <w:rPr>
          <w:rStyle w:val="FootnoteReference"/>
          <w:rFonts w:cs="Times New Roman"/>
          <w:color w:val="000000"/>
        </w:rPr>
        <w:footnoteReference w:id="349"/>
      </w:r>
      <w:r w:rsidRPr="00D714FC">
        <w:rPr>
          <w:rFonts w:cs="Times New Roman"/>
          <w:color w:val="000000"/>
        </w:rPr>
        <w:t xml:space="preserve"> </w:t>
      </w:r>
    </w:p>
    <w:p w:rsidR="00213F83" w:rsidRPr="00D714FC" w:rsidRDefault="00213F83" w:rsidP="007A45F6">
      <w:pPr>
        <w:keepNext/>
      </w:pPr>
      <w:r w:rsidRPr="00D714FC">
        <w:rPr>
          <w:rFonts w:cs="Times New Roman"/>
        </w:rPr>
        <w:t xml:space="preserve">Member-owned </w:t>
      </w:r>
      <w:r w:rsidR="007A45F6">
        <w:rPr>
          <w:rFonts w:cs="Times New Roman"/>
        </w:rPr>
        <w:t xml:space="preserve">infrastructure </w:t>
      </w:r>
      <w:r w:rsidRPr="00D714FC">
        <w:rPr>
          <w:rFonts w:cs="Times New Roman"/>
        </w:rPr>
        <w:t xml:space="preserve">operators identified that the </w:t>
      </w:r>
      <w:r w:rsidR="009E7B62" w:rsidRPr="00D714FC">
        <w:rPr>
          <w:rFonts w:cs="Times New Roman"/>
        </w:rPr>
        <w:t>N</w:t>
      </w:r>
      <w:r w:rsidR="007A45F6">
        <w:rPr>
          <w:rFonts w:cs="Times New Roman"/>
        </w:rPr>
        <w:t xml:space="preserve">etwork </w:t>
      </w:r>
      <w:r w:rsidR="009E7B62" w:rsidRPr="00D714FC">
        <w:rPr>
          <w:rFonts w:cs="Times New Roman"/>
        </w:rPr>
        <w:t>C</w:t>
      </w:r>
      <w:r w:rsidR="007A45F6">
        <w:rPr>
          <w:rFonts w:cs="Times New Roman"/>
        </w:rPr>
        <w:t xml:space="preserve">onsultation </w:t>
      </w:r>
      <w:r w:rsidR="009E7B62" w:rsidRPr="00D714FC">
        <w:rPr>
          <w:rFonts w:cs="Times New Roman"/>
        </w:rPr>
        <w:t>P</w:t>
      </w:r>
      <w:r w:rsidR="009542D1">
        <w:rPr>
          <w:rFonts w:cs="Times New Roman"/>
        </w:rPr>
        <w:t>aper</w:t>
      </w:r>
      <w:r w:rsidR="004F6BD0">
        <w:rPr>
          <w:rFonts w:cs="Times New Roman"/>
        </w:rPr>
        <w:t xml:space="preserve"> </w:t>
      </w:r>
      <w:r w:rsidR="007A45F6">
        <w:rPr>
          <w:rFonts w:cs="Times New Roman"/>
        </w:rPr>
        <w:t>process</w:t>
      </w:r>
      <w:r w:rsidRPr="00D714FC">
        <w:rPr>
          <w:rFonts w:cs="Times New Roman"/>
        </w:rPr>
        <w:t xml:space="preserve"> duplicates consultation processes that they already </w:t>
      </w:r>
      <w:r w:rsidR="000A5957" w:rsidRPr="00D714FC">
        <w:rPr>
          <w:rFonts w:cs="Times New Roman"/>
        </w:rPr>
        <w:t xml:space="preserve">use to </w:t>
      </w:r>
      <w:r w:rsidRPr="00D714FC">
        <w:rPr>
          <w:rFonts w:cs="Times New Roman"/>
        </w:rPr>
        <w:t>engage with their customers</w:t>
      </w:r>
    </w:p>
    <w:p w:rsidR="00BD267F" w:rsidRPr="00BD267F" w:rsidRDefault="00867A4B" w:rsidP="00BD267F">
      <w:r>
        <w:t>In response to the Draft Advice,</w:t>
      </w:r>
      <w:r w:rsidR="00BD267F">
        <w:t xml:space="preserve"> t</w:t>
      </w:r>
      <w:r w:rsidR="00BD267F" w:rsidRPr="00BD267F">
        <w:t>he National Farmers’ Federation</w:t>
      </w:r>
      <w:r w:rsidR="00FC0E8C">
        <w:t xml:space="preserve"> (NFF)</w:t>
      </w:r>
      <w:r w:rsidR="00BD267F" w:rsidRPr="00BD267F">
        <w:t xml:space="preserve"> </w:t>
      </w:r>
      <w:r w:rsidR="00BD267F">
        <w:t>submitted t</w:t>
      </w:r>
      <w:r w:rsidR="00BD267F" w:rsidRPr="00BD267F">
        <w:t xml:space="preserve">hat the costs of producing the </w:t>
      </w:r>
      <w:r w:rsidR="00CF6842">
        <w:t>NSP</w:t>
      </w:r>
      <w:r w:rsidR="00BD267F" w:rsidRPr="00BD267F">
        <w:t xml:space="preserve"> outweigh the benefits.</w:t>
      </w:r>
      <w:r w:rsidR="00BD267F" w:rsidRPr="00BD267F">
        <w:rPr>
          <w:vertAlign w:val="superscript"/>
        </w:rPr>
        <w:footnoteReference w:id="350"/>
      </w:r>
      <w:r w:rsidR="00BD267F" w:rsidRPr="00BD267F">
        <w:t xml:space="preserve"> </w:t>
      </w:r>
    </w:p>
    <w:p w:rsidR="00BD267F" w:rsidRPr="00BD267F" w:rsidRDefault="00BD267F" w:rsidP="00BD267F">
      <w:r w:rsidRPr="00BD267F">
        <w:t xml:space="preserve">Three other submissions </w:t>
      </w:r>
      <w:r w:rsidRPr="00BD267F">
        <w:rPr>
          <w:i/>
        </w:rPr>
        <w:t>conditionally</w:t>
      </w:r>
      <w:r w:rsidRPr="00BD267F">
        <w:t xml:space="preserve"> support the repeal of the requirement to produce a </w:t>
      </w:r>
      <w:r w:rsidR="00CF6842">
        <w:t>NSP</w:t>
      </w:r>
      <w:r w:rsidRPr="00BD267F">
        <w:t xml:space="preserve">. The National Irrigators’ Council (NIC) submitted that they support the repeal as a standalone reform, </w:t>
      </w:r>
      <w:r>
        <w:t>arguing</w:t>
      </w:r>
      <w:r w:rsidRPr="00BD267F">
        <w:t xml:space="preserve"> that it is the only proposed amendment</w:t>
      </w:r>
      <w:r w:rsidR="00951D5D">
        <w:t>,</w:t>
      </w:r>
      <w:r w:rsidRPr="00BD267F">
        <w:t xml:space="preserve"> which appropriately responds to the terms of reference for the water charge rules review.</w:t>
      </w:r>
      <w:r w:rsidRPr="00BD267F">
        <w:rPr>
          <w:vertAlign w:val="superscript"/>
        </w:rPr>
        <w:footnoteReference w:id="351"/>
      </w:r>
      <w:r w:rsidRPr="00BD267F">
        <w:t xml:space="preserve"> However, the NIC do not support the repeal being conditional on the introduction of the ACCC’s proposed amendments </w:t>
      </w:r>
      <w:r>
        <w:t xml:space="preserve">regarding pricing transparency and </w:t>
      </w:r>
      <w:r w:rsidRPr="00BD267F">
        <w:t>non-discrimination. The NIC</w:t>
      </w:r>
      <w:r w:rsidR="00951D5D">
        <w:t>’</w:t>
      </w:r>
      <w:r w:rsidRPr="00BD267F">
        <w:t>s view</w:t>
      </w:r>
      <w:r w:rsidR="00951D5D">
        <w:t xml:space="preserve"> is</w:t>
      </w:r>
      <w:r w:rsidRPr="00BD267F">
        <w:t xml:space="preserve"> that the proposed amendments that would replace the </w:t>
      </w:r>
      <w:r w:rsidR="00CF6842">
        <w:t>NSP</w:t>
      </w:r>
      <w:r w:rsidRPr="00BD267F">
        <w:t xml:space="preserve"> “would be more burdensome and costly” than producing a </w:t>
      </w:r>
      <w:r w:rsidR="00CF6842">
        <w:t>NSP</w:t>
      </w:r>
      <w:r w:rsidRPr="00BD267F">
        <w:t xml:space="preserve">. The NIC argues that the </w:t>
      </w:r>
      <w:r w:rsidR="00CF6842">
        <w:t>NSP</w:t>
      </w:r>
      <w:r w:rsidRPr="00BD267F">
        <w:t xml:space="preserve"> addresses issues such as works, expenditure estimates, financing plans, details about grants or subsidies and estimated regulated charges, which is different to the issues that the other proposed amendments attempt to address.</w:t>
      </w:r>
      <w:r w:rsidRPr="00BD267F">
        <w:rPr>
          <w:vertAlign w:val="superscript"/>
        </w:rPr>
        <w:footnoteReference w:id="352"/>
      </w:r>
      <w:r w:rsidRPr="00BD267F">
        <w:t xml:space="preserve"> </w:t>
      </w:r>
    </w:p>
    <w:p w:rsidR="00BD267F" w:rsidRPr="00BD267F" w:rsidRDefault="00BD267F" w:rsidP="00BD267F">
      <w:r w:rsidRPr="00BD267F">
        <w:t>The NIC and Western Murray Irrigation</w:t>
      </w:r>
      <w:r w:rsidR="006F0423">
        <w:t xml:space="preserve"> (WMI)</w:t>
      </w:r>
      <w:r w:rsidRPr="00BD267F">
        <w:t xml:space="preserve"> further commented that smaller operators may face increased regulatory costs from the proposed amendments to rules (such as non-discrimination provisions), but they do not benefit, by way of offsetting regulatory costs, from the repeal of the </w:t>
      </w:r>
      <w:r w:rsidR="00CF6842">
        <w:t>NSP</w:t>
      </w:r>
      <w:r w:rsidRPr="00BD267F">
        <w:t>.</w:t>
      </w:r>
      <w:r w:rsidRPr="00BD267F">
        <w:rPr>
          <w:vertAlign w:val="superscript"/>
        </w:rPr>
        <w:footnoteReference w:id="353"/>
      </w:r>
      <w:r w:rsidRPr="00BD267F">
        <w:t xml:space="preserve"> </w:t>
      </w:r>
    </w:p>
    <w:p w:rsidR="00BD267F" w:rsidRPr="00BD267F" w:rsidRDefault="00BD267F" w:rsidP="00BD267F">
      <w:r w:rsidRPr="00BD267F">
        <w:t xml:space="preserve">By comparison, the Local Government Association of Queensland </w:t>
      </w:r>
      <w:r w:rsidR="008F0D6B">
        <w:t xml:space="preserve">(LGAQ) </w:t>
      </w:r>
      <w:r w:rsidRPr="00BD267F">
        <w:t xml:space="preserve">suggested that if the information is not required to be published then it should be made available on request or included in other publications. The LGA Q noted that the </w:t>
      </w:r>
      <w:r w:rsidR="00CF6842">
        <w:t>NSP</w:t>
      </w:r>
      <w:r w:rsidRPr="00BD267F">
        <w:t xml:space="preserve"> requirements (in addition to the requirements relating to </w:t>
      </w:r>
      <w:r w:rsidR="005B6D26">
        <w:t>S</w:t>
      </w:r>
      <w:r w:rsidRPr="00BD267F">
        <w:t xml:space="preserve">chedules of </w:t>
      </w:r>
      <w:r w:rsidR="005B6D26">
        <w:t>C</w:t>
      </w:r>
      <w:r w:rsidRPr="00BD267F">
        <w:t>harges) in the WCIR have increased transparency of water charges in Queensland</w:t>
      </w:r>
      <w:r>
        <w:t>, and this</w:t>
      </w:r>
      <w:r w:rsidRPr="00BD267F">
        <w:t xml:space="preserve"> transparency will be maintained even with the repeal of the </w:t>
      </w:r>
      <w:r w:rsidR="00CF6842">
        <w:t>NSP</w:t>
      </w:r>
      <w:r>
        <w:t>.</w:t>
      </w:r>
      <w:r w:rsidRPr="00BD267F">
        <w:rPr>
          <w:vertAlign w:val="superscript"/>
        </w:rPr>
        <w:footnoteReference w:id="354"/>
      </w:r>
      <w:r w:rsidRPr="00BD267F">
        <w:t xml:space="preserve"> </w:t>
      </w:r>
    </w:p>
    <w:p w:rsidR="00BD267F" w:rsidRPr="00BD267F" w:rsidRDefault="00BD267F" w:rsidP="00BD267F">
      <w:r w:rsidRPr="00BD267F">
        <w:t xml:space="preserve">SunWater already produces an annual </w:t>
      </w:r>
      <w:r w:rsidR="00CF6842">
        <w:t>NSP</w:t>
      </w:r>
      <w:r w:rsidRPr="00BD267F">
        <w:t xml:space="preserve"> </w:t>
      </w:r>
      <w:r w:rsidR="00D32520">
        <w:t>as part of the</w:t>
      </w:r>
      <w:r w:rsidRPr="00BD267F">
        <w:t xml:space="preserve"> process for </w:t>
      </w:r>
      <w:r w:rsidR="00D32520">
        <w:t>the Queensland Competition Authority</w:t>
      </w:r>
      <w:r w:rsidR="00E45DD9">
        <w:t xml:space="preserve"> (QCA)</w:t>
      </w:r>
      <w:r w:rsidR="00D32520">
        <w:t xml:space="preserve"> </w:t>
      </w:r>
      <w:r w:rsidRPr="00BD267F">
        <w:t xml:space="preserve">recommending SunWater’s irrigation charges to the Queensland Minister. The Queensland </w:t>
      </w:r>
      <w:r w:rsidR="008E524B" w:rsidRPr="00BD267F">
        <w:t>Farmers</w:t>
      </w:r>
      <w:r w:rsidR="008E524B">
        <w:t xml:space="preserve">’ </w:t>
      </w:r>
      <w:r w:rsidRPr="00BD267F">
        <w:t>Federation</w:t>
      </w:r>
      <w:r w:rsidR="008E524B">
        <w:t xml:space="preserve"> (QFF)</w:t>
      </w:r>
      <w:r w:rsidRPr="00BD267F">
        <w:t xml:space="preserve"> noted that it supports the annual </w:t>
      </w:r>
      <w:r w:rsidR="00CF6842">
        <w:t>NSP</w:t>
      </w:r>
      <w:r w:rsidRPr="00BD267F">
        <w:t xml:space="preserve"> (under the Queensland process) because it is a transparent process reporting on the implementation of the charges recommended by the QCA; QFF is of the view that the annual </w:t>
      </w:r>
      <w:r w:rsidR="00D5346B">
        <w:t>NSP</w:t>
      </w:r>
      <w:r w:rsidRPr="00BD267F">
        <w:t xml:space="preserve"> will provide data and efficiencies for SunWater’s next price review.</w:t>
      </w:r>
      <w:r w:rsidRPr="00BD267F">
        <w:rPr>
          <w:vertAlign w:val="superscript"/>
        </w:rPr>
        <w:footnoteReference w:id="355"/>
      </w:r>
      <w:r w:rsidR="00C6733C">
        <w:t xml:space="preserve"> </w:t>
      </w:r>
    </w:p>
    <w:p w:rsidR="00867A4B" w:rsidRDefault="00BD267F" w:rsidP="00867A4B">
      <w:r w:rsidRPr="00BD267F">
        <w:t xml:space="preserve">Only one submission, from Mr Tom Loffler, supports retaining the requirement to produce and publish a </w:t>
      </w:r>
      <w:r w:rsidR="00D5346B">
        <w:t>NSP</w:t>
      </w:r>
      <w:r w:rsidRPr="00BD267F">
        <w:t>.</w:t>
      </w:r>
      <w:r w:rsidRPr="00BD267F">
        <w:rPr>
          <w:vertAlign w:val="superscript"/>
        </w:rPr>
        <w:footnoteReference w:id="356"/>
      </w:r>
      <w:r w:rsidR="00C6733C">
        <w:t xml:space="preserve"> </w:t>
      </w:r>
    </w:p>
    <w:p w:rsidR="00213F83" w:rsidRPr="00D714FC" w:rsidRDefault="0079321E" w:rsidP="00E83E5D">
      <w:pPr>
        <w:pStyle w:val="Heading3Un-numbered"/>
      </w:pPr>
      <w:r>
        <w:t>ACCC assessment</w:t>
      </w:r>
    </w:p>
    <w:p w:rsidR="00213F83" w:rsidRPr="00D714FC" w:rsidRDefault="00213F83" w:rsidP="00896C33">
      <w:pPr>
        <w:rPr>
          <w:rFonts w:cs="Times New Roman"/>
        </w:rPr>
      </w:pPr>
      <w:r w:rsidRPr="00D714FC">
        <w:rPr>
          <w:rFonts w:cs="Times New Roman"/>
        </w:rPr>
        <w:t xml:space="preserve">The ACCC </w:t>
      </w:r>
      <w:r w:rsidR="00896C33">
        <w:rPr>
          <w:rFonts w:cs="Times New Roman"/>
        </w:rPr>
        <w:t xml:space="preserve">maintains its view from the Draft Advice that, on balance, requirements in relation to </w:t>
      </w:r>
      <w:r w:rsidR="00D5346B">
        <w:rPr>
          <w:rFonts w:cs="Times New Roman"/>
        </w:rPr>
        <w:t>NSP</w:t>
      </w:r>
      <w:r w:rsidR="00896C33">
        <w:rPr>
          <w:rFonts w:cs="Times New Roman"/>
        </w:rPr>
        <w:t xml:space="preserve"> should be removed from the rules.</w:t>
      </w:r>
      <w:r w:rsidRPr="00D714FC">
        <w:rPr>
          <w:rFonts w:cs="Times New Roman"/>
        </w:rPr>
        <w:t xml:space="preserve"> Repealing Part 5 would significantly reduce the regulatory requirements and associated compliance costs of the current Part 5 operators. However, a key consideration is to balance the reduction in compliance burden obtained via the repeal of Part 5 against the maintenance of effective standards</w:t>
      </w:r>
      <w:r w:rsidR="00133108">
        <w:rPr>
          <w:rFonts w:cs="Times New Roman"/>
        </w:rPr>
        <w:t>.</w:t>
      </w:r>
      <w:r w:rsidRPr="00D714FC">
        <w:rPr>
          <w:rStyle w:val="FootnoteReference"/>
          <w:rFonts w:cs="Times New Roman"/>
        </w:rPr>
        <w:footnoteReference w:id="357"/>
      </w:r>
      <w:r w:rsidRPr="00D714FC">
        <w:rPr>
          <w:rFonts w:cs="Times New Roman"/>
        </w:rPr>
        <w:t xml:space="preserve"> </w:t>
      </w:r>
    </w:p>
    <w:p w:rsidR="00133108" w:rsidRDefault="00896C33" w:rsidP="001F5E22">
      <w:pPr>
        <w:rPr>
          <w:rFonts w:cs="Times New Roman"/>
        </w:rPr>
      </w:pPr>
      <w:r>
        <w:rPr>
          <w:rFonts w:cs="Times New Roman"/>
        </w:rPr>
        <w:t>T</w:t>
      </w:r>
      <w:r w:rsidR="00D32520" w:rsidRPr="00D32520">
        <w:rPr>
          <w:rFonts w:cs="Times New Roman"/>
        </w:rPr>
        <w:t>he ACCC</w:t>
      </w:r>
      <w:r>
        <w:rPr>
          <w:rFonts w:cs="Times New Roman"/>
        </w:rPr>
        <w:t xml:space="preserve"> continues to hold the view from its </w:t>
      </w:r>
      <w:r w:rsidR="00D32520" w:rsidRPr="00D32520">
        <w:rPr>
          <w:rFonts w:cs="Times New Roman"/>
        </w:rPr>
        <w:t xml:space="preserve">Draft Advice that some of the proposed amendments </w:t>
      </w:r>
      <w:r>
        <w:rPr>
          <w:rFonts w:cs="Times New Roman"/>
        </w:rPr>
        <w:t xml:space="preserve">to other parts of the rules </w:t>
      </w:r>
      <w:r w:rsidR="00D32520" w:rsidRPr="00D32520">
        <w:rPr>
          <w:rFonts w:cs="Times New Roman"/>
        </w:rPr>
        <w:t>will contribute to</w:t>
      </w:r>
      <w:r w:rsidR="00951D5D">
        <w:rPr>
          <w:rFonts w:cs="Times New Roman"/>
        </w:rPr>
        <w:t xml:space="preserve"> achieving</w:t>
      </w:r>
      <w:r w:rsidR="00D32520" w:rsidRPr="00D32520">
        <w:rPr>
          <w:rFonts w:cs="Times New Roman"/>
        </w:rPr>
        <w:t xml:space="preserve"> the underlying intent of the </w:t>
      </w:r>
      <w:r w:rsidR="00FD2DE6">
        <w:rPr>
          <w:rFonts w:cs="Times New Roman"/>
        </w:rPr>
        <w:t xml:space="preserve">current Part 5 </w:t>
      </w:r>
      <w:r w:rsidR="00D32520" w:rsidRPr="00D32520">
        <w:rPr>
          <w:rFonts w:cs="Times New Roman"/>
        </w:rPr>
        <w:t>requirements</w:t>
      </w:r>
      <w:r w:rsidR="00133108">
        <w:rPr>
          <w:rFonts w:cs="Times New Roman"/>
        </w:rPr>
        <w:t>, while also addressing other important issues directly.</w:t>
      </w:r>
    </w:p>
    <w:p w:rsidR="00FD2DE6" w:rsidRDefault="00AB20F6" w:rsidP="00AB20F6">
      <w:pPr>
        <w:rPr>
          <w:rFonts w:cs="Times New Roman"/>
        </w:rPr>
      </w:pPr>
      <w:r w:rsidRPr="00D714FC">
        <w:rPr>
          <w:rFonts w:cs="Times New Roman"/>
        </w:rPr>
        <w:t>The</w:t>
      </w:r>
      <w:r>
        <w:rPr>
          <w:rFonts w:cs="Times New Roman"/>
        </w:rPr>
        <w:t xml:space="preserve"> ACCC noted in its Draft Advice that the</w:t>
      </w:r>
      <w:r w:rsidRPr="00D714FC">
        <w:rPr>
          <w:rFonts w:cs="Times New Roman"/>
        </w:rPr>
        <w:t xml:space="preserve"> policy intent of Part 5 was to provide increased transparency around infrastructure investment and price-setting processes and allow for customer participation in these processes, while taking into account </w:t>
      </w:r>
      <w:r w:rsidR="001A49AA">
        <w:rPr>
          <w:rFonts w:cs="Times New Roman"/>
        </w:rPr>
        <w:t>ownership</w:t>
      </w:r>
      <w:r w:rsidR="001A49AA" w:rsidRPr="00D714FC">
        <w:rPr>
          <w:rFonts w:cs="Times New Roman"/>
        </w:rPr>
        <w:t xml:space="preserve"> </w:t>
      </w:r>
      <w:r w:rsidRPr="00D714FC">
        <w:rPr>
          <w:rFonts w:cs="Times New Roman"/>
        </w:rPr>
        <w:t>arrangements and the size of the operator.</w:t>
      </w:r>
      <w:r w:rsidRPr="00867A4B">
        <w:rPr>
          <w:vertAlign w:val="superscript"/>
        </w:rPr>
        <w:footnoteReference w:id="358"/>
      </w:r>
      <w:r w:rsidR="00C6733C">
        <w:rPr>
          <w:rFonts w:cs="Times New Roman"/>
        </w:rPr>
        <w:t xml:space="preserve"> </w:t>
      </w:r>
      <w:r>
        <w:rPr>
          <w:rFonts w:cs="Times New Roman"/>
        </w:rPr>
        <w:t xml:space="preserve">Pricing transparency and customer participation in decision making </w:t>
      </w:r>
      <w:r w:rsidRPr="00D714FC">
        <w:rPr>
          <w:rFonts w:cs="Times New Roman"/>
        </w:rPr>
        <w:t>remain important for customers’ own decision-making and for promoting the economically efficient and sustainable use of water resources and water service infrastructure.</w:t>
      </w:r>
      <w:r>
        <w:rPr>
          <w:rFonts w:cs="Times New Roman"/>
        </w:rPr>
        <w:t xml:space="preserve"> </w:t>
      </w:r>
      <w:r w:rsidRPr="00D714FC">
        <w:rPr>
          <w:rFonts w:cs="Times New Roman"/>
        </w:rPr>
        <w:t>The ACCC considers that th</w:t>
      </w:r>
      <w:r>
        <w:rPr>
          <w:rFonts w:cs="Times New Roman"/>
        </w:rPr>
        <w:t>is</w:t>
      </w:r>
      <w:r w:rsidRPr="00D714FC">
        <w:rPr>
          <w:rFonts w:cs="Times New Roman"/>
        </w:rPr>
        <w:t xml:space="preserve"> original policy intent of Part 5 remains relevant. </w:t>
      </w:r>
    </w:p>
    <w:p w:rsidR="00FD2DE6" w:rsidRDefault="00FD2DE6" w:rsidP="00FD2DE6">
      <w:pPr>
        <w:rPr>
          <w:rFonts w:cs="Times New Roman"/>
        </w:rPr>
      </w:pPr>
      <w:r>
        <w:rPr>
          <w:rFonts w:cs="Times New Roman"/>
        </w:rPr>
        <w:t xml:space="preserve">As such, while the simple removal of the </w:t>
      </w:r>
      <w:r w:rsidR="00D5346B">
        <w:rPr>
          <w:rFonts w:cs="Times New Roman"/>
        </w:rPr>
        <w:t>NSP</w:t>
      </w:r>
      <w:r>
        <w:rPr>
          <w:rFonts w:cs="Times New Roman"/>
        </w:rPr>
        <w:t xml:space="preserve"> requirements (without any other amendments to the rules) would provide a reduction in the compliance burden, the ACCC does not consider this change alone would ensure that effective standards are maintained.</w:t>
      </w:r>
    </w:p>
    <w:p w:rsidR="00AB20F6" w:rsidRDefault="00AB20F6" w:rsidP="00AB20F6">
      <w:pPr>
        <w:rPr>
          <w:rFonts w:cs="Times New Roman"/>
        </w:rPr>
      </w:pPr>
      <w:r w:rsidRPr="00D714FC">
        <w:rPr>
          <w:rFonts w:cs="Times New Roman"/>
        </w:rPr>
        <w:t xml:space="preserve">The ACCC maintains that customers should be able to understand the process by which infrastructure charges imposed by their operator are decided. Accordingly, the ACCC </w:t>
      </w:r>
      <w:r>
        <w:rPr>
          <w:rFonts w:cs="Times New Roman"/>
        </w:rPr>
        <w:t>made draft rule advice</w:t>
      </w:r>
      <w:r w:rsidRPr="00D714FC">
        <w:rPr>
          <w:rFonts w:cs="Times New Roman"/>
        </w:rPr>
        <w:t xml:space="preserve"> that </w:t>
      </w:r>
      <w:r w:rsidR="00172981">
        <w:rPr>
          <w:rFonts w:cs="Times New Roman"/>
        </w:rPr>
        <w:t xml:space="preserve">all </w:t>
      </w:r>
      <w:r w:rsidRPr="00D714FC">
        <w:rPr>
          <w:rFonts w:cs="Times New Roman"/>
        </w:rPr>
        <w:t xml:space="preserve">infrastructure operators should </w:t>
      </w:r>
      <w:r w:rsidR="003C4CE6">
        <w:rPr>
          <w:rFonts w:cs="Times New Roman"/>
        </w:rPr>
        <w:t xml:space="preserve">provide a statement </w:t>
      </w:r>
      <w:r w:rsidR="00172981">
        <w:rPr>
          <w:rFonts w:cs="Times New Roman"/>
        </w:rPr>
        <w:t>setting out</w:t>
      </w:r>
      <w:r w:rsidR="003C4CE6" w:rsidRPr="00D714FC">
        <w:rPr>
          <w:rFonts w:cs="Times New Roman"/>
        </w:rPr>
        <w:t xml:space="preserve"> </w:t>
      </w:r>
      <w:r w:rsidRPr="00D714FC">
        <w:rPr>
          <w:rFonts w:cs="Times New Roman"/>
        </w:rPr>
        <w:t>the process for determining their charges when providing their Schedule of Charges to customers</w:t>
      </w:r>
      <w:r>
        <w:rPr>
          <w:rFonts w:cs="Times New Roman"/>
        </w:rPr>
        <w:t xml:space="preserve"> (see rule advice 5-E)</w:t>
      </w:r>
      <w:r w:rsidRPr="00D714FC">
        <w:rPr>
          <w:rFonts w:cs="Times New Roman"/>
        </w:rPr>
        <w:t>. This ensures that customers are informed, at a high level, about the process that the operator has undertaken for determining charges, without providing the level of prescriptive detail that was required in the N</w:t>
      </w:r>
      <w:r w:rsidR="009542D1">
        <w:rPr>
          <w:rFonts w:cs="Times New Roman"/>
        </w:rPr>
        <w:t xml:space="preserve">etwork </w:t>
      </w:r>
      <w:r w:rsidRPr="00D714FC">
        <w:rPr>
          <w:rFonts w:cs="Times New Roman"/>
        </w:rPr>
        <w:t>C</w:t>
      </w:r>
      <w:r w:rsidR="009542D1">
        <w:rPr>
          <w:rFonts w:cs="Times New Roman"/>
        </w:rPr>
        <w:t xml:space="preserve">onsultation </w:t>
      </w:r>
      <w:r w:rsidRPr="00D714FC">
        <w:rPr>
          <w:rFonts w:cs="Times New Roman"/>
        </w:rPr>
        <w:t>P</w:t>
      </w:r>
      <w:r w:rsidR="009542D1">
        <w:rPr>
          <w:rFonts w:cs="Times New Roman"/>
        </w:rPr>
        <w:t>aper</w:t>
      </w:r>
      <w:r w:rsidRPr="00D714FC">
        <w:rPr>
          <w:rFonts w:cs="Times New Roman"/>
        </w:rPr>
        <w:t xml:space="preserve"> or NSP. </w:t>
      </w:r>
    </w:p>
    <w:p w:rsidR="00AB20F6" w:rsidRDefault="00AB20F6" w:rsidP="001F5E22">
      <w:pPr>
        <w:rPr>
          <w:rFonts w:cs="Times New Roman"/>
        </w:rPr>
      </w:pPr>
      <w:r w:rsidRPr="00D714FC">
        <w:rPr>
          <w:rFonts w:cs="Times New Roman"/>
        </w:rPr>
        <w:t xml:space="preserve">The ACCC further considers that its proposed enhanced non-discrimination provisions (see section 5.3) will provide additional protections for customers, and thereby mitigate against the possibility of adverse effects caused by repeal of the Part 5 </w:t>
      </w:r>
      <w:r>
        <w:rPr>
          <w:rFonts w:cs="Times New Roman"/>
        </w:rPr>
        <w:t xml:space="preserve">(NSP) </w:t>
      </w:r>
      <w:r w:rsidRPr="00D714FC">
        <w:rPr>
          <w:rFonts w:cs="Times New Roman"/>
        </w:rPr>
        <w:t xml:space="preserve">provisions. To the extent that customers are protected from certain forms of discriminatory pricing </w:t>
      </w:r>
      <w:r>
        <w:rPr>
          <w:rFonts w:cs="Times New Roman"/>
        </w:rPr>
        <w:t>through enhanced non-discrimination requirements</w:t>
      </w:r>
      <w:r w:rsidRPr="00D714FC">
        <w:rPr>
          <w:rFonts w:cs="Times New Roman"/>
        </w:rPr>
        <w:t xml:space="preserve">, the need for customers to participate in decision-making processes in order to avoid such outcomes is alleviated. </w:t>
      </w:r>
    </w:p>
    <w:p w:rsidR="00AB20F6" w:rsidRPr="00896C33" w:rsidRDefault="00AB20F6" w:rsidP="00AB20F6">
      <w:pPr>
        <w:rPr>
          <w:rFonts w:cs="Times New Roman"/>
        </w:rPr>
      </w:pPr>
      <w:r>
        <w:rPr>
          <w:rFonts w:cs="Times New Roman"/>
        </w:rPr>
        <w:t xml:space="preserve">The ACCC acknowledges stakeholder concerns that some smaller infrastructure operators may incur additional regulatory costs as a result of the proposals elsewhere in this Final Advice, but not enjoy the cost reduction associated with the proposed repeal of the </w:t>
      </w:r>
      <w:r w:rsidR="00D5346B">
        <w:rPr>
          <w:rFonts w:cs="Times New Roman"/>
        </w:rPr>
        <w:t>NSP</w:t>
      </w:r>
      <w:r>
        <w:rPr>
          <w:rFonts w:cs="Times New Roman"/>
        </w:rPr>
        <w:t xml:space="preserve"> requirements.</w:t>
      </w:r>
    </w:p>
    <w:p w:rsidR="00AB20F6" w:rsidRDefault="00AB20F6" w:rsidP="00AB20F6">
      <w:pPr>
        <w:rPr>
          <w:rFonts w:cs="Times New Roman"/>
        </w:rPr>
      </w:pPr>
      <w:r>
        <w:rPr>
          <w:rFonts w:cs="Times New Roman"/>
        </w:rPr>
        <w:t xml:space="preserve">The </w:t>
      </w:r>
      <w:r w:rsidRPr="00896C33">
        <w:rPr>
          <w:rFonts w:cs="Times New Roman"/>
        </w:rPr>
        <w:t xml:space="preserve">ACCC’s proposal to apply a consistent set of requirements on all infrastructure operators was </w:t>
      </w:r>
      <w:r>
        <w:rPr>
          <w:rFonts w:cs="Times New Roman"/>
        </w:rPr>
        <w:t xml:space="preserve">and remains </w:t>
      </w:r>
      <w:r w:rsidRPr="00896C33">
        <w:rPr>
          <w:rFonts w:cs="Times New Roman"/>
        </w:rPr>
        <w:t xml:space="preserve">based on the need to ensure a consistent level of protection for all infrastructure operator customers, balanced against the estimated regulatory costs. </w:t>
      </w:r>
      <w:r>
        <w:rPr>
          <w:rFonts w:cs="Times New Roman"/>
        </w:rPr>
        <w:t xml:space="preserve">While </w:t>
      </w:r>
      <w:r w:rsidRPr="00896C33">
        <w:rPr>
          <w:rFonts w:cs="Times New Roman"/>
        </w:rPr>
        <w:t>the ACCC estimate</w:t>
      </w:r>
      <w:r>
        <w:rPr>
          <w:rFonts w:cs="Times New Roman"/>
        </w:rPr>
        <w:t>s</w:t>
      </w:r>
      <w:r w:rsidRPr="00896C33">
        <w:rPr>
          <w:rFonts w:cs="Times New Roman"/>
        </w:rPr>
        <w:t xml:space="preserve"> a small increase in regulatory costs for smaller infrastructure operators </w:t>
      </w:r>
      <w:r>
        <w:rPr>
          <w:rFonts w:cs="Times New Roman"/>
        </w:rPr>
        <w:t xml:space="preserve">(see </w:t>
      </w:r>
      <w:r w:rsidR="00B9494D">
        <w:rPr>
          <w:rFonts w:cs="Times New Roman"/>
        </w:rPr>
        <w:t>c</w:t>
      </w:r>
      <w:r>
        <w:rPr>
          <w:rFonts w:cs="Times New Roman"/>
        </w:rPr>
        <w:t xml:space="preserve">hapter 9), it </w:t>
      </w:r>
      <w:r w:rsidRPr="00896C33">
        <w:rPr>
          <w:rFonts w:cs="Times New Roman"/>
        </w:rPr>
        <w:t>consider</w:t>
      </w:r>
      <w:r>
        <w:rPr>
          <w:rFonts w:cs="Times New Roman"/>
        </w:rPr>
        <w:t>s</w:t>
      </w:r>
      <w:r w:rsidRPr="00896C33">
        <w:rPr>
          <w:rFonts w:cs="Times New Roman"/>
        </w:rPr>
        <w:t xml:space="preserve"> that it is adequately balanced against the increased level of protection that will be afforded to customers of these operators. </w:t>
      </w:r>
    </w:p>
    <w:p w:rsidR="00AB20F6" w:rsidRPr="00AB20F6" w:rsidRDefault="00FD2DE6" w:rsidP="00E439B4">
      <w:pPr>
        <w:pStyle w:val="Heading4-Un-numberedsubheading-Lvl5"/>
      </w:pPr>
      <w:r>
        <w:t xml:space="preserve">Regulatory cost and the timing of amendments </w:t>
      </w:r>
    </w:p>
    <w:p w:rsidR="00FD2DE6" w:rsidRDefault="00FD2DE6" w:rsidP="00FD2DE6">
      <w:pPr>
        <w:rPr>
          <w:rFonts w:cs="Times New Roman"/>
        </w:rPr>
      </w:pPr>
      <w:r>
        <w:rPr>
          <w:rFonts w:cs="Times New Roman"/>
        </w:rPr>
        <w:t xml:space="preserve">As noted in </w:t>
      </w:r>
      <w:r w:rsidR="00B9494D">
        <w:rPr>
          <w:rFonts w:cs="Times New Roman"/>
        </w:rPr>
        <w:t>c</w:t>
      </w:r>
      <w:r>
        <w:rPr>
          <w:rFonts w:cs="Times New Roman"/>
        </w:rPr>
        <w:t xml:space="preserve">hapter 9, the development and dissemination of an NSP involves substantial estimated regulatory costs. </w:t>
      </w:r>
    </w:p>
    <w:p w:rsidR="003023B2" w:rsidRDefault="00C67AD2" w:rsidP="003023B2">
      <w:pPr>
        <w:rPr>
          <w:rFonts w:cs="Times New Roman"/>
        </w:rPr>
      </w:pPr>
      <w:r>
        <w:rPr>
          <w:rFonts w:cs="Times New Roman"/>
        </w:rPr>
        <w:t xml:space="preserve">The ACCC notes that the current round of NSPs are due to expire in mid-2017. While there is no statutory timeframe for when an infrastructure operator should commence the development of the next round of NSPs, the level of detail and consultation required by the rules mean that </w:t>
      </w:r>
      <w:r w:rsidR="003023B2">
        <w:rPr>
          <w:rFonts w:cs="Times New Roman"/>
        </w:rPr>
        <w:t>infrastructure operators are likely to have commenced development of these before the end of 2016. In the absence of a new NSP, the current rules could preclude an infrastructure operator from levying charges for their infrastructure services,</w:t>
      </w:r>
      <w:r w:rsidR="003023B2">
        <w:rPr>
          <w:rStyle w:val="FootnoteReference"/>
          <w:rFonts w:cs="Times New Roman"/>
        </w:rPr>
        <w:footnoteReference w:id="359"/>
      </w:r>
      <w:r w:rsidR="003023B2">
        <w:rPr>
          <w:rFonts w:cs="Times New Roman"/>
        </w:rPr>
        <w:t xml:space="preserve"> or at least updating and publishing a new </w:t>
      </w:r>
      <w:r w:rsidR="005B6D26">
        <w:rPr>
          <w:rFonts w:cs="Times New Roman"/>
        </w:rPr>
        <w:t>S</w:t>
      </w:r>
      <w:r w:rsidR="003023B2">
        <w:rPr>
          <w:rFonts w:cs="Times New Roman"/>
        </w:rPr>
        <w:t xml:space="preserve">chedule of </w:t>
      </w:r>
      <w:r w:rsidR="005B6D26">
        <w:rPr>
          <w:rFonts w:cs="Times New Roman"/>
        </w:rPr>
        <w:t>C</w:t>
      </w:r>
      <w:r w:rsidR="003023B2">
        <w:rPr>
          <w:rFonts w:cs="Times New Roman"/>
        </w:rPr>
        <w:t>harges.</w:t>
      </w:r>
      <w:r w:rsidR="003023B2">
        <w:rPr>
          <w:rStyle w:val="FootnoteReference"/>
          <w:rFonts w:cs="Times New Roman"/>
        </w:rPr>
        <w:footnoteReference w:id="360"/>
      </w:r>
      <w:r w:rsidR="003023B2">
        <w:rPr>
          <w:rFonts w:cs="Times New Roman"/>
        </w:rPr>
        <w:t xml:space="preserve"> </w:t>
      </w:r>
    </w:p>
    <w:p w:rsidR="00FD2DE6" w:rsidRPr="00FD2DE6" w:rsidRDefault="00FD2DE6" w:rsidP="00E439B4">
      <w:pPr>
        <w:pStyle w:val="Heading4-Un-numberedsubheading-Lvl5"/>
      </w:pPr>
      <w:r>
        <w:t>Conclusion</w:t>
      </w:r>
    </w:p>
    <w:p w:rsidR="00AB20F6" w:rsidRDefault="00A01DAD" w:rsidP="00AB20F6">
      <w:r>
        <w:t xml:space="preserve">The ACCC considers that effective standards can be ensured through </w:t>
      </w:r>
      <w:r w:rsidRPr="00D714FC">
        <w:t xml:space="preserve">rule advices </w:t>
      </w:r>
      <w:r>
        <w:t xml:space="preserve">5-A to 5-E, </w:t>
      </w:r>
      <w:r w:rsidRPr="00D714FC">
        <w:t xml:space="preserve">relating to enhancing the non-discrimination </w:t>
      </w:r>
      <w:r>
        <w:t xml:space="preserve">and pricing transparency </w:t>
      </w:r>
      <w:r w:rsidRPr="00D714FC">
        <w:t>provisions</w:t>
      </w:r>
      <w:r>
        <w:t xml:space="preserve">. However, </w:t>
      </w:r>
      <w:r>
        <w:rPr>
          <w:rFonts w:cs="Times New Roman"/>
        </w:rPr>
        <w:t>i</w:t>
      </w:r>
      <w:r w:rsidR="00AB20F6">
        <w:rPr>
          <w:rFonts w:cs="Times New Roman"/>
        </w:rPr>
        <w:t xml:space="preserve">n recognition of the </w:t>
      </w:r>
      <w:r w:rsidR="00172981">
        <w:rPr>
          <w:rFonts w:cs="Times New Roman"/>
        </w:rPr>
        <w:t xml:space="preserve">regulatory cost and timing considerations set out above, </w:t>
      </w:r>
      <w:r w:rsidR="00AB20F6">
        <w:rPr>
          <w:rFonts w:cs="Times New Roman"/>
        </w:rPr>
        <w:t xml:space="preserve">the ACCC considers that the proposed amendments to repeal </w:t>
      </w:r>
      <w:r w:rsidR="00FD2DE6">
        <w:rPr>
          <w:rFonts w:cs="Times New Roman"/>
        </w:rPr>
        <w:t xml:space="preserve">Part 5 (NSP) </w:t>
      </w:r>
      <w:r w:rsidR="00AB20F6">
        <w:rPr>
          <w:rFonts w:cs="Times New Roman"/>
        </w:rPr>
        <w:t xml:space="preserve">requirements should </w:t>
      </w:r>
      <w:r w:rsidR="00FD2DE6">
        <w:rPr>
          <w:rFonts w:cs="Times New Roman"/>
        </w:rPr>
        <w:t xml:space="preserve">not </w:t>
      </w:r>
      <w:r w:rsidR="00AB20F6">
        <w:rPr>
          <w:rFonts w:cs="Times New Roman"/>
        </w:rPr>
        <w:t xml:space="preserve">be conditional on the </w:t>
      </w:r>
      <w:r w:rsidR="00935301">
        <w:rPr>
          <w:rFonts w:cs="Times New Roman"/>
        </w:rPr>
        <w:t xml:space="preserve">simultaneous </w:t>
      </w:r>
      <w:r w:rsidR="00AB20F6">
        <w:rPr>
          <w:rFonts w:cs="Times New Roman"/>
        </w:rPr>
        <w:t>acceptance of</w:t>
      </w:r>
      <w:r>
        <w:rPr>
          <w:rFonts w:cs="Times New Roman"/>
        </w:rPr>
        <w:t xml:space="preserve"> these rule advices</w:t>
      </w:r>
      <w:r w:rsidR="00935301">
        <w:t xml:space="preserve">, and </w:t>
      </w:r>
      <w:r w:rsidR="00AB20F6">
        <w:t>has adjusted its rule advice to reflect this.</w:t>
      </w:r>
    </w:p>
    <w:p w:rsidR="00673DC7" w:rsidRDefault="00FD2DE6">
      <w:pPr>
        <w:rPr>
          <w:rFonts w:eastAsia="Arial" w:cs="Times New Roman"/>
          <w:b/>
          <w:sz w:val="24"/>
        </w:rPr>
      </w:pPr>
      <w:r>
        <w:rPr>
          <w:rFonts w:cs="Times New Roman"/>
        </w:rPr>
        <w:t>Furthermore, t</w:t>
      </w:r>
      <w:r w:rsidR="003023B2">
        <w:rPr>
          <w:rFonts w:cs="Times New Roman"/>
        </w:rPr>
        <w:t>o the extent that the Minister is inclined to accept the ACCC’s rule advice 5-L (to repeal the Part 5 (NSP) requirements</w:t>
      </w:r>
      <w:r w:rsidR="003023E4">
        <w:rPr>
          <w:rFonts w:cs="Times New Roman"/>
        </w:rPr>
        <w:t>)</w:t>
      </w:r>
      <w:r w:rsidR="003023B2">
        <w:rPr>
          <w:rFonts w:cs="Times New Roman"/>
        </w:rPr>
        <w:t>, there is merit in doing so in the near term</w:t>
      </w:r>
      <w:r w:rsidR="0027465A">
        <w:rPr>
          <w:rFonts w:cs="Times New Roman"/>
        </w:rPr>
        <w:t xml:space="preserve"> to avoid operators incurring unnecessary expenditure</w:t>
      </w:r>
      <w:r w:rsidR="003023B2">
        <w:rPr>
          <w:rFonts w:cs="Times New Roman"/>
        </w:rPr>
        <w:t xml:space="preserve">. </w:t>
      </w:r>
      <w:r w:rsidR="00AB20F6">
        <w:rPr>
          <w:rFonts w:cs="Times New Roman"/>
        </w:rPr>
        <w:t>In particular, t</w:t>
      </w:r>
      <w:r w:rsidR="00127BD7">
        <w:t>he Minister may wish to consider an i</w:t>
      </w:r>
      <w:r w:rsidR="003023B2">
        <w:t>nterim response to the ACCC’s advice in relation to the possible repeal of the Part 5 (NSP) requirements.</w:t>
      </w:r>
      <w:r w:rsidR="00127BD7" w:rsidRPr="00D32520">
        <w:rPr>
          <w:rFonts w:cs="Times New Roman"/>
        </w:rPr>
        <w:t xml:space="preserve"> </w:t>
      </w:r>
      <w:bookmarkStart w:id="705" w:name="_Ref433020247"/>
      <w:bookmarkStart w:id="706" w:name="_Ref433020271"/>
      <w:bookmarkStart w:id="707" w:name="_Ref433021176"/>
      <w:bookmarkStart w:id="708" w:name="_Toc436122300"/>
      <w:bookmarkStart w:id="709" w:name="_Toc436122795"/>
      <w:bookmarkStart w:id="710" w:name="_Toc436124150"/>
    </w:p>
    <w:p w:rsidR="001D1A87" w:rsidRDefault="001D1A87" w:rsidP="007E1B3F">
      <w:pPr>
        <w:pStyle w:val="Heading2"/>
        <w:keepNext w:val="0"/>
      </w:pPr>
      <w:bookmarkStart w:id="711" w:name="_Toc456785806"/>
      <w:bookmarkStart w:id="712" w:name="_Toc461630717"/>
      <w:r w:rsidRPr="00D714FC">
        <w:t>Approval or determination of regulated charges (Part 6)</w:t>
      </w:r>
      <w:bookmarkEnd w:id="705"/>
      <w:bookmarkEnd w:id="706"/>
      <w:bookmarkEnd w:id="707"/>
      <w:bookmarkEnd w:id="708"/>
      <w:bookmarkEnd w:id="709"/>
      <w:bookmarkEnd w:id="710"/>
      <w:bookmarkEnd w:id="711"/>
      <w:bookmarkEnd w:id="712"/>
    </w:p>
    <w:p w:rsidR="00D07E1E" w:rsidRPr="00E83E5D" w:rsidRDefault="00D07E1E" w:rsidP="00E83E5D">
      <w:pPr>
        <w:pStyle w:val="Heading3Un-numbered"/>
        <w:spacing w:before="0" w:after="0"/>
        <w:rPr>
          <w:rFonts w:ascii="Times New Roman" w:hAnsi="Times New Roman"/>
          <w:color w:val="FFFFFF" w:themeColor="background1"/>
          <w:sz w:val="12"/>
          <w:szCs w:val="12"/>
        </w:rPr>
      </w:pPr>
      <w:r w:rsidRPr="00E83E5D">
        <w:rPr>
          <w:color w:val="FFFFFF" w:themeColor="background1"/>
          <w:sz w:val="12"/>
          <w:szCs w:val="12"/>
        </w:rPr>
        <w:fldChar w:fldCharType="begin"/>
      </w:r>
      <w:r w:rsidRPr="00E83E5D">
        <w:rPr>
          <w:color w:val="FFFFFF" w:themeColor="background1"/>
          <w:sz w:val="12"/>
          <w:szCs w:val="12"/>
        </w:rPr>
        <w:instrText xml:space="preserve"> REF _Ref434840359 \h  \* MERGEFORMAT </w:instrText>
      </w:r>
      <w:r w:rsidRPr="00E83E5D">
        <w:rPr>
          <w:color w:val="FFFFFF" w:themeColor="background1"/>
          <w:sz w:val="12"/>
          <w:szCs w:val="12"/>
        </w:rPr>
      </w:r>
      <w:r w:rsidRPr="00E83E5D">
        <w:rPr>
          <w:color w:val="FFFFFF" w:themeColor="background1"/>
          <w:sz w:val="12"/>
          <w:szCs w:val="12"/>
        </w:rPr>
        <w:fldChar w:fldCharType="separate"/>
      </w:r>
      <w:r w:rsidR="00BD218B" w:rsidRPr="00BD218B">
        <w:rPr>
          <w:color w:val="FFFFFF" w:themeColor="background1"/>
          <w:sz w:val="12"/>
          <w:szCs w:val="12"/>
        </w:rPr>
        <w:t>Rule advice</w:t>
      </w:r>
      <w:r w:rsidRPr="00E83E5D">
        <w:rPr>
          <w:color w:val="FFFFFF" w:themeColor="background1"/>
          <w:sz w:val="12"/>
          <w:szCs w:val="12"/>
        </w:rPr>
        <w:fldChar w:fldCharType="end"/>
      </w:r>
    </w:p>
    <w:tbl>
      <w:tblPr>
        <w:tblStyle w:val="TableGrid"/>
        <w:tblW w:w="9322" w:type="dxa"/>
        <w:tblLook w:val="04A0" w:firstRow="1" w:lastRow="0" w:firstColumn="1" w:lastColumn="0" w:noHBand="0" w:noVBand="1"/>
      </w:tblPr>
      <w:tblGrid>
        <w:gridCol w:w="9322"/>
      </w:tblGrid>
      <w:tr w:rsidR="00AF516D" w:rsidTr="00135446">
        <w:tc>
          <w:tcPr>
            <w:tcW w:w="9322" w:type="dxa"/>
            <w:tcBorders>
              <w:top w:val="nil"/>
              <w:left w:val="nil"/>
              <w:bottom w:val="nil"/>
              <w:right w:val="nil"/>
            </w:tcBorders>
            <w:shd w:val="clear" w:color="auto" w:fill="D9D9D9" w:themeFill="background1" w:themeFillShade="D9"/>
          </w:tcPr>
          <w:p w:rsidR="00ED342F" w:rsidRPr="00D714FC" w:rsidRDefault="00ED342F" w:rsidP="007E1B3F">
            <w:pPr>
              <w:pStyle w:val="Caption"/>
              <w:keepNext w:val="0"/>
              <w:keepLines w:val="0"/>
              <w:rPr>
                <w:rFonts w:eastAsia="Arial"/>
              </w:rPr>
            </w:pPr>
            <w:bookmarkStart w:id="713" w:name="_Toc456783973"/>
            <w:bookmarkStart w:id="714" w:name="_Toc433975292"/>
            <w:bookmarkStart w:id="715" w:name="_Ref433900784"/>
            <w:bookmarkStart w:id="716" w:name="_Ref433974265"/>
            <w:bookmarkStart w:id="717" w:name="_Ref433979714"/>
            <w:bookmarkStart w:id="718" w:name="_Toc432937534"/>
            <w:bookmarkStart w:id="719" w:name="_Ref433019944"/>
            <w:bookmarkStart w:id="720" w:name="_Ref433383536"/>
            <w:r w:rsidRPr="00D714FC">
              <w:t xml:space="preserve">Rule advice </w:t>
            </w:r>
            <w:r w:rsidR="007F659D">
              <w:rPr>
                <w:noProof/>
              </w:rPr>
              <w:t>5</w:t>
            </w:r>
            <w:r>
              <w:noBreakHyphen/>
            </w:r>
            <w:r w:rsidR="007F659D">
              <w:rPr>
                <w:noProof/>
              </w:rPr>
              <w:t>M</w:t>
            </w:r>
            <w:bookmarkEnd w:id="713"/>
          </w:p>
          <w:p w:rsidR="00EE0995" w:rsidRPr="00EE0995" w:rsidRDefault="00EE0995" w:rsidP="007E1B3F">
            <w:pPr>
              <w:pStyle w:val="Ruleadvicesubheading"/>
            </w:pPr>
            <w:bookmarkStart w:id="721" w:name="_Toc432937536"/>
            <w:bookmarkStart w:id="722" w:name="_Toc433975293"/>
            <w:bookmarkStart w:id="723" w:name="_Toc435802759"/>
            <w:bookmarkStart w:id="724" w:name="_Toc436123334"/>
            <w:bookmarkStart w:id="725" w:name="_Toc456783974"/>
            <w:bookmarkStart w:id="726" w:name="Rule_Advice_5M"/>
            <w:r>
              <w:t>Application of Part 6</w:t>
            </w:r>
          </w:p>
          <w:p w:rsidR="00AF516D" w:rsidRPr="00D714FC" w:rsidRDefault="00AF516D" w:rsidP="007E1B3F">
            <w:pPr>
              <w:pStyle w:val="Heading8"/>
              <w:outlineLvl w:val="7"/>
              <w:rPr>
                <w:bCs/>
                <w:i/>
                <w:iCs/>
                <w:color w:val="4F81BD" w:themeColor="accent1"/>
              </w:rPr>
            </w:pPr>
            <w:r w:rsidRPr="00D714FC">
              <w:t>The rules should be amended such that Part 6 applies based on the following criteria.</w:t>
            </w:r>
            <w:bookmarkEnd w:id="721"/>
            <w:bookmarkEnd w:id="722"/>
            <w:bookmarkEnd w:id="723"/>
            <w:bookmarkEnd w:id="724"/>
            <w:bookmarkEnd w:id="725"/>
          </w:p>
          <w:p w:rsidR="00AF516D" w:rsidRPr="00D714FC" w:rsidRDefault="00AF516D" w:rsidP="007E1B3F">
            <w:pPr>
              <w:pStyle w:val="Heading8"/>
              <w:outlineLvl w:val="7"/>
            </w:pPr>
            <w:bookmarkStart w:id="727" w:name="_Toc433975294"/>
            <w:bookmarkStart w:id="728" w:name="_Toc435802760"/>
            <w:bookmarkStart w:id="729" w:name="_Toc436123335"/>
            <w:bookmarkStart w:id="730" w:name="_Toc456783975"/>
            <w:bookmarkStart w:id="731" w:name="_Toc432937537"/>
            <w:r w:rsidRPr="00D714FC">
              <w:t>Where</w:t>
            </w:r>
            <w:r w:rsidR="00530868">
              <w:t xml:space="preserve"> an infrastructure operator levies an infrastructure charge in relation to either</w:t>
            </w:r>
            <w:r w:rsidRPr="00D714FC">
              <w:t>:</w:t>
            </w:r>
            <w:bookmarkEnd w:id="727"/>
            <w:bookmarkEnd w:id="728"/>
            <w:bookmarkEnd w:id="729"/>
            <w:bookmarkEnd w:id="730"/>
          </w:p>
          <w:p w:rsidR="00AF516D" w:rsidRPr="00D714FC" w:rsidRDefault="00530868" w:rsidP="00F43856">
            <w:pPr>
              <w:pStyle w:val="Heading8"/>
              <w:numPr>
                <w:ilvl w:val="0"/>
                <w:numId w:val="113"/>
              </w:numPr>
              <w:outlineLvl w:val="7"/>
            </w:pPr>
            <w:bookmarkStart w:id="732" w:name="_Toc435802761"/>
            <w:bookmarkStart w:id="733" w:name="_Toc436123336"/>
            <w:bookmarkStart w:id="734" w:name="_Toc456783976"/>
            <w:r>
              <w:t>a bulk water service in respect of water access rights</w:t>
            </w:r>
            <w:r w:rsidR="00AF516D" w:rsidRPr="00D714FC">
              <w:t>; or</w:t>
            </w:r>
            <w:bookmarkEnd w:id="732"/>
            <w:bookmarkEnd w:id="733"/>
            <w:bookmarkEnd w:id="734"/>
          </w:p>
          <w:p w:rsidR="00AF516D" w:rsidRPr="00D714FC" w:rsidRDefault="00AF516D" w:rsidP="00F43856">
            <w:pPr>
              <w:pStyle w:val="Heading8"/>
              <w:numPr>
                <w:ilvl w:val="0"/>
                <w:numId w:val="113"/>
              </w:numPr>
              <w:outlineLvl w:val="7"/>
            </w:pPr>
            <w:bookmarkStart w:id="735" w:name="_Toc435802762"/>
            <w:bookmarkStart w:id="736" w:name="_Toc436123337"/>
            <w:bookmarkStart w:id="737" w:name="_Toc456783977"/>
            <w:r w:rsidRPr="00D714FC">
              <w:t>infrastructure services in relation to the storage or delivery of water</w:t>
            </w:r>
            <w:r w:rsidR="001A6EF6">
              <w:t xml:space="preserve"> that is necessary</w:t>
            </w:r>
            <w:r w:rsidRPr="00D714FC">
              <w:t xml:space="preserve"> to give effect to an arrangement</w:t>
            </w:r>
            <w:r w:rsidRPr="00D714FC">
              <w:rPr>
                <w:rStyle w:val="CommentReference"/>
                <w:rFonts w:ascii="Times New Roman" w:hAnsi="Times New Roman"/>
                <w:bCs/>
                <w:sz w:val="22"/>
                <w:szCs w:val="22"/>
              </w:rPr>
              <w:t> </w:t>
            </w:r>
            <w:r w:rsidRPr="00D714FC">
              <w:t>for the sharing of water between more than one Basin State;</w:t>
            </w:r>
            <w:bookmarkEnd w:id="735"/>
            <w:bookmarkEnd w:id="736"/>
            <w:bookmarkEnd w:id="737"/>
            <w:r w:rsidRPr="00D714FC">
              <w:t xml:space="preserve"> </w:t>
            </w:r>
          </w:p>
          <w:p w:rsidR="00AF516D" w:rsidRPr="00D714FC" w:rsidRDefault="00AF516D" w:rsidP="007E1B3F">
            <w:pPr>
              <w:pStyle w:val="Heading8"/>
              <w:ind w:left="720"/>
              <w:outlineLvl w:val="7"/>
            </w:pPr>
            <w:bookmarkStart w:id="738" w:name="_Toc435802763"/>
            <w:bookmarkStart w:id="739" w:name="_Toc436123338"/>
            <w:bookmarkStart w:id="740" w:name="_Toc456783978"/>
            <w:r w:rsidRPr="00D714FC">
              <w:t>and:</w:t>
            </w:r>
            <w:bookmarkEnd w:id="738"/>
            <w:bookmarkEnd w:id="739"/>
            <w:bookmarkEnd w:id="740"/>
          </w:p>
          <w:p w:rsidR="00AF516D" w:rsidRPr="00D714FC" w:rsidRDefault="00AF516D" w:rsidP="00F43856">
            <w:pPr>
              <w:pStyle w:val="Heading8"/>
              <w:numPr>
                <w:ilvl w:val="0"/>
                <w:numId w:val="113"/>
              </w:numPr>
              <w:outlineLvl w:val="7"/>
            </w:pPr>
            <w:bookmarkStart w:id="741" w:name="_Toc435802764"/>
            <w:bookmarkStart w:id="742" w:name="_Toc436123339"/>
            <w:bookmarkStart w:id="743" w:name="_Toc456783979"/>
            <w:r w:rsidRPr="00D714FC">
              <w:t xml:space="preserve">the infrastructure operator is not required to have all its infrastructure charges approved or determined by a single State </w:t>
            </w:r>
            <w:r w:rsidR="001A6EF6">
              <w:t>A</w:t>
            </w:r>
            <w:r w:rsidRPr="00D714FC">
              <w:t xml:space="preserve">gency under </w:t>
            </w:r>
            <w:r w:rsidR="001A6EF6">
              <w:t>a</w:t>
            </w:r>
            <w:r w:rsidR="00530868">
              <w:t xml:space="preserve"> law of </w:t>
            </w:r>
            <w:r w:rsidR="001A6EF6">
              <w:t>the</w:t>
            </w:r>
            <w:r w:rsidR="00530868">
              <w:t xml:space="preserve"> State in a way that is consistent with proposed </w:t>
            </w:r>
            <w:r w:rsidR="00DB6AE4">
              <w:t>sub</w:t>
            </w:r>
            <w:r w:rsidR="00530868">
              <w:t>rule 29(2)(b)</w:t>
            </w:r>
            <w:r w:rsidRPr="00D714FC">
              <w:t>;</w:t>
            </w:r>
            <w:bookmarkEnd w:id="741"/>
            <w:bookmarkEnd w:id="742"/>
            <w:bookmarkEnd w:id="743"/>
          </w:p>
          <w:p w:rsidR="00AF516D" w:rsidRDefault="00AF516D" w:rsidP="007E1B3F">
            <w:pPr>
              <w:pStyle w:val="Heading8"/>
              <w:ind w:left="709"/>
              <w:outlineLvl w:val="7"/>
            </w:pPr>
            <w:bookmarkStart w:id="744" w:name="_Toc435802765"/>
            <w:bookmarkStart w:id="745" w:name="_Toc436123340"/>
            <w:bookmarkStart w:id="746" w:name="_Toc456783980"/>
            <w:r w:rsidRPr="00D714FC">
              <w:t xml:space="preserve">that infrastructure operator is a </w:t>
            </w:r>
            <w:r w:rsidRPr="00D714FC">
              <w:rPr>
                <w:i/>
                <w:iCs/>
              </w:rPr>
              <w:t>Part 6 operator</w:t>
            </w:r>
            <w:r w:rsidRPr="00D714FC">
              <w:t>.</w:t>
            </w:r>
            <w:bookmarkEnd w:id="744"/>
            <w:bookmarkEnd w:id="745"/>
            <w:bookmarkEnd w:id="746"/>
            <w:r w:rsidRPr="00D714FC">
              <w:t xml:space="preserve"> </w:t>
            </w:r>
          </w:p>
          <w:p w:rsidR="00AF516D" w:rsidRDefault="00AF516D" w:rsidP="007E1B3F">
            <w:pPr>
              <w:pStyle w:val="Heading8"/>
              <w:outlineLvl w:val="7"/>
            </w:pPr>
            <w:bookmarkStart w:id="747" w:name="_Toc436123341"/>
            <w:bookmarkStart w:id="748" w:name="_Toc456783981"/>
            <w:r>
              <w:t xml:space="preserve">The rules should be amended to allow for the ACCC to provide an exemption to the requirement on a Part 6 operator to have its infrastructure charges approved or determined </w:t>
            </w:r>
            <w:r w:rsidRPr="00AC1ACB">
              <w:t>under Part 6 of the rules</w:t>
            </w:r>
            <w:r>
              <w:t>.</w:t>
            </w:r>
            <w:bookmarkEnd w:id="747"/>
            <w:bookmarkEnd w:id="748"/>
            <w:r>
              <w:t xml:space="preserve"> </w:t>
            </w:r>
          </w:p>
          <w:p w:rsidR="00AF516D" w:rsidRDefault="00AF516D" w:rsidP="007E1B3F">
            <w:pPr>
              <w:pStyle w:val="Heading8"/>
              <w:outlineLvl w:val="7"/>
            </w:pPr>
            <w:bookmarkStart w:id="749" w:name="_Toc436123342"/>
            <w:bookmarkStart w:id="750" w:name="_Toc456783982"/>
            <w:r>
              <w:t>The ACCC should only give such an exemption if it is satisfied that the application of those requirements would not materially contribute to the achievement of the Basin Water Charging Objectives and Principles, taking into account:</w:t>
            </w:r>
            <w:bookmarkEnd w:id="749"/>
            <w:bookmarkEnd w:id="750"/>
          </w:p>
          <w:p w:rsidR="00AF516D" w:rsidRPr="009B6ED8" w:rsidRDefault="00AF516D" w:rsidP="00F43856">
            <w:pPr>
              <w:pStyle w:val="Heading8"/>
              <w:numPr>
                <w:ilvl w:val="0"/>
                <w:numId w:val="114"/>
              </w:numPr>
              <w:outlineLvl w:val="7"/>
            </w:pPr>
            <w:bookmarkStart w:id="751" w:name="_Toc436123343"/>
            <w:bookmarkStart w:id="752" w:name="_Toc456783983"/>
            <w:r w:rsidRPr="001E13DE">
              <w:t xml:space="preserve">the total volume of water access rights in relation to which </w:t>
            </w:r>
            <w:r w:rsidR="00B23BDC" w:rsidRPr="009B6ED8">
              <w:t xml:space="preserve">bulk water services are provided by </w:t>
            </w:r>
            <w:r w:rsidRPr="009B6ED8">
              <w:t>the operator, if applicable;</w:t>
            </w:r>
            <w:bookmarkEnd w:id="751"/>
            <w:bookmarkEnd w:id="752"/>
          </w:p>
          <w:p w:rsidR="00AF516D" w:rsidRPr="009B6ED8" w:rsidRDefault="00AF516D" w:rsidP="00F43856">
            <w:pPr>
              <w:pStyle w:val="Heading8"/>
              <w:numPr>
                <w:ilvl w:val="0"/>
                <w:numId w:val="114"/>
              </w:numPr>
              <w:outlineLvl w:val="7"/>
            </w:pPr>
            <w:bookmarkStart w:id="753" w:name="_Toc436123344"/>
            <w:bookmarkStart w:id="754" w:name="_Toc456783984"/>
            <w:r w:rsidRPr="009B6ED8">
              <w:t xml:space="preserve">the total volume of water subject to water sharing arrangements in relation to which </w:t>
            </w:r>
            <w:r w:rsidR="00B23BDC" w:rsidRPr="009B6ED8">
              <w:t xml:space="preserve">the operator provides </w:t>
            </w:r>
            <w:r w:rsidRPr="009B6ED8">
              <w:t>infrastructure services, if applicable;</w:t>
            </w:r>
            <w:bookmarkEnd w:id="753"/>
            <w:bookmarkEnd w:id="754"/>
          </w:p>
          <w:p w:rsidR="00AF516D" w:rsidRPr="009B6ED8" w:rsidRDefault="00AF516D" w:rsidP="00F43856">
            <w:pPr>
              <w:pStyle w:val="Heading8"/>
              <w:numPr>
                <w:ilvl w:val="0"/>
                <w:numId w:val="114"/>
              </w:numPr>
              <w:outlineLvl w:val="7"/>
            </w:pPr>
            <w:bookmarkStart w:id="755" w:name="_Toc436123345"/>
            <w:bookmarkStart w:id="756" w:name="_Toc456783985"/>
            <w:r w:rsidRPr="009B6ED8">
              <w:t>the infrastructure services provided by the operator;</w:t>
            </w:r>
            <w:bookmarkEnd w:id="755"/>
            <w:bookmarkEnd w:id="756"/>
          </w:p>
          <w:p w:rsidR="00AF516D" w:rsidRPr="009B6ED8" w:rsidRDefault="00AF516D" w:rsidP="00F43856">
            <w:pPr>
              <w:pStyle w:val="Heading8"/>
              <w:numPr>
                <w:ilvl w:val="0"/>
                <w:numId w:val="114"/>
              </w:numPr>
              <w:outlineLvl w:val="7"/>
            </w:pPr>
            <w:bookmarkStart w:id="757" w:name="_Toc436123346"/>
            <w:bookmarkStart w:id="758" w:name="_Toc456783986"/>
            <w:r w:rsidRPr="009B6ED8">
              <w:t>any preferences expressed by the operator’s customers to the ACCC;</w:t>
            </w:r>
            <w:bookmarkEnd w:id="757"/>
            <w:bookmarkEnd w:id="758"/>
          </w:p>
          <w:p w:rsidR="00530868" w:rsidRPr="009B6ED8" w:rsidRDefault="00AF516D" w:rsidP="00F43856">
            <w:pPr>
              <w:pStyle w:val="Heading8"/>
              <w:numPr>
                <w:ilvl w:val="0"/>
                <w:numId w:val="114"/>
              </w:numPr>
              <w:outlineLvl w:val="7"/>
            </w:pPr>
            <w:bookmarkStart w:id="759" w:name="_Toc456783987"/>
            <w:bookmarkStart w:id="760" w:name="_Toc436123347"/>
            <w:r w:rsidRPr="009B6ED8">
              <w:t>any views expressed by a State Agency to the ACCC;</w:t>
            </w:r>
            <w:bookmarkEnd w:id="759"/>
          </w:p>
          <w:p w:rsidR="00EE0995" w:rsidRPr="009B6ED8" w:rsidRDefault="00B23BDC" w:rsidP="00F43856">
            <w:pPr>
              <w:pStyle w:val="Heading8"/>
              <w:numPr>
                <w:ilvl w:val="0"/>
                <w:numId w:val="114"/>
              </w:numPr>
              <w:outlineLvl w:val="7"/>
            </w:pPr>
            <w:bookmarkStart w:id="761" w:name="_Toc456783988"/>
            <w:r w:rsidRPr="009B6ED8">
              <w:t>whether the relevant law of the State is being transitioned so that the operator’s infrastructure charges will at a future date be approved or determined by a single State Agency in a way that is consistent with the regulatory test for Part 6 operators (set out in subrule 29(2)(b) of the proposed water charge rules)</w:t>
            </w:r>
            <w:r w:rsidR="00EE0995" w:rsidRPr="009B6ED8">
              <w:t xml:space="preserve">; </w:t>
            </w:r>
          </w:p>
          <w:p w:rsidR="00AF516D" w:rsidRPr="00095AD8" w:rsidRDefault="00530868" w:rsidP="00F43856">
            <w:pPr>
              <w:pStyle w:val="Heading8"/>
              <w:numPr>
                <w:ilvl w:val="0"/>
                <w:numId w:val="114"/>
              </w:numPr>
              <w:outlineLvl w:val="7"/>
            </w:pPr>
            <w:r w:rsidRPr="009008EB">
              <w:t xml:space="preserve">the proportion of </w:t>
            </w:r>
            <w:r>
              <w:t xml:space="preserve">the infrastructure operator’s </w:t>
            </w:r>
            <w:r w:rsidRPr="009008EB">
              <w:t>revenue to be recovered from infrastructure charge</w:t>
            </w:r>
            <w:r>
              <w:t>s;</w:t>
            </w:r>
            <w:bookmarkEnd w:id="761"/>
            <w:r w:rsidR="00AF516D" w:rsidRPr="00204D47">
              <w:t xml:space="preserve"> </w:t>
            </w:r>
            <w:bookmarkStart w:id="762" w:name="_Toc456783989"/>
            <w:r w:rsidR="00AF516D" w:rsidRPr="00204D47">
              <w:t>and</w:t>
            </w:r>
            <w:bookmarkEnd w:id="760"/>
            <w:bookmarkEnd w:id="762"/>
          </w:p>
          <w:p w:rsidR="00AF516D" w:rsidRPr="00095AD8" w:rsidRDefault="00AF516D" w:rsidP="00F43856">
            <w:pPr>
              <w:pStyle w:val="Heading8"/>
              <w:numPr>
                <w:ilvl w:val="0"/>
                <w:numId w:val="114"/>
              </w:numPr>
              <w:outlineLvl w:val="7"/>
            </w:pPr>
            <w:bookmarkStart w:id="763" w:name="_Toc436123348"/>
            <w:bookmarkStart w:id="764" w:name="_Toc456783990"/>
            <w:r w:rsidRPr="00095AD8">
              <w:t>any other matters that the ACCC considers relevant.</w:t>
            </w:r>
            <w:bookmarkEnd w:id="763"/>
            <w:bookmarkEnd w:id="764"/>
          </w:p>
          <w:p w:rsidR="00AF516D" w:rsidRPr="00095AD8" w:rsidRDefault="00AF516D" w:rsidP="007E1B3F">
            <w:pPr>
              <w:pStyle w:val="Heading8"/>
              <w:outlineLvl w:val="7"/>
            </w:pPr>
            <w:bookmarkStart w:id="765" w:name="_Toc436123349"/>
            <w:bookmarkStart w:id="766" w:name="_Toc456783991"/>
            <w:r w:rsidRPr="00095AD8">
              <w:t>The exemption should be granted for a specific period</w:t>
            </w:r>
            <w:r w:rsidR="00EE0995">
              <w:t>,</w:t>
            </w:r>
            <w:r w:rsidRPr="00095AD8">
              <w:t xml:space="preserve"> or for an unspecified period if the decision to exempt is subject to review at a specific time.</w:t>
            </w:r>
            <w:bookmarkEnd w:id="765"/>
            <w:bookmarkEnd w:id="766"/>
          </w:p>
          <w:p w:rsidR="00AF516D" w:rsidRDefault="00AF516D" w:rsidP="007E1B3F">
            <w:pPr>
              <w:pStyle w:val="Heading8"/>
              <w:outlineLvl w:val="7"/>
            </w:pPr>
            <w:bookmarkStart w:id="767" w:name="_Toc436123350"/>
            <w:bookmarkStart w:id="768" w:name="_Toc456783992"/>
            <w:r>
              <w:t>In making this decision the rules should allow the ACCC to undertake public consultation or request further information from the operator.</w:t>
            </w:r>
            <w:bookmarkEnd w:id="767"/>
            <w:bookmarkEnd w:id="768"/>
          </w:p>
          <w:p w:rsidR="00EE0995" w:rsidRPr="00EE0995" w:rsidRDefault="00EE0995" w:rsidP="007E1B3F">
            <w:pPr>
              <w:pStyle w:val="Ruleadvicesubheading"/>
            </w:pPr>
            <w:r w:rsidRPr="00EE0995">
              <w:t>Transitional arrangements for existing Part 6 operators</w:t>
            </w:r>
          </w:p>
          <w:p w:rsidR="00A94E8F" w:rsidRDefault="00FD7D22" w:rsidP="007E1B3F">
            <w:pPr>
              <w:pStyle w:val="Heading8"/>
              <w:outlineLvl w:val="7"/>
            </w:pPr>
            <w:bookmarkStart w:id="769" w:name="_Toc456783993"/>
            <w:r>
              <w:t>The rules should include transitional provisions to provide that</w:t>
            </w:r>
            <w:r w:rsidR="004222C7">
              <w:t>,</w:t>
            </w:r>
            <w:r w:rsidR="0012615A">
              <w:t xml:space="preserve"> when the amended rules commence</w:t>
            </w:r>
            <w:r w:rsidR="00A94E8F">
              <w:t xml:space="preserve"> (referred to in the proposed water charge rules as the ‘transition date’)</w:t>
            </w:r>
            <w:r w:rsidR="004222C7">
              <w:t xml:space="preserve">, </w:t>
            </w:r>
            <w:bookmarkStart w:id="770" w:name="_Toc456783994"/>
            <w:bookmarkEnd w:id="769"/>
            <w:r>
              <w:t>Part</w:t>
            </w:r>
            <w:r w:rsidR="004222C7">
              <w:t> </w:t>
            </w:r>
            <w:r>
              <w:t>6 of the proposed rules continue</w:t>
            </w:r>
            <w:r w:rsidR="00B23BDC">
              <w:t>s</w:t>
            </w:r>
            <w:r>
              <w:t xml:space="preserve"> to apply </w:t>
            </w:r>
            <w:r w:rsidR="00477A68">
              <w:t xml:space="preserve">to </w:t>
            </w:r>
            <w:r w:rsidR="004222C7">
              <w:t xml:space="preserve">an </w:t>
            </w:r>
            <w:r w:rsidR="00477A68">
              <w:t>existing Part 6 operators</w:t>
            </w:r>
            <w:r w:rsidR="006D6713">
              <w:t xml:space="preserve"> (even if </w:t>
            </w:r>
            <w:r w:rsidR="00A94E8F">
              <w:t>it</w:t>
            </w:r>
            <w:r w:rsidR="006D6713">
              <w:t xml:space="preserve"> would not meet the proposed </w:t>
            </w:r>
            <w:r w:rsidR="0012615A">
              <w:t>new</w:t>
            </w:r>
            <w:r w:rsidR="006D6713">
              <w:t xml:space="preserve"> </w:t>
            </w:r>
            <w:r w:rsidR="00414818">
              <w:t>criteria</w:t>
            </w:r>
            <w:r w:rsidR="006D6713">
              <w:t>)</w:t>
            </w:r>
            <w:r w:rsidR="00477A68">
              <w:t xml:space="preserve"> </w:t>
            </w:r>
            <w:r>
              <w:t xml:space="preserve">until the conclusion of any regulatory period in effect on </w:t>
            </w:r>
            <w:r w:rsidR="00477A68">
              <w:t>the transition date</w:t>
            </w:r>
            <w:r w:rsidR="00A94E8F">
              <w:t xml:space="preserve">. </w:t>
            </w:r>
          </w:p>
          <w:p w:rsidR="00414818" w:rsidRDefault="00A94E8F" w:rsidP="007E1B3F">
            <w:pPr>
              <w:pStyle w:val="Heading8"/>
              <w:outlineLvl w:val="7"/>
            </w:pPr>
            <w:r>
              <w:t xml:space="preserve">If, however, a Part 6 </w:t>
            </w:r>
            <w:r w:rsidR="0012615A">
              <w:t xml:space="preserve">operator had made </w:t>
            </w:r>
            <w:r w:rsidR="00FD7D22">
              <w:t>an application under Part 6</w:t>
            </w:r>
            <w:r>
              <w:t xml:space="preserve"> before the transition date</w:t>
            </w:r>
            <w:r w:rsidR="00FD7D22">
              <w:t xml:space="preserve">, </w:t>
            </w:r>
            <w:r>
              <w:t xml:space="preserve">but the regulator had not yet approved or determined the charges, the approval or determination should be made according to the current Part 6 criteria. However, Part 6 as amended should then apply to the operator until the end </w:t>
            </w:r>
            <w:r w:rsidR="00FD7D22">
              <w:t>of the ‘regulatory period’ for which the application was made.</w:t>
            </w:r>
            <w:bookmarkEnd w:id="770"/>
          </w:p>
          <w:p w:rsidR="00FD7D22" w:rsidRDefault="00414818" w:rsidP="007E1B3F">
            <w:pPr>
              <w:pStyle w:val="Heading8"/>
              <w:outlineLvl w:val="7"/>
            </w:pPr>
            <w:r>
              <w:t>After the transition date, the ACCC will consider whether existing Part 6 operators meet the proposed new criteria for the application of Part 6 and, if they do or will, whether an exemption from the requirements of Part 6 as amended should be given f</w:t>
            </w:r>
            <w:r w:rsidR="004F6BD0">
              <w:t>or after the transition period.</w:t>
            </w:r>
          </w:p>
          <w:p w:rsidR="00AF516D" w:rsidRPr="0058397A" w:rsidRDefault="00AF516D" w:rsidP="007E1B3F">
            <w:pPr>
              <w:pStyle w:val="Heading8"/>
              <w:outlineLvl w:val="7"/>
              <w:rPr>
                <w:sz w:val="18"/>
              </w:rPr>
            </w:pPr>
            <w:bookmarkStart w:id="771" w:name="_Toc456783996"/>
            <w:r w:rsidRPr="0058397A">
              <w:rPr>
                <w:i/>
                <w:sz w:val="18"/>
              </w:rPr>
              <w:t>Note:</w:t>
            </w:r>
            <w:r w:rsidRPr="0058397A">
              <w:rPr>
                <w:sz w:val="18"/>
              </w:rPr>
              <w:t xml:space="preserve"> </w:t>
            </w:r>
            <w:r w:rsidR="00414818">
              <w:rPr>
                <w:sz w:val="18"/>
              </w:rPr>
              <w:t>If r</w:t>
            </w:r>
            <w:r w:rsidRPr="0058397A">
              <w:rPr>
                <w:sz w:val="18"/>
              </w:rPr>
              <w:t xml:space="preserve">ule advice 5-M </w:t>
            </w:r>
            <w:r w:rsidR="00414818">
              <w:rPr>
                <w:sz w:val="18"/>
              </w:rPr>
              <w:t xml:space="preserve">is </w:t>
            </w:r>
            <w:r w:rsidRPr="0058397A">
              <w:rPr>
                <w:sz w:val="18"/>
              </w:rPr>
              <w:t>adopted</w:t>
            </w:r>
            <w:r w:rsidR="00414818">
              <w:rPr>
                <w:sz w:val="18"/>
              </w:rPr>
              <w:t xml:space="preserve">, </w:t>
            </w:r>
            <w:r w:rsidRPr="0058397A">
              <w:rPr>
                <w:sz w:val="18"/>
              </w:rPr>
              <w:t xml:space="preserve">rule advices 5-A to 5-E, relating to enhancing the non-discrimination and pricing transparency provisions, </w:t>
            </w:r>
            <w:r w:rsidR="00414818">
              <w:rPr>
                <w:sz w:val="18"/>
              </w:rPr>
              <w:t>should also be adopted to ensure effective standards are maintained</w:t>
            </w:r>
            <w:r w:rsidRPr="0058397A">
              <w:rPr>
                <w:sz w:val="18"/>
              </w:rPr>
              <w:t>.</w:t>
            </w:r>
            <w:bookmarkEnd w:id="771"/>
          </w:p>
          <w:p w:rsidR="00AF516D" w:rsidRPr="0058397A" w:rsidRDefault="00AF516D" w:rsidP="007E1B3F">
            <w:pPr>
              <w:pStyle w:val="Heading8"/>
              <w:spacing w:before="120"/>
              <w:outlineLvl w:val="7"/>
              <w:rPr>
                <w:sz w:val="18"/>
              </w:rPr>
            </w:pPr>
            <w:bookmarkStart w:id="772" w:name="_Toc456783997"/>
            <w:r w:rsidRPr="0058397A">
              <w:rPr>
                <w:i/>
                <w:sz w:val="18"/>
              </w:rPr>
              <w:t>Note:</w:t>
            </w:r>
            <w:r w:rsidRPr="0058397A">
              <w:rPr>
                <w:sz w:val="18"/>
              </w:rPr>
              <w:t xml:space="preserve"> If rule advice 5-M is adopted, rule advice 5-W (winding back accreditation requirements) should also be adopted.</w:t>
            </w:r>
            <w:bookmarkEnd w:id="731"/>
            <w:bookmarkEnd w:id="772"/>
          </w:p>
          <w:p w:rsidR="005145EC" w:rsidRDefault="005145EC" w:rsidP="007E1B3F">
            <w:pPr>
              <w:pStyle w:val="Ruleadvicesubheading"/>
            </w:pPr>
            <w:r>
              <w:t>Regulator for Part 6</w:t>
            </w:r>
          </w:p>
          <w:p w:rsidR="005145EC" w:rsidRPr="00D9197E" w:rsidRDefault="005145EC" w:rsidP="007E1B3F">
            <w:pPr>
              <w:pStyle w:val="Heading8"/>
              <w:outlineLvl w:val="7"/>
            </w:pPr>
            <w:r>
              <w:t>Due to the proposed amendments to the criteria for Part 6, the regulator for Part 6 after the transition period should be the ACCC (rather than an accredited state regulator or the ACCC, as under the current rules).</w:t>
            </w:r>
          </w:p>
          <w:p w:rsidR="00AF516D" w:rsidRPr="00AF7032" w:rsidRDefault="00AF516D" w:rsidP="007E1B3F">
            <w:pPr>
              <w:spacing w:before="120" w:after="120"/>
              <w:rPr>
                <w:rFonts w:ascii="Verdana" w:hAnsi="Verdana" w:cs="Times New Roman"/>
                <w:i/>
                <w:sz w:val="18"/>
                <w:szCs w:val="20"/>
              </w:rPr>
            </w:pPr>
            <w:r w:rsidRPr="00AF7032">
              <w:rPr>
                <w:rFonts w:ascii="Verdana" w:hAnsi="Verdana" w:cs="Times New Roman"/>
                <w:i/>
                <w:sz w:val="18"/>
                <w:szCs w:val="20"/>
              </w:rPr>
              <w:t xml:space="preserve">See also </w:t>
            </w:r>
            <w:r w:rsidR="00DB6AE4" w:rsidRPr="00AF7032">
              <w:rPr>
                <w:rFonts w:ascii="Verdana" w:hAnsi="Verdana" w:cs="Times New Roman"/>
                <w:i/>
                <w:sz w:val="18"/>
                <w:szCs w:val="20"/>
              </w:rPr>
              <w:t>r</w:t>
            </w:r>
            <w:r w:rsidRPr="00AF7032">
              <w:rPr>
                <w:rFonts w:ascii="Verdana" w:hAnsi="Verdana" w:cs="Times New Roman"/>
                <w:i/>
                <w:sz w:val="18"/>
                <w:szCs w:val="20"/>
              </w:rPr>
              <w:t>ule advice 5-W.</w:t>
            </w:r>
          </w:p>
          <w:p w:rsidR="00AF516D" w:rsidRPr="00E42371" w:rsidRDefault="00AF516D" w:rsidP="007E1B3F">
            <w:pPr>
              <w:pStyle w:val="Heading8"/>
              <w:outlineLvl w:val="7"/>
            </w:pPr>
            <w:bookmarkStart w:id="773" w:name="_Toc435802767"/>
            <w:bookmarkStart w:id="774" w:name="_Toc436123351"/>
            <w:bookmarkStart w:id="775" w:name="_Toc456783998"/>
            <w:r>
              <w:rPr>
                <w:rFonts w:ascii="Times New Roman" w:hAnsi="Times New Roman"/>
              </w:rPr>
              <w:t xml:space="preserve">This rule advice is implemented in </w:t>
            </w:r>
            <w:r w:rsidR="00DB6AE4">
              <w:rPr>
                <w:rFonts w:ascii="Times New Roman" w:hAnsi="Times New Roman"/>
              </w:rPr>
              <w:t>r</w:t>
            </w:r>
            <w:r>
              <w:rPr>
                <w:rFonts w:ascii="Times New Roman" w:hAnsi="Times New Roman"/>
              </w:rPr>
              <w:t>ules 23 to 23</w:t>
            </w:r>
            <w:r w:rsidR="00DC13C8">
              <w:rPr>
                <w:rFonts w:ascii="Times New Roman" w:hAnsi="Times New Roman"/>
              </w:rPr>
              <w:t>D</w:t>
            </w:r>
            <w:r w:rsidR="00FD7D22">
              <w:rPr>
                <w:rFonts w:ascii="Times New Roman" w:hAnsi="Times New Roman"/>
              </w:rPr>
              <w:t xml:space="preserve"> and Part 11</w:t>
            </w:r>
            <w:r>
              <w:rPr>
                <w:rFonts w:ascii="Times New Roman" w:hAnsi="Times New Roman"/>
              </w:rPr>
              <w:t xml:space="preserve"> of the proposed </w:t>
            </w:r>
            <w:r w:rsidR="00436161">
              <w:rPr>
                <w:rFonts w:ascii="Times New Roman" w:hAnsi="Times New Roman"/>
              </w:rPr>
              <w:t>W</w:t>
            </w:r>
            <w:r>
              <w:rPr>
                <w:rFonts w:ascii="Times New Roman" w:hAnsi="Times New Roman"/>
              </w:rPr>
              <w:t xml:space="preserve">ater </w:t>
            </w:r>
            <w:r w:rsidR="00436161">
              <w:rPr>
                <w:rFonts w:ascii="Times New Roman" w:hAnsi="Times New Roman"/>
              </w:rPr>
              <w:t>C</w:t>
            </w:r>
            <w:r>
              <w:rPr>
                <w:rFonts w:ascii="Times New Roman" w:hAnsi="Times New Roman"/>
              </w:rPr>
              <w:t xml:space="preserve">harge </w:t>
            </w:r>
            <w:r w:rsidR="00436161">
              <w:rPr>
                <w:rFonts w:ascii="Times New Roman" w:hAnsi="Times New Roman"/>
              </w:rPr>
              <w:t>R</w:t>
            </w:r>
            <w:r>
              <w:rPr>
                <w:rFonts w:ascii="Times New Roman" w:hAnsi="Times New Roman"/>
              </w:rPr>
              <w:t>ules.</w:t>
            </w:r>
            <w:bookmarkEnd w:id="726"/>
            <w:bookmarkEnd w:id="773"/>
            <w:bookmarkEnd w:id="774"/>
            <w:bookmarkEnd w:id="775"/>
          </w:p>
        </w:tc>
      </w:tr>
    </w:tbl>
    <w:bookmarkEnd w:id="714"/>
    <w:bookmarkEnd w:id="715"/>
    <w:bookmarkEnd w:id="716"/>
    <w:bookmarkEnd w:id="717"/>
    <w:bookmarkEnd w:id="718"/>
    <w:bookmarkEnd w:id="719"/>
    <w:bookmarkEnd w:id="720"/>
    <w:p w:rsidR="006246A8" w:rsidRPr="006246A8" w:rsidRDefault="006246A8" w:rsidP="00E83E5D">
      <w:pPr>
        <w:pStyle w:val="Heading3Un-numbered"/>
      </w:pPr>
      <w:r>
        <w:t>Background</w:t>
      </w:r>
    </w:p>
    <w:p w:rsidR="00061C7E" w:rsidRPr="00D714FC" w:rsidRDefault="00061C7E" w:rsidP="005A011A">
      <w:pPr>
        <w:rPr>
          <w:rFonts w:cs="Times New Roman"/>
        </w:rPr>
      </w:pPr>
      <w:r w:rsidRPr="00D714FC">
        <w:rPr>
          <w:rFonts w:cs="Times New Roman"/>
        </w:rPr>
        <w:t xml:space="preserve">Part 6 of the </w:t>
      </w:r>
      <w:r w:rsidR="00E623B1" w:rsidRPr="0067271D">
        <w:rPr>
          <w:rFonts w:cs="Times New Roman"/>
        </w:rPr>
        <w:t>Water Charge (Infrastructure) Rules 2010</w:t>
      </w:r>
      <w:r w:rsidR="00E623B1">
        <w:rPr>
          <w:rFonts w:cs="Times New Roman"/>
        </w:rPr>
        <w:t xml:space="preserve"> (</w:t>
      </w:r>
      <w:r w:rsidRPr="00D714FC">
        <w:rPr>
          <w:rFonts w:cs="Times New Roman"/>
        </w:rPr>
        <w:t>WCIR</w:t>
      </w:r>
      <w:r w:rsidR="00E623B1">
        <w:rPr>
          <w:rFonts w:cs="Times New Roman"/>
        </w:rPr>
        <w:t>)</w:t>
      </w:r>
      <w:r w:rsidRPr="00D714FC">
        <w:rPr>
          <w:rFonts w:cs="Times New Roman"/>
        </w:rPr>
        <w:t xml:space="preserve"> provides for the ongoing determination or approval of regulated charges of Part 6 operators by an independent regulator. The regulator is the ACCC by default, unless an eligible state regulator applies for, and is granted, accreditation under Part 9 of the WCIR. For the relevant operators, Part 6 addresses the potential misuse of market power that can occur by natural monopoly infrastructure operators (see section 5.1).</w:t>
      </w:r>
    </w:p>
    <w:p w:rsidR="00061C7E" w:rsidRPr="00D714FC" w:rsidRDefault="00061C7E" w:rsidP="005A011A">
      <w:pPr>
        <w:rPr>
          <w:rFonts w:cs="Times New Roman"/>
        </w:rPr>
      </w:pPr>
      <w:r w:rsidRPr="00D714FC">
        <w:rPr>
          <w:rFonts w:cs="Times New Roman"/>
        </w:rPr>
        <w:t xml:space="preserve">Under the WCIR, a Part 6 operator is defined as an infrastructure operator that is not member-owned and that services greater than 250 </w:t>
      </w:r>
      <w:r>
        <w:rPr>
          <w:rFonts w:cs="Times New Roman"/>
        </w:rPr>
        <w:t>gigalitres (</w:t>
      </w:r>
      <w:r w:rsidRPr="00D714FC">
        <w:rPr>
          <w:rFonts w:cs="Times New Roman"/>
        </w:rPr>
        <w:t>GL</w:t>
      </w:r>
      <w:r>
        <w:rPr>
          <w:rFonts w:cs="Times New Roman"/>
        </w:rPr>
        <w:t>)</w:t>
      </w:r>
      <w:r w:rsidRPr="00D714FC">
        <w:rPr>
          <w:rFonts w:cs="Times New Roman"/>
        </w:rPr>
        <w:t xml:space="preserve"> of water held under water access entitlements</w:t>
      </w:r>
      <w:r>
        <w:rPr>
          <w:rFonts w:cs="Times New Roman"/>
        </w:rPr>
        <w:t xml:space="preserve"> (WAE</w:t>
      </w:r>
      <w:r w:rsidR="00A365A7">
        <w:rPr>
          <w:rFonts w:cs="Times New Roman"/>
        </w:rPr>
        <w:t>s</w:t>
      </w:r>
      <w:r>
        <w:rPr>
          <w:rFonts w:cs="Times New Roman"/>
        </w:rPr>
        <w:t>)</w:t>
      </w:r>
      <w:r w:rsidRPr="00D714FC">
        <w:rPr>
          <w:rFonts w:cs="Times New Roman"/>
        </w:rPr>
        <w:t>.</w:t>
      </w:r>
      <w:r w:rsidRPr="00D714FC">
        <w:rPr>
          <w:rStyle w:val="FootnoteReference"/>
          <w:rFonts w:cs="Times New Roman"/>
        </w:rPr>
        <w:footnoteReference w:id="361"/>
      </w:r>
      <w:r w:rsidRPr="00D714FC">
        <w:rPr>
          <w:rFonts w:cs="Times New Roman"/>
        </w:rPr>
        <w:t xml:space="preserve"> After an initial transition period, a Part 6 operator is required to have its regulated charges approved or determined by the ACCC or an accredited Basin State regulator. </w:t>
      </w:r>
    </w:p>
    <w:p w:rsidR="00061C7E" w:rsidRPr="00D714FC" w:rsidRDefault="00061C7E" w:rsidP="005A011A">
      <w:pPr>
        <w:spacing w:after="0"/>
        <w:rPr>
          <w:rFonts w:cs="Times New Roman"/>
        </w:rPr>
      </w:pPr>
      <w:r w:rsidRPr="00D714FC">
        <w:rPr>
          <w:rFonts w:cs="Times New Roman"/>
        </w:rPr>
        <w:t>The current Part 6 operators are:</w:t>
      </w:r>
    </w:p>
    <w:p w:rsidR="00061C7E" w:rsidRPr="004D4860" w:rsidRDefault="00061C7E" w:rsidP="00A82DE6">
      <w:pPr>
        <w:pStyle w:val="Lvl1Bulletpoint"/>
      </w:pPr>
      <w:r w:rsidRPr="004D4860">
        <w:t>Lower Murray Water (LMW)</w:t>
      </w:r>
      <w:r w:rsidR="00414818">
        <w:t>—</w:t>
      </w:r>
      <w:r w:rsidRPr="004D4860">
        <w:t>regulated by the Essential Services Commission of Victoria (ESCV)</w:t>
      </w:r>
    </w:p>
    <w:p w:rsidR="00061C7E" w:rsidRPr="004D4860" w:rsidRDefault="00061C7E" w:rsidP="00A82DE6">
      <w:pPr>
        <w:pStyle w:val="Lvl1Bulletpoint"/>
      </w:pPr>
      <w:r w:rsidRPr="004D4860">
        <w:t>Goulburn-Murray Water (GMW)</w:t>
      </w:r>
      <w:r w:rsidR="00414818">
        <w:t>—</w:t>
      </w:r>
      <w:r w:rsidRPr="004D4860">
        <w:t>regulated by ESCV</w:t>
      </w:r>
    </w:p>
    <w:p w:rsidR="00061C7E" w:rsidRPr="004D4860" w:rsidRDefault="00061C7E" w:rsidP="00A82DE6">
      <w:pPr>
        <w:pStyle w:val="Lvl1Bulletpoint"/>
      </w:pPr>
      <w:r w:rsidRPr="004D4860">
        <w:t>WaterNSW (formerly State Water)</w:t>
      </w:r>
      <w:r w:rsidR="00414818">
        <w:t>—</w:t>
      </w:r>
      <w:r w:rsidRPr="004D4860">
        <w:t>regulated by the IPART.</w:t>
      </w:r>
    </w:p>
    <w:p w:rsidR="00061C7E" w:rsidRPr="00D714FC" w:rsidRDefault="00D60F93" w:rsidP="005A011A">
      <w:pPr>
        <w:spacing w:after="0"/>
        <w:rPr>
          <w:rFonts w:cs="Times New Roman"/>
        </w:rPr>
      </w:pPr>
      <w:r>
        <w:rPr>
          <w:rFonts w:cs="Times New Roman"/>
        </w:rPr>
        <w:t>In its Draft Advice, t</w:t>
      </w:r>
      <w:r w:rsidR="00061C7E" w:rsidRPr="00D714FC">
        <w:rPr>
          <w:rFonts w:cs="Times New Roman"/>
        </w:rPr>
        <w:t>he ACCC consider</w:t>
      </w:r>
      <w:r>
        <w:rPr>
          <w:rFonts w:cs="Times New Roman"/>
        </w:rPr>
        <w:t>ed</w:t>
      </w:r>
      <w:r w:rsidR="00061C7E" w:rsidRPr="00D714FC">
        <w:rPr>
          <w:rFonts w:cs="Times New Roman"/>
        </w:rPr>
        <w:t xml:space="preserve"> </w:t>
      </w:r>
      <w:r w:rsidR="00EB0021">
        <w:rPr>
          <w:rFonts w:cs="Times New Roman"/>
        </w:rPr>
        <w:t xml:space="preserve">a number of </w:t>
      </w:r>
      <w:r>
        <w:rPr>
          <w:rFonts w:cs="Times New Roman"/>
        </w:rPr>
        <w:t xml:space="preserve">arguments </w:t>
      </w:r>
      <w:r w:rsidR="00EB0021">
        <w:rPr>
          <w:rFonts w:cs="Times New Roman"/>
        </w:rPr>
        <w:t>regarding the best approach to charge approvals / determinations</w:t>
      </w:r>
      <w:r w:rsidR="00EB0021" w:rsidDel="00EB0021">
        <w:rPr>
          <w:rFonts w:cs="Times New Roman"/>
        </w:rPr>
        <w:t xml:space="preserve"> </w:t>
      </w:r>
      <w:r w:rsidR="004F1F67">
        <w:rPr>
          <w:rFonts w:cs="Times New Roman"/>
        </w:rPr>
        <w:t xml:space="preserve">made under </w:t>
      </w:r>
      <w:r w:rsidR="00EB0021">
        <w:rPr>
          <w:rFonts w:cs="Times New Roman"/>
        </w:rPr>
        <w:t>the water charge rules</w:t>
      </w:r>
      <w:r w:rsidR="00061C7E" w:rsidRPr="00D714FC">
        <w:rPr>
          <w:rFonts w:cs="Times New Roman"/>
        </w:rPr>
        <w:t>:</w:t>
      </w:r>
    </w:p>
    <w:p w:rsidR="00061C7E" w:rsidRPr="00D714FC" w:rsidRDefault="00D60F93" w:rsidP="00A82DE6">
      <w:pPr>
        <w:pStyle w:val="Lvl1Bulletpoint"/>
      </w:pPr>
      <w:r>
        <w:t xml:space="preserve">Monopoly power is most significant for infrastructure </w:t>
      </w:r>
      <w:r w:rsidR="00061C7E" w:rsidRPr="00D714FC">
        <w:t>operators who provide on-river infrastructure services for the storage and</w:t>
      </w:r>
      <w:r w:rsidR="000869AC">
        <w:t xml:space="preserve"> </w:t>
      </w:r>
      <w:r w:rsidR="00061C7E" w:rsidRPr="00D714FC">
        <w:t>/</w:t>
      </w:r>
      <w:r w:rsidR="000869AC">
        <w:t xml:space="preserve"> </w:t>
      </w:r>
      <w:r w:rsidR="00061C7E" w:rsidRPr="00D714FC">
        <w:t>or delivery of water on-river (in contrast to the delivery of water</w:t>
      </w:r>
      <w:r w:rsidR="00061C7E">
        <w:t xml:space="preserve"> ‘off-river’</w:t>
      </w:r>
      <w:r w:rsidR="00061C7E" w:rsidRPr="00D714FC">
        <w:t xml:space="preserve"> through pipes </w:t>
      </w:r>
      <w:r>
        <w:t>and</w:t>
      </w:r>
      <w:r w:rsidR="00277EE2">
        <w:t xml:space="preserve"> </w:t>
      </w:r>
      <w:r w:rsidR="00061C7E" w:rsidRPr="00D714FC">
        <w:t>/</w:t>
      </w:r>
      <w:r w:rsidR="00277EE2">
        <w:t xml:space="preserve"> </w:t>
      </w:r>
      <w:r>
        <w:t>or</w:t>
      </w:r>
      <w:r w:rsidR="00061C7E" w:rsidRPr="00D714FC">
        <w:t xml:space="preserve"> channels</w:t>
      </w:r>
      <w:r>
        <w:t>, where irrigators and other customers are likely to have more options such as moving to another operator or becoming a private diverter</w:t>
      </w:r>
      <w:r w:rsidR="00061C7E" w:rsidRPr="00D714FC">
        <w:t>). Given this rationale, it is important that</w:t>
      </w:r>
      <w:r w:rsidR="00EB0021">
        <w:t xml:space="preserve"> direct</w:t>
      </w:r>
      <w:r w:rsidR="00061C7E" w:rsidRPr="00D714FC">
        <w:t xml:space="preserve"> regulation be applied to operators providing</w:t>
      </w:r>
      <w:r w:rsidR="00352B59">
        <w:t xml:space="preserve"> monopoly</w:t>
      </w:r>
      <w:r w:rsidR="00061C7E" w:rsidRPr="00D714FC">
        <w:t xml:space="preserve"> on-river infrastructure services regardless of their ownership structure. </w:t>
      </w:r>
    </w:p>
    <w:p w:rsidR="00061C7E" w:rsidRDefault="00061C7E" w:rsidP="00A82DE6">
      <w:pPr>
        <w:pStyle w:val="Lvl1Bulletpoint"/>
      </w:pPr>
      <w:r w:rsidRPr="00D714FC">
        <w:t xml:space="preserve">There is a strong view from stakeholders that the </w:t>
      </w:r>
      <w:r w:rsidR="00277EE2">
        <w:t>water charge rules</w:t>
      </w:r>
      <w:r w:rsidRPr="00D714FC">
        <w:t xml:space="preserve"> need to provide for the approval or determination by an independent regulator of charges imposed by the Murray-Darling Basin Authority (MDBA), should the MDBA impose charges (see section 5.12).</w:t>
      </w:r>
      <w:r w:rsidRPr="00D714FC">
        <w:rPr>
          <w:rStyle w:val="FootnoteReference"/>
        </w:rPr>
        <w:footnoteReference w:id="362"/>
      </w:r>
      <w:r w:rsidRPr="00D714FC">
        <w:t xml:space="preserve"> It is not clear that the </w:t>
      </w:r>
      <w:r>
        <w:t xml:space="preserve">rules in their </w:t>
      </w:r>
      <w:r w:rsidRPr="00D714FC">
        <w:t xml:space="preserve">current </w:t>
      </w:r>
      <w:r>
        <w:t xml:space="preserve">form </w:t>
      </w:r>
      <w:r w:rsidRPr="00D714FC">
        <w:t>would necessarily result in Part 6 applying to MDBA. A similar concern is also warranted in relation to the Border Rivers Commission (BRC).</w:t>
      </w:r>
    </w:p>
    <w:p w:rsidR="00EB0021" w:rsidRDefault="00EB0021" w:rsidP="00A82DE6">
      <w:pPr>
        <w:pStyle w:val="Lvl1Bulletpoint"/>
      </w:pPr>
      <w:r w:rsidRPr="00D714FC">
        <w:t xml:space="preserve">The current accreditation arrangements of the WCIR reflect the continued role of Basin States in </w:t>
      </w:r>
      <w:r w:rsidR="004D4860">
        <w:t>regulating other water charges; in particular, those outside of the Murray-Darling Basin</w:t>
      </w:r>
      <w:r w:rsidR="00FD16FB">
        <w:t xml:space="preserve"> (MDB)</w:t>
      </w:r>
      <w:r w:rsidR="004D4860">
        <w:t>, or in relation to urban water supply activities.</w:t>
      </w:r>
      <w:r w:rsidRPr="00D714FC">
        <w:t xml:space="preserve"> The ACCC note</w:t>
      </w:r>
      <w:r>
        <w:t xml:space="preserve">d </w:t>
      </w:r>
      <w:r w:rsidRPr="00D714FC">
        <w:t xml:space="preserve">that there are currently no indications that Basin State are likely to further transfer the regulation of rural water charges or other water-related functions to the Commonwealth, and that Basin States maintain considerable expertise which is highly valuable for the management of the </w:t>
      </w:r>
      <w:r w:rsidRPr="008E61D7">
        <w:t>MDB</w:t>
      </w:r>
      <w:r>
        <w:t xml:space="preserve"> </w:t>
      </w:r>
      <w:r w:rsidRPr="00D714FC">
        <w:t>and the rural water sector more broadly.</w:t>
      </w:r>
      <w:r w:rsidRPr="00D714FC">
        <w:rPr>
          <w:rStyle w:val="FootnoteReference"/>
          <w:rFonts w:cs="Times New Roman"/>
        </w:rPr>
        <w:footnoteReference w:id="363"/>
      </w:r>
      <w:r w:rsidRPr="00D714FC">
        <w:t xml:space="preserve"> </w:t>
      </w:r>
    </w:p>
    <w:p w:rsidR="00EB0021" w:rsidRDefault="00EB0021" w:rsidP="00A82DE6">
      <w:pPr>
        <w:pStyle w:val="Lvl1Bulletpoint"/>
      </w:pPr>
      <w:r w:rsidRPr="00D714FC">
        <w:t>Moreover, the provision for Basin State regulators to be accredited under Part 9 of the WCIR affords considerable discretion to accredited regulators, meaning that the potential consistency gains accruing from directly determining operators’ charges</w:t>
      </w:r>
      <w:r>
        <w:t xml:space="preserve"> under </w:t>
      </w:r>
      <w:r w:rsidRPr="00D714FC">
        <w:t xml:space="preserve">Commonwealth </w:t>
      </w:r>
      <w:r>
        <w:t xml:space="preserve">rules </w:t>
      </w:r>
      <w:r w:rsidRPr="00D714FC">
        <w:t xml:space="preserve">are limited. Although the requirement for accredited regulators to act consistently with the ACCC’s Pricing Principles promotes </w:t>
      </w:r>
      <w:r>
        <w:t xml:space="preserve">a degree of </w:t>
      </w:r>
      <w:r w:rsidRPr="00D714FC">
        <w:t>consistency, the ACCC consider</w:t>
      </w:r>
      <w:r>
        <w:t>ed</w:t>
      </w:r>
      <w:r w:rsidRPr="00D714FC">
        <w:t xml:space="preserve"> that there is sufficient discretion for regulators under the rules</w:t>
      </w:r>
      <w:r>
        <w:t xml:space="preserve"> and Pricing Principles</w:t>
      </w:r>
      <w:r w:rsidRPr="00D714FC">
        <w:t xml:space="preserve"> that this requirement will not necessarily result in a markedly greater level of consistency than would be achieved in a context where regulators voluntarily worked to develop a</w:t>
      </w:r>
      <w:r w:rsidR="00A87306">
        <w:t xml:space="preserve"> nationally coherent approach. </w:t>
      </w:r>
    </w:p>
    <w:p w:rsidR="00EB0021" w:rsidRPr="00D714FC" w:rsidRDefault="00EB0021" w:rsidP="00135446">
      <w:pPr>
        <w:spacing w:after="120"/>
        <w:rPr>
          <w:rFonts w:cs="Times New Roman"/>
        </w:rPr>
      </w:pPr>
      <w:r>
        <w:rPr>
          <w:rFonts w:cs="Times New Roman"/>
        </w:rPr>
        <w:t>T</w:t>
      </w:r>
      <w:r w:rsidRPr="00D714FC">
        <w:rPr>
          <w:rFonts w:cs="Times New Roman"/>
        </w:rPr>
        <w:t>he ACCC reconsidered whether the current application of Part 6 and accreditation arrangements constitute</w:t>
      </w:r>
      <w:r w:rsidR="00A87306">
        <w:rPr>
          <w:rFonts w:cs="Times New Roman"/>
        </w:rPr>
        <w:t>d</w:t>
      </w:r>
      <w:r w:rsidRPr="00D714FC">
        <w:rPr>
          <w:rFonts w:cs="Times New Roman"/>
        </w:rPr>
        <w:t xml:space="preserve"> the best mechanism for integrating the functions of State and Commonwealth regulators. The ACCC</w:t>
      </w:r>
      <w:r>
        <w:rPr>
          <w:rFonts w:cs="Times New Roman"/>
        </w:rPr>
        <w:t xml:space="preserve">’s Draft Advice </w:t>
      </w:r>
      <w:r w:rsidRPr="00D714FC">
        <w:rPr>
          <w:rFonts w:cs="Times New Roman"/>
        </w:rPr>
        <w:t>consider</w:t>
      </w:r>
      <w:r>
        <w:rPr>
          <w:rFonts w:cs="Times New Roman"/>
        </w:rPr>
        <w:t>ed</w:t>
      </w:r>
      <w:r w:rsidRPr="00D714FC">
        <w:rPr>
          <w:rFonts w:cs="Times New Roman"/>
        </w:rPr>
        <w:t xml:space="preserve"> that it is appropriate that the</w:t>
      </w:r>
      <w:r w:rsidR="00A87306">
        <w:rPr>
          <w:rFonts w:cs="Times New Roman"/>
        </w:rPr>
        <w:t xml:space="preserve"> focus of the</w:t>
      </w:r>
      <w:r w:rsidRPr="00D714FC">
        <w:rPr>
          <w:rFonts w:cs="Times New Roman"/>
        </w:rPr>
        <w:t xml:space="preserve"> Commonwealth’s role be redirected away from determining an operator’s overall revenue requirement (since this role can be performed effectively under state water management law), and towards providing consistent protections and promoting pricing transparency for customers of infrastructure operators throughout the Basin. Accordingly, the ACCC</w:t>
      </w:r>
      <w:r>
        <w:rPr>
          <w:rFonts w:cs="Times New Roman"/>
        </w:rPr>
        <w:t>’s Draft Advice</w:t>
      </w:r>
      <w:r w:rsidRPr="00D714FC">
        <w:rPr>
          <w:rFonts w:cs="Times New Roman"/>
        </w:rPr>
        <w:t xml:space="preserve"> </w:t>
      </w:r>
      <w:r>
        <w:rPr>
          <w:rFonts w:cs="Times New Roman"/>
        </w:rPr>
        <w:t xml:space="preserve">recommended that </w:t>
      </w:r>
      <w:r w:rsidRPr="00D714FC">
        <w:rPr>
          <w:rFonts w:cs="Times New Roman"/>
        </w:rPr>
        <w:t xml:space="preserve">the application of Part 6 </w:t>
      </w:r>
      <w:r>
        <w:rPr>
          <w:rFonts w:cs="Times New Roman"/>
        </w:rPr>
        <w:t xml:space="preserve">be recrafted </w:t>
      </w:r>
      <w:r w:rsidRPr="00D714FC">
        <w:rPr>
          <w:rFonts w:cs="Times New Roman"/>
        </w:rPr>
        <w:t>as both:</w:t>
      </w:r>
    </w:p>
    <w:p w:rsidR="00EB0021" w:rsidRPr="00D714FC" w:rsidRDefault="00EB0021" w:rsidP="00A82DE6">
      <w:pPr>
        <w:pStyle w:val="Lvl1Bulletpoint"/>
      </w:pPr>
      <w:r w:rsidRPr="00D714FC">
        <w:t>a framework for the regulation of infrastructure operators that would allow Basin States to voluntarily transfer regulatory functions to the Commonwealth at a later date; and</w:t>
      </w:r>
    </w:p>
    <w:p w:rsidR="00EB0021" w:rsidRPr="00D714FC" w:rsidRDefault="00EB0021" w:rsidP="00A82DE6">
      <w:pPr>
        <w:pStyle w:val="Lvl1Bulletpoint"/>
      </w:pPr>
      <w:r w:rsidRPr="00D714FC">
        <w:t xml:space="preserve">a regulatory ‘fall-back’ where state water management law does not provide for the State regulator to directly approve or determine the </w:t>
      </w:r>
      <w:r>
        <w:t>infrastructure</w:t>
      </w:r>
      <w:r w:rsidRPr="00D714FC">
        <w:t xml:space="preserve"> charges of infrastructure operators providing on-river infrastructure services. This could occur where:</w:t>
      </w:r>
    </w:p>
    <w:p w:rsidR="00EB0021" w:rsidRPr="00D714FC" w:rsidRDefault="00EB0021" w:rsidP="00A82DE6">
      <w:pPr>
        <w:pStyle w:val="Lvl1Bulletpoint"/>
        <w:numPr>
          <w:ilvl w:val="1"/>
          <w:numId w:val="44"/>
        </w:numPr>
      </w:pPr>
      <w:r w:rsidRPr="00D714FC">
        <w:t xml:space="preserve">a Basin State does not have in place a mechanism for direct </w:t>
      </w:r>
      <w:r>
        <w:t xml:space="preserve">approval or determination </w:t>
      </w:r>
      <w:r w:rsidRPr="00D714FC">
        <w:t>of a particular operator</w:t>
      </w:r>
      <w:r>
        <w:t>’s infrastructure charges</w:t>
      </w:r>
      <w:r w:rsidRPr="00D714FC">
        <w:t xml:space="preserve">; or </w:t>
      </w:r>
    </w:p>
    <w:p w:rsidR="00EB0021" w:rsidRPr="00D714FC" w:rsidRDefault="00EB0021" w:rsidP="00A82DE6">
      <w:pPr>
        <w:pStyle w:val="Lvl1Bulletpoint"/>
        <w:numPr>
          <w:ilvl w:val="1"/>
          <w:numId w:val="44"/>
        </w:numPr>
      </w:pPr>
      <w:r w:rsidRPr="00D714FC">
        <w:t>a Basin State does not have adequate jurisdiction over an infrastructure operator because that operator provides services across multiple jurisdictions (e.g. MDBA, BRC).</w:t>
      </w:r>
    </w:p>
    <w:p w:rsidR="00EB0021" w:rsidRPr="00D714FC" w:rsidRDefault="00EB0021" w:rsidP="000869AC">
      <w:r w:rsidRPr="00D714FC">
        <w:t>This approach recognise</w:t>
      </w:r>
      <w:r w:rsidR="008D4278">
        <w:t>d</w:t>
      </w:r>
      <w:r w:rsidRPr="00D714FC">
        <w:t xml:space="preserve"> that customers of providers of on-river infrastructure services have less opportunity and ability to change service providers than do customers of other infrastructure operators, and that </w:t>
      </w:r>
      <w:r>
        <w:t xml:space="preserve">on-river infrastructure services for the storage and </w:t>
      </w:r>
      <w:r w:rsidRPr="00D714FC">
        <w:t xml:space="preserve">delivery of water </w:t>
      </w:r>
      <w:r>
        <w:t xml:space="preserve">generally </w:t>
      </w:r>
      <w:r w:rsidRPr="00D714FC">
        <w:t xml:space="preserve">remain ‘bundled’ with water access rights. To implement this approach, the ACCC </w:t>
      </w:r>
      <w:r>
        <w:t xml:space="preserve">made draft rule advice (5-M) </w:t>
      </w:r>
      <w:r w:rsidRPr="00D714FC">
        <w:t xml:space="preserve">that the application of Part 6 be amended to apply based on the following: </w:t>
      </w:r>
    </w:p>
    <w:p w:rsidR="00EB0021" w:rsidRPr="00D714FC" w:rsidRDefault="00EB0021" w:rsidP="00135446">
      <w:pPr>
        <w:spacing w:after="120"/>
        <w:rPr>
          <w:rFonts w:cs="Times New Roman"/>
        </w:rPr>
      </w:pPr>
      <w:r w:rsidRPr="00D714FC">
        <w:rPr>
          <w:rFonts w:cs="Times New Roman"/>
        </w:rPr>
        <w:t>Where:</w:t>
      </w:r>
    </w:p>
    <w:p w:rsidR="00EB0021" w:rsidRPr="009B6ED8" w:rsidRDefault="00EB0021" w:rsidP="00A82DE6">
      <w:pPr>
        <w:pStyle w:val="Lvl1Bulletpoint"/>
      </w:pPr>
      <w:r w:rsidRPr="009B6ED8">
        <w:t>holders of a class of water access rights must obtain infrastructure services from an</w:t>
      </w:r>
      <w:r w:rsidR="00C6733C" w:rsidRPr="009B6ED8">
        <w:t xml:space="preserve"> </w:t>
      </w:r>
      <w:r w:rsidRPr="009B6ED8">
        <w:t>infrastructure operator in order to have water relating to that water access right stored or delivered; or</w:t>
      </w:r>
    </w:p>
    <w:p w:rsidR="00EB0021" w:rsidRPr="009B6ED8" w:rsidRDefault="00EB0021" w:rsidP="00A82DE6">
      <w:pPr>
        <w:pStyle w:val="Lvl1Bulletpoint"/>
      </w:pPr>
      <w:r w:rsidRPr="009B6ED8">
        <w:t>a person must obtain infrastructure services from an infrastructure operator in relation to the storage or delivery of water to give effect to an arrangement for the sharing of water between more than one Basin State; and</w:t>
      </w:r>
    </w:p>
    <w:p w:rsidR="00EB0021" w:rsidRPr="009B6ED8" w:rsidRDefault="00EB0021" w:rsidP="00A82DE6">
      <w:pPr>
        <w:pStyle w:val="Lvl1Bulletpoint"/>
      </w:pPr>
      <w:r w:rsidRPr="009B6ED8">
        <w:t>the infrastructure operator is not required to have all its infrastructure charges approved or determined by a single State agency under State water management law;</w:t>
      </w:r>
    </w:p>
    <w:p w:rsidR="00EB0021" w:rsidRPr="00D714FC" w:rsidRDefault="00EB0021" w:rsidP="00135446">
      <w:pPr>
        <w:keepLines/>
        <w:ind w:firstLine="567"/>
        <w:rPr>
          <w:rFonts w:cs="Times New Roman"/>
        </w:rPr>
      </w:pPr>
      <w:r w:rsidRPr="00D714FC">
        <w:rPr>
          <w:rFonts w:cs="Times New Roman"/>
        </w:rPr>
        <w:t>that infrastructure operator should be a Part 6 operator.</w:t>
      </w:r>
      <w:r>
        <w:rPr>
          <w:rStyle w:val="FootnoteReference"/>
          <w:rFonts w:cs="Times New Roman"/>
        </w:rPr>
        <w:footnoteReference w:id="364"/>
      </w:r>
    </w:p>
    <w:p w:rsidR="004D4860" w:rsidRDefault="00EB0021" w:rsidP="00EB0021">
      <w:pPr>
        <w:spacing w:before="240"/>
        <w:rPr>
          <w:rFonts w:cs="Times New Roman"/>
        </w:rPr>
      </w:pPr>
      <w:r>
        <w:rPr>
          <w:rFonts w:cs="Times New Roman"/>
        </w:rPr>
        <w:t>The ACCC further made draft rule advice that the rules should provide for the ACCC to exempt</w:t>
      </w:r>
      <w:r w:rsidR="004D4860">
        <w:rPr>
          <w:rFonts w:cs="Times New Roman"/>
        </w:rPr>
        <w:t xml:space="preserve"> an operator from the </w:t>
      </w:r>
      <w:r>
        <w:rPr>
          <w:rFonts w:cs="Times New Roman"/>
        </w:rPr>
        <w:t>requirements of Part 6 (requiring an operator to have its infrastructure charges approved or determined) w</w:t>
      </w:r>
      <w:r w:rsidR="004F1F67">
        <w:rPr>
          <w:rFonts w:cs="Times New Roman"/>
        </w:rPr>
        <w:t>here</w:t>
      </w:r>
      <w:r>
        <w:rPr>
          <w:rFonts w:cs="Times New Roman"/>
        </w:rPr>
        <w:t xml:space="preserve"> </w:t>
      </w:r>
      <w:r w:rsidR="004D4860">
        <w:rPr>
          <w:rFonts w:cs="Times New Roman"/>
        </w:rPr>
        <w:t xml:space="preserve">applying the requirements would </w:t>
      </w:r>
      <w:r>
        <w:rPr>
          <w:rFonts w:cs="Times New Roman"/>
        </w:rPr>
        <w:t>not materially contribute to the achievement of the Basin Water Charging Objectives and Principles</w:t>
      </w:r>
      <w:r w:rsidR="00E71D7D">
        <w:rPr>
          <w:rFonts w:cs="Times New Roman"/>
        </w:rPr>
        <w:t xml:space="preserve"> (BWCOP)</w:t>
      </w:r>
      <w:r w:rsidR="004D4860">
        <w:rPr>
          <w:rFonts w:cs="Times New Roman"/>
        </w:rPr>
        <w:t>, having regard to certain matters</w:t>
      </w:r>
      <w:r>
        <w:rPr>
          <w:rFonts w:cs="Times New Roman"/>
        </w:rPr>
        <w:t xml:space="preserve"> (draft rule advice 5-M).</w:t>
      </w:r>
    </w:p>
    <w:p w:rsidR="00BC4568" w:rsidRDefault="008D4278" w:rsidP="00EB0021">
      <w:pPr>
        <w:spacing w:before="240"/>
        <w:rPr>
          <w:rFonts w:cs="Times New Roman"/>
        </w:rPr>
      </w:pPr>
      <w:r>
        <w:rPr>
          <w:rFonts w:cs="Times New Roman"/>
        </w:rPr>
        <w:t>F</w:t>
      </w:r>
      <w:r w:rsidR="00E511C8">
        <w:rPr>
          <w:rFonts w:cs="Times New Roman"/>
        </w:rPr>
        <w:t>urthermore</w:t>
      </w:r>
      <w:r w:rsidR="00061C7E" w:rsidRPr="00D714FC">
        <w:rPr>
          <w:rFonts w:cs="Times New Roman"/>
        </w:rPr>
        <w:t xml:space="preserve">, the ACCC </w:t>
      </w:r>
      <w:r w:rsidR="00BC4568">
        <w:rPr>
          <w:rFonts w:cs="Times New Roman"/>
        </w:rPr>
        <w:t xml:space="preserve">made draft </w:t>
      </w:r>
      <w:r>
        <w:rPr>
          <w:rFonts w:cs="Times New Roman"/>
        </w:rPr>
        <w:t xml:space="preserve">rule </w:t>
      </w:r>
      <w:r w:rsidR="00BC4568">
        <w:rPr>
          <w:rFonts w:cs="Times New Roman"/>
        </w:rPr>
        <w:t xml:space="preserve">advice </w:t>
      </w:r>
      <w:r w:rsidR="00CA6040">
        <w:rPr>
          <w:rFonts w:cs="Times New Roman"/>
        </w:rPr>
        <w:t xml:space="preserve">to </w:t>
      </w:r>
      <w:r w:rsidR="00BC4568">
        <w:rPr>
          <w:rFonts w:cs="Times New Roman"/>
        </w:rPr>
        <w:t xml:space="preserve">repeal Part 9 of the WCIR </w:t>
      </w:r>
      <w:r>
        <w:rPr>
          <w:rFonts w:cs="Times New Roman"/>
        </w:rPr>
        <w:t xml:space="preserve">relating to the </w:t>
      </w:r>
      <w:r w:rsidR="00BC4568">
        <w:rPr>
          <w:rFonts w:cs="Times New Roman"/>
        </w:rPr>
        <w:t>accreditation of state regulators</w:t>
      </w:r>
      <w:r w:rsidR="00E511C8">
        <w:rPr>
          <w:rFonts w:cs="Times New Roman"/>
        </w:rPr>
        <w:t xml:space="preserve"> (</w:t>
      </w:r>
      <w:r w:rsidR="00352B59">
        <w:rPr>
          <w:rFonts w:cs="Times New Roman"/>
        </w:rPr>
        <w:t xml:space="preserve">draft </w:t>
      </w:r>
      <w:r w:rsidR="00E511C8">
        <w:rPr>
          <w:rFonts w:cs="Times New Roman"/>
        </w:rPr>
        <w:t>rule advice 5-W</w:t>
      </w:r>
      <w:r w:rsidR="00352B59">
        <w:rPr>
          <w:rFonts w:cs="Times New Roman"/>
        </w:rPr>
        <w:t>, considered in section 5.9</w:t>
      </w:r>
      <w:r w:rsidR="00E511C8">
        <w:rPr>
          <w:rFonts w:cs="Times New Roman"/>
        </w:rPr>
        <w:t>)</w:t>
      </w:r>
      <w:r w:rsidR="00BC4568">
        <w:rPr>
          <w:rFonts w:cs="Times New Roman"/>
        </w:rPr>
        <w:t>.</w:t>
      </w:r>
    </w:p>
    <w:p w:rsidR="0079321E" w:rsidRDefault="0079321E" w:rsidP="00E83E5D">
      <w:pPr>
        <w:pStyle w:val="Heading3Un-numbered"/>
      </w:pPr>
      <w:r>
        <w:t>Stakeholder feedback</w:t>
      </w:r>
    </w:p>
    <w:p w:rsidR="00BC4568" w:rsidRDefault="00BC4568" w:rsidP="00CD71A4">
      <w:r>
        <w:t xml:space="preserve">During its consultation for the Issues Paper, the ACCC received </w:t>
      </w:r>
      <w:r w:rsidRPr="00D714FC">
        <w:t>feedback from stakeholders</w:t>
      </w:r>
      <w:r w:rsidRPr="00D714FC">
        <w:rPr>
          <w:rStyle w:val="FootnoteReference"/>
          <w:rFonts w:cs="Times New Roman"/>
        </w:rPr>
        <w:footnoteReference w:id="365"/>
      </w:r>
      <w:r w:rsidRPr="00D714FC">
        <w:t xml:space="preserve"> about the significant regulatory burden imposed by having multiple regulators, particularly in the context of the </w:t>
      </w:r>
      <w:r>
        <w:t xml:space="preserve">perceived </w:t>
      </w:r>
      <w:r w:rsidRPr="00D714FC">
        <w:t>current lack of consistency in relation to pricing outcomes for Part 6 operators (see</w:t>
      </w:r>
      <w:r w:rsidR="00C82665">
        <w:t xml:space="preserve"> also</w:t>
      </w:r>
      <w:r w:rsidRPr="00D714FC">
        <w:t xml:space="preserve"> section 5.10.3). The ACCC also received </w:t>
      </w:r>
      <w:r w:rsidR="003C6E86">
        <w:t xml:space="preserve">a number of </w:t>
      </w:r>
      <w:r w:rsidRPr="00D714FC">
        <w:t>submissions which pointed out that most Basin States already provide for the direct price regulation of certain infrastructure operators (including all current Part 6 operators) under state water management law and</w:t>
      </w:r>
      <w:r w:rsidR="003C6E86">
        <w:t xml:space="preserve"> which</w:t>
      </w:r>
      <w:r w:rsidRPr="00D714FC">
        <w:t xml:space="preserve"> argued that direct determination of these operators</w:t>
      </w:r>
      <w:r>
        <w:t>’ charges</w:t>
      </w:r>
      <w:r w:rsidRPr="00D714FC">
        <w:t xml:space="preserve"> under the WCIR adds little value beyond that already achieved under state-based frameworks.</w:t>
      </w:r>
      <w:r w:rsidR="0011610B" w:rsidRPr="0011610B">
        <w:rPr>
          <w:rStyle w:val="FootnoteReference"/>
          <w:rFonts w:cs="Times New Roman"/>
          <w:vertAlign w:val="baseline"/>
        </w:rPr>
        <w:t xml:space="preserve"> </w:t>
      </w:r>
      <w:r w:rsidR="003C6E86">
        <w:t>However, one submitter advocated expanding the reach of the water charge rules to apply nationally, with a view to promoting a nationally consistent framework for regulating water charging arrangements.</w:t>
      </w:r>
      <w:r w:rsidR="003C6E86">
        <w:rPr>
          <w:rStyle w:val="FootnoteReference"/>
          <w:rFonts w:cs="Times New Roman"/>
        </w:rPr>
        <w:footnoteReference w:id="366"/>
      </w:r>
      <w:r w:rsidRPr="00D714FC">
        <w:t xml:space="preserve"> </w:t>
      </w:r>
    </w:p>
    <w:p w:rsidR="00CD71A4" w:rsidRPr="00FC78CD" w:rsidRDefault="00400A7D" w:rsidP="00135446">
      <w:pPr>
        <w:spacing w:after="120"/>
      </w:pPr>
      <w:r>
        <w:t>In response to the Draft Advice, f</w:t>
      </w:r>
      <w:r w:rsidR="00CD71A4" w:rsidRPr="00FC78CD">
        <w:t>ive stakeholders supported the intent of the proposed amendment to hand-back responsibility for price approvals</w:t>
      </w:r>
      <w:r w:rsidR="00441FF2">
        <w:t xml:space="preserve"> </w:t>
      </w:r>
      <w:r w:rsidR="00CD71A4" w:rsidRPr="00FC78CD">
        <w:t>/</w:t>
      </w:r>
      <w:r w:rsidR="00441FF2">
        <w:t xml:space="preserve"> </w:t>
      </w:r>
      <w:r w:rsidR="00CD71A4" w:rsidRPr="00FC78CD">
        <w:t>determinations to Basin States under their own regulatory regimes:</w:t>
      </w:r>
    </w:p>
    <w:p w:rsidR="00CD71A4" w:rsidRPr="00FC78CD" w:rsidRDefault="00CD71A4" w:rsidP="00A82DE6">
      <w:pPr>
        <w:pStyle w:val="Lvl1Bulletpoint"/>
      </w:pPr>
      <w:r w:rsidRPr="00FC78CD">
        <w:t xml:space="preserve">WaterNSW argued that the pricing principles in the IPART Act 1992 are broadly similar to the </w:t>
      </w:r>
      <w:r w:rsidR="00E71D7D">
        <w:t>BWCOP</w:t>
      </w:r>
      <w:r w:rsidRPr="00FC78CD">
        <w:t>.</w:t>
      </w:r>
      <w:r w:rsidRPr="00FC78CD">
        <w:rPr>
          <w:rStyle w:val="FootnoteReference"/>
          <w:rFonts w:cs="Times New Roman"/>
          <w:sz w:val="20"/>
          <w:szCs w:val="20"/>
        </w:rPr>
        <w:footnoteReference w:id="367"/>
      </w:r>
      <w:r w:rsidRPr="00FC78CD">
        <w:t xml:space="preserve"> WaterNSW therefore considers it will achieve broadly similar outcomes as those envisaged under the </w:t>
      </w:r>
      <w:r w:rsidRPr="003E27EE">
        <w:rPr>
          <w:i/>
        </w:rPr>
        <w:t>Water Act 2007</w:t>
      </w:r>
      <w:r w:rsidRPr="00FC78CD">
        <w:t xml:space="preserve"> </w:t>
      </w:r>
      <w:r w:rsidR="003E27EE">
        <w:t xml:space="preserve">(the Act) </w:t>
      </w:r>
      <w:r w:rsidRPr="00FC78CD">
        <w:t>and the WCIR.</w:t>
      </w:r>
    </w:p>
    <w:p w:rsidR="00CD71A4" w:rsidRPr="00FC78CD" w:rsidRDefault="00CD71A4" w:rsidP="00135446">
      <w:pPr>
        <w:pStyle w:val="Lvl1Bulletpoint"/>
        <w:spacing w:after="0"/>
        <w:ind w:left="568" w:hanging="284"/>
      </w:pPr>
      <w:r w:rsidRPr="00FC78CD">
        <w:t>LMW, WaterNSW and IPART noted that a single price determination can be carried out for the one operator and</w:t>
      </w:r>
      <w:r w:rsidR="00C0686B">
        <w:t xml:space="preserve"> </w:t>
      </w:r>
      <w:r w:rsidRPr="00FC78CD">
        <w:t>/</w:t>
      </w:r>
      <w:r w:rsidR="00C0686B">
        <w:t xml:space="preserve"> </w:t>
      </w:r>
      <w:r w:rsidRPr="00FC78CD">
        <w:t>or the timing of water charge reviews can be aligned across the state.</w:t>
      </w:r>
      <w:r w:rsidRPr="00FC78CD">
        <w:rPr>
          <w:rStyle w:val="FootnoteReference"/>
          <w:rFonts w:cs="Times New Roman"/>
          <w:sz w:val="20"/>
          <w:szCs w:val="20"/>
        </w:rPr>
        <w:footnoteReference w:id="368"/>
      </w:r>
      <w:r w:rsidRPr="00FC78CD">
        <w:t xml:space="preserve"> WaterNSW and IPART further submitted that this would result in: </w:t>
      </w:r>
    </w:p>
    <w:p w:rsidR="00CD71A4" w:rsidRPr="009B6ED8" w:rsidRDefault="00CD71A4" w:rsidP="009B6ED8">
      <w:pPr>
        <w:pStyle w:val="Lvl2Bulletpoint"/>
      </w:pPr>
      <w:r w:rsidRPr="009B6ED8">
        <w:t xml:space="preserve">lower costs for the regulated entity </w:t>
      </w:r>
      <w:r w:rsidR="00C0686B" w:rsidRPr="009B6ED8">
        <w:t xml:space="preserve">(WaterNSW) </w:t>
      </w:r>
      <w:r w:rsidRPr="009B6ED8">
        <w:t>and its customers</w:t>
      </w:r>
    </w:p>
    <w:p w:rsidR="00CD71A4" w:rsidRPr="009B6ED8" w:rsidRDefault="00CD71A4" w:rsidP="009B6ED8">
      <w:pPr>
        <w:pStyle w:val="Lvl2Bulletpoint"/>
      </w:pPr>
      <w:r w:rsidRPr="009B6ED8">
        <w:t>a consistent approach to price setting in valleys inside and outside the MDB (IPART).</w:t>
      </w:r>
    </w:p>
    <w:p w:rsidR="00CD71A4" w:rsidRPr="009B6ED8" w:rsidRDefault="00CD71A4" w:rsidP="009B6ED8">
      <w:pPr>
        <w:pStyle w:val="Lvl2Bulletpoint"/>
      </w:pPr>
      <w:r w:rsidRPr="009B6ED8">
        <w:t xml:space="preserve">GMW agrees that the ESCV is “better placed” to make a price </w:t>
      </w:r>
      <w:r w:rsidR="00C0686B" w:rsidRPr="009B6ED8">
        <w:t xml:space="preserve">approval </w:t>
      </w:r>
      <w:r w:rsidRPr="009B6ED8">
        <w:t>/</w:t>
      </w:r>
      <w:r w:rsidR="00C0686B" w:rsidRPr="009B6ED8">
        <w:t xml:space="preserve"> </w:t>
      </w:r>
      <w:r w:rsidRPr="009B6ED8">
        <w:t>determination of GMW’s charges under the Water Industry Regulation Order.</w:t>
      </w:r>
      <w:r w:rsidRPr="009B6ED8">
        <w:rPr>
          <w:rStyle w:val="FootnoteReference"/>
        </w:rPr>
        <w:footnoteReference w:id="369"/>
      </w:r>
    </w:p>
    <w:p w:rsidR="00CD71A4" w:rsidRPr="00FC78CD" w:rsidRDefault="00CD71A4" w:rsidP="00CD71A4">
      <w:r w:rsidRPr="00FC78CD">
        <w:t>WaterNSW added that the proposed amendments to “permit state based economic regulation in the Murray Darling Basin, is a common-sense approach to reduce cost burden and maximise the benefits of economic regulation for the customers”.</w:t>
      </w:r>
      <w:r w:rsidRPr="00FC78CD">
        <w:rPr>
          <w:rStyle w:val="FootnoteReference"/>
          <w:rFonts w:cs="Times New Roman"/>
          <w:sz w:val="20"/>
          <w:szCs w:val="20"/>
        </w:rPr>
        <w:footnoteReference w:id="370"/>
      </w:r>
      <w:r w:rsidRPr="00FC78CD">
        <w:t xml:space="preserve"> IPART also agrees that the proposed amendments will reduce regulatory burden on infrastructure operators. IPART added that it would provide a simpler process for all stakeholders to engage with.</w:t>
      </w:r>
      <w:r w:rsidRPr="00FC78CD">
        <w:rPr>
          <w:rStyle w:val="FootnoteReference"/>
          <w:rFonts w:cs="Times New Roman"/>
          <w:sz w:val="20"/>
          <w:szCs w:val="20"/>
        </w:rPr>
        <w:footnoteReference w:id="371"/>
      </w:r>
      <w:r w:rsidRPr="00FC78CD">
        <w:t xml:space="preserve"> </w:t>
      </w:r>
    </w:p>
    <w:p w:rsidR="00CD71A4" w:rsidRPr="00FC78CD" w:rsidRDefault="00CD71A4" w:rsidP="00CD71A4">
      <w:r w:rsidRPr="00FC78CD">
        <w:t>The Victorian Farmers’ Federation</w:t>
      </w:r>
      <w:r w:rsidR="00874041">
        <w:t xml:space="preserve"> (VFF)</w:t>
      </w:r>
      <w:r w:rsidRPr="00FC78CD">
        <w:t xml:space="preserve"> argued that it is important that the charges of large, Victorian infrastructure operators such as GMW and LMW be subject to regulatory approval/determination. The VFF noted that while it supports the existing approach to Part 6, it is willing to support, in principles, the amendments on the condition that there is “proper and appropriate” regulatory oversight and the quality is not diminished.</w:t>
      </w:r>
      <w:r w:rsidR="00E51A5A">
        <w:rPr>
          <w:rStyle w:val="FootnoteReference"/>
        </w:rPr>
        <w:footnoteReference w:id="372"/>
      </w:r>
      <w:r w:rsidRPr="00FC78CD">
        <w:t xml:space="preserve"> The VFF is of the view that this is ensured through having Part 6 as a fall back in the absence of state regulation and via the proposed non-discrimination provisions. </w:t>
      </w:r>
    </w:p>
    <w:p w:rsidR="00CD71A4" w:rsidRPr="00FC78CD" w:rsidRDefault="00CD71A4">
      <w:pPr>
        <w:rPr>
          <w:rFonts w:eastAsiaTheme="minorHAnsi"/>
          <w:bCs/>
        </w:rPr>
      </w:pPr>
      <w:r w:rsidRPr="00FC78CD">
        <w:rPr>
          <w:rFonts w:eastAsiaTheme="minorHAnsi"/>
        </w:rPr>
        <w:t xml:space="preserve">By comparison, the </w:t>
      </w:r>
      <w:r w:rsidR="00BC5421">
        <w:rPr>
          <w:rFonts w:eastAsiaTheme="minorHAnsi"/>
        </w:rPr>
        <w:t>NSWIC</w:t>
      </w:r>
      <w:r w:rsidRPr="00FC78CD">
        <w:rPr>
          <w:rFonts w:eastAsiaTheme="minorHAnsi"/>
        </w:rPr>
        <w:t xml:space="preserve"> submitted that NSW stakeholders have deployed significant resources to familiarise themselves with different regulatory processes to come “full circle” and have “no real regulatory change”. That is, under the proposed amendments IPART will again determine WaterNSW charges under NSW legislation (as was the case before the rules were developed)</w:t>
      </w:r>
      <w:r w:rsidR="00E179A9">
        <w:rPr>
          <w:rFonts w:eastAsiaTheme="minorHAnsi"/>
        </w:rPr>
        <w:t>—</w:t>
      </w:r>
      <w:r w:rsidRPr="00FC78CD">
        <w:rPr>
          <w:rFonts w:eastAsiaTheme="minorHAnsi"/>
        </w:rPr>
        <w:t>yet, in the meantime, WaterNSW charges will have also been determined by the ACCC and then IPART separately under the water charge rules.</w:t>
      </w:r>
      <w:r w:rsidRPr="00FC78CD">
        <w:rPr>
          <w:rStyle w:val="FootnoteReference"/>
          <w:rFonts w:cs="Times New Roman"/>
        </w:rPr>
        <w:footnoteReference w:id="373"/>
      </w:r>
      <w:r w:rsidRPr="00FC78CD">
        <w:rPr>
          <w:rFonts w:eastAsiaTheme="minorHAnsi"/>
        </w:rPr>
        <w:t xml:space="preserve"> </w:t>
      </w:r>
    </w:p>
    <w:p w:rsidR="00CD71A4" w:rsidRPr="00CD71A4" w:rsidRDefault="00CD71A4" w:rsidP="00E83E5D">
      <w:pPr>
        <w:pStyle w:val="Heading4-Un-numberedsubheading-Lvl5"/>
      </w:pPr>
      <w:r w:rsidRPr="00CD71A4">
        <w:t xml:space="preserve">Coverage of certain infrastructure operators </w:t>
      </w:r>
    </w:p>
    <w:p w:rsidR="00CD71A4" w:rsidRPr="00FC78CD" w:rsidRDefault="00CD71A4" w:rsidP="00135446">
      <w:pPr>
        <w:spacing w:after="120"/>
      </w:pPr>
      <w:r w:rsidRPr="00FC78CD">
        <w:t>Some stakeholders sought clarification on the infrastructure operators that the proposed amendments to the application of Part 6 will capture.</w:t>
      </w:r>
      <w:r w:rsidRPr="00FC78CD">
        <w:rPr>
          <w:rStyle w:val="FootnoteReference"/>
          <w:rFonts w:cs="Times New Roman"/>
        </w:rPr>
        <w:footnoteReference w:id="374"/>
      </w:r>
      <w:r w:rsidRPr="00FC78CD">
        <w:t xml:space="preserve"> In particular, there is a view that the current drafting could be interpreted as capturing irrigation infrastructure operators</w:t>
      </w:r>
      <w:r w:rsidR="004B070D">
        <w:t xml:space="preserve"> (IIOs)</w:t>
      </w:r>
      <w:r w:rsidRPr="00FC78CD">
        <w:t xml:space="preserve">. Many of these stakeholders have noted that this is not the ACCC’s intent, and provided feedback that there is scope to improve the clarity of the drafting to better reflect this. </w:t>
      </w:r>
    </w:p>
    <w:p w:rsidR="00CD71A4" w:rsidRPr="00FC78CD" w:rsidRDefault="00CD71A4" w:rsidP="00A82DE6">
      <w:pPr>
        <w:pStyle w:val="Lvl1Bulletpoint"/>
      </w:pPr>
      <w:r w:rsidRPr="00FC78CD">
        <w:t xml:space="preserve">The National Irrigators’ Council’s (NIC) concerns relate to the drafting of </w:t>
      </w:r>
      <w:r w:rsidR="00DB6AE4">
        <w:t>sub</w:t>
      </w:r>
      <w:r w:rsidRPr="00FC78CD">
        <w:t>rule 23(b)(i). The NIC argues that the rule “taken literally” in its current form would capture any infrastructure operator where at least one of its customers has transformed and retained water delivery rights.</w:t>
      </w:r>
      <w:r w:rsidRPr="00FC78CD">
        <w:rPr>
          <w:rStyle w:val="FootnoteReference"/>
          <w:rFonts w:cs="Times New Roman"/>
          <w:sz w:val="20"/>
          <w:szCs w:val="20"/>
        </w:rPr>
        <w:footnoteReference w:id="375"/>
      </w:r>
      <w:r w:rsidRPr="00FC78CD">
        <w:t xml:space="preserve"> </w:t>
      </w:r>
    </w:p>
    <w:p w:rsidR="00CD71A4" w:rsidRPr="00FC78CD" w:rsidRDefault="00CD71A4" w:rsidP="00A82DE6">
      <w:pPr>
        <w:pStyle w:val="Lvl1Bulletpoint"/>
      </w:pPr>
      <w:r w:rsidRPr="00FC78CD">
        <w:t>Lower</w:t>
      </w:r>
      <w:r w:rsidR="0076282A">
        <w:t xml:space="preserve"> </w:t>
      </w:r>
      <w:r w:rsidRPr="00FC78CD">
        <w:t xml:space="preserve">Murray Water (LMW) commented on </w:t>
      </w:r>
      <w:r w:rsidR="00DB6AE4">
        <w:t>sub</w:t>
      </w:r>
      <w:r w:rsidRPr="00FC78CD">
        <w:t>rule 23(b); LMW noted there was scope to further clarify that the rule only captures on-river infrastructure operators.</w:t>
      </w:r>
      <w:r w:rsidRPr="00FC78CD">
        <w:rPr>
          <w:rStyle w:val="FootnoteReference"/>
          <w:rFonts w:cs="Times New Roman"/>
          <w:sz w:val="20"/>
          <w:szCs w:val="20"/>
        </w:rPr>
        <w:footnoteReference w:id="376"/>
      </w:r>
      <w:r w:rsidR="00C6733C">
        <w:t xml:space="preserve"> </w:t>
      </w:r>
    </w:p>
    <w:p w:rsidR="00CD71A4" w:rsidRPr="00FC78CD" w:rsidRDefault="00CD71A4" w:rsidP="00A82DE6">
      <w:pPr>
        <w:pStyle w:val="Lvl1Bulletpoint"/>
      </w:pPr>
      <w:r w:rsidRPr="00FC78CD">
        <w:t>The Queensland Treasury and Department of Energy and Water Supply</w:t>
      </w:r>
      <w:r w:rsidR="000A0202">
        <w:t xml:space="preserve"> (QTDEWS)</w:t>
      </w:r>
      <w:r w:rsidRPr="00FC78CD">
        <w:t xml:space="preserve"> noted that channel irrigation schemes currently owned and operated by SunWater are being transferred to private, local ownership and management.</w:t>
      </w:r>
      <w:r w:rsidRPr="00FC78CD">
        <w:rPr>
          <w:rStyle w:val="FootnoteReference"/>
          <w:rFonts w:cs="Times New Roman"/>
          <w:sz w:val="20"/>
          <w:szCs w:val="20"/>
        </w:rPr>
        <w:footnoteReference w:id="377"/>
      </w:r>
      <w:r w:rsidRPr="00FC78CD">
        <w:t xml:space="preserve"> The </w:t>
      </w:r>
      <w:r w:rsidR="000A0202">
        <w:t>QTDEWS</w:t>
      </w:r>
      <w:r w:rsidRPr="00FC78CD">
        <w:t xml:space="preserve"> sought clarification as to whether the proposed amendments would apply to the St George Distribution Scheme, the only distribution scheme where relevant charges may fall within the scope of the water charge rules, both now and once it has transferred to local management.</w:t>
      </w:r>
    </w:p>
    <w:p w:rsidR="00CD71A4" w:rsidRPr="00FC78CD" w:rsidRDefault="00CD71A4" w:rsidP="00135446">
      <w:pPr>
        <w:spacing w:after="120"/>
      </w:pPr>
      <w:r w:rsidRPr="00FC78CD">
        <w:t>Queensland stakeholders were particularly concerned that price regulation for Queensland operators such as Sun</w:t>
      </w:r>
      <w:r w:rsidR="00AF4566">
        <w:t>W</w:t>
      </w:r>
      <w:r w:rsidRPr="00FC78CD">
        <w:t xml:space="preserve">ater and </w:t>
      </w:r>
      <w:r w:rsidR="00162B38">
        <w:t xml:space="preserve">Queensland </w:t>
      </w:r>
      <w:r w:rsidRPr="00FC78CD">
        <w:t xml:space="preserve">Department of Natural Resources and Mines (DNRM) could be captured by Part 6 under the rule 23 in the </w:t>
      </w:r>
      <w:r w:rsidR="006C5562">
        <w:t>D</w:t>
      </w:r>
      <w:r w:rsidRPr="00FC78CD">
        <w:t xml:space="preserve">raft </w:t>
      </w:r>
      <w:r w:rsidR="006C5562">
        <w:t>A</w:t>
      </w:r>
      <w:r w:rsidRPr="00FC78CD">
        <w:t>dvice (and discrimination provisions) because:</w:t>
      </w:r>
    </w:p>
    <w:p w:rsidR="00CD71A4" w:rsidRPr="00FC78CD" w:rsidRDefault="00CD71A4" w:rsidP="00A82DE6">
      <w:pPr>
        <w:pStyle w:val="Lvl1Bulletpoint"/>
      </w:pPr>
      <w:r w:rsidRPr="00FC78CD">
        <w:t>Sun</w:t>
      </w:r>
      <w:r w:rsidR="00AF4566">
        <w:t>W</w:t>
      </w:r>
      <w:r w:rsidRPr="00FC78CD">
        <w:t xml:space="preserve">ater’s irrigation charges are recommended by the </w:t>
      </w:r>
      <w:r w:rsidR="0066660E">
        <w:t>Queensland Competition Authority (</w:t>
      </w:r>
      <w:r w:rsidRPr="00FC78CD">
        <w:t>QCA</w:t>
      </w:r>
      <w:r w:rsidR="0066660E">
        <w:t>)</w:t>
      </w:r>
      <w:r w:rsidRPr="00FC78CD">
        <w:t xml:space="preserve"> to the Minister, rather than being determined by ‘a single State agency’</w:t>
      </w:r>
    </w:p>
    <w:p w:rsidR="00CD71A4" w:rsidRPr="00FC78CD" w:rsidRDefault="00CD71A4" w:rsidP="00A82DE6">
      <w:pPr>
        <w:pStyle w:val="Lvl1Bulletpoint"/>
      </w:pPr>
      <w:r w:rsidRPr="00FC78CD">
        <w:t>Non-irrigation charges are subject to negotiation, not necessarily under ‘</w:t>
      </w:r>
      <w:r w:rsidR="00C3317D">
        <w:t>S</w:t>
      </w:r>
      <w:r w:rsidRPr="00FC78CD">
        <w:t>tate water management law’</w:t>
      </w:r>
    </w:p>
    <w:p w:rsidR="00CD71A4" w:rsidRPr="00FC78CD" w:rsidRDefault="00CD71A4" w:rsidP="00A82DE6">
      <w:pPr>
        <w:pStyle w:val="Lvl1Bulletpoint"/>
      </w:pPr>
      <w:r w:rsidRPr="00FC78CD">
        <w:t>DNRM levies infrastructure charges in relation to the Border Rivers Water Supply Scheme, without a regulatory process.</w:t>
      </w:r>
    </w:p>
    <w:p w:rsidR="00CD71A4" w:rsidRPr="00FC78CD" w:rsidRDefault="00CD71A4">
      <w:r w:rsidRPr="00FC78CD">
        <w:t xml:space="preserve">They are concerned that price determination by the ACCC would involve a new type of ‘heavy-handed’ regulation and duplication with existing Queensland processes, for little benefit. The </w:t>
      </w:r>
      <w:r w:rsidR="008E524B">
        <w:t>Queensland Farmers’ Federation (</w:t>
      </w:r>
      <w:r w:rsidRPr="00FC78CD">
        <w:t>QFF</w:t>
      </w:r>
      <w:r w:rsidR="008E524B">
        <w:t>)</w:t>
      </w:r>
      <w:r w:rsidRPr="00FC78CD">
        <w:t xml:space="preserve"> was also concerned that ACCC could be the default regulator for the Queensland MDB schemes, resulting in additional cost and regulation.</w:t>
      </w:r>
    </w:p>
    <w:p w:rsidR="00CD71A4" w:rsidRPr="00FC78CD" w:rsidRDefault="00CD71A4">
      <w:r w:rsidRPr="00FC78CD">
        <w:t xml:space="preserve">The Local Government Association of Queensland </w:t>
      </w:r>
      <w:r w:rsidR="008F0D6B">
        <w:t xml:space="preserve">(LGAQ) </w:t>
      </w:r>
      <w:r w:rsidRPr="00FC78CD">
        <w:t>also d</w:t>
      </w:r>
      <w:r w:rsidR="00054EBC">
        <w:t>id</w:t>
      </w:r>
      <w:r w:rsidRPr="00FC78CD">
        <w:t xml:space="preserve"> not support ACCC regulation that is “already clearly established for the states”, although it s</w:t>
      </w:r>
      <w:r w:rsidR="00054EBC">
        <w:t>aw</w:t>
      </w:r>
      <w:r w:rsidRPr="00FC78CD">
        <w:t xml:space="preserve"> a role for the ACCC in providing guidance in relation to a water charging framework based on clear principles. It ha</w:t>
      </w:r>
      <w:r w:rsidR="00054EBC">
        <w:t>d</w:t>
      </w:r>
      <w:r w:rsidRPr="00FC78CD">
        <w:t xml:space="preserve"> particular concerns about the effect of the QCA’s cost allocation methodology on high priority licence holders, which are typically councils and non-irrigation customers.</w:t>
      </w:r>
    </w:p>
    <w:p w:rsidR="00CD71A4" w:rsidRPr="00CD71A4" w:rsidRDefault="00CD71A4" w:rsidP="00E83E5D">
      <w:pPr>
        <w:pStyle w:val="Heading4-Un-numberedsubheading-Lvl5"/>
      </w:pPr>
      <w:r w:rsidRPr="00CD71A4">
        <w:t>References to State water management law</w:t>
      </w:r>
    </w:p>
    <w:p w:rsidR="00CD71A4" w:rsidRPr="00FC78CD" w:rsidRDefault="00CD71A4" w:rsidP="00135446">
      <w:pPr>
        <w:spacing w:after="120"/>
      </w:pPr>
      <w:r w:rsidRPr="00FC78CD">
        <w:t xml:space="preserve">IPART commented on the drafting of rule 23 in relation to the reference to </w:t>
      </w:r>
      <w:r w:rsidR="00F0357E">
        <w:t>‘</w:t>
      </w:r>
      <w:r w:rsidRPr="00FC78CD">
        <w:t>State water management law</w:t>
      </w:r>
      <w:r w:rsidR="00F0357E">
        <w:t>’</w:t>
      </w:r>
      <w:r w:rsidRPr="00FC78CD">
        <w:t>.</w:t>
      </w:r>
      <w:r w:rsidRPr="00FC78CD">
        <w:rPr>
          <w:rStyle w:val="FootnoteReference"/>
          <w:rFonts w:cs="Times New Roman"/>
          <w:sz w:val="20"/>
          <w:szCs w:val="20"/>
        </w:rPr>
        <w:footnoteReference w:id="378"/>
      </w:r>
      <w:r w:rsidRPr="00FC78CD">
        <w:t xml:space="preserve"> IPART recommended that the ACCC ensure that the drafting captures the relevant legislative framework in NSW including: </w:t>
      </w:r>
    </w:p>
    <w:p w:rsidR="00CD71A4" w:rsidRPr="00FC78CD" w:rsidRDefault="00CD71A4" w:rsidP="00A82DE6">
      <w:pPr>
        <w:pStyle w:val="Lvl1Bulletpoint"/>
      </w:pPr>
      <w:r w:rsidRPr="00FC78CD">
        <w:t xml:space="preserve">section 11 of the </w:t>
      </w:r>
      <w:r w:rsidRPr="004F1F67">
        <w:rPr>
          <w:i/>
        </w:rPr>
        <w:t>Independent Pricing and Tribunal Act 1992</w:t>
      </w:r>
      <w:r w:rsidRPr="00FC78CD">
        <w:t>, which relates to the determination of maximum prices by IPART (under a standing reference)</w:t>
      </w:r>
    </w:p>
    <w:p w:rsidR="00CD71A4" w:rsidRPr="00FC78CD" w:rsidRDefault="00CD71A4" w:rsidP="00A82DE6">
      <w:pPr>
        <w:pStyle w:val="Lvl1Bulletpoint"/>
      </w:pPr>
      <w:r w:rsidRPr="00FC78CD">
        <w:t xml:space="preserve">section 39 of the </w:t>
      </w:r>
      <w:r w:rsidRPr="004F1F67">
        <w:rPr>
          <w:i/>
        </w:rPr>
        <w:t>Water</w:t>
      </w:r>
      <w:r w:rsidR="004F1F67">
        <w:rPr>
          <w:i/>
        </w:rPr>
        <w:t xml:space="preserve"> </w:t>
      </w:r>
      <w:r w:rsidRPr="004F1F67">
        <w:rPr>
          <w:i/>
        </w:rPr>
        <w:t>NSW Act 2014</w:t>
      </w:r>
      <w:r w:rsidRPr="00FC78CD">
        <w:t>, which relates to the imposition of fees and charges by WaterNSW.</w:t>
      </w:r>
    </w:p>
    <w:p w:rsidR="00CD71A4" w:rsidRPr="00CD71A4" w:rsidRDefault="00CD71A4" w:rsidP="00E83E5D">
      <w:pPr>
        <w:pStyle w:val="Heading4-Un-numberedsubheading-Lvl5"/>
      </w:pPr>
      <w:r w:rsidRPr="00CD71A4">
        <w:t xml:space="preserve">Transitional arrangements </w:t>
      </w:r>
    </w:p>
    <w:p w:rsidR="00CD71A4" w:rsidRPr="00FC78CD" w:rsidRDefault="00CD71A4" w:rsidP="00CD71A4">
      <w:r w:rsidRPr="00FC78CD">
        <w:t xml:space="preserve">WaterNSW </w:t>
      </w:r>
      <w:r w:rsidR="00414818">
        <w:t xml:space="preserve">stated that it </w:t>
      </w:r>
      <w:r w:rsidRPr="00FC78CD">
        <w:t>supports the transitional provisions for rule 23</w:t>
      </w:r>
      <w:r w:rsidR="00414818">
        <w:t xml:space="preserve">. In </w:t>
      </w:r>
      <w:r w:rsidRPr="00FC78CD">
        <w:t>particular</w:t>
      </w:r>
      <w:r w:rsidR="00F22767">
        <w:t>, it supports</w:t>
      </w:r>
      <w:r w:rsidRPr="00FC78CD">
        <w:t xml:space="preserve"> IPART being able to approve</w:t>
      </w:r>
      <w:r w:rsidR="004F1F67">
        <w:t xml:space="preserve"> </w:t>
      </w:r>
      <w:r w:rsidRPr="00FC78CD">
        <w:t>/</w:t>
      </w:r>
      <w:r w:rsidR="004F1F67">
        <w:t xml:space="preserve"> </w:t>
      </w:r>
      <w:r w:rsidRPr="00FC78CD">
        <w:t>determine WaterNSW’s charges under NSW legislation from the start of the next regulatory period (1 July 2017).</w:t>
      </w:r>
      <w:r w:rsidRPr="00FC78CD">
        <w:rPr>
          <w:rStyle w:val="FootnoteReference"/>
          <w:rFonts w:cs="Times New Roman"/>
          <w:sz w:val="20"/>
          <w:szCs w:val="20"/>
        </w:rPr>
        <w:footnoteReference w:id="379"/>
      </w:r>
      <w:r w:rsidRPr="00FC78CD">
        <w:t xml:space="preserve"> WaterNSW noted its preference to “work closely” with the ACCC and IPART to ensure that its application </w:t>
      </w:r>
      <w:r w:rsidR="00F22767">
        <w:t xml:space="preserve">in relation to this regulatory period </w:t>
      </w:r>
      <w:r w:rsidRPr="00FC78CD">
        <w:t>is not only consistent with proposed amendments to other relevant sections of the water charge rules, but also with IPART’s framework for approving</w:t>
      </w:r>
      <w:r w:rsidR="004F1F67">
        <w:t xml:space="preserve"> </w:t>
      </w:r>
      <w:r w:rsidRPr="00FC78CD">
        <w:t>/</w:t>
      </w:r>
      <w:r w:rsidR="004F1F67">
        <w:t xml:space="preserve"> </w:t>
      </w:r>
      <w:r w:rsidRPr="00FC78CD">
        <w:t>determining charges.</w:t>
      </w:r>
      <w:r w:rsidR="00F22767">
        <w:rPr>
          <w:rStyle w:val="FootnoteReference"/>
        </w:rPr>
        <w:footnoteReference w:id="380"/>
      </w:r>
      <w:r w:rsidRPr="00FC78CD">
        <w:t xml:space="preserve"> </w:t>
      </w:r>
    </w:p>
    <w:p w:rsidR="00CD71A4" w:rsidRDefault="00CD71A4" w:rsidP="00CD71A4">
      <w:r w:rsidRPr="00FC78CD">
        <w:t>SunWater also commented on the transitional provisions for rule 23, submitting that Part 6 should not apply to charges that are already set under pre-existing contracts (i.e. commercially negotiated contracts). In SunWater’s view, the rules should “honour and preserve” charges under pre-existing contracts.</w:t>
      </w:r>
      <w:r w:rsidRPr="00FC78CD">
        <w:rPr>
          <w:rStyle w:val="FootnoteReference"/>
          <w:rFonts w:cs="Times New Roman"/>
          <w:sz w:val="20"/>
          <w:szCs w:val="20"/>
        </w:rPr>
        <w:footnoteReference w:id="381"/>
      </w:r>
      <w:r w:rsidRPr="00FC78CD">
        <w:t xml:space="preserve"> </w:t>
      </w:r>
    </w:p>
    <w:p w:rsidR="00484CD6" w:rsidRPr="00E45AD6" w:rsidRDefault="00484CD6" w:rsidP="00E83E5D">
      <w:pPr>
        <w:pStyle w:val="Heading3Un-numbered"/>
      </w:pPr>
      <w:r>
        <w:t>ACCC assessment</w:t>
      </w:r>
    </w:p>
    <w:p w:rsidR="003475C0" w:rsidRDefault="003475C0" w:rsidP="003475C0">
      <w:r>
        <w:t>The ACCC maintains its view f</w:t>
      </w:r>
      <w:r w:rsidR="004F1F67">
        <w:t>ro</w:t>
      </w:r>
      <w:r>
        <w:t xml:space="preserve">m the Draft Advice that the criteria for the application of charge approvals / determinations should be revised. </w:t>
      </w:r>
    </w:p>
    <w:p w:rsidR="00654E48" w:rsidRDefault="00654E48" w:rsidP="001A6EF6">
      <w:r w:rsidRPr="00C74425">
        <w:t xml:space="preserve">The ACCC agrees </w:t>
      </w:r>
      <w:r>
        <w:t xml:space="preserve">with the VFF </w:t>
      </w:r>
      <w:r w:rsidRPr="00C74425">
        <w:t>that there should be appropriate regulatory oversight of the current Part 6 operators</w:t>
      </w:r>
      <w:r>
        <w:t xml:space="preserve"> and</w:t>
      </w:r>
      <w:r w:rsidR="00C7169E">
        <w:t xml:space="preserve"> </w:t>
      </w:r>
      <w:r w:rsidRPr="00C74425">
        <w:t xml:space="preserve">considers </w:t>
      </w:r>
      <w:r>
        <w:t xml:space="preserve">this can be achieved where Basin State regulatory approaches ensure that relevant infrastructure operators’ costs are prudent and efficient and infrastructure charges </w:t>
      </w:r>
      <w:r w:rsidR="00C46014">
        <w:t xml:space="preserve">are </w:t>
      </w:r>
      <w:r>
        <w:t>set at levels that would not allow the operator to earn monopoly returns</w:t>
      </w:r>
      <w:r w:rsidR="00C46014" w:rsidRPr="00AF4566">
        <w:t>.</w:t>
      </w:r>
      <w:r w:rsidR="00C46014" w:rsidRPr="00AF4566">
        <w:rPr>
          <w:rStyle w:val="FootnoteReference"/>
        </w:rPr>
        <w:footnoteReference w:id="382"/>
      </w:r>
      <w:r w:rsidR="00C6733C">
        <w:t xml:space="preserve"> </w:t>
      </w:r>
      <w:r>
        <w:t xml:space="preserve">The ACCC believes this standard is consistent with the regulatory test set out in </w:t>
      </w:r>
      <w:r w:rsidR="00DB6AE4">
        <w:t>sub</w:t>
      </w:r>
      <w:r>
        <w:t xml:space="preserve">rule 29(2)(b), which is discussed in section 5.6.3. The ACCC also notes the need for clarity about the form / level of regulation that is required by a State Agency to exclude an infrastructure operator from the application of Part 6. As such, the ACCC considers the application criteria in proposed </w:t>
      </w:r>
      <w:r w:rsidR="00DB6AE4">
        <w:t>sub</w:t>
      </w:r>
      <w:r>
        <w:t xml:space="preserve">rule 23(a) should only be satisfied if the operator is </w:t>
      </w:r>
      <w:r w:rsidRPr="00A54AD0">
        <w:t>not</w:t>
      </w:r>
      <w:r>
        <w:t xml:space="preserve"> required to have all its infrastructure charges approved or determined consistently with the regulatory test set out in (proposed) </w:t>
      </w:r>
      <w:r w:rsidR="00DB6AE4">
        <w:t>sub</w:t>
      </w:r>
      <w:r>
        <w:t xml:space="preserve">rule 29(2)(b) which would apply to a Part 6 operator. </w:t>
      </w:r>
    </w:p>
    <w:p w:rsidR="00654E48" w:rsidRPr="00C74425" w:rsidRDefault="00654E48" w:rsidP="00654E48">
      <w:r>
        <w:t>T</w:t>
      </w:r>
      <w:r w:rsidRPr="00C74425">
        <w:t xml:space="preserve">he ACCC </w:t>
      </w:r>
      <w:r>
        <w:t xml:space="preserve">considers this will </w:t>
      </w:r>
      <w:r w:rsidR="0016560E">
        <w:t xml:space="preserve">provide </w:t>
      </w:r>
      <w:r>
        <w:t>a</w:t>
      </w:r>
      <w:r w:rsidR="0016560E">
        <w:t>n essential</w:t>
      </w:r>
      <w:r w:rsidRPr="00C74425">
        <w:t xml:space="preserve"> level of protection</w:t>
      </w:r>
      <w:r w:rsidR="0016560E">
        <w:t xml:space="preserve"> for customers in aggregate</w:t>
      </w:r>
      <w:r>
        <w:t>—</w:t>
      </w:r>
      <w:r w:rsidR="0016560E">
        <w:t xml:space="preserve">ensuring </w:t>
      </w:r>
      <w:r w:rsidRPr="00C74425">
        <w:t xml:space="preserve">that revenue from </w:t>
      </w:r>
      <w:r>
        <w:t xml:space="preserve">infrastructure </w:t>
      </w:r>
      <w:r w:rsidRPr="00C74425">
        <w:t>charges meets</w:t>
      </w:r>
      <w:r>
        <w:t>, but does not materially exceed, the</w:t>
      </w:r>
      <w:r w:rsidRPr="00C74425">
        <w:t xml:space="preserve"> prudent and efficient costs </w:t>
      </w:r>
      <w:r>
        <w:t>of providing the infrastructure services</w:t>
      </w:r>
      <w:r w:rsidR="00A62AD4">
        <w:t xml:space="preserve">, taking into account </w:t>
      </w:r>
      <w:r w:rsidRPr="00C74425">
        <w:t xml:space="preserve">government contributions through </w:t>
      </w:r>
      <w:r w:rsidR="001F1D87">
        <w:t>Community Service Obligations (</w:t>
      </w:r>
      <w:r w:rsidRPr="00C74425">
        <w:t>CSOs</w:t>
      </w:r>
      <w:r w:rsidR="001F1D87">
        <w:t>)</w:t>
      </w:r>
      <w:r w:rsidRPr="00C74425">
        <w:t xml:space="preserve"> or forgone returns</w:t>
      </w:r>
      <w:r>
        <w:t xml:space="preserve"> </w:t>
      </w:r>
      <w:r w:rsidR="00A62AD4">
        <w:t xml:space="preserve">and any other revenue derived from the operator’s water service infrastructure </w:t>
      </w:r>
      <w:r w:rsidRPr="00C74425">
        <w:t>(see section 5.6.3).</w:t>
      </w:r>
    </w:p>
    <w:p w:rsidR="00654E48" w:rsidRPr="00C74425" w:rsidRDefault="00654E48" w:rsidP="00654E48">
      <w:r w:rsidRPr="00C74425">
        <w:t>The ACCC considers that while the criteria used by the alternative State-based regulators (IPART, ESC</w:t>
      </w:r>
      <w:r w:rsidR="00A224C1">
        <w:t>V</w:t>
      </w:r>
      <w:r w:rsidRPr="00C74425">
        <w:t xml:space="preserve">, QCA and </w:t>
      </w:r>
      <w:r w:rsidR="00A224C1">
        <w:t>Essential Services Commission of SA (</w:t>
      </w:r>
      <w:r w:rsidRPr="00C74425">
        <w:t>ESCOSA</w:t>
      </w:r>
      <w:r w:rsidR="00A224C1">
        <w:t>)</w:t>
      </w:r>
      <w:r w:rsidRPr="00C74425">
        <w:t xml:space="preserve">) are not identical to the BWCOP and current Part 6, they are </w:t>
      </w:r>
      <w:r w:rsidR="00A62AD4">
        <w:t xml:space="preserve">likely to be </w:t>
      </w:r>
      <w:r>
        <w:t>consistent with</w:t>
      </w:r>
      <w:r w:rsidRPr="00C74425">
        <w:t xml:space="preserve"> the proposed </w:t>
      </w:r>
      <w:r>
        <w:t xml:space="preserve">requirements </w:t>
      </w:r>
      <w:r w:rsidRPr="00C74425">
        <w:t>above.</w:t>
      </w:r>
    </w:p>
    <w:p w:rsidR="00E84E96" w:rsidRDefault="00E84E96" w:rsidP="00A23BF3">
      <w:pPr>
        <w:rPr>
          <w:rFonts w:cs="Times New Roman"/>
        </w:rPr>
      </w:pPr>
      <w:r w:rsidRPr="00D714FC">
        <w:rPr>
          <w:rFonts w:cs="Times New Roman"/>
        </w:rPr>
        <w:t>Under th</w:t>
      </w:r>
      <w:r w:rsidR="00654E48">
        <w:rPr>
          <w:rFonts w:cs="Times New Roman"/>
        </w:rPr>
        <w:t>e proposed arrangements for the application of Part 6</w:t>
      </w:r>
      <w:r w:rsidRPr="00D714FC">
        <w:rPr>
          <w:rFonts w:cs="Times New Roman"/>
        </w:rPr>
        <w:t xml:space="preserve">, Basin States would </w:t>
      </w:r>
      <w:r>
        <w:rPr>
          <w:rFonts w:cs="Times New Roman"/>
        </w:rPr>
        <w:t xml:space="preserve">be responsible for the approval or determination of the infrastructure charges </w:t>
      </w:r>
      <w:r w:rsidRPr="00D714FC">
        <w:rPr>
          <w:rFonts w:cs="Times New Roman"/>
        </w:rPr>
        <w:t xml:space="preserve">of current Part 6 operators in the first instance. This would have the effect that </w:t>
      </w:r>
      <w:r>
        <w:rPr>
          <w:rFonts w:cs="Times New Roman"/>
        </w:rPr>
        <w:t>LMW</w:t>
      </w:r>
      <w:r w:rsidRPr="00D714FC">
        <w:rPr>
          <w:rFonts w:cs="Times New Roman"/>
        </w:rPr>
        <w:t xml:space="preserve">, </w:t>
      </w:r>
      <w:r>
        <w:rPr>
          <w:rFonts w:cs="Times New Roman"/>
        </w:rPr>
        <w:t>GMW</w:t>
      </w:r>
      <w:r w:rsidRPr="00D714FC">
        <w:rPr>
          <w:rFonts w:cs="Times New Roman"/>
        </w:rPr>
        <w:t xml:space="preserve"> and WaterNSW </w:t>
      </w:r>
      <w:r w:rsidR="007A28AF">
        <w:rPr>
          <w:rFonts w:cs="Times New Roman"/>
        </w:rPr>
        <w:t>could</w:t>
      </w:r>
      <w:r w:rsidR="007A28AF" w:rsidRPr="00D714FC">
        <w:rPr>
          <w:rFonts w:cs="Times New Roman"/>
        </w:rPr>
        <w:t xml:space="preserve"> </w:t>
      </w:r>
      <w:r w:rsidRPr="00D714FC">
        <w:rPr>
          <w:rFonts w:cs="Times New Roman"/>
        </w:rPr>
        <w:t xml:space="preserve">have their </w:t>
      </w:r>
      <w:r w:rsidR="007A28AF">
        <w:rPr>
          <w:rFonts w:cs="Times New Roman"/>
        </w:rPr>
        <w:t xml:space="preserve">infrastructure </w:t>
      </w:r>
      <w:r w:rsidRPr="00D714FC">
        <w:rPr>
          <w:rFonts w:cs="Times New Roman"/>
        </w:rPr>
        <w:t xml:space="preserve">charges approved or determined under </w:t>
      </w:r>
      <w:r>
        <w:rPr>
          <w:rFonts w:cs="Times New Roman"/>
        </w:rPr>
        <w:t>Basin State regulatory processes</w:t>
      </w:r>
      <w:r w:rsidRPr="00D714FC">
        <w:rPr>
          <w:rFonts w:cs="Times New Roman"/>
        </w:rPr>
        <w:t xml:space="preserve"> rather than under </w:t>
      </w:r>
      <w:r>
        <w:rPr>
          <w:rFonts w:cs="Times New Roman"/>
        </w:rPr>
        <w:t xml:space="preserve">Part 6 of </w:t>
      </w:r>
      <w:r w:rsidRPr="00D714FC">
        <w:rPr>
          <w:rFonts w:cs="Times New Roman"/>
        </w:rPr>
        <w:t>the water charge rules</w:t>
      </w:r>
      <w:r w:rsidR="003475C0">
        <w:rPr>
          <w:rFonts w:cs="Times New Roman"/>
        </w:rPr>
        <w:t>. T</w:t>
      </w:r>
      <w:r>
        <w:rPr>
          <w:rFonts w:cs="Times New Roman"/>
        </w:rPr>
        <w:t>he i</w:t>
      </w:r>
      <w:r w:rsidRPr="00D714FC">
        <w:rPr>
          <w:rFonts w:cs="Times New Roman"/>
        </w:rPr>
        <w:t xml:space="preserve">nfrastructure charges </w:t>
      </w:r>
      <w:r w:rsidR="00CD71A4">
        <w:rPr>
          <w:rFonts w:cs="Times New Roman"/>
        </w:rPr>
        <w:t>(</w:t>
      </w:r>
      <w:r w:rsidRPr="00D714FC">
        <w:rPr>
          <w:rFonts w:cs="Times New Roman"/>
        </w:rPr>
        <w:t xml:space="preserve">and </w:t>
      </w:r>
      <w:r w:rsidR="00CD71A4">
        <w:rPr>
          <w:rFonts w:cs="Times New Roman"/>
        </w:rPr>
        <w:t xml:space="preserve">any </w:t>
      </w:r>
      <w:r w:rsidRPr="00D714FC">
        <w:rPr>
          <w:rFonts w:cs="Times New Roman"/>
        </w:rPr>
        <w:t>water planning and management charges</w:t>
      </w:r>
      <w:r w:rsidR="00CD71A4">
        <w:rPr>
          <w:rFonts w:cs="Times New Roman"/>
        </w:rPr>
        <w:t>)</w:t>
      </w:r>
      <w:r w:rsidRPr="00D714FC">
        <w:rPr>
          <w:rFonts w:cs="Times New Roman"/>
        </w:rPr>
        <w:t xml:space="preserve"> </w:t>
      </w:r>
      <w:r w:rsidR="00CD71A4">
        <w:rPr>
          <w:rFonts w:cs="Times New Roman"/>
        </w:rPr>
        <w:t>of</w:t>
      </w:r>
      <w:r w:rsidRPr="00D714FC">
        <w:rPr>
          <w:rFonts w:cs="Times New Roman"/>
        </w:rPr>
        <w:t xml:space="preserve"> these operators </w:t>
      </w:r>
      <w:r w:rsidR="003475C0">
        <w:rPr>
          <w:rFonts w:cs="Times New Roman"/>
        </w:rPr>
        <w:t>sh</w:t>
      </w:r>
      <w:r w:rsidRPr="00D714FC">
        <w:rPr>
          <w:rFonts w:cs="Times New Roman"/>
        </w:rPr>
        <w:t xml:space="preserve">ould still </w:t>
      </w:r>
      <w:r w:rsidR="003475C0">
        <w:rPr>
          <w:rFonts w:cs="Times New Roman"/>
        </w:rPr>
        <w:t xml:space="preserve">be required </w:t>
      </w:r>
      <w:r w:rsidRPr="00D714FC">
        <w:rPr>
          <w:rFonts w:cs="Times New Roman"/>
        </w:rPr>
        <w:t>to comply with the other rule requirements</w:t>
      </w:r>
      <w:r>
        <w:rPr>
          <w:rFonts w:cs="Times New Roman"/>
        </w:rPr>
        <w:t>—</w:t>
      </w:r>
      <w:r w:rsidRPr="00D714FC">
        <w:rPr>
          <w:rFonts w:cs="Times New Roman"/>
        </w:rPr>
        <w:t>in particular, the non-discrimination rules and the pricing transparency requirements.</w:t>
      </w:r>
    </w:p>
    <w:p w:rsidR="001F6D2C" w:rsidRDefault="001F6D2C" w:rsidP="001F6D2C">
      <w:pPr>
        <w:rPr>
          <w:rFonts w:cs="Times New Roman"/>
        </w:rPr>
      </w:pPr>
      <w:r>
        <w:rPr>
          <w:rFonts w:cs="Times New Roman"/>
        </w:rPr>
        <w:t xml:space="preserve">This is similar to current arrangements in relation to </w:t>
      </w:r>
      <w:r w:rsidR="004643D1">
        <w:rPr>
          <w:rFonts w:cs="Times New Roman"/>
        </w:rPr>
        <w:t xml:space="preserve">the </w:t>
      </w:r>
      <w:r w:rsidR="006B1DA2">
        <w:rPr>
          <w:rFonts w:cs="Times New Roman"/>
        </w:rPr>
        <w:t xml:space="preserve">Basin Plan </w:t>
      </w:r>
      <w:r>
        <w:rPr>
          <w:rFonts w:cs="Times New Roman"/>
        </w:rPr>
        <w:t xml:space="preserve">water trading rules. Basin States are primarily responsible for trading arrangements within their jurisdiction, </w:t>
      </w:r>
      <w:r w:rsidR="00DC13C8">
        <w:rPr>
          <w:rFonts w:cs="Times New Roman"/>
        </w:rPr>
        <w:t>but</w:t>
      </w:r>
      <w:r>
        <w:rPr>
          <w:rFonts w:cs="Times New Roman"/>
        </w:rPr>
        <w:t xml:space="preserve"> they must ensure their arrangements are consistent with the Basin Plan water trading rules. This allows for the ongoing role for Basin States, capitalising on their significant local expertise, while ensuring a Basin-wide level of protection for water users which facilitates the development of efficient water markets</w:t>
      </w:r>
    </w:p>
    <w:p w:rsidR="00DC0271" w:rsidRDefault="00654E48" w:rsidP="00135446">
      <w:pPr>
        <w:spacing w:after="120"/>
        <w:rPr>
          <w:rFonts w:cs="Times New Roman"/>
        </w:rPr>
      </w:pPr>
      <w:r>
        <w:rPr>
          <w:rFonts w:cs="Times New Roman"/>
        </w:rPr>
        <w:t>T</w:t>
      </w:r>
      <w:r w:rsidR="00DC0271">
        <w:rPr>
          <w:rFonts w:cs="Times New Roman"/>
        </w:rPr>
        <w:t>he ACCC considers that the proposed arrangements set out in this section will allow:</w:t>
      </w:r>
    </w:p>
    <w:p w:rsidR="00E84E96" w:rsidRPr="00D714FC" w:rsidRDefault="00E84E96" w:rsidP="00A82DE6">
      <w:pPr>
        <w:pStyle w:val="Lvl1Bulletpoint"/>
      </w:pPr>
      <w:r w:rsidRPr="00D714FC">
        <w:t>the water charge rules to regulate any future infrastructure charges imposed by inter-jurisdictional infrastructure operators such as the MDBA;</w:t>
      </w:r>
    </w:p>
    <w:p w:rsidR="00E84E96" w:rsidRPr="00D714FC" w:rsidRDefault="00E84E96" w:rsidP="00A82DE6">
      <w:pPr>
        <w:pStyle w:val="Lvl1Bulletpoint"/>
      </w:pPr>
      <w:r w:rsidRPr="00D714FC">
        <w:t xml:space="preserve">the water charge rules </w:t>
      </w:r>
      <w:r w:rsidR="004F1F67">
        <w:t>to</w:t>
      </w:r>
      <w:r w:rsidR="004F1F67" w:rsidRPr="00D714FC">
        <w:t xml:space="preserve"> </w:t>
      </w:r>
      <w:r w:rsidRPr="00D714FC">
        <w:t xml:space="preserve">provide a regulatory ‘fall back’ should </w:t>
      </w:r>
      <w:r w:rsidR="00DC0271">
        <w:t xml:space="preserve">a Basin </w:t>
      </w:r>
      <w:r w:rsidRPr="00D714FC">
        <w:t xml:space="preserve">State withdraw from </w:t>
      </w:r>
      <w:r w:rsidR="00DC0271">
        <w:t xml:space="preserve">the </w:t>
      </w:r>
      <w:r w:rsidRPr="00D714FC">
        <w:t xml:space="preserve">regulation of </w:t>
      </w:r>
      <w:r w:rsidR="00DC0271">
        <w:t xml:space="preserve">an </w:t>
      </w:r>
      <w:r w:rsidRPr="00D714FC">
        <w:t>operator who otherwise meet</w:t>
      </w:r>
      <w:r w:rsidR="00DC13C8">
        <w:t>s</w:t>
      </w:r>
      <w:r w:rsidRPr="00D714FC">
        <w:t xml:space="preserve"> the new Part 6 application provisions.</w:t>
      </w:r>
    </w:p>
    <w:p w:rsidR="00A62AD4" w:rsidRDefault="00A62AD4" w:rsidP="00E83E5D">
      <w:pPr>
        <w:pStyle w:val="Heading4-Un-numberedsubheading-Lvl5"/>
      </w:pPr>
      <w:r>
        <w:t>ACCC Pricing Principles</w:t>
      </w:r>
    </w:p>
    <w:p w:rsidR="00E84E96" w:rsidRDefault="00E84E96" w:rsidP="008C686D">
      <w:pPr>
        <w:rPr>
          <w:rFonts w:cs="Times New Roman"/>
        </w:rPr>
      </w:pPr>
      <w:r w:rsidRPr="00D714FC">
        <w:rPr>
          <w:rFonts w:cs="Times New Roman"/>
        </w:rPr>
        <w:t xml:space="preserve">The proposed changes to the application of Part 6 mean </w:t>
      </w:r>
      <w:r w:rsidR="007A28AF">
        <w:rPr>
          <w:rFonts w:cs="Times New Roman"/>
        </w:rPr>
        <w:t xml:space="preserve">there would no longer be any need for the accreditation of Basin State regulators under </w:t>
      </w:r>
      <w:r w:rsidRPr="00D714FC">
        <w:rPr>
          <w:rFonts w:cs="Times New Roman"/>
        </w:rPr>
        <w:t>Part 9 of the WCIR</w:t>
      </w:r>
      <w:r>
        <w:rPr>
          <w:rFonts w:cs="Times New Roman"/>
        </w:rPr>
        <w:t xml:space="preserve"> (see section 5.9)</w:t>
      </w:r>
      <w:r w:rsidRPr="00D714FC">
        <w:rPr>
          <w:rFonts w:cs="Times New Roman"/>
        </w:rPr>
        <w:t xml:space="preserve">. Because </w:t>
      </w:r>
      <w:r>
        <w:rPr>
          <w:rFonts w:cs="Times New Roman"/>
        </w:rPr>
        <w:t>Basin</w:t>
      </w:r>
      <w:r w:rsidRPr="00D714FC">
        <w:rPr>
          <w:rFonts w:cs="Times New Roman"/>
        </w:rPr>
        <w:t xml:space="preserve"> State regulators would no longer be accredited under the WCIR, they would not be bound by the ACCC </w:t>
      </w:r>
      <w:r>
        <w:rPr>
          <w:rFonts w:cs="Times New Roman"/>
        </w:rPr>
        <w:t>P</w:t>
      </w:r>
      <w:r w:rsidRPr="00D714FC">
        <w:rPr>
          <w:rFonts w:cs="Times New Roman"/>
        </w:rPr>
        <w:t xml:space="preserve">ricing </w:t>
      </w:r>
      <w:r>
        <w:rPr>
          <w:rFonts w:cs="Times New Roman"/>
        </w:rPr>
        <w:t>P</w:t>
      </w:r>
      <w:r w:rsidRPr="00D714FC">
        <w:rPr>
          <w:rFonts w:cs="Times New Roman"/>
        </w:rPr>
        <w:t>rinciples as a condition of accreditation</w:t>
      </w:r>
      <w:r>
        <w:rPr>
          <w:rFonts w:cs="Times New Roman"/>
        </w:rPr>
        <w:t xml:space="preserve">. </w:t>
      </w:r>
      <w:r w:rsidRPr="00D714FC">
        <w:rPr>
          <w:rFonts w:cs="Times New Roman"/>
        </w:rPr>
        <w:t xml:space="preserve">The ACCC considers that the gain in terms of decreased regulatory burden of these proposals would outweigh potential small increases in inconsistency of regulators’ approaches to </w:t>
      </w:r>
      <w:r>
        <w:rPr>
          <w:rFonts w:cs="Times New Roman"/>
        </w:rPr>
        <w:t xml:space="preserve">approvals and </w:t>
      </w:r>
      <w:r w:rsidRPr="00D714FC">
        <w:rPr>
          <w:rFonts w:cs="Times New Roman"/>
        </w:rPr>
        <w:t xml:space="preserve">determinations. Although accredited regulators </w:t>
      </w:r>
      <w:r>
        <w:rPr>
          <w:rFonts w:cs="Times New Roman"/>
        </w:rPr>
        <w:t>are required to</w:t>
      </w:r>
      <w:r w:rsidRPr="00D714FC">
        <w:rPr>
          <w:rFonts w:cs="Times New Roman"/>
        </w:rPr>
        <w:t xml:space="preserve"> apply the ACCC’s Pricing Principles when approving or determining charges (as a condition of accreditation), in practice the regulator (whether the ACCC or an accredited State regulator) has considerable discretion and substantially different pricing outcomes can occur. </w:t>
      </w:r>
    </w:p>
    <w:p w:rsidR="00DC0271" w:rsidRDefault="00E84E96" w:rsidP="00DC0271">
      <w:pPr>
        <w:rPr>
          <w:rFonts w:cs="Times New Roman"/>
        </w:rPr>
      </w:pPr>
      <w:r w:rsidRPr="00D714FC">
        <w:rPr>
          <w:rFonts w:cs="Times New Roman"/>
        </w:rPr>
        <w:t xml:space="preserve">The ACCC </w:t>
      </w:r>
      <w:r w:rsidR="00DC13C8">
        <w:rPr>
          <w:rFonts w:cs="Times New Roman"/>
        </w:rPr>
        <w:t>P</w:t>
      </w:r>
      <w:r w:rsidRPr="00D714FC">
        <w:rPr>
          <w:rFonts w:cs="Times New Roman"/>
        </w:rPr>
        <w:t xml:space="preserve">ricing </w:t>
      </w:r>
      <w:r w:rsidR="00DC13C8">
        <w:rPr>
          <w:rFonts w:cs="Times New Roman"/>
        </w:rPr>
        <w:t>P</w:t>
      </w:r>
      <w:r w:rsidRPr="00D714FC">
        <w:rPr>
          <w:rFonts w:cs="Times New Roman"/>
        </w:rPr>
        <w:t xml:space="preserve">rinciples </w:t>
      </w:r>
      <w:r>
        <w:rPr>
          <w:rFonts w:cs="Times New Roman"/>
        </w:rPr>
        <w:t>w</w:t>
      </w:r>
      <w:r w:rsidRPr="00D714FC">
        <w:rPr>
          <w:rFonts w:cs="Times New Roman"/>
        </w:rPr>
        <w:t xml:space="preserve">ould be retained to provide a clear guide for circumstances where the ACCC did have an approval role (e.g. for regulation of charges of the MDBA if imposed in the future). </w:t>
      </w:r>
      <w:r w:rsidRPr="00D714FC">
        <w:t>The ongoing revision of the Pricing Principles can also serve as a useful platform for the development of nationally consistent approaches to regulatory issues in the rural water sector</w:t>
      </w:r>
      <w:r w:rsidR="007A28AF">
        <w:t xml:space="preserve"> (see recommendation 4-B in section 4.4)</w:t>
      </w:r>
      <w:r>
        <w:t>. Further</w:t>
      </w:r>
      <w:r w:rsidRPr="00D714FC">
        <w:rPr>
          <w:rFonts w:cs="Times New Roman"/>
        </w:rPr>
        <w:t xml:space="preserve">, in </w:t>
      </w:r>
      <w:r>
        <w:rPr>
          <w:rFonts w:cs="Times New Roman"/>
        </w:rPr>
        <w:t>approving or determining charges, they (and the operator) would need to ensure that the operator’s charges were consistent with the other requirements of the water charge rules</w:t>
      </w:r>
      <w:r w:rsidR="007A28AF">
        <w:rPr>
          <w:rFonts w:cs="Times New Roman"/>
        </w:rPr>
        <w:t xml:space="preserve"> (see section 5.6.3)</w:t>
      </w:r>
      <w:r>
        <w:rPr>
          <w:rFonts w:cs="Times New Roman"/>
        </w:rPr>
        <w:t xml:space="preserve">. </w:t>
      </w:r>
    </w:p>
    <w:p w:rsidR="00A62AD4" w:rsidRDefault="00A62AD4" w:rsidP="00E83E5D">
      <w:pPr>
        <w:pStyle w:val="Heading4-Un-numberedsubheading-Lvl5"/>
      </w:pPr>
      <w:r>
        <w:t>Exemptions</w:t>
      </w:r>
    </w:p>
    <w:p w:rsidR="0079321E" w:rsidRDefault="00E84E96" w:rsidP="00E84E96">
      <w:pPr>
        <w:rPr>
          <w:rFonts w:cs="Times New Roman"/>
        </w:rPr>
      </w:pPr>
      <w:r w:rsidRPr="00D714FC">
        <w:rPr>
          <w:rFonts w:cs="Times New Roman"/>
        </w:rPr>
        <w:t xml:space="preserve">Recognising there may be a number of reasons why a Basin State may </w:t>
      </w:r>
      <w:r>
        <w:rPr>
          <w:rFonts w:cs="Times New Roman"/>
        </w:rPr>
        <w:t>choose not to require an operator’s infrastructure charges to be approved or determined</w:t>
      </w:r>
      <w:r w:rsidRPr="00D714FC">
        <w:rPr>
          <w:rFonts w:cs="Times New Roman"/>
        </w:rPr>
        <w:t xml:space="preserve">, and that </w:t>
      </w:r>
      <w:r>
        <w:rPr>
          <w:rFonts w:cs="Times New Roman"/>
        </w:rPr>
        <w:t xml:space="preserve">the benefits of this form of regulation will vary across </w:t>
      </w:r>
      <w:r w:rsidRPr="00D714FC">
        <w:rPr>
          <w:rFonts w:cs="Times New Roman"/>
        </w:rPr>
        <w:t xml:space="preserve">operators, </w:t>
      </w:r>
      <w:r>
        <w:rPr>
          <w:rFonts w:cs="Times New Roman"/>
        </w:rPr>
        <w:t>there may be circumstances where the application of Part 6 is not the best regulatory outcome.</w:t>
      </w:r>
      <w:r w:rsidR="003475C0">
        <w:rPr>
          <w:rFonts w:cs="Times New Roman"/>
        </w:rPr>
        <w:t xml:space="preserve"> For this reason, the ACCC also advises that the rules contain a process allowing the ACCC to exempt an infrastructure operator from the requirement for the ACCC to approve or determine their infrastructure charges. The rules should only allow the ACCC to give such an exemption where the application of Part 6 would not materially contribute to the achievement of the </w:t>
      </w:r>
      <w:r w:rsidR="00E71D7D">
        <w:rPr>
          <w:rFonts w:cs="Times New Roman"/>
        </w:rPr>
        <w:t>BWCOP</w:t>
      </w:r>
      <w:r w:rsidR="003475C0">
        <w:rPr>
          <w:rFonts w:cs="Times New Roman"/>
        </w:rPr>
        <w:t xml:space="preserve">, taking certain matters into account. </w:t>
      </w:r>
      <w:r w:rsidR="00C7169E">
        <w:rPr>
          <w:rFonts w:cs="Times New Roman"/>
        </w:rPr>
        <w:t>This was proposed in draft rule advice 5-M, and given effect in proposed rule 23C in the Draft Advice.</w:t>
      </w:r>
    </w:p>
    <w:p w:rsidR="001F6D2C" w:rsidRDefault="001F6D2C" w:rsidP="00135446">
      <w:pPr>
        <w:spacing w:after="120"/>
        <w:rPr>
          <w:rFonts w:cs="Times New Roman"/>
        </w:rPr>
      </w:pPr>
      <w:r>
        <w:rPr>
          <w:rFonts w:cs="Times New Roman"/>
        </w:rPr>
        <w:t xml:space="preserve">The ACCC proposes adding two further matters that may be taken into account </w:t>
      </w:r>
      <w:r w:rsidR="00C7169E">
        <w:rPr>
          <w:rFonts w:cs="Times New Roman"/>
        </w:rPr>
        <w:t xml:space="preserve">under proposed rule 23C </w:t>
      </w:r>
      <w:r>
        <w:rPr>
          <w:rFonts w:cs="Times New Roman"/>
        </w:rPr>
        <w:t>when considering whether to exempt an operator from the requirements of Part 6 (these are in addition to those proposed in the Draft Advice):</w:t>
      </w:r>
    </w:p>
    <w:p w:rsidR="001F6D2C" w:rsidRDefault="001F6D2C" w:rsidP="00A82DE6">
      <w:pPr>
        <w:pStyle w:val="Lvl1Bulletpoint"/>
        <w:rPr>
          <w:b/>
        </w:rPr>
      </w:pPr>
      <w:r>
        <w:t xml:space="preserve">whether a Basin State is transitioning its regulatory regime </w:t>
      </w:r>
      <w:r w:rsidR="00015195">
        <w:t xml:space="preserve">in a way that would satisfy </w:t>
      </w:r>
      <w:r w:rsidR="00E26926">
        <w:t xml:space="preserve">the criteria set out in </w:t>
      </w:r>
      <w:r w:rsidR="00015195">
        <w:t xml:space="preserve">proposed </w:t>
      </w:r>
      <w:r w:rsidR="00DB6AE4">
        <w:t>sub</w:t>
      </w:r>
      <w:r>
        <w:t>rule 23(a)</w:t>
      </w:r>
      <w:r w:rsidR="00015195">
        <w:t xml:space="preserve">—that is, so that all the infrastructure charges of the relevant operator(s) will be approved or determined by a single State Agency under </w:t>
      </w:r>
      <w:r w:rsidR="004643D1">
        <w:t xml:space="preserve">a </w:t>
      </w:r>
      <w:r w:rsidR="00015195">
        <w:t xml:space="preserve">law of </w:t>
      </w:r>
      <w:r w:rsidR="004643D1">
        <w:t>the</w:t>
      </w:r>
      <w:r w:rsidR="00015195">
        <w:t xml:space="preserve"> State, consistent with the regulatory test in proposed </w:t>
      </w:r>
      <w:r w:rsidR="00DB6AE4">
        <w:t>sub</w:t>
      </w:r>
      <w:r w:rsidR="00015195">
        <w:t>rule 29(2)(b)</w:t>
      </w:r>
      <w:r w:rsidR="00A80DB3">
        <w:t>—see ‘Application to Queensland operators’ below</w:t>
      </w:r>
      <w:r w:rsidR="004643D1">
        <w:t xml:space="preserve"> for more information</w:t>
      </w:r>
      <w:r w:rsidR="00A80DB3">
        <w:t>.</w:t>
      </w:r>
    </w:p>
    <w:p w:rsidR="001F6D2C" w:rsidRPr="00A80DB3" w:rsidRDefault="001F6D2C" w:rsidP="00A82DE6">
      <w:pPr>
        <w:pStyle w:val="Lvl1Bulletpoint"/>
      </w:pPr>
      <w:r w:rsidRPr="009008EB">
        <w:t xml:space="preserve">the proportion of </w:t>
      </w:r>
      <w:r>
        <w:t xml:space="preserve">the infrastructure operator’s </w:t>
      </w:r>
      <w:r w:rsidRPr="009008EB">
        <w:t>revenue to be recovered from infrastructure charge</w:t>
      </w:r>
      <w:r>
        <w:t>s</w:t>
      </w:r>
      <w:r w:rsidR="00A80DB3">
        <w:t xml:space="preserve">—this will help ensure that Part 6 is not applied where doing so would not materially contribute to the achievement of the </w:t>
      </w:r>
      <w:r w:rsidR="00E71D7D">
        <w:t>BWCOP</w:t>
      </w:r>
      <w:r w:rsidR="00A80DB3">
        <w:t xml:space="preserve"> (e.g. where infrastructure charges are levied in relation to infrastructure services offered incidentally to an operator’s business)</w:t>
      </w:r>
      <w:r>
        <w:t>.</w:t>
      </w:r>
    </w:p>
    <w:p w:rsidR="00FC48B3" w:rsidRPr="00A62AD4" w:rsidRDefault="00FC48B3" w:rsidP="00E83E5D">
      <w:pPr>
        <w:pStyle w:val="Heading4-Un-numberedsubheading-Lvl5"/>
      </w:pPr>
      <w:r w:rsidRPr="00A62AD4">
        <w:t xml:space="preserve">Coverage of certain infrastructure operators </w:t>
      </w:r>
    </w:p>
    <w:p w:rsidR="00FC48B3" w:rsidRPr="00FC64B5" w:rsidRDefault="00A956F4" w:rsidP="0082647F">
      <w:pPr>
        <w:pStyle w:val="Heading5Lvl6"/>
      </w:pPr>
      <w:r w:rsidRPr="00FC64B5">
        <w:t xml:space="preserve">Application to </w:t>
      </w:r>
      <w:r w:rsidR="004B070D" w:rsidRPr="00FC64B5">
        <w:t>IIO</w:t>
      </w:r>
      <w:r w:rsidR="00FC48B3" w:rsidRPr="00FC64B5">
        <w:t>s</w:t>
      </w:r>
    </w:p>
    <w:p w:rsidR="003475C0" w:rsidRPr="00593C68" w:rsidRDefault="003475C0" w:rsidP="003475C0">
      <w:r w:rsidRPr="00593C68">
        <w:t xml:space="preserve">A number of stakeholders </w:t>
      </w:r>
      <w:r w:rsidR="00FC48B3" w:rsidRPr="00593C68">
        <w:t>expressed</w:t>
      </w:r>
      <w:r w:rsidRPr="00593C68">
        <w:t xml:space="preserve"> concern that </w:t>
      </w:r>
      <w:r w:rsidR="003137D1" w:rsidRPr="00593C68">
        <w:t xml:space="preserve">the proposed revisions to </w:t>
      </w:r>
      <w:r w:rsidRPr="00593C68">
        <w:t xml:space="preserve">rule 23 in the Draft Advice </w:t>
      </w:r>
      <w:r w:rsidR="003137D1" w:rsidRPr="00593C68">
        <w:t xml:space="preserve">(which included removing volume and ownership criteria) </w:t>
      </w:r>
      <w:r w:rsidRPr="00593C68">
        <w:t xml:space="preserve">could </w:t>
      </w:r>
      <w:r w:rsidR="003137D1" w:rsidRPr="00593C68">
        <w:t xml:space="preserve">result in </w:t>
      </w:r>
      <w:r w:rsidRPr="00593C68">
        <w:t xml:space="preserve">off-river </w:t>
      </w:r>
      <w:r w:rsidR="00FC48B3" w:rsidRPr="00593C68">
        <w:t xml:space="preserve">infrastructure operators, in particular, </w:t>
      </w:r>
      <w:r w:rsidR="003137D1" w:rsidRPr="00593C68">
        <w:t>(</w:t>
      </w:r>
      <w:r w:rsidRPr="00593C68">
        <w:t>member-owned</w:t>
      </w:r>
      <w:r w:rsidR="003137D1" w:rsidRPr="00593C68">
        <w:t>)</w:t>
      </w:r>
      <w:r w:rsidR="00FC48B3" w:rsidRPr="00593C68">
        <w:t xml:space="preserve"> </w:t>
      </w:r>
      <w:r w:rsidR="004B070D">
        <w:t>IIO</w:t>
      </w:r>
      <w:r w:rsidRPr="00593C68">
        <w:t xml:space="preserve">s, </w:t>
      </w:r>
      <w:r w:rsidR="003137D1" w:rsidRPr="00593C68">
        <w:t>meeting the definition of a Part 6 operator, and therefore potentially requir</w:t>
      </w:r>
      <w:r w:rsidR="00C46014">
        <w:t>ing</w:t>
      </w:r>
      <w:r w:rsidR="003137D1" w:rsidRPr="00593C68">
        <w:t xml:space="preserve"> their infrastructure charges </w:t>
      </w:r>
      <w:r w:rsidR="009452DA">
        <w:t xml:space="preserve">to be </w:t>
      </w:r>
      <w:r w:rsidR="003137D1" w:rsidRPr="00593C68">
        <w:t>approved or determined by the ACCC.</w:t>
      </w:r>
    </w:p>
    <w:p w:rsidR="003475C0" w:rsidRPr="00593C68" w:rsidRDefault="003475C0" w:rsidP="003475C0">
      <w:r w:rsidRPr="00593C68">
        <w:t xml:space="preserve">The ACCC notes that it was the intent of the Draft Advice to include all infrastructure operators as </w:t>
      </w:r>
      <w:r w:rsidRPr="00593C68">
        <w:rPr>
          <w:i/>
        </w:rPr>
        <w:t>potentially</w:t>
      </w:r>
      <w:r w:rsidRPr="00593C68">
        <w:t xml:space="preserve"> qualifying for Part 6 if they had sufficient degree of monopoly power. However, the Draft Advice also noted that the proposed criteria for Part 6 would generally not apply to off-river infrastructure operators as they would not satisfy the condition: </w:t>
      </w:r>
    </w:p>
    <w:p w:rsidR="003475C0" w:rsidRPr="00F33AF9" w:rsidRDefault="003475C0" w:rsidP="00CE67EB">
      <w:pPr>
        <w:pStyle w:val="Quote"/>
        <w:rPr>
          <w:rStyle w:val="Emphasis"/>
          <w:i/>
          <w:iCs/>
        </w:rPr>
      </w:pPr>
      <w:r w:rsidRPr="00F33AF9">
        <w:rPr>
          <w:rStyle w:val="Emphasis"/>
          <w:i/>
          <w:iCs/>
        </w:rPr>
        <w:t>‘holders of a class of water access rights must obtain infrastructure services from the operator in order to have water relating to that water access right stored or delivered.’</w:t>
      </w:r>
    </w:p>
    <w:p w:rsidR="000514B4" w:rsidRDefault="003475C0" w:rsidP="000514B4">
      <w:r w:rsidRPr="00593C68">
        <w:t>Customers of off-river infrastructure operators in NSW or SA generally hold water in the form of irrigation right, which is not a water access right.</w:t>
      </w:r>
      <w:r w:rsidR="003137D1" w:rsidRPr="00593C68">
        <w:rPr>
          <w:rStyle w:val="FootnoteReference"/>
        </w:rPr>
        <w:footnoteReference w:id="383"/>
      </w:r>
      <w:r w:rsidRPr="00593C68">
        <w:t xml:space="preserve"> Even in the event that they, or a customer of an off-river infrastructure operator elsewhere in the Basin, hold a water access right, the </w:t>
      </w:r>
      <w:r w:rsidR="003137D1" w:rsidRPr="00593C68">
        <w:t>proposed criteri</w:t>
      </w:r>
      <w:r w:rsidR="00497589">
        <w:t>on</w:t>
      </w:r>
      <w:r w:rsidR="003137D1" w:rsidRPr="00593C68">
        <w:t xml:space="preserve"> is only </w:t>
      </w:r>
      <w:r w:rsidR="000514B4">
        <w:t xml:space="preserve">intended to apply </w:t>
      </w:r>
      <w:r w:rsidR="003137D1" w:rsidRPr="00593C68">
        <w:t xml:space="preserve">if the infrastructure operator has a monopoly on the provision of infrastructure services for the storage or delivery of water </w:t>
      </w:r>
      <w:r w:rsidR="00B60013">
        <w:t xml:space="preserve">directly </w:t>
      </w:r>
      <w:r w:rsidR="003137D1" w:rsidRPr="00593C68">
        <w:t>relating to that class of water access right</w:t>
      </w:r>
      <w:r w:rsidR="00B60013">
        <w:t xml:space="preserve"> (rather than any secondary delivery service</w:t>
      </w:r>
      <w:r w:rsidR="000514B4">
        <w:t xml:space="preserve"> provided by an off-river infrastructure operator</w:t>
      </w:r>
      <w:r w:rsidR="00B60013">
        <w:t>)</w:t>
      </w:r>
      <w:r w:rsidR="003137D1" w:rsidRPr="00593C68">
        <w:t>.</w:t>
      </w:r>
    </w:p>
    <w:p w:rsidR="00157903" w:rsidRDefault="003475C0" w:rsidP="003137D1">
      <w:r w:rsidRPr="00593C68">
        <w:t>The ACCC accepts that there may still be some uncertainty for IIOs (and off-river infrastructure operators more generally) as to whether they would meet th</w:t>
      </w:r>
      <w:r w:rsidR="00157903">
        <w:t xml:space="preserve">e </w:t>
      </w:r>
      <w:r w:rsidRPr="00593C68">
        <w:t>criteria</w:t>
      </w:r>
      <w:r w:rsidR="00157903">
        <w:t xml:space="preserve"> proposed in the Draft Advice, and that the proposed wording of rule 23 needs to be clarified</w:t>
      </w:r>
      <w:r w:rsidRPr="00593C68">
        <w:t>.</w:t>
      </w:r>
    </w:p>
    <w:p w:rsidR="00157903" w:rsidRDefault="00157903" w:rsidP="00F33AF9">
      <w:pPr>
        <w:spacing w:after="0"/>
      </w:pPr>
      <w:r>
        <w:t>The ACCC further notes that the term ‘bulk water service’ is defined in the Water Regulations 2008 as:</w:t>
      </w:r>
    </w:p>
    <w:p w:rsidR="00157903" w:rsidRPr="00F33AF9" w:rsidRDefault="00157903" w:rsidP="00CE67EB">
      <w:pPr>
        <w:pStyle w:val="Quote"/>
        <w:rPr>
          <w:rStyle w:val="Emphasis"/>
          <w:i/>
          <w:iCs/>
        </w:rPr>
      </w:pPr>
      <w:r w:rsidRPr="004A623F">
        <w:rPr>
          <w:rStyle w:val="Emphasis"/>
          <w:b/>
          <w:i/>
          <w:iCs/>
        </w:rPr>
        <w:t>bulk water service</w:t>
      </w:r>
      <w:r w:rsidRPr="00F33AF9">
        <w:rPr>
          <w:rStyle w:val="Emphasis"/>
          <w:i/>
          <w:iCs/>
        </w:rPr>
        <w:t xml:space="preserve"> means one or more of the following: </w:t>
      </w:r>
    </w:p>
    <w:p w:rsidR="00157903" w:rsidRPr="00F33AF9" w:rsidRDefault="00157903" w:rsidP="00CE67EB">
      <w:pPr>
        <w:pStyle w:val="Quote"/>
        <w:rPr>
          <w:rStyle w:val="Emphasis"/>
          <w:i/>
          <w:iCs/>
        </w:rPr>
      </w:pPr>
      <w:r w:rsidRPr="00F33AF9">
        <w:rPr>
          <w:rStyle w:val="Emphasis"/>
          <w:i/>
          <w:iCs/>
        </w:rPr>
        <w:t xml:space="preserve">(a) a service that is provided for the storage of water that is primarily stored on-river; </w:t>
      </w:r>
    </w:p>
    <w:p w:rsidR="00157903" w:rsidRPr="00F33AF9" w:rsidRDefault="00157903" w:rsidP="00CE67EB">
      <w:pPr>
        <w:pStyle w:val="Quote"/>
        <w:rPr>
          <w:rStyle w:val="Emphasis"/>
          <w:i/>
          <w:iCs/>
        </w:rPr>
      </w:pPr>
      <w:r w:rsidRPr="00F33AF9">
        <w:rPr>
          <w:rStyle w:val="Emphasis"/>
          <w:i/>
          <w:iCs/>
        </w:rPr>
        <w:t>(b) a service that is provided for the delivery of water that is primarily delivered on-river.</w:t>
      </w:r>
    </w:p>
    <w:p w:rsidR="00B700BC" w:rsidRDefault="003475C0" w:rsidP="00F33AF9">
      <w:pPr>
        <w:spacing w:before="240"/>
      </w:pPr>
      <w:r w:rsidRPr="00593C68">
        <w:t xml:space="preserve">Accordingly, the </w:t>
      </w:r>
      <w:r w:rsidR="00157903">
        <w:t xml:space="preserve">ACCC considers that the </w:t>
      </w:r>
      <w:r w:rsidRPr="00593C68">
        <w:t xml:space="preserve">wording of the criteria in </w:t>
      </w:r>
      <w:r w:rsidR="00DB6AE4">
        <w:t>sub</w:t>
      </w:r>
      <w:r w:rsidRPr="00593C68">
        <w:t>rule 23</w:t>
      </w:r>
      <w:r w:rsidR="00157903">
        <w:t>(b)(i)</w:t>
      </w:r>
      <w:r w:rsidR="00157903">
        <w:rPr>
          <w:rStyle w:val="FootnoteReference"/>
        </w:rPr>
        <w:footnoteReference w:id="384"/>
      </w:r>
      <w:r w:rsidRPr="00593C68">
        <w:t xml:space="preserve"> </w:t>
      </w:r>
      <w:r w:rsidR="00157903">
        <w:t xml:space="preserve">should </w:t>
      </w:r>
      <w:r w:rsidR="006C5900" w:rsidRPr="00593C68">
        <w:t xml:space="preserve">be clarified to make it clear that the criteria is only met </w:t>
      </w:r>
      <w:r w:rsidR="00DE2784">
        <w:t xml:space="preserve">if an operator </w:t>
      </w:r>
      <w:r w:rsidR="00157903" w:rsidRPr="00157903">
        <w:t>levies an infrastructure charge</w:t>
      </w:r>
      <w:r w:rsidR="00293E46">
        <w:t xml:space="preserve"> (including infrastructure charges that are not bulk water charges)</w:t>
      </w:r>
      <w:r w:rsidR="00157903" w:rsidRPr="00157903">
        <w:t xml:space="preserve"> in relation to </w:t>
      </w:r>
      <w:r w:rsidR="00B700BC">
        <w:t xml:space="preserve">a </w:t>
      </w:r>
      <w:r w:rsidR="00157903" w:rsidRPr="00157903">
        <w:t>bulk water service in respect of water access rights</w:t>
      </w:r>
      <w:r w:rsidR="00B700BC">
        <w:t xml:space="preserve">. The ACCC considers that this amendment aligns with the reasoning set out in the Draft Advice, summarised in the ‘Background’ section above, relating to the high degree of market power possessed by such operators, and the lack of competitive pressure applied to them. </w:t>
      </w:r>
    </w:p>
    <w:p w:rsidR="008624E6" w:rsidRDefault="00B700BC" w:rsidP="003B151C">
      <w:r>
        <w:t xml:space="preserve">The proposed criteria clarifies that off-river infrastructure operators—who do not provide services for either the storage of water that is primarily stored on-river, or the delivery of water that is primarily delivered on-river—will not be considered Part 6 operators. </w:t>
      </w:r>
    </w:p>
    <w:p w:rsidR="003B151C" w:rsidRDefault="00B700BC" w:rsidP="003B151C">
      <w:r>
        <w:t xml:space="preserve">In the event that an off-river infrastructure operator’s network incorporates a natural watercourse, the ACCC is of the view that </w:t>
      </w:r>
      <w:r w:rsidR="003B151C">
        <w:t xml:space="preserve">the criteria would only be met if the operator provides a bulk water service </w:t>
      </w:r>
      <w:r w:rsidR="003B151C" w:rsidRPr="003B151C">
        <w:rPr>
          <w:i/>
        </w:rPr>
        <w:t>in respect of water access rights</w:t>
      </w:r>
      <w:r w:rsidR="003B151C">
        <w:t>. That is, the delivery of water must be not only primarily on</w:t>
      </w:r>
      <w:r w:rsidR="008624E6">
        <w:t>-</w:t>
      </w:r>
      <w:r w:rsidR="003B151C">
        <w:t xml:space="preserve">river, but also to the </w:t>
      </w:r>
      <w:r w:rsidR="008624E6">
        <w:t>location</w:t>
      </w:r>
      <w:r w:rsidR="003B151C">
        <w:t xml:space="preserve"> where the water under the water access right is able to be taken. The ACCC considers this would not exten</w:t>
      </w:r>
      <w:r w:rsidR="008624E6">
        <w:t>d</w:t>
      </w:r>
      <w:r w:rsidR="003B151C">
        <w:t xml:space="preserve"> to situations where an off-river infrastructure operator takes water under the water access right that they hold, before delivering the water to a customer holding an irrigation right against it. </w:t>
      </w:r>
    </w:p>
    <w:p w:rsidR="00B700BC" w:rsidRDefault="003B151C" w:rsidP="003B151C">
      <w:r>
        <w:t xml:space="preserve">For example, if an operator holds a NSW Murrumbidgee Regulated River water access licence and extracts water through the associated works from that water source, it is at this point that the water access right has been taken and any subsequent delivery of the physical water to a customer would not be a bulk water service </w:t>
      </w:r>
      <w:r w:rsidRPr="004332B1">
        <w:rPr>
          <w:i/>
        </w:rPr>
        <w:t>in respect of water access rights</w:t>
      </w:r>
      <w:r>
        <w:t>, even if the subsequent delivery was primarily on-river within the operator’s network.</w:t>
      </w:r>
    </w:p>
    <w:p w:rsidR="003475C0" w:rsidRDefault="003B151C" w:rsidP="003137D1">
      <w:r>
        <w:t xml:space="preserve">Even in the unlikely event that an off-river infrastructure operator levies an infrastructure charge in relation to a bulk water service in respect of water access rights, </w:t>
      </w:r>
      <w:r w:rsidR="004332B1">
        <w:t xml:space="preserve">the ACCC may still exempt the operator from the requirements of Part 6 if applying these requirements would not materially contribute to the achievement of the </w:t>
      </w:r>
      <w:r w:rsidR="00E71D7D">
        <w:t>BWCOP</w:t>
      </w:r>
      <w:r w:rsidR="004332B1">
        <w:t xml:space="preserve"> (see ‘Exemptions’ above).</w:t>
      </w:r>
    </w:p>
    <w:p w:rsidR="00E179A9" w:rsidRPr="00FC64B5" w:rsidRDefault="00E179A9" w:rsidP="0082647F">
      <w:pPr>
        <w:pStyle w:val="Heading5Lvl6"/>
      </w:pPr>
      <w:r w:rsidRPr="00FC64B5">
        <w:t>Application to Queensland operators</w:t>
      </w:r>
    </w:p>
    <w:p w:rsidR="00E179A9" w:rsidRPr="00C74425" w:rsidRDefault="00E179A9" w:rsidP="00135446">
      <w:pPr>
        <w:spacing w:after="120"/>
      </w:pPr>
      <w:r w:rsidRPr="00C74425">
        <w:t>The ACCC agrees with Queensland stakeholders that some Queensland operators could qualify for Part 6 under</w:t>
      </w:r>
      <w:r w:rsidR="005069BF">
        <w:t xml:space="preserve"> the proposed</w:t>
      </w:r>
      <w:r w:rsidRPr="00C74425">
        <w:t xml:space="preserve"> rule 23, given that:</w:t>
      </w:r>
    </w:p>
    <w:p w:rsidR="005069BF" w:rsidRDefault="005069BF" w:rsidP="00A82DE6">
      <w:pPr>
        <w:pStyle w:val="Lvl1Bulletpoint"/>
      </w:pPr>
      <w:r>
        <w:t>SunWater levies infrastructure charges in relation to bulk water services it provides in respect of water access rights</w:t>
      </w:r>
    </w:p>
    <w:p w:rsidR="00E179A9" w:rsidRPr="00C74425" w:rsidRDefault="00E179A9" w:rsidP="00A82DE6">
      <w:pPr>
        <w:pStyle w:val="Lvl1Bulletpoint"/>
      </w:pPr>
      <w:r w:rsidRPr="00C74425">
        <w:t>Sun</w:t>
      </w:r>
      <w:r>
        <w:t>W</w:t>
      </w:r>
      <w:r w:rsidRPr="00C74425">
        <w:t>ater’s irrigation charges are currently subject to QCA investigation and recommendation, but are determined by the Minister on the basis of that recommendation – they are therefore not strictly determined by ‘a single State agency’.</w:t>
      </w:r>
      <w:r w:rsidR="00C6733C">
        <w:t xml:space="preserve"> </w:t>
      </w:r>
      <w:r w:rsidRPr="00C74425">
        <w:t>However, the QCA’s recommendations are based on transparent cost-recovery and efficiency criteria, and the responsible Minister implemented the charges as recommended in the last review for 2012</w:t>
      </w:r>
      <w:r>
        <w:noBreakHyphen/>
      </w:r>
      <w:r w:rsidRPr="00C74425">
        <w:t xml:space="preserve">17. </w:t>
      </w:r>
    </w:p>
    <w:p w:rsidR="00E179A9" w:rsidRPr="00C74425" w:rsidRDefault="00E179A9" w:rsidP="00A82DE6">
      <w:pPr>
        <w:pStyle w:val="Lvl1Bulletpoint"/>
      </w:pPr>
      <w:r w:rsidRPr="00C74425">
        <w:t>Sun</w:t>
      </w:r>
      <w:r>
        <w:t>W</w:t>
      </w:r>
      <w:r w:rsidRPr="00C74425">
        <w:t>ater currently sets</w:t>
      </w:r>
      <w:r w:rsidR="00B94453">
        <w:t xml:space="preserve"> </w:t>
      </w:r>
      <w:r w:rsidRPr="00C74425">
        <w:t>/</w:t>
      </w:r>
      <w:r w:rsidR="00B94453">
        <w:t xml:space="preserve"> </w:t>
      </w:r>
      <w:r w:rsidRPr="00C74425">
        <w:t>negotiates its non-irrigation prices in a non-transparent way, but can be subject to a QCA investigation at the Minister’s discretion.</w:t>
      </w:r>
      <w:r w:rsidR="00C6733C">
        <w:t xml:space="preserve"> </w:t>
      </w:r>
      <w:r w:rsidRPr="00C74425">
        <w:t xml:space="preserve">Currently it is not clear that, for example, </w:t>
      </w:r>
      <w:r w:rsidR="005069BF">
        <w:t xml:space="preserve">revenue from </w:t>
      </w:r>
      <w:r w:rsidRPr="00C74425">
        <w:t xml:space="preserve">non-irrigation customers </w:t>
      </w:r>
      <w:r w:rsidR="005069BF">
        <w:t>is not materially exceeding the associated prudent and efficient costs of providing infrastructure services</w:t>
      </w:r>
      <w:r w:rsidRPr="00C74425">
        <w:t xml:space="preserve"> </w:t>
      </w:r>
    </w:p>
    <w:p w:rsidR="00E179A9" w:rsidRPr="00C74425" w:rsidRDefault="00E179A9" w:rsidP="00A82DE6">
      <w:pPr>
        <w:pStyle w:val="Lvl1Bulletpoint"/>
      </w:pPr>
      <w:r w:rsidRPr="00C74425">
        <w:t>DNRM could also qualify as a Part 6 operator insofar as it is a joint owner of the Border River Water Supply Scheme</w:t>
      </w:r>
      <w:r w:rsidR="004643D1">
        <w:t xml:space="preserve"> (BRWSS)</w:t>
      </w:r>
      <w:r w:rsidRPr="00C74425">
        <w:t xml:space="preserve"> infrastructure, and levies </w:t>
      </w:r>
      <w:r w:rsidR="005069BF">
        <w:t>infrastructure</w:t>
      </w:r>
      <w:r w:rsidR="005069BF" w:rsidRPr="00C74425">
        <w:t xml:space="preserve"> </w:t>
      </w:r>
      <w:r w:rsidRPr="00C74425">
        <w:t xml:space="preserve">charges. Although DNRM states that the charges are unlikely to constitute monopoly rents, they are set under a non-transparent process with no independent assessment of costs. </w:t>
      </w:r>
    </w:p>
    <w:p w:rsidR="00E179A9" w:rsidRPr="00C74425" w:rsidRDefault="00E179A9" w:rsidP="00E179A9">
      <w:r w:rsidRPr="00C74425">
        <w:t>The ACCC considers that the approval / determination</w:t>
      </w:r>
      <w:r w:rsidR="00015195">
        <w:t xml:space="preserve"> </w:t>
      </w:r>
      <w:r w:rsidRPr="00C74425">
        <w:t>of SunWater</w:t>
      </w:r>
      <w:r w:rsidR="00B94453">
        <w:t xml:space="preserve"> or DNRM</w:t>
      </w:r>
      <w:r w:rsidRPr="00C74425">
        <w:t xml:space="preserve">’s </w:t>
      </w:r>
      <w:r w:rsidR="005069BF">
        <w:t xml:space="preserve">infrastructure </w:t>
      </w:r>
      <w:r w:rsidRPr="00C74425">
        <w:t>charges in the MDB under Part</w:t>
      </w:r>
      <w:r>
        <w:t> </w:t>
      </w:r>
      <w:r w:rsidRPr="00C74425">
        <w:t xml:space="preserve">6 and by the ACCC is not the preferred outcome, particularly in light of the small </w:t>
      </w:r>
      <w:r w:rsidR="00B94453">
        <w:t xml:space="preserve">scale of operations in </w:t>
      </w:r>
      <w:r w:rsidRPr="00C74425">
        <w:t xml:space="preserve">MDB areas. However, </w:t>
      </w:r>
      <w:r w:rsidR="00015195">
        <w:t>the ACCC</w:t>
      </w:r>
      <w:r w:rsidRPr="00C74425">
        <w:t xml:space="preserve"> also consider</w:t>
      </w:r>
      <w:r w:rsidR="00015195">
        <w:t>s</w:t>
      </w:r>
      <w:r w:rsidRPr="00C74425">
        <w:t xml:space="preserve"> that the rules should set a basic standard for the regulatory oversight of infrastructure charges of operators with such significant market power</w:t>
      </w:r>
      <w:r w:rsidR="00B94453">
        <w:t xml:space="preserve"> in their respective area of operations</w:t>
      </w:r>
      <w:r w:rsidR="00015195">
        <w:t>.</w:t>
      </w:r>
      <w:r w:rsidR="00B94453">
        <w:t xml:space="preserve"> To this end, the ACCC considers the rules should expressly allow for Basin States to transition their regulatory arrangements in order to meet the basic standard for regulatory oversight proposed in </w:t>
      </w:r>
      <w:r w:rsidR="00DB6AE4">
        <w:t>sub</w:t>
      </w:r>
      <w:r w:rsidR="00B94453">
        <w:t>rule 23(a). The ACCC has proposed an additional ground for (temporary) exemption from the requirements of Part 6, as set out above.</w:t>
      </w:r>
      <w:r w:rsidRPr="00C74425">
        <w:t xml:space="preserve"> This would allow lighter-handed regulation than under Part 6, as sought by the Queensland Government. </w:t>
      </w:r>
    </w:p>
    <w:p w:rsidR="00E179A9" w:rsidRPr="00C74425" w:rsidRDefault="00E179A9" w:rsidP="00E179A9">
      <w:r w:rsidRPr="00C74425">
        <w:t>This approach would be consistent with the submissions by several Queensland stakeholders indicating an interest in reforms to the regulatory system</w:t>
      </w:r>
      <w:r w:rsidR="00B94453">
        <w:t>—</w:t>
      </w:r>
      <w:r w:rsidRPr="00C74425">
        <w:t xml:space="preserve">in particular, </w:t>
      </w:r>
      <w:r w:rsidR="00B94453">
        <w:t xml:space="preserve">the </w:t>
      </w:r>
      <w:r w:rsidRPr="00C74425">
        <w:t>LGA</w:t>
      </w:r>
      <w:r w:rsidR="004F1F67">
        <w:t>Q</w:t>
      </w:r>
      <w:r w:rsidRPr="00C74425">
        <w:t xml:space="preserve">’s recommendation for a more transparent approach to pricing, DNRM’s suggestions on reform of BRWSS arrangements, </w:t>
      </w:r>
      <w:r w:rsidR="000A0202">
        <w:t>QTDEWS</w:t>
      </w:r>
      <w:r w:rsidRPr="00C74425">
        <w:t xml:space="preserve"> seeking an improved regulatory environment, and Sun</w:t>
      </w:r>
      <w:r w:rsidR="00B94453">
        <w:t>W</w:t>
      </w:r>
      <w:r w:rsidRPr="00C74425">
        <w:t xml:space="preserve">ater on establishing upper bound prices. </w:t>
      </w:r>
    </w:p>
    <w:p w:rsidR="00E179A9" w:rsidRDefault="00E179A9" w:rsidP="005069BF">
      <w:r w:rsidRPr="00C74425">
        <w:t xml:space="preserve">As achieving the new approach will take some time, </w:t>
      </w:r>
      <w:r w:rsidR="00B94453">
        <w:t xml:space="preserve">if the rules are amended as proposed, </w:t>
      </w:r>
      <w:r w:rsidRPr="00C74425">
        <w:t xml:space="preserve">the ACCC </w:t>
      </w:r>
      <w:r w:rsidR="00C7169E">
        <w:t xml:space="preserve">considers </w:t>
      </w:r>
      <w:r w:rsidRPr="00C74425">
        <w:t>that Sun</w:t>
      </w:r>
      <w:r w:rsidR="005069BF">
        <w:t>W</w:t>
      </w:r>
      <w:r w:rsidRPr="00C74425">
        <w:t xml:space="preserve">ater </w:t>
      </w:r>
      <w:r w:rsidR="00C7169E">
        <w:t xml:space="preserve">and DNRM </w:t>
      </w:r>
      <w:r w:rsidRPr="00C74425">
        <w:t xml:space="preserve">should be exempted from Part 6 </w:t>
      </w:r>
      <w:r w:rsidR="00B94453">
        <w:t>under rule 23C to enable this to occur. Any such exemption would be for a discrete period and require a clear indication that the necessary adjustments to State regulatory processes were going to be undertaken within a set timeline</w:t>
      </w:r>
      <w:r w:rsidRPr="00C74425">
        <w:t>.</w:t>
      </w:r>
    </w:p>
    <w:p w:rsidR="003475C0" w:rsidRPr="00FC64B5" w:rsidRDefault="00E16F15" w:rsidP="0082647F">
      <w:pPr>
        <w:pStyle w:val="Heading5Lvl6"/>
      </w:pPr>
      <w:r w:rsidRPr="00FC64B5">
        <w:t>Infrastructure services relating to w</w:t>
      </w:r>
      <w:r w:rsidR="003475C0" w:rsidRPr="00FC64B5">
        <w:t>ater sharing arrangements</w:t>
      </w:r>
      <w:r w:rsidRPr="00FC64B5">
        <w:t xml:space="preserve"> between Basin States</w:t>
      </w:r>
    </w:p>
    <w:p w:rsidR="003475C0" w:rsidRPr="00A956F4" w:rsidRDefault="003475C0" w:rsidP="00E16F15">
      <w:pPr>
        <w:rPr>
          <w:sz w:val="20"/>
        </w:rPr>
      </w:pPr>
      <w:r w:rsidRPr="00A956F4">
        <w:t xml:space="preserve">The ACCC’s Draft Advice was intended to allow multi-State </w:t>
      </w:r>
      <w:r w:rsidR="00E16F15" w:rsidRPr="00A956F4">
        <w:t xml:space="preserve">infrastructure </w:t>
      </w:r>
      <w:r w:rsidRPr="00A956F4">
        <w:t>operators such as MDBA to be regulated by the ACCC under Part 6 if they begin levying infrastructure charges.</w:t>
      </w:r>
      <w:r w:rsidRPr="00A956F4">
        <w:rPr>
          <w:rStyle w:val="FootnoteReference"/>
        </w:rPr>
        <w:footnoteReference w:id="385"/>
      </w:r>
      <w:r w:rsidR="00C6733C">
        <w:t xml:space="preserve"> </w:t>
      </w:r>
    </w:p>
    <w:p w:rsidR="00EB4035" w:rsidRPr="00A956F4" w:rsidRDefault="003475C0" w:rsidP="008D6121">
      <w:r w:rsidRPr="00A956F4">
        <w:t xml:space="preserve">Submissions on the topic supported the regulation of MDBA charges, and the ACCC’s Final Advice maintains this general approach in the Draft Advice. However, the ACCC’s Final Advice </w:t>
      </w:r>
      <w:r w:rsidR="0036055D" w:rsidRPr="00A956F4">
        <w:t>also seeks to clarify that</w:t>
      </w:r>
      <w:r w:rsidR="00EB4035" w:rsidRPr="00A956F4">
        <w:t xml:space="preserve"> the criteria should only be met by an infrastructure operator </w:t>
      </w:r>
      <w:r w:rsidR="008D6121" w:rsidRPr="00A956F4">
        <w:t xml:space="preserve">if it levies (or proposes to levy) infrastructure charges for </w:t>
      </w:r>
      <w:r w:rsidR="00EB4035" w:rsidRPr="00A956F4">
        <w:t>infrastructure services giving effect to an arrangement for the sharing of water between more than one Basin State</w:t>
      </w:r>
      <w:r w:rsidR="008D6121" w:rsidRPr="00A956F4">
        <w:t>. I</w:t>
      </w:r>
      <w:r w:rsidR="00EB4035" w:rsidRPr="00A956F4">
        <w:t>f</w:t>
      </w:r>
      <w:r w:rsidR="008D6121" w:rsidRPr="00A956F4">
        <w:t xml:space="preserve"> the operator does not levy infrastructure charges for those services, but </w:t>
      </w:r>
      <w:r w:rsidR="00EB4035" w:rsidRPr="00A956F4">
        <w:t>does for other infrastructure services it provides, it should not meet th</w:t>
      </w:r>
      <w:r w:rsidR="00A956F4" w:rsidRPr="00A956F4">
        <w:t>is</w:t>
      </w:r>
      <w:r w:rsidR="00EB4035" w:rsidRPr="00A956F4">
        <w:t xml:space="preserve"> criteria</w:t>
      </w:r>
      <w:r w:rsidR="008D6121" w:rsidRPr="00A956F4">
        <w:t>.</w:t>
      </w:r>
      <w:r w:rsidR="00A956F4" w:rsidRPr="00A956F4">
        <w:rPr>
          <w:rStyle w:val="FootnoteReference"/>
        </w:rPr>
        <w:footnoteReference w:id="386"/>
      </w:r>
      <w:r w:rsidR="008D6121" w:rsidRPr="00A956F4">
        <w:t xml:space="preserve"> </w:t>
      </w:r>
    </w:p>
    <w:p w:rsidR="003475C0" w:rsidRDefault="003475C0" w:rsidP="003475C0">
      <w:r w:rsidRPr="00A956F4">
        <w:t>This amended criteria would still extend to the MDBA, if it were to impose infrastructure charges that are not required to be approved or determined, but also limit the trigger to those infrastructure services that are directly related to giving effect to such an arrangement.</w:t>
      </w:r>
      <w:r>
        <w:t xml:space="preserve"> </w:t>
      </w:r>
    </w:p>
    <w:p w:rsidR="001F6D2C" w:rsidRDefault="001F6D2C" w:rsidP="003475C0">
      <w:r>
        <w:t xml:space="preserve">The ACCC also notes that where such an operator levies charges in more than one Basin State, the proposed rule would require that </w:t>
      </w:r>
      <w:r>
        <w:rPr>
          <w:i/>
        </w:rPr>
        <w:t xml:space="preserve">all </w:t>
      </w:r>
      <w:r>
        <w:t xml:space="preserve">the operator’s infrastructure charges would need to be approved / determined by a </w:t>
      </w:r>
      <w:r w:rsidRPr="001F6D2C">
        <w:rPr>
          <w:i/>
        </w:rPr>
        <w:t>single</w:t>
      </w:r>
      <w:r>
        <w:t xml:space="preserve"> State Agency in order for Part 6 not apply. </w:t>
      </w:r>
      <w:r w:rsidR="00A956F4">
        <w:t xml:space="preserve">This would require the relevant Basin States to agree to such charges being approved / determined by the State Agency of one of those Basin States. </w:t>
      </w:r>
    </w:p>
    <w:p w:rsidR="00E53F23" w:rsidRPr="001F6D2C" w:rsidRDefault="00E53F23" w:rsidP="003475C0">
      <w:r>
        <w:t>Further stakeholder views regarding the regulation of MDBA or Border River Commission charges are considered in section 5.12.</w:t>
      </w:r>
    </w:p>
    <w:p w:rsidR="008D6121" w:rsidRPr="00B94453" w:rsidRDefault="008D6121" w:rsidP="00E83E5D">
      <w:pPr>
        <w:pStyle w:val="Heading4-Un-numberedsubheading-Lvl5"/>
      </w:pPr>
      <w:r w:rsidRPr="00B94453">
        <w:t>References to State water management law</w:t>
      </w:r>
    </w:p>
    <w:p w:rsidR="003475C0" w:rsidRPr="00B94453" w:rsidRDefault="003475C0" w:rsidP="003475C0">
      <w:r w:rsidRPr="00B94453">
        <w:t>IPART asked the ACCC to ensure that the reference to ‘State water management law’ captures the relevant NSW legislative framework.</w:t>
      </w:r>
    </w:p>
    <w:p w:rsidR="00E16F15" w:rsidRPr="00B94453" w:rsidRDefault="003475C0" w:rsidP="003475C0">
      <w:r w:rsidRPr="00B94453">
        <w:t xml:space="preserve">The ACCC accepts that </w:t>
      </w:r>
      <w:r w:rsidR="00D67020" w:rsidRPr="00B94453">
        <w:t xml:space="preserve">the reference to ‘State water management law’ in </w:t>
      </w:r>
      <w:r w:rsidRPr="00B94453">
        <w:t xml:space="preserve">rule 23 as proposed in the Draft Advice could </w:t>
      </w:r>
      <w:r w:rsidR="00D67020" w:rsidRPr="00B94453">
        <w:t xml:space="preserve">be unnecessarily restrictive as it would not reflect the legislative bases on which </w:t>
      </w:r>
      <w:r w:rsidRPr="00B94453">
        <w:t xml:space="preserve">NSW (and other States) </w:t>
      </w:r>
      <w:r w:rsidR="00D67020" w:rsidRPr="00B94453">
        <w:t xml:space="preserve">provide for the approval / determination of their infrastructure operators’ charges. This is because of the specific focus of the definition of </w:t>
      </w:r>
      <w:r w:rsidRPr="00B94453">
        <w:t>‘State water management law’ in section 4 of the Commonwealth</w:t>
      </w:r>
      <w:r w:rsidRPr="00B94453">
        <w:rPr>
          <w:i/>
        </w:rPr>
        <w:t xml:space="preserve"> Water Act 2007</w:t>
      </w:r>
      <w:r w:rsidRPr="00B94453">
        <w:t xml:space="preserve">. </w:t>
      </w:r>
    </w:p>
    <w:p w:rsidR="000435C5" w:rsidRDefault="003475C0" w:rsidP="003137D1">
      <w:r w:rsidRPr="00B94453">
        <w:t>The ACCC’s Final Advice is therefore to amend rule 23 to refer more broadly to</w:t>
      </w:r>
      <w:r w:rsidR="00F0357E" w:rsidRPr="00B94453">
        <w:t xml:space="preserve"> </w:t>
      </w:r>
      <w:r w:rsidRPr="00B94453">
        <w:t xml:space="preserve">‘a law of a State’, </w:t>
      </w:r>
      <w:r w:rsidR="00D67020" w:rsidRPr="00B94453">
        <w:t>rather than</w:t>
      </w:r>
      <w:r w:rsidR="00C3317D">
        <w:t xml:space="preserve"> ‘S</w:t>
      </w:r>
      <w:r w:rsidRPr="00B94453">
        <w:t>tate water management law’.</w:t>
      </w:r>
      <w:r w:rsidR="00C6733C">
        <w:t xml:space="preserve"> </w:t>
      </w:r>
    </w:p>
    <w:p w:rsidR="00E179A9" w:rsidRDefault="00FC48B3" w:rsidP="00E83E5D">
      <w:pPr>
        <w:pStyle w:val="Heading4-Un-numberedsubheading-Lvl5"/>
      </w:pPr>
      <w:r w:rsidRPr="00CD71A4">
        <w:t>Transitional arrangements</w:t>
      </w:r>
    </w:p>
    <w:p w:rsidR="00FC48B3" w:rsidRPr="00FC64B5" w:rsidRDefault="00E179A9" w:rsidP="0082647F">
      <w:pPr>
        <w:pStyle w:val="Heading5Lvl6"/>
      </w:pPr>
      <w:r w:rsidRPr="00FC64B5">
        <w:t>E</w:t>
      </w:r>
      <w:r w:rsidR="00C64B20" w:rsidRPr="00FC64B5">
        <w:t>xisting Part 6 operators</w:t>
      </w:r>
      <w:r w:rsidR="00FC48B3" w:rsidRPr="00FC64B5">
        <w:t xml:space="preserve"> </w:t>
      </w:r>
    </w:p>
    <w:p w:rsidR="003475C0" w:rsidRDefault="003475C0" w:rsidP="00AF516D">
      <w:r>
        <w:t xml:space="preserve">Proposed rule 80 under the Draft Advice provided transitional arrangements where a current Part 6 operator </w:t>
      </w:r>
      <w:r w:rsidR="000E0E96">
        <w:t xml:space="preserve">would continue to be considered a </w:t>
      </w:r>
      <w:r>
        <w:t>Part 6 operator</w:t>
      </w:r>
      <w:r w:rsidR="000E0E96">
        <w:t xml:space="preserve"> for the remainder of the regulatory period underway at the time the rules were amended</w:t>
      </w:r>
      <w:r>
        <w:t xml:space="preserve">. The intention was that determinations for current regulatory periods would continue as if under Part 6, while determinations for future regulatory periods could revert to state-based regulation outside Part 6. </w:t>
      </w:r>
    </w:p>
    <w:p w:rsidR="003475C0" w:rsidRDefault="003475C0" w:rsidP="003475C0">
      <w:r>
        <w:t>Some uncertainty remain</w:t>
      </w:r>
      <w:r w:rsidR="005217A2">
        <w:t>ed</w:t>
      </w:r>
      <w:r>
        <w:t xml:space="preserve"> over situations where a pricing review under Part 6 is in progress at the time </w:t>
      </w:r>
      <w:r w:rsidR="006E6A46">
        <w:t>any amendments to Part 6 commenced</w:t>
      </w:r>
      <w:r>
        <w:t>. Th</w:t>
      </w:r>
      <w:r w:rsidR="00CE086F">
        <w:t xml:space="preserve">is is </w:t>
      </w:r>
      <w:r>
        <w:t xml:space="preserve">likely to occur </w:t>
      </w:r>
      <w:r w:rsidR="00CE086F">
        <w:t xml:space="preserve">with </w:t>
      </w:r>
      <w:r>
        <w:t>IPART’s review of WaterNSW’s charges for the four-year period beginning 1 July 2017. IPART has begun this review as an accredited regulator under the WCIR. WaterNSW is currently a Part 6 operator but could cease to qualify if the proposed amendment to rule 23 is implemented</w:t>
      </w:r>
      <w:r w:rsidR="000E0E96">
        <w:t xml:space="preserve"> (assuming the necessary Basin State regulatory processes were in place)</w:t>
      </w:r>
      <w:r>
        <w:t>.</w:t>
      </w:r>
    </w:p>
    <w:p w:rsidR="00160BA9" w:rsidRDefault="003475C0" w:rsidP="003475C0">
      <w:r>
        <w:t xml:space="preserve">The ACCC supports a transition to the proposed Part 6 </w:t>
      </w:r>
      <w:r w:rsidR="00160BA9">
        <w:t>in a way that</w:t>
      </w:r>
      <w:r>
        <w:t xml:space="preserve"> is administratively feasible and </w:t>
      </w:r>
      <w:r w:rsidR="00160BA9">
        <w:t xml:space="preserve">ensures </w:t>
      </w:r>
      <w:r>
        <w:t xml:space="preserve">procedural fairness for stakeholders is maintained. </w:t>
      </w:r>
    </w:p>
    <w:p w:rsidR="00160BA9" w:rsidRDefault="006E6A46" w:rsidP="00135446">
      <w:pPr>
        <w:spacing w:after="120"/>
      </w:pPr>
      <w:r>
        <w:t xml:space="preserve">The proposed water charge rules refer to the date that amendments to the rules commence as the ‘transition date’. </w:t>
      </w:r>
      <w:r w:rsidR="00160BA9">
        <w:t xml:space="preserve">The ACCC has recommended (in section 4.7) that the </w:t>
      </w:r>
      <w:r w:rsidR="00E3527B">
        <w:t>transition date be</w:t>
      </w:r>
      <w:r w:rsidR="00160BA9">
        <w:t xml:space="preserve"> no earlier than 1 July 2017</w:t>
      </w:r>
      <w:r w:rsidR="00294097">
        <w:t xml:space="preserve">, meaning </w:t>
      </w:r>
      <w:r w:rsidR="00160BA9">
        <w:t>that:</w:t>
      </w:r>
    </w:p>
    <w:p w:rsidR="00160BA9" w:rsidRDefault="00E3527B" w:rsidP="00A82DE6">
      <w:pPr>
        <w:pStyle w:val="Lvl1Bulletpoint"/>
      </w:pPr>
      <w:r>
        <w:t>As WaterNSW would still meet the current criteria for a Part 6 operator on th</w:t>
      </w:r>
      <w:r w:rsidR="00CE086F">
        <w:t>e transition</w:t>
      </w:r>
      <w:r>
        <w:t xml:space="preserve"> date, it </w:t>
      </w:r>
      <w:r w:rsidR="00160BA9">
        <w:t xml:space="preserve">would be considered a Part 6 operator until the end of </w:t>
      </w:r>
      <w:r w:rsidR="00CE086F">
        <w:t xml:space="preserve">the </w:t>
      </w:r>
      <w:r w:rsidR="00160BA9">
        <w:t xml:space="preserve">regulatory </w:t>
      </w:r>
      <w:r w:rsidR="004F1F67">
        <w:t xml:space="preserve">period </w:t>
      </w:r>
      <w:r w:rsidR="00EE1694">
        <w:t xml:space="preserve">that was in effect on that date </w:t>
      </w:r>
      <w:r w:rsidR="00160BA9">
        <w:t>(that is, until 30 June 2021)</w:t>
      </w:r>
      <w:r w:rsidR="004F1F67">
        <w:t>.</w:t>
      </w:r>
    </w:p>
    <w:p w:rsidR="00160BA9" w:rsidRDefault="00160BA9" w:rsidP="00A82DE6">
      <w:pPr>
        <w:pStyle w:val="Lvl1Bulletpoint"/>
      </w:pPr>
      <w:r>
        <w:t>IPART would be considered the ‘regulator’ (in place of the ACCC) for the purposes of Part 6.</w:t>
      </w:r>
      <w:r w:rsidR="00C6733C">
        <w:t xml:space="preserve"> </w:t>
      </w:r>
    </w:p>
    <w:p w:rsidR="00294097" w:rsidRDefault="00294097" w:rsidP="00135446">
      <w:pPr>
        <w:spacing w:after="120"/>
      </w:pPr>
      <w:r>
        <w:t xml:space="preserve">However, two significant issues may arise in the event that </w:t>
      </w:r>
      <w:r w:rsidR="00160BA9">
        <w:t xml:space="preserve">the proposed amendments to the rules relating to Part 6 commence </w:t>
      </w:r>
      <w:r w:rsidR="00160BA9" w:rsidRPr="00294097">
        <w:rPr>
          <w:i/>
        </w:rPr>
        <w:t>before</w:t>
      </w:r>
      <w:r w:rsidR="00160BA9">
        <w:t xml:space="preserve"> 1 July 2017</w:t>
      </w:r>
      <w:r>
        <w:t>, given</w:t>
      </w:r>
      <w:r w:rsidR="00160BA9">
        <w:t xml:space="preserve"> the transitional provisions </w:t>
      </w:r>
      <w:r>
        <w:t>proposed in the Draft Advice:</w:t>
      </w:r>
    </w:p>
    <w:p w:rsidR="00722F64" w:rsidRDefault="00160BA9" w:rsidP="00A82DE6">
      <w:pPr>
        <w:pStyle w:val="Lvl1Bulletpoint"/>
      </w:pPr>
      <w:r>
        <w:t xml:space="preserve">it would potentially lead to </w:t>
      </w:r>
      <w:r w:rsidR="003475C0">
        <w:t xml:space="preserve">a change in </w:t>
      </w:r>
      <w:r>
        <w:t xml:space="preserve">the </w:t>
      </w:r>
      <w:r w:rsidR="000E0E96">
        <w:t xml:space="preserve">underlying </w:t>
      </w:r>
      <w:r>
        <w:t>regulatory framework</w:t>
      </w:r>
      <w:r w:rsidR="000E0E96">
        <w:t xml:space="preserve"> (from Part 6 to the NSW framework)</w:t>
      </w:r>
      <w:r w:rsidR="00EE1694" w:rsidRPr="00EE1694">
        <w:rPr>
          <w:rStyle w:val="FootnoteReference"/>
        </w:rPr>
        <w:t xml:space="preserve"> </w:t>
      </w:r>
      <w:r w:rsidR="00EE1694">
        <w:rPr>
          <w:rStyle w:val="FootnoteReference"/>
        </w:rPr>
        <w:footnoteReference w:id="387"/>
      </w:r>
      <w:r w:rsidR="000E0E96">
        <w:t xml:space="preserve"> </w:t>
      </w:r>
      <w:r w:rsidR="00294097">
        <w:t xml:space="preserve">towards the conclusion of IPART’s </w:t>
      </w:r>
      <w:r w:rsidR="003475C0">
        <w:t>review of WaterNSW’s 2017-21 charges</w:t>
      </w:r>
      <w:r w:rsidR="00722F64">
        <w:t>—t</w:t>
      </w:r>
      <w:r>
        <w:t>he ACCC believes this</w:t>
      </w:r>
      <w:r w:rsidR="000E0E96">
        <w:t xml:space="preserve"> would induce significant </w:t>
      </w:r>
      <w:r w:rsidR="00481092">
        <w:t xml:space="preserve">confusion and </w:t>
      </w:r>
      <w:r w:rsidR="000E0E96">
        <w:t xml:space="preserve">uncertainty for </w:t>
      </w:r>
      <w:r w:rsidR="00481092">
        <w:t>customers and other relevant stakeholders</w:t>
      </w:r>
    </w:p>
    <w:p w:rsidR="00294097" w:rsidRDefault="00722F64" w:rsidP="00A82DE6">
      <w:pPr>
        <w:pStyle w:val="Lvl1Bulletpoint"/>
      </w:pPr>
      <w:r>
        <w:t>WaterNSW’s next regulatory period may be three years, rather than the four year regulatory period for which their application was made, due to the proposed new definition of ‘regulatory period’ (set out in section 5.6.2)—t</w:t>
      </w:r>
      <w:r w:rsidR="005957CE">
        <w:t>he ACCC considers</w:t>
      </w:r>
      <w:r w:rsidR="00CB4BB5">
        <w:t xml:space="preserve"> that such </w:t>
      </w:r>
      <w:r w:rsidR="005957CE">
        <w:t xml:space="preserve">a change in the </w:t>
      </w:r>
      <w:r w:rsidR="00CB4BB5">
        <w:t xml:space="preserve">length of the </w:t>
      </w:r>
      <w:r w:rsidR="005957CE">
        <w:t xml:space="preserve">upcoming regulatory period occurring immediately before the commencement of that period is also undesirable. </w:t>
      </w:r>
    </w:p>
    <w:p w:rsidR="00B02B9C" w:rsidRDefault="00294097" w:rsidP="00EE1694">
      <w:r>
        <w:t xml:space="preserve">As such, the ACCC’s </w:t>
      </w:r>
      <w:r w:rsidR="005B7802">
        <w:t>F</w:t>
      </w:r>
      <w:r>
        <w:t xml:space="preserve">inal </w:t>
      </w:r>
      <w:r w:rsidR="005B7802">
        <w:t>A</w:t>
      </w:r>
      <w:r>
        <w:t xml:space="preserve">dvice proposes that the transitional provisions in Part 11 </w:t>
      </w:r>
      <w:r w:rsidR="000264B8">
        <w:t>provide</w:t>
      </w:r>
      <w:r>
        <w:t xml:space="preserve"> that Part 6 of the proposed rules </w:t>
      </w:r>
      <w:r w:rsidR="00FD7F42">
        <w:t xml:space="preserve">should </w:t>
      </w:r>
      <w:r w:rsidR="00EE1694">
        <w:t xml:space="preserve">also </w:t>
      </w:r>
      <w:r>
        <w:t>apply until the conclusion of any regulatory period</w:t>
      </w:r>
      <w:r w:rsidR="00EE1694">
        <w:t xml:space="preserve"> for which an application had been made, but no approval or determination had been made by the transition date. </w:t>
      </w:r>
    </w:p>
    <w:p w:rsidR="00EE1694" w:rsidRDefault="00722F64" w:rsidP="00F00E5B">
      <w:r>
        <w:t xml:space="preserve">Further, </w:t>
      </w:r>
      <w:r w:rsidR="004E7011">
        <w:t xml:space="preserve">in relation to applications current at the </w:t>
      </w:r>
      <w:r w:rsidR="00E3527B">
        <w:t>transition date</w:t>
      </w:r>
      <w:r w:rsidR="00B42806">
        <w:t xml:space="preserve">, the </w:t>
      </w:r>
      <w:r w:rsidR="00B42806">
        <w:rPr>
          <w:i/>
        </w:rPr>
        <w:t>existing</w:t>
      </w:r>
      <w:r w:rsidR="004F6BD0">
        <w:rPr>
          <w:i/>
        </w:rPr>
        <w:t xml:space="preserve"> </w:t>
      </w:r>
      <w:r w:rsidR="00B42806">
        <w:t xml:space="preserve">rules should apply in relation to </w:t>
      </w:r>
      <w:r w:rsidR="00CE086F">
        <w:t xml:space="preserve">the approvals or determinations relating to </w:t>
      </w:r>
      <w:r w:rsidR="00B42806">
        <w:t>such applications</w:t>
      </w:r>
      <w:r w:rsidR="004E7011">
        <w:t>. This will ensure the current WaterNSW application to IPART continues to be assessed in accordance with Part 6</w:t>
      </w:r>
      <w:r w:rsidR="00B42806">
        <w:t xml:space="preserve"> as unamended</w:t>
      </w:r>
      <w:r w:rsidR="00FD7F42">
        <w:t xml:space="preserve"> in the case where it submits its application prior to the </w:t>
      </w:r>
      <w:r w:rsidR="00E3527B">
        <w:t>transition date</w:t>
      </w:r>
      <w:r w:rsidR="00FD7F42">
        <w:t xml:space="preserve">, but IPART has not </w:t>
      </w:r>
      <w:r w:rsidR="00E3527B">
        <w:t xml:space="preserve">yet approved or determined the </w:t>
      </w:r>
      <w:r w:rsidR="00FD7F42">
        <w:t>infrastructure charges contained in the application</w:t>
      </w:r>
      <w:r w:rsidR="00B42806">
        <w:t xml:space="preserve">. </w:t>
      </w:r>
    </w:p>
    <w:p w:rsidR="00B42806" w:rsidRDefault="00B42806" w:rsidP="00F00E5B">
      <w:r>
        <w:t>The ACCC considers that it is appropriate that the regulator’s approval / determination in relation</w:t>
      </w:r>
      <w:r w:rsidR="00CE086F">
        <w:t xml:space="preserve"> to</w:t>
      </w:r>
      <w:r>
        <w:t xml:space="preserve"> </w:t>
      </w:r>
      <w:r w:rsidR="00FD7F42">
        <w:t>an</w:t>
      </w:r>
      <w:r>
        <w:t xml:space="preserve"> application be made under the same framework (i.e. the existing framework). The ACCC considers that changing the framework for assessing an application which has already been made under the existing rules would not give effect to the principle of procedural fairness, as it is unlikely that all stakeholders would have sufficient opportunity to understand the impacts of the proposed new regulatory framework.</w:t>
      </w:r>
    </w:p>
    <w:p w:rsidR="00EE1694" w:rsidRDefault="00EE1694" w:rsidP="00F00E5B">
      <w:r>
        <w:t>The ACCC notes that the approach proposed in this Final Advice will also be relevant to Lower Murray Water, given its next regulatory period is due to commence on 1 July 2018. The timing of Lower Murray Water’s application for approval or determination of its infrastructure charges for this period will determine whether that approval / determination is undertaken under the existing Part 6 provisions, or—assuming that Lower Murray Water would not be considered a Part 6 operator under the proposed amendments—the Victorian regime.</w:t>
      </w:r>
      <w:r w:rsidR="0025708A">
        <w:t xml:space="preserve"> If the application is made before the transition date (which the ACCC recommends as being no earlier than 1 July 2017—see section 4.7) the proposed approach would mean that this application is assessed under the existing Part 6 provisions, and that Part 6 as amended applies until the end of Lower Murray Water’s regulatory period beginning on 1 July 2018. If the application is made after the transition date, </w:t>
      </w:r>
      <w:r w:rsidR="003C5514">
        <w:t>and assuming Lower Murray Water would not meet the proposed new criteria for the application of Part 6, Part 6 would cease to apply to Lower Murray Water at the end of its current regulatory period (on 30 June 2018).</w:t>
      </w:r>
      <w:r w:rsidR="004F6BD0">
        <w:t xml:space="preserve"> </w:t>
      </w:r>
    </w:p>
    <w:p w:rsidR="003475C0" w:rsidRDefault="00B42806" w:rsidP="00F00E5B">
      <w:r>
        <w:t xml:space="preserve">The rules should also make clear </w:t>
      </w:r>
      <w:r w:rsidR="004E7011">
        <w:t xml:space="preserve">that </w:t>
      </w:r>
      <w:r w:rsidR="00EE1694">
        <w:t xml:space="preserve">existing </w:t>
      </w:r>
      <w:r w:rsidR="003475C0">
        <w:t>Part 6 operator</w:t>
      </w:r>
      <w:r w:rsidR="00EE1694">
        <w:t>s</w:t>
      </w:r>
      <w:r w:rsidR="003475C0">
        <w:t xml:space="preserve"> </w:t>
      </w:r>
      <w:r w:rsidR="00EE1694">
        <w:t>that will not meet the new criteria for the application of Part 6 after the transition date would not be subject to the requirements of Part 6 beyond the transition period</w:t>
      </w:r>
      <w:r w:rsidR="00664A4C">
        <w:t>. The rules should also make clear that such an operator is not required to apply to have their charges approved or determined if they will not be a Part 6 operator beyond the transition period.</w:t>
      </w:r>
    </w:p>
    <w:p w:rsidR="003475C0" w:rsidRDefault="00EE1694" w:rsidP="003137D1">
      <w:r>
        <w:t>To avoid doubt, t</w:t>
      </w:r>
      <w:r w:rsidR="003475C0">
        <w:t xml:space="preserve">he ACCC’s Final Advice </w:t>
      </w:r>
      <w:r>
        <w:t xml:space="preserve">also </w:t>
      </w:r>
      <w:r w:rsidR="003475C0">
        <w:t xml:space="preserve">confirms that an </w:t>
      </w:r>
      <w:r w:rsidR="000264B8">
        <w:t xml:space="preserve">existing Part 6 operator’s infrastructure charges that were approved or determined under Part 6 before the transition date are taken </w:t>
      </w:r>
      <w:r w:rsidR="003475C0">
        <w:t xml:space="preserve">to </w:t>
      </w:r>
      <w:r w:rsidR="000264B8">
        <w:t>have been approved or determined under Part 6 as amended (to ensure the operator can comply with rule 8)</w:t>
      </w:r>
      <w:r w:rsidR="003475C0">
        <w:t>.</w:t>
      </w:r>
    </w:p>
    <w:p w:rsidR="003475C0" w:rsidRPr="00FC64B5" w:rsidRDefault="00E179A9" w:rsidP="0082647F">
      <w:pPr>
        <w:pStyle w:val="Heading5Lvl6"/>
      </w:pPr>
      <w:r w:rsidRPr="00FC64B5">
        <w:t>E</w:t>
      </w:r>
      <w:r w:rsidR="003475C0" w:rsidRPr="00FC64B5">
        <w:t>xisting contracts</w:t>
      </w:r>
    </w:p>
    <w:p w:rsidR="00A53B48" w:rsidRDefault="003475C0" w:rsidP="00A53B48">
      <w:r>
        <w:t xml:space="preserve">SunWater submitted that </w:t>
      </w:r>
      <w:r w:rsidRPr="00D16025">
        <w:t>there should be transitional provisions so that a price approval / determination should not apply to charges set under pre-existing contracts, until those contracts expire.</w:t>
      </w:r>
      <w:r>
        <w:t xml:space="preserve"> </w:t>
      </w:r>
      <w:r w:rsidRPr="00D16025">
        <w:t>Alternatively</w:t>
      </w:r>
      <w:r>
        <w:t xml:space="preserve"> it </w:t>
      </w:r>
      <w:r w:rsidRPr="00D16025">
        <w:t>submitted that, as a minimum, there should be a long transition time to allow adjustment to a new pricing regime</w:t>
      </w:r>
      <w:r>
        <w:t>.</w:t>
      </w:r>
      <w:r w:rsidRPr="00DF689A">
        <w:t xml:space="preserve"> </w:t>
      </w:r>
      <w:r>
        <w:t>Sun</w:t>
      </w:r>
      <w:r w:rsidR="00FD7D22">
        <w:t>W</w:t>
      </w:r>
      <w:r>
        <w:t>ater noted that some of these contracts may be very long-term.</w:t>
      </w:r>
      <w:r w:rsidR="00A53B48" w:rsidRPr="00A53B48">
        <w:t xml:space="preserve"> </w:t>
      </w:r>
      <w:r w:rsidR="004643D1">
        <w:t>(</w:t>
      </w:r>
      <w:r w:rsidR="00A53B48">
        <w:t>SunWater was also concerned about the application of the proposed non-discrimination provisions to existing contracts</w:t>
      </w:r>
      <w:r w:rsidR="004643D1">
        <w:t>, which</w:t>
      </w:r>
      <w:r w:rsidR="00A53B48">
        <w:t xml:space="preserve"> is discussed further in section 5.3.1.</w:t>
      </w:r>
      <w:r w:rsidR="009B6ED8">
        <w:t>)</w:t>
      </w:r>
    </w:p>
    <w:p w:rsidR="00A53B48" w:rsidRDefault="003475C0" w:rsidP="00A53B48">
      <w:r>
        <w:t xml:space="preserve">The ACCC </w:t>
      </w:r>
      <w:r w:rsidRPr="003311F1">
        <w:t>agree</w:t>
      </w:r>
      <w:r>
        <w:t>s</w:t>
      </w:r>
      <w:r w:rsidRPr="003311F1">
        <w:t xml:space="preserve"> </w:t>
      </w:r>
      <w:r>
        <w:t>that any new rules should not cause disruption to stakeholders with existing contracts that were negotiated in good faith. Under the ACCC’s Final Advice, SunWater’s charges could be regulated by the QCA, subject to a total revenue constraint through rule 23 as amended (s</w:t>
      </w:r>
      <w:r w:rsidR="004643D1">
        <w:t xml:space="preserve">ection </w:t>
      </w:r>
      <w:r>
        <w:t>5.6 above). This need not require short-term changes to individual contract prices as long as total revenue does not exceed prudent and efficient costs</w:t>
      </w:r>
      <w:r w:rsidR="00FD7D22">
        <w:t xml:space="preserve"> of providing infrastructure services</w:t>
      </w:r>
      <w:r>
        <w:t>. If adjustments to negotiated prices are required to meet longer term cost recovery goals</w:t>
      </w:r>
      <w:r w:rsidR="00A53B48">
        <w:t xml:space="preserve"> or other valid regulatory objectives</w:t>
      </w:r>
      <w:r>
        <w:t xml:space="preserve">, it should be possible to allow a sufficient transition time to avoid </w:t>
      </w:r>
      <w:r w:rsidR="00A53B48">
        <w:t xml:space="preserve">undue </w:t>
      </w:r>
      <w:r>
        <w:t>disruption.</w:t>
      </w:r>
      <w:r w:rsidR="00A53B48">
        <w:t xml:space="preserve"> This includes any transition necessary to ensure that differences in charges (for the same infrastructure service) are not unreasonable. </w:t>
      </w:r>
    </w:p>
    <w:p w:rsidR="00A53B48" w:rsidRDefault="00A53B48" w:rsidP="00A53B48">
      <w:r>
        <w:t xml:space="preserve">The ACCC’s proposed rule amendments in relation to non-discrimination </w:t>
      </w:r>
      <w:r w:rsidR="00416062">
        <w:t xml:space="preserve">(rule advice 5-B in section 5.3.1) </w:t>
      </w:r>
      <w:r>
        <w:t xml:space="preserve">specifically acknowledge the potential for a regulator (either the ACCC under Part 6, or a Basin State Agency) to </w:t>
      </w:r>
      <w:r w:rsidRPr="00A53B48">
        <w:t xml:space="preserve">establish </w:t>
      </w:r>
      <w:r>
        <w:t xml:space="preserve">a </w:t>
      </w:r>
      <w:r w:rsidRPr="00A53B48">
        <w:t>transition path to full cost recovery or upper bound pricing charge level</w:t>
      </w:r>
      <w:r w:rsidR="00416062">
        <w:t>s</w:t>
      </w:r>
      <w:r w:rsidRPr="00A53B48">
        <w:t xml:space="preserve"> for particular customers / classes of customers</w:t>
      </w:r>
      <w:r w:rsidR="00416062">
        <w:t>.</w:t>
      </w:r>
      <w:r>
        <w:t xml:space="preserve"> </w:t>
      </w:r>
      <w:r w:rsidR="00416062">
        <w:t>Residual charge differences can be considered reasonable while such a transition is underway.</w:t>
      </w:r>
      <w:r w:rsidR="00C6733C">
        <w:t xml:space="preserve"> </w:t>
      </w:r>
    </w:p>
    <w:p w:rsidR="000869AC" w:rsidRDefault="00A53B48">
      <w:pPr>
        <w:rPr>
          <w:rFonts w:eastAsia="Arial" w:cs="Times New Roman"/>
          <w:b/>
        </w:rPr>
      </w:pPr>
      <w:r>
        <w:t xml:space="preserve">The ACCC considers that no further amendments are required to Part 6 in relation to SunWater’s concerns regarding existing contracts. </w:t>
      </w:r>
      <w:bookmarkStart w:id="776" w:name="_Ref433621954"/>
      <w:bookmarkStart w:id="777" w:name="_Toc436122301"/>
      <w:bookmarkStart w:id="778" w:name="_Toc436122796"/>
      <w:bookmarkStart w:id="779" w:name="_Toc436124151"/>
    </w:p>
    <w:p w:rsidR="00061C7E" w:rsidRDefault="00061C7E" w:rsidP="00A946C7">
      <w:pPr>
        <w:pStyle w:val="Heading3"/>
        <w:numPr>
          <w:ilvl w:val="2"/>
          <w:numId w:val="5"/>
        </w:numPr>
      </w:pPr>
      <w:bookmarkStart w:id="780" w:name="_Toc456785807"/>
      <w:bookmarkStart w:id="781" w:name="_Toc461630718"/>
      <w:r w:rsidRPr="00D714FC">
        <w:t>Procedural requirements</w:t>
      </w:r>
      <w:bookmarkEnd w:id="776"/>
      <w:bookmarkEnd w:id="777"/>
      <w:bookmarkEnd w:id="778"/>
      <w:bookmarkEnd w:id="779"/>
      <w:bookmarkEnd w:id="780"/>
      <w:bookmarkEnd w:id="781"/>
      <w:r w:rsidRPr="00D714FC">
        <w:tab/>
      </w:r>
    </w:p>
    <w:p w:rsidR="009A77D6" w:rsidRPr="00D07E1E" w:rsidRDefault="00D07E1E" w:rsidP="00D07E1E">
      <w:pPr>
        <w:pStyle w:val="Heading4"/>
        <w:spacing w:before="0" w:after="0"/>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r w:rsidR="00C21C88" w:rsidRPr="00D07E1E">
        <w:rPr>
          <w:rFonts w:asciiTheme="minorHAnsi" w:hAnsiTheme="minorHAnsi"/>
          <w:sz w:val="18"/>
        </w:rPr>
        <w:t xml:space="preserve"> </w:t>
      </w:r>
    </w:p>
    <w:tbl>
      <w:tblPr>
        <w:tblStyle w:val="TableGrid"/>
        <w:tblW w:w="9322" w:type="dxa"/>
        <w:tblLook w:val="04A0" w:firstRow="1" w:lastRow="0" w:firstColumn="1" w:lastColumn="0" w:noHBand="0" w:noVBand="1"/>
      </w:tblPr>
      <w:tblGrid>
        <w:gridCol w:w="9322"/>
      </w:tblGrid>
      <w:tr w:rsidR="009A77D6" w:rsidTr="00135446">
        <w:tc>
          <w:tcPr>
            <w:tcW w:w="9322" w:type="dxa"/>
            <w:tcBorders>
              <w:top w:val="nil"/>
              <w:left w:val="nil"/>
              <w:bottom w:val="nil"/>
              <w:right w:val="nil"/>
            </w:tcBorders>
            <w:shd w:val="clear" w:color="auto" w:fill="D9D9D9" w:themeFill="background1" w:themeFillShade="D9"/>
          </w:tcPr>
          <w:p w:rsidR="00ED342F" w:rsidRPr="00D714FC" w:rsidRDefault="00ED342F" w:rsidP="00AF7032">
            <w:pPr>
              <w:pStyle w:val="Caption"/>
              <w:rPr>
                <w:rFonts w:eastAsia="Arial"/>
              </w:rPr>
            </w:pPr>
            <w:bookmarkStart w:id="782" w:name="_Toc456783999"/>
            <w:bookmarkStart w:id="783" w:name="_Toc433975297"/>
            <w:bookmarkStart w:id="784" w:name="_Toc435802770"/>
            <w:bookmarkStart w:id="785" w:name="_Toc436123353"/>
            <w:bookmarkStart w:id="786" w:name="_Toc432937542"/>
            <w:bookmarkStart w:id="787" w:name="_Toc433975296"/>
            <w:r w:rsidRPr="00D714FC">
              <w:t xml:space="preserve">Rule advice </w:t>
            </w:r>
            <w:r w:rsidR="007F659D">
              <w:rPr>
                <w:noProof/>
              </w:rPr>
              <w:t>5</w:t>
            </w:r>
            <w:r>
              <w:noBreakHyphen/>
            </w:r>
            <w:r w:rsidR="007F659D">
              <w:rPr>
                <w:noProof/>
              </w:rPr>
              <w:t>N</w:t>
            </w:r>
            <w:bookmarkEnd w:id="782"/>
          </w:p>
          <w:p w:rsidR="009A77D6" w:rsidRPr="00D714FC" w:rsidRDefault="009A77D6" w:rsidP="005F238E">
            <w:pPr>
              <w:pStyle w:val="Heading8"/>
              <w:outlineLvl w:val="7"/>
            </w:pPr>
            <w:bookmarkStart w:id="788" w:name="_Toc456784000"/>
            <w:bookmarkStart w:id="789" w:name="Rule_Advice_5N"/>
            <w:r w:rsidRPr="00D714FC">
              <w:t xml:space="preserve">The rules should be amended such that timeframes that apply to Part 6 processes are as per Table </w:t>
            </w:r>
            <w:r w:rsidRPr="00326F95">
              <w:t>5.</w:t>
            </w:r>
            <w:r w:rsidR="00D1759A">
              <w:t>5</w:t>
            </w:r>
            <w:r w:rsidRPr="00D714FC">
              <w:t>.</w:t>
            </w:r>
            <w:bookmarkEnd w:id="783"/>
            <w:bookmarkEnd w:id="784"/>
            <w:bookmarkEnd w:id="785"/>
            <w:bookmarkEnd w:id="788"/>
          </w:p>
          <w:p w:rsidR="009A77D6" w:rsidRPr="00595835" w:rsidRDefault="009A77D6" w:rsidP="00581287">
            <w:pPr>
              <w:pStyle w:val="Tabletitle"/>
              <w:keepLines/>
              <w:rPr>
                <w:rFonts w:ascii="Verdana" w:hAnsi="Verdana"/>
                <w:sz w:val="20"/>
              </w:rPr>
            </w:pPr>
            <w:bookmarkStart w:id="790" w:name="_Toc433975298"/>
            <w:r w:rsidRPr="00595835">
              <w:rPr>
                <w:rFonts w:ascii="Verdana" w:hAnsi="Verdana"/>
                <w:sz w:val="20"/>
              </w:rPr>
              <w:t>Table 5</w:t>
            </w:r>
            <w:r w:rsidR="00326F95" w:rsidRPr="00595835">
              <w:rPr>
                <w:rFonts w:ascii="Verdana" w:hAnsi="Verdana"/>
                <w:sz w:val="20"/>
              </w:rPr>
              <w:t>.</w:t>
            </w:r>
            <w:r w:rsidR="00D1759A" w:rsidRPr="00595835">
              <w:rPr>
                <w:rFonts w:ascii="Verdana" w:hAnsi="Verdana"/>
                <w:sz w:val="20"/>
              </w:rPr>
              <w:t>5</w:t>
            </w:r>
            <w:r w:rsidRPr="00595835">
              <w:rPr>
                <w:rFonts w:ascii="Verdana" w:hAnsi="Verdana"/>
                <w:sz w:val="20"/>
              </w:rPr>
              <w:t xml:space="preserve">: Proposed Regulatory Timelines for Part 6 </w:t>
            </w:r>
            <w:r w:rsidR="00284FB7" w:rsidRPr="00595835">
              <w:rPr>
                <w:rFonts w:ascii="Verdana" w:hAnsi="Verdana"/>
                <w:sz w:val="20"/>
              </w:rPr>
              <w:t>o</w:t>
            </w:r>
            <w:r w:rsidRPr="00595835">
              <w:rPr>
                <w:rFonts w:ascii="Verdana" w:hAnsi="Verdana"/>
                <w:sz w:val="20"/>
              </w:rPr>
              <w:t>perators</w:t>
            </w:r>
            <w:bookmarkEnd w:id="790"/>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10" w:type="dxa"/>
                <w:right w:w="10" w:type="dxa"/>
              </w:tblCellMar>
              <w:tblLook w:val="0000" w:firstRow="0" w:lastRow="0" w:firstColumn="0" w:lastColumn="0" w:noHBand="0" w:noVBand="0"/>
            </w:tblPr>
            <w:tblGrid>
              <w:gridCol w:w="2024"/>
              <w:gridCol w:w="3118"/>
              <w:gridCol w:w="3686"/>
            </w:tblGrid>
            <w:tr w:rsidR="009A77D6" w:rsidRPr="00DF5192" w:rsidTr="009B6ED8">
              <w:tc>
                <w:tcPr>
                  <w:tcW w:w="2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tcPr>
                <w:p w:rsidR="009A77D6" w:rsidRPr="009B6ED8" w:rsidRDefault="009A77D6" w:rsidP="00581287">
                  <w:pPr>
                    <w:pStyle w:val="tabletext"/>
                    <w:keepNext/>
                    <w:keepLines/>
                    <w:rPr>
                      <w:rFonts w:ascii="Verdana" w:hAnsi="Verdana"/>
                    </w:rPr>
                  </w:pP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tcPr>
                <w:p w:rsidR="009A77D6" w:rsidRPr="009B6ED8" w:rsidRDefault="009A77D6" w:rsidP="00581287">
                  <w:pPr>
                    <w:pStyle w:val="tabletext"/>
                    <w:keepNext/>
                    <w:keepLines/>
                    <w:rPr>
                      <w:rFonts w:ascii="Verdana" w:hAnsi="Verdana"/>
                    </w:rPr>
                  </w:pPr>
                  <w:bookmarkStart w:id="791" w:name="_Toc433975299"/>
                  <w:r w:rsidRPr="009B6ED8">
                    <w:rPr>
                      <w:rFonts w:ascii="Verdana" w:hAnsi="Verdana"/>
                    </w:rPr>
                    <w:t xml:space="preserve">Original </w:t>
                  </w:r>
                  <w:r w:rsidR="004643D1" w:rsidRPr="009B6ED8">
                    <w:rPr>
                      <w:rFonts w:ascii="Verdana" w:hAnsi="Verdana"/>
                    </w:rPr>
                    <w:t>a</w:t>
                  </w:r>
                  <w:r w:rsidRPr="009B6ED8">
                    <w:rPr>
                      <w:rFonts w:ascii="Verdana" w:hAnsi="Verdana"/>
                    </w:rPr>
                    <w:t>pproval</w:t>
                  </w:r>
                  <w:r w:rsidR="000869AC" w:rsidRPr="009B6ED8">
                    <w:rPr>
                      <w:rFonts w:ascii="Verdana" w:hAnsi="Verdana"/>
                    </w:rPr>
                    <w:t xml:space="preserve"> </w:t>
                  </w:r>
                  <w:r w:rsidRPr="009B6ED8">
                    <w:rPr>
                      <w:rFonts w:ascii="Verdana" w:hAnsi="Verdana"/>
                    </w:rPr>
                    <w:t>/</w:t>
                  </w:r>
                  <w:r w:rsidR="000869AC" w:rsidRPr="009B6ED8">
                    <w:rPr>
                      <w:rFonts w:ascii="Verdana" w:hAnsi="Verdana"/>
                    </w:rPr>
                    <w:t xml:space="preserve"> </w:t>
                  </w:r>
                  <w:r w:rsidR="004643D1" w:rsidRPr="009B6ED8">
                    <w:rPr>
                      <w:rFonts w:ascii="Verdana" w:hAnsi="Verdana"/>
                    </w:rPr>
                    <w:t>d</w:t>
                  </w:r>
                  <w:r w:rsidRPr="009B6ED8">
                    <w:rPr>
                      <w:rFonts w:ascii="Verdana" w:hAnsi="Verdana"/>
                    </w:rPr>
                    <w:t>etermination</w:t>
                  </w:r>
                  <w:bookmarkEnd w:id="791"/>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tcPr>
                <w:p w:rsidR="009A77D6" w:rsidRPr="009B6ED8" w:rsidRDefault="009A77D6" w:rsidP="00581287">
                  <w:pPr>
                    <w:pStyle w:val="tabletext"/>
                    <w:keepNext/>
                    <w:keepLines/>
                    <w:rPr>
                      <w:rFonts w:ascii="Verdana" w:hAnsi="Verdana"/>
                    </w:rPr>
                  </w:pPr>
                  <w:bookmarkStart w:id="792" w:name="_Toc433975300"/>
                  <w:r w:rsidRPr="009B6ED8">
                    <w:rPr>
                      <w:rFonts w:ascii="Verdana" w:hAnsi="Verdana"/>
                    </w:rPr>
                    <w:t xml:space="preserve">Annual </w:t>
                  </w:r>
                  <w:r w:rsidR="004643D1" w:rsidRPr="009B6ED8">
                    <w:rPr>
                      <w:rFonts w:ascii="Verdana" w:hAnsi="Verdana"/>
                    </w:rPr>
                    <w:t>r</w:t>
                  </w:r>
                  <w:r w:rsidRPr="009B6ED8">
                    <w:rPr>
                      <w:rFonts w:ascii="Verdana" w:hAnsi="Verdana"/>
                    </w:rPr>
                    <w:t xml:space="preserve">eview </w:t>
                  </w:r>
                  <w:r w:rsidR="004643D1" w:rsidRPr="009B6ED8">
                    <w:rPr>
                      <w:rFonts w:ascii="Verdana" w:hAnsi="Verdana"/>
                    </w:rPr>
                    <w:t>a</w:t>
                  </w:r>
                  <w:r w:rsidRPr="009B6ED8">
                    <w:rPr>
                      <w:rFonts w:ascii="Verdana" w:hAnsi="Verdana"/>
                    </w:rPr>
                    <w:t>pproval</w:t>
                  </w:r>
                  <w:r w:rsidR="000869AC" w:rsidRPr="009B6ED8">
                    <w:rPr>
                      <w:rFonts w:ascii="Verdana" w:hAnsi="Verdana"/>
                    </w:rPr>
                    <w:t xml:space="preserve"> </w:t>
                  </w:r>
                  <w:r w:rsidRPr="009B6ED8">
                    <w:rPr>
                      <w:rFonts w:ascii="Verdana" w:hAnsi="Verdana"/>
                    </w:rPr>
                    <w:t>/</w:t>
                  </w:r>
                  <w:r w:rsidR="000869AC" w:rsidRPr="009B6ED8">
                    <w:rPr>
                      <w:rFonts w:ascii="Verdana" w:hAnsi="Verdana"/>
                    </w:rPr>
                    <w:t xml:space="preserve"> </w:t>
                  </w:r>
                  <w:r w:rsidR="004643D1" w:rsidRPr="009B6ED8">
                    <w:rPr>
                      <w:rFonts w:ascii="Verdana" w:hAnsi="Verdana"/>
                    </w:rPr>
                    <w:t>d</w:t>
                  </w:r>
                  <w:r w:rsidRPr="009B6ED8">
                    <w:rPr>
                      <w:rFonts w:ascii="Verdana" w:hAnsi="Verdana"/>
                    </w:rPr>
                    <w:t>etermination</w:t>
                  </w:r>
                  <w:bookmarkEnd w:id="792"/>
                </w:p>
              </w:tc>
            </w:tr>
            <w:tr w:rsidR="009A77D6" w:rsidRPr="00DF5192" w:rsidTr="009B6ED8">
              <w:tc>
                <w:tcPr>
                  <w:tcW w:w="2024" w:type="dxa"/>
                  <w:tcBorders>
                    <w:top w:val="single" w:sz="4" w:space="0" w:color="auto"/>
                  </w:tcBorders>
                  <w:shd w:val="clear" w:color="auto" w:fill="D9D9D9" w:themeFill="background1" w:themeFillShade="D9"/>
                  <w:tcMar>
                    <w:left w:w="108" w:type="dxa"/>
                    <w:right w:w="108" w:type="dxa"/>
                  </w:tcMar>
                </w:tcPr>
                <w:p w:rsidR="009A77D6" w:rsidRPr="009B6ED8" w:rsidRDefault="00877CE5" w:rsidP="00877CE5">
                  <w:pPr>
                    <w:pStyle w:val="tabletext"/>
                    <w:keepNext/>
                    <w:keepLines/>
                    <w:rPr>
                      <w:rFonts w:ascii="Verdana" w:hAnsi="Verdana"/>
                    </w:rPr>
                  </w:pPr>
                  <w:bookmarkStart w:id="793" w:name="_Toc433975301"/>
                  <w:r w:rsidRPr="009B6ED8">
                    <w:rPr>
                      <w:rFonts w:ascii="Verdana" w:hAnsi="Verdana"/>
                    </w:rPr>
                    <w:t>Application for a</w:t>
                  </w:r>
                  <w:r w:rsidR="009A77D6" w:rsidRPr="009B6ED8">
                    <w:rPr>
                      <w:rFonts w:ascii="Verdana" w:hAnsi="Verdana"/>
                    </w:rPr>
                    <w:t>pproval</w:t>
                  </w:r>
                  <w:r w:rsidR="000869AC" w:rsidRPr="009B6ED8">
                    <w:rPr>
                      <w:rFonts w:ascii="Verdana" w:hAnsi="Verdana"/>
                    </w:rPr>
                    <w:t xml:space="preserve"> </w:t>
                  </w:r>
                  <w:r w:rsidR="009A77D6" w:rsidRPr="009B6ED8">
                    <w:rPr>
                      <w:rFonts w:ascii="Verdana" w:hAnsi="Verdana"/>
                    </w:rPr>
                    <w:t>/</w:t>
                  </w:r>
                  <w:r w:rsidR="000869AC" w:rsidRPr="009B6ED8">
                    <w:rPr>
                      <w:rFonts w:ascii="Verdana" w:hAnsi="Verdana"/>
                    </w:rPr>
                    <w:t xml:space="preserve"> </w:t>
                  </w:r>
                  <w:r w:rsidR="004643D1" w:rsidRPr="009B6ED8">
                    <w:rPr>
                      <w:rFonts w:ascii="Verdana" w:hAnsi="Verdana"/>
                    </w:rPr>
                    <w:t>d</w:t>
                  </w:r>
                  <w:r w:rsidR="009A77D6" w:rsidRPr="009B6ED8">
                    <w:rPr>
                      <w:rFonts w:ascii="Verdana" w:hAnsi="Verdana"/>
                    </w:rPr>
                    <w:t>etermination lodged</w:t>
                  </w:r>
                  <w:bookmarkEnd w:id="793"/>
                </w:p>
              </w:tc>
              <w:tc>
                <w:tcPr>
                  <w:tcW w:w="3118" w:type="dxa"/>
                  <w:tcBorders>
                    <w:top w:val="single" w:sz="4" w:space="0" w:color="auto"/>
                  </w:tcBorders>
                  <w:shd w:val="clear" w:color="auto" w:fill="D9D9D9" w:themeFill="background1" w:themeFillShade="D9"/>
                  <w:tcMar>
                    <w:left w:w="108" w:type="dxa"/>
                    <w:right w:w="108" w:type="dxa"/>
                  </w:tcMar>
                </w:tcPr>
                <w:p w:rsidR="009A77D6" w:rsidRPr="009B6ED8" w:rsidRDefault="009A77D6" w:rsidP="00581287">
                  <w:pPr>
                    <w:pStyle w:val="tabletext"/>
                    <w:keepNext/>
                    <w:keepLines/>
                    <w:rPr>
                      <w:rFonts w:ascii="Verdana" w:hAnsi="Verdana"/>
                    </w:rPr>
                  </w:pPr>
                  <w:bookmarkStart w:id="794" w:name="_Toc433975302"/>
                  <w:r w:rsidRPr="009B6ED8">
                    <w:rPr>
                      <w:rFonts w:ascii="Verdana" w:hAnsi="Verdana"/>
                    </w:rPr>
                    <w:t xml:space="preserve">15 months before the start of the regulatory period to which the approval </w:t>
                  </w:r>
                  <w:r w:rsidR="009452DA" w:rsidRPr="009B6ED8">
                    <w:rPr>
                      <w:rFonts w:ascii="Verdana" w:hAnsi="Verdana"/>
                    </w:rPr>
                    <w:t xml:space="preserve">/ </w:t>
                  </w:r>
                  <w:r w:rsidRPr="009B6ED8">
                    <w:rPr>
                      <w:rFonts w:ascii="Verdana" w:hAnsi="Verdana"/>
                    </w:rPr>
                    <w:t>determination relates.</w:t>
                  </w:r>
                  <w:bookmarkEnd w:id="794"/>
                </w:p>
              </w:tc>
              <w:tc>
                <w:tcPr>
                  <w:tcW w:w="3686" w:type="dxa"/>
                  <w:tcBorders>
                    <w:top w:val="single" w:sz="4" w:space="0" w:color="auto"/>
                  </w:tcBorders>
                  <w:shd w:val="clear" w:color="auto" w:fill="D9D9D9" w:themeFill="background1" w:themeFillShade="D9"/>
                  <w:tcMar>
                    <w:left w:w="108" w:type="dxa"/>
                    <w:right w:w="108" w:type="dxa"/>
                  </w:tcMar>
                </w:tcPr>
                <w:p w:rsidR="009A77D6" w:rsidRPr="009B6ED8" w:rsidRDefault="009A77D6" w:rsidP="00581287">
                  <w:pPr>
                    <w:pStyle w:val="tabletext"/>
                    <w:keepNext/>
                    <w:keepLines/>
                    <w:rPr>
                      <w:rFonts w:ascii="Verdana" w:hAnsi="Verdana"/>
                    </w:rPr>
                  </w:pPr>
                  <w:bookmarkStart w:id="795" w:name="_Toc433975303"/>
                  <w:r w:rsidRPr="009B6ED8">
                    <w:rPr>
                      <w:rFonts w:ascii="Verdana" w:hAnsi="Verdana"/>
                    </w:rPr>
                    <w:t>4 months before the start of the year of the regulatory period to which the approval / determination relates.</w:t>
                  </w:r>
                  <w:bookmarkEnd w:id="795"/>
                </w:p>
              </w:tc>
            </w:tr>
            <w:tr w:rsidR="009A77D6" w:rsidRPr="00DF5192" w:rsidTr="009B6ED8">
              <w:tc>
                <w:tcPr>
                  <w:tcW w:w="2024" w:type="dxa"/>
                  <w:shd w:val="clear" w:color="auto" w:fill="D9D9D9" w:themeFill="background1" w:themeFillShade="D9"/>
                  <w:tcMar>
                    <w:left w:w="108" w:type="dxa"/>
                    <w:right w:w="108" w:type="dxa"/>
                  </w:tcMar>
                </w:tcPr>
                <w:p w:rsidR="009A77D6" w:rsidRPr="009B6ED8" w:rsidRDefault="009A77D6" w:rsidP="00581287">
                  <w:pPr>
                    <w:pStyle w:val="tabletext"/>
                    <w:keepNext/>
                    <w:keepLines/>
                    <w:rPr>
                      <w:rFonts w:ascii="Verdana" w:hAnsi="Verdana"/>
                    </w:rPr>
                  </w:pPr>
                  <w:bookmarkStart w:id="796" w:name="_Toc433975304"/>
                  <w:r w:rsidRPr="009B6ED8">
                    <w:rPr>
                      <w:rFonts w:ascii="Verdana" w:hAnsi="Verdana"/>
                    </w:rPr>
                    <w:t>Regulator provides notice of its final decision</w:t>
                  </w:r>
                  <w:bookmarkEnd w:id="796"/>
                </w:p>
              </w:tc>
              <w:tc>
                <w:tcPr>
                  <w:tcW w:w="3118" w:type="dxa"/>
                  <w:shd w:val="clear" w:color="auto" w:fill="D9D9D9" w:themeFill="background1" w:themeFillShade="D9"/>
                  <w:tcMar>
                    <w:left w:w="108" w:type="dxa"/>
                    <w:right w:w="108" w:type="dxa"/>
                  </w:tcMar>
                </w:tcPr>
                <w:p w:rsidR="009A77D6" w:rsidRPr="009B6ED8" w:rsidRDefault="009A77D6" w:rsidP="00581287">
                  <w:pPr>
                    <w:pStyle w:val="tabletext"/>
                    <w:keepNext/>
                    <w:keepLines/>
                    <w:rPr>
                      <w:rFonts w:ascii="Verdana" w:hAnsi="Verdana"/>
                    </w:rPr>
                  </w:pPr>
                  <w:bookmarkStart w:id="797" w:name="_Toc433975305"/>
                  <w:r w:rsidRPr="009B6ED8">
                    <w:rPr>
                      <w:rFonts w:ascii="Verdana" w:hAnsi="Verdana"/>
                    </w:rPr>
                    <w:t>30 business days before the start of regulatory period to which the approval /</w:t>
                  </w:r>
                  <w:r w:rsidR="000869AC" w:rsidRPr="009B6ED8">
                    <w:rPr>
                      <w:rFonts w:ascii="Verdana" w:hAnsi="Verdana"/>
                    </w:rPr>
                    <w:t xml:space="preserve"> </w:t>
                  </w:r>
                  <w:r w:rsidRPr="009B6ED8">
                    <w:rPr>
                      <w:rFonts w:ascii="Verdana" w:hAnsi="Verdana"/>
                    </w:rPr>
                    <w:t>determination relates.</w:t>
                  </w:r>
                  <w:bookmarkEnd w:id="797"/>
                </w:p>
              </w:tc>
              <w:tc>
                <w:tcPr>
                  <w:tcW w:w="3686" w:type="dxa"/>
                  <w:shd w:val="clear" w:color="auto" w:fill="D9D9D9" w:themeFill="background1" w:themeFillShade="D9"/>
                  <w:tcMar>
                    <w:left w:w="108" w:type="dxa"/>
                    <w:right w:w="108" w:type="dxa"/>
                  </w:tcMar>
                </w:tcPr>
                <w:p w:rsidR="009A77D6" w:rsidRPr="009B6ED8" w:rsidRDefault="009A77D6" w:rsidP="00581287">
                  <w:pPr>
                    <w:pStyle w:val="tabletext"/>
                    <w:keepNext/>
                    <w:keepLines/>
                    <w:rPr>
                      <w:rFonts w:ascii="Verdana" w:hAnsi="Verdana"/>
                    </w:rPr>
                  </w:pPr>
                  <w:bookmarkStart w:id="798" w:name="_Toc433975306"/>
                  <w:r w:rsidRPr="009B6ED8">
                    <w:rPr>
                      <w:rFonts w:ascii="Verdana" w:hAnsi="Verdana"/>
                    </w:rPr>
                    <w:t>30 business days before the start of the year of the regulatory period to which the approval</w:t>
                  </w:r>
                  <w:r w:rsidR="000869AC" w:rsidRPr="009B6ED8">
                    <w:rPr>
                      <w:rFonts w:ascii="Verdana" w:hAnsi="Verdana"/>
                    </w:rPr>
                    <w:t xml:space="preserve"> </w:t>
                  </w:r>
                  <w:r w:rsidRPr="009B6ED8">
                    <w:rPr>
                      <w:rFonts w:ascii="Verdana" w:hAnsi="Verdana"/>
                    </w:rPr>
                    <w:t>/</w:t>
                  </w:r>
                  <w:r w:rsidR="000869AC" w:rsidRPr="009B6ED8">
                    <w:rPr>
                      <w:rFonts w:ascii="Verdana" w:hAnsi="Verdana"/>
                    </w:rPr>
                    <w:t xml:space="preserve"> </w:t>
                  </w:r>
                  <w:r w:rsidRPr="009B6ED8">
                    <w:rPr>
                      <w:rFonts w:ascii="Verdana" w:hAnsi="Verdana"/>
                    </w:rPr>
                    <w:t>determination relates.</w:t>
                  </w:r>
                  <w:bookmarkEnd w:id="798"/>
                </w:p>
              </w:tc>
            </w:tr>
          </w:tbl>
          <w:p w:rsidR="00284FB7" w:rsidRPr="00AF7032" w:rsidRDefault="00284FB7" w:rsidP="00581287">
            <w:pPr>
              <w:pStyle w:val="Heading8"/>
              <w:keepNext/>
              <w:keepLines/>
              <w:spacing w:before="120"/>
              <w:outlineLvl w:val="7"/>
              <w:rPr>
                <w:sz w:val="18"/>
              </w:rPr>
            </w:pPr>
            <w:bookmarkStart w:id="799" w:name="_Toc456784001"/>
            <w:bookmarkStart w:id="800" w:name="_Toc433975313"/>
            <w:r w:rsidRPr="00AF7032">
              <w:rPr>
                <w:i/>
                <w:sz w:val="18"/>
              </w:rPr>
              <w:t>Note:</w:t>
            </w:r>
            <w:r w:rsidRPr="00AF7032">
              <w:rPr>
                <w:sz w:val="18"/>
              </w:rPr>
              <w:t xml:space="preserve"> Rule advice 5-I sets out </w:t>
            </w:r>
            <w:r w:rsidR="005B6D26" w:rsidRPr="00AF7032">
              <w:rPr>
                <w:sz w:val="18"/>
              </w:rPr>
              <w:t>S</w:t>
            </w:r>
            <w:r w:rsidRPr="00AF7032">
              <w:rPr>
                <w:sz w:val="18"/>
              </w:rPr>
              <w:t xml:space="preserve">chedule of </w:t>
            </w:r>
            <w:r w:rsidR="005B6D26" w:rsidRPr="00AF7032">
              <w:rPr>
                <w:sz w:val="18"/>
              </w:rPr>
              <w:t>C</w:t>
            </w:r>
            <w:r w:rsidRPr="00AF7032">
              <w:rPr>
                <w:sz w:val="18"/>
              </w:rPr>
              <w:t>harge publication requirements (see section 5.4.2).</w:t>
            </w:r>
            <w:bookmarkEnd w:id="799"/>
          </w:p>
          <w:p w:rsidR="009A77D6" w:rsidRPr="00E42371" w:rsidRDefault="009A77D6" w:rsidP="00752375">
            <w:pPr>
              <w:pStyle w:val="Heading8"/>
              <w:outlineLvl w:val="7"/>
              <w:rPr>
                <w:color w:val="C00000"/>
                <w:sz w:val="18"/>
              </w:rPr>
            </w:pPr>
            <w:bookmarkStart w:id="801" w:name="_Toc435802771"/>
            <w:bookmarkStart w:id="802" w:name="_Toc436123354"/>
            <w:bookmarkStart w:id="803" w:name="_Toc456784002"/>
            <w:bookmarkEnd w:id="800"/>
            <w:r>
              <w:rPr>
                <w:rFonts w:ascii="Times New Roman" w:hAnsi="Times New Roman"/>
              </w:rPr>
              <w:t xml:space="preserve">This rule advice is implemented in Part 6, Divisions 2 and 3 of the proposed </w:t>
            </w:r>
            <w:r w:rsidR="00436161">
              <w:rPr>
                <w:rFonts w:ascii="Times New Roman" w:hAnsi="Times New Roman"/>
              </w:rPr>
              <w:t>W</w:t>
            </w:r>
            <w:r>
              <w:rPr>
                <w:rFonts w:ascii="Times New Roman" w:hAnsi="Times New Roman"/>
              </w:rPr>
              <w:t xml:space="preserve">ater </w:t>
            </w:r>
            <w:r w:rsidR="00436161">
              <w:rPr>
                <w:rFonts w:ascii="Times New Roman" w:hAnsi="Times New Roman"/>
              </w:rPr>
              <w:t>C</w:t>
            </w:r>
            <w:r>
              <w:rPr>
                <w:rFonts w:ascii="Times New Roman" w:hAnsi="Times New Roman"/>
              </w:rPr>
              <w:t xml:space="preserve">harge </w:t>
            </w:r>
            <w:r w:rsidR="00436161">
              <w:rPr>
                <w:rFonts w:ascii="Times New Roman" w:hAnsi="Times New Roman"/>
              </w:rPr>
              <w:t>R</w:t>
            </w:r>
            <w:r>
              <w:rPr>
                <w:rFonts w:ascii="Times New Roman" w:hAnsi="Times New Roman"/>
              </w:rPr>
              <w:t>ules.</w:t>
            </w:r>
            <w:bookmarkEnd w:id="789"/>
            <w:bookmarkEnd w:id="801"/>
            <w:bookmarkEnd w:id="802"/>
            <w:bookmarkEnd w:id="803"/>
            <w:r w:rsidR="00752375">
              <w:rPr>
                <w:rFonts w:ascii="Times New Roman" w:hAnsi="Times New Roman"/>
              </w:rPr>
              <w:t xml:space="preserve"> </w:t>
            </w:r>
          </w:p>
        </w:tc>
      </w:tr>
    </w:tbl>
    <w:bookmarkEnd w:id="786"/>
    <w:bookmarkEnd w:id="787"/>
    <w:p w:rsidR="00A458F7" w:rsidRPr="006246A8" w:rsidRDefault="00A458F7" w:rsidP="00A458F7">
      <w:pPr>
        <w:pStyle w:val="Heading4"/>
      </w:pPr>
      <w:r>
        <w:t>Background</w:t>
      </w:r>
    </w:p>
    <w:p w:rsidR="00061C7E" w:rsidRDefault="00061C7E" w:rsidP="00061C7E">
      <w:pPr>
        <w:rPr>
          <w:rFonts w:cs="Times New Roman"/>
        </w:rPr>
      </w:pPr>
      <w:r w:rsidRPr="00D714FC">
        <w:rPr>
          <w:rFonts w:cs="Times New Roman"/>
        </w:rPr>
        <w:t xml:space="preserve">Under the </w:t>
      </w:r>
      <w:r w:rsidR="00E623B1" w:rsidRPr="0067271D">
        <w:rPr>
          <w:rFonts w:cs="Times New Roman"/>
        </w:rPr>
        <w:t>Water Charge (Infrastructure) Rules 2010</w:t>
      </w:r>
      <w:r w:rsidR="00E623B1">
        <w:rPr>
          <w:rFonts w:cs="Times New Roman"/>
        </w:rPr>
        <w:t xml:space="preserve"> (</w:t>
      </w:r>
      <w:r w:rsidRPr="00D714FC">
        <w:rPr>
          <w:rFonts w:cs="Times New Roman"/>
        </w:rPr>
        <w:t>WCIR</w:t>
      </w:r>
      <w:r w:rsidR="00E623B1">
        <w:rPr>
          <w:rFonts w:cs="Times New Roman"/>
        </w:rPr>
        <w:t>)</w:t>
      </w:r>
      <w:r w:rsidRPr="00D714FC">
        <w:rPr>
          <w:rFonts w:cs="Times New Roman"/>
        </w:rPr>
        <w:t xml:space="preserve">, </w:t>
      </w:r>
      <w:r w:rsidR="0034177E">
        <w:rPr>
          <w:rFonts w:cs="Times New Roman"/>
        </w:rPr>
        <w:t>the</w:t>
      </w:r>
      <w:r w:rsidR="0034177E" w:rsidRPr="00D714FC">
        <w:rPr>
          <w:rFonts w:cs="Times New Roman"/>
        </w:rPr>
        <w:t xml:space="preserve"> </w:t>
      </w:r>
      <w:r w:rsidRPr="00D714FC">
        <w:rPr>
          <w:rFonts w:cs="Times New Roman"/>
        </w:rPr>
        <w:t xml:space="preserve">regulator has 13 months from the time an application is received from a Part 6 operator to make a decision as to the approval or determination of a Part 6 operator’s charges. However, there is no statutory deadline for </w:t>
      </w:r>
      <w:r w:rsidR="00546C97">
        <w:rPr>
          <w:rFonts w:cs="Times New Roman"/>
        </w:rPr>
        <w:t>the</w:t>
      </w:r>
      <w:r w:rsidRPr="00D714FC">
        <w:rPr>
          <w:rFonts w:cs="Times New Roman"/>
        </w:rPr>
        <w:t xml:space="preserve"> operator to lodge their application.</w:t>
      </w:r>
      <w:r w:rsidRPr="00D714FC">
        <w:rPr>
          <w:rStyle w:val="FootnoteReference"/>
          <w:rFonts w:cs="Times New Roman"/>
        </w:rPr>
        <w:footnoteReference w:id="388"/>
      </w:r>
      <w:r w:rsidRPr="00D714FC">
        <w:rPr>
          <w:rFonts w:cs="Times New Roman"/>
        </w:rPr>
        <w:t xml:space="preserve"> Further specific procedural requirements for the approval and determination of Part 6 operators’ charges are set out in Part 6 and </w:t>
      </w:r>
      <w:r w:rsidR="005B6D26">
        <w:rPr>
          <w:rFonts w:cs="Times New Roman"/>
        </w:rPr>
        <w:t>s</w:t>
      </w:r>
      <w:r w:rsidRPr="00D714FC">
        <w:rPr>
          <w:rFonts w:cs="Times New Roman"/>
        </w:rPr>
        <w:t>chedules 1 and 2 of the WCIR.</w:t>
      </w:r>
      <w:r w:rsidRPr="00D714FC">
        <w:rPr>
          <w:rStyle w:val="FootnoteReference"/>
          <w:rFonts w:cs="Times New Roman"/>
        </w:rPr>
        <w:footnoteReference w:id="389"/>
      </w:r>
      <w:r w:rsidRPr="00D714FC">
        <w:rPr>
          <w:rFonts w:cs="Times New Roman"/>
        </w:rPr>
        <w:t xml:space="preserve"> The ACCC has also produced guidelines in relation to applications under Part 6.</w:t>
      </w:r>
      <w:r w:rsidRPr="00D714FC">
        <w:rPr>
          <w:rStyle w:val="FootnoteReference"/>
          <w:rFonts w:cs="Times New Roman"/>
        </w:rPr>
        <w:footnoteReference w:id="390"/>
      </w:r>
    </w:p>
    <w:p w:rsidR="0034177E" w:rsidRDefault="0034177E" w:rsidP="00061C7E">
      <w:pPr>
        <w:rPr>
          <w:rFonts w:cs="Times New Roman"/>
        </w:rPr>
      </w:pPr>
      <w:r>
        <w:rPr>
          <w:rFonts w:cs="Times New Roman"/>
        </w:rPr>
        <w:t xml:space="preserve">In its Draft Advice, the ACCC </w:t>
      </w:r>
      <w:r w:rsidR="008F2399">
        <w:rPr>
          <w:rFonts w:cs="Times New Roman"/>
        </w:rPr>
        <w:t xml:space="preserve">considered both the timelines involved in making a decision under Part 6 and the consultation requirements of Part 6. </w:t>
      </w:r>
      <w:r w:rsidR="0025341A">
        <w:rPr>
          <w:rFonts w:cs="Times New Roman"/>
        </w:rPr>
        <w:t>These issues are addressed in turn below.</w:t>
      </w:r>
    </w:p>
    <w:p w:rsidR="008F2399" w:rsidRPr="00AC1ACB" w:rsidRDefault="008F2399" w:rsidP="004A623F">
      <w:pPr>
        <w:pStyle w:val="Heading5"/>
        <w:rPr>
          <w:rStyle w:val="SubtleEmphasis"/>
          <w:i w:val="0"/>
          <w:iCs w:val="0"/>
          <w:color w:val="auto"/>
        </w:rPr>
      </w:pPr>
      <w:r w:rsidRPr="00AC1ACB">
        <w:rPr>
          <w:rStyle w:val="SubtleEmphasis"/>
          <w:i w:val="0"/>
          <w:iCs w:val="0"/>
          <w:color w:val="auto"/>
        </w:rPr>
        <w:t>Timeliness of regulatory decisions</w:t>
      </w:r>
    </w:p>
    <w:p w:rsidR="008F2399" w:rsidRPr="00D714FC" w:rsidRDefault="008F2399" w:rsidP="008F2399">
      <w:pPr>
        <w:rPr>
          <w:rFonts w:cs="Times New Roman"/>
          <w:iCs/>
          <w:color w:val="000000"/>
        </w:rPr>
      </w:pPr>
      <w:r>
        <w:rPr>
          <w:rFonts w:cs="Times New Roman"/>
          <w:iCs/>
          <w:color w:val="000000"/>
        </w:rPr>
        <w:t>Currently u</w:t>
      </w:r>
      <w:r w:rsidRPr="00D714FC">
        <w:rPr>
          <w:rFonts w:cs="Times New Roman"/>
          <w:iCs/>
          <w:color w:val="000000"/>
        </w:rPr>
        <w:t xml:space="preserve">nder WCIR </w:t>
      </w:r>
      <w:r w:rsidR="00DB6AE4">
        <w:rPr>
          <w:rFonts w:cs="Times New Roman"/>
          <w:iCs/>
          <w:color w:val="000000"/>
        </w:rPr>
        <w:t>r</w:t>
      </w:r>
      <w:r w:rsidRPr="00D714FC">
        <w:rPr>
          <w:rFonts w:cs="Times New Roman"/>
          <w:iCs/>
          <w:color w:val="000000"/>
        </w:rPr>
        <w:t xml:space="preserve">ule 7, an infrastructure operator must give a copy of its Schedule of Charges to a customer at least 10 business days before the service is provided. </w:t>
      </w:r>
      <w:r w:rsidRPr="00D714FC">
        <w:rPr>
          <w:rFonts w:cs="Times New Roman"/>
        </w:rPr>
        <w:t>This requirement applies to all infrastructure operators. Some infrastructure operators provide on-river infrastructure services to customers that are also infrastructure operators</w:t>
      </w:r>
      <w:r>
        <w:rPr>
          <w:rFonts w:cs="Times New Roman"/>
        </w:rPr>
        <w:t xml:space="preserve"> (for example, operators who only provide off-river infrastructure service).</w:t>
      </w:r>
      <w:r w:rsidRPr="00D714FC">
        <w:rPr>
          <w:rFonts w:cs="Times New Roman"/>
        </w:rPr>
        <w:t xml:space="preserve"> For example, WaterNSW imposes charges for storage and delivery services on </w:t>
      </w:r>
      <w:r w:rsidR="00546C97">
        <w:rPr>
          <w:rFonts w:cs="Times New Roman"/>
        </w:rPr>
        <w:t>Western Murray Irrigation</w:t>
      </w:r>
      <w:r w:rsidR="006F0423">
        <w:rPr>
          <w:rFonts w:cs="Times New Roman"/>
        </w:rPr>
        <w:t xml:space="preserve"> (WMI)</w:t>
      </w:r>
      <w:r w:rsidRPr="00D714FC">
        <w:rPr>
          <w:rFonts w:cs="Times New Roman"/>
        </w:rPr>
        <w:t xml:space="preserve">, who in turn recovers these charges from its customers. </w:t>
      </w:r>
    </w:p>
    <w:p w:rsidR="008F2399" w:rsidRPr="00D714FC" w:rsidRDefault="008F2399" w:rsidP="008F2399">
      <w:pPr>
        <w:rPr>
          <w:rFonts w:cs="Times New Roman"/>
          <w:iCs/>
          <w:color w:val="000000"/>
        </w:rPr>
      </w:pPr>
      <w:r>
        <w:rPr>
          <w:rFonts w:cs="Times New Roman"/>
          <w:iCs/>
          <w:color w:val="000000"/>
        </w:rPr>
        <w:t>Infrastructure operators</w:t>
      </w:r>
      <w:r w:rsidRPr="00D714FC">
        <w:rPr>
          <w:rFonts w:cs="Times New Roman"/>
          <w:iCs/>
          <w:color w:val="000000"/>
        </w:rPr>
        <w:t xml:space="preserve"> </w:t>
      </w:r>
      <w:r>
        <w:rPr>
          <w:rFonts w:cs="Times New Roman"/>
          <w:iCs/>
          <w:color w:val="000000"/>
        </w:rPr>
        <w:t xml:space="preserve">who receive on-river infrastructure services provided by a Part 6 operator </w:t>
      </w:r>
      <w:r w:rsidRPr="00D714FC">
        <w:rPr>
          <w:rFonts w:cs="Times New Roman"/>
          <w:iCs/>
          <w:color w:val="000000"/>
        </w:rPr>
        <w:t xml:space="preserve">have raised concerns, both during the WaterNSW 2014-15 price determination and during the consultation process for the </w:t>
      </w:r>
      <w:r w:rsidR="00436161">
        <w:rPr>
          <w:rFonts w:cs="Times New Roman"/>
          <w:iCs/>
          <w:color w:val="000000"/>
        </w:rPr>
        <w:t>w</w:t>
      </w:r>
      <w:r w:rsidRPr="00D714FC">
        <w:rPr>
          <w:rFonts w:cs="Times New Roman"/>
          <w:iCs/>
          <w:color w:val="000000"/>
        </w:rPr>
        <w:t xml:space="preserve">ater </w:t>
      </w:r>
      <w:r w:rsidR="00436161">
        <w:rPr>
          <w:rFonts w:cs="Times New Roman"/>
          <w:iCs/>
          <w:color w:val="000000"/>
        </w:rPr>
        <w:t>c</w:t>
      </w:r>
      <w:r w:rsidRPr="00D714FC">
        <w:rPr>
          <w:rFonts w:cs="Times New Roman"/>
          <w:iCs/>
          <w:color w:val="000000"/>
        </w:rPr>
        <w:t xml:space="preserve">harge </w:t>
      </w:r>
      <w:r w:rsidR="00436161">
        <w:rPr>
          <w:rFonts w:cs="Times New Roman"/>
          <w:iCs/>
          <w:color w:val="000000"/>
        </w:rPr>
        <w:t>r</w:t>
      </w:r>
      <w:r w:rsidRPr="00D714FC">
        <w:rPr>
          <w:rFonts w:cs="Times New Roman"/>
          <w:iCs/>
          <w:color w:val="000000"/>
        </w:rPr>
        <w:t xml:space="preserve">ules review, that the regulator’s decisions on regulated charges of </w:t>
      </w:r>
      <w:r>
        <w:rPr>
          <w:rFonts w:cs="Times New Roman"/>
          <w:iCs/>
          <w:color w:val="000000"/>
        </w:rPr>
        <w:t xml:space="preserve">those </w:t>
      </w:r>
      <w:r w:rsidRPr="00D714FC">
        <w:rPr>
          <w:rFonts w:cs="Times New Roman"/>
          <w:iCs/>
          <w:color w:val="000000"/>
        </w:rPr>
        <w:t xml:space="preserve">Part 6 operators who supply on-river infrastructure services to </w:t>
      </w:r>
      <w:r>
        <w:rPr>
          <w:rFonts w:cs="Times New Roman"/>
          <w:iCs/>
          <w:color w:val="000000"/>
        </w:rPr>
        <w:t>other operators</w:t>
      </w:r>
      <w:r w:rsidRPr="00D714FC">
        <w:rPr>
          <w:rFonts w:cs="Times New Roman"/>
          <w:iCs/>
          <w:color w:val="000000"/>
        </w:rPr>
        <w:t xml:space="preserve"> have been too late to allow th</w:t>
      </w:r>
      <w:r>
        <w:rPr>
          <w:rFonts w:cs="Times New Roman"/>
          <w:iCs/>
          <w:color w:val="000000"/>
        </w:rPr>
        <w:t>os</w:t>
      </w:r>
      <w:r w:rsidRPr="00D714FC">
        <w:rPr>
          <w:rFonts w:cs="Times New Roman"/>
          <w:iCs/>
          <w:color w:val="000000"/>
        </w:rPr>
        <w:t>e</w:t>
      </w:r>
      <w:r>
        <w:rPr>
          <w:rFonts w:cs="Times New Roman"/>
          <w:iCs/>
          <w:color w:val="000000"/>
        </w:rPr>
        <w:t xml:space="preserve"> other operators</w:t>
      </w:r>
      <w:r w:rsidRPr="00D714FC">
        <w:rPr>
          <w:rFonts w:cs="Times New Roman"/>
          <w:iCs/>
          <w:color w:val="000000"/>
        </w:rPr>
        <w:t xml:space="preserve"> enough time to prepare and send their own Schedules of Charges before the start of the </w:t>
      </w:r>
      <w:r>
        <w:rPr>
          <w:rFonts w:cs="Times New Roman"/>
          <w:iCs/>
          <w:color w:val="000000"/>
        </w:rPr>
        <w:t xml:space="preserve">new water </w:t>
      </w:r>
      <w:r w:rsidRPr="00D714FC">
        <w:rPr>
          <w:rFonts w:cs="Times New Roman"/>
          <w:iCs/>
          <w:color w:val="000000"/>
        </w:rPr>
        <w:t xml:space="preserve">year. </w:t>
      </w:r>
    </w:p>
    <w:p w:rsidR="008F2399" w:rsidRPr="00D714FC" w:rsidRDefault="008F2399" w:rsidP="008F2399">
      <w:pPr>
        <w:rPr>
          <w:rFonts w:cs="Times New Roman"/>
          <w:iCs/>
          <w:color w:val="000000"/>
        </w:rPr>
      </w:pPr>
      <w:r w:rsidRPr="00D714FC">
        <w:rPr>
          <w:rFonts w:cs="Times New Roman"/>
          <w:iCs/>
          <w:color w:val="000000"/>
        </w:rPr>
        <w:t xml:space="preserve">Enabling more timely decisions for Part 6 operators would assist </w:t>
      </w:r>
      <w:r>
        <w:rPr>
          <w:rFonts w:cs="Times New Roman"/>
          <w:iCs/>
          <w:color w:val="000000"/>
        </w:rPr>
        <w:t>operators</w:t>
      </w:r>
      <w:r w:rsidRPr="00D714FC">
        <w:rPr>
          <w:rFonts w:cs="Times New Roman"/>
          <w:iCs/>
          <w:color w:val="000000"/>
        </w:rPr>
        <w:t xml:space="preserve"> to provide their Schedules of Charges in a timelier manner, but requires consideration of all the stages in a </w:t>
      </w:r>
      <w:r>
        <w:rPr>
          <w:rFonts w:cs="Times New Roman"/>
          <w:iCs/>
          <w:color w:val="000000"/>
        </w:rPr>
        <w:t>charge determination process</w:t>
      </w:r>
      <w:r w:rsidRPr="00D714FC">
        <w:rPr>
          <w:rFonts w:cs="Times New Roman"/>
          <w:iCs/>
          <w:color w:val="000000"/>
        </w:rPr>
        <w:t>, from the application through to the notifications to customers.</w:t>
      </w:r>
    </w:p>
    <w:p w:rsidR="008F2399" w:rsidRPr="00D714FC" w:rsidRDefault="008F2399" w:rsidP="008F2399">
      <w:pPr>
        <w:rPr>
          <w:rFonts w:cs="Times New Roman"/>
          <w:color w:val="000000"/>
        </w:rPr>
      </w:pPr>
      <w:r w:rsidRPr="00D714FC">
        <w:rPr>
          <w:rFonts w:cs="Times New Roman"/>
          <w:color w:val="000000"/>
        </w:rPr>
        <w:t xml:space="preserve">The </w:t>
      </w:r>
      <w:r>
        <w:rPr>
          <w:rFonts w:cs="Times New Roman"/>
          <w:color w:val="000000"/>
        </w:rPr>
        <w:t>rules</w:t>
      </w:r>
      <w:r w:rsidRPr="00D714FC">
        <w:rPr>
          <w:rFonts w:cs="Times New Roman"/>
          <w:color w:val="000000"/>
        </w:rPr>
        <w:t xml:space="preserve"> </w:t>
      </w:r>
      <w:r w:rsidR="00067463">
        <w:rPr>
          <w:rFonts w:cs="Times New Roman"/>
          <w:color w:val="000000"/>
        </w:rPr>
        <w:t xml:space="preserve">currently </w:t>
      </w:r>
      <w:r w:rsidRPr="00D714FC">
        <w:rPr>
          <w:rFonts w:cs="Times New Roman"/>
          <w:color w:val="000000"/>
        </w:rPr>
        <w:t xml:space="preserve">do not prescribe that the regulator’s decision must be notified by any particular time before the start of the year to which the charges relate. </w:t>
      </w:r>
      <w:r w:rsidR="0025341A">
        <w:rPr>
          <w:rFonts w:cs="Times New Roman"/>
          <w:color w:val="000000"/>
        </w:rPr>
        <w:t>Also, a</w:t>
      </w:r>
      <w:r w:rsidRPr="00D714FC">
        <w:rPr>
          <w:rFonts w:cs="Times New Roman"/>
          <w:color w:val="000000"/>
        </w:rPr>
        <w:t>lthough rule 30 requires that the regulator’s decision must be made within 13 months after receiving the operator’s application under Part 6, Division 1, the WCIR do not prescribe any time within which the application must be submitted. Similarly, for the annual review</w:t>
      </w:r>
      <w:r>
        <w:rPr>
          <w:rFonts w:cs="Times New Roman"/>
          <w:color w:val="000000"/>
        </w:rPr>
        <w:t xml:space="preserve"> of charges under Division 3 of Part 6,</w:t>
      </w:r>
      <w:r w:rsidRPr="00D714FC">
        <w:rPr>
          <w:rFonts w:cs="Times New Roman"/>
          <w:color w:val="000000"/>
        </w:rPr>
        <w:t xml:space="preserve"> there is no deadline for the application to be submitted, but the regulator’s decision must be made within 3 months of receiving the application (rule 37). Therefore, if the application is submitted late, it may be difficult for the regulator to complete its decision in good time before the start of the new water year.</w:t>
      </w:r>
    </w:p>
    <w:p w:rsidR="008F2399" w:rsidRDefault="008F2399" w:rsidP="008F2399">
      <w:pPr>
        <w:rPr>
          <w:rFonts w:cs="Times New Roman"/>
        </w:rPr>
      </w:pPr>
      <w:r w:rsidRPr="00D714FC">
        <w:rPr>
          <w:rFonts w:cs="Times New Roman"/>
          <w:color w:val="000000"/>
        </w:rPr>
        <w:t xml:space="preserve">In the case of the ACCC’s determination of State Water’s charges for 2014-17, State Water submitted its formal application on 30 July 2013, although it had submitted a draft application on 30 May 2013. The ACCC released its final decision on 28 June 2014. This was within the 13 months allowed (from both the draft and formal lodgement dates), but too late to allow </w:t>
      </w:r>
      <w:r w:rsidR="00B743F5">
        <w:rPr>
          <w:rFonts w:cs="Times New Roman"/>
          <w:color w:val="000000"/>
        </w:rPr>
        <w:t>irrigation infrastructure operators (</w:t>
      </w:r>
      <w:r w:rsidRPr="00D714FC">
        <w:rPr>
          <w:rFonts w:cs="Times New Roman"/>
          <w:color w:val="000000"/>
        </w:rPr>
        <w:t>IIOs</w:t>
      </w:r>
      <w:r w:rsidR="00B743F5">
        <w:rPr>
          <w:rFonts w:cs="Times New Roman"/>
          <w:color w:val="000000"/>
        </w:rPr>
        <w:t>)</w:t>
      </w:r>
      <w:r w:rsidRPr="00D714FC">
        <w:rPr>
          <w:rFonts w:cs="Times New Roman"/>
          <w:color w:val="000000"/>
        </w:rPr>
        <w:t xml:space="preserve"> to give their </w:t>
      </w:r>
      <w:r w:rsidRPr="00D714FC">
        <w:rPr>
          <w:rFonts w:cs="Times New Roman"/>
        </w:rPr>
        <w:t xml:space="preserve">customers 10 days’ notice prior to 1 July. </w:t>
      </w:r>
    </w:p>
    <w:p w:rsidR="008F2399" w:rsidRDefault="008F2399" w:rsidP="008F2399">
      <w:r>
        <w:rPr>
          <w:rFonts w:cs="Times New Roman"/>
        </w:rPr>
        <w:t>In recognition of these issues, the ACCC made draft rule advice that t</w:t>
      </w:r>
      <w:r w:rsidRPr="00D714FC">
        <w:t>he rules should be amended such that timeframes that apply to Part 6 processes are as per Table 5.</w:t>
      </w:r>
      <w:r w:rsidR="00326F95">
        <w:t>5</w:t>
      </w:r>
      <w:r w:rsidRPr="00D714FC">
        <w:t>.</w:t>
      </w:r>
    </w:p>
    <w:p w:rsidR="008F2399" w:rsidRPr="00DF5192" w:rsidRDefault="00326F95" w:rsidP="00DB7D7B">
      <w:pPr>
        <w:pStyle w:val="Tabletitle"/>
      </w:pPr>
      <w:r>
        <w:t>Table 5.5</w:t>
      </w:r>
      <w:r w:rsidR="008F2399" w:rsidRPr="00DF5192">
        <w:t>: Proposed Regulatory Timelines for Part 6 Operators</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12"/>
        <w:gridCol w:w="2955"/>
        <w:gridCol w:w="3361"/>
      </w:tblGrid>
      <w:tr w:rsidR="008F2399" w:rsidRPr="00DF5192" w:rsidTr="00C52AEB">
        <w:tc>
          <w:tcPr>
            <w:tcW w:w="2512" w:type="dxa"/>
            <w:shd w:val="clear" w:color="auto" w:fill="D9D9D9" w:themeFill="background1" w:themeFillShade="D9"/>
            <w:tcMar>
              <w:left w:w="108" w:type="dxa"/>
              <w:right w:w="108" w:type="dxa"/>
            </w:tcMar>
          </w:tcPr>
          <w:p w:rsidR="008F2399" w:rsidRPr="00DF5192" w:rsidRDefault="008F2399" w:rsidP="00DB7D7B">
            <w:pPr>
              <w:pStyle w:val="tabletext"/>
              <w:keepNext/>
            </w:pPr>
          </w:p>
        </w:tc>
        <w:tc>
          <w:tcPr>
            <w:tcW w:w="2955" w:type="dxa"/>
            <w:shd w:val="clear" w:color="auto" w:fill="D9D9D9" w:themeFill="background1" w:themeFillShade="D9"/>
            <w:tcMar>
              <w:left w:w="108" w:type="dxa"/>
              <w:right w:w="108" w:type="dxa"/>
            </w:tcMar>
          </w:tcPr>
          <w:p w:rsidR="008F2399" w:rsidRPr="00DF5192" w:rsidRDefault="008F2399" w:rsidP="004643D1">
            <w:pPr>
              <w:pStyle w:val="tabletext"/>
              <w:keepNext/>
            </w:pPr>
            <w:r w:rsidRPr="00DF5192">
              <w:t xml:space="preserve">Original </w:t>
            </w:r>
            <w:r w:rsidR="004643D1">
              <w:t>a</w:t>
            </w:r>
            <w:r w:rsidRPr="00DF5192">
              <w:t>pproval</w:t>
            </w:r>
            <w:r w:rsidR="00DB7D7B">
              <w:t xml:space="preserve"> </w:t>
            </w:r>
            <w:r w:rsidRPr="00DF5192">
              <w:t>/</w:t>
            </w:r>
            <w:r w:rsidR="00DB7D7B">
              <w:t xml:space="preserve"> </w:t>
            </w:r>
            <w:r w:rsidR="004643D1">
              <w:t>d</w:t>
            </w:r>
            <w:r w:rsidRPr="00DF5192">
              <w:t>etermination</w:t>
            </w:r>
          </w:p>
        </w:tc>
        <w:tc>
          <w:tcPr>
            <w:tcW w:w="3361" w:type="dxa"/>
            <w:shd w:val="clear" w:color="auto" w:fill="D9D9D9" w:themeFill="background1" w:themeFillShade="D9"/>
            <w:tcMar>
              <w:left w:w="108" w:type="dxa"/>
              <w:right w:w="108" w:type="dxa"/>
            </w:tcMar>
          </w:tcPr>
          <w:p w:rsidR="008F2399" w:rsidRPr="00DF5192" w:rsidRDefault="008F2399" w:rsidP="004643D1">
            <w:pPr>
              <w:pStyle w:val="tabletext"/>
              <w:keepNext/>
            </w:pPr>
            <w:r w:rsidRPr="00DF5192">
              <w:t xml:space="preserve">Annual </w:t>
            </w:r>
            <w:r w:rsidR="004643D1">
              <w:t>r</w:t>
            </w:r>
            <w:r w:rsidRPr="00DF5192">
              <w:t xml:space="preserve">eview </w:t>
            </w:r>
            <w:r w:rsidR="004643D1">
              <w:t>a</w:t>
            </w:r>
            <w:r w:rsidRPr="00DF5192">
              <w:t>pproval</w:t>
            </w:r>
            <w:r w:rsidR="00DB7D7B">
              <w:t xml:space="preserve"> </w:t>
            </w:r>
            <w:r w:rsidRPr="00DF5192">
              <w:t>/</w:t>
            </w:r>
            <w:r w:rsidR="00DB7D7B">
              <w:t xml:space="preserve"> </w:t>
            </w:r>
            <w:r w:rsidR="004643D1">
              <w:t>d</w:t>
            </w:r>
            <w:r w:rsidRPr="00DF5192">
              <w:t>etermination</w:t>
            </w:r>
          </w:p>
        </w:tc>
      </w:tr>
      <w:tr w:rsidR="008F2399" w:rsidRPr="00DF5192" w:rsidTr="00C52AEB">
        <w:tc>
          <w:tcPr>
            <w:tcW w:w="2512" w:type="dxa"/>
            <w:shd w:val="clear" w:color="auto" w:fill="auto"/>
            <w:tcMar>
              <w:left w:w="108" w:type="dxa"/>
              <w:right w:w="108" w:type="dxa"/>
            </w:tcMar>
          </w:tcPr>
          <w:p w:rsidR="008F2399" w:rsidRPr="00DF5192" w:rsidRDefault="00DB7D7B" w:rsidP="00877CE5">
            <w:pPr>
              <w:pStyle w:val="tabletext"/>
              <w:keepLines/>
            </w:pPr>
            <w:r>
              <w:t xml:space="preserve"> </w:t>
            </w:r>
            <w:r w:rsidR="004B6D72">
              <w:t xml:space="preserve">Application for approval </w:t>
            </w:r>
            <w:r w:rsidR="008F2399" w:rsidRPr="00DF5192">
              <w:t>/</w:t>
            </w:r>
            <w:r>
              <w:t xml:space="preserve"> </w:t>
            </w:r>
            <w:r w:rsidR="004643D1">
              <w:t>d</w:t>
            </w:r>
            <w:r w:rsidR="008F2399" w:rsidRPr="00DF5192">
              <w:t>etermination lodged</w:t>
            </w:r>
          </w:p>
        </w:tc>
        <w:tc>
          <w:tcPr>
            <w:tcW w:w="2955" w:type="dxa"/>
            <w:shd w:val="clear" w:color="auto" w:fill="auto"/>
            <w:tcMar>
              <w:left w:w="108" w:type="dxa"/>
              <w:right w:w="108" w:type="dxa"/>
            </w:tcMar>
          </w:tcPr>
          <w:p w:rsidR="008F2399" w:rsidRPr="00DF5192" w:rsidRDefault="008F2399" w:rsidP="00DB7D7B">
            <w:pPr>
              <w:pStyle w:val="tabletext"/>
              <w:keepLines/>
            </w:pPr>
            <w:r w:rsidRPr="00DF5192">
              <w:t xml:space="preserve">15 months before the start of the regulatory period to which the approval </w:t>
            </w:r>
            <w:r w:rsidR="00877CE5">
              <w:t xml:space="preserve">/ </w:t>
            </w:r>
            <w:r w:rsidRPr="00DF5192">
              <w:t>determination relates.</w:t>
            </w:r>
          </w:p>
        </w:tc>
        <w:tc>
          <w:tcPr>
            <w:tcW w:w="3361" w:type="dxa"/>
            <w:shd w:val="clear" w:color="auto" w:fill="auto"/>
            <w:tcMar>
              <w:left w:w="108" w:type="dxa"/>
              <w:right w:w="108" w:type="dxa"/>
            </w:tcMar>
          </w:tcPr>
          <w:p w:rsidR="008F2399" w:rsidRPr="00DF5192" w:rsidRDefault="008F2399" w:rsidP="00DB7D7B">
            <w:pPr>
              <w:pStyle w:val="tabletext"/>
              <w:keepLines/>
            </w:pPr>
            <w:r w:rsidRPr="00DF5192">
              <w:t>4 months before the start of the year of the regulatory period to which the approval / determination relates.</w:t>
            </w:r>
          </w:p>
        </w:tc>
      </w:tr>
      <w:tr w:rsidR="008F2399" w:rsidRPr="00DF5192" w:rsidTr="00C52AEB">
        <w:tc>
          <w:tcPr>
            <w:tcW w:w="2512" w:type="dxa"/>
            <w:shd w:val="clear" w:color="auto" w:fill="auto"/>
            <w:tcMar>
              <w:left w:w="108" w:type="dxa"/>
              <w:right w:w="108" w:type="dxa"/>
            </w:tcMar>
          </w:tcPr>
          <w:p w:rsidR="008F2399" w:rsidRPr="00DF5192" w:rsidRDefault="008F2399" w:rsidP="00DB7D7B">
            <w:pPr>
              <w:pStyle w:val="tabletext"/>
              <w:keepLines/>
            </w:pPr>
            <w:r w:rsidRPr="00DF5192">
              <w:t>Regulator provides notice of its final decision</w:t>
            </w:r>
          </w:p>
        </w:tc>
        <w:tc>
          <w:tcPr>
            <w:tcW w:w="2955" w:type="dxa"/>
            <w:shd w:val="clear" w:color="auto" w:fill="auto"/>
            <w:tcMar>
              <w:left w:w="108" w:type="dxa"/>
              <w:right w:w="108" w:type="dxa"/>
            </w:tcMar>
          </w:tcPr>
          <w:p w:rsidR="008F2399" w:rsidRPr="00DF5192" w:rsidRDefault="008F2399" w:rsidP="00DB7D7B">
            <w:pPr>
              <w:pStyle w:val="tabletext"/>
              <w:keepLines/>
            </w:pPr>
            <w:r w:rsidRPr="00DF5192">
              <w:t>30 business days before the start of regulatory period to which the approval /</w:t>
            </w:r>
            <w:r w:rsidR="00DB7D7B">
              <w:t xml:space="preserve"> </w:t>
            </w:r>
            <w:r w:rsidRPr="00DF5192">
              <w:t>determination relates.</w:t>
            </w:r>
          </w:p>
        </w:tc>
        <w:tc>
          <w:tcPr>
            <w:tcW w:w="3361" w:type="dxa"/>
            <w:shd w:val="clear" w:color="auto" w:fill="auto"/>
            <w:tcMar>
              <w:left w:w="108" w:type="dxa"/>
              <w:right w:w="108" w:type="dxa"/>
            </w:tcMar>
          </w:tcPr>
          <w:p w:rsidR="008F2399" w:rsidRPr="00DF5192" w:rsidRDefault="008F2399" w:rsidP="00DB7D7B">
            <w:pPr>
              <w:pStyle w:val="tabletext"/>
              <w:keepLines/>
            </w:pPr>
            <w:r w:rsidRPr="00DF5192">
              <w:t>30 business days before the start of the year of the regulatory period to which the approval</w:t>
            </w:r>
            <w:r w:rsidR="00DB7D7B">
              <w:t xml:space="preserve"> </w:t>
            </w:r>
            <w:r w:rsidRPr="00DF5192">
              <w:t>/</w:t>
            </w:r>
            <w:r w:rsidR="00DB7D7B">
              <w:t xml:space="preserve"> </w:t>
            </w:r>
            <w:r w:rsidRPr="00DF5192">
              <w:t>determination relates.</w:t>
            </w:r>
          </w:p>
        </w:tc>
      </w:tr>
      <w:tr w:rsidR="008F2399" w:rsidRPr="00DF5192" w:rsidTr="00C52AEB">
        <w:tc>
          <w:tcPr>
            <w:tcW w:w="2512" w:type="dxa"/>
            <w:shd w:val="clear" w:color="auto" w:fill="auto"/>
            <w:tcMar>
              <w:left w:w="108" w:type="dxa"/>
              <w:right w:w="108" w:type="dxa"/>
            </w:tcMar>
          </w:tcPr>
          <w:p w:rsidR="008F2399" w:rsidRPr="00DF5192" w:rsidRDefault="008F2399" w:rsidP="00DB7D7B">
            <w:pPr>
              <w:pStyle w:val="tabletext"/>
              <w:keepLines/>
            </w:pPr>
            <w:r w:rsidRPr="00DF5192">
              <w:t>Part 6 operator to notify customers of its Schedule of Charges</w:t>
            </w:r>
            <w:r w:rsidRPr="00DF5192">
              <w:rPr>
                <w:vertAlign w:val="superscript"/>
              </w:rPr>
              <w:t>†</w:t>
            </w:r>
            <w:r w:rsidRPr="00DF5192">
              <w:t xml:space="preserve"> </w:t>
            </w:r>
          </w:p>
        </w:tc>
        <w:tc>
          <w:tcPr>
            <w:tcW w:w="2955" w:type="dxa"/>
            <w:shd w:val="clear" w:color="auto" w:fill="auto"/>
            <w:tcMar>
              <w:left w:w="108" w:type="dxa"/>
              <w:right w:w="108" w:type="dxa"/>
            </w:tcMar>
          </w:tcPr>
          <w:p w:rsidR="008F2399" w:rsidRPr="00DF5192" w:rsidRDefault="008F2399" w:rsidP="00DB7D7B">
            <w:pPr>
              <w:pStyle w:val="tabletext"/>
              <w:keepLines/>
            </w:pPr>
            <w:r w:rsidRPr="00DF5192">
              <w:t>25 business days before the regulated charges in its Schedule of Charges is due to commence</w:t>
            </w:r>
          </w:p>
        </w:tc>
        <w:tc>
          <w:tcPr>
            <w:tcW w:w="3361" w:type="dxa"/>
            <w:shd w:val="clear" w:color="auto" w:fill="auto"/>
            <w:tcMar>
              <w:left w:w="108" w:type="dxa"/>
              <w:right w:w="108" w:type="dxa"/>
            </w:tcMar>
          </w:tcPr>
          <w:p w:rsidR="008F2399" w:rsidRPr="00DF5192" w:rsidRDefault="008F2399" w:rsidP="00DB7D7B">
            <w:pPr>
              <w:pStyle w:val="tabletext"/>
              <w:keepLines/>
            </w:pPr>
            <w:r w:rsidRPr="00DF5192">
              <w:t>25 business days before the regulated charges in its Schedule of Charges is due to commence</w:t>
            </w:r>
          </w:p>
        </w:tc>
      </w:tr>
      <w:tr w:rsidR="008F2399" w:rsidRPr="00DF5192" w:rsidTr="00C52AEB">
        <w:tc>
          <w:tcPr>
            <w:tcW w:w="2512" w:type="dxa"/>
            <w:shd w:val="clear" w:color="auto" w:fill="auto"/>
            <w:tcMar>
              <w:left w:w="108" w:type="dxa"/>
              <w:right w:w="108" w:type="dxa"/>
            </w:tcMar>
          </w:tcPr>
          <w:p w:rsidR="008F2399" w:rsidRPr="00DF5192" w:rsidRDefault="008F2399" w:rsidP="00DB7D7B">
            <w:pPr>
              <w:pStyle w:val="tabletext"/>
              <w:keepLines/>
            </w:pPr>
            <w:r w:rsidRPr="00DF5192">
              <w:t>Other infrastructure operators</w:t>
            </w:r>
            <w:r w:rsidRPr="00DF5192">
              <w:rPr>
                <w:vertAlign w:val="superscript"/>
              </w:rPr>
              <w:t>‡</w:t>
            </w:r>
            <w:r w:rsidRPr="00DF5192">
              <w:t xml:space="preserve"> </w:t>
            </w:r>
          </w:p>
        </w:tc>
        <w:tc>
          <w:tcPr>
            <w:tcW w:w="2955" w:type="dxa"/>
            <w:shd w:val="clear" w:color="auto" w:fill="auto"/>
            <w:tcMar>
              <w:left w:w="108" w:type="dxa"/>
              <w:right w:w="108" w:type="dxa"/>
            </w:tcMar>
          </w:tcPr>
          <w:p w:rsidR="008F2399" w:rsidRPr="00DF5192" w:rsidRDefault="008F2399" w:rsidP="00DB7D7B">
            <w:pPr>
              <w:pStyle w:val="tabletext"/>
              <w:keepLines/>
            </w:pPr>
            <w:r w:rsidRPr="00DF5192">
              <w:t>10 business days before the regulated charges are due to commence.</w:t>
            </w:r>
          </w:p>
        </w:tc>
        <w:tc>
          <w:tcPr>
            <w:tcW w:w="3361" w:type="dxa"/>
            <w:shd w:val="clear" w:color="auto" w:fill="auto"/>
            <w:tcMar>
              <w:left w:w="108" w:type="dxa"/>
              <w:right w:w="108" w:type="dxa"/>
            </w:tcMar>
          </w:tcPr>
          <w:p w:rsidR="008F2399" w:rsidRPr="00DF5192" w:rsidRDefault="008F2399" w:rsidP="00DB7D7B">
            <w:pPr>
              <w:pStyle w:val="tabletext"/>
              <w:keepLines/>
            </w:pPr>
            <w:r w:rsidRPr="00DF5192">
              <w:t>10 business days before the regulated charges are due to commence.</w:t>
            </w:r>
          </w:p>
        </w:tc>
      </w:tr>
    </w:tbl>
    <w:p w:rsidR="003C5514" w:rsidRDefault="008F2399" w:rsidP="00DB7D7B">
      <w:pPr>
        <w:pStyle w:val="tabletext"/>
        <w:keepLines/>
      </w:pPr>
      <w:r w:rsidRPr="00DF5192">
        <w:rPr>
          <w:vertAlign w:val="superscript"/>
        </w:rPr>
        <w:t>†</w:t>
      </w:r>
      <w:r w:rsidRPr="00DF5192">
        <w:t xml:space="preserve"> This should apply to all infrastructure operators who provide on-river infrastructure services, not just Part 6 operators. This requirement should apply via Schedule of Charge requirements. </w:t>
      </w:r>
    </w:p>
    <w:p w:rsidR="008F2399" w:rsidRPr="00DF5192" w:rsidRDefault="008F2399" w:rsidP="00DB7D7B">
      <w:pPr>
        <w:pStyle w:val="tabletext"/>
        <w:keepLines/>
      </w:pPr>
      <w:r w:rsidRPr="00DF5192">
        <w:rPr>
          <w:vertAlign w:val="superscript"/>
        </w:rPr>
        <w:t>‡</w:t>
      </w:r>
      <w:r w:rsidRPr="00DF5192">
        <w:t xml:space="preserve"> i.e. other than Part 6 operators / operators who provide on-river infrastructure services) to notify its customers. This requirement should also apply via Schedule of Charge requirements.</w:t>
      </w:r>
    </w:p>
    <w:p w:rsidR="008F2399" w:rsidRPr="004A623F" w:rsidRDefault="008F2399" w:rsidP="004A623F">
      <w:pPr>
        <w:pStyle w:val="Heading5"/>
        <w:rPr>
          <w:rStyle w:val="SubtleEmphasis"/>
          <w:i w:val="0"/>
          <w:iCs w:val="0"/>
          <w:color w:val="auto"/>
        </w:rPr>
      </w:pPr>
      <w:r w:rsidRPr="004A623F">
        <w:rPr>
          <w:rStyle w:val="SubtleEmphasis"/>
          <w:i w:val="0"/>
          <w:iCs w:val="0"/>
          <w:color w:val="auto"/>
        </w:rPr>
        <w:t>Consultation requirements under Part 6</w:t>
      </w:r>
    </w:p>
    <w:p w:rsidR="008F2399" w:rsidRPr="00D714FC" w:rsidRDefault="008F2399" w:rsidP="008F2399">
      <w:pPr>
        <w:rPr>
          <w:rFonts w:cs="Times New Roman"/>
          <w:color w:val="000000"/>
        </w:rPr>
      </w:pPr>
      <w:r w:rsidRPr="00D714FC">
        <w:rPr>
          <w:rFonts w:cs="Times New Roman"/>
          <w:color w:val="000000"/>
        </w:rPr>
        <w:t xml:space="preserve">Although the existing WCIR do not prescribe </w:t>
      </w:r>
      <w:r w:rsidR="00C61CA9">
        <w:rPr>
          <w:rFonts w:cs="Times New Roman"/>
          <w:color w:val="000000"/>
        </w:rPr>
        <w:t xml:space="preserve">that operators undertake their own </w:t>
      </w:r>
      <w:r w:rsidRPr="00D714FC">
        <w:rPr>
          <w:rFonts w:cs="Times New Roman"/>
          <w:color w:val="000000"/>
        </w:rPr>
        <w:t>consultation, the ACCC’s Pricing Principles set out the expectation that operators will consult with customers on issues of significance to them. Such consultation is likely to cover the trade-offs between pricing and service outcomes, major investment decisions, significant maintenance works and proposed tariffs.</w:t>
      </w:r>
    </w:p>
    <w:p w:rsidR="008F2399" w:rsidRPr="00D714FC" w:rsidRDefault="008F2399" w:rsidP="00135446">
      <w:pPr>
        <w:keepNext/>
        <w:spacing w:after="120"/>
        <w:rPr>
          <w:rFonts w:cs="Times New Roman"/>
          <w:color w:val="000000"/>
        </w:rPr>
      </w:pPr>
      <w:r w:rsidRPr="00D714FC">
        <w:rPr>
          <w:rFonts w:cs="Times New Roman"/>
          <w:color w:val="000000"/>
        </w:rPr>
        <w:t>The Pricing Principles also state that:</w:t>
      </w:r>
    </w:p>
    <w:p w:rsidR="008F2399" w:rsidRPr="00F33AF9" w:rsidRDefault="008F2399" w:rsidP="00CE67EB">
      <w:pPr>
        <w:pStyle w:val="Quote"/>
        <w:rPr>
          <w:rStyle w:val="Emphasis"/>
          <w:i/>
          <w:iCs/>
        </w:rPr>
      </w:pPr>
      <w:r w:rsidRPr="00F33AF9">
        <w:rPr>
          <w:rStyle w:val="Emphasis"/>
          <w:i/>
          <w:iCs/>
        </w:rPr>
        <w:t>…the regulator must have regard to the consultation that has been undertaken by the operator. For instance, where a regulator deems consultation to be insufficient or unsatisfactory it may influence the regulator’s views on whether proposed expenditure is prudent or efficient.</w:t>
      </w:r>
      <w:r w:rsidRPr="00877C09">
        <w:rPr>
          <w:rStyle w:val="Emphasis"/>
          <w:iCs/>
          <w:vertAlign w:val="superscript"/>
        </w:rPr>
        <w:footnoteReference w:id="391"/>
      </w:r>
      <w:r w:rsidRPr="00F33AF9">
        <w:rPr>
          <w:rStyle w:val="Emphasis"/>
          <w:i/>
          <w:iCs/>
        </w:rPr>
        <w:t xml:space="preserve"> </w:t>
      </w:r>
    </w:p>
    <w:p w:rsidR="008F2399" w:rsidRPr="00D714FC" w:rsidRDefault="008F2399" w:rsidP="008F2399">
      <w:pPr>
        <w:rPr>
          <w:rFonts w:cs="Times New Roman"/>
          <w:color w:val="000000"/>
        </w:rPr>
      </w:pPr>
      <w:r w:rsidRPr="00D714FC">
        <w:rPr>
          <w:rFonts w:cs="Times New Roman"/>
          <w:color w:val="000000"/>
        </w:rPr>
        <w:t xml:space="preserve">Also, WCIR </w:t>
      </w:r>
      <w:r w:rsidR="00DB6AE4">
        <w:rPr>
          <w:rFonts w:cs="Times New Roman"/>
          <w:color w:val="000000"/>
        </w:rPr>
        <w:t>r</w:t>
      </w:r>
      <w:r w:rsidRPr="00D714FC">
        <w:rPr>
          <w:rFonts w:cs="Times New Roman"/>
          <w:color w:val="000000"/>
        </w:rPr>
        <w:t xml:space="preserve">ule 28 and 29 require the regulator to invite submissions on the Part 6 operator’s application from interested parties and have regard to any submissions it receives before publishing its draft approval or determination of a Part 6 operator’s regulated charges, and rule 36 provides a similar requirement for the annual review process. </w:t>
      </w:r>
    </w:p>
    <w:p w:rsidR="008F2399" w:rsidRPr="00D714FC" w:rsidRDefault="008F2399" w:rsidP="008F2399">
      <w:pPr>
        <w:rPr>
          <w:rFonts w:cs="Times New Roman"/>
          <w:color w:val="000000"/>
        </w:rPr>
      </w:pPr>
      <w:r>
        <w:rPr>
          <w:rFonts w:cs="Times New Roman"/>
          <w:color w:val="000000"/>
        </w:rPr>
        <w:t>C</w:t>
      </w:r>
      <w:r w:rsidRPr="00D714FC">
        <w:rPr>
          <w:rFonts w:cs="Times New Roman"/>
          <w:color w:val="000000"/>
        </w:rPr>
        <w:t xml:space="preserve">onsultation between </w:t>
      </w:r>
      <w:r w:rsidR="00C61CA9">
        <w:rPr>
          <w:rFonts w:cs="Times New Roman"/>
          <w:color w:val="000000"/>
        </w:rPr>
        <w:t>a</w:t>
      </w:r>
      <w:r w:rsidRPr="00D714FC">
        <w:rPr>
          <w:rFonts w:cs="Times New Roman"/>
          <w:color w:val="000000"/>
        </w:rPr>
        <w:t xml:space="preserve"> Part 6 operator and its customers is likely to facilitate a better application </w:t>
      </w:r>
      <w:r>
        <w:rPr>
          <w:rFonts w:cs="Times New Roman"/>
          <w:color w:val="000000"/>
        </w:rPr>
        <w:t xml:space="preserve">from the operator. Further, </w:t>
      </w:r>
      <w:r w:rsidRPr="00D714FC">
        <w:rPr>
          <w:rFonts w:cs="Times New Roman"/>
          <w:color w:val="000000"/>
        </w:rPr>
        <w:t>if customers’ views and knowledge are taken account of at an early stage</w:t>
      </w:r>
      <w:r>
        <w:rPr>
          <w:rFonts w:cs="Times New Roman"/>
          <w:color w:val="000000"/>
        </w:rPr>
        <w:t>, this is likely to lead to a better regulatory decision</w:t>
      </w:r>
      <w:r w:rsidRPr="00D714FC">
        <w:rPr>
          <w:rFonts w:cs="Times New Roman"/>
          <w:color w:val="000000"/>
        </w:rPr>
        <w:t>. Customers are particularly well-placed to provide information, for example, on whether proposed upgrades in services would be worth the additional cost.</w:t>
      </w:r>
    </w:p>
    <w:p w:rsidR="008F2399" w:rsidRPr="00D714FC" w:rsidRDefault="008F2399" w:rsidP="008F2399">
      <w:pPr>
        <w:rPr>
          <w:rFonts w:cs="Times New Roman"/>
          <w:color w:val="000000"/>
        </w:rPr>
      </w:pPr>
      <w:r w:rsidRPr="00D714FC">
        <w:rPr>
          <w:rFonts w:cs="Times New Roman"/>
          <w:color w:val="000000"/>
        </w:rPr>
        <w:t>The need for consultation is greater for a major price approval or determination under Division 2 of Part 6 (which occurs at the beginning of a regulatory period) than for an annual review under Division 3 (annual reviews occur in subsequent years of the regulatory period). Changes in charges through the annual review are likely to be smaller and the process is more mechanistic. Further, the time frame for a decision is shorter in the annual review. Therefore, the regulatory burden of earlier consultation is less likely to be justified for an annual review.</w:t>
      </w:r>
    </w:p>
    <w:p w:rsidR="008F2399" w:rsidRPr="00D714FC" w:rsidRDefault="0025341A" w:rsidP="008F2399">
      <w:pPr>
        <w:rPr>
          <w:rFonts w:cs="Times New Roman"/>
          <w:color w:val="000000"/>
        </w:rPr>
      </w:pPr>
      <w:r>
        <w:rPr>
          <w:rFonts w:cs="Times New Roman"/>
          <w:color w:val="000000"/>
        </w:rPr>
        <w:t>T</w:t>
      </w:r>
      <w:r w:rsidR="008F2399" w:rsidRPr="00D714FC">
        <w:rPr>
          <w:rFonts w:cs="Times New Roman"/>
          <w:color w:val="000000"/>
        </w:rPr>
        <w:t>he ACCC d</w:t>
      </w:r>
      <w:r w:rsidR="00DB7D7B">
        <w:rPr>
          <w:rFonts w:cs="Times New Roman"/>
          <w:color w:val="000000"/>
        </w:rPr>
        <w:t>id</w:t>
      </w:r>
      <w:r w:rsidR="008F2399" w:rsidRPr="00D714FC">
        <w:rPr>
          <w:rFonts w:cs="Times New Roman"/>
          <w:color w:val="000000"/>
        </w:rPr>
        <w:t xml:space="preserve"> not consider it appropriate to mandate the specific form of consultation that should be undertaken by a Part 6 operator. There may be many different ways that successful consultation may be undertaken, and the ACCC notes that the</w:t>
      </w:r>
      <w:r w:rsidR="008F2399">
        <w:rPr>
          <w:rFonts w:cs="Times New Roman"/>
          <w:color w:val="000000"/>
        </w:rPr>
        <w:t>re is little evidence that the</w:t>
      </w:r>
      <w:r w:rsidR="008F2399" w:rsidRPr="00D714FC">
        <w:rPr>
          <w:rFonts w:cs="Times New Roman"/>
          <w:color w:val="000000"/>
        </w:rPr>
        <w:t xml:space="preserve"> detailed consultation requirements currently forming part of Part 5 of the </w:t>
      </w:r>
      <w:r w:rsidR="008F2399">
        <w:rPr>
          <w:rFonts w:cs="Times New Roman"/>
          <w:color w:val="000000"/>
        </w:rPr>
        <w:t>water charge rules</w:t>
      </w:r>
      <w:r w:rsidR="008F2399" w:rsidRPr="00D714FC">
        <w:rPr>
          <w:rFonts w:cs="Times New Roman"/>
          <w:color w:val="000000"/>
        </w:rPr>
        <w:t xml:space="preserve"> </w:t>
      </w:r>
      <w:r w:rsidR="008F2399">
        <w:rPr>
          <w:rFonts w:cs="Times New Roman"/>
          <w:color w:val="000000"/>
        </w:rPr>
        <w:t>has been valued by customers</w:t>
      </w:r>
      <w:r w:rsidR="008F2399" w:rsidRPr="00D714FC">
        <w:rPr>
          <w:rFonts w:cs="Times New Roman"/>
          <w:color w:val="000000"/>
        </w:rPr>
        <w:t>.</w:t>
      </w:r>
      <w:r w:rsidR="008F2399" w:rsidRPr="00D714FC">
        <w:rPr>
          <w:rStyle w:val="FootnoteReference"/>
          <w:rFonts w:cs="Times New Roman"/>
          <w:color w:val="000000"/>
        </w:rPr>
        <w:footnoteReference w:id="392"/>
      </w:r>
      <w:r w:rsidR="008F2399" w:rsidRPr="00D714FC">
        <w:rPr>
          <w:rFonts w:cs="Times New Roman"/>
          <w:color w:val="000000"/>
        </w:rPr>
        <w:t xml:space="preserve"> </w:t>
      </w:r>
    </w:p>
    <w:p w:rsidR="008F2399" w:rsidRPr="00D714FC" w:rsidRDefault="0025341A" w:rsidP="00061C7E">
      <w:pPr>
        <w:rPr>
          <w:rFonts w:cs="Times New Roman"/>
        </w:rPr>
      </w:pPr>
      <w:r>
        <w:rPr>
          <w:rFonts w:cs="Times New Roman"/>
          <w:color w:val="000000"/>
        </w:rPr>
        <w:t>In its Draft Advice, the ACCC considered that the</w:t>
      </w:r>
      <w:r w:rsidR="008F2399" w:rsidRPr="00D714FC">
        <w:rPr>
          <w:rFonts w:cs="Times New Roman"/>
          <w:color w:val="000000"/>
        </w:rPr>
        <w:t xml:space="preserve"> current provisions requiring both the operator and the regulator to </w:t>
      </w:r>
      <w:r w:rsidR="008F2399" w:rsidRPr="00D714FC">
        <w:rPr>
          <w:rFonts w:cs="Times New Roman"/>
          <w:i/>
          <w:color w:val="000000"/>
        </w:rPr>
        <w:t>undertake</w:t>
      </w:r>
      <w:r w:rsidR="008F2399" w:rsidRPr="00D714FC">
        <w:rPr>
          <w:rFonts w:cs="Times New Roman"/>
          <w:color w:val="000000"/>
        </w:rPr>
        <w:t xml:space="preserve"> consultation during Part 6 processes </w:t>
      </w:r>
      <w:r w:rsidR="008F2399">
        <w:rPr>
          <w:rFonts w:cs="Times New Roman"/>
          <w:color w:val="000000"/>
        </w:rPr>
        <w:t>should</w:t>
      </w:r>
      <w:r w:rsidR="008F2399" w:rsidRPr="00D714FC">
        <w:rPr>
          <w:rFonts w:cs="Times New Roman"/>
          <w:color w:val="000000"/>
        </w:rPr>
        <w:t xml:space="preserve"> be retained. Also, the ACCC </w:t>
      </w:r>
      <w:r>
        <w:rPr>
          <w:rFonts w:cs="Times New Roman"/>
          <w:color w:val="000000"/>
        </w:rPr>
        <w:t xml:space="preserve">made draft rule advice </w:t>
      </w:r>
      <w:r w:rsidR="008F2399" w:rsidRPr="00D714FC">
        <w:rPr>
          <w:rFonts w:cs="Times New Roman"/>
          <w:color w:val="000000"/>
        </w:rPr>
        <w:t xml:space="preserve">that all infrastructure operators, including Part 6 operators, must include on their Schedules of Charges a statement setting out (among other things) how a person may seek to participate in </w:t>
      </w:r>
      <w:r w:rsidR="008F2399">
        <w:rPr>
          <w:rFonts w:cs="Times New Roman"/>
          <w:color w:val="000000"/>
        </w:rPr>
        <w:t>the operator’s</w:t>
      </w:r>
      <w:r w:rsidR="008F2399" w:rsidRPr="00D714FC">
        <w:rPr>
          <w:rFonts w:cs="Times New Roman"/>
          <w:color w:val="000000"/>
        </w:rPr>
        <w:t xml:space="preserve"> process(es) for determining its charges (see section 5.4.1). </w:t>
      </w:r>
    </w:p>
    <w:p w:rsidR="00061C7E" w:rsidRPr="00D714FC" w:rsidRDefault="00061C7E" w:rsidP="00061C7E">
      <w:pPr>
        <w:pStyle w:val="Heading4"/>
        <w:rPr>
          <w:rFonts w:ascii="Times New Roman" w:hAnsi="Times New Roman" w:cs="Times New Roman"/>
        </w:rPr>
      </w:pPr>
      <w:r w:rsidRPr="00D714FC">
        <w:rPr>
          <w:rFonts w:ascii="Times New Roman" w:hAnsi="Times New Roman" w:cs="Times New Roman"/>
        </w:rPr>
        <w:t>Stakeholder feedback</w:t>
      </w:r>
    </w:p>
    <w:p w:rsidR="00061C7E" w:rsidRPr="00AC1ACB" w:rsidRDefault="00061C7E" w:rsidP="004A623F">
      <w:pPr>
        <w:pStyle w:val="Heading5"/>
        <w:rPr>
          <w:rStyle w:val="SubtleEmphasis"/>
          <w:i w:val="0"/>
          <w:iCs w:val="0"/>
          <w:color w:val="auto"/>
        </w:rPr>
      </w:pPr>
      <w:r w:rsidRPr="004A623F">
        <w:rPr>
          <w:rStyle w:val="SubtleEmphasis"/>
          <w:i w:val="0"/>
          <w:iCs w:val="0"/>
          <w:color w:val="auto"/>
        </w:rPr>
        <w:t>Timeliness</w:t>
      </w:r>
      <w:r w:rsidRPr="00AC1ACB">
        <w:rPr>
          <w:rStyle w:val="SubtleEmphasis"/>
          <w:i w:val="0"/>
          <w:iCs w:val="0"/>
          <w:color w:val="auto"/>
        </w:rPr>
        <w:t xml:space="preserve"> of regulatory </w:t>
      </w:r>
      <w:r w:rsidRPr="00E560FF">
        <w:rPr>
          <w:rStyle w:val="SubtleEmphasis"/>
          <w:i w:val="0"/>
          <w:iCs w:val="0"/>
          <w:color w:val="auto"/>
        </w:rPr>
        <w:t>decisions</w:t>
      </w:r>
    </w:p>
    <w:p w:rsidR="00061C7E" w:rsidRDefault="00061C7E" w:rsidP="00C61CA9">
      <w:r>
        <w:t xml:space="preserve">In submissions to recent pricing reviews, the Act Review and the ACCC’s Issues Paper, </w:t>
      </w:r>
      <w:r w:rsidR="00A458F7">
        <w:t xml:space="preserve">infrastructure </w:t>
      </w:r>
      <w:r>
        <w:t>operators</w:t>
      </w:r>
      <w:r w:rsidR="00A458F7">
        <w:t xml:space="preserve"> and their representative bodies </w:t>
      </w:r>
      <w:r w:rsidRPr="00D714FC">
        <w:t>expressed concern about regulatory timelines</w:t>
      </w:r>
      <w:r>
        <w:t xml:space="preserve"> for the approval or determination of charges for Part 6 operators</w:t>
      </w:r>
      <w:r w:rsidRPr="00D714FC">
        <w:t>.</w:t>
      </w:r>
      <w:r w:rsidR="00A458F7">
        <w:rPr>
          <w:rStyle w:val="FootnoteReference"/>
          <w:rFonts w:cs="Times New Roman"/>
        </w:rPr>
        <w:footnoteReference w:id="393"/>
      </w:r>
      <w:r w:rsidRPr="00D714FC">
        <w:t xml:space="preserve"> The key issue </w:t>
      </w:r>
      <w:r w:rsidR="00A458F7">
        <w:t xml:space="preserve">of concern to these stakeholders </w:t>
      </w:r>
      <w:r w:rsidR="00C61CA9">
        <w:t>wa</w:t>
      </w:r>
      <w:r w:rsidRPr="00D714FC">
        <w:t xml:space="preserve">s </w:t>
      </w:r>
      <w:r w:rsidR="00A458F7">
        <w:t xml:space="preserve">that </w:t>
      </w:r>
      <w:r w:rsidRPr="00D714FC">
        <w:t xml:space="preserve">the timing of the release of the final </w:t>
      </w:r>
      <w:r>
        <w:t>decision for price approvals or determinations</w:t>
      </w:r>
      <w:r w:rsidR="00A458F7">
        <w:t xml:space="preserve"> does not leave other infrastructure operators</w:t>
      </w:r>
      <w:r w:rsidR="00DB6AE4">
        <w:t>,</w:t>
      </w:r>
      <w:r w:rsidR="00A458F7">
        <w:t xml:space="preserve"> who use the charges of a Part 6 operator as an input into their own pricing decisions</w:t>
      </w:r>
      <w:r w:rsidR="00DB6AE4">
        <w:t>,</w:t>
      </w:r>
      <w:r w:rsidR="00A458F7">
        <w:t xml:space="preserve"> sufficient time to set their own charges and provide their Schedules of Charges to customers before the start of the new water year (and to comply with </w:t>
      </w:r>
      <w:r w:rsidR="00DB6AE4">
        <w:t>r</w:t>
      </w:r>
      <w:r w:rsidR="00A458F7">
        <w:t>ule 7 of the WCIR).</w:t>
      </w:r>
    </w:p>
    <w:p w:rsidR="00C61CA9" w:rsidRDefault="00C61CA9" w:rsidP="00C61CA9">
      <w:r>
        <w:t xml:space="preserve">Only two stakeholders provided feedback on the Draft Advice in relation to the timeliness of regulatory decisions. </w:t>
      </w:r>
    </w:p>
    <w:p w:rsidR="00C61CA9" w:rsidRDefault="00C61CA9" w:rsidP="00C61CA9">
      <w:r>
        <w:t xml:space="preserve">WaterNSW and GMW identified some concerns about meeting the proposed amendments to the timeframes for off-river infrastructure operators to send their </w:t>
      </w:r>
      <w:r w:rsidR="005B6D26">
        <w:t>S</w:t>
      </w:r>
      <w:r>
        <w:t xml:space="preserve">chedule of </w:t>
      </w:r>
      <w:r w:rsidR="005B6D26">
        <w:t>C</w:t>
      </w:r>
      <w:r>
        <w:t xml:space="preserve">harges (from 10 business days to 25 business days, </w:t>
      </w:r>
      <w:r w:rsidR="00DB6AE4">
        <w:t>r</w:t>
      </w:r>
      <w:r>
        <w:t xml:space="preserve">ule </w:t>
      </w:r>
      <w:r w:rsidR="00DB6AE4">
        <w:t>a</w:t>
      </w:r>
      <w:r>
        <w:t>dvice 5-I).</w:t>
      </w:r>
      <w:r w:rsidRPr="00700694">
        <w:rPr>
          <w:rStyle w:val="FootnoteReference"/>
          <w:rFonts w:cs="Times New Roman"/>
          <w:sz w:val="20"/>
          <w:szCs w:val="20"/>
        </w:rPr>
        <w:footnoteReference w:id="394"/>
      </w:r>
      <w:r>
        <w:t xml:space="preserve"> These concerns relate to the fact that these operators are reliant on a regulator’s final decision about their fees and charges, and then subsequent internal administrative processes (e.g. Board approval, scheduling the mailing house), before they can publish their </w:t>
      </w:r>
      <w:r w:rsidR="005B6D26">
        <w:t>S</w:t>
      </w:r>
      <w:r>
        <w:t xml:space="preserve">chedule of </w:t>
      </w:r>
      <w:r w:rsidR="005B6D26">
        <w:t>C</w:t>
      </w:r>
      <w:r>
        <w:t>harges.</w:t>
      </w:r>
    </w:p>
    <w:p w:rsidR="00C61CA9" w:rsidRDefault="00C61CA9" w:rsidP="00C61CA9">
      <w:r>
        <w:t xml:space="preserve">GMW identified that the timeframes proposed under </w:t>
      </w:r>
      <w:r w:rsidR="00DB6AE4">
        <w:t>r</w:t>
      </w:r>
      <w:r>
        <w:t xml:space="preserve">ule </w:t>
      </w:r>
      <w:r w:rsidR="00DB6AE4">
        <w:t>a</w:t>
      </w:r>
      <w:r>
        <w:t xml:space="preserve">dvice 5-N (relating to when a regulator must publish its final decision, being 30 business days before the start of the regulatory period) and </w:t>
      </w:r>
      <w:r w:rsidR="00DB6AE4">
        <w:t>r</w:t>
      </w:r>
      <w:r>
        <w:t xml:space="preserve">ule </w:t>
      </w:r>
      <w:r w:rsidR="00DB6AE4">
        <w:t>a</w:t>
      </w:r>
      <w:r>
        <w:t xml:space="preserve">dvice 5-I, </w:t>
      </w:r>
      <w:r w:rsidR="00A049A7">
        <w:t xml:space="preserve">if implemented, </w:t>
      </w:r>
      <w:r>
        <w:t xml:space="preserve">only leaves </w:t>
      </w:r>
      <w:r w:rsidR="00DB6AE4">
        <w:t>five</w:t>
      </w:r>
      <w:r>
        <w:t xml:space="preserve"> business days to complete these internal administration processes and publish its </w:t>
      </w:r>
      <w:r w:rsidR="005B6D26">
        <w:t>S</w:t>
      </w:r>
      <w:r>
        <w:t xml:space="preserve">chedule of </w:t>
      </w:r>
      <w:r w:rsidR="005B6D26">
        <w:t>C</w:t>
      </w:r>
      <w:r>
        <w:t>harges. GMW submitted that it typically requires one month to complete these processes; WaterNSW submitted that it would typically require two weeks.</w:t>
      </w:r>
    </w:p>
    <w:p w:rsidR="00C61CA9" w:rsidRDefault="00135446" w:rsidP="00C61CA9">
      <w:r>
        <w:t>GMW supported</w:t>
      </w:r>
      <w:r w:rsidR="00C61CA9">
        <w:t xml:space="preserve"> a further amendment to </w:t>
      </w:r>
      <w:r w:rsidR="00DB6AE4">
        <w:t>r</w:t>
      </w:r>
      <w:r w:rsidR="00C61CA9">
        <w:t xml:space="preserve">ule </w:t>
      </w:r>
      <w:r w:rsidR="00DB6AE4">
        <w:t>a</w:t>
      </w:r>
      <w:r w:rsidR="00C61CA9">
        <w:t xml:space="preserve">dvice 5-N to require that regulators make their final decision 50 business days before the charges come into effect. This is in addition to a supporting amendment to </w:t>
      </w:r>
      <w:r w:rsidR="00DB6AE4">
        <w:t>r</w:t>
      </w:r>
      <w:r w:rsidR="00C61CA9">
        <w:t xml:space="preserve">ule </w:t>
      </w:r>
      <w:r w:rsidR="00DB6AE4">
        <w:t>a</w:t>
      </w:r>
      <w:r w:rsidR="00C61CA9">
        <w:t xml:space="preserve">dvice 5-I to reduce the number of days in advance that an off-river infrastructure operator must send their </w:t>
      </w:r>
      <w:r w:rsidR="005B6D26">
        <w:t>S</w:t>
      </w:r>
      <w:r w:rsidR="00C61CA9">
        <w:t xml:space="preserve">chedule of </w:t>
      </w:r>
      <w:r w:rsidR="005B6D26">
        <w:t>C</w:t>
      </w:r>
      <w:r w:rsidR="00C61CA9">
        <w:t xml:space="preserve">harges, from 25 business days to 20. Under GMW’s proposed amendments, the infrastructure operator would have one month to release the </w:t>
      </w:r>
      <w:r w:rsidR="005B6D26">
        <w:t>S</w:t>
      </w:r>
      <w:r w:rsidR="00C61CA9">
        <w:t xml:space="preserve">chedule of </w:t>
      </w:r>
      <w:r w:rsidR="005B6D26">
        <w:t>C</w:t>
      </w:r>
      <w:r w:rsidR="00C61CA9">
        <w:t>harges before the charges come into effect.</w:t>
      </w:r>
    </w:p>
    <w:p w:rsidR="00C61CA9" w:rsidRPr="00A049A7" w:rsidRDefault="00C61CA9" w:rsidP="00A049A7">
      <w:r>
        <w:t xml:space="preserve">WaterNSW made some suggestions for amendments to </w:t>
      </w:r>
      <w:r w:rsidR="005B6D26">
        <w:t>r</w:t>
      </w:r>
      <w:r>
        <w:t xml:space="preserve">ule </w:t>
      </w:r>
      <w:r w:rsidR="005B6D26">
        <w:t>a</w:t>
      </w:r>
      <w:r>
        <w:t xml:space="preserve">dvice 5-I to address </w:t>
      </w:r>
      <w:r w:rsidR="00A049A7">
        <w:t>its</w:t>
      </w:r>
      <w:r>
        <w:t xml:space="preserve"> concerns about the impact of regulators decision on their ability to meet the timeframes for sending the </w:t>
      </w:r>
      <w:r w:rsidR="005B6D26">
        <w:t>S</w:t>
      </w:r>
      <w:r>
        <w:t xml:space="preserve">chedule of </w:t>
      </w:r>
      <w:r w:rsidR="005B6D26">
        <w:t>C</w:t>
      </w:r>
      <w:r>
        <w:t xml:space="preserve">harges but did not make any suggested amendments to </w:t>
      </w:r>
      <w:r w:rsidR="005B6D26">
        <w:t>r</w:t>
      </w:r>
      <w:r>
        <w:t xml:space="preserve">ule </w:t>
      </w:r>
      <w:r w:rsidR="005B6D26">
        <w:t>a</w:t>
      </w:r>
      <w:r>
        <w:t>dvice 5-N.</w:t>
      </w:r>
      <w:r>
        <w:rPr>
          <w:rStyle w:val="FootnoteReference"/>
        </w:rPr>
        <w:footnoteReference w:id="395"/>
      </w:r>
      <w:r>
        <w:t xml:space="preserve"> See the stakeholder summary in section 5.4.2.</w:t>
      </w:r>
    </w:p>
    <w:p w:rsidR="00061C7E" w:rsidRPr="00F33AF9" w:rsidRDefault="00061C7E" w:rsidP="00CE67EB">
      <w:pPr>
        <w:pStyle w:val="Quote"/>
        <w:rPr>
          <w:rStyle w:val="Emphasis"/>
          <w:i/>
          <w:iCs/>
        </w:rPr>
      </w:pPr>
      <w:r w:rsidRPr="00F33AF9">
        <w:rPr>
          <w:rStyle w:val="Emphasis"/>
          <w:i/>
          <w:iCs/>
        </w:rPr>
        <w:t>Consultation requirements under Part 6</w:t>
      </w:r>
    </w:p>
    <w:p w:rsidR="00B615CB" w:rsidRDefault="00B615CB" w:rsidP="00135446">
      <w:pPr>
        <w:spacing w:after="120"/>
        <w:rPr>
          <w:rFonts w:cs="Times New Roman"/>
        </w:rPr>
      </w:pPr>
      <w:r>
        <w:rPr>
          <w:rFonts w:cs="Times New Roman"/>
          <w:color w:val="000000"/>
        </w:rPr>
        <w:t>Submissions to the Issues Paper from individual irrigators and t</w:t>
      </w:r>
      <w:r w:rsidR="00061C7E" w:rsidRPr="00D714FC">
        <w:rPr>
          <w:rFonts w:cs="Times New Roman"/>
          <w:color w:val="000000"/>
        </w:rPr>
        <w:t>he Victorian Farmers</w:t>
      </w:r>
      <w:r w:rsidR="00061C7E">
        <w:rPr>
          <w:rFonts w:cs="Times New Roman"/>
          <w:color w:val="000000"/>
        </w:rPr>
        <w:t>’</w:t>
      </w:r>
      <w:r w:rsidR="00061C7E" w:rsidRPr="00D714FC">
        <w:rPr>
          <w:rFonts w:cs="Times New Roman"/>
          <w:color w:val="000000"/>
        </w:rPr>
        <w:t xml:space="preserve"> Federation (VFF)</w:t>
      </w:r>
      <w:r>
        <w:rPr>
          <w:rFonts w:cs="Times New Roman"/>
          <w:color w:val="000000"/>
        </w:rPr>
        <w:t>, as well as feedback from irrigators attending public forums,</w:t>
      </w:r>
      <w:r w:rsidR="00061C7E" w:rsidRPr="00D714FC">
        <w:rPr>
          <w:rFonts w:cs="Times New Roman"/>
          <w:color w:val="000000"/>
        </w:rPr>
        <w:t xml:space="preserve"> supported more clarity</w:t>
      </w:r>
      <w:r w:rsidR="00061C7E" w:rsidRPr="00D714FC">
        <w:rPr>
          <w:rFonts w:cs="Times New Roman"/>
        </w:rPr>
        <w:t xml:space="preserve"> being provided to Part 6 operators about what constitutes effective customer consultation.</w:t>
      </w:r>
      <w:r w:rsidR="00061C7E">
        <w:rPr>
          <w:rStyle w:val="FootnoteReference"/>
          <w:rFonts w:cs="Times New Roman"/>
        </w:rPr>
        <w:footnoteReference w:id="396"/>
      </w:r>
      <w:r w:rsidR="00061C7E">
        <w:rPr>
          <w:rFonts w:cs="Times New Roman"/>
        </w:rPr>
        <w:t xml:space="preserve"> </w:t>
      </w:r>
      <w:r>
        <w:rPr>
          <w:rFonts w:cs="Times New Roman"/>
        </w:rPr>
        <w:t>These stakeholders raised several key issues relating to Part 6 consultation requirements, such as:</w:t>
      </w:r>
    </w:p>
    <w:p w:rsidR="00B615CB" w:rsidRPr="00B615CB" w:rsidRDefault="00B615CB" w:rsidP="00A82DE6">
      <w:pPr>
        <w:pStyle w:val="Lvl1Bulletpoint"/>
        <w:rPr>
          <w:sz w:val="24"/>
          <w:szCs w:val="24"/>
        </w:rPr>
      </w:pPr>
      <w:r>
        <w:t xml:space="preserve">insufficient information being provided by operators when consulting on major pricing decisions (e.g. lack of customer access to planning documents) </w:t>
      </w:r>
    </w:p>
    <w:p w:rsidR="00B615CB" w:rsidRPr="00B615CB" w:rsidRDefault="00B615CB" w:rsidP="00A82DE6">
      <w:pPr>
        <w:pStyle w:val="Lvl1Bulletpoint"/>
        <w:rPr>
          <w:sz w:val="24"/>
          <w:szCs w:val="24"/>
        </w:rPr>
      </w:pPr>
      <w:r>
        <w:t>lack of direct consultation between the regulator and customers (irrigators) and</w:t>
      </w:r>
    </w:p>
    <w:p w:rsidR="00B615CB" w:rsidRPr="00B615CB" w:rsidRDefault="00B615CB" w:rsidP="00A82DE6">
      <w:pPr>
        <w:pStyle w:val="Lvl1Bulletpoint"/>
        <w:rPr>
          <w:sz w:val="24"/>
          <w:szCs w:val="24"/>
        </w:rPr>
      </w:pPr>
      <w:r>
        <w:t>operators allegedly misrepresenting customers’ views received during consultation processes.</w:t>
      </w:r>
      <w:r>
        <w:rPr>
          <w:rStyle w:val="FootnoteReference"/>
        </w:rPr>
        <w:footnoteReference w:id="397"/>
      </w:r>
      <w:r>
        <w:t xml:space="preserve"> </w:t>
      </w:r>
    </w:p>
    <w:p w:rsidR="00A049A7" w:rsidRDefault="00A049A7" w:rsidP="00135446">
      <w:pPr>
        <w:spacing w:after="120"/>
      </w:pPr>
      <w:r>
        <w:t>In response to the Draft Advice, GMW supported the ACCC’s position to not specify the form of consultation that infrastructure operators should undertake in making their application to the regulator.</w:t>
      </w:r>
      <w:r w:rsidRPr="00D22D6E">
        <w:rPr>
          <w:rStyle w:val="FootnoteReference"/>
          <w:rFonts w:cs="Times New Roman"/>
          <w:sz w:val="20"/>
          <w:szCs w:val="20"/>
        </w:rPr>
        <w:footnoteReference w:id="398"/>
      </w:r>
      <w:r>
        <w:t xml:space="preserve"> GMW noted that: </w:t>
      </w:r>
    </w:p>
    <w:p w:rsidR="00A049A7" w:rsidRDefault="00A049A7" w:rsidP="00A82DE6">
      <w:pPr>
        <w:pStyle w:val="Lvl1Bulletpoint"/>
      </w:pPr>
      <w:r>
        <w:t xml:space="preserve">it is beneficial for the infrastructure operator to have flexibility in how they consult with their customers. </w:t>
      </w:r>
    </w:p>
    <w:p w:rsidR="00A049A7" w:rsidRDefault="00A049A7" w:rsidP="00A82DE6">
      <w:pPr>
        <w:pStyle w:val="Lvl1Bulletpoint"/>
      </w:pPr>
      <w:r>
        <w:t>different consultation methods are required to reach different customers.</w:t>
      </w:r>
    </w:p>
    <w:p w:rsidR="00061C7E" w:rsidRPr="00A049A7" w:rsidRDefault="00A049A7" w:rsidP="00A82DE6">
      <w:pPr>
        <w:pStyle w:val="Lvl1Bulletpoint"/>
        <w:rPr>
          <w:rFonts w:cs="Times New Roman"/>
        </w:rPr>
      </w:pPr>
      <w:r>
        <w:t>successful consultation is difficult to prescribe.</w:t>
      </w:r>
    </w:p>
    <w:p w:rsidR="00A049A7" w:rsidRDefault="0079321E" w:rsidP="007F4722">
      <w:pPr>
        <w:pStyle w:val="Heading4"/>
        <w:keepNext w:val="0"/>
        <w:rPr>
          <w:rFonts w:ascii="Times New Roman" w:hAnsi="Times New Roman" w:cs="Times New Roman"/>
        </w:rPr>
      </w:pPr>
      <w:r>
        <w:rPr>
          <w:rFonts w:ascii="Times New Roman" w:hAnsi="Times New Roman" w:cs="Times New Roman"/>
        </w:rPr>
        <w:t>ACCC assessment</w:t>
      </w:r>
    </w:p>
    <w:p w:rsidR="00A049A7" w:rsidRDefault="00A049A7" w:rsidP="00A049A7">
      <w:r>
        <w:t>The ACCC recognises the advantages of an earlier date for publishing regulatory decisions</w:t>
      </w:r>
      <w:r w:rsidR="00DB7D7B">
        <w:t>—</w:t>
      </w:r>
      <w:r>
        <w:t xml:space="preserve">allowing </w:t>
      </w:r>
      <w:r w:rsidRPr="001D38A8">
        <w:t xml:space="preserve">the infrastructure operator </w:t>
      </w:r>
      <w:r>
        <w:t xml:space="preserve">adequate time </w:t>
      </w:r>
      <w:r w:rsidRPr="001D38A8">
        <w:t xml:space="preserve">to complete internal administration processes </w:t>
      </w:r>
      <w:r>
        <w:t xml:space="preserve">before </w:t>
      </w:r>
      <w:r w:rsidRPr="001D38A8">
        <w:t>publish</w:t>
      </w:r>
      <w:r>
        <w:t>ing</w:t>
      </w:r>
      <w:r w:rsidR="00893516">
        <w:t xml:space="preserve"> / sending</w:t>
      </w:r>
      <w:r w:rsidRPr="001D38A8">
        <w:t xml:space="preserve"> its </w:t>
      </w:r>
      <w:r w:rsidR="005B6D26">
        <w:t>S</w:t>
      </w:r>
      <w:r w:rsidRPr="001D38A8">
        <w:t xml:space="preserve">chedule of </w:t>
      </w:r>
      <w:r w:rsidR="005B6D26">
        <w:t>C</w:t>
      </w:r>
      <w:r w:rsidRPr="001D38A8">
        <w:t>harges</w:t>
      </w:r>
      <w:r>
        <w:t xml:space="preserve"> by the time required in rule 1</w:t>
      </w:r>
      <w:r w:rsidR="00AC018B">
        <w:t>5</w:t>
      </w:r>
      <w:r w:rsidR="00883CD7">
        <w:t xml:space="preserve"> (this was rule 11 in the Draft Advice version of the proposed water charge rules)</w:t>
      </w:r>
      <w:r>
        <w:t>. However, earlier dates for the final decision involve trade-offs against other objectives</w:t>
      </w:r>
      <w:r w:rsidR="009A77D6">
        <w:t>—</w:t>
      </w:r>
      <w:r>
        <w:t xml:space="preserve">in particular, to use the most up-to-date information possible to make the decision, and </w:t>
      </w:r>
      <w:r w:rsidR="009A77D6">
        <w:t xml:space="preserve">to </w:t>
      </w:r>
      <w:r>
        <w:t xml:space="preserve">allow the regulator sufficient time to conduct an adequate review and consultation. </w:t>
      </w:r>
    </w:p>
    <w:p w:rsidR="00A049A7" w:rsidRDefault="00A049A7" w:rsidP="00A049A7">
      <w:r>
        <w:t xml:space="preserve">The proposed rule amendments in the Draft Advice relating to timeframes should make it easier for off-river </w:t>
      </w:r>
      <w:r w:rsidR="009A77D6">
        <w:t>infrastructure operators</w:t>
      </w:r>
      <w:r>
        <w:t xml:space="preserve"> to publish their charges on time (at least 10</w:t>
      </w:r>
      <w:r w:rsidR="00055338">
        <w:t xml:space="preserve"> business</w:t>
      </w:r>
      <w:r>
        <w:t xml:space="preserve"> days before the charges commence) than in the past. These include </w:t>
      </w:r>
      <w:r w:rsidR="005B6D26">
        <w:t>r</w:t>
      </w:r>
      <w:r>
        <w:t xml:space="preserve">ule </w:t>
      </w:r>
      <w:r w:rsidR="005B6D26">
        <w:t>a</w:t>
      </w:r>
      <w:r>
        <w:t xml:space="preserve">dvice 5-I regarding notification requirements for </w:t>
      </w:r>
      <w:r w:rsidR="005B6D26">
        <w:t>S</w:t>
      </w:r>
      <w:r>
        <w:t xml:space="preserve">chedule of </w:t>
      </w:r>
      <w:r w:rsidR="005B6D26">
        <w:t>C</w:t>
      </w:r>
      <w:r>
        <w:t xml:space="preserve">harges (see section 5.4.2), as well as </w:t>
      </w:r>
      <w:r w:rsidR="005B6D26">
        <w:t>r</w:t>
      </w:r>
      <w:r>
        <w:t xml:space="preserve">ule </w:t>
      </w:r>
      <w:r w:rsidR="005B6D26">
        <w:t>a</w:t>
      </w:r>
      <w:r>
        <w:t xml:space="preserve">dvice 5-N regarding publication of decisions. </w:t>
      </w:r>
    </w:p>
    <w:p w:rsidR="00A049A7" w:rsidRDefault="00A049A7" w:rsidP="001A7D0F">
      <w:r>
        <w:t xml:space="preserve">The </w:t>
      </w:r>
      <w:r w:rsidR="004643D1">
        <w:t xml:space="preserve">proposed </w:t>
      </w:r>
      <w:r>
        <w:t>requirement</w:t>
      </w:r>
      <w:r w:rsidR="004643D1">
        <w:t xml:space="preserve"> </w:t>
      </w:r>
      <w:r>
        <w:t xml:space="preserve">for the ACCC to publish its decision at least 30 </w:t>
      </w:r>
      <w:r w:rsidR="00055338">
        <w:t xml:space="preserve">business </w:t>
      </w:r>
      <w:r>
        <w:t xml:space="preserve">days before the regulatory period commences </w:t>
      </w:r>
      <w:r w:rsidR="004643D1">
        <w:t>should</w:t>
      </w:r>
      <w:r>
        <w:t xml:space="preserve"> allow more time for operators than available in practice with past decisions.</w:t>
      </w:r>
      <w:r>
        <w:rPr>
          <w:rStyle w:val="FootnoteReference"/>
        </w:rPr>
        <w:footnoteReference w:id="399"/>
      </w:r>
    </w:p>
    <w:p w:rsidR="00A049A7" w:rsidRDefault="00A049A7" w:rsidP="001A7D0F">
      <w:r>
        <w:t>Under proposed rule 1</w:t>
      </w:r>
      <w:r w:rsidR="00AC018B">
        <w:t>5</w:t>
      </w:r>
      <w:r>
        <w:t xml:space="preserve"> in </w:t>
      </w:r>
      <w:r w:rsidR="005B7802">
        <w:t>rule advice</w:t>
      </w:r>
      <w:r>
        <w:t xml:space="preserve"> 5-I, </w:t>
      </w:r>
      <w:r w:rsidR="00883CD7">
        <w:t>‘upstream’</w:t>
      </w:r>
      <w:r w:rsidR="001A7D0F">
        <w:t xml:space="preserve"> infrastructure</w:t>
      </w:r>
      <w:r>
        <w:t xml:space="preserve"> operators would have to </w:t>
      </w:r>
      <w:r w:rsidR="001A7D0F">
        <w:t xml:space="preserve">send / publish </w:t>
      </w:r>
      <w:r>
        <w:t xml:space="preserve">their </w:t>
      </w:r>
      <w:r w:rsidR="005B6D26">
        <w:t>S</w:t>
      </w:r>
      <w:r>
        <w:t xml:space="preserve">chedule </w:t>
      </w:r>
      <w:r w:rsidR="001A7D0F">
        <w:t xml:space="preserve">of </w:t>
      </w:r>
      <w:r w:rsidR="005B6D26">
        <w:t>C</w:t>
      </w:r>
      <w:r w:rsidR="001A7D0F">
        <w:t xml:space="preserve">harges </w:t>
      </w:r>
      <w:r>
        <w:t xml:space="preserve">15 </w:t>
      </w:r>
      <w:r w:rsidR="00055338">
        <w:t xml:space="preserve">business </w:t>
      </w:r>
      <w:r>
        <w:t xml:space="preserve">days earlier than </w:t>
      </w:r>
      <w:r w:rsidR="001A7D0F">
        <w:t>the off-river infrastructure operators</w:t>
      </w:r>
      <w:r>
        <w:t xml:space="preserve"> who are their customers.</w:t>
      </w:r>
      <w:r>
        <w:rPr>
          <w:rStyle w:val="FootnoteReference"/>
        </w:rPr>
        <w:footnoteReference w:id="400"/>
      </w:r>
      <w:r w:rsidR="00C6733C">
        <w:t xml:space="preserve"> </w:t>
      </w:r>
      <w:r>
        <w:t xml:space="preserve">By contrast, under the current rules there is no set time gap because all operators have to </w:t>
      </w:r>
      <w:r w:rsidR="00055338">
        <w:t xml:space="preserve">publish / provide </w:t>
      </w:r>
      <w:r>
        <w:t xml:space="preserve">their </w:t>
      </w:r>
      <w:r w:rsidR="005B6D26">
        <w:t>S</w:t>
      </w:r>
      <w:r w:rsidR="00055338">
        <w:t xml:space="preserve">chedule of </w:t>
      </w:r>
      <w:r w:rsidR="005B6D26">
        <w:t>C</w:t>
      </w:r>
      <w:r>
        <w:t xml:space="preserve">harges at least 10 business days before the charges take effect. </w:t>
      </w:r>
    </w:p>
    <w:p w:rsidR="00A049A7" w:rsidRDefault="00A049A7" w:rsidP="00135446">
      <w:pPr>
        <w:spacing w:after="120"/>
      </w:pPr>
      <w:r>
        <w:t xml:space="preserve">Other proposed </w:t>
      </w:r>
      <w:r w:rsidR="00055338">
        <w:t xml:space="preserve">amendments to </w:t>
      </w:r>
      <w:r w:rsidR="00883CD7">
        <w:t xml:space="preserve">the publication requirements </w:t>
      </w:r>
      <w:r>
        <w:t>(</w:t>
      </w:r>
      <w:r w:rsidR="00055338">
        <w:t xml:space="preserve">set out in </w:t>
      </w:r>
      <w:r>
        <w:t xml:space="preserve">section 5.4.2) should reduce the administrative time and cost for operators to prepare </w:t>
      </w:r>
      <w:r w:rsidR="00893516">
        <w:t>and distribute their Schedule of Charges</w:t>
      </w:r>
      <w:r w:rsidR="00055338">
        <w:t>. I</w:t>
      </w:r>
      <w:r>
        <w:t xml:space="preserve">n particular: </w:t>
      </w:r>
    </w:p>
    <w:p w:rsidR="00A049A7" w:rsidRPr="009A77D6" w:rsidRDefault="00A049A7" w:rsidP="00A82DE6">
      <w:pPr>
        <w:pStyle w:val="Lvl1Bulletpoint"/>
      </w:pPr>
      <w:r w:rsidRPr="009A77D6">
        <w:t>changing infrastructure operators’ obligation</w:t>
      </w:r>
      <w:r w:rsidR="00893516">
        <w:t xml:space="preserve"> by making clear that </w:t>
      </w:r>
      <w:r w:rsidRPr="009A77D6">
        <w:t xml:space="preserve">a </w:t>
      </w:r>
      <w:r w:rsidR="00AD6514">
        <w:t>S</w:t>
      </w:r>
      <w:r w:rsidRPr="009A77D6">
        <w:t xml:space="preserve">chedule of </w:t>
      </w:r>
      <w:r w:rsidR="00AD6514">
        <w:t>C</w:t>
      </w:r>
      <w:r w:rsidRPr="009A77D6">
        <w:t xml:space="preserve">harges </w:t>
      </w:r>
      <w:r w:rsidR="00893516">
        <w:t xml:space="preserve">is taken to have been </w:t>
      </w:r>
      <w:r w:rsidR="00893516" w:rsidRPr="00893516">
        <w:rPr>
          <w:i/>
        </w:rPr>
        <w:t>given</w:t>
      </w:r>
      <w:r w:rsidR="00893516">
        <w:t xml:space="preserve"> to a customer on the date the operator </w:t>
      </w:r>
      <w:r w:rsidR="00893516">
        <w:rPr>
          <w:i/>
        </w:rPr>
        <w:t xml:space="preserve">sends </w:t>
      </w:r>
      <w:r w:rsidR="00893516">
        <w:t>it to the customer</w:t>
      </w:r>
      <w:r w:rsidR="00055338">
        <w:t>—infrastructure o</w:t>
      </w:r>
      <w:r w:rsidRPr="009A77D6">
        <w:t>perators will no longer have to factor in an allowance for the time taken for postal deliveries when meeting this requirement.</w:t>
      </w:r>
    </w:p>
    <w:p w:rsidR="00A049A7" w:rsidRPr="009A77D6" w:rsidRDefault="00A049A7" w:rsidP="00A82DE6">
      <w:pPr>
        <w:pStyle w:val="Lvl1Bulletpoint"/>
      </w:pPr>
      <w:r w:rsidRPr="009A77D6">
        <w:t xml:space="preserve">making it clearer that operators do not have to </w:t>
      </w:r>
      <w:r w:rsidR="00893516">
        <w:t xml:space="preserve">give their Schedule of Charges to all customers using the same method—for example, an operator can give </w:t>
      </w:r>
      <w:r w:rsidRPr="009A77D6">
        <w:t xml:space="preserve">copies </w:t>
      </w:r>
      <w:r w:rsidR="00893516">
        <w:t xml:space="preserve">by email to some customers, by post to other customer, </w:t>
      </w:r>
      <w:r w:rsidR="008D70AE">
        <w:t>by fax to yet other customers</w:t>
      </w:r>
      <w:r w:rsidRPr="009A77D6">
        <w:t>.</w:t>
      </w:r>
    </w:p>
    <w:p w:rsidR="00A049A7" w:rsidRPr="009A77D6" w:rsidRDefault="00A049A7" w:rsidP="00A82DE6">
      <w:pPr>
        <w:pStyle w:val="Lvl1Bulletpoint"/>
      </w:pPr>
      <w:r w:rsidRPr="009A77D6">
        <w:t>providing a degree of protection to infrastructure operators where their inability to meet the proposed timing requirements is due to the timing of a regulatory decision.</w:t>
      </w:r>
    </w:p>
    <w:p w:rsidR="00A049A7" w:rsidRDefault="00A049A7" w:rsidP="00A049A7">
      <w:r>
        <w:t xml:space="preserve">The ACCC considers that publishing the decision 30 </w:t>
      </w:r>
      <w:r w:rsidR="00055338">
        <w:t>business days</w:t>
      </w:r>
      <w:r>
        <w:t xml:space="preserve"> before a regulatory period as proposed in the Draft Advice would provide a reasonable balance between objectives. It would allow more up-to-date data</w:t>
      </w:r>
      <w:r w:rsidR="00883CD7">
        <w:t>—in particular,</w:t>
      </w:r>
      <w:r>
        <w:t xml:space="preserve"> on water usage and the </w:t>
      </w:r>
      <w:r w:rsidR="00883CD7">
        <w:t>CPI—</w:t>
      </w:r>
      <w:r>
        <w:t xml:space="preserve">to be used, compared with 40-50 </w:t>
      </w:r>
      <w:r w:rsidR="00055338">
        <w:t>business days</w:t>
      </w:r>
      <w:r>
        <w:t xml:space="preserve"> as recommended by some operators. </w:t>
      </w:r>
    </w:p>
    <w:p w:rsidR="00A049A7" w:rsidRPr="00031EEC" w:rsidRDefault="00A049A7" w:rsidP="00A049A7">
      <w:pPr>
        <w:rPr>
          <w:b/>
        </w:rPr>
      </w:pPr>
      <w:r>
        <w:t>For the above reasons, the ACCC’s Final Advice m</w:t>
      </w:r>
      <w:r w:rsidRPr="00031EEC">
        <w:t>aintain</w:t>
      </w:r>
      <w:r>
        <w:t>s</w:t>
      </w:r>
      <w:r w:rsidRPr="00031EEC">
        <w:t xml:space="preserve"> the </w:t>
      </w:r>
      <w:r w:rsidR="00BF06E1">
        <w:t>D</w:t>
      </w:r>
      <w:r w:rsidRPr="00031EEC">
        <w:t xml:space="preserve">raft </w:t>
      </w:r>
      <w:r w:rsidR="00BF06E1">
        <w:t>A</w:t>
      </w:r>
      <w:r w:rsidRPr="00031EEC">
        <w:t>dvice to</w:t>
      </w:r>
      <w:r>
        <w:t xml:space="preserve"> </w:t>
      </w:r>
      <w:r w:rsidRPr="00031EEC">
        <w:t xml:space="preserve">publish regulatory decisions at least 30 </w:t>
      </w:r>
      <w:r w:rsidR="00055338">
        <w:t xml:space="preserve">business </w:t>
      </w:r>
      <w:r w:rsidRPr="00031EEC">
        <w:t>days before the regulatory period commences (rule</w:t>
      </w:r>
      <w:r w:rsidR="00DB6AE4">
        <w:t>s</w:t>
      </w:r>
      <w:r w:rsidRPr="00031EEC">
        <w:t xml:space="preserve"> 30, 37)</w:t>
      </w:r>
      <w:r>
        <w:t>, i</w:t>
      </w:r>
      <w:r w:rsidRPr="00031EEC">
        <w:t xml:space="preserve">n conjunction with changes in advice on notification requirements in rule advice 5-I. </w:t>
      </w:r>
    </w:p>
    <w:p w:rsidR="00055338" w:rsidRDefault="00A049A7" w:rsidP="00A049A7">
      <w:r>
        <w:t xml:space="preserve">Note that the rules governing the time of the application and determination will not be relevant to operators such as GMW and WaterNSW which are expected to cease to qualify for Part 6 under proposed rule 23. State-based frameworks are not prescriptive on such times for the review. However, the rules on publication times under Part 4 will remain for all operators, so that Basin State regulators should be encouraged to schedule their processes so that stakeholders can meet the publication requirements in the </w:t>
      </w:r>
      <w:r w:rsidR="00055338">
        <w:t>water charge rules</w:t>
      </w:r>
      <w:r>
        <w:t>.</w:t>
      </w:r>
      <w:r w:rsidR="009A77D6">
        <w:t xml:space="preserve"> </w:t>
      </w:r>
    </w:p>
    <w:p w:rsidR="00A049A7" w:rsidRDefault="00A049A7" w:rsidP="00A049A7">
      <w:r>
        <w:t xml:space="preserve">No submissions </w:t>
      </w:r>
      <w:r w:rsidR="004643D1">
        <w:t xml:space="preserve">provided feedback directly on </w:t>
      </w:r>
      <w:r>
        <w:t xml:space="preserve">the </w:t>
      </w:r>
      <w:r w:rsidR="00055338">
        <w:t>d</w:t>
      </w:r>
      <w:r>
        <w:t xml:space="preserve">raft </w:t>
      </w:r>
      <w:r w:rsidR="00055338">
        <w:t>ru</w:t>
      </w:r>
      <w:r w:rsidR="000869AC">
        <w:t>l</w:t>
      </w:r>
      <w:r w:rsidR="00055338">
        <w:t>e a</w:t>
      </w:r>
      <w:r>
        <w:t xml:space="preserve">dvice to require </w:t>
      </w:r>
      <w:r w:rsidR="000869AC">
        <w:t>a Part 6</w:t>
      </w:r>
      <w:r>
        <w:t xml:space="preserve"> operator to submit its application at least 15 months before the start of the period (or 4 months for an annual review.) This, combined with the proposed requirement on the regulator to publish its decision 30 </w:t>
      </w:r>
      <w:r w:rsidR="00055338">
        <w:t>business days</w:t>
      </w:r>
      <w:r>
        <w:t xml:space="preserve"> before the period commences, means that the regulator effectively has about 13½ months to conduct the review, which replaces the 13 months currently required in rule 30. The proposed rules relate the due times to the commencement of the regulatory period, and put responsibility on the operator to submit its application </w:t>
      </w:r>
      <w:r w:rsidR="007C0F81">
        <w:t>by the due date, thereby allowing</w:t>
      </w:r>
      <w:r>
        <w:t xml:space="preserve"> sufficient time for the regulator to conduct an adequate review.</w:t>
      </w:r>
    </w:p>
    <w:p w:rsidR="00F61AF6" w:rsidRPr="00D714FC" w:rsidRDefault="00F61AF6" w:rsidP="00F61AF6">
      <w:pPr>
        <w:rPr>
          <w:rFonts w:cs="Times New Roman"/>
          <w:color w:val="000000"/>
        </w:rPr>
      </w:pPr>
      <w:r>
        <w:t xml:space="preserve">The ACCC notes stakeholder concerns with the level and nature of stakeholder consultation by Part 6 operators. As noted in the Draft Advice, the ACCC recognises the benefits of detailed consultation to regulatory processes. However, the ACCC maintains its view that the rules should not </w:t>
      </w:r>
      <w:r w:rsidRPr="00D714FC">
        <w:rPr>
          <w:rFonts w:cs="Times New Roman"/>
          <w:color w:val="000000"/>
        </w:rPr>
        <w:t xml:space="preserve">mandate the specific form of consultation that should be undertaken by a Part 6 operator. </w:t>
      </w:r>
      <w:r>
        <w:t xml:space="preserve">This retains the </w:t>
      </w:r>
      <w:r w:rsidRPr="00D714FC">
        <w:rPr>
          <w:rFonts w:cs="Times New Roman"/>
          <w:color w:val="000000"/>
        </w:rPr>
        <w:t xml:space="preserve">current provisions requiring both the operator and the regulator to </w:t>
      </w:r>
      <w:r w:rsidRPr="00D714FC">
        <w:rPr>
          <w:rFonts w:cs="Times New Roman"/>
          <w:i/>
          <w:color w:val="000000"/>
        </w:rPr>
        <w:t>undertake</w:t>
      </w:r>
      <w:r w:rsidRPr="00D714FC">
        <w:rPr>
          <w:rFonts w:cs="Times New Roman"/>
          <w:color w:val="000000"/>
        </w:rPr>
        <w:t xml:space="preserve"> consultation during Part 6 processes</w:t>
      </w:r>
      <w:r>
        <w:rPr>
          <w:rFonts w:cs="Times New Roman"/>
          <w:color w:val="000000"/>
        </w:rPr>
        <w:t>, without mandating the form of consultation.</w:t>
      </w:r>
      <w:r w:rsidRPr="00D714FC">
        <w:rPr>
          <w:rFonts w:cs="Times New Roman"/>
          <w:color w:val="000000"/>
        </w:rPr>
        <w:t xml:space="preserve"> </w:t>
      </w:r>
    </w:p>
    <w:p w:rsidR="00A049A7" w:rsidRDefault="00A049A7" w:rsidP="00A049A7">
      <w:r>
        <w:t>The ACCC Final Advice maintains its Draft Advice on application times</w:t>
      </w:r>
      <w:r w:rsidR="00284FB7">
        <w:t xml:space="preserve"> but replaces</w:t>
      </w:r>
      <w:r w:rsidR="004F1F67">
        <w:t xml:space="preserve"> the</w:t>
      </w:r>
      <w:r w:rsidR="00284FB7">
        <w:t xml:space="preserve"> </w:t>
      </w:r>
      <w:r w:rsidRPr="00743CBA">
        <w:t xml:space="preserve">bottom two rows </w:t>
      </w:r>
      <w:r w:rsidR="00284FB7">
        <w:t>of</w:t>
      </w:r>
      <w:r w:rsidRPr="00743CBA">
        <w:t xml:space="preserve"> the table with </w:t>
      </w:r>
      <w:r w:rsidR="00284FB7">
        <w:t xml:space="preserve">a </w:t>
      </w:r>
      <w:r w:rsidRPr="00743CBA">
        <w:t xml:space="preserve">cross reference to the proposed timing requirements in </w:t>
      </w:r>
      <w:r w:rsidR="00284FB7">
        <w:t>r</w:t>
      </w:r>
      <w:r w:rsidRPr="00743CBA">
        <w:t xml:space="preserve">ule </w:t>
      </w:r>
      <w:r w:rsidR="00284FB7">
        <w:t>a</w:t>
      </w:r>
      <w:r w:rsidRPr="00743CBA">
        <w:t>dvice 5-I (see section 5.4.2).</w:t>
      </w:r>
    </w:p>
    <w:p w:rsidR="00061C7E" w:rsidRDefault="00061C7E" w:rsidP="00616672">
      <w:pPr>
        <w:pStyle w:val="Heading3"/>
      </w:pPr>
      <w:bookmarkStart w:id="804" w:name="_Toc436122302"/>
      <w:bookmarkStart w:id="805" w:name="_Toc436122797"/>
      <w:bookmarkStart w:id="806" w:name="_Toc436124152"/>
      <w:bookmarkStart w:id="807" w:name="_Toc456785808"/>
      <w:bookmarkStart w:id="808" w:name="_Toc461630719"/>
      <w:r w:rsidRPr="00D714FC">
        <w:t>Length of the regulatory period</w:t>
      </w:r>
      <w:bookmarkEnd w:id="804"/>
      <w:bookmarkEnd w:id="805"/>
      <w:bookmarkEnd w:id="806"/>
      <w:bookmarkEnd w:id="807"/>
      <w:bookmarkEnd w:id="808"/>
      <w:r w:rsidRPr="00D714FC">
        <w:tab/>
      </w:r>
    </w:p>
    <w:p w:rsidR="00355683" w:rsidRPr="00D07E1E" w:rsidRDefault="00D07E1E" w:rsidP="00D17F9C">
      <w:pPr>
        <w:pStyle w:val="Heading4"/>
        <w:spacing w:before="0" w:after="0"/>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r w:rsidR="00C21C88" w:rsidRPr="00D07E1E">
        <w:rPr>
          <w:rFonts w:asciiTheme="minorHAnsi" w:hAnsiTheme="minorHAnsi"/>
          <w:sz w:val="18"/>
        </w:rPr>
        <w:t xml:space="preserve"> </w:t>
      </w:r>
    </w:p>
    <w:tbl>
      <w:tblPr>
        <w:tblStyle w:val="TableGrid"/>
        <w:tblW w:w="9293" w:type="dxa"/>
        <w:tblLook w:val="04A0" w:firstRow="1" w:lastRow="0" w:firstColumn="1" w:lastColumn="0" w:noHBand="0" w:noVBand="1"/>
      </w:tblPr>
      <w:tblGrid>
        <w:gridCol w:w="9293"/>
      </w:tblGrid>
      <w:tr w:rsidR="00355683" w:rsidTr="00135446">
        <w:trPr>
          <w:trHeight w:val="5692"/>
        </w:trPr>
        <w:tc>
          <w:tcPr>
            <w:tcW w:w="9293" w:type="dxa"/>
            <w:tcBorders>
              <w:top w:val="nil"/>
              <w:left w:val="nil"/>
              <w:bottom w:val="nil"/>
              <w:right w:val="nil"/>
            </w:tcBorders>
            <w:shd w:val="clear" w:color="auto" w:fill="D9D9D9" w:themeFill="background1" w:themeFillShade="D9"/>
          </w:tcPr>
          <w:p w:rsidR="00ED342F" w:rsidRPr="00D714FC" w:rsidRDefault="00ED342F" w:rsidP="00AF7032">
            <w:pPr>
              <w:pStyle w:val="Caption"/>
              <w:rPr>
                <w:rFonts w:eastAsia="Arial"/>
              </w:rPr>
            </w:pPr>
            <w:bookmarkStart w:id="809" w:name="_Toc456784003"/>
            <w:bookmarkStart w:id="810" w:name="_Toc433975314"/>
            <w:bookmarkStart w:id="811" w:name="_Toc432937544"/>
            <w:r w:rsidRPr="00D714FC">
              <w:t xml:space="preserve">Rule advice </w:t>
            </w:r>
            <w:r w:rsidR="007F659D">
              <w:rPr>
                <w:noProof/>
              </w:rPr>
              <w:t>5</w:t>
            </w:r>
            <w:r>
              <w:noBreakHyphen/>
            </w:r>
            <w:r w:rsidR="007F659D">
              <w:rPr>
                <w:noProof/>
              </w:rPr>
              <w:t>O</w:t>
            </w:r>
            <w:bookmarkEnd w:id="809"/>
          </w:p>
          <w:p w:rsidR="00355683" w:rsidRPr="00D714FC" w:rsidRDefault="00355683" w:rsidP="00FD0951">
            <w:pPr>
              <w:pStyle w:val="Heading8"/>
              <w:outlineLvl w:val="7"/>
            </w:pPr>
            <w:bookmarkStart w:id="812" w:name="_Toc432937545"/>
            <w:bookmarkStart w:id="813" w:name="_Toc433975315"/>
            <w:bookmarkStart w:id="814" w:name="_Toc435802773"/>
            <w:bookmarkStart w:id="815" w:name="_Toc436123356"/>
            <w:bookmarkStart w:id="816" w:name="_Toc456784004"/>
            <w:bookmarkStart w:id="817" w:name="Rule_Advice_5O"/>
            <w:r w:rsidRPr="00D714FC">
              <w:t>The rules should be amended to alter the definition of “regulatory period” (</w:t>
            </w:r>
            <w:r w:rsidR="00DB6AE4">
              <w:t>r</w:t>
            </w:r>
            <w:r w:rsidRPr="00D714FC">
              <w:t>ule 3 in Part</w:t>
            </w:r>
            <w:r w:rsidR="00FD7F42">
              <w:t> </w:t>
            </w:r>
            <w:r w:rsidRPr="00D714FC">
              <w:t>1)</w:t>
            </w:r>
            <w:bookmarkEnd w:id="812"/>
            <w:bookmarkEnd w:id="813"/>
            <w:r w:rsidRPr="00D714FC">
              <w:t xml:space="preserve"> </w:t>
            </w:r>
            <w:bookmarkStart w:id="818" w:name="_Toc432937547"/>
            <w:bookmarkStart w:id="819" w:name="_Toc433975316"/>
            <w:r w:rsidRPr="00D714FC">
              <w:t xml:space="preserve">to provide for </w:t>
            </w:r>
            <w:r>
              <w:t>a default regulatory period of three years (instead of four years) for</w:t>
            </w:r>
            <w:r w:rsidRPr="00D714FC">
              <w:t xml:space="preserve"> Part 6 operator</w:t>
            </w:r>
            <w:bookmarkEnd w:id="818"/>
            <w:bookmarkEnd w:id="819"/>
            <w:r>
              <w:t>s</w:t>
            </w:r>
            <w:r w:rsidRPr="00D714FC">
              <w:t>.</w:t>
            </w:r>
            <w:bookmarkEnd w:id="814"/>
            <w:bookmarkEnd w:id="815"/>
            <w:bookmarkEnd w:id="816"/>
          </w:p>
          <w:p w:rsidR="00355683" w:rsidRPr="00D714FC" w:rsidRDefault="00355683" w:rsidP="00FD0951">
            <w:pPr>
              <w:pStyle w:val="Heading8"/>
              <w:outlineLvl w:val="7"/>
            </w:pPr>
            <w:bookmarkStart w:id="820" w:name="_Toc433975317"/>
            <w:bookmarkStart w:id="821" w:name="_Toc435802774"/>
            <w:bookmarkStart w:id="822" w:name="_Toc436123357"/>
            <w:bookmarkStart w:id="823" w:name="_Toc456784005"/>
            <w:bookmarkStart w:id="824" w:name="_Toc432937548"/>
            <w:r w:rsidRPr="00D714FC">
              <w:t xml:space="preserve">Rule 24 should be amended to </w:t>
            </w:r>
            <w:r>
              <w:t>allow</w:t>
            </w:r>
            <w:r w:rsidRPr="00D714FC">
              <w:t xml:space="preserve"> the </w:t>
            </w:r>
            <w:r w:rsidR="007C0F81">
              <w:t>ACCC</w:t>
            </w:r>
            <w:r w:rsidR="007C0F81" w:rsidRPr="00D714FC">
              <w:t xml:space="preserve"> </w:t>
            </w:r>
            <w:r w:rsidRPr="00D714FC">
              <w:t xml:space="preserve">to </w:t>
            </w:r>
            <w:r>
              <w:t>lengthen</w:t>
            </w:r>
            <w:r w:rsidRPr="00D714FC">
              <w:t xml:space="preserve"> </w:t>
            </w:r>
            <w:r>
              <w:t>a</w:t>
            </w:r>
            <w:r w:rsidRPr="00D714FC">
              <w:t xml:space="preserve"> regulatory period </w:t>
            </w:r>
            <w:r w:rsidR="005145EC">
              <w:t xml:space="preserve">from the proposed default period of three years </w:t>
            </w:r>
            <w:r w:rsidR="009452DA">
              <w:t xml:space="preserve">to </w:t>
            </w:r>
            <w:r w:rsidR="007C0F81">
              <w:t xml:space="preserve">up to </w:t>
            </w:r>
            <w:r w:rsidR="004643D1">
              <w:t>five years</w:t>
            </w:r>
            <w:r w:rsidR="007C0F81">
              <w:t xml:space="preserve"> upon the request of an operator</w:t>
            </w:r>
            <w:r w:rsidR="004643D1">
              <w:t xml:space="preserve"> </w:t>
            </w:r>
            <w:r w:rsidRPr="00D714FC">
              <w:t>in order to align the regulatory period with:</w:t>
            </w:r>
            <w:bookmarkEnd w:id="820"/>
            <w:bookmarkEnd w:id="821"/>
            <w:bookmarkEnd w:id="822"/>
            <w:bookmarkEnd w:id="823"/>
          </w:p>
          <w:p w:rsidR="00355683" w:rsidRPr="00D714FC" w:rsidRDefault="00355683" w:rsidP="00020517">
            <w:pPr>
              <w:pStyle w:val="Ruleadvicebullet"/>
            </w:pPr>
            <w:bookmarkStart w:id="825" w:name="_Toc433975318"/>
            <w:bookmarkStart w:id="826" w:name="_Toc435802775"/>
            <w:bookmarkStart w:id="827" w:name="_Toc436123358"/>
            <w:bookmarkStart w:id="828" w:name="_Toc456784006"/>
            <w:r>
              <w:t xml:space="preserve">a </w:t>
            </w:r>
            <w:r w:rsidRPr="00D714FC">
              <w:t>regulatory period that appl</w:t>
            </w:r>
            <w:r>
              <w:t>ies</w:t>
            </w:r>
            <w:r w:rsidRPr="00D714FC">
              <w:t xml:space="preserve"> to </w:t>
            </w:r>
            <w:r>
              <w:t>the</w:t>
            </w:r>
            <w:r w:rsidRPr="00D714FC">
              <w:t xml:space="preserve"> Part 6 operator in relation to urban water services (as is currently provided for); </w:t>
            </w:r>
            <w:bookmarkEnd w:id="825"/>
            <w:bookmarkEnd w:id="826"/>
            <w:bookmarkEnd w:id="827"/>
            <w:bookmarkEnd w:id="828"/>
            <w:r w:rsidR="00FD7F42">
              <w:t>or</w:t>
            </w:r>
          </w:p>
          <w:p w:rsidR="00355683" w:rsidRPr="00D714FC" w:rsidRDefault="00355683" w:rsidP="00020517">
            <w:pPr>
              <w:pStyle w:val="Ruleadvicebullet"/>
            </w:pPr>
            <w:bookmarkStart w:id="829" w:name="_Toc433975319"/>
            <w:bookmarkStart w:id="830" w:name="_Toc435802776"/>
            <w:bookmarkStart w:id="831" w:name="_Toc436123359"/>
            <w:bookmarkStart w:id="832" w:name="_Toc456784007"/>
            <w:r>
              <w:t xml:space="preserve">a </w:t>
            </w:r>
            <w:r w:rsidRPr="00D714FC">
              <w:t>regulatory period that appl</w:t>
            </w:r>
            <w:r>
              <w:t>ies</w:t>
            </w:r>
            <w:r w:rsidRPr="00D714FC">
              <w:t xml:space="preserve"> to the Part 6 operator in relation to non-M</w:t>
            </w:r>
            <w:r w:rsidR="00BF194C">
              <w:t>urray-</w:t>
            </w:r>
            <w:r w:rsidRPr="00D714FC">
              <w:t>D</w:t>
            </w:r>
            <w:r w:rsidR="00BF194C">
              <w:t xml:space="preserve">arling </w:t>
            </w:r>
            <w:r w:rsidRPr="00D714FC">
              <w:t>B</w:t>
            </w:r>
            <w:r w:rsidR="00BF194C">
              <w:t>asin (MDB)</w:t>
            </w:r>
            <w:r w:rsidRPr="00D714FC">
              <w:t xml:space="preserve"> (rural) water services.</w:t>
            </w:r>
            <w:bookmarkEnd w:id="829"/>
            <w:bookmarkEnd w:id="830"/>
            <w:bookmarkEnd w:id="831"/>
            <w:bookmarkEnd w:id="832"/>
          </w:p>
          <w:p w:rsidR="00355683" w:rsidRDefault="00355683" w:rsidP="00FD0951">
            <w:pPr>
              <w:pStyle w:val="Heading8"/>
              <w:outlineLvl w:val="7"/>
            </w:pPr>
            <w:bookmarkStart w:id="833" w:name="_Toc433975320"/>
            <w:bookmarkStart w:id="834" w:name="_Toc435802777"/>
            <w:bookmarkStart w:id="835" w:name="_Toc436123360"/>
            <w:bookmarkStart w:id="836" w:name="_Toc456784008"/>
            <w:r>
              <w:t>T</w:t>
            </w:r>
            <w:r w:rsidRPr="00D714FC">
              <w:t xml:space="preserve">he rules should </w:t>
            </w:r>
            <w:r>
              <w:t xml:space="preserve">also </w:t>
            </w:r>
            <w:r w:rsidRPr="00D714FC">
              <w:t xml:space="preserve">be amended </w:t>
            </w:r>
            <w:bookmarkEnd w:id="824"/>
            <w:r w:rsidRPr="00D714FC">
              <w:t xml:space="preserve">to provide the </w:t>
            </w:r>
            <w:r w:rsidR="005F0378">
              <w:t xml:space="preserve">ACCC with a general discretion to lengthen a </w:t>
            </w:r>
            <w:r w:rsidRPr="00D714FC">
              <w:t>regulatory period up to a maximum of 5 years</w:t>
            </w:r>
            <w:r>
              <w:t xml:space="preserve"> (including for reasons other than aligning regulatory periods)</w:t>
            </w:r>
            <w:r w:rsidRPr="00D714FC">
              <w:t>.</w:t>
            </w:r>
            <w:bookmarkEnd w:id="833"/>
            <w:bookmarkEnd w:id="834"/>
            <w:bookmarkEnd w:id="835"/>
            <w:r w:rsidR="005F0378">
              <w:t xml:space="preserve"> The ACCC should obtain, and have regard to, the views of the Part 6 operator prior to making a decision to lengthen a regulatory period.</w:t>
            </w:r>
            <w:bookmarkEnd w:id="836"/>
            <w:r w:rsidR="005F0378">
              <w:t xml:space="preserve"> </w:t>
            </w:r>
          </w:p>
          <w:p w:rsidR="00355683" w:rsidRDefault="005F0378" w:rsidP="005F238E">
            <w:pPr>
              <w:pStyle w:val="Heading8"/>
              <w:outlineLvl w:val="7"/>
              <w:rPr>
                <w:color w:val="000000"/>
              </w:rPr>
            </w:pPr>
            <w:bookmarkStart w:id="837" w:name="_Toc456784009"/>
            <w:r w:rsidRPr="005F0378">
              <w:t>The</w:t>
            </w:r>
            <w:r>
              <w:t xml:space="preserve"> rules </w:t>
            </w:r>
            <w:r w:rsidR="004E50C3">
              <w:t xml:space="preserve">should </w:t>
            </w:r>
            <w:r w:rsidR="00712A24">
              <w:t xml:space="preserve">not allow the ACCC to decide to </w:t>
            </w:r>
            <w:r w:rsidR="004E50C3">
              <w:t xml:space="preserve">change </w:t>
            </w:r>
            <w:r w:rsidR="00712A24">
              <w:t>a regulatory period after the date the ACCC publishes its draft approval or determination in relation to the regulatory period (under rule 28)</w:t>
            </w:r>
            <w:r>
              <w:t>.</w:t>
            </w:r>
            <w:bookmarkEnd w:id="837"/>
            <w:r w:rsidR="004F6BD0">
              <w:t xml:space="preserve"> </w:t>
            </w:r>
          </w:p>
          <w:p w:rsidR="00355683" w:rsidRPr="00570CCA" w:rsidRDefault="00355683" w:rsidP="00752375">
            <w:pPr>
              <w:pStyle w:val="Heading8"/>
              <w:outlineLvl w:val="7"/>
            </w:pPr>
            <w:bookmarkStart w:id="838" w:name="_Toc435802778"/>
            <w:bookmarkStart w:id="839" w:name="_Toc436123361"/>
            <w:bookmarkStart w:id="840" w:name="_Toc456784010"/>
            <w:r>
              <w:rPr>
                <w:rFonts w:ascii="Times New Roman" w:hAnsi="Times New Roman"/>
              </w:rPr>
              <w:t xml:space="preserve">This rule advice is implemented in </w:t>
            </w:r>
            <w:r w:rsidR="00DB6AE4">
              <w:rPr>
                <w:rFonts w:ascii="Times New Roman" w:hAnsi="Times New Roman"/>
              </w:rPr>
              <w:t>r</w:t>
            </w:r>
            <w:r>
              <w:rPr>
                <w:rFonts w:ascii="Times New Roman" w:hAnsi="Times New Roman"/>
              </w:rPr>
              <w:t xml:space="preserve">ules 3 and 24 of the proposed </w:t>
            </w:r>
            <w:r w:rsidR="00436161">
              <w:rPr>
                <w:rFonts w:ascii="Times New Roman" w:hAnsi="Times New Roman"/>
              </w:rPr>
              <w:t>W</w:t>
            </w:r>
            <w:r>
              <w:rPr>
                <w:rFonts w:ascii="Times New Roman" w:hAnsi="Times New Roman"/>
              </w:rPr>
              <w:t xml:space="preserve">ater </w:t>
            </w:r>
            <w:r w:rsidR="00436161">
              <w:rPr>
                <w:rFonts w:ascii="Times New Roman" w:hAnsi="Times New Roman"/>
              </w:rPr>
              <w:t>C</w:t>
            </w:r>
            <w:r>
              <w:rPr>
                <w:rFonts w:ascii="Times New Roman" w:hAnsi="Times New Roman"/>
              </w:rPr>
              <w:t xml:space="preserve">harge </w:t>
            </w:r>
            <w:r w:rsidR="00436161">
              <w:rPr>
                <w:rFonts w:ascii="Times New Roman" w:hAnsi="Times New Roman"/>
              </w:rPr>
              <w:t>R</w:t>
            </w:r>
            <w:r>
              <w:rPr>
                <w:rFonts w:ascii="Times New Roman" w:hAnsi="Times New Roman"/>
              </w:rPr>
              <w:t>ules</w:t>
            </w:r>
            <w:r w:rsidR="00752375">
              <w:rPr>
                <w:rFonts w:ascii="Times New Roman" w:hAnsi="Times New Roman"/>
              </w:rPr>
              <w:t xml:space="preserve">. </w:t>
            </w:r>
            <w:bookmarkEnd w:id="817"/>
            <w:bookmarkEnd w:id="838"/>
            <w:bookmarkEnd w:id="839"/>
            <w:bookmarkEnd w:id="840"/>
          </w:p>
        </w:tc>
      </w:tr>
    </w:tbl>
    <w:bookmarkEnd w:id="810"/>
    <w:bookmarkEnd w:id="811"/>
    <w:p w:rsidR="006246A8" w:rsidRPr="006246A8" w:rsidRDefault="006246A8" w:rsidP="006246A8">
      <w:pPr>
        <w:pStyle w:val="Heading4"/>
      </w:pPr>
      <w:r>
        <w:t>Background</w:t>
      </w:r>
    </w:p>
    <w:p w:rsidR="00061C7E" w:rsidRPr="00D714FC" w:rsidRDefault="00061C7E" w:rsidP="00061C7E">
      <w:pPr>
        <w:rPr>
          <w:rFonts w:cs="Times New Roman"/>
          <w:color w:val="000000"/>
        </w:rPr>
      </w:pPr>
      <w:r w:rsidRPr="00D714FC">
        <w:rPr>
          <w:rFonts w:cs="Times New Roman"/>
          <w:color w:val="000000"/>
        </w:rPr>
        <w:t>S</w:t>
      </w:r>
      <w:r w:rsidR="007E3378">
        <w:rPr>
          <w:rFonts w:cs="Times New Roman"/>
          <w:color w:val="000000"/>
        </w:rPr>
        <w:t>ubs</w:t>
      </w:r>
      <w:r w:rsidRPr="00D714FC">
        <w:rPr>
          <w:rFonts w:cs="Times New Roman"/>
          <w:color w:val="000000"/>
        </w:rPr>
        <w:t xml:space="preserve">ection 92(4) of the Act allows the </w:t>
      </w:r>
      <w:r w:rsidR="00E623B1" w:rsidRPr="0067271D">
        <w:rPr>
          <w:rFonts w:cs="Times New Roman"/>
          <w:color w:val="000000"/>
        </w:rPr>
        <w:t>Water Charge (Infrastructure) Rules 2010 (</w:t>
      </w:r>
      <w:r w:rsidRPr="00D714FC">
        <w:rPr>
          <w:rFonts w:cs="Times New Roman"/>
          <w:color w:val="000000"/>
        </w:rPr>
        <w:t>WCIR</w:t>
      </w:r>
      <w:r w:rsidR="00E623B1">
        <w:rPr>
          <w:rFonts w:cs="Times New Roman"/>
          <w:color w:val="000000"/>
        </w:rPr>
        <w:t>)</w:t>
      </w:r>
      <w:r w:rsidRPr="00D714FC">
        <w:rPr>
          <w:rFonts w:cs="Times New Roman"/>
          <w:color w:val="000000"/>
        </w:rPr>
        <w:t xml:space="preserve"> to specify the duration of a determination, which the WCIR implements via </w:t>
      </w:r>
      <w:r w:rsidR="00DB6AE4">
        <w:rPr>
          <w:rFonts w:cs="Times New Roman"/>
          <w:color w:val="000000"/>
        </w:rPr>
        <w:t>r</w:t>
      </w:r>
      <w:r w:rsidRPr="00D714FC">
        <w:rPr>
          <w:rFonts w:cs="Times New Roman"/>
          <w:color w:val="000000"/>
        </w:rPr>
        <w:t xml:space="preserve">ule 3 – definition of </w:t>
      </w:r>
      <w:r w:rsidRPr="00D714FC">
        <w:rPr>
          <w:rFonts w:cs="Times New Roman"/>
          <w:b/>
          <w:i/>
          <w:color w:val="000000"/>
        </w:rPr>
        <w:t xml:space="preserve">regulatory period. </w:t>
      </w:r>
      <w:r w:rsidRPr="00D714FC">
        <w:rPr>
          <w:rFonts w:cs="Times New Roman"/>
          <w:color w:val="000000"/>
        </w:rPr>
        <w:t xml:space="preserve">Rule 24 provides the regulator limited discretion to vary the regulatory period from the period as defined by rule 3. Rule 3 currently specifies a standard regulatory period of four years (after an initial period of 3 years). </w:t>
      </w:r>
    </w:p>
    <w:p w:rsidR="007D1074" w:rsidRDefault="007D1074" w:rsidP="007D1074">
      <w:pPr>
        <w:spacing w:before="240"/>
        <w:rPr>
          <w:rFonts w:cs="Times New Roman"/>
          <w:iCs/>
          <w:color w:val="000000"/>
        </w:rPr>
      </w:pPr>
      <w:r>
        <w:rPr>
          <w:rFonts w:cs="Times New Roman"/>
          <w:iCs/>
          <w:color w:val="000000"/>
        </w:rPr>
        <w:t>The ACCC notes that the WCIR already contain a provision for the temporary continuation of existing charges for a specified period in the event that charges have not been approved or determined.</w:t>
      </w:r>
      <w:r>
        <w:rPr>
          <w:rStyle w:val="FootnoteReference"/>
          <w:rFonts w:cs="Times New Roman"/>
          <w:iCs/>
          <w:color w:val="000000"/>
        </w:rPr>
        <w:footnoteReference w:id="401"/>
      </w:r>
      <w:r>
        <w:rPr>
          <w:rFonts w:cs="Times New Roman"/>
          <w:iCs/>
          <w:color w:val="000000"/>
        </w:rPr>
        <w:t xml:space="preserve"> This discussion is only concerned with a variation to the duration of a </w:t>
      </w:r>
      <w:r w:rsidRPr="0050095E">
        <w:rPr>
          <w:rFonts w:cs="Times New Roman"/>
          <w:i/>
          <w:iCs/>
          <w:color w:val="000000"/>
        </w:rPr>
        <w:t>future</w:t>
      </w:r>
      <w:r>
        <w:rPr>
          <w:rFonts w:cs="Times New Roman"/>
          <w:iCs/>
          <w:color w:val="000000"/>
        </w:rPr>
        <w:t xml:space="preserve"> regulatory period. </w:t>
      </w:r>
    </w:p>
    <w:p w:rsidR="00061C7E" w:rsidRPr="00D714FC" w:rsidRDefault="00061C7E" w:rsidP="007F4722">
      <w:pPr>
        <w:spacing w:before="240"/>
        <w:rPr>
          <w:rFonts w:cs="Times New Roman"/>
          <w:color w:val="000000"/>
          <w:sz w:val="20"/>
          <w:szCs w:val="20"/>
        </w:rPr>
      </w:pPr>
      <w:r w:rsidRPr="00D714FC">
        <w:rPr>
          <w:rFonts w:cs="Times New Roman"/>
          <w:iCs/>
          <w:color w:val="000000"/>
        </w:rPr>
        <w:t xml:space="preserve">The ACCC’s submission to the Act </w:t>
      </w:r>
      <w:r>
        <w:rPr>
          <w:rFonts w:cs="Times New Roman"/>
          <w:iCs/>
          <w:color w:val="000000"/>
        </w:rPr>
        <w:t>R</w:t>
      </w:r>
      <w:r w:rsidRPr="00D714FC">
        <w:rPr>
          <w:rFonts w:cs="Times New Roman"/>
          <w:iCs/>
          <w:color w:val="000000"/>
        </w:rPr>
        <w:t xml:space="preserve">eview recommended that </w:t>
      </w:r>
      <w:r w:rsidR="007E3378">
        <w:rPr>
          <w:rFonts w:cs="Times New Roman"/>
          <w:iCs/>
          <w:color w:val="000000"/>
        </w:rPr>
        <w:t>sub</w:t>
      </w:r>
      <w:r w:rsidRPr="00D714FC">
        <w:rPr>
          <w:rFonts w:cs="Times New Roman"/>
          <w:iCs/>
          <w:color w:val="000000"/>
        </w:rPr>
        <w:t xml:space="preserve">section 92(4) of the Act be redrafted to provide that the water charge rules may also provide for the duration of the regulatory period to be determined by the ACCC or relevant accredited regulator. </w:t>
      </w:r>
      <w:r w:rsidRPr="00D714FC">
        <w:rPr>
          <w:rFonts w:cs="Times New Roman"/>
          <w:color w:val="000000"/>
        </w:rPr>
        <w:t xml:space="preserve">The </w:t>
      </w:r>
      <w:r>
        <w:rPr>
          <w:rFonts w:cs="Times New Roman"/>
          <w:color w:val="000000"/>
        </w:rPr>
        <w:t xml:space="preserve">Independent Expert Panel (the Panel) </w:t>
      </w:r>
      <w:r w:rsidR="00BC49EE">
        <w:rPr>
          <w:rFonts w:cs="Times New Roman"/>
          <w:color w:val="000000"/>
        </w:rPr>
        <w:t xml:space="preserve">reviewing the Act </w:t>
      </w:r>
      <w:r w:rsidRPr="00D714FC">
        <w:rPr>
          <w:rFonts w:cs="Times New Roman"/>
          <w:color w:val="000000"/>
        </w:rPr>
        <w:t xml:space="preserve">considered that there should be further consultation on amending </w:t>
      </w:r>
      <w:r w:rsidR="007E3378">
        <w:rPr>
          <w:rFonts w:cs="Times New Roman"/>
          <w:color w:val="000000"/>
        </w:rPr>
        <w:t>sub</w:t>
      </w:r>
      <w:r w:rsidRPr="00D714FC">
        <w:rPr>
          <w:rFonts w:cs="Times New Roman"/>
          <w:color w:val="000000"/>
        </w:rPr>
        <w:t xml:space="preserve">section 92(4), but recommended that regulators’ discretion be limited to </w:t>
      </w:r>
      <w:r w:rsidRPr="00D714FC">
        <w:rPr>
          <w:rFonts w:cs="Times New Roman"/>
          <w:i/>
          <w:color w:val="000000"/>
        </w:rPr>
        <w:t xml:space="preserve">extending </w:t>
      </w:r>
      <w:r w:rsidRPr="00D714FC">
        <w:rPr>
          <w:rFonts w:cs="Times New Roman"/>
          <w:color w:val="000000"/>
        </w:rPr>
        <w:t>the period.</w:t>
      </w:r>
      <w:r w:rsidRPr="00D714FC">
        <w:rPr>
          <w:rStyle w:val="FootnoteReference"/>
          <w:rFonts w:cs="Times New Roman"/>
          <w:color w:val="000000"/>
        </w:rPr>
        <w:footnoteReference w:id="402"/>
      </w:r>
      <w:r w:rsidRPr="00D714FC">
        <w:rPr>
          <w:rFonts w:cs="Times New Roman"/>
          <w:color w:val="000000"/>
        </w:rPr>
        <w:t xml:space="preserve"> </w:t>
      </w:r>
    </w:p>
    <w:p w:rsidR="001C51B3" w:rsidRPr="00D714FC" w:rsidRDefault="001C51B3" w:rsidP="001C51B3">
      <w:pPr>
        <w:rPr>
          <w:rFonts w:cs="Times New Roman"/>
        </w:rPr>
      </w:pPr>
      <w:r w:rsidRPr="00D714FC">
        <w:rPr>
          <w:rFonts w:cs="Times New Roman"/>
        </w:rPr>
        <w:t>There are trade-offs to consider in setting the length of the regulatory period. On the one hand, a longer period reduces the regulatory burden and cost of frequent reviews, and provides greater certainty about the price path. It provides more incentive for providers to reduce costs through efficiency, as they will have longer to benefit from reduced costs before charges are reduced to take account of the new observed cost level. However, too long a period could result in the level of charges diverging from the underlying level of costs as conditions change. Longer regulator periods may also mean a slower adoption of improved regulatory approaches.</w:t>
      </w:r>
    </w:p>
    <w:p w:rsidR="001C51B3" w:rsidRPr="00D714FC" w:rsidRDefault="001C51B3" w:rsidP="001C51B3">
      <w:pPr>
        <w:rPr>
          <w:rFonts w:cs="Times New Roman"/>
        </w:rPr>
      </w:pPr>
      <w:r w:rsidRPr="00D714FC">
        <w:rPr>
          <w:rFonts w:cs="Times New Roman"/>
        </w:rPr>
        <w:t xml:space="preserve">Shorter periods allow for more timely responses to changes in conditions. For example, reductions in operating cost could be more quickly passed on to customers. </w:t>
      </w:r>
      <w:r w:rsidR="00781EBB">
        <w:rPr>
          <w:rFonts w:cs="Times New Roman"/>
        </w:rPr>
        <w:t xml:space="preserve">Also, a shorter regulatory period could be one option for the regulator to maintain clear oversight when it is not satisfied with an operator’s pricing proposal, or during a period of structural adjustment or unusually high uncertainty. </w:t>
      </w:r>
      <w:r w:rsidRPr="00D714FC">
        <w:rPr>
          <w:rFonts w:cs="Times New Roman"/>
        </w:rPr>
        <w:t xml:space="preserve">On the other hand, too short a period makes reviews too frequent, with higher consequential </w:t>
      </w:r>
      <w:r w:rsidR="006E63AA">
        <w:rPr>
          <w:rFonts w:cs="Times New Roman"/>
        </w:rPr>
        <w:t xml:space="preserve">regulatory </w:t>
      </w:r>
      <w:r w:rsidRPr="00D714FC">
        <w:rPr>
          <w:rFonts w:cs="Times New Roman"/>
        </w:rPr>
        <w:t>costs. It leaves less incentive for providers to reduce costs through efficiency, as their charges will more quickly be reduced to take account of the new observed cost level.</w:t>
      </w:r>
    </w:p>
    <w:p w:rsidR="001C51B3" w:rsidRDefault="00781EBB" w:rsidP="001C51B3">
      <w:pPr>
        <w:rPr>
          <w:rFonts w:cs="Times New Roman"/>
          <w:color w:val="000000"/>
        </w:rPr>
      </w:pPr>
      <w:r>
        <w:rPr>
          <w:rFonts w:cs="Times New Roman"/>
          <w:color w:val="000000"/>
        </w:rPr>
        <w:t>Another important dimension of the regulator’s discretion in choosing the regulatory period is whether the regulatory period may be altered to align with regulatory periods for an operator’s services</w:t>
      </w:r>
      <w:r w:rsidR="00265976">
        <w:rPr>
          <w:rFonts w:cs="Times New Roman"/>
          <w:color w:val="000000"/>
        </w:rPr>
        <w:t>,</w:t>
      </w:r>
      <w:r>
        <w:rPr>
          <w:rFonts w:cs="Times New Roman"/>
          <w:color w:val="000000"/>
        </w:rPr>
        <w:t xml:space="preserve"> which are not regulated under the water charge rules. </w:t>
      </w:r>
      <w:r w:rsidRPr="00D714FC">
        <w:rPr>
          <w:rFonts w:cs="Times New Roman"/>
          <w:color w:val="000000"/>
        </w:rPr>
        <w:t xml:space="preserve">Part 6 operators such as WaterNSW and </w:t>
      </w:r>
      <w:r w:rsidR="00B71238">
        <w:rPr>
          <w:rFonts w:cs="Times New Roman"/>
          <w:color w:val="000000"/>
        </w:rPr>
        <w:t>Lower Murray Water (</w:t>
      </w:r>
      <w:r w:rsidRPr="00D714FC">
        <w:rPr>
          <w:rFonts w:cs="Times New Roman"/>
          <w:color w:val="000000"/>
        </w:rPr>
        <w:t>LMW</w:t>
      </w:r>
      <w:r w:rsidR="00B71238">
        <w:rPr>
          <w:rFonts w:cs="Times New Roman"/>
          <w:color w:val="000000"/>
        </w:rPr>
        <w:t>)</w:t>
      </w:r>
      <w:r w:rsidRPr="00D714FC">
        <w:rPr>
          <w:rFonts w:cs="Times New Roman"/>
          <w:color w:val="000000"/>
        </w:rPr>
        <w:t xml:space="preserve"> have significant operations outside the </w:t>
      </w:r>
      <w:r>
        <w:rPr>
          <w:rFonts w:cs="Times New Roman"/>
          <w:color w:val="000000"/>
        </w:rPr>
        <w:t>scope of the water charge rules</w:t>
      </w:r>
      <w:r w:rsidRPr="00D714FC">
        <w:rPr>
          <w:rFonts w:cs="Times New Roman"/>
          <w:color w:val="000000"/>
        </w:rPr>
        <w:t xml:space="preserve"> (so that these operations are not subject to price determination under Part 6), and allowing more </w:t>
      </w:r>
      <w:r>
        <w:rPr>
          <w:rFonts w:cs="Times New Roman"/>
          <w:color w:val="000000"/>
        </w:rPr>
        <w:t xml:space="preserve">flexibility in the rules for different </w:t>
      </w:r>
      <w:r w:rsidRPr="00D714FC">
        <w:rPr>
          <w:rFonts w:cs="Times New Roman"/>
          <w:color w:val="000000"/>
        </w:rPr>
        <w:t>regulatory period</w:t>
      </w:r>
      <w:r>
        <w:rPr>
          <w:rFonts w:cs="Times New Roman"/>
          <w:color w:val="000000"/>
        </w:rPr>
        <w:t>s</w:t>
      </w:r>
      <w:r w:rsidRPr="00D714FC">
        <w:rPr>
          <w:rFonts w:cs="Times New Roman"/>
          <w:color w:val="000000"/>
        </w:rPr>
        <w:t xml:space="preserve"> will reduce the regulatory burden associated with non-alignment of </w:t>
      </w:r>
      <w:r>
        <w:rPr>
          <w:rFonts w:cs="Times New Roman"/>
          <w:color w:val="000000"/>
        </w:rPr>
        <w:t>these different</w:t>
      </w:r>
      <w:r w:rsidRPr="00D714FC">
        <w:rPr>
          <w:rFonts w:cs="Times New Roman"/>
          <w:color w:val="000000"/>
        </w:rPr>
        <w:t xml:space="preserve"> determination processes.</w:t>
      </w:r>
      <w:r>
        <w:rPr>
          <w:rFonts w:cs="Times New Roman"/>
          <w:color w:val="000000"/>
        </w:rPr>
        <w:t xml:space="preserve"> </w:t>
      </w:r>
      <w:r w:rsidR="001C51B3" w:rsidRPr="00D714FC">
        <w:rPr>
          <w:rFonts w:cs="Times New Roman"/>
          <w:color w:val="000000"/>
        </w:rPr>
        <w:t xml:space="preserve">Allowing the regulator to align regulatory periods would avoid the regulatory burden resulting from an operator having to engage in separate determination processes for its different services. By comparison, differences in the length of regulatory periods between different operators or jurisdictions are unlikely to have significant adverse economic consequences. </w:t>
      </w:r>
    </w:p>
    <w:p w:rsidR="00781EBB" w:rsidRDefault="00781EBB" w:rsidP="001C51B3">
      <w:pPr>
        <w:rPr>
          <w:rFonts w:cs="Times New Roman"/>
          <w:color w:val="000000"/>
        </w:rPr>
      </w:pPr>
      <w:r>
        <w:rPr>
          <w:rFonts w:cs="Times New Roman"/>
          <w:color w:val="000000"/>
        </w:rPr>
        <w:t xml:space="preserve">The rules currently provide for </w:t>
      </w:r>
      <w:r w:rsidR="00265976">
        <w:rPr>
          <w:rFonts w:cs="Times New Roman"/>
          <w:color w:val="000000"/>
        </w:rPr>
        <w:t xml:space="preserve">an </w:t>
      </w:r>
      <w:r>
        <w:rPr>
          <w:rFonts w:cs="Times New Roman"/>
          <w:color w:val="000000"/>
        </w:rPr>
        <w:t xml:space="preserve">alignment </w:t>
      </w:r>
      <w:r w:rsidR="00265976">
        <w:rPr>
          <w:rFonts w:cs="Times New Roman"/>
          <w:color w:val="000000"/>
        </w:rPr>
        <w:t xml:space="preserve">of regulatory periods </w:t>
      </w:r>
      <w:r>
        <w:rPr>
          <w:rFonts w:cs="Times New Roman"/>
          <w:color w:val="000000"/>
        </w:rPr>
        <w:t>in the case where an operator has urban services, for which charges are not regulated under the water charge rules. However, operators may also provide rural water infrastructure services outside the Murray-Darling Basin (MDB), and charges for these services may be regulated under other law than the water charge rules (for example, the law of a State). Where this is the case, the water charge rules currently do not allow the regulator to vary the length of the regulatory period in order to align with regulatory periods pertaining to non-MDB rural services.</w:t>
      </w:r>
    </w:p>
    <w:p w:rsidR="00373362" w:rsidRPr="00D714FC" w:rsidRDefault="00373362" w:rsidP="00373362">
      <w:pPr>
        <w:rPr>
          <w:rFonts w:cs="Times New Roman"/>
          <w:color w:val="000000"/>
        </w:rPr>
      </w:pPr>
      <w:r w:rsidRPr="00D714FC">
        <w:rPr>
          <w:rFonts w:cs="Times New Roman"/>
          <w:color w:val="000000"/>
        </w:rPr>
        <w:t xml:space="preserve">Given the ACCC’s </w:t>
      </w:r>
      <w:r>
        <w:rPr>
          <w:rFonts w:cs="Times New Roman"/>
          <w:color w:val="000000"/>
        </w:rPr>
        <w:t xml:space="preserve">draft </w:t>
      </w:r>
      <w:r w:rsidRPr="00D714FC">
        <w:rPr>
          <w:rFonts w:cs="Times New Roman"/>
          <w:color w:val="000000"/>
        </w:rPr>
        <w:t xml:space="preserve">rule advice in relation to the application of Part 6 and the </w:t>
      </w:r>
      <w:r>
        <w:rPr>
          <w:rFonts w:cs="Times New Roman"/>
          <w:color w:val="000000"/>
        </w:rPr>
        <w:t xml:space="preserve">consequential limited role for accreditation, there will be less </w:t>
      </w:r>
      <w:r w:rsidRPr="00D714FC">
        <w:rPr>
          <w:rFonts w:cs="Times New Roman"/>
          <w:color w:val="000000"/>
        </w:rPr>
        <w:t>need to adjust regulatory periods to align with other regulatory periods faced by operator</w:t>
      </w:r>
      <w:r>
        <w:rPr>
          <w:rFonts w:cs="Times New Roman"/>
          <w:color w:val="000000"/>
        </w:rPr>
        <w:t>s if the ACCC’s rule advice is accepted</w:t>
      </w:r>
      <w:r w:rsidRPr="00D714FC">
        <w:rPr>
          <w:rFonts w:cs="Times New Roman"/>
          <w:color w:val="000000"/>
        </w:rPr>
        <w:t xml:space="preserve">. </w:t>
      </w:r>
      <w:r>
        <w:rPr>
          <w:rFonts w:cs="Times New Roman"/>
          <w:color w:val="000000"/>
        </w:rPr>
        <w:t>Nevertheless, there may still be a need for a regulator to alter the regulatory period for reasons other than alignment.</w:t>
      </w:r>
    </w:p>
    <w:p w:rsidR="001C51B3" w:rsidRPr="00D714FC" w:rsidRDefault="00781EBB" w:rsidP="00135446">
      <w:pPr>
        <w:spacing w:after="120"/>
        <w:rPr>
          <w:rFonts w:cs="Times New Roman"/>
          <w:color w:val="000000"/>
        </w:rPr>
      </w:pPr>
      <w:r>
        <w:rPr>
          <w:rFonts w:cs="Times New Roman"/>
          <w:color w:val="000000"/>
        </w:rPr>
        <w:t>In its Draft Advice,</w:t>
      </w:r>
      <w:r w:rsidR="001C51B3">
        <w:rPr>
          <w:rFonts w:cs="Times New Roman"/>
          <w:iCs/>
          <w:color w:val="000000"/>
        </w:rPr>
        <w:t xml:space="preserve"> t</w:t>
      </w:r>
      <w:r w:rsidR="001C51B3" w:rsidRPr="00D714FC">
        <w:rPr>
          <w:rFonts w:cs="Times New Roman"/>
          <w:color w:val="000000"/>
        </w:rPr>
        <w:t>he ACCC consider</w:t>
      </w:r>
      <w:r>
        <w:rPr>
          <w:rFonts w:cs="Times New Roman"/>
          <w:color w:val="000000"/>
        </w:rPr>
        <w:t>ed</w:t>
      </w:r>
      <w:r w:rsidR="001C51B3" w:rsidRPr="00D714FC">
        <w:rPr>
          <w:rFonts w:cs="Times New Roman"/>
          <w:color w:val="000000"/>
        </w:rPr>
        <w:t xml:space="preserve"> that it would be preferable </w:t>
      </w:r>
      <w:r w:rsidR="001C51B3">
        <w:rPr>
          <w:rFonts w:cs="Times New Roman"/>
          <w:color w:val="000000"/>
        </w:rPr>
        <w:t xml:space="preserve">for the rules </w:t>
      </w:r>
      <w:r w:rsidR="001C51B3" w:rsidRPr="00D714FC">
        <w:rPr>
          <w:rFonts w:cs="Times New Roman"/>
          <w:color w:val="000000"/>
        </w:rPr>
        <w:t xml:space="preserve">to allow for the regulator to </w:t>
      </w:r>
      <w:r>
        <w:rPr>
          <w:rFonts w:cs="Times New Roman"/>
          <w:color w:val="000000"/>
        </w:rPr>
        <w:t xml:space="preserve">generally </w:t>
      </w:r>
      <w:r w:rsidR="001C51B3" w:rsidRPr="00D714FC">
        <w:rPr>
          <w:rFonts w:cs="Times New Roman"/>
          <w:color w:val="000000"/>
        </w:rPr>
        <w:t xml:space="preserve">have discretion over the length of the regulatory period, for shorter as well as longer periods than the </w:t>
      </w:r>
      <w:r w:rsidR="001C51B3">
        <w:rPr>
          <w:rFonts w:cs="Times New Roman"/>
          <w:color w:val="000000"/>
        </w:rPr>
        <w:t>default</w:t>
      </w:r>
      <w:r w:rsidR="001C51B3" w:rsidRPr="00D714FC">
        <w:rPr>
          <w:rFonts w:cs="Times New Roman"/>
          <w:color w:val="000000"/>
        </w:rPr>
        <w:t xml:space="preserve">. </w:t>
      </w:r>
      <w:r w:rsidR="00373362">
        <w:rPr>
          <w:rFonts w:cs="Times New Roman"/>
          <w:color w:val="000000"/>
        </w:rPr>
        <w:t>While a</w:t>
      </w:r>
      <w:r w:rsidR="001C51B3" w:rsidRPr="00D714FC">
        <w:rPr>
          <w:rFonts w:cs="Times New Roman"/>
          <w:color w:val="000000"/>
        </w:rPr>
        <w:t xml:space="preserve"> limited discretion could be given to allow the aligning of regulatory periods for operators, a wider discretion would be preferable</w:t>
      </w:r>
      <w:r w:rsidR="00373362">
        <w:rPr>
          <w:rFonts w:cs="Times New Roman"/>
          <w:color w:val="000000"/>
        </w:rPr>
        <w:t>, in that</w:t>
      </w:r>
      <w:r w:rsidR="001C51B3" w:rsidRPr="00D714FC">
        <w:rPr>
          <w:rFonts w:cs="Times New Roman"/>
          <w:color w:val="000000"/>
        </w:rPr>
        <w:t xml:space="preserve">: </w:t>
      </w:r>
    </w:p>
    <w:p w:rsidR="001C51B3" w:rsidRPr="00D714FC" w:rsidRDefault="00373362" w:rsidP="00A82DE6">
      <w:pPr>
        <w:pStyle w:val="Lvl1Bulletpoint"/>
      </w:pPr>
      <w:r>
        <w:t>l</w:t>
      </w:r>
      <w:r w:rsidR="001C51B3" w:rsidRPr="00D714FC">
        <w:t>onger periods may be suitable when costs are stable, so that regulatory costs are reduced, there is more certainty about the future price path, and more incentive for the operator to reduce costs</w:t>
      </w:r>
      <w:r>
        <w:t>; and</w:t>
      </w:r>
    </w:p>
    <w:p w:rsidR="001C51B3" w:rsidRPr="00D714FC" w:rsidRDefault="00373362" w:rsidP="00A82DE6">
      <w:pPr>
        <w:pStyle w:val="Lvl1Bulletpoint"/>
      </w:pPr>
      <w:r>
        <w:t>s</w:t>
      </w:r>
      <w:r w:rsidR="001C51B3" w:rsidRPr="00D714FC">
        <w:t xml:space="preserve">horter periods may be suitable when a major change </w:t>
      </w:r>
      <w:r w:rsidR="004A1F6B">
        <w:t>is expected—</w:t>
      </w:r>
      <w:r w:rsidR="005379AC">
        <w:t>e.g.</w:t>
      </w:r>
      <w:r w:rsidR="001C51B3" w:rsidRPr="00D714FC">
        <w:t xml:space="preserve"> </w:t>
      </w:r>
      <w:r w:rsidR="004A1F6B">
        <w:t xml:space="preserve">a change </w:t>
      </w:r>
      <w:r w:rsidR="001C51B3" w:rsidRPr="00D714FC">
        <w:t>in governance or costs</w:t>
      </w:r>
      <w:r w:rsidR="004A1F6B">
        <w:t>—</w:t>
      </w:r>
      <w:r w:rsidR="004A1F6B" w:rsidRPr="004A1F6B">
        <w:rPr>
          <w:rStyle w:val="CommentReference"/>
          <w:rFonts w:eastAsiaTheme="minorHAnsi" w:cs="Times New Roman"/>
          <w:sz w:val="22"/>
          <w:szCs w:val="22"/>
          <w:lang w:eastAsia="en-US"/>
        </w:rPr>
        <w:t xml:space="preserve">such that </w:t>
      </w:r>
      <w:r w:rsidR="001C51B3" w:rsidRPr="004A1F6B">
        <w:rPr>
          <w:rFonts w:cs="Times New Roman"/>
        </w:rPr>
        <w:t>it would be preferabl</w:t>
      </w:r>
      <w:r w:rsidR="004A1F6B" w:rsidRPr="004A1F6B">
        <w:rPr>
          <w:rFonts w:cs="Times New Roman"/>
        </w:rPr>
        <w:t>e</w:t>
      </w:r>
      <w:r w:rsidR="001C51B3" w:rsidRPr="00D714FC">
        <w:t xml:space="preserve"> to review the situation when there is greater clarity.</w:t>
      </w:r>
      <w:r w:rsidR="005379AC">
        <w:rPr>
          <w:rStyle w:val="FootnoteReference"/>
        </w:rPr>
        <w:footnoteReference w:id="403"/>
      </w:r>
    </w:p>
    <w:p w:rsidR="001C51B3" w:rsidRPr="00D714FC" w:rsidRDefault="00781EBB" w:rsidP="001C51B3">
      <w:pPr>
        <w:rPr>
          <w:rFonts w:cs="Times New Roman"/>
          <w:color w:val="000000"/>
        </w:rPr>
      </w:pPr>
      <w:r>
        <w:rPr>
          <w:rFonts w:cs="Times New Roman"/>
          <w:color w:val="000000"/>
        </w:rPr>
        <w:t xml:space="preserve">However, </w:t>
      </w:r>
      <w:r w:rsidR="006E63AA">
        <w:rPr>
          <w:rFonts w:cs="Times New Roman"/>
          <w:color w:val="000000"/>
        </w:rPr>
        <w:t xml:space="preserve">the Draft Advice noted that </w:t>
      </w:r>
      <w:r>
        <w:rPr>
          <w:rFonts w:cs="Times New Roman"/>
          <w:color w:val="000000"/>
        </w:rPr>
        <w:t>a</w:t>
      </w:r>
      <w:r w:rsidR="001C51B3" w:rsidRPr="00D714FC">
        <w:rPr>
          <w:rFonts w:cs="Times New Roman"/>
          <w:color w:val="000000"/>
        </w:rPr>
        <w:t xml:space="preserve">llowing such </w:t>
      </w:r>
      <w:r w:rsidR="006E63AA">
        <w:rPr>
          <w:rFonts w:cs="Times New Roman"/>
          <w:color w:val="000000"/>
        </w:rPr>
        <w:t xml:space="preserve">a </w:t>
      </w:r>
      <w:r>
        <w:rPr>
          <w:rFonts w:cs="Times New Roman"/>
          <w:color w:val="000000"/>
        </w:rPr>
        <w:t xml:space="preserve">general </w:t>
      </w:r>
      <w:r w:rsidR="001C51B3" w:rsidRPr="00D714FC">
        <w:rPr>
          <w:rFonts w:cs="Times New Roman"/>
          <w:color w:val="000000"/>
        </w:rPr>
        <w:t>discretion may require an amendment to s.92 of the Act.</w:t>
      </w:r>
      <w:r w:rsidR="001C51B3" w:rsidRPr="00A33671">
        <w:t xml:space="preserve"> </w:t>
      </w:r>
      <w:r w:rsidR="001C51B3" w:rsidRPr="00A33671">
        <w:rPr>
          <w:rFonts w:cs="Times New Roman"/>
          <w:color w:val="000000"/>
        </w:rPr>
        <w:t xml:space="preserve">The ACCC notes that the Panel recommended that </w:t>
      </w:r>
      <w:r w:rsidR="001C51B3">
        <w:rPr>
          <w:rFonts w:cs="Times New Roman"/>
          <w:color w:val="000000"/>
        </w:rPr>
        <w:t>the Act</w:t>
      </w:r>
      <w:r w:rsidR="00BC49EE">
        <w:rPr>
          <w:rFonts w:cs="Times New Roman"/>
          <w:color w:val="000000"/>
        </w:rPr>
        <w:t xml:space="preserve"> be</w:t>
      </w:r>
      <w:r w:rsidR="001C51B3" w:rsidRPr="00A33671">
        <w:rPr>
          <w:rFonts w:cs="Times New Roman"/>
          <w:color w:val="000000"/>
        </w:rPr>
        <w:t xml:space="preserve"> amended to allow the regulator to have discretion to determine the regulatory period. </w:t>
      </w:r>
    </w:p>
    <w:p w:rsidR="00373362" w:rsidRDefault="00CB28B4" w:rsidP="00135446">
      <w:pPr>
        <w:spacing w:after="120"/>
        <w:rPr>
          <w:rFonts w:cs="Times New Roman"/>
          <w:color w:val="000000"/>
        </w:rPr>
      </w:pPr>
      <w:r>
        <w:rPr>
          <w:rFonts w:cs="Times New Roman"/>
          <w:color w:val="000000"/>
        </w:rPr>
        <w:t xml:space="preserve">In light of these considerations, </w:t>
      </w:r>
      <w:r w:rsidR="001C51B3" w:rsidRPr="00D714FC">
        <w:rPr>
          <w:rFonts w:cs="Times New Roman"/>
          <w:color w:val="000000"/>
        </w:rPr>
        <w:t>the ACCC</w:t>
      </w:r>
      <w:r>
        <w:rPr>
          <w:rFonts w:cs="Times New Roman"/>
          <w:color w:val="000000"/>
        </w:rPr>
        <w:t xml:space="preserve"> made </w:t>
      </w:r>
      <w:r w:rsidR="00373362">
        <w:rPr>
          <w:rFonts w:cs="Times New Roman"/>
          <w:color w:val="000000"/>
        </w:rPr>
        <w:t xml:space="preserve">caveated </w:t>
      </w:r>
      <w:r>
        <w:rPr>
          <w:rFonts w:cs="Times New Roman"/>
          <w:color w:val="000000"/>
        </w:rPr>
        <w:t>draft</w:t>
      </w:r>
      <w:r w:rsidR="001C51B3" w:rsidRPr="00D714FC">
        <w:rPr>
          <w:rFonts w:cs="Times New Roman"/>
          <w:color w:val="000000"/>
        </w:rPr>
        <w:t xml:space="preserve"> rule advice that the regulator should have discretion to vary the regulatory period</w:t>
      </w:r>
      <w:r>
        <w:rPr>
          <w:rFonts w:cs="Times New Roman"/>
          <w:color w:val="000000"/>
        </w:rPr>
        <w:t xml:space="preserve"> (draft rule advice 5-O)</w:t>
      </w:r>
      <w:r w:rsidR="00373362">
        <w:rPr>
          <w:rFonts w:cs="Times New Roman"/>
          <w:color w:val="000000"/>
        </w:rPr>
        <w:t>, as follows:</w:t>
      </w:r>
    </w:p>
    <w:p w:rsidR="00CB28B4" w:rsidRDefault="00CB28B4" w:rsidP="00A82DE6">
      <w:pPr>
        <w:pStyle w:val="Lvl1Bulletpoint"/>
      </w:pPr>
      <w:r>
        <w:t xml:space="preserve">If the relevant amendments to the Act are </w:t>
      </w:r>
      <w:r w:rsidRPr="00CB28B4">
        <w:rPr>
          <w:i/>
        </w:rPr>
        <w:t>not</w:t>
      </w:r>
      <w:r>
        <w:t xml:space="preserve"> made, the water charge rules should be amended to allow discretion for the regulator to vary the regulatory period for the purpose of aligning the regulatory period with another regulatory period pertaining to the operator’s non-MDB services. This should operate similarly to the current WCIR rule 24.</w:t>
      </w:r>
    </w:p>
    <w:p w:rsidR="00CB28B4" w:rsidRDefault="00CB28B4" w:rsidP="00A82DE6">
      <w:pPr>
        <w:pStyle w:val="Lvl1Bulletpoint"/>
      </w:pPr>
      <w:r>
        <w:t xml:space="preserve">If the relevant amendments to the Act </w:t>
      </w:r>
      <w:r>
        <w:rPr>
          <w:i/>
        </w:rPr>
        <w:t>are</w:t>
      </w:r>
      <w:r>
        <w:t xml:space="preserve"> made, the water charge rules should be amended to allow discretion for the regulator to </w:t>
      </w:r>
      <w:r w:rsidRPr="00D714FC">
        <w:t xml:space="preserve">generally be able to vary the </w:t>
      </w:r>
      <w:r w:rsidR="00100E3F">
        <w:t xml:space="preserve">length of the </w:t>
      </w:r>
      <w:r w:rsidRPr="00D714FC">
        <w:t xml:space="preserve">regulatory period </w:t>
      </w:r>
      <w:r w:rsidR="00100E3F">
        <w:t xml:space="preserve">to between </w:t>
      </w:r>
      <w:r w:rsidRPr="00D714FC">
        <w:t xml:space="preserve">3 </w:t>
      </w:r>
      <w:r w:rsidR="00100E3F">
        <w:t xml:space="preserve">and </w:t>
      </w:r>
      <w:r w:rsidRPr="00D714FC">
        <w:t>5 years</w:t>
      </w:r>
      <w:r>
        <w:t>.</w:t>
      </w:r>
    </w:p>
    <w:p w:rsidR="00373362" w:rsidRPr="00373362" w:rsidRDefault="00373362" w:rsidP="00373362">
      <w:pPr>
        <w:rPr>
          <w:rFonts w:cs="Times New Roman"/>
          <w:color w:val="000000"/>
        </w:rPr>
      </w:pPr>
      <w:r>
        <w:rPr>
          <w:rFonts w:cs="Times New Roman"/>
          <w:color w:val="000000"/>
        </w:rPr>
        <w:t>This rule advice</w:t>
      </w:r>
      <w:r w:rsidRPr="00D714FC">
        <w:rPr>
          <w:rFonts w:cs="Times New Roman"/>
          <w:color w:val="000000"/>
        </w:rPr>
        <w:t xml:space="preserve"> encompasse</w:t>
      </w:r>
      <w:r w:rsidR="00FB6B74">
        <w:rPr>
          <w:rFonts w:cs="Times New Roman"/>
          <w:color w:val="000000"/>
        </w:rPr>
        <w:t>d</w:t>
      </w:r>
      <w:r w:rsidRPr="00D714FC">
        <w:rPr>
          <w:rFonts w:cs="Times New Roman"/>
          <w:color w:val="000000"/>
        </w:rPr>
        <w:t xml:space="preserve"> the possibility of the need to align regulatory periods, but more broadly </w:t>
      </w:r>
      <w:r w:rsidR="00FB6B74">
        <w:rPr>
          <w:rFonts w:cs="Times New Roman"/>
          <w:color w:val="000000"/>
        </w:rPr>
        <w:t>wa</w:t>
      </w:r>
      <w:r w:rsidRPr="00D714FC">
        <w:rPr>
          <w:rFonts w:cs="Times New Roman"/>
          <w:color w:val="000000"/>
        </w:rPr>
        <w:t>s concerned with the regulator having the ability to respond to individual circumstances as the need arises, such as are outlined above.</w:t>
      </w:r>
    </w:p>
    <w:p w:rsidR="00061C7E" w:rsidRPr="00F33AF9" w:rsidRDefault="00061C7E" w:rsidP="00CE67EB">
      <w:pPr>
        <w:pStyle w:val="Quote"/>
        <w:rPr>
          <w:rStyle w:val="Emphasis"/>
          <w:i/>
          <w:iCs/>
        </w:rPr>
      </w:pPr>
      <w:r w:rsidRPr="00F33AF9">
        <w:rPr>
          <w:rStyle w:val="Emphasis"/>
          <w:i/>
        </w:rPr>
        <w:t>Stakeholder feedback</w:t>
      </w:r>
    </w:p>
    <w:p w:rsidR="001C51B3" w:rsidRPr="00D714FC" w:rsidRDefault="00061C7E" w:rsidP="001C51B3">
      <w:pPr>
        <w:rPr>
          <w:rFonts w:cs="Times New Roman"/>
          <w:iCs/>
          <w:color w:val="000000"/>
        </w:rPr>
      </w:pPr>
      <w:r w:rsidRPr="00D714FC">
        <w:rPr>
          <w:rFonts w:cs="Times New Roman"/>
          <w:color w:val="000000"/>
        </w:rPr>
        <w:t xml:space="preserve">All submissions </w:t>
      </w:r>
      <w:r w:rsidR="001C51B3">
        <w:rPr>
          <w:rFonts w:cs="Times New Roman"/>
          <w:color w:val="000000"/>
        </w:rPr>
        <w:t xml:space="preserve">to the ACCC’s Issues Paper </w:t>
      </w:r>
      <w:r w:rsidRPr="00D714FC">
        <w:rPr>
          <w:rFonts w:cs="Times New Roman"/>
          <w:color w:val="000000"/>
        </w:rPr>
        <w:t xml:space="preserve">that commented on the regulatory period supported the regulator having flexibility. </w:t>
      </w:r>
      <w:r w:rsidR="001C51B3">
        <w:rPr>
          <w:rFonts w:cs="Times New Roman"/>
          <w:color w:val="000000"/>
        </w:rPr>
        <w:t xml:space="preserve">In particular, </w:t>
      </w:r>
      <w:r w:rsidR="001C51B3" w:rsidRPr="00D714FC">
        <w:rPr>
          <w:rFonts w:cs="Times New Roman"/>
          <w:color w:val="000000"/>
        </w:rPr>
        <w:t xml:space="preserve">both </w:t>
      </w:r>
      <w:r w:rsidR="001C51B3">
        <w:rPr>
          <w:rFonts w:cs="Times New Roman"/>
          <w:color w:val="000000"/>
        </w:rPr>
        <w:t>a</w:t>
      </w:r>
      <w:r w:rsidR="001C51B3" w:rsidRPr="00D714FC">
        <w:rPr>
          <w:rFonts w:cs="Times New Roman"/>
          <w:color w:val="000000"/>
        </w:rPr>
        <w:t>ccredited Basin State regulators with Part 6 responsibilities, IPART</w:t>
      </w:r>
      <w:r w:rsidR="001C51B3" w:rsidRPr="00D714FC">
        <w:rPr>
          <w:rStyle w:val="FootnoteReference"/>
          <w:rFonts w:cs="Times New Roman"/>
          <w:color w:val="000000"/>
        </w:rPr>
        <w:footnoteReference w:id="404"/>
      </w:r>
      <w:r w:rsidR="001C51B3" w:rsidRPr="00D714FC">
        <w:rPr>
          <w:rFonts w:cs="Times New Roman"/>
          <w:color w:val="000000"/>
        </w:rPr>
        <w:t xml:space="preserve"> and ESCV, recommended discretion for the regulator. They commented that their past experience has indicated that a shorter period can be appropriate when a major change in conditions or investment is expected but uncertain. In such a situation, a new determination can be made after there is greater clarity on the new conditions.</w:t>
      </w:r>
      <w:r w:rsidR="001C51B3">
        <w:rPr>
          <w:rFonts w:cs="Times New Roman"/>
          <w:color w:val="000000"/>
        </w:rPr>
        <w:t xml:space="preserve"> A longer period may also be justifiable in certain circumstances.</w:t>
      </w:r>
      <w:r w:rsidR="001C51B3" w:rsidRPr="00D714FC">
        <w:rPr>
          <w:rStyle w:val="FootnoteReference"/>
          <w:rFonts w:cs="Times New Roman"/>
          <w:color w:val="000000"/>
        </w:rPr>
        <w:footnoteReference w:id="405"/>
      </w:r>
    </w:p>
    <w:p w:rsidR="00FB6B74" w:rsidRPr="00FB6B74" w:rsidRDefault="00FB6B74" w:rsidP="00FB6B74">
      <w:pPr>
        <w:rPr>
          <w:rFonts w:cs="Times New Roman"/>
          <w:color w:val="000000"/>
        </w:rPr>
      </w:pPr>
      <w:r>
        <w:rPr>
          <w:rFonts w:cs="Times New Roman"/>
          <w:color w:val="000000"/>
        </w:rPr>
        <w:t>In response to the Draft Advice, t</w:t>
      </w:r>
      <w:r w:rsidRPr="00FB6B74">
        <w:rPr>
          <w:rFonts w:cs="Times New Roman"/>
          <w:color w:val="000000"/>
        </w:rPr>
        <w:t xml:space="preserve">hree submissions </w:t>
      </w:r>
      <w:r>
        <w:rPr>
          <w:rFonts w:cs="Times New Roman"/>
          <w:color w:val="000000"/>
        </w:rPr>
        <w:t>(</w:t>
      </w:r>
      <w:r w:rsidRPr="00FB6B74">
        <w:rPr>
          <w:rFonts w:cs="Times New Roman"/>
          <w:color w:val="000000"/>
        </w:rPr>
        <w:t xml:space="preserve">from Goulburn-Murray Water (GMW), </w:t>
      </w:r>
      <w:r w:rsidR="008E524B">
        <w:rPr>
          <w:rFonts w:cs="Times New Roman"/>
          <w:color w:val="000000"/>
        </w:rPr>
        <w:t>QFF</w:t>
      </w:r>
      <w:r w:rsidRPr="00FB6B74">
        <w:rPr>
          <w:rFonts w:cs="Times New Roman"/>
          <w:color w:val="000000"/>
        </w:rPr>
        <w:t xml:space="preserve"> and IPART</w:t>
      </w:r>
      <w:r>
        <w:rPr>
          <w:rFonts w:cs="Times New Roman"/>
          <w:color w:val="000000"/>
        </w:rPr>
        <w:t>)</w:t>
      </w:r>
      <w:r w:rsidRPr="00FB6B74">
        <w:rPr>
          <w:rFonts w:cs="Times New Roman"/>
          <w:color w:val="000000"/>
        </w:rPr>
        <w:t xml:space="preserve"> support</w:t>
      </w:r>
      <w:r>
        <w:rPr>
          <w:rFonts w:cs="Times New Roman"/>
          <w:color w:val="000000"/>
        </w:rPr>
        <w:t>ed</w:t>
      </w:r>
      <w:r w:rsidRPr="00FB6B74">
        <w:rPr>
          <w:rFonts w:cs="Times New Roman"/>
          <w:color w:val="000000"/>
        </w:rPr>
        <w:t xml:space="preserve"> regulator discretion in setting the length of the regulatory period.</w:t>
      </w:r>
      <w:r w:rsidRPr="00FB6B74">
        <w:rPr>
          <w:rFonts w:cs="Times New Roman"/>
          <w:color w:val="000000"/>
          <w:vertAlign w:val="superscript"/>
        </w:rPr>
        <w:footnoteReference w:id="406"/>
      </w:r>
      <w:r>
        <w:rPr>
          <w:rFonts w:cs="Times New Roman"/>
          <w:color w:val="000000"/>
        </w:rPr>
        <w:t xml:space="preserve"> </w:t>
      </w:r>
      <w:r w:rsidRPr="00FB6B74">
        <w:rPr>
          <w:rFonts w:cs="Times New Roman"/>
          <w:color w:val="000000"/>
        </w:rPr>
        <w:t>GMW submitted that it was an opportunity to reduce regulatory burden. IPART reiterate</w:t>
      </w:r>
      <w:r w:rsidR="00145F46">
        <w:rPr>
          <w:rFonts w:cs="Times New Roman"/>
          <w:color w:val="000000"/>
        </w:rPr>
        <w:t>d</w:t>
      </w:r>
      <w:r w:rsidRPr="00FB6B74">
        <w:rPr>
          <w:rFonts w:cs="Times New Roman"/>
          <w:color w:val="000000"/>
        </w:rPr>
        <w:t xml:space="preserve"> its position from its submission to the Issues Paper.</w:t>
      </w:r>
      <w:r w:rsidRPr="00FB6B74">
        <w:rPr>
          <w:rFonts w:cs="Times New Roman"/>
          <w:b/>
          <w:color w:val="000000"/>
          <w:vertAlign w:val="superscript"/>
        </w:rPr>
        <w:t xml:space="preserve"> </w:t>
      </w:r>
      <w:r w:rsidRPr="00FB6B74">
        <w:rPr>
          <w:rFonts w:cs="Times New Roman"/>
          <w:color w:val="000000"/>
        </w:rPr>
        <w:t xml:space="preserve">In this submission, IPART supports flexibility within </w:t>
      </w:r>
      <w:r>
        <w:rPr>
          <w:rFonts w:cs="Times New Roman"/>
          <w:color w:val="000000"/>
        </w:rPr>
        <w:t xml:space="preserve">rules </w:t>
      </w:r>
      <w:r w:rsidRPr="00FB6B74">
        <w:rPr>
          <w:rFonts w:cs="Times New Roman"/>
          <w:color w:val="000000"/>
        </w:rPr>
        <w:t>for the regulator to set the length of the regulatory period at between three and five years.</w:t>
      </w:r>
      <w:r w:rsidRPr="00FB6B74">
        <w:rPr>
          <w:rFonts w:cs="Times New Roman"/>
          <w:color w:val="000000"/>
          <w:vertAlign w:val="superscript"/>
        </w:rPr>
        <w:footnoteReference w:id="407"/>
      </w:r>
      <w:r w:rsidR="00C6733C">
        <w:rPr>
          <w:rFonts w:cs="Times New Roman"/>
          <w:color w:val="000000"/>
        </w:rPr>
        <w:t xml:space="preserve"> </w:t>
      </w:r>
    </w:p>
    <w:p w:rsidR="00FB6B74" w:rsidRPr="00FB6B74" w:rsidRDefault="00FB6B74" w:rsidP="00FB6B74">
      <w:pPr>
        <w:rPr>
          <w:rFonts w:cs="Times New Roman"/>
          <w:color w:val="000000"/>
        </w:rPr>
      </w:pPr>
      <w:r w:rsidRPr="00FB6B74">
        <w:rPr>
          <w:rFonts w:cs="Times New Roman"/>
          <w:color w:val="000000"/>
        </w:rPr>
        <w:t xml:space="preserve">WaterNSW does not support the other aspect of </w:t>
      </w:r>
      <w:r w:rsidR="00DB6AE4">
        <w:rPr>
          <w:rFonts w:cs="Times New Roman"/>
          <w:color w:val="000000"/>
        </w:rPr>
        <w:t>r</w:t>
      </w:r>
      <w:r w:rsidRPr="00FB6B74">
        <w:rPr>
          <w:rFonts w:cs="Times New Roman"/>
          <w:color w:val="000000"/>
        </w:rPr>
        <w:t xml:space="preserve">ule </w:t>
      </w:r>
      <w:r w:rsidR="00DB6AE4">
        <w:rPr>
          <w:rFonts w:cs="Times New Roman"/>
          <w:color w:val="000000"/>
        </w:rPr>
        <w:t>a</w:t>
      </w:r>
      <w:r w:rsidRPr="00FB6B74">
        <w:rPr>
          <w:rFonts w:cs="Times New Roman"/>
          <w:color w:val="000000"/>
        </w:rPr>
        <w:t>dvice 5-O to reduce the default regulatory period from four to three years.</w:t>
      </w:r>
      <w:r w:rsidRPr="00FB6B74">
        <w:rPr>
          <w:rFonts w:cs="Times New Roman"/>
          <w:color w:val="000000"/>
          <w:vertAlign w:val="superscript"/>
        </w:rPr>
        <w:footnoteReference w:id="408"/>
      </w:r>
      <w:r w:rsidRPr="00FB6B74">
        <w:rPr>
          <w:rFonts w:cs="Times New Roman"/>
          <w:color w:val="000000"/>
        </w:rPr>
        <w:t xml:space="preserve"> The reasons provided by WaterNSW for this view include:</w:t>
      </w:r>
    </w:p>
    <w:p w:rsidR="00FB6B74" w:rsidRPr="00FB6B74" w:rsidRDefault="00FB6B74" w:rsidP="00A82DE6">
      <w:pPr>
        <w:pStyle w:val="Lvl1Bulletpoint"/>
      </w:pPr>
      <w:r w:rsidRPr="00FB6B74">
        <w:t>the costs and administrative burden would outweigh any benefits</w:t>
      </w:r>
    </w:p>
    <w:p w:rsidR="00FB6B74" w:rsidRPr="00FB6B74" w:rsidRDefault="00FB6B74" w:rsidP="00A82DE6">
      <w:pPr>
        <w:pStyle w:val="Lvl1Bulletpoint"/>
      </w:pPr>
      <w:r w:rsidRPr="00FB6B74">
        <w:t xml:space="preserve">there is already enough flexibility within the </w:t>
      </w:r>
      <w:r>
        <w:t>rules</w:t>
      </w:r>
      <w:r w:rsidRPr="00FB6B74">
        <w:t xml:space="preserve"> for the regulator to respond in a timely way to changes in the regulatory environment (through for example, the annual review process, proposed cost-pass through provisions, ex-post and ex-ante measures that can be implemented during the review). WaterNSW considers that there was no evidence in the Draft Advice that these processes are not working.</w:t>
      </w:r>
    </w:p>
    <w:p w:rsidR="00FB6B74" w:rsidRPr="00FB6B74" w:rsidRDefault="00FB6B74" w:rsidP="00FB6B74">
      <w:pPr>
        <w:rPr>
          <w:rFonts w:cs="Times New Roman"/>
          <w:color w:val="000000"/>
        </w:rPr>
      </w:pPr>
      <w:r w:rsidRPr="00FB6B74">
        <w:rPr>
          <w:rFonts w:cs="Times New Roman"/>
          <w:color w:val="000000"/>
        </w:rPr>
        <w:t xml:space="preserve">WaterNSW also noted that IPART’s standard regulatory period is four years and in the gas and electricity sector, </w:t>
      </w:r>
      <w:r>
        <w:rPr>
          <w:rFonts w:cs="Times New Roman"/>
          <w:color w:val="000000"/>
        </w:rPr>
        <w:t>regulatory periods a</w:t>
      </w:r>
      <w:r w:rsidRPr="00FB6B74">
        <w:rPr>
          <w:rFonts w:cs="Times New Roman"/>
          <w:color w:val="000000"/>
        </w:rPr>
        <w:t xml:space="preserve">re typically four or five years. </w:t>
      </w:r>
    </w:p>
    <w:p w:rsidR="00061C7E" w:rsidRPr="00F33AF9" w:rsidRDefault="0079321E" w:rsidP="00061C7E">
      <w:pPr>
        <w:pStyle w:val="Heading4"/>
      </w:pPr>
      <w:r>
        <w:rPr>
          <w:rFonts w:ascii="Times New Roman" w:hAnsi="Times New Roman" w:cs="Times New Roman"/>
        </w:rPr>
        <w:t>ACCC assessment</w:t>
      </w:r>
    </w:p>
    <w:p w:rsidR="00A81C7B" w:rsidRDefault="00A81C7B" w:rsidP="00A81C7B">
      <w:r>
        <w:t xml:space="preserve">Amendments to the Act in May 2016 now allow water charge rules to be made to give the ACCC a general discretion to extend (but not shorten) a regulatory period from </w:t>
      </w:r>
      <w:r w:rsidR="00FD7F42">
        <w:t xml:space="preserve">the default period </w:t>
      </w:r>
      <w:r>
        <w:t>stated in the rules. The ACCC noted in the Draft Advice that if these amendments were made, the rules should be amended to give a general discretion to the ACCC to vary a regulatory period</w:t>
      </w:r>
      <w:r w:rsidR="00805D2D">
        <w:t xml:space="preserve"> (which would include varying a regulatory period in order to align</w:t>
      </w:r>
      <w:r>
        <w:t xml:space="preserve"> with a regulatory period under a Basin State process</w:t>
      </w:r>
      <w:r w:rsidR="00805D2D">
        <w:t>)</w:t>
      </w:r>
      <w:r>
        <w:t xml:space="preserve">. </w:t>
      </w:r>
    </w:p>
    <w:p w:rsidR="00FB6B74" w:rsidRDefault="00FB6B74" w:rsidP="00FB6B74">
      <w:r>
        <w:t>All submissions on the topic supported the concept of flexibility in the length of the regulatory period, but one submission, from WaterNSW, opposed a reduction of the default period from four to three years.</w:t>
      </w:r>
    </w:p>
    <w:p w:rsidR="00A81C7B" w:rsidRDefault="00A81C7B" w:rsidP="00A81C7B">
      <w:r>
        <w:t>Given the Act amendment, the rules cannot give the ACCC a general discretion to reduce a default four year regulatory period to three years. The ACCC considers that</w:t>
      </w:r>
      <w:r w:rsidR="00FD7F42">
        <w:t xml:space="preserve"> a default regulatory period of </w:t>
      </w:r>
      <w:r>
        <w:t>three year</w:t>
      </w:r>
      <w:r w:rsidR="00FD7F42">
        <w:t>s</w:t>
      </w:r>
      <w:r>
        <w:t xml:space="preserve"> </w:t>
      </w:r>
      <w:r w:rsidR="00805D2D">
        <w:t>(with flexibility to extend this period) is appropriate</w:t>
      </w:r>
      <w:r>
        <w:t>, even though a period of four (or five) years may be preferable</w:t>
      </w:r>
      <w:r w:rsidRPr="00460070">
        <w:t xml:space="preserve"> </w:t>
      </w:r>
      <w:r>
        <w:t xml:space="preserve">in </w:t>
      </w:r>
      <w:r w:rsidR="00805D2D">
        <w:t xml:space="preserve">many </w:t>
      </w:r>
      <w:r>
        <w:t xml:space="preserve">circumstances. In response to WaterNSW’s concerns, the ACCC can take into account </w:t>
      </w:r>
      <w:r w:rsidR="00E53AA1">
        <w:t xml:space="preserve">the relative merits of extending the length of a regulatory period, including the likely change in regulatory costs to the operator. </w:t>
      </w:r>
    </w:p>
    <w:p w:rsidR="00E53AA1" w:rsidRDefault="00E53AA1" w:rsidP="00A81C7B">
      <w:r>
        <w:t>WaterNSW also suggested that there was already suff</w:t>
      </w:r>
      <w:r w:rsidR="00C7076C">
        <w:t>i</w:t>
      </w:r>
      <w:r>
        <w:t xml:space="preserve">cient flexibility for a regulator to respond in a timely way to changes in the regulatory environment. The ACCC notes that the annual review process (discussed in section 5.6.4) is relatively limited in scope </w:t>
      </w:r>
      <w:r w:rsidR="00C7076C">
        <w:t xml:space="preserve">under </w:t>
      </w:r>
      <w:r>
        <w:t>both the current and proposed rules</w:t>
      </w:r>
      <w:r w:rsidR="00C7076C">
        <w:t xml:space="preserve"> and </w:t>
      </w:r>
      <w:r w:rsidR="00145F46">
        <w:t xml:space="preserve">it </w:t>
      </w:r>
      <w:r w:rsidR="00C7076C">
        <w:t xml:space="preserve">would be unsuitable for responding to most of the matters set out in the ‘Background’ section above. </w:t>
      </w:r>
      <w:r w:rsidR="00A6014B">
        <w:t>The proposed variation provisions (discussed in section 5.6.5) offer greater flexibil</w:t>
      </w:r>
      <w:r w:rsidR="00805D2D">
        <w:t>it</w:t>
      </w:r>
      <w:r w:rsidR="00A6014B">
        <w:t xml:space="preserve">y but only in adjusting an existing determination. The ACCC maintains that the preferable approach is to </w:t>
      </w:r>
      <w:r w:rsidR="00A77CBC">
        <w:t xml:space="preserve">have a shorter default regulatory period, but with the ability to lengthen this period if </w:t>
      </w:r>
      <w:r w:rsidR="00A6014B">
        <w:t xml:space="preserve">circumstances </w:t>
      </w:r>
      <w:r w:rsidR="00A77CBC">
        <w:t>warrant.</w:t>
      </w:r>
    </w:p>
    <w:p w:rsidR="00E53AA1" w:rsidRDefault="00E53AA1" w:rsidP="00A81C7B">
      <w:r>
        <w:t xml:space="preserve">The ACCC maintains its view from the Draft Advice that an infrastructure operator should be able to apply to the ACCC to change the length of a regulatory period to align it with a </w:t>
      </w:r>
      <w:r w:rsidR="004643D1">
        <w:t>S</w:t>
      </w:r>
      <w:r>
        <w:t>tate-based regulatory period. However, in order to ensure regulatory periods are able to be set in response to wider circumstances, including in order to pass on cost savings to customers sooner, the proposed general discretion for the ACCC to lengthen a regulatory period should not be contingent on an application by the infrastructure operator</w:t>
      </w:r>
      <w:r w:rsidR="00805D2D">
        <w:t>. H</w:t>
      </w:r>
      <w:r>
        <w:t>owever</w:t>
      </w:r>
      <w:r w:rsidR="00225DEA">
        <w:t>,</w:t>
      </w:r>
      <w:r>
        <w:t xml:space="preserve"> the ACCC should be required to consult with the operator before making such a decision. </w:t>
      </w:r>
    </w:p>
    <w:p w:rsidR="003779D4" w:rsidRDefault="003779D4" w:rsidP="00A81C7B">
      <w:r>
        <w:t xml:space="preserve">The ACCC notes that the timing of a decision to extend a regulatory period is important. Lengthening a regulatory period after that period has commenced could create significant uncertainty and cost for the Part 6 operator and its customers. Similarly, an extension of an upcoming regulatory period part-way through a charge approval / determination process may also increase regulatory costs and uncertainty, </w:t>
      </w:r>
      <w:r w:rsidR="00225DEA">
        <w:t>but</w:t>
      </w:r>
      <w:r>
        <w:t xml:space="preserve"> the magnitude of this would depend on how far into the process the decision to extend the regulatory period occurs. </w:t>
      </w:r>
    </w:p>
    <w:p w:rsidR="003779D4" w:rsidRDefault="003779D4" w:rsidP="00A81C7B">
      <w:r>
        <w:t>Proposed rule 24 (in the Draft Advice) was silent on when a Part 6 operator could apply to the ACCC to change a regulatory period. The ACCC could take the timing of this request into account in deciding whether to approve the application or not.</w:t>
      </w:r>
      <w:r w:rsidR="00F03C6C">
        <w:t xml:space="preserve"> This would necessarily focus on the potential impact on the Part 6 operator’s customers (as the Part 6 operator would consider the impact on its own business in deciding whether or not to apply).</w:t>
      </w:r>
      <w:r w:rsidR="00EA6C21">
        <w:t xml:space="preserve"> </w:t>
      </w:r>
    </w:p>
    <w:p w:rsidR="00805D2D" w:rsidRDefault="00F03C6C" w:rsidP="00A81C7B">
      <w:r>
        <w:t xml:space="preserve">However, as noted above, the ACCC’s </w:t>
      </w:r>
      <w:r w:rsidR="005B7802">
        <w:t>F</w:t>
      </w:r>
      <w:r>
        <w:t xml:space="preserve">inal </w:t>
      </w:r>
      <w:r w:rsidR="005B7802">
        <w:t>A</w:t>
      </w:r>
      <w:r>
        <w:t xml:space="preserve">dvice is for the rules to provide the ACCC with discretion to lengthen a regulatory period absent an application by the Part 6 operator. </w:t>
      </w:r>
      <w:r w:rsidR="00DD716B">
        <w:t xml:space="preserve">Proposed rules 24A and 25 require a Part 6 operator to lodge </w:t>
      </w:r>
      <w:r w:rsidR="00D6626E">
        <w:t>its</w:t>
      </w:r>
      <w:r w:rsidR="00DD716B">
        <w:t xml:space="preserve"> application for approval or determination of </w:t>
      </w:r>
      <w:r>
        <w:t xml:space="preserve">its </w:t>
      </w:r>
      <w:r w:rsidR="00DD716B">
        <w:t xml:space="preserve">infrastructure charges 15 months before the commencement of the relevant regulatory period. </w:t>
      </w:r>
    </w:p>
    <w:p w:rsidR="00F03C6C" w:rsidRDefault="00805D2D" w:rsidP="00A81C7B">
      <w:r>
        <w:t xml:space="preserve">Any decision to lengthen the </w:t>
      </w:r>
      <w:r w:rsidR="0050095E">
        <w:t xml:space="preserve">duration of the </w:t>
      </w:r>
      <w:r>
        <w:t xml:space="preserve">next </w:t>
      </w:r>
      <w:r w:rsidR="0050095E">
        <w:t xml:space="preserve">regulatory </w:t>
      </w:r>
      <w:r>
        <w:t>period would preferably be made in advance of the operator’s application relating to charges for that period. However, i</w:t>
      </w:r>
      <w:r w:rsidR="00F03C6C">
        <w:t xml:space="preserve">f the ACCC decides to lengthen the upcoming regulatory period after the Part 6 operator has lodged its application, the ACCC will need to request further information from the Part 6 operator under rule 26, which would involve an additional cost to the operator. The ACCC would need to balance the </w:t>
      </w:r>
      <w:r w:rsidR="00DA4A59">
        <w:t xml:space="preserve">advantages </w:t>
      </w:r>
      <w:r w:rsidR="00F03C6C">
        <w:t>of extending the</w:t>
      </w:r>
      <w:r w:rsidR="0050095E">
        <w:t xml:space="preserve"> upcoming</w:t>
      </w:r>
      <w:r w:rsidR="00F03C6C">
        <w:t xml:space="preserve"> regulatory period with this additional cost to the operator.</w:t>
      </w:r>
    </w:p>
    <w:p w:rsidR="00100E3F" w:rsidRPr="00D714FC" w:rsidRDefault="00F03C6C" w:rsidP="00EA6C21">
      <w:pPr>
        <w:rPr>
          <w:rFonts w:cs="Times New Roman"/>
          <w:color w:val="000000"/>
        </w:rPr>
      </w:pPr>
      <w:r>
        <w:t>Rule 27 requires the regulator to publish the Part 6 operator’s application as well as further information received under rule 26, and invite interested parties to make submissions</w:t>
      </w:r>
      <w:r w:rsidR="00EA6C21">
        <w:t xml:space="preserve"> on this material. The ACCC notes that the </w:t>
      </w:r>
      <w:r w:rsidR="00DA4A59">
        <w:t xml:space="preserve">advantages </w:t>
      </w:r>
      <w:r w:rsidR="00EA6C21">
        <w:t xml:space="preserve">of lengthening the upcoming regulatory period are less likely to outweigh the </w:t>
      </w:r>
      <w:r w:rsidR="00DA4A59">
        <w:t xml:space="preserve">disadvantages </w:t>
      </w:r>
      <w:r w:rsidR="00EA6C21">
        <w:t xml:space="preserve">if the decision to lengthen the regulatory period is made after </w:t>
      </w:r>
      <w:r w:rsidR="00712A24">
        <w:t xml:space="preserve">this </w:t>
      </w:r>
      <w:r w:rsidR="00EA6C21">
        <w:t xml:space="preserve">formal consultation had begun. </w:t>
      </w:r>
      <w:r w:rsidR="00712A24">
        <w:t>However, the ACCC also sees benefit in the rules expressly precluding a decision by the ACCC (to lengthen an upcoming regulatory period) being made after the ACCC has published its draft approval or determination (under rule 28).</w:t>
      </w:r>
      <w:r w:rsidR="00A6014B">
        <w:t xml:space="preserve"> </w:t>
      </w:r>
    </w:p>
    <w:p w:rsidR="00061C7E" w:rsidRDefault="00061C7E" w:rsidP="00135446">
      <w:pPr>
        <w:pStyle w:val="Heading3"/>
        <w:keepNext w:val="0"/>
      </w:pPr>
      <w:bookmarkStart w:id="841" w:name="_Toc436122303"/>
      <w:bookmarkStart w:id="842" w:name="_Toc436122798"/>
      <w:bookmarkStart w:id="843" w:name="_Toc436124153"/>
      <w:bookmarkStart w:id="844" w:name="_Toc456785809"/>
      <w:bookmarkStart w:id="845" w:name="_Toc461630720"/>
      <w:r w:rsidRPr="00D714FC">
        <w:t>Basis for approving or determining regulated charges</w:t>
      </w:r>
      <w:bookmarkEnd w:id="841"/>
      <w:bookmarkEnd w:id="842"/>
      <w:bookmarkEnd w:id="843"/>
      <w:bookmarkEnd w:id="844"/>
      <w:bookmarkEnd w:id="845"/>
    </w:p>
    <w:p w:rsidR="00CB7019" w:rsidRPr="00D07E1E" w:rsidRDefault="00D07E1E" w:rsidP="00135446">
      <w:pPr>
        <w:pStyle w:val="Heading4"/>
        <w:keepNext w:val="0"/>
        <w:spacing w:before="0" w:after="0"/>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r w:rsidR="00C21C88" w:rsidRPr="00D07E1E">
        <w:rPr>
          <w:rFonts w:asciiTheme="minorHAnsi" w:hAnsiTheme="minorHAnsi"/>
          <w:sz w:val="18"/>
        </w:rPr>
        <w:t xml:space="preserve"> </w:t>
      </w:r>
    </w:p>
    <w:tbl>
      <w:tblPr>
        <w:tblStyle w:val="TableGrid"/>
        <w:tblW w:w="0" w:type="auto"/>
        <w:tblLook w:val="04A0" w:firstRow="1" w:lastRow="0" w:firstColumn="1" w:lastColumn="0" w:noHBand="0" w:noVBand="1"/>
      </w:tblPr>
      <w:tblGrid>
        <w:gridCol w:w="9242"/>
      </w:tblGrid>
      <w:tr w:rsidR="00CB7019" w:rsidTr="00A51D4C">
        <w:tc>
          <w:tcPr>
            <w:tcW w:w="9242" w:type="dxa"/>
            <w:tcBorders>
              <w:top w:val="nil"/>
              <w:left w:val="nil"/>
              <w:bottom w:val="nil"/>
              <w:right w:val="nil"/>
            </w:tcBorders>
            <w:shd w:val="clear" w:color="auto" w:fill="D9D9D9" w:themeFill="background1" w:themeFillShade="D9"/>
          </w:tcPr>
          <w:p w:rsidR="00ED342F" w:rsidRPr="00D714FC" w:rsidRDefault="00ED342F" w:rsidP="00135446">
            <w:pPr>
              <w:pStyle w:val="Caption"/>
              <w:keepNext w:val="0"/>
              <w:keepLines w:val="0"/>
              <w:rPr>
                <w:rFonts w:eastAsia="Arial"/>
              </w:rPr>
            </w:pPr>
            <w:bookmarkStart w:id="846" w:name="_Toc456784011"/>
            <w:bookmarkStart w:id="847" w:name="_Toc433975321"/>
            <w:bookmarkStart w:id="848" w:name="_Toc432937556"/>
            <w:r w:rsidRPr="00D714FC">
              <w:t xml:space="preserve">Rule advice </w:t>
            </w:r>
            <w:r w:rsidR="007F659D">
              <w:rPr>
                <w:noProof/>
              </w:rPr>
              <w:t>5</w:t>
            </w:r>
            <w:r>
              <w:noBreakHyphen/>
            </w:r>
            <w:r w:rsidR="007F659D">
              <w:rPr>
                <w:noProof/>
              </w:rPr>
              <w:t>P</w:t>
            </w:r>
            <w:bookmarkEnd w:id="846"/>
          </w:p>
          <w:p w:rsidR="00D01705" w:rsidRDefault="00DB6AE4" w:rsidP="00020517">
            <w:pPr>
              <w:pStyle w:val="Ruleadvicebullet"/>
            </w:pPr>
            <w:bookmarkStart w:id="849" w:name="_Toc456784012"/>
            <w:bookmarkStart w:id="850" w:name="_Toc435802780"/>
            <w:bookmarkStart w:id="851" w:name="_Toc436123363"/>
            <w:bookmarkStart w:id="852" w:name="_Toc432937559"/>
            <w:bookmarkStart w:id="853" w:name="Rule_Advice_5P"/>
            <w:r>
              <w:t>Subr</w:t>
            </w:r>
            <w:r w:rsidR="00CB7019" w:rsidRPr="00D714FC">
              <w:t xml:space="preserve">ule 29(2) should be amended to more clearly take into account government subsidies and </w:t>
            </w:r>
            <w:r w:rsidR="001F1D87">
              <w:t>C</w:t>
            </w:r>
            <w:r w:rsidR="00CB7019" w:rsidRPr="00D714FC">
              <w:t xml:space="preserve">ommunity </w:t>
            </w:r>
            <w:r w:rsidR="001F1D87">
              <w:t>S</w:t>
            </w:r>
            <w:r w:rsidR="00CB7019" w:rsidRPr="00D714FC">
              <w:t xml:space="preserve">ervice </w:t>
            </w:r>
            <w:r w:rsidR="001F1D87">
              <w:t>O</w:t>
            </w:r>
            <w:r w:rsidR="00CB7019" w:rsidRPr="00D714FC">
              <w:t>bligations</w:t>
            </w:r>
            <w:r w:rsidR="001F1D87">
              <w:t xml:space="preserve"> (CSOs)</w:t>
            </w:r>
            <w:r w:rsidR="00CB7019" w:rsidRPr="00D714FC">
              <w:t xml:space="preserve">, as well as revenue from sources other than </w:t>
            </w:r>
            <w:r w:rsidR="00BA2DF1">
              <w:t>infrastructure</w:t>
            </w:r>
            <w:r w:rsidR="00CB7019" w:rsidRPr="00D714FC">
              <w:t xml:space="preserve"> charges</w:t>
            </w:r>
            <w:r w:rsidR="00D01705">
              <w:t xml:space="preserve"> that is derived from the water service infrastructure used to deliver infrastructure services</w:t>
            </w:r>
            <w:r w:rsidR="00CB7019" w:rsidRPr="00D714FC">
              <w:t>.</w:t>
            </w:r>
            <w:bookmarkEnd w:id="849"/>
            <w:r w:rsidR="00CB7019" w:rsidRPr="00D714FC">
              <w:t xml:space="preserve"> </w:t>
            </w:r>
          </w:p>
          <w:p w:rsidR="00CB7019" w:rsidRDefault="00CB7019" w:rsidP="00020517">
            <w:pPr>
              <w:pStyle w:val="Ruleadvicebullet"/>
            </w:pPr>
            <w:bookmarkStart w:id="854" w:name="_Toc456784013"/>
            <w:r w:rsidRPr="00D714FC">
              <w:t xml:space="preserve">In particular, </w:t>
            </w:r>
            <w:r w:rsidR="004643D1">
              <w:t>s</w:t>
            </w:r>
            <w:r w:rsidR="00DB6AE4">
              <w:t>ubr</w:t>
            </w:r>
            <w:r w:rsidRPr="00D714FC">
              <w:t>ule 29(2) should require the regulator to be satisfied that the forecast revenue from infrastructure charges is reasonably likely to meet</w:t>
            </w:r>
            <w:r w:rsidR="00D858A4">
              <w:t xml:space="preserve">, and </w:t>
            </w:r>
            <w:r w:rsidR="002F76FB">
              <w:t xml:space="preserve">will </w:t>
            </w:r>
            <w:r w:rsidR="00D858A4">
              <w:t>not materially exceed</w:t>
            </w:r>
            <w:bookmarkEnd w:id="850"/>
            <w:bookmarkEnd w:id="851"/>
            <w:bookmarkEnd w:id="854"/>
            <w:r w:rsidR="008D30A3">
              <w:t xml:space="preserve"> </w:t>
            </w:r>
            <w:bookmarkStart w:id="855" w:name="_Toc435802781"/>
            <w:bookmarkStart w:id="856" w:name="_Toc436123364"/>
            <w:bookmarkStart w:id="857" w:name="_Toc456784014"/>
            <w:r w:rsidRPr="00D714FC">
              <w:t>the prudent and efficient costs of pr</w:t>
            </w:r>
            <w:r w:rsidR="00FD7F42">
              <w:t>oviding infrastructure services,</w:t>
            </w:r>
            <w:r w:rsidRPr="00D714FC">
              <w:t xml:space="preserve"> less</w:t>
            </w:r>
            <w:bookmarkEnd w:id="855"/>
            <w:bookmarkEnd w:id="856"/>
            <w:bookmarkEnd w:id="857"/>
            <w:r w:rsidR="00FD7F42">
              <w:t>:</w:t>
            </w:r>
            <w:r w:rsidRPr="00D714FC">
              <w:t xml:space="preserve"> </w:t>
            </w:r>
          </w:p>
          <w:p w:rsidR="00D01705" w:rsidRPr="00C733B4" w:rsidRDefault="00CB7019" w:rsidP="00C733B4">
            <w:pPr>
              <w:pStyle w:val="Ruleadvicebulletlevel2"/>
            </w:pPr>
            <w:bookmarkStart w:id="858" w:name="_Toc456784015"/>
            <w:bookmarkStart w:id="859" w:name="_Toc435802782"/>
            <w:bookmarkStart w:id="860" w:name="_Toc436123365"/>
            <w:r w:rsidRPr="00C733B4">
              <w:t>any amount</w:t>
            </w:r>
            <w:r w:rsidR="008D30A3" w:rsidRPr="00C733B4">
              <w:t xml:space="preserve"> </w:t>
            </w:r>
            <w:r w:rsidRPr="00C733B4">
              <w:t>to be contributed by governments in relation to providing the infrastructure services</w:t>
            </w:r>
            <w:bookmarkEnd w:id="858"/>
            <w:r w:rsidR="00FD7F42" w:rsidRPr="00C733B4">
              <w:t>; and</w:t>
            </w:r>
            <w:r w:rsidR="00D01705" w:rsidRPr="00C733B4">
              <w:t xml:space="preserve"> </w:t>
            </w:r>
          </w:p>
          <w:p w:rsidR="00D01705" w:rsidRPr="00C733B4" w:rsidRDefault="00254689" w:rsidP="00C733B4">
            <w:pPr>
              <w:pStyle w:val="Ruleadvicebulletlevel2"/>
            </w:pPr>
            <w:bookmarkStart w:id="861" w:name="_Toc456784016"/>
            <w:r w:rsidRPr="00C733B4">
              <w:t>any amount reflecting a direction by a government forgoing a return on its share of capital in an infrastructure operator</w:t>
            </w:r>
            <w:r w:rsidR="00FD7F42" w:rsidRPr="00C733B4">
              <w:t>;</w:t>
            </w:r>
            <w:r w:rsidR="00D01705" w:rsidRPr="00C733B4">
              <w:t xml:space="preserve"> and</w:t>
            </w:r>
            <w:bookmarkEnd w:id="861"/>
          </w:p>
          <w:p w:rsidR="00CB7019" w:rsidRPr="00C733B4" w:rsidRDefault="00D01705" w:rsidP="00C733B4">
            <w:pPr>
              <w:pStyle w:val="Ruleadvicebulletlevel2"/>
            </w:pPr>
            <w:bookmarkStart w:id="862" w:name="_Toc456784017"/>
            <w:r w:rsidRPr="00C733B4">
              <w:t>any revenue (other than from infrastructure charges) derived from the water service infrastructure used to provide infrastructure services</w:t>
            </w:r>
            <w:r w:rsidR="00CB7019" w:rsidRPr="00C733B4">
              <w:t>.</w:t>
            </w:r>
            <w:bookmarkEnd w:id="859"/>
            <w:bookmarkEnd w:id="860"/>
            <w:bookmarkEnd w:id="862"/>
          </w:p>
          <w:p w:rsidR="00CB7019" w:rsidRDefault="00CB7019" w:rsidP="00020517">
            <w:pPr>
              <w:pStyle w:val="Ruleadvicebullet"/>
            </w:pPr>
            <w:bookmarkStart w:id="863" w:name="_Toc435802783"/>
            <w:bookmarkStart w:id="864" w:name="_Toc436123366"/>
            <w:bookmarkStart w:id="865" w:name="_Toc456784018"/>
            <w:bookmarkEnd w:id="852"/>
            <w:r w:rsidRPr="00D714FC">
              <w:t xml:space="preserve">Rule 29 should be amended to also require the ACCC not to approve the infrastructure charges set out in an application unless it is satisfied that the infrastructure charges contained in the application are </w:t>
            </w:r>
            <w:r w:rsidR="008A2CEF">
              <w:t>also</w:t>
            </w:r>
            <w:r w:rsidR="008A2CEF" w:rsidRPr="00D714FC">
              <w:t xml:space="preserve"> </w:t>
            </w:r>
            <w:r w:rsidRPr="00D714FC">
              <w:t xml:space="preserve">consistent with </w:t>
            </w:r>
            <w:r w:rsidR="008A2CEF">
              <w:t xml:space="preserve">the requirements of other </w:t>
            </w:r>
            <w:r w:rsidR="00256A15">
              <w:t>provisions</w:t>
            </w:r>
            <w:r w:rsidR="008A2CEF">
              <w:t xml:space="preserve"> of </w:t>
            </w:r>
            <w:r w:rsidRPr="00D714FC">
              <w:t xml:space="preserve">the </w:t>
            </w:r>
            <w:r w:rsidR="008A2CEF">
              <w:t xml:space="preserve">water charge </w:t>
            </w:r>
            <w:r w:rsidRPr="00D714FC">
              <w:t>rules.</w:t>
            </w:r>
            <w:bookmarkEnd w:id="863"/>
            <w:bookmarkEnd w:id="864"/>
            <w:bookmarkEnd w:id="865"/>
          </w:p>
          <w:p w:rsidR="00CB7019" w:rsidRDefault="00CB7019" w:rsidP="00020517">
            <w:pPr>
              <w:pStyle w:val="Ruleadvicebullet"/>
            </w:pPr>
            <w:bookmarkStart w:id="866" w:name="_Toc436123367"/>
            <w:bookmarkStart w:id="867" w:name="_Toc456784019"/>
            <w:r>
              <w:t>Rule 37 should be amended to allow a regulator to amend the infrastructure charges in the initial determination to the extent that it is reasonably necessary to make variations</w:t>
            </w:r>
            <w:r w:rsidR="00B641AC">
              <w:t>,</w:t>
            </w:r>
            <w:r>
              <w:t xml:space="preserve"> having regard to the consistency of the infrastructure charges with the requirements </w:t>
            </w:r>
            <w:r w:rsidR="009452DA">
              <w:t>of</w:t>
            </w:r>
            <w:r w:rsidR="008A2CEF">
              <w:t xml:space="preserve"> other </w:t>
            </w:r>
            <w:r w:rsidR="00256A15">
              <w:t>provisions</w:t>
            </w:r>
            <w:r w:rsidR="008A2CEF">
              <w:t xml:space="preserve"> </w:t>
            </w:r>
            <w:r>
              <w:t>of the water charge rules.</w:t>
            </w:r>
            <w:bookmarkEnd w:id="866"/>
            <w:bookmarkEnd w:id="867"/>
          </w:p>
          <w:p w:rsidR="00256A15" w:rsidRDefault="00DA3907" w:rsidP="00020517">
            <w:pPr>
              <w:pStyle w:val="Ruleadvicebullet"/>
            </w:pPr>
            <w:bookmarkStart w:id="868" w:name="_Toc456784020"/>
            <w:r>
              <w:t>Schedule 1 of the rules (information to be provided in an application under Part 6) should be amended to</w:t>
            </w:r>
            <w:r w:rsidR="00256A15">
              <w:t>:</w:t>
            </w:r>
          </w:p>
          <w:p w:rsidR="00256A15" w:rsidRPr="00C733B4" w:rsidRDefault="00E77598" w:rsidP="00C733B4">
            <w:pPr>
              <w:pStyle w:val="Ruleadvicebulletlevel2"/>
            </w:pPr>
            <w:r w:rsidRPr="00C733B4">
              <w:t xml:space="preserve">require </w:t>
            </w:r>
            <w:r w:rsidR="00256A15" w:rsidRPr="00C733B4">
              <w:t xml:space="preserve">an </w:t>
            </w:r>
            <w:r w:rsidRPr="00C733B4">
              <w:t xml:space="preserve">operator </w:t>
            </w:r>
            <w:r w:rsidR="009452DA" w:rsidRPr="00C733B4">
              <w:t xml:space="preserve">to </w:t>
            </w:r>
            <w:r w:rsidRPr="00C733B4">
              <w:t xml:space="preserve">set out details of differences between </w:t>
            </w:r>
            <w:r w:rsidR="00256A15" w:rsidRPr="00C733B4">
              <w:t>its</w:t>
            </w:r>
            <w:r w:rsidRPr="00C733B4">
              <w:t xml:space="preserve"> actual / forecast capex for the current period and the capex approved by the regulator for that period (in terms of both the amount of capex and the selection / scope of projects undertaken).</w:t>
            </w:r>
            <w:r w:rsidR="008F4BE8" w:rsidRPr="00C733B4">
              <w:t xml:space="preserve"> </w:t>
            </w:r>
          </w:p>
          <w:p w:rsidR="00256A15" w:rsidRPr="00C733B4" w:rsidRDefault="004643D1" w:rsidP="00C733B4">
            <w:pPr>
              <w:pStyle w:val="Ruleadvicebulletlevel2"/>
            </w:pPr>
            <w:r w:rsidRPr="00C733B4">
              <w:t xml:space="preserve">require an operator to include the actual and forecast revenue from </w:t>
            </w:r>
            <w:r w:rsidR="00747402" w:rsidRPr="00C733B4">
              <w:t>sources other than infrastructure charges</w:t>
            </w:r>
          </w:p>
          <w:p w:rsidR="00DA3907" w:rsidRPr="00C733B4" w:rsidRDefault="008F4BE8" w:rsidP="00C733B4">
            <w:pPr>
              <w:pStyle w:val="Ruleadvicebulletlevel2"/>
            </w:pPr>
            <w:r w:rsidRPr="00C733B4">
              <w:t>include a provision to make clear that where actual figures are unavailable, an operator must provide forecast figures.</w:t>
            </w:r>
            <w:bookmarkEnd w:id="868"/>
          </w:p>
          <w:p w:rsidR="008F4BE8" w:rsidRDefault="00254689" w:rsidP="00020517">
            <w:pPr>
              <w:pStyle w:val="Ruleadvicebullet"/>
            </w:pPr>
            <w:bookmarkStart w:id="869" w:name="_Toc456784021"/>
            <w:r>
              <w:t xml:space="preserve">Schedule 2 of the rules </w:t>
            </w:r>
            <w:r w:rsidR="00DA3907">
              <w:t xml:space="preserve">(calculation of the </w:t>
            </w:r>
            <w:r w:rsidR="00B2128B">
              <w:t>r</w:t>
            </w:r>
            <w:r w:rsidR="00DA3907">
              <w:t xml:space="preserve">egulatory asset base) </w:t>
            </w:r>
            <w:r>
              <w:t xml:space="preserve">should be amended to </w:t>
            </w:r>
            <w:r w:rsidR="008F4BE8">
              <w:t xml:space="preserve">provide that </w:t>
            </w:r>
            <w:r w:rsidR="008F4BE8" w:rsidRPr="005F4725">
              <w:rPr>
                <w:i/>
              </w:rPr>
              <w:t xml:space="preserve">actual </w:t>
            </w:r>
            <w:r w:rsidR="008F4BE8">
              <w:t>capex</w:t>
            </w:r>
            <w:r w:rsidR="0016560E">
              <w:t xml:space="preserve"> in relation to</w:t>
            </w:r>
            <w:r w:rsidR="008F4BE8">
              <w:t>:</w:t>
            </w:r>
            <w:bookmarkEnd w:id="869"/>
          </w:p>
          <w:p w:rsidR="0016560E" w:rsidRPr="00C733B4" w:rsidRDefault="0016560E" w:rsidP="00C733B4">
            <w:pPr>
              <w:pStyle w:val="Ruleadvicebulletlevel2"/>
            </w:pPr>
            <w:r w:rsidRPr="00C733B4">
              <w:t xml:space="preserve">a major project not previously approved; or </w:t>
            </w:r>
          </w:p>
          <w:p w:rsidR="0016560E" w:rsidRPr="00C733B4" w:rsidRDefault="0016560E" w:rsidP="00C733B4">
            <w:pPr>
              <w:pStyle w:val="Ruleadvicebulletlevel2"/>
            </w:pPr>
            <w:r w:rsidRPr="00C733B4">
              <w:t xml:space="preserve">a project whose scope as undertaken materially differed from what was approved; or </w:t>
            </w:r>
          </w:p>
          <w:p w:rsidR="0016560E" w:rsidRPr="00C733B4" w:rsidRDefault="0016560E" w:rsidP="00C733B4">
            <w:pPr>
              <w:pStyle w:val="Ruleadvicebulletlevel2"/>
            </w:pPr>
            <w:r w:rsidRPr="00C733B4">
              <w:t>a project on which expenditure materially exceeded the amount previously approved</w:t>
            </w:r>
            <w:r w:rsidR="005000E5" w:rsidRPr="00C733B4">
              <w:t>;</w:t>
            </w:r>
          </w:p>
          <w:p w:rsidR="00254689" w:rsidRDefault="008F4BE8" w:rsidP="00135446">
            <w:pPr>
              <w:pStyle w:val="Heading8"/>
              <w:ind w:left="284"/>
              <w:outlineLvl w:val="7"/>
            </w:pPr>
            <w:bookmarkStart w:id="870" w:name="_Toc456784022"/>
            <w:r w:rsidRPr="005F4725">
              <w:t xml:space="preserve">may not be rolled into the RAB if </w:t>
            </w:r>
            <w:r w:rsidR="006A17FC">
              <w:t xml:space="preserve">the </w:t>
            </w:r>
            <w:r w:rsidR="00254689">
              <w:t xml:space="preserve">ACCC is </w:t>
            </w:r>
            <w:r w:rsidR="006A17FC">
              <w:t xml:space="preserve">not </w:t>
            </w:r>
            <w:r w:rsidR="00254689">
              <w:t xml:space="preserve">satisfied </w:t>
            </w:r>
            <w:r>
              <w:t xml:space="preserve">that the capex </w:t>
            </w:r>
            <w:r w:rsidR="00254689">
              <w:t>was prudent and efficient.</w:t>
            </w:r>
            <w:bookmarkEnd w:id="870"/>
          </w:p>
          <w:p w:rsidR="005F238E" w:rsidRPr="00AF7032" w:rsidRDefault="005F238E" w:rsidP="00135446">
            <w:pPr>
              <w:pStyle w:val="Heading8"/>
              <w:spacing w:before="120"/>
              <w:outlineLvl w:val="7"/>
              <w:rPr>
                <w:i/>
                <w:sz w:val="18"/>
                <w:szCs w:val="20"/>
              </w:rPr>
            </w:pPr>
            <w:bookmarkStart w:id="871" w:name="_Toc435802784"/>
            <w:bookmarkStart w:id="872" w:name="_Toc436123368"/>
            <w:bookmarkStart w:id="873" w:name="_Toc456784023"/>
            <w:r w:rsidRPr="00AF7032">
              <w:rPr>
                <w:i/>
                <w:sz w:val="18"/>
                <w:szCs w:val="20"/>
              </w:rPr>
              <w:t>See also section 5.6.4.</w:t>
            </w:r>
          </w:p>
          <w:p w:rsidR="00CB7019" w:rsidRPr="00F5755B" w:rsidRDefault="00CB7019" w:rsidP="00B641AC">
            <w:pPr>
              <w:pStyle w:val="Heading8"/>
              <w:outlineLvl w:val="7"/>
              <w:rPr>
                <w:i/>
              </w:rPr>
            </w:pPr>
            <w:r>
              <w:rPr>
                <w:rFonts w:ascii="Times New Roman" w:hAnsi="Times New Roman"/>
              </w:rPr>
              <w:t xml:space="preserve">This rule advice is implemented in </w:t>
            </w:r>
            <w:r w:rsidR="00DB6AE4">
              <w:rPr>
                <w:rFonts w:ascii="Times New Roman" w:hAnsi="Times New Roman"/>
              </w:rPr>
              <w:t>r</w:t>
            </w:r>
            <w:r>
              <w:rPr>
                <w:rFonts w:ascii="Times New Roman" w:hAnsi="Times New Roman"/>
              </w:rPr>
              <w:t>ule</w:t>
            </w:r>
            <w:r w:rsidR="00B641AC">
              <w:rPr>
                <w:rFonts w:ascii="Times New Roman" w:hAnsi="Times New Roman"/>
              </w:rPr>
              <w:t>s</w:t>
            </w:r>
            <w:r>
              <w:rPr>
                <w:rFonts w:ascii="Times New Roman" w:hAnsi="Times New Roman"/>
              </w:rPr>
              <w:t xml:space="preserve"> 29</w:t>
            </w:r>
            <w:r w:rsidR="00B641AC">
              <w:rPr>
                <w:rFonts w:ascii="Times New Roman" w:hAnsi="Times New Roman"/>
              </w:rPr>
              <w:t xml:space="preserve"> and </w:t>
            </w:r>
            <w:r>
              <w:rPr>
                <w:rFonts w:ascii="Times New Roman" w:hAnsi="Times New Roman"/>
              </w:rPr>
              <w:t>37</w:t>
            </w:r>
            <w:r w:rsidR="0008289F">
              <w:rPr>
                <w:rFonts w:ascii="Times New Roman" w:hAnsi="Times New Roman"/>
              </w:rPr>
              <w:t>,</w:t>
            </w:r>
            <w:r w:rsidR="00254689">
              <w:rPr>
                <w:rFonts w:ascii="Times New Roman" w:hAnsi="Times New Roman"/>
              </w:rPr>
              <w:t xml:space="preserve"> </w:t>
            </w:r>
            <w:r w:rsidR="00B641AC">
              <w:rPr>
                <w:rFonts w:ascii="Times New Roman" w:hAnsi="Times New Roman"/>
              </w:rPr>
              <w:t xml:space="preserve">and </w:t>
            </w:r>
            <w:r w:rsidR="0008289F">
              <w:rPr>
                <w:rFonts w:ascii="Times New Roman" w:hAnsi="Times New Roman"/>
              </w:rPr>
              <w:t>Schedule</w:t>
            </w:r>
            <w:r w:rsidR="00B641AC">
              <w:rPr>
                <w:rFonts w:ascii="Times New Roman" w:hAnsi="Times New Roman"/>
              </w:rPr>
              <w:t>s</w:t>
            </w:r>
            <w:r w:rsidR="0008289F">
              <w:rPr>
                <w:rFonts w:ascii="Times New Roman" w:hAnsi="Times New Roman"/>
              </w:rPr>
              <w:t xml:space="preserve"> 1 </w:t>
            </w:r>
            <w:r w:rsidR="00B641AC">
              <w:rPr>
                <w:rFonts w:ascii="Times New Roman" w:hAnsi="Times New Roman"/>
              </w:rPr>
              <w:t xml:space="preserve">and </w:t>
            </w:r>
            <w:r w:rsidR="00254689">
              <w:rPr>
                <w:rFonts w:ascii="Times New Roman" w:hAnsi="Times New Roman"/>
              </w:rPr>
              <w:t>2</w:t>
            </w:r>
            <w:r w:rsidR="00B641AC">
              <w:rPr>
                <w:rFonts w:ascii="Times New Roman" w:hAnsi="Times New Roman"/>
              </w:rPr>
              <w:t>,</w:t>
            </w:r>
            <w:r w:rsidR="00254689">
              <w:rPr>
                <w:rFonts w:ascii="Times New Roman" w:hAnsi="Times New Roman"/>
              </w:rPr>
              <w:t xml:space="preserve"> </w:t>
            </w:r>
            <w:r>
              <w:rPr>
                <w:rFonts w:ascii="Times New Roman" w:hAnsi="Times New Roman"/>
              </w:rPr>
              <w:t xml:space="preserve">of the proposed </w:t>
            </w:r>
            <w:r w:rsidR="00436161">
              <w:rPr>
                <w:rFonts w:ascii="Times New Roman" w:hAnsi="Times New Roman"/>
              </w:rPr>
              <w:t>W</w:t>
            </w:r>
            <w:r>
              <w:rPr>
                <w:rFonts w:ascii="Times New Roman" w:hAnsi="Times New Roman"/>
              </w:rPr>
              <w:t xml:space="preserve">ater </w:t>
            </w:r>
            <w:r w:rsidR="00436161">
              <w:rPr>
                <w:rFonts w:ascii="Times New Roman" w:hAnsi="Times New Roman"/>
              </w:rPr>
              <w:t>C</w:t>
            </w:r>
            <w:r>
              <w:rPr>
                <w:rFonts w:ascii="Times New Roman" w:hAnsi="Times New Roman"/>
              </w:rPr>
              <w:t xml:space="preserve">harge </w:t>
            </w:r>
            <w:r w:rsidR="00436161">
              <w:rPr>
                <w:rFonts w:ascii="Times New Roman" w:hAnsi="Times New Roman"/>
              </w:rPr>
              <w:t>R</w:t>
            </w:r>
            <w:r>
              <w:rPr>
                <w:rFonts w:ascii="Times New Roman" w:hAnsi="Times New Roman"/>
              </w:rPr>
              <w:t>ules</w:t>
            </w:r>
            <w:bookmarkEnd w:id="871"/>
            <w:bookmarkEnd w:id="872"/>
            <w:bookmarkEnd w:id="873"/>
            <w:r w:rsidRPr="00F5755B">
              <w:rPr>
                <w:i/>
              </w:rPr>
              <w:t>.</w:t>
            </w:r>
            <w:bookmarkEnd w:id="853"/>
          </w:p>
        </w:tc>
      </w:tr>
    </w:tbl>
    <w:bookmarkEnd w:id="847"/>
    <w:bookmarkEnd w:id="848"/>
    <w:p w:rsidR="006246A8" w:rsidRPr="006246A8" w:rsidRDefault="006246A8" w:rsidP="006246A8">
      <w:pPr>
        <w:pStyle w:val="Heading4"/>
      </w:pPr>
      <w:r>
        <w:t>Background</w:t>
      </w:r>
    </w:p>
    <w:p w:rsidR="00C74912" w:rsidRPr="00D714FC" w:rsidRDefault="00C74912" w:rsidP="00C74912">
      <w:pPr>
        <w:rPr>
          <w:rFonts w:cs="Times New Roman"/>
        </w:rPr>
      </w:pPr>
      <w:r w:rsidRPr="00D714FC">
        <w:rPr>
          <w:rFonts w:cs="Times New Roman"/>
        </w:rPr>
        <w:t xml:space="preserve">Rule 29 of the </w:t>
      </w:r>
      <w:r w:rsidR="00E623B1" w:rsidRPr="0067271D">
        <w:rPr>
          <w:rFonts w:cs="Times New Roman"/>
        </w:rPr>
        <w:t xml:space="preserve">Water Charge (Infrastructure) Rules 2010 </w:t>
      </w:r>
      <w:r w:rsidR="00E623B1">
        <w:rPr>
          <w:rFonts w:cs="Times New Roman"/>
        </w:rPr>
        <w:t>(</w:t>
      </w:r>
      <w:r w:rsidRPr="00D714FC">
        <w:rPr>
          <w:rFonts w:cs="Times New Roman"/>
        </w:rPr>
        <w:t>WCIR</w:t>
      </w:r>
      <w:r w:rsidR="00E623B1">
        <w:rPr>
          <w:rFonts w:cs="Times New Roman"/>
        </w:rPr>
        <w:t>)</w:t>
      </w:r>
      <w:r w:rsidRPr="00D714FC">
        <w:rPr>
          <w:rFonts w:cs="Times New Roman"/>
        </w:rPr>
        <w:t xml:space="preserve"> sets out the decision rule for charge approvals and determinations. </w:t>
      </w:r>
    </w:p>
    <w:p w:rsidR="00C74912" w:rsidRPr="00D714FC" w:rsidRDefault="00C74912" w:rsidP="00C74912">
      <w:pPr>
        <w:rPr>
          <w:rFonts w:cs="Times New Roman"/>
        </w:rPr>
      </w:pPr>
      <w:r w:rsidRPr="00D714FC">
        <w:rPr>
          <w:rFonts w:cs="Times New Roman"/>
        </w:rPr>
        <w:t xml:space="preserve">Subrule 29(1) provides that the regulator must </w:t>
      </w:r>
      <w:r>
        <w:rPr>
          <w:rFonts w:cs="Times New Roman"/>
        </w:rPr>
        <w:t xml:space="preserve">either </w:t>
      </w:r>
      <w:r w:rsidRPr="00D714FC">
        <w:rPr>
          <w:rFonts w:cs="Times New Roman"/>
        </w:rPr>
        <w:t xml:space="preserve">approve or determine the charges. </w:t>
      </w:r>
    </w:p>
    <w:p w:rsidR="00061C7E" w:rsidRPr="00D714FC" w:rsidRDefault="00061C7E" w:rsidP="00135446">
      <w:pPr>
        <w:spacing w:after="120"/>
        <w:rPr>
          <w:rFonts w:cs="Times New Roman"/>
        </w:rPr>
      </w:pPr>
      <w:r w:rsidRPr="00D714FC">
        <w:rPr>
          <w:rFonts w:cs="Times New Roman"/>
        </w:rPr>
        <w:t xml:space="preserve">Under </w:t>
      </w:r>
      <w:r w:rsidR="00C74912">
        <w:rPr>
          <w:rFonts w:cs="Times New Roman"/>
        </w:rPr>
        <w:t>sub</w:t>
      </w:r>
      <w:r w:rsidRPr="00D714FC">
        <w:rPr>
          <w:rFonts w:cs="Times New Roman"/>
        </w:rPr>
        <w:t>rule 29</w:t>
      </w:r>
      <w:r w:rsidR="00C74912">
        <w:rPr>
          <w:rFonts w:cs="Times New Roman"/>
        </w:rPr>
        <w:t>(2)</w:t>
      </w:r>
      <w:r w:rsidRPr="00D714FC">
        <w:rPr>
          <w:rFonts w:cs="Times New Roman"/>
        </w:rPr>
        <w:t xml:space="preserve"> of the WCIR, the regulator must not approve the regulated charges set out in an application by a Part 6 operator unless it is satisfied:</w:t>
      </w:r>
    </w:p>
    <w:p w:rsidR="00061C7E" w:rsidRPr="00EB70EF" w:rsidRDefault="00391E48" w:rsidP="00A82DE6">
      <w:pPr>
        <w:pStyle w:val="Lvl1Bulletpoint"/>
      </w:pPr>
      <w:r>
        <w:t xml:space="preserve">that </w:t>
      </w:r>
      <w:r w:rsidR="00145F46">
        <w:t>t</w:t>
      </w:r>
      <w:r w:rsidR="00061C7E" w:rsidRPr="00EB70EF">
        <w:t xml:space="preserve">he determination of the Part 6 operator’s </w:t>
      </w:r>
      <w:r w:rsidR="002D154C">
        <w:t xml:space="preserve">regulatory </w:t>
      </w:r>
      <w:r w:rsidR="00061C7E" w:rsidRPr="00EB70EF">
        <w:t>asset base</w:t>
      </w:r>
      <w:r w:rsidR="00CE6D61">
        <w:t xml:space="preserve"> </w:t>
      </w:r>
      <w:r w:rsidR="00B2128B">
        <w:t>(RAB)</w:t>
      </w:r>
      <w:r w:rsidR="00061C7E" w:rsidRPr="00EB70EF">
        <w:t xml:space="preserve"> used to calculate the charges is in accordance with Schedule 2 of the rules; and</w:t>
      </w:r>
    </w:p>
    <w:p w:rsidR="00061C7E" w:rsidRPr="000A3DF1" w:rsidRDefault="00391E48" w:rsidP="00A82DE6">
      <w:pPr>
        <w:pStyle w:val="Lvl1Bulletpoint"/>
      </w:pPr>
      <w:r>
        <w:t>t</w:t>
      </w:r>
      <w:r w:rsidR="00061C7E" w:rsidRPr="000A3DF1">
        <w:t>hat:</w:t>
      </w:r>
    </w:p>
    <w:p w:rsidR="00061C7E" w:rsidRPr="00AC1ACB" w:rsidRDefault="00061C7E" w:rsidP="009B6ED8">
      <w:pPr>
        <w:pStyle w:val="Lvl2Bulletpoint"/>
      </w:pPr>
      <w:r w:rsidRPr="00AC1ACB">
        <w:t>the Part 6 operator’s total forecast revenue (from all sources) for the regulatory period is reasonably likely to meet the prudent and efficient costs of providing infrastructure services in that regulatory period; and</w:t>
      </w:r>
    </w:p>
    <w:p w:rsidR="00061C7E" w:rsidRPr="00AC1ACB" w:rsidRDefault="00061C7E" w:rsidP="009B6ED8">
      <w:pPr>
        <w:pStyle w:val="Lvl2Bulletpoint"/>
      </w:pPr>
      <w:r w:rsidRPr="00AC1ACB">
        <w:t xml:space="preserve">the forecast revenue from regulated charges is reasonably likely to meet that part of the prudent and efficient costs of providing infrastructure services that is not met from other revenue. </w:t>
      </w:r>
    </w:p>
    <w:p w:rsidR="00061C7E" w:rsidRPr="00D714FC" w:rsidRDefault="00061C7E" w:rsidP="00061C7E">
      <w:pPr>
        <w:rPr>
          <w:rFonts w:cs="Times New Roman"/>
        </w:rPr>
      </w:pPr>
      <w:r w:rsidRPr="00D714FC">
        <w:rPr>
          <w:rFonts w:cs="Times New Roman"/>
        </w:rPr>
        <w:t>These tests were designed, in part, to ensure that a Part 6 operator’s revenue from sources such as government grants or contributions, or from charges that are not regulated charges, can be taken into account.</w:t>
      </w:r>
      <w:r w:rsidR="00C6733C">
        <w:rPr>
          <w:rFonts w:cs="Times New Roman"/>
        </w:rPr>
        <w:t xml:space="preserve"> </w:t>
      </w:r>
    </w:p>
    <w:p w:rsidR="00061C7E" w:rsidRPr="00D714FC" w:rsidRDefault="00C74912" w:rsidP="00061C7E">
      <w:pPr>
        <w:rPr>
          <w:rFonts w:cs="Times New Roman"/>
        </w:rPr>
      </w:pPr>
      <w:r w:rsidRPr="00D714FC">
        <w:rPr>
          <w:rFonts w:cs="Times New Roman"/>
        </w:rPr>
        <w:t xml:space="preserve">Subrule 29(3) specifies </w:t>
      </w:r>
      <w:r>
        <w:rPr>
          <w:rFonts w:cs="Times New Roman"/>
        </w:rPr>
        <w:t xml:space="preserve">that if </w:t>
      </w:r>
      <w:r w:rsidRPr="00D714FC">
        <w:rPr>
          <w:rFonts w:cs="Times New Roman"/>
        </w:rPr>
        <w:t xml:space="preserve">the regulator is not satisfied that the tests in subrule 29(2) are met </w:t>
      </w:r>
      <w:r>
        <w:rPr>
          <w:rFonts w:cs="Times New Roman"/>
        </w:rPr>
        <w:t>it must</w:t>
      </w:r>
      <w:r w:rsidRPr="00D714FC">
        <w:rPr>
          <w:rFonts w:cs="Times New Roman"/>
        </w:rPr>
        <w:t xml:space="preserve"> determine the charges. </w:t>
      </w:r>
      <w:r w:rsidR="00061C7E" w:rsidRPr="00D714FC">
        <w:rPr>
          <w:rFonts w:cs="Times New Roman"/>
        </w:rPr>
        <w:t xml:space="preserve">The regulator </w:t>
      </w:r>
      <w:r w:rsidR="007B7C97">
        <w:rPr>
          <w:rFonts w:cs="Times New Roman"/>
        </w:rPr>
        <w:t xml:space="preserve">is also required by subrule 29(4) to </w:t>
      </w:r>
      <w:r w:rsidR="00061C7E" w:rsidRPr="00D714FC">
        <w:rPr>
          <w:rFonts w:cs="Times New Roman"/>
        </w:rPr>
        <w:t xml:space="preserve">have regard to whether the regulated charges would contribute to achieving the Basin </w:t>
      </w:r>
      <w:r w:rsidR="00E71D7D">
        <w:rPr>
          <w:rFonts w:cs="Times New Roman"/>
        </w:rPr>
        <w:t>W</w:t>
      </w:r>
      <w:r w:rsidR="00061C7E" w:rsidRPr="00D714FC">
        <w:rPr>
          <w:rFonts w:cs="Times New Roman"/>
        </w:rPr>
        <w:t xml:space="preserve">ater </w:t>
      </w:r>
      <w:r w:rsidR="00E71D7D">
        <w:rPr>
          <w:rFonts w:cs="Times New Roman"/>
        </w:rPr>
        <w:t>C</w:t>
      </w:r>
      <w:r w:rsidR="00061C7E" w:rsidRPr="00D714FC">
        <w:rPr>
          <w:rFonts w:cs="Times New Roman"/>
        </w:rPr>
        <w:t xml:space="preserve">harging </w:t>
      </w:r>
      <w:r w:rsidR="00E71D7D">
        <w:rPr>
          <w:rFonts w:cs="Times New Roman"/>
        </w:rPr>
        <w:t>O</w:t>
      </w:r>
      <w:r w:rsidR="00061C7E" w:rsidRPr="00D714FC">
        <w:rPr>
          <w:rFonts w:cs="Times New Roman"/>
        </w:rPr>
        <w:t xml:space="preserve">bjectives and </w:t>
      </w:r>
      <w:r w:rsidR="00E71D7D">
        <w:rPr>
          <w:rFonts w:cs="Times New Roman"/>
        </w:rPr>
        <w:t>P</w:t>
      </w:r>
      <w:r w:rsidR="00061C7E" w:rsidRPr="00D714FC">
        <w:rPr>
          <w:rFonts w:cs="Times New Roman"/>
        </w:rPr>
        <w:t xml:space="preserve">rinciples (BWCOP) set out in Schedule 2 of the Act (and reproduced in </w:t>
      </w:r>
      <w:r w:rsidR="00DB6AE4">
        <w:rPr>
          <w:rFonts w:cs="Times New Roman"/>
        </w:rPr>
        <w:t>a</w:t>
      </w:r>
      <w:r w:rsidR="00061C7E" w:rsidRPr="00D714FC">
        <w:rPr>
          <w:rFonts w:cs="Times New Roman"/>
        </w:rPr>
        <w:t>ppendix B to this paper).</w:t>
      </w:r>
      <w:r w:rsidR="00061C7E" w:rsidRPr="00D714FC">
        <w:rPr>
          <w:rStyle w:val="FootnoteReference"/>
          <w:rFonts w:cs="Times New Roman"/>
        </w:rPr>
        <w:footnoteReference w:id="409"/>
      </w:r>
      <w:r w:rsidR="00061C7E" w:rsidRPr="00D714FC">
        <w:rPr>
          <w:rFonts w:cs="Times New Roman"/>
        </w:rPr>
        <w:t xml:space="preserve"> </w:t>
      </w:r>
    </w:p>
    <w:p w:rsidR="00061C7E" w:rsidRPr="00F33AF9" w:rsidRDefault="00061C7E" w:rsidP="00061C7E">
      <w:pPr>
        <w:rPr>
          <w:rStyle w:val="Heading4Char"/>
        </w:rPr>
      </w:pPr>
      <w:r w:rsidRPr="00D714FC">
        <w:rPr>
          <w:rFonts w:cs="Times New Roman"/>
        </w:rPr>
        <w:t>An accredited regulator (as a condition of their accreditation) must also take account of the ACCC’s pricing principles</w:t>
      </w:r>
      <w:r w:rsidRPr="00D714FC">
        <w:rPr>
          <w:rStyle w:val="FootnoteReference"/>
          <w:rFonts w:cs="Times New Roman"/>
        </w:rPr>
        <w:footnoteReference w:id="410"/>
      </w:r>
      <w:r w:rsidRPr="00D714FC">
        <w:rPr>
          <w:rFonts w:cs="Times New Roman"/>
        </w:rPr>
        <w:t xml:space="preserve"> when approving or determining charges (see section 5.9 for further discussion of accreditation arrangements).</w:t>
      </w:r>
      <w:r w:rsidRPr="00D714FC">
        <w:rPr>
          <w:rStyle w:val="FootnoteReference"/>
          <w:rFonts w:cs="Times New Roman"/>
        </w:rPr>
        <w:footnoteReference w:id="411"/>
      </w:r>
      <w:r w:rsidR="00C6733C">
        <w:rPr>
          <w:rStyle w:val="CommentReference"/>
          <w:rFonts w:cs="Times New Roman"/>
        </w:rPr>
        <w:t xml:space="preserve"> </w:t>
      </w:r>
    </w:p>
    <w:p w:rsidR="00E74182" w:rsidRDefault="00E74182" w:rsidP="00433EA5">
      <w:pPr>
        <w:rPr>
          <w:rFonts w:cs="Times New Roman"/>
        </w:rPr>
      </w:pPr>
      <w:r>
        <w:rPr>
          <w:rFonts w:cs="Times New Roman"/>
        </w:rPr>
        <w:t xml:space="preserve">In its Draft Advice </w:t>
      </w:r>
      <w:r w:rsidRPr="00D714FC">
        <w:rPr>
          <w:rFonts w:cs="Times New Roman"/>
        </w:rPr>
        <w:t>the ACCC</w:t>
      </w:r>
      <w:r>
        <w:rPr>
          <w:rFonts w:cs="Times New Roman"/>
        </w:rPr>
        <w:t>, considered</w:t>
      </w:r>
      <w:r w:rsidRPr="00D714FC">
        <w:rPr>
          <w:rFonts w:cs="Times New Roman"/>
        </w:rPr>
        <w:t xml:space="preserve"> </w:t>
      </w:r>
      <w:r>
        <w:rPr>
          <w:rFonts w:cs="Times New Roman"/>
        </w:rPr>
        <w:t xml:space="preserve">(based on its experience in implementing this rule) </w:t>
      </w:r>
      <w:r w:rsidRPr="00D714FC">
        <w:rPr>
          <w:rFonts w:cs="Times New Roman"/>
        </w:rPr>
        <w:t>that there is scope to improve the clarity of rule 29</w:t>
      </w:r>
      <w:r>
        <w:rPr>
          <w:rFonts w:cs="Times New Roman"/>
        </w:rPr>
        <w:t xml:space="preserve"> in several ways</w:t>
      </w:r>
      <w:r w:rsidRPr="00D714FC">
        <w:rPr>
          <w:rFonts w:cs="Times New Roman"/>
        </w:rPr>
        <w:t>.</w:t>
      </w:r>
      <w:r>
        <w:rPr>
          <w:rFonts w:cs="Times New Roman"/>
        </w:rPr>
        <w:t xml:space="preserve"> </w:t>
      </w:r>
    </w:p>
    <w:p w:rsidR="0022735A" w:rsidRDefault="0022735A" w:rsidP="00D17F9C">
      <w:pPr>
        <w:pStyle w:val="Heading5"/>
      </w:pPr>
      <w:r>
        <w:t>Estimated revenue versus costs—</w:t>
      </w:r>
      <w:r w:rsidR="00DB6AE4">
        <w:t>sub</w:t>
      </w:r>
      <w:r>
        <w:t>rule 29(2)(b)</w:t>
      </w:r>
    </w:p>
    <w:p w:rsidR="00433EA5" w:rsidRPr="00D714FC" w:rsidRDefault="00433EA5" w:rsidP="00433EA5">
      <w:pPr>
        <w:rPr>
          <w:rFonts w:cs="Times New Roman"/>
        </w:rPr>
      </w:pPr>
      <w:r w:rsidRPr="00D714FC">
        <w:rPr>
          <w:rFonts w:cs="Times New Roman"/>
        </w:rPr>
        <w:t xml:space="preserve">The current drafting of </w:t>
      </w:r>
      <w:r w:rsidR="00DB6AE4">
        <w:rPr>
          <w:rFonts w:cs="Times New Roman"/>
        </w:rPr>
        <w:t>sub</w:t>
      </w:r>
      <w:r w:rsidRPr="00D714FC">
        <w:rPr>
          <w:rFonts w:cs="Times New Roman"/>
        </w:rPr>
        <w:t xml:space="preserve">rule 29(2)(b) is potentially ambiguous in relation to how a regulator is to account for revenue from sources other than the infrastructure charges to be approved or determined. </w:t>
      </w:r>
    </w:p>
    <w:p w:rsidR="00433EA5" w:rsidRPr="00D714FC" w:rsidRDefault="00433EA5" w:rsidP="00433EA5">
      <w:pPr>
        <w:rPr>
          <w:rFonts w:cs="Times New Roman"/>
        </w:rPr>
      </w:pPr>
      <w:r w:rsidRPr="00D714FC">
        <w:rPr>
          <w:rFonts w:cs="Times New Roman"/>
        </w:rPr>
        <w:t xml:space="preserve">On one interpretation, the requirements under </w:t>
      </w:r>
      <w:r w:rsidR="00DB6AE4">
        <w:rPr>
          <w:rFonts w:cs="Times New Roman"/>
        </w:rPr>
        <w:t>sub</w:t>
      </w:r>
      <w:r w:rsidRPr="00D714FC">
        <w:rPr>
          <w:rFonts w:cs="Times New Roman"/>
        </w:rPr>
        <w:t xml:space="preserve">rule 29(2)(b)(i) and (ii) are logically identical. On an alternative interpretation, the requirement under </w:t>
      </w:r>
      <w:r w:rsidR="00DB6AE4">
        <w:rPr>
          <w:rFonts w:cs="Times New Roman"/>
        </w:rPr>
        <w:t>sub</w:t>
      </w:r>
      <w:r w:rsidRPr="00D714FC">
        <w:rPr>
          <w:rFonts w:cs="Times New Roman"/>
        </w:rPr>
        <w:t>rule 29(2)(b)(i) would have the effect that revenue from sources unrelated to the provision of infrastructure services would be fully offset by reductions in the amount that could be recovered through the infrastructure charges being approved or determined.</w:t>
      </w:r>
    </w:p>
    <w:p w:rsidR="00433EA5" w:rsidRPr="00D714FC" w:rsidRDefault="00433EA5" w:rsidP="00433EA5">
      <w:pPr>
        <w:rPr>
          <w:rFonts w:cs="Times New Roman"/>
        </w:rPr>
      </w:pPr>
      <w:r w:rsidRPr="00D714FC">
        <w:rPr>
          <w:rFonts w:cs="Times New Roman"/>
        </w:rPr>
        <w:t>To avoid such ambiguity, the ACCC propose</w:t>
      </w:r>
      <w:r w:rsidR="00E74182">
        <w:rPr>
          <w:rFonts w:cs="Times New Roman"/>
        </w:rPr>
        <w:t>d</w:t>
      </w:r>
      <w:r w:rsidRPr="00D714FC">
        <w:rPr>
          <w:rFonts w:cs="Times New Roman"/>
        </w:rPr>
        <w:t xml:space="preserve"> re-drafting this subsection to provide regulators and infrastructure operators with greater clarity.</w:t>
      </w:r>
    </w:p>
    <w:p w:rsidR="00433EA5" w:rsidRPr="00D714FC" w:rsidRDefault="0022735A" w:rsidP="00433EA5">
      <w:pPr>
        <w:rPr>
          <w:rFonts w:cs="Times New Roman"/>
          <w:color w:val="000000"/>
        </w:rPr>
      </w:pPr>
      <w:r>
        <w:rPr>
          <w:rFonts w:cs="Times New Roman"/>
          <w:color w:val="000000"/>
        </w:rPr>
        <w:t>Revenue from sources other than infrastructure charges</w:t>
      </w:r>
      <w:r w:rsidR="0050334B">
        <w:rPr>
          <w:rFonts w:cs="Times New Roman"/>
          <w:color w:val="000000"/>
        </w:rPr>
        <w:t xml:space="preserve"> clearly encompasses </w:t>
      </w:r>
      <w:r w:rsidR="00433EA5" w:rsidRPr="00D714FC">
        <w:rPr>
          <w:rFonts w:cs="Times New Roman"/>
          <w:color w:val="000000"/>
        </w:rPr>
        <w:t xml:space="preserve">where there is a government contribution to the cost of specified activities. It could also include other revenue which derives from the same infrastructure services as customers are charged for and helps to defray the cost. For example, fees charged to hydro-electricity operators could conceivably form part of </w:t>
      </w:r>
      <w:r w:rsidR="00433EA5">
        <w:rPr>
          <w:rFonts w:cs="Times New Roman"/>
          <w:color w:val="000000"/>
        </w:rPr>
        <w:t>‘</w:t>
      </w:r>
      <w:r w:rsidR="00433EA5" w:rsidRPr="00D714FC">
        <w:rPr>
          <w:rFonts w:cs="Times New Roman"/>
          <w:color w:val="000000"/>
        </w:rPr>
        <w:t>other revenue</w:t>
      </w:r>
      <w:r w:rsidR="00433EA5">
        <w:rPr>
          <w:rFonts w:cs="Times New Roman"/>
          <w:color w:val="000000"/>
        </w:rPr>
        <w:t>’</w:t>
      </w:r>
      <w:r w:rsidR="00433EA5" w:rsidRPr="00D714FC">
        <w:rPr>
          <w:rFonts w:cs="Times New Roman"/>
          <w:color w:val="000000"/>
        </w:rPr>
        <w:t xml:space="preserve">, although neither IPART nor the ACCC has assessed them in revenue in price determinations to date. </w:t>
      </w:r>
    </w:p>
    <w:p w:rsidR="00433EA5" w:rsidRPr="00D714FC" w:rsidRDefault="0050334B" w:rsidP="00433EA5">
      <w:pPr>
        <w:rPr>
          <w:rFonts w:cs="Times New Roman"/>
          <w:color w:val="000000"/>
        </w:rPr>
      </w:pPr>
      <w:r>
        <w:rPr>
          <w:rFonts w:cs="Times New Roman"/>
          <w:color w:val="000000"/>
        </w:rPr>
        <w:t>Revenue from other sources</w:t>
      </w:r>
      <w:r w:rsidR="00433EA5" w:rsidRPr="00D714FC">
        <w:rPr>
          <w:rFonts w:cs="Times New Roman"/>
          <w:color w:val="000000"/>
        </w:rPr>
        <w:t xml:space="preserve"> could also include all revenue derived by the operator from activities not directly related to its infrastructure services</w:t>
      </w:r>
      <w:r w:rsidR="00433EA5">
        <w:rPr>
          <w:rFonts w:cs="Times New Roman"/>
          <w:color w:val="000000"/>
        </w:rPr>
        <w:t>—</w:t>
      </w:r>
      <w:r w:rsidR="00433EA5" w:rsidRPr="00D714FC">
        <w:rPr>
          <w:rFonts w:cs="Times New Roman"/>
          <w:color w:val="000000"/>
        </w:rPr>
        <w:t xml:space="preserve">for example, WaterNSW’s revenue from providing construction services to the </w:t>
      </w:r>
      <w:r w:rsidR="00BF194C">
        <w:rPr>
          <w:rFonts w:cs="Times New Roman"/>
          <w:color w:val="000000"/>
        </w:rPr>
        <w:t>Murray-Darling Basin Authority (</w:t>
      </w:r>
      <w:r w:rsidR="00433EA5" w:rsidRPr="00D714FC">
        <w:rPr>
          <w:rFonts w:cs="Times New Roman"/>
          <w:color w:val="000000"/>
        </w:rPr>
        <w:t>MDBA</w:t>
      </w:r>
      <w:r w:rsidR="00BF194C">
        <w:rPr>
          <w:rFonts w:cs="Times New Roman"/>
          <w:color w:val="000000"/>
        </w:rPr>
        <w:t>)</w:t>
      </w:r>
      <w:r w:rsidR="00433EA5" w:rsidRPr="00D714FC">
        <w:rPr>
          <w:rFonts w:cs="Times New Roman"/>
          <w:color w:val="000000"/>
        </w:rPr>
        <w:t>. The ACCC considers that this was not the intent of rule 29 and it was not interpreted in that way by the ACCC during the ACCC’s 2014 of WaterNSW’s (then State</w:t>
      </w:r>
      <w:r w:rsidR="00433EA5">
        <w:rPr>
          <w:rFonts w:cs="Times New Roman"/>
          <w:color w:val="000000"/>
        </w:rPr>
        <w:t xml:space="preserve"> </w:t>
      </w:r>
      <w:r w:rsidR="00433EA5" w:rsidRPr="00D714FC">
        <w:rPr>
          <w:rFonts w:cs="Times New Roman"/>
          <w:color w:val="000000"/>
        </w:rPr>
        <w:t xml:space="preserve">Water) charges. Construction services provided by WaterNSW </w:t>
      </w:r>
      <w:r w:rsidR="00950E5A">
        <w:rPr>
          <w:rFonts w:cs="Times New Roman"/>
          <w:color w:val="000000"/>
        </w:rPr>
        <w:t>are</w:t>
      </w:r>
      <w:r w:rsidR="00433EA5">
        <w:rPr>
          <w:rFonts w:cs="Times New Roman"/>
          <w:color w:val="000000"/>
        </w:rPr>
        <w:t xml:space="preserve"> unlikely to meet the definition of</w:t>
      </w:r>
      <w:r w:rsidR="00433EA5" w:rsidRPr="00D714FC">
        <w:rPr>
          <w:rFonts w:cs="Times New Roman"/>
          <w:color w:val="000000"/>
        </w:rPr>
        <w:t xml:space="preserve"> ‘infrastructure services’ under the </w:t>
      </w:r>
      <w:r w:rsidR="00433EA5">
        <w:rPr>
          <w:rFonts w:cs="Times New Roman"/>
          <w:color w:val="000000"/>
        </w:rPr>
        <w:t>rules</w:t>
      </w:r>
      <w:r w:rsidR="00433EA5" w:rsidRPr="00D714FC">
        <w:rPr>
          <w:rFonts w:cs="Times New Roman"/>
          <w:color w:val="000000"/>
        </w:rPr>
        <w:t>, and have a different cost base to that for infrastructure services. Therefore it would not be appropriate to include revenue from such services when the related costs are excluded.</w:t>
      </w:r>
    </w:p>
    <w:p w:rsidR="00433EA5" w:rsidRDefault="00E74182" w:rsidP="00135446">
      <w:pPr>
        <w:spacing w:after="120"/>
        <w:rPr>
          <w:rFonts w:cs="Times New Roman"/>
          <w:color w:val="000000"/>
        </w:rPr>
      </w:pPr>
      <w:r>
        <w:rPr>
          <w:rFonts w:cs="Times New Roman"/>
          <w:color w:val="000000"/>
        </w:rPr>
        <w:t>In its Draft Advice, t</w:t>
      </w:r>
      <w:r w:rsidR="00433EA5" w:rsidRPr="00D714FC">
        <w:rPr>
          <w:rFonts w:cs="Times New Roman"/>
          <w:color w:val="000000"/>
        </w:rPr>
        <w:t xml:space="preserve">he ACCC </w:t>
      </w:r>
      <w:r>
        <w:rPr>
          <w:rFonts w:cs="Times New Roman"/>
          <w:color w:val="000000"/>
        </w:rPr>
        <w:t xml:space="preserve">considered </w:t>
      </w:r>
      <w:r w:rsidR="00433EA5" w:rsidRPr="00D714FC">
        <w:rPr>
          <w:rFonts w:cs="Times New Roman"/>
          <w:color w:val="000000"/>
        </w:rPr>
        <w:t xml:space="preserve">that the interpretation of </w:t>
      </w:r>
      <w:r w:rsidR="00DB6AE4">
        <w:rPr>
          <w:rFonts w:cs="Times New Roman"/>
          <w:color w:val="000000"/>
        </w:rPr>
        <w:t>sub</w:t>
      </w:r>
      <w:r w:rsidR="00433EA5">
        <w:rPr>
          <w:rFonts w:cs="Times New Roman"/>
          <w:color w:val="000000"/>
        </w:rPr>
        <w:t xml:space="preserve">rule 29(b) would be clarified by removing the reference </w:t>
      </w:r>
      <w:r w:rsidR="0050334B">
        <w:rPr>
          <w:rFonts w:cs="Times New Roman"/>
          <w:color w:val="000000"/>
        </w:rPr>
        <w:t>revenue from sources other than infrastructure charges</w:t>
      </w:r>
      <w:r w:rsidR="00433EA5">
        <w:rPr>
          <w:rFonts w:cs="Times New Roman"/>
          <w:color w:val="000000"/>
        </w:rPr>
        <w:t>. Instead, the rule should simply require the regulator to consider whether the forecast revenue from infrastructure charges is reasonably likely to meet:</w:t>
      </w:r>
    </w:p>
    <w:p w:rsidR="00433EA5" w:rsidRDefault="00433EA5" w:rsidP="00A82DE6">
      <w:pPr>
        <w:pStyle w:val="Lvl1Bulletpoint"/>
      </w:pPr>
      <w:r w:rsidRPr="00AC1ACB">
        <w:t>the prudent and efficient costs of providing infrastructure services</w:t>
      </w:r>
      <w:r>
        <w:t>, less</w:t>
      </w:r>
    </w:p>
    <w:p w:rsidR="00433EA5" w:rsidRPr="00D714FC" w:rsidRDefault="00433EA5" w:rsidP="00A82DE6">
      <w:pPr>
        <w:pStyle w:val="Lvl1Bulletpoint"/>
        <w:rPr>
          <w:color w:val="000000"/>
        </w:rPr>
      </w:pPr>
      <w:r>
        <w:t>any government contributions related to the provision of those infrastructure services</w:t>
      </w:r>
      <w:r w:rsidRPr="00D714FC">
        <w:rPr>
          <w:color w:val="000000"/>
        </w:rPr>
        <w:t>.</w:t>
      </w:r>
    </w:p>
    <w:p w:rsidR="00433EA5" w:rsidRPr="00AC1ACB" w:rsidRDefault="00433EA5" w:rsidP="00D17F9C">
      <w:pPr>
        <w:pStyle w:val="Heading5"/>
      </w:pPr>
      <w:r w:rsidRPr="00AC1ACB">
        <w:t xml:space="preserve">Consistency with </w:t>
      </w:r>
      <w:r w:rsidR="00020DF3">
        <w:t xml:space="preserve">other parts of the </w:t>
      </w:r>
      <w:r w:rsidRPr="00AC1ACB">
        <w:t>water charge rules</w:t>
      </w:r>
    </w:p>
    <w:p w:rsidR="00020DF3" w:rsidRDefault="00433EA5" w:rsidP="007B7C97">
      <w:pPr>
        <w:rPr>
          <w:rFonts w:cs="Times New Roman"/>
        </w:rPr>
      </w:pPr>
      <w:r>
        <w:rPr>
          <w:rFonts w:cs="Times New Roman"/>
        </w:rPr>
        <w:t>The ACCC note</w:t>
      </w:r>
      <w:r w:rsidR="00E74182">
        <w:rPr>
          <w:rFonts w:cs="Times New Roman"/>
        </w:rPr>
        <w:t>d in it</w:t>
      </w:r>
      <w:r>
        <w:rPr>
          <w:rFonts w:cs="Times New Roman"/>
        </w:rPr>
        <w:t>s</w:t>
      </w:r>
      <w:r w:rsidR="00E74182">
        <w:rPr>
          <w:rFonts w:cs="Times New Roman"/>
        </w:rPr>
        <w:t xml:space="preserve"> Draft Advice</w:t>
      </w:r>
      <w:r>
        <w:rPr>
          <w:rFonts w:cs="Times New Roman"/>
        </w:rPr>
        <w:t xml:space="preserve"> that Part 6 does not currently explicitly require the regulator to ensure that infrastructure charges it approves or determines are consistent with </w:t>
      </w:r>
      <w:r w:rsidR="00020DF3">
        <w:rPr>
          <w:rFonts w:cs="Times New Roman"/>
        </w:rPr>
        <w:t xml:space="preserve">other parts of the </w:t>
      </w:r>
      <w:r>
        <w:rPr>
          <w:rFonts w:cs="Times New Roman"/>
        </w:rPr>
        <w:t xml:space="preserve">water charge rules </w:t>
      </w:r>
      <w:r w:rsidR="00020DF3">
        <w:rPr>
          <w:rFonts w:cs="Times New Roman"/>
        </w:rPr>
        <w:t>(outside of Part 6)</w:t>
      </w:r>
      <w:r>
        <w:rPr>
          <w:rFonts w:cs="Times New Roman"/>
        </w:rPr>
        <w:t>.</w:t>
      </w:r>
      <w:r w:rsidR="00E74182">
        <w:rPr>
          <w:rStyle w:val="FootnoteReference"/>
          <w:rFonts w:cs="Times New Roman"/>
        </w:rPr>
        <w:footnoteReference w:id="412"/>
      </w:r>
      <w:r w:rsidR="00C6733C">
        <w:rPr>
          <w:rFonts w:cs="Times New Roman"/>
        </w:rPr>
        <w:t xml:space="preserve"> </w:t>
      </w:r>
      <w:r>
        <w:rPr>
          <w:rFonts w:cs="Times New Roman"/>
        </w:rPr>
        <w:t xml:space="preserve">The ACCC considers that it is incumbent on the regulator not to approve or determine charges that are inconsistent with </w:t>
      </w:r>
      <w:r w:rsidR="00020DF3">
        <w:rPr>
          <w:rFonts w:cs="Times New Roman"/>
        </w:rPr>
        <w:t xml:space="preserve">other requirements in the water charge rules </w:t>
      </w:r>
      <w:r>
        <w:rPr>
          <w:rFonts w:cs="Times New Roman"/>
        </w:rPr>
        <w:t xml:space="preserve">despite the fact that the prohibitions in the rules are generally directed at the operator rather than the regulator. </w:t>
      </w:r>
    </w:p>
    <w:p w:rsidR="00020DF3" w:rsidRDefault="00433EA5" w:rsidP="007B7C97">
      <w:r>
        <w:rPr>
          <w:rFonts w:cs="Times New Roman"/>
        </w:rPr>
        <w:t xml:space="preserve">This is particularly the case given the proposed changes to </w:t>
      </w:r>
      <w:r w:rsidR="00C555F6">
        <w:rPr>
          <w:rFonts w:cs="Times New Roman"/>
        </w:rPr>
        <w:t xml:space="preserve">expand the </w:t>
      </w:r>
      <w:r>
        <w:rPr>
          <w:rFonts w:cs="Times New Roman"/>
        </w:rPr>
        <w:t>appl</w:t>
      </w:r>
      <w:r w:rsidR="00C555F6">
        <w:rPr>
          <w:rFonts w:cs="Times New Roman"/>
        </w:rPr>
        <w:t>ication of</w:t>
      </w:r>
      <w:r>
        <w:rPr>
          <w:rFonts w:cs="Times New Roman"/>
        </w:rPr>
        <w:t xml:space="preserve"> Part 3 of the rules </w:t>
      </w:r>
      <w:r w:rsidR="00020DF3">
        <w:rPr>
          <w:rFonts w:cs="Times New Roman"/>
        </w:rPr>
        <w:t xml:space="preserve">(non-discrimination requirements) </w:t>
      </w:r>
      <w:r>
        <w:rPr>
          <w:rFonts w:cs="Times New Roman"/>
        </w:rPr>
        <w:t>to all infrastructure operators</w:t>
      </w:r>
      <w:r w:rsidR="00020DF3">
        <w:rPr>
          <w:rFonts w:cs="Times New Roman"/>
        </w:rPr>
        <w:t>,</w:t>
      </w:r>
      <w:r>
        <w:rPr>
          <w:rFonts w:cs="Times New Roman"/>
        </w:rPr>
        <w:t xml:space="preserve"> including Part 6 operators. While Part 6 operators should not include infrastructure charges that are inconsistent with the rules in their applications to the regulator, the regulator should also be satisfied that the charges it approves or determines are consistent with </w:t>
      </w:r>
      <w:r w:rsidR="00256A15">
        <w:rPr>
          <w:rFonts w:cs="Times New Roman"/>
        </w:rPr>
        <w:t>other provisions of the rules</w:t>
      </w:r>
      <w:r>
        <w:rPr>
          <w:rFonts w:cs="Times New Roman"/>
        </w:rPr>
        <w:t>.</w:t>
      </w:r>
      <w:r w:rsidR="00E74182" w:rsidRPr="00E74182">
        <w:t xml:space="preserve"> </w:t>
      </w:r>
    </w:p>
    <w:p w:rsidR="00E74182" w:rsidRDefault="00E74182" w:rsidP="007B7C97">
      <w:r>
        <w:t>As such, the ACCC consider</w:t>
      </w:r>
      <w:r w:rsidR="00950E5A">
        <w:t>ed</w:t>
      </w:r>
      <w:r>
        <w:t xml:space="preserve"> the decision criteria in rule 29 (for an initial determination or review) and rule 37 (for annual reviews of infrastructure charges) should be amended to expressly require the regulator to consider the consistency of the infrastructure charges being approved or determined with the other requirements of the water charge rules.</w:t>
      </w:r>
    </w:p>
    <w:p w:rsidR="00061C7E" w:rsidRPr="00F33AF9" w:rsidRDefault="00061C7E" w:rsidP="00CE67EB">
      <w:pPr>
        <w:pStyle w:val="Quote"/>
        <w:rPr>
          <w:rStyle w:val="Emphasis"/>
          <w:i/>
          <w:iCs/>
        </w:rPr>
      </w:pPr>
      <w:r w:rsidRPr="00F33AF9">
        <w:rPr>
          <w:rStyle w:val="Emphasis"/>
          <w:i/>
        </w:rPr>
        <w:t>Stakeholder feedback</w:t>
      </w:r>
    </w:p>
    <w:p w:rsidR="007F0310" w:rsidRDefault="002F1341" w:rsidP="00061C7E">
      <w:pPr>
        <w:rPr>
          <w:rFonts w:cs="Times New Roman"/>
        </w:rPr>
      </w:pPr>
      <w:r w:rsidRPr="00D714FC">
        <w:rPr>
          <w:rFonts w:cs="Times New Roman"/>
        </w:rPr>
        <w:t xml:space="preserve">Stakeholder </w:t>
      </w:r>
      <w:r w:rsidR="00F27ECB">
        <w:rPr>
          <w:rFonts w:cs="Times New Roman"/>
        </w:rPr>
        <w:t xml:space="preserve">feedback to the Issues Paper relating to </w:t>
      </w:r>
      <w:r w:rsidRPr="00D714FC">
        <w:rPr>
          <w:rFonts w:cs="Times New Roman"/>
        </w:rPr>
        <w:t>defining terms in the BWCOP and the possibility of ordering the BWCOP into a hierarchy are discussed in section 4.2.</w:t>
      </w:r>
      <w:r w:rsidR="00F27ECB">
        <w:rPr>
          <w:rFonts w:cs="Times New Roman"/>
        </w:rPr>
        <w:t xml:space="preserve"> </w:t>
      </w:r>
      <w:r w:rsidR="00061C7E" w:rsidRPr="00D714FC">
        <w:rPr>
          <w:rFonts w:cs="Times New Roman"/>
        </w:rPr>
        <w:t xml:space="preserve">Stakeholders did not provide specific comments on the tests set out in </w:t>
      </w:r>
      <w:r w:rsidR="00DB6AE4">
        <w:rPr>
          <w:rFonts w:cs="Times New Roman"/>
        </w:rPr>
        <w:t>r</w:t>
      </w:r>
      <w:r w:rsidR="00061C7E" w:rsidRPr="00D714FC">
        <w:rPr>
          <w:rFonts w:cs="Times New Roman"/>
        </w:rPr>
        <w:t>ule 29</w:t>
      </w:r>
      <w:r w:rsidR="00E74182">
        <w:rPr>
          <w:rFonts w:cs="Times New Roman"/>
        </w:rPr>
        <w:t>.</w:t>
      </w:r>
    </w:p>
    <w:p w:rsidR="0098647B" w:rsidRDefault="0022735A" w:rsidP="00D17F9C">
      <w:pPr>
        <w:pStyle w:val="Heading5"/>
      </w:pPr>
      <w:r>
        <w:t>Estimated revenue versus costs—</w:t>
      </w:r>
      <w:r w:rsidR="00DB6AE4">
        <w:t>sub</w:t>
      </w:r>
      <w:r>
        <w:t>rule 29(2)(b)</w:t>
      </w:r>
    </w:p>
    <w:p w:rsidR="00950E5A" w:rsidRDefault="00950E5A" w:rsidP="00950E5A">
      <w:r>
        <w:t xml:space="preserve">SunWater submitted that it might be necessary to make an additional amendment to </w:t>
      </w:r>
      <w:r w:rsidR="00DB6AE4">
        <w:t>r</w:t>
      </w:r>
      <w:r>
        <w:t xml:space="preserve">ule </w:t>
      </w:r>
      <w:r w:rsidR="00DB6AE4">
        <w:t>a</w:t>
      </w:r>
      <w:r>
        <w:t xml:space="preserve">dvice 5-P “to require the regulator to be satisfied that revenue would </w:t>
      </w:r>
      <w:r>
        <w:rPr>
          <w:u w:val="single"/>
        </w:rPr>
        <w:t>not exceed</w:t>
      </w:r>
      <w:r>
        <w:t>, rather than be likely to meet, prudent and efficient costs…”. SunWater added that this amendment would recognise that “…it may be the [infrastructure operator’s] inten</w:t>
      </w:r>
      <w:r w:rsidR="001427DF">
        <w:t>t</w:t>
      </w:r>
      <w:r>
        <w:t>ion (or the [infrastructure operator] may be directed) to not recover all its costs, including a full return on assets, from customers”.</w:t>
      </w:r>
      <w:r w:rsidR="00C6733C">
        <w:t xml:space="preserve"> </w:t>
      </w:r>
      <w:r>
        <w:t>SunWater also suggested a further amendment “to explicitly take account of any revenue that the [infrastructure operator] intends to forgo, along with government CSO contributions”.</w:t>
      </w:r>
      <w:r w:rsidRPr="00F00765">
        <w:rPr>
          <w:rStyle w:val="FootnoteReference"/>
          <w:rFonts w:cs="Times New Roman"/>
          <w:sz w:val="20"/>
          <w:szCs w:val="20"/>
        </w:rPr>
        <w:footnoteReference w:id="413"/>
      </w:r>
    </w:p>
    <w:p w:rsidR="00950E5A" w:rsidRPr="00E21895" w:rsidRDefault="00CB7019" w:rsidP="00D17F9C">
      <w:pPr>
        <w:pStyle w:val="Heading5"/>
      </w:pPr>
      <w:r>
        <w:t>Determination of the regulatory asset base (</w:t>
      </w:r>
      <w:r w:rsidR="00950E5A">
        <w:t>Schedule 2</w:t>
      </w:r>
      <w:r>
        <w:t>)</w:t>
      </w:r>
      <w:r w:rsidR="00785FD1">
        <w:t xml:space="preserve"> for SunWater</w:t>
      </w:r>
    </w:p>
    <w:p w:rsidR="00950E5A" w:rsidRDefault="00950E5A" w:rsidP="00950E5A">
      <w:r>
        <w:t xml:space="preserve">SunWater commented on Schedule 2, </w:t>
      </w:r>
      <w:r w:rsidR="007E3378">
        <w:t>s</w:t>
      </w:r>
      <w:r>
        <w:t xml:space="preserve">ection 1 in relation to the determination of the </w:t>
      </w:r>
      <w:r w:rsidR="004F7C9F">
        <w:t>regulatory asset base (</w:t>
      </w:r>
      <w:r>
        <w:t>RAB</w:t>
      </w:r>
      <w:r w:rsidR="004F7C9F">
        <w:t>) in relation to Part 6 operators</w:t>
      </w:r>
      <w:r>
        <w:t>.</w:t>
      </w:r>
      <w:r w:rsidRPr="00AB0F24">
        <w:rPr>
          <w:rStyle w:val="FootnoteReference"/>
          <w:rFonts w:cs="Times New Roman"/>
          <w:sz w:val="20"/>
          <w:szCs w:val="20"/>
        </w:rPr>
        <w:footnoteReference w:id="414"/>
      </w:r>
      <w:r>
        <w:t xml:space="preserve"> SunWater is concerned about the value of the RAB it could be assigned in an initial regulatory period (if its charges are approved</w:t>
      </w:r>
      <w:r w:rsidR="0098647B">
        <w:t xml:space="preserve"> </w:t>
      </w:r>
      <w:r>
        <w:t>/</w:t>
      </w:r>
      <w:r w:rsidR="0098647B">
        <w:t xml:space="preserve"> </w:t>
      </w:r>
      <w:r>
        <w:t xml:space="preserve">determined under </w:t>
      </w:r>
      <w:r w:rsidR="0098647B">
        <w:t>Part </w:t>
      </w:r>
      <w:r>
        <w:t xml:space="preserve">6), if it meets the criteria under </w:t>
      </w:r>
      <w:r w:rsidR="00EA5C7B">
        <w:t>subsection 1</w:t>
      </w:r>
      <w:r>
        <w:t xml:space="preserve">(a) of Schedule 2. </w:t>
      </w:r>
      <w:r w:rsidR="00EA5C7B">
        <w:t>This subsection</w:t>
      </w:r>
      <w:r>
        <w:t xml:space="preserve"> requires that where an infrastructure operator’s charges were previously determined by an agency of the State in the preceding regulatory period, the value of the operator’s assets in the preceding period should be carried forward into the initial regulatory period.</w:t>
      </w:r>
    </w:p>
    <w:p w:rsidR="00950E5A" w:rsidRDefault="00950E5A" w:rsidP="00135446">
      <w:pPr>
        <w:spacing w:after="120"/>
      </w:pPr>
      <w:r>
        <w:t>The QCA, under the Minister’s direction, did not determine a RAB for SunWater in recommending its irrigation charges to the Minister.</w:t>
      </w:r>
      <w:r w:rsidRPr="00AB0F24">
        <w:rPr>
          <w:rStyle w:val="FootnoteReference"/>
          <w:rFonts w:cs="Times New Roman"/>
          <w:sz w:val="20"/>
          <w:szCs w:val="20"/>
        </w:rPr>
        <w:footnoteReference w:id="415"/>
      </w:r>
      <w:r>
        <w:t xml:space="preserve"> Therefore, SunWater is concerned that the requirement to set the RAB according to the value of assets in the preceding period might mean that SunWater’s RAB is set at $0. In response to this concern, SunWater submitted that: </w:t>
      </w:r>
    </w:p>
    <w:p w:rsidR="00950E5A" w:rsidRDefault="00950E5A" w:rsidP="00A82DE6">
      <w:pPr>
        <w:pStyle w:val="Lvl1Bulletpoint"/>
      </w:pPr>
      <w:r>
        <w:t xml:space="preserve">its RAB should be determined under </w:t>
      </w:r>
      <w:r w:rsidR="00D57824">
        <w:t>subsection 1</w:t>
      </w:r>
      <w:r>
        <w:t>(b)</w:t>
      </w:r>
      <w:r w:rsidR="00D57824">
        <w:t xml:space="preserve"> of Schedule 2</w:t>
      </w:r>
      <w:r>
        <w:t xml:space="preserve"> (by applying a recognised valuation methodology) and </w:t>
      </w:r>
    </w:p>
    <w:p w:rsidR="00950E5A" w:rsidRDefault="00950E5A" w:rsidP="00A82DE6">
      <w:pPr>
        <w:pStyle w:val="Lvl1Bulletpoint"/>
      </w:pPr>
      <w:r>
        <w:t xml:space="preserve">there should be an amendment to the criteria for </w:t>
      </w:r>
      <w:r w:rsidR="00D57824">
        <w:t>subsection 1</w:t>
      </w:r>
      <w:r>
        <w:t>(a)</w:t>
      </w:r>
      <w:r w:rsidR="00D57824">
        <w:t xml:space="preserve"> of Schedule 2</w:t>
      </w:r>
      <w:r>
        <w:t xml:space="preserve"> such that it would only apply when the operator’s RAB was determined by an agency of a State in the preceding period, rather than its fees and charges.</w:t>
      </w:r>
    </w:p>
    <w:p w:rsidR="00950E5A" w:rsidRDefault="00950E5A" w:rsidP="00950E5A">
      <w:r>
        <w:t xml:space="preserve">SunWater argued that this amendment would reflect the intent of the provision to maintain the value of the RAB where the RAB itself has previously been determined, rather than when charges have previously been determined. </w:t>
      </w:r>
    </w:p>
    <w:p w:rsidR="0098647B" w:rsidRPr="00867363" w:rsidRDefault="00846C42" w:rsidP="00D17F9C">
      <w:pPr>
        <w:pStyle w:val="Heading5"/>
      </w:pPr>
      <w:r>
        <w:t>Prudency and e</w:t>
      </w:r>
      <w:r w:rsidR="0098647B" w:rsidRPr="00867363">
        <w:t>fficiency of past capital expenditure</w:t>
      </w:r>
    </w:p>
    <w:p w:rsidR="00950E5A" w:rsidRDefault="00950E5A" w:rsidP="00135446">
      <w:pPr>
        <w:spacing w:after="120"/>
      </w:pPr>
      <w:r>
        <w:t>IPART submitted to the Draft Advice that it reiterates its position from its submission to the Issues Paper in relation to amending the rules to include an ex-post review of capital expenditure.</w:t>
      </w:r>
      <w:r w:rsidRPr="00AB0F24">
        <w:rPr>
          <w:rStyle w:val="FootnoteReference"/>
          <w:rFonts w:cs="Times New Roman"/>
          <w:b/>
          <w:sz w:val="20"/>
          <w:szCs w:val="20"/>
        </w:rPr>
        <w:footnoteReference w:id="416"/>
      </w:r>
      <w:r>
        <w:t xml:space="preserve"> In its submission to the Issues Paper, IPART argued that the rules should allow the regulator to assess actual capital expenditure during the current regulatory period for its “prudence and efficiency” before rolling forward the RAB to the next regulatory period.</w:t>
      </w:r>
      <w:r w:rsidRPr="00486959">
        <w:rPr>
          <w:rStyle w:val="FootnoteReference"/>
          <w:rFonts w:cs="Times New Roman"/>
          <w:sz w:val="20"/>
          <w:szCs w:val="20"/>
        </w:rPr>
        <w:footnoteReference w:id="417"/>
      </w:r>
      <w:r>
        <w:t xml:space="preserve"> IPART noted that this is a feature of its own regulatory framework. The benefits that IPART identified of this review are: </w:t>
      </w:r>
    </w:p>
    <w:p w:rsidR="00950E5A" w:rsidRDefault="00950E5A" w:rsidP="00A82DE6">
      <w:pPr>
        <w:pStyle w:val="Lvl1Bulletpoint"/>
      </w:pPr>
      <w:r>
        <w:t>it may prevent inefficient investments, or overinvestments, being passed through to customers. Therefore not only does it provide a safeguard against such investments it also provides operators with an incentive to make prudent and efficient investments. Hence, an ex-post review “can ensure business apply rigorous processes to investment evaluation and decision-making”.</w:t>
      </w:r>
      <w:r w:rsidRPr="00486959">
        <w:rPr>
          <w:rStyle w:val="FootnoteReference"/>
          <w:rFonts w:cs="Times New Roman"/>
          <w:sz w:val="20"/>
          <w:szCs w:val="20"/>
        </w:rPr>
        <w:footnoteReference w:id="418"/>
      </w:r>
    </w:p>
    <w:p w:rsidR="00950E5A" w:rsidRDefault="00950E5A" w:rsidP="00A82DE6">
      <w:pPr>
        <w:pStyle w:val="Lvl1Bulletpoint"/>
      </w:pPr>
      <w:r>
        <w:t>it better promotes the Basin Water Charging Objectives and Principles</w:t>
      </w:r>
      <w:r w:rsidR="00E71D7D">
        <w:t xml:space="preserve"> (BWCOP)</w:t>
      </w:r>
      <w:r>
        <w:t>, particularly objective (a)(ii) and (iii) and (e)</w:t>
      </w:r>
      <w:r w:rsidR="0050334B">
        <w:t xml:space="preserve"> [as reproduced in </w:t>
      </w:r>
      <w:r w:rsidR="00E96766">
        <w:t>a</w:t>
      </w:r>
      <w:r w:rsidR="0050334B">
        <w:t>ppendix B of this Final Advice]</w:t>
      </w:r>
      <w:r>
        <w:t>.</w:t>
      </w:r>
    </w:p>
    <w:p w:rsidR="0022735A" w:rsidRPr="00867363" w:rsidRDefault="0022735A" w:rsidP="00D17F9C">
      <w:pPr>
        <w:pStyle w:val="Heading5"/>
      </w:pPr>
      <w:r w:rsidRPr="00867363">
        <w:t xml:space="preserve">Consistency with </w:t>
      </w:r>
      <w:r w:rsidR="00020DF3">
        <w:t xml:space="preserve">other parts of the </w:t>
      </w:r>
      <w:r w:rsidRPr="00867363">
        <w:t>water charge rules</w:t>
      </w:r>
    </w:p>
    <w:p w:rsidR="0022735A" w:rsidRDefault="0022735A" w:rsidP="00135446">
      <w:pPr>
        <w:spacing w:after="120"/>
      </w:pPr>
      <w:r>
        <w:rPr>
          <w:rFonts w:cs="Times New Roman"/>
        </w:rPr>
        <w:t xml:space="preserve">In response to the Draft Advice, </w:t>
      </w:r>
      <w:r>
        <w:t>Goulburn-Murray Water (GMW) identified concerns about proposed amendments to rule 37 that would allow a regulator to vary infrastructure charges from those made by an initial determination to the extent reasonably necessary to improve consistency of the infrastructure charges with other requirements in the water charge rules.</w:t>
      </w:r>
      <w:r w:rsidRPr="00AB0F24">
        <w:rPr>
          <w:rStyle w:val="FootnoteReference"/>
          <w:rFonts w:cs="Times New Roman"/>
          <w:sz w:val="20"/>
          <w:szCs w:val="20"/>
        </w:rPr>
        <w:footnoteReference w:id="419"/>
      </w:r>
      <w:r>
        <w:t xml:space="preserve"> GMW’s concerns are:</w:t>
      </w:r>
    </w:p>
    <w:p w:rsidR="0022735A" w:rsidRDefault="0022735A" w:rsidP="00A82DE6">
      <w:pPr>
        <w:pStyle w:val="Lvl1Bulletpoint"/>
      </w:pPr>
      <w:r>
        <w:t>the proposed amendment could be interpreted as leading to annual adjustments for factors other than for demand or price stability.</w:t>
      </w:r>
      <w:r>
        <w:rPr>
          <w:rStyle w:val="FootnoteReference"/>
        </w:rPr>
        <w:footnoteReference w:id="420"/>
      </w:r>
      <w:r>
        <w:t xml:space="preserve"> In turn, this could increase the complexity, and amount of time required, to complete the annual review and consequently, the timeframe for publishing the </w:t>
      </w:r>
      <w:r w:rsidR="00AD6514">
        <w:t>S</w:t>
      </w:r>
      <w:r>
        <w:t xml:space="preserve">chedule of </w:t>
      </w:r>
      <w:r w:rsidR="00AD6514">
        <w:t>C</w:t>
      </w:r>
      <w:r>
        <w:t>harges.</w:t>
      </w:r>
    </w:p>
    <w:p w:rsidR="0022735A" w:rsidRDefault="0022735A" w:rsidP="00A82DE6">
      <w:pPr>
        <w:pStyle w:val="Lvl1Bulletpoint"/>
      </w:pPr>
      <w:r>
        <w:t>there were no stakeholder comments [identified in the Draft Advice] to support the change and therefore further discussion is required about the potential costs and benefits.</w:t>
      </w:r>
    </w:p>
    <w:p w:rsidR="00CB7019" w:rsidRDefault="00CB7019" w:rsidP="0050334B">
      <w:pPr>
        <w:pStyle w:val="Heading4"/>
        <w:rPr>
          <w:rFonts w:ascii="Times New Roman" w:hAnsi="Times New Roman" w:cs="Times New Roman"/>
        </w:rPr>
      </w:pPr>
      <w:r>
        <w:rPr>
          <w:rFonts w:ascii="Times New Roman" w:hAnsi="Times New Roman" w:cs="Times New Roman"/>
        </w:rPr>
        <w:t>ACCC assessment</w:t>
      </w:r>
    </w:p>
    <w:p w:rsidR="00CB7019" w:rsidRDefault="00CB7019" w:rsidP="00135446">
      <w:pPr>
        <w:spacing w:after="120"/>
      </w:pPr>
      <w:r>
        <w:t xml:space="preserve">The ACCC notes that its first recommendation – primarily relating </w:t>
      </w:r>
      <w:r w:rsidR="00180CC5">
        <w:t xml:space="preserve">to </w:t>
      </w:r>
      <w:r>
        <w:t xml:space="preserve">government contributions in </w:t>
      </w:r>
      <w:r w:rsidR="00DB6AE4">
        <w:t>sub</w:t>
      </w:r>
      <w:r>
        <w:t xml:space="preserve">rule 29(2) – was not opposed by any stakeholders, and maintains this recommendation in its </w:t>
      </w:r>
      <w:r w:rsidR="00DB6AE4">
        <w:t>F</w:t>
      </w:r>
      <w:r>
        <w:t xml:space="preserve">inal </w:t>
      </w:r>
      <w:r w:rsidR="00DB6AE4">
        <w:t>A</w:t>
      </w:r>
      <w:r>
        <w:t xml:space="preserve">dvice. However, several other issues were raised in submissions, as follows: </w:t>
      </w:r>
    </w:p>
    <w:p w:rsidR="00CB7019" w:rsidRDefault="00020DF3" w:rsidP="00A82DE6">
      <w:pPr>
        <w:pStyle w:val="Lvl1Bulletpoint"/>
      </w:pPr>
      <w:r>
        <w:t>estimated revenue versus costs (</w:t>
      </w:r>
      <w:r w:rsidR="00DB6AE4">
        <w:t>sub</w:t>
      </w:r>
      <w:r>
        <w:t>rule 29(2)(b)</w:t>
      </w:r>
      <w:r w:rsidR="00D57824">
        <w:t>)</w:t>
      </w:r>
    </w:p>
    <w:p w:rsidR="00CB7019" w:rsidRDefault="00020DF3" w:rsidP="00A82DE6">
      <w:pPr>
        <w:pStyle w:val="Lvl1Bulletpoint"/>
      </w:pPr>
      <w:r>
        <w:t xml:space="preserve">determination of the </w:t>
      </w:r>
      <w:r w:rsidR="00B2128B">
        <w:t>RAB</w:t>
      </w:r>
    </w:p>
    <w:p w:rsidR="00CB7019" w:rsidRDefault="002F76FB" w:rsidP="00A82DE6">
      <w:pPr>
        <w:pStyle w:val="Lvl1Bulletpoint"/>
      </w:pPr>
      <w:r>
        <w:t xml:space="preserve">prudency and </w:t>
      </w:r>
      <w:r w:rsidR="00020DF3">
        <w:t>e</w:t>
      </w:r>
      <w:r w:rsidR="00CB7019" w:rsidRPr="002F270A">
        <w:t xml:space="preserve">fficiency of past </w:t>
      </w:r>
      <w:r w:rsidR="00CB7019">
        <w:t>capital expenditure.</w:t>
      </w:r>
    </w:p>
    <w:p w:rsidR="00020DF3" w:rsidRDefault="00020DF3" w:rsidP="00A82DE6">
      <w:pPr>
        <w:pStyle w:val="Lvl1Bulletpoint"/>
      </w:pPr>
      <w:r>
        <w:t>consistency with requirements in other parts of the water charge rules</w:t>
      </w:r>
      <w:r w:rsidR="00D6792D">
        <w:t>.</w:t>
      </w:r>
    </w:p>
    <w:p w:rsidR="00CB7019" w:rsidRDefault="00D57824" w:rsidP="00CB7019">
      <w:r>
        <w:t xml:space="preserve">The </w:t>
      </w:r>
      <w:r w:rsidR="00CB7019">
        <w:t>ACCC has considered these below.</w:t>
      </w:r>
    </w:p>
    <w:p w:rsidR="0022735A" w:rsidRDefault="0022735A" w:rsidP="00D17F9C">
      <w:pPr>
        <w:pStyle w:val="Heading5"/>
      </w:pPr>
      <w:r>
        <w:t>Estimated revenue versus costs—</w:t>
      </w:r>
      <w:r w:rsidR="00A52AF4">
        <w:t>sub</w:t>
      </w:r>
      <w:r>
        <w:t>rule 29(2)(b)</w:t>
      </w:r>
    </w:p>
    <w:p w:rsidR="00CB7019" w:rsidRDefault="00CB7019" w:rsidP="00CB7019">
      <w:r>
        <w:t xml:space="preserve">The ACCC’s view is that rule 29 is intended to lead to charges that are neither </w:t>
      </w:r>
      <w:r w:rsidR="0050334B">
        <w:t xml:space="preserve">materially </w:t>
      </w:r>
      <w:r>
        <w:t xml:space="preserve">above nor below the level of prudent and efficient costs. Charging above cost imposes a burden on consumers and the economy, while charging below cost requires cross-subsidisation by non-users of the infrastructure. </w:t>
      </w:r>
    </w:p>
    <w:p w:rsidR="0050334B" w:rsidRDefault="00CB7019" w:rsidP="00CB7019">
      <w:r>
        <w:t xml:space="preserve">As there </w:t>
      </w:r>
      <w:r w:rsidR="0050334B">
        <w:t xml:space="preserve">may be </w:t>
      </w:r>
      <w:r>
        <w:t xml:space="preserve">some ambiguity about the term “meet”, the ACCC considers that rule 29 should be amended to clarify that </w:t>
      </w:r>
      <w:r w:rsidR="0050334B">
        <w:t xml:space="preserve">the regulator should be satisfied that forecast revenue from infrastructure charges is reasonably likely to </w:t>
      </w:r>
      <w:r>
        <w:t>meet</w:t>
      </w:r>
      <w:r w:rsidR="0050334B">
        <w:t>,</w:t>
      </w:r>
      <w:r>
        <w:t xml:space="preserve"> </w:t>
      </w:r>
      <w:r w:rsidR="00D858A4" w:rsidRPr="00D858A4">
        <w:rPr>
          <w:i/>
        </w:rPr>
        <w:t>and will</w:t>
      </w:r>
      <w:r w:rsidRPr="00D858A4">
        <w:rPr>
          <w:i/>
        </w:rPr>
        <w:t xml:space="preserve"> not materially exceed</w:t>
      </w:r>
      <w:r w:rsidR="0050334B">
        <w:t>,</w:t>
      </w:r>
      <w:r w:rsidR="00D858A4">
        <w:t xml:space="preserve"> the</w:t>
      </w:r>
      <w:r>
        <w:t xml:space="preserve"> prudent and efficient costs</w:t>
      </w:r>
      <w:r w:rsidR="0050334B">
        <w:t xml:space="preserve"> of providing infrastructure services. </w:t>
      </w:r>
    </w:p>
    <w:p w:rsidR="00CB7019" w:rsidRDefault="0050334B" w:rsidP="00CB7019">
      <w:r>
        <w:t>The ACCC considers that th</w:t>
      </w:r>
      <w:r w:rsidR="008D30A3">
        <w:t>i</w:t>
      </w:r>
      <w:r>
        <w:t xml:space="preserve">s proposed minor amendment to rule 29 will </w:t>
      </w:r>
      <w:r w:rsidR="00042981">
        <w:t xml:space="preserve">assist in ensuring that Part 6 operators do not earn </w:t>
      </w:r>
      <w:r w:rsidR="00CB7019">
        <w:t>monopoly profits.</w:t>
      </w:r>
    </w:p>
    <w:p w:rsidR="00CB7019" w:rsidRDefault="00CB7019" w:rsidP="00CB7019">
      <w:r>
        <w:t>While the current rule 29 requires revenue to meet prudent and efficient costs, the BWCOP recognise that, if full cost recovery is unlikely to be achieved</w:t>
      </w:r>
      <w:r w:rsidR="00850548">
        <w:t xml:space="preserve"> and </w:t>
      </w:r>
      <w:r w:rsidR="00D57824">
        <w:t xml:space="preserve">a </w:t>
      </w:r>
      <w:r w:rsidR="00850548">
        <w:t>CSO is deemed necessary</w:t>
      </w:r>
      <w:r>
        <w:t xml:space="preserve">, the size of </w:t>
      </w:r>
      <w:r w:rsidR="00850548">
        <w:t>the</w:t>
      </w:r>
      <w:r>
        <w:t xml:space="preserve"> subsidy </w:t>
      </w:r>
      <w:r w:rsidR="00850548">
        <w:t>should</w:t>
      </w:r>
      <w:r>
        <w:t xml:space="preserve"> be reported publicly and</w:t>
      </w:r>
      <w:r w:rsidR="00850548">
        <w:t>,</w:t>
      </w:r>
      <w:r>
        <w:t xml:space="preserve"> where practicable</w:t>
      </w:r>
      <w:r w:rsidR="00850548">
        <w:t xml:space="preserve">, </w:t>
      </w:r>
      <w:r w:rsidR="00D57824">
        <w:t xml:space="preserve">a </w:t>
      </w:r>
      <w:r>
        <w:t>subsid</w:t>
      </w:r>
      <w:r w:rsidR="00D57824">
        <w:t>y</w:t>
      </w:r>
      <w:r>
        <w:t xml:space="preserve"> </w:t>
      </w:r>
      <w:r w:rsidR="00850548">
        <w:t xml:space="preserve">or CSO </w:t>
      </w:r>
      <w:r w:rsidR="00D57824">
        <w:t>is</w:t>
      </w:r>
      <w:r>
        <w:t xml:space="preserve"> to be reduced or eliminated.</w:t>
      </w:r>
    </w:p>
    <w:p w:rsidR="00CB7019" w:rsidRDefault="00CB7019" w:rsidP="00CB7019">
      <w:r>
        <w:t xml:space="preserve">Rule 29 as proposed in the Draft Advice recognises that government contributions may be deducted from costs, effectively to derive ‘net costs’ to the operator. Government contributions may be given by way of explicit subsidies or CSOs. A government may also decide to forgo a return on </w:t>
      </w:r>
      <w:r w:rsidR="002F76FB">
        <w:t xml:space="preserve">its share of </w:t>
      </w:r>
      <w:r>
        <w:t xml:space="preserve">capital </w:t>
      </w:r>
      <w:r w:rsidR="002F76FB">
        <w:t xml:space="preserve">in </w:t>
      </w:r>
      <w:r>
        <w:t>an infrastructure operator, for example, by way of forgone dividends or return on debt. In Sun</w:t>
      </w:r>
      <w:r w:rsidR="003C1141">
        <w:t>W</w:t>
      </w:r>
      <w:r>
        <w:t xml:space="preserve">ater’s case this is done by an explicit direction </w:t>
      </w:r>
      <w:r w:rsidR="00F81FEE">
        <w:t xml:space="preserve">from </w:t>
      </w:r>
      <w:r>
        <w:t>the Queensland Government.</w:t>
      </w:r>
    </w:p>
    <w:p w:rsidR="00CB7019" w:rsidRDefault="00CB7019" w:rsidP="00CB7019">
      <w:r>
        <w:t xml:space="preserve">The ACCC agrees with SunWater that </w:t>
      </w:r>
      <w:r w:rsidR="00A52AF4">
        <w:t>r</w:t>
      </w:r>
      <w:r>
        <w:t xml:space="preserve">ule 29 should </w:t>
      </w:r>
      <w:r w:rsidR="008D3337">
        <w:t xml:space="preserve">allow the regulator to </w:t>
      </w:r>
      <w:r>
        <w:t xml:space="preserve">take </w:t>
      </w:r>
      <w:r w:rsidR="008D3337">
        <w:t xml:space="preserve">government </w:t>
      </w:r>
      <w:r>
        <w:t>directives into account</w:t>
      </w:r>
      <w:r w:rsidR="008D3337">
        <w:t>. The ACCC</w:t>
      </w:r>
      <w:r>
        <w:t xml:space="preserve"> considers that any government contribution</w:t>
      </w:r>
      <w:r w:rsidR="008D3337">
        <w:t xml:space="preserve"> should</w:t>
      </w:r>
      <w:r w:rsidR="00E97695">
        <w:t xml:space="preserve"> be viewed as</w:t>
      </w:r>
      <w:r>
        <w:t xml:space="preserve"> effectively reduc</w:t>
      </w:r>
      <w:r w:rsidR="00D6792D">
        <w:t>ing</w:t>
      </w:r>
      <w:r>
        <w:t xml:space="preserve"> the net </w:t>
      </w:r>
      <w:r w:rsidR="003C1141">
        <w:t xml:space="preserve">amount </w:t>
      </w:r>
      <w:r w:rsidR="008D3337">
        <w:t xml:space="preserve">that </w:t>
      </w:r>
      <w:r>
        <w:t>the operator</w:t>
      </w:r>
      <w:r w:rsidR="003C1141">
        <w:t xml:space="preserve"> must recover through infrastructure charges</w:t>
      </w:r>
      <w:r>
        <w:t>. The Final Advice accordingly provides that</w:t>
      </w:r>
      <w:r w:rsidR="003C1141">
        <w:t>, when approving or determining infrastructure charges,</w:t>
      </w:r>
      <w:r>
        <w:t xml:space="preserve"> such contributions should be deducted from the ‘prudent and efficient’ costs </w:t>
      </w:r>
      <w:r w:rsidR="004A54CD">
        <w:t>of providing the infrastructure services.</w:t>
      </w:r>
      <w:r>
        <w:t xml:space="preserve"> </w:t>
      </w:r>
    </w:p>
    <w:p w:rsidR="00120126" w:rsidRDefault="00785FD1" w:rsidP="00DB7D7B">
      <w:r>
        <w:t xml:space="preserve">As noted in the ‘Background’ section above, the ACCC’s </w:t>
      </w:r>
      <w:r w:rsidR="00BF06E1">
        <w:t>D</w:t>
      </w:r>
      <w:r>
        <w:t xml:space="preserve">raft </w:t>
      </w:r>
      <w:r w:rsidR="00BF06E1">
        <w:t>A</w:t>
      </w:r>
      <w:r>
        <w:t xml:space="preserve">dvice proposed amending rule 29 so that </w:t>
      </w:r>
      <w:r w:rsidR="00B31E60">
        <w:t xml:space="preserve">revenue </w:t>
      </w:r>
      <w:r w:rsidR="00003F1C">
        <w:t xml:space="preserve">from </w:t>
      </w:r>
      <w:r w:rsidR="00B31E60">
        <w:t xml:space="preserve">government contributions was clearly deducted from the prudent and efficient costs of providing infrastructure services in calculating infrastructure charges. Under this approach, revenue from other sources (besides government contributions or infrastructure charges) would </w:t>
      </w:r>
      <w:r w:rsidR="00120126">
        <w:t xml:space="preserve">not </w:t>
      </w:r>
      <w:r w:rsidR="00064153">
        <w:t xml:space="preserve">be </w:t>
      </w:r>
      <w:r w:rsidR="00120126">
        <w:t>taken into account</w:t>
      </w:r>
      <w:r w:rsidR="00064153">
        <w:t xml:space="preserve"> for the purposes of determining infrastructure charges. </w:t>
      </w:r>
      <w:r w:rsidR="00120126">
        <w:t xml:space="preserve">Examples of revenue </w:t>
      </w:r>
      <w:r w:rsidR="00F81FEE">
        <w:t xml:space="preserve">from other sources </w:t>
      </w:r>
      <w:r w:rsidR="00120126">
        <w:t>could include a related business of the operator providing consultancy</w:t>
      </w:r>
      <w:r w:rsidR="00180CC5">
        <w:t>,</w:t>
      </w:r>
      <w:r w:rsidR="00120126">
        <w:t xml:space="preserve"> or construction services</w:t>
      </w:r>
      <w:r w:rsidR="00180CC5" w:rsidRPr="00180CC5">
        <w:t xml:space="preserve"> </w:t>
      </w:r>
      <w:r w:rsidR="00180CC5">
        <w:t>using different resources and assets from those providing the water infrastructure services</w:t>
      </w:r>
      <w:r w:rsidR="00F81FEE">
        <w:t>. T</w:t>
      </w:r>
      <w:r w:rsidR="00003F1C">
        <w:t xml:space="preserve">his approach could also disregard </w:t>
      </w:r>
      <w:r w:rsidR="00120126">
        <w:t xml:space="preserve">revenue derived from the operator’s water service infrastructure, such as from generating hydroelectricity. The ACCC considers that such revenue should be </w:t>
      </w:r>
      <w:r w:rsidR="002C2CAB">
        <w:t>deducted from the prudent and efficient costs of providing infrastructure services when determining infrastructure charges</w:t>
      </w:r>
      <w:r w:rsidR="00DB7D7B">
        <w:t xml:space="preserve">, and this is reflected </w:t>
      </w:r>
      <w:r w:rsidR="00D6792D">
        <w:t xml:space="preserve">in </w:t>
      </w:r>
      <w:r w:rsidR="00F81FEE">
        <w:t>proposed amendments to</w:t>
      </w:r>
      <w:r w:rsidR="00DB7D7B">
        <w:t xml:space="preserve"> </w:t>
      </w:r>
      <w:r w:rsidR="00F81FEE">
        <w:t xml:space="preserve">rule 29 (factors that the ACCC must take into account when </w:t>
      </w:r>
      <w:r w:rsidR="00747402">
        <w:t>approving or determining charges</w:t>
      </w:r>
      <w:r w:rsidR="00F81FEE">
        <w:t>) and Schedule 1 (information to be included on an application)</w:t>
      </w:r>
      <w:r w:rsidR="00DB7D7B">
        <w:t xml:space="preserve">. </w:t>
      </w:r>
    </w:p>
    <w:p w:rsidR="0098647B" w:rsidRPr="00E21895" w:rsidRDefault="0098647B" w:rsidP="00D17F9C">
      <w:pPr>
        <w:pStyle w:val="Heading5"/>
      </w:pPr>
      <w:r>
        <w:t>Determination of the regulatory asset base (Schedule 2)</w:t>
      </w:r>
      <w:r w:rsidR="00785FD1">
        <w:t xml:space="preserve"> for SunWater </w:t>
      </w:r>
    </w:p>
    <w:p w:rsidR="00CB7019" w:rsidRDefault="00CB7019" w:rsidP="00CB7019">
      <w:r w:rsidRPr="00655C00">
        <w:t>SunWater was concerned about the valuation that could be applied to its RAB</w:t>
      </w:r>
      <w:r>
        <w:t xml:space="preserve"> in the event that it became a Part 6 operator, </w:t>
      </w:r>
      <w:r w:rsidRPr="00655C00">
        <w:t>given that its current regulator has not set a value on it</w:t>
      </w:r>
      <w:r>
        <w:t>s RAB.</w:t>
      </w:r>
      <w:r w:rsidRPr="00655C00">
        <w:t xml:space="preserve"> </w:t>
      </w:r>
    </w:p>
    <w:p w:rsidR="00CB7019" w:rsidRDefault="00CB7019" w:rsidP="00135446">
      <w:pPr>
        <w:spacing w:after="120"/>
      </w:pPr>
      <w:r>
        <w:t>The ACCC considers that the current rules provide a reasonable solution to this issue. Schedule 2 of the WCIR provides two alternatives for the derivation of the initial RAB of an operator for its first period under Par</w:t>
      </w:r>
      <w:r w:rsidR="007F3874">
        <w:t>t 6, depending on its situation. Subsection 1(a) of Schedule 2 provides that:</w:t>
      </w:r>
    </w:p>
    <w:p w:rsidR="00CB7019" w:rsidRPr="00F33AF9" w:rsidRDefault="007F3874" w:rsidP="00CE67EB">
      <w:pPr>
        <w:pStyle w:val="Quote"/>
        <w:rPr>
          <w:rStyle w:val="Emphasis"/>
          <w:i/>
          <w:iCs/>
        </w:rPr>
      </w:pPr>
      <w:r>
        <w:rPr>
          <w:rStyle w:val="Emphasis"/>
          <w:i/>
          <w:iCs/>
        </w:rPr>
        <w:t xml:space="preserve">[I]n the case of </w:t>
      </w:r>
      <w:r w:rsidR="00CB7019" w:rsidRPr="00F33AF9">
        <w:rPr>
          <w:rStyle w:val="Emphasis"/>
          <w:i/>
          <w:iCs/>
        </w:rPr>
        <w:t xml:space="preserve">an operator whose </w:t>
      </w:r>
      <w:r w:rsidR="005C55EB" w:rsidRPr="00F33AF9">
        <w:rPr>
          <w:rStyle w:val="Emphasis"/>
          <w:i/>
          <w:iCs/>
        </w:rPr>
        <w:t xml:space="preserve">fees and </w:t>
      </w:r>
      <w:r w:rsidR="00CB7019" w:rsidRPr="00F33AF9">
        <w:rPr>
          <w:rStyle w:val="Emphasis"/>
          <w:i/>
          <w:iCs/>
        </w:rPr>
        <w:t>charges were determined by an agency of a State under a law of the State</w:t>
      </w:r>
      <w:r w:rsidR="005C55EB" w:rsidRPr="00F33AF9">
        <w:rPr>
          <w:rStyle w:val="Emphasis"/>
          <w:i/>
          <w:iCs/>
        </w:rPr>
        <w:t xml:space="preserve">” in the preceding period, </w:t>
      </w:r>
      <w:r w:rsidR="00CB7019" w:rsidRPr="00F33AF9">
        <w:rPr>
          <w:rStyle w:val="Emphasis"/>
          <w:i/>
          <w:iCs/>
        </w:rPr>
        <w:t>its initial RAB would be based on the formula in which:</w:t>
      </w:r>
    </w:p>
    <w:p w:rsidR="00CB7019" w:rsidRPr="00F33AF9" w:rsidRDefault="00CB7019" w:rsidP="00CE67EB">
      <w:pPr>
        <w:pStyle w:val="Quote"/>
        <w:rPr>
          <w:rStyle w:val="Emphasis"/>
          <w:i/>
          <w:iCs/>
        </w:rPr>
      </w:pPr>
      <w:r w:rsidRPr="00F33AF9">
        <w:rPr>
          <w:rStyle w:val="Emphasis"/>
          <w:i/>
          <w:iCs/>
        </w:rPr>
        <w:t>A is the value of the operator’s assets that wer</w:t>
      </w:r>
      <w:r w:rsidR="007F3874">
        <w:rPr>
          <w:rStyle w:val="Emphasis"/>
          <w:i/>
          <w:iCs/>
        </w:rPr>
        <w:t xml:space="preserve">e used for the preceding period… </w:t>
      </w:r>
    </w:p>
    <w:p w:rsidR="00CB7019" w:rsidRDefault="006D1336" w:rsidP="00135446">
      <w:pPr>
        <w:spacing w:after="120"/>
      </w:pPr>
      <w:r>
        <w:t xml:space="preserve">Note that the ACCC interprets the phrase “that were used for the preceding period” as applying to ‘the operator’s assets’ – not to ‘the value’. </w:t>
      </w:r>
      <w:r w:rsidR="00CB7019">
        <w:t>This situation could apply to Sun</w:t>
      </w:r>
      <w:r w:rsidR="005C55EB">
        <w:t>W</w:t>
      </w:r>
      <w:r w:rsidR="00CB7019">
        <w:t>ater insofar as its irrigation charges have been previously determined by the QCA. Normally, where the previous regulator had determined a RAB, this same RAB should be used for A. However, in SunWater’s case, under the Minister’s direction, a RAB has not been previously determined</w:t>
      </w:r>
      <w:r>
        <w:t xml:space="preserve"> and the </w:t>
      </w:r>
      <w:r w:rsidR="00CB7019">
        <w:t xml:space="preserve">“value of the operator’s assets” </w:t>
      </w:r>
      <w:r>
        <w:t>w</w:t>
      </w:r>
      <w:r w:rsidR="00CB7019">
        <w:t xml:space="preserve">ould </w:t>
      </w:r>
      <w:r>
        <w:t xml:space="preserve">still need to </w:t>
      </w:r>
      <w:r w:rsidR="00CB7019">
        <w:t>be determined</w:t>
      </w:r>
      <w:r>
        <w:t>. Such a determination would necessarily be made by the regulator</w:t>
      </w:r>
      <w:r w:rsidR="00CB7019">
        <w:t xml:space="preserve"> by applying a recognised valuation method</w:t>
      </w:r>
      <w:r>
        <w:t xml:space="preserve">, </w:t>
      </w:r>
      <w:r w:rsidR="00CB7019">
        <w:t xml:space="preserve">as in </w:t>
      </w:r>
      <w:r w:rsidR="0096334C">
        <w:t>subsection 1</w:t>
      </w:r>
      <w:r w:rsidR="00CB7019">
        <w:t>(b)</w:t>
      </w:r>
      <w:r>
        <w:t xml:space="preserve"> of Schedule 2:</w:t>
      </w:r>
      <w:r w:rsidR="00CB7019">
        <w:t xml:space="preserve"> </w:t>
      </w:r>
    </w:p>
    <w:p w:rsidR="00CB7019" w:rsidRPr="00F33AF9" w:rsidRDefault="007F3874" w:rsidP="00CE67EB">
      <w:pPr>
        <w:pStyle w:val="Quote"/>
        <w:rPr>
          <w:rStyle w:val="Emphasis"/>
          <w:i/>
          <w:iCs/>
        </w:rPr>
      </w:pPr>
      <w:r>
        <w:rPr>
          <w:rStyle w:val="Emphasis"/>
          <w:i/>
          <w:iCs/>
        </w:rPr>
        <w:t>[I]</w:t>
      </w:r>
      <w:r w:rsidR="00256A15">
        <w:rPr>
          <w:rStyle w:val="Emphasis"/>
          <w:i/>
          <w:iCs/>
        </w:rPr>
        <w:t>n the case of</w:t>
      </w:r>
      <w:r w:rsidR="00256A15" w:rsidRPr="00F33AF9">
        <w:rPr>
          <w:rStyle w:val="Emphasis"/>
          <w:i/>
          <w:iCs/>
        </w:rPr>
        <w:t xml:space="preserve"> </w:t>
      </w:r>
      <w:r w:rsidR="005C55EB" w:rsidRPr="00F33AF9">
        <w:rPr>
          <w:rStyle w:val="Emphasis"/>
          <w:i/>
          <w:iCs/>
        </w:rPr>
        <w:t>any other Part 6 operator</w:t>
      </w:r>
      <w:r w:rsidR="00CB7019" w:rsidRPr="00F33AF9">
        <w:rPr>
          <w:rStyle w:val="Emphasis"/>
          <w:i/>
          <w:iCs/>
        </w:rPr>
        <w:t xml:space="preserve">, </w:t>
      </w:r>
      <w:r w:rsidR="00256A15" w:rsidRPr="00256A15">
        <w:rPr>
          <w:rStyle w:val="Emphasis"/>
          <w:iCs/>
        </w:rPr>
        <w:t>[</w:t>
      </w:r>
      <w:r w:rsidR="00CB7019" w:rsidRPr="00256A15">
        <w:rPr>
          <w:rStyle w:val="Emphasis"/>
          <w:iCs/>
        </w:rPr>
        <w:t>its initial RAB</w:t>
      </w:r>
      <w:r w:rsidR="00256A15" w:rsidRPr="00256A15">
        <w:rPr>
          <w:rStyle w:val="Emphasis"/>
          <w:iCs/>
        </w:rPr>
        <w:t>]</w:t>
      </w:r>
      <w:r w:rsidR="00256A15">
        <w:rPr>
          <w:rStyle w:val="Emphasis"/>
          <w:i/>
          <w:iCs/>
        </w:rPr>
        <w:t xml:space="preserve"> is to be </w:t>
      </w:r>
      <w:r w:rsidR="00CB7019" w:rsidRPr="00F33AF9">
        <w:rPr>
          <w:rStyle w:val="Emphasis"/>
          <w:i/>
          <w:iCs/>
        </w:rPr>
        <w:t>determined by applying a recognised valuation methodology.</w:t>
      </w:r>
    </w:p>
    <w:p w:rsidR="00CB7019" w:rsidRDefault="00CB7019" w:rsidP="00CB7019">
      <w:r>
        <w:t>In either case, SunWater’s opening RAB would not be zero but</w:t>
      </w:r>
      <w:r w:rsidR="00371AEE">
        <w:t xml:space="preserve"> would</w:t>
      </w:r>
      <w:r>
        <w:t xml:space="preserve"> be determined by applying a recognised valuation methodology.</w:t>
      </w:r>
      <w:r w:rsidR="00180CC5">
        <w:rPr>
          <w:rStyle w:val="FootnoteReference"/>
        </w:rPr>
        <w:footnoteReference w:id="421"/>
      </w:r>
      <w:r>
        <w:t xml:space="preserve"> Therefore, the ACCC considers that the current rules provide a satisfactory approach to the valuation and there is no need to amend them.</w:t>
      </w:r>
    </w:p>
    <w:p w:rsidR="00CB7019" w:rsidRPr="00867363" w:rsidRDefault="00846C42" w:rsidP="00D17F9C">
      <w:pPr>
        <w:pStyle w:val="Heading5"/>
      </w:pPr>
      <w:r>
        <w:t>Prudency and e</w:t>
      </w:r>
      <w:r w:rsidR="00CB7019" w:rsidRPr="00867363">
        <w:t>fficiency of past capital expenditure</w:t>
      </w:r>
    </w:p>
    <w:p w:rsidR="00CB7019" w:rsidRDefault="00A52AF4" w:rsidP="00CB7019">
      <w:r>
        <w:t>Subr</w:t>
      </w:r>
      <w:r w:rsidR="00CB7019">
        <w:t>ule 29(2)(a) states that the RAB used to calculate an operator’s charges should be determined in accordance with Schedule 2, which refers to “actual capital expenditure on assets used by the operator… in respect of each year of the preceding period”. This appears to preclude the regulator from excluding from the RAB any part of actual historic capex that it considered not prudent and efficient.</w:t>
      </w:r>
    </w:p>
    <w:p w:rsidR="00CB7019" w:rsidRDefault="00CB7019" w:rsidP="00CB7019">
      <w:r>
        <w:t xml:space="preserve">Ex-post reviews of capex for this purpose are conducted by IPART under its NSW regulatory framework, and by the </w:t>
      </w:r>
      <w:r w:rsidR="001634AD">
        <w:t>Australian Energy Regulator (</w:t>
      </w:r>
      <w:r>
        <w:t>AER</w:t>
      </w:r>
      <w:r w:rsidR="001634AD">
        <w:t>)</w:t>
      </w:r>
      <w:r>
        <w:t xml:space="preserve"> in energy price regulation.</w:t>
      </w:r>
      <w:r w:rsidR="00C6733C">
        <w:t xml:space="preserve"> </w:t>
      </w:r>
    </w:p>
    <w:p w:rsidR="00CB7019" w:rsidRDefault="00CB7019" w:rsidP="00CB7019">
      <w:r>
        <w:t xml:space="preserve">The ACCC considers that such ex-post reviews may prevent inefficient investments, or overinvestments, being passed through to customers. Without review it is possible that the operator may over-spend by incurring capex that would not have been approved as efficient if considered by the regulator at the initial determination, and </w:t>
      </w:r>
      <w:r w:rsidR="006D1336">
        <w:t xml:space="preserve">that this capex would automatically </w:t>
      </w:r>
      <w:r>
        <w:t xml:space="preserve">roll into the RAB at the start of the next </w:t>
      </w:r>
      <w:r w:rsidR="006D1336">
        <w:t xml:space="preserve">regulatory </w:t>
      </w:r>
      <w:r>
        <w:t>period.</w:t>
      </w:r>
      <w:r w:rsidR="00C6733C">
        <w:t xml:space="preserve"> </w:t>
      </w:r>
      <w:r>
        <w:t>Users will then pay charges that incorporate the capital costs for inefficient investments for the remainder of the asset</w:t>
      </w:r>
      <w:r w:rsidR="006D1336">
        <w:t>’s</w:t>
      </w:r>
      <w:r>
        <w:t xml:space="preserve"> life.</w:t>
      </w:r>
    </w:p>
    <w:p w:rsidR="00CB7019" w:rsidRDefault="00CB7019" w:rsidP="00CB7019">
      <w:r>
        <w:t>An ex</w:t>
      </w:r>
      <w:r w:rsidR="006D1336">
        <w:t>-</w:t>
      </w:r>
      <w:r>
        <w:t xml:space="preserve">post review would be in accordance with the basic </w:t>
      </w:r>
      <w:r w:rsidR="000648C8">
        <w:t>National Water Initiative (</w:t>
      </w:r>
      <w:r>
        <w:t>NWI</w:t>
      </w:r>
      <w:r w:rsidR="000648C8">
        <w:t>)</w:t>
      </w:r>
      <w:r>
        <w:t xml:space="preserve"> pricing principle that charges should reflect efficient costs. It would allow inefficient capex to be </w:t>
      </w:r>
      <w:r w:rsidR="006D1336">
        <w:t xml:space="preserve">excluded </w:t>
      </w:r>
      <w:r>
        <w:t xml:space="preserve">from the RAB and hence not </w:t>
      </w:r>
      <w:r w:rsidR="006D1336">
        <w:t>inflate</w:t>
      </w:r>
      <w:r>
        <w:t xml:space="preserve"> future charges. This would apply the same principle to historic capex as the regulator applies when assessing the efficiency of forecast capex.</w:t>
      </w:r>
    </w:p>
    <w:p w:rsidR="00CB7019" w:rsidRDefault="00CB7019" w:rsidP="00CB7019">
      <w:r>
        <w:t>Schedule 1 of the WCIR already requires the operator</w:t>
      </w:r>
      <w:r w:rsidR="006D1336">
        <w:t>, when making an application for an approval / determination under Part 6,</w:t>
      </w:r>
      <w:r>
        <w:t xml:space="preserve"> to provide information on capex in the last period</w:t>
      </w:r>
      <w:r w:rsidR="006D1336">
        <w:t>. This includes</w:t>
      </w:r>
      <w:r>
        <w:t xml:space="preserve"> the outcomes of the projects, their justification, and evidence that they were prudent and efficient (para</w:t>
      </w:r>
      <w:r w:rsidR="00D731B3">
        <w:t>graph</w:t>
      </w:r>
      <w:r>
        <w:t xml:space="preserve"> 8(a)). Currently this information is used to assist in assessing future capex needs by showing details of actual base level capex and indicating the operator’s past record in implementing approved capex projects. However, the information could also be used to assess the efficiency of the past capex without needing additional information.</w:t>
      </w:r>
      <w:r w:rsidR="0008289F">
        <w:t xml:space="preserve"> </w:t>
      </w:r>
    </w:p>
    <w:p w:rsidR="006C3A9A" w:rsidRDefault="006C3A9A" w:rsidP="0016560E">
      <w:r>
        <w:t xml:space="preserve">Any review of </w:t>
      </w:r>
      <w:r w:rsidR="00CB7019">
        <w:t>past capex should not require a detailed reconsideration of all capex items, as actual capex on projects that had been previously approved would automatically be accepted</w:t>
      </w:r>
      <w:r w:rsidR="0016560E">
        <w:t xml:space="preserve"> (up to the amount approved)</w:t>
      </w:r>
      <w:r w:rsidR="00CB7019">
        <w:t xml:space="preserve">. Rather, </w:t>
      </w:r>
      <w:r>
        <w:t xml:space="preserve">the regulator should be given the discretion to </w:t>
      </w:r>
      <w:r w:rsidR="00CB7019">
        <w:t xml:space="preserve">review </w:t>
      </w:r>
      <w:r>
        <w:t xml:space="preserve">past capex. </w:t>
      </w:r>
    </w:p>
    <w:p w:rsidR="00161448" w:rsidRDefault="00CB7019" w:rsidP="00135446">
      <w:pPr>
        <w:spacing w:after="120"/>
      </w:pPr>
      <w:r w:rsidRPr="00524C65">
        <w:t>Therefore</w:t>
      </w:r>
      <w:r w:rsidR="00371AEE">
        <w:t>,</w:t>
      </w:r>
      <w:r w:rsidRPr="00524C65">
        <w:t xml:space="preserve"> the ACCC’s Final Advice is that Schedule 2 of the rules should be amended to provide that </w:t>
      </w:r>
      <w:r w:rsidRPr="00524C65">
        <w:rPr>
          <w:i/>
        </w:rPr>
        <w:t>actual</w:t>
      </w:r>
      <w:r w:rsidRPr="00524C65">
        <w:t xml:space="preserve"> capex</w:t>
      </w:r>
      <w:r w:rsidR="0016560E">
        <w:t xml:space="preserve"> in relation to</w:t>
      </w:r>
      <w:r w:rsidR="00161448">
        <w:t>:</w:t>
      </w:r>
    </w:p>
    <w:p w:rsidR="0016560E" w:rsidRDefault="0016560E" w:rsidP="00F43856">
      <w:pPr>
        <w:pStyle w:val="Lvl1Bulletpoint"/>
        <w:numPr>
          <w:ilvl w:val="0"/>
          <w:numId w:val="93"/>
        </w:numPr>
      </w:pPr>
      <w:r>
        <w:t xml:space="preserve">a major project not previously approved; or </w:t>
      </w:r>
    </w:p>
    <w:p w:rsidR="0016560E" w:rsidRDefault="0016560E" w:rsidP="00F43856">
      <w:pPr>
        <w:pStyle w:val="Lvl1Bulletpoint"/>
        <w:numPr>
          <w:ilvl w:val="0"/>
          <w:numId w:val="93"/>
        </w:numPr>
      </w:pPr>
      <w:r>
        <w:t xml:space="preserve">a project whose scope as undertaken materially differed from what was approved; or </w:t>
      </w:r>
    </w:p>
    <w:p w:rsidR="0016560E" w:rsidRDefault="0016560E" w:rsidP="00F43856">
      <w:pPr>
        <w:pStyle w:val="Lvl1Bulletpoint"/>
        <w:numPr>
          <w:ilvl w:val="0"/>
          <w:numId w:val="93"/>
        </w:numPr>
      </w:pPr>
      <w:r>
        <w:t>a project on which expenditure materially exceeded the amount previously approved</w:t>
      </w:r>
    </w:p>
    <w:p w:rsidR="00061C7E" w:rsidRDefault="0016560E" w:rsidP="00161448">
      <w:r w:rsidDel="0016560E">
        <w:t xml:space="preserve"> </w:t>
      </w:r>
      <w:r w:rsidR="00161448">
        <w:t xml:space="preserve">may not be rolled into </w:t>
      </w:r>
      <w:r w:rsidR="00CB7019" w:rsidRPr="00524C65">
        <w:t xml:space="preserve">the RAB </w:t>
      </w:r>
      <w:r w:rsidR="00161448">
        <w:t xml:space="preserve">if the ACCC </w:t>
      </w:r>
      <w:r w:rsidR="006C3A9A" w:rsidRPr="00524C65">
        <w:t xml:space="preserve">is </w:t>
      </w:r>
      <w:r w:rsidR="00161448">
        <w:t xml:space="preserve">not </w:t>
      </w:r>
      <w:r w:rsidR="006C3A9A" w:rsidRPr="00524C65">
        <w:t xml:space="preserve">satisfied that </w:t>
      </w:r>
      <w:r w:rsidR="00161448">
        <w:t xml:space="preserve">the capex </w:t>
      </w:r>
      <w:r w:rsidR="006C3A9A" w:rsidRPr="00524C65">
        <w:t>was</w:t>
      </w:r>
      <w:r w:rsidR="00CB7019" w:rsidRPr="00524C65">
        <w:t xml:space="preserve"> prudent and efficient.</w:t>
      </w:r>
      <w:r w:rsidR="00E77598">
        <w:t xml:space="preserve"> </w:t>
      </w:r>
    </w:p>
    <w:p w:rsidR="0016560E" w:rsidRDefault="0016560E" w:rsidP="00CB7019">
      <w:r w:rsidRPr="00135446">
        <w:t>A capital expenditure project should be taken to have been approved to the extent that the scope of</w:t>
      </w:r>
      <w:r w:rsidR="007B6577" w:rsidRPr="00135446">
        <w:t>,</w:t>
      </w:r>
      <w:r w:rsidRPr="00135446">
        <w:t xml:space="preserve"> and expenditure on</w:t>
      </w:r>
      <w:r w:rsidR="007B6577" w:rsidRPr="00135446">
        <w:t>,</w:t>
      </w:r>
      <w:r w:rsidRPr="00135446">
        <w:t xml:space="preserve"> </w:t>
      </w:r>
      <w:r w:rsidR="00C0496F" w:rsidRPr="00135446">
        <w:t xml:space="preserve">a </w:t>
      </w:r>
      <w:r w:rsidRPr="00135446">
        <w:t xml:space="preserve">project </w:t>
      </w:r>
      <w:r w:rsidR="00C0496F" w:rsidRPr="00135446">
        <w:t xml:space="preserve">proposed by the operator </w:t>
      </w:r>
      <w:r w:rsidRPr="00135446">
        <w:t>was accepted by the regulator in forecasting an amount of capital expenditure to be used in the approval or determination of infrastructure charges</w:t>
      </w:r>
      <w:r>
        <w:rPr>
          <w:color w:val="FF0000"/>
        </w:rPr>
        <w:t>.</w:t>
      </w:r>
      <w:r w:rsidR="00C0496F">
        <w:rPr>
          <w:color w:val="FF0000"/>
        </w:rPr>
        <w:t xml:space="preserve"> </w:t>
      </w:r>
    </w:p>
    <w:p w:rsidR="00512312" w:rsidRDefault="00512312" w:rsidP="00CB7019">
      <w:r>
        <w:t xml:space="preserve">Further, to assist the ACCC in assessing the prudency and efficiency of past capex, Schedule 1 should also be augmented to require a Part 6 operator to set out details of any differences between their actual / forecast capex for the current period and the capex approved by the regulator for that period (in terms of both the amount </w:t>
      </w:r>
      <w:r w:rsidR="00E77598">
        <w:t xml:space="preserve">of capex </w:t>
      </w:r>
      <w:r>
        <w:t>and the selection / scope of projects undertaken).</w:t>
      </w:r>
      <w:r w:rsidR="00E77598" w:rsidRPr="00E77598">
        <w:t xml:space="preserve"> </w:t>
      </w:r>
      <w:r w:rsidR="00E77598">
        <w:t xml:space="preserve">The ACCC notes, however, that the current wording of Schedule 1 refers to actual expenditures and revenue. However, a Part 6 operator’s application for an upcoming regulatory period is likely to be made a considerable amount of time before the end of the current regulatory period, and actual figures </w:t>
      </w:r>
      <w:r w:rsidR="00D6626E">
        <w:t>will</w:t>
      </w:r>
      <w:r w:rsidR="00E77598">
        <w:t xml:space="preserve"> not be available</w:t>
      </w:r>
      <w:r w:rsidR="00253CD0">
        <w:t xml:space="preserve"> for the latter part of the period</w:t>
      </w:r>
      <w:r w:rsidR="00E77598">
        <w:t>. The ACCC proposes Schedule 1 include a provision to make it clear that where actual figures are unavailable, an operator must provide forecast figures.</w:t>
      </w:r>
    </w:p>
    <w:p w:rsidR="0022735A" w:rsidRPr="00867363" w:rsidRDefault="0022735A" w:rsidP="00D17F9C">
      <w:pPr>
        <w:pStyle w:val="Heading5"/>
      </w:pPr>
      <w:r w:rsidRPr="00867363">
        <w:t>Consistency with</w:t>
      </w:r>
      <w:r w:rsidR="00020DF3">
        <w:t xml:space="preserve"> other parts of the</w:t>
      </w:r>
      <w:r w:rsidRPr="00867363">
        <w:t xml:space="preserve"> water charge rules</w:t>
      </w:r>
    </w:p>
    <w:p w:rsidR="0022735A" w:rsidRDefault="0022735A" w:rsidP="0022735A">
      <w:r>
        <w:t xml:space="preserve">The ACCC maintains its view that the principle of consistency </w:t>
      </w:r>
      <w:r w:rsidR="00B85F90">
        <w:t xml:space="preserve">with the broader requirements in the water charge rules </w:t>
      </w:r>
      <w:r>
        <w:t xml:space="preserve">is a logical one which should be applied to charges for any Part 6 operator, whether in price approvals / determinations in Division 2 (rule 29) or annual reviews in Division 3 (rule 37). </w:t>
      </w:r>
    </w:p>
    <w:p w:rsidR="00B85F90" w:rsidRDefault="00B85F90" w:rsidP="00B85F90">
      <w:pPr>
        <w:rPr>
          <w:rFonts w:cs="Times New Roman"/>
        </w:rPr>
      </w:pPr>
      <w:r>
        <w:rPr>
          <w:rFonts w:cs="Times New Roman"/>
        </w:rPr>
        <w:t xml:space="preserve">The ACCC acknowledged in its Draft Advice that Part 6 does not currently explicitly require the regulator to ensure that infrastructure charges it approves or determines are consistent with the </w:t>
      </w:r>
      <w:r w:rsidR="00256A15">
        <w:rPr>
          <w:rFonts w:cs="Times New Roman"/>
        </w:rPr>
        <w:t xml:space="preserve">other provisions of the </w:t>
      </w:r>
      <w:r>
        <w:rPr>
          <w:rFonts w:cs="Times New Roman"/>
        </w:rPr>
        <w:t>water charge rules. This is partially because under the current rule Part 3 (non-discrimination against customers based on whether they hold an irrigation right) only applies to member-owned operators, which under the current rules cannot be Part 6 operators. Also, other requirements in the rules are placed on infrastructure operators rather than on the regulator directly.</w:t>
      </w:r>
    </w:p>
    <w:p w:rsidR="00B85F90" w:rsidRDefault="00B85F90" w:rsidP="00B85F90">
      <w:pPr>
        <w:spacing w:before="240"/>
        <w:rPr>
          <w:rFonts w:cs="Times New Roman"/>
        </w:rPr>
      </w:pPr>
      <w:r>
        <w:rPr>
          <w:rFonts w:cs="Times New Roman"/>
        </w:rPr>
        <w:t xml:space="preserve">The ACCC considers that it is incumbent on the regulator not to approve or determine charges that are inconsistent with </w:t>
      </w:r>
      <w:r w:rsidR="00256A15">
        <w:rPr>
          <w:rFonts w:cs="Times New Roman"/>
        </w:rPr>
        <w:t xml:space="preserve">other provisions of </w:t>
      </w:r>
      <w:r>
        <w:rPr>
          <w:rFonts w:cs="Times New Roman"/>
        </w:rPr>
        <w:t xml:space="preserve">the rules, despite the fact that the prohibitions in the rules are generally directed at the operator rather than the regulator. This is particularly the case given the proposed changes to apply Part 3 of the rules to all infrastructure operators (including Part 6 operators). While Part 6 operators should not include infrastructure charges that are inconsistent with the rules in their applications to the regulator, the regulator should also be satisfied that the charges it approves or determines are consistent with </w:t>
      </w:r>
      <w:r w:rsidR="00256A15">
        <w:rPr>
          <w:rFonts w:cs="Times New Roman"/>
        </w:rPr>
        <w:t xml:space="preserve">other provisions of </w:t>
      </w:r>
      <w:r>
        <w:rPr>
          <w:rFonts w:cs="Times New Roman"/>
        </w:rPr>
        <w:t>the rules.</w:t>
      </w:r>
    </w:p>
    <w:p w:rsidR="00B85F90" w:rsidRDefault="00B85F90" w:rsidP="00B85F90">
      <w:pPr>
        <w:spacing w:before="240"/>
        <w:rPr>
          <w:rFonts w:cs="Times New Roman"/>
        </w:rPr>
      </w:pPr>
      <w:r>
        <w:rPr>
          <w:rFonts w:cs="Times New Roman"/>
        </w:rPr>
        <w:t xml:space="preserve">As such, the ACCC maintains its view from the Draft Advice that the decision criteria in rule 29 (for an initial determination or review) and rule 37 (for annual reviews of infrastructure charges) should be amended to expressly require the regulator to consider the consistency of the infrastructure charges being approved or determined with the other requirements of the water charge rules. </w:t>
      </w:r>
    </w:p>
    <w:p w:rsidR="00B85F90" w:rsidRDefault="00B85F90" w:rsidP="00B85F90">
      <w:pPr>
        <w:spacing w:before="240"/>
        <w:rPr>
          <w:rFonts w:cs="Times New Roman"/>
        </w:rPr>
      </w:pPr>
      <w:r>
        <w:rPr>
          <w:rFonts w:cs="Times New Roman"/>
        </w:rPr>
        <w:t>The ACCC notes that—in relation to rule 37 (for annual reviews of infrastructure charges)—any variations to the charges of the original decision will also need to be made taking into account price stability and the relatively short period available for such reviews. As such, full consistency between the infrastructure charges and the other water charge rules may not occur until after the end of the regulatory period underway at the time any such amendments to the water charge rules commence. Nevertheless, there would be an expectation that any variation of charges under rule 37 should, at a minimum, not result in the operator’s infrastructure charges being any less consistent with the other requirements of the water charge rules.</w:t>
      </w:r>
    </w:p>
    <w:p w:rsidR="00B85F90" w:rsidRDefault="002C129A" w:rsidP="00B85F90">
      <w:r>
        <w:t>U</w:t>
      </w:r>
      <w:r w:rsidR="00C413B0">
        <w:t>nder the proposed amendments, a</w:t>
      </w:r>
      <w:r w:rsidR="00B85F90">
        <w:t xml:space="preserve"> regulator </w:t>
      </w:r>
      <w:r w:rsidR="00C413B0">
        <w:t>would be</w:t>
      </w:r>
      <w:r w:rsidR="00B85F90">
        <w:t xml:space="preserve"> </w:t>
      </w:r>
      <w:r w:rsidR="00C413B0">
        <w:t xml:space="preserve">permitted to vary </w:t>
      </w:r>
      <w:r w:rsidR="00B85F90">
        <w:t xml:space="preserve">charges in the light of consistency with other requirements of water charge rules. </w:t>
      </w:r>
      <w:r w:rsidR="00C413B0">
        <w:t>However, t</w:t>
      </w:r>
      <w:r w:rsidR="00B85F90">
        <w:t xml:space="preserve">he regulator only has to have regard to consistency and may vary the charges to the extent that it is reasonably necessary, but is not </w:t>
      </w:r>
      <w:r w:rsidR="00C413B0">
        <w:t>required to ensure full compliance with other water charge rules provisions immediately.</w:t>
      </w:r>
      <w:r w:rsidR="00B85F90">
        <w:t xml:space="preserve"> Note also that operators themselves may propose variations to their charges on the grounds of consistency with the rules, for consideration as part of an annual review. </w:t>
      </w:r>
    </w:p>
    <w:p w:rsidR="00C413B0" w:rsidRDefault="00C413B0" w:rsidP="00C413B0">
      <w:pPr>
        <w:spacing w:before="240"/>
        <w:rPr>
          <w:rFonts w:cs="Times New Roman"/>
        </w:rPr>
      </w:pPr>
      <w:r>
        <w:rPr>
          <w:rFonts w:cs="Times New Roman"/>
        </w:rPr>
        <w:t xml:space="preserve">The ACCC recognises that, if the proposed amendments to the rules are made, the situation may arise where it is not possible for charges previously determined by the regulator to be fully consistent with amended rule requirements outside of Part 6. In these cases, the regulator should seek to ensure that charges it approves or determines—including through the annual review process—are consistent as far as possible with </w:t>
      </w:r>
      <w:r w:rsidR="00256A15">
        <w:rPr>
          <w:rFonts w:cs="Times New Roman"/>
        </w:rPr>
        <w:t xml:space="preserve">other provisions of </w:t>
      </w:r>
      <w:r>
        <w:rPr>
          <w:rFonts w:cs="Times New Roman"/>
        </w:rPr>
        <w:t>the amended water charge rules.</w:t>
      </w:r>
    </w:p>
    <w:p w:rsidR="00B85F90" w:rsidRPr="00B85F90" w:rsidRDefault="008A2CEF" w:rsidP="008A2CEF">
      <w:r w:rsidRPr="00922AE0">
        <w:t xml:space="preserve">The ACCC notes GMW’s concerns about the potential for the annual review process to vary charges to account for actual capex figures. </w:t>
      </w:r>
      <w:r w:rsidR="00475EA2">
        <w:t>The ACCC considers that this will not occur as there is no provision in either the current or proposed water charge rules for the annual review process to adjust revenue requirements to account for actual capex figures. The Final Advice</w:t>
      </w:r>
      <w:r w:rsidR="00475EA2" w:rsidRPr="00922AE0">
        <w:t xml:space="preserve"> </w:t>
      </w:r>
      <w:r w:rsidR="00B85F90" w:rsidRPr="00922AE0">
        <w:t>on amendments to rules 2</w:t>
      </w:r>
      <w:r w:rsidR="00371AEE" w:rsidRPr="00922AE0">
        <w:t>9</w:t>
      </w:r>
      <w:r w:rsidR="00B85F90" w:rsidRPr="00922AE0">
        <w:t xml:space="preserve"> and 37 </w:t>
      </w:r>
      <w:r w:rsidR="00922AE0" w:rsidRPr="00922AE0">
        <w:t xml:space="preserve">to promote </w:t>
      </w:r>
      <w:r w:rsidR="00B85F90" w:rsidRPr="00922AE0">
        <w:t>consistency with the water charge rules</w:t>
      </w:r>
      <w:r w:rsidR="004E50C3" w:rsidRPr="00922AE0">
        <w:t xml:space="preserve"> </w:t>
      </w:r>
      <w:r w:rsidR="00922AE0" w:rsidRPr="00922AE0">
        <w:t>as a whole remains</w:t>
      </w:r>
      <w:r w:rsidR="00B85F90" w:rsidRPr="00922AE0">
        <w:t xml:space="preserve"> the same as </w:t>
      </w:r>
      <w:r w:rsidR="00922AE0" w:rsidRPr="00922AE0">
        <w:t xml:space="preserve">in </w:t>
      </w:r>
      <w:r w:rsidR="00B85F90" w:rsidRPr="00922AE0">
        <w:t>the Draft Advice.</w:t>
      </w:r>
    </w:p>
    <w:p w:rsidR="00061C7E" w:rsidRPr="00D714FC" w:rsidRDefault="00061C7E" w:rsidP="00616672">
      <w:pPr>
        <w:pStyle w:val="Heading3"/>
      </w:pPr>
      <w:bookmarkStart w:id="874" w:name="_Ref435178508"/>
      <w:bookmarkStart w:id="875" w:name="_Toc436122304"/>
      <w:bookmarkStart w:id="876" w:name="_Toc436122799"/>
      <w:bookmarkStart w:id="877" w:name="_Toc436124154"/>
      <w:bookmarkStart w:id="878" w:name="_Toc456785810"/>
      <w:bookmarkStart w:id="879" w:name="_Toc461630721"/>
      <w:r w:rsidRPr="00D714FC">
        <w:t>Annual review of regulated charges</w:t>
      </w:r>
      <w:bookmarkEnd w:id="874"/>
      <w:bookmarkEnd w:id="875"/>
      <w:bookmarkEnd w:id="876"/>
      <w:bookmarkEnd w:id="877"/>
      <w:bookmarkEnd w:id="878"/>
      <w:bookmarkEnd w:id="879"/>
      <w:r w:rsidRPr="00D714FC">
        <w:tab/>
      </w:r>
    </w:p>
    <w:p w:rsidR="006246A8" w:rsidRPr="006246A8" w:rsidRDefault="006246A8" w:rsidP="006246A8">
      <w:pPr>
        <w:pStyle w:val="Heading4"/>
      </w:pPr>
      <w:r>
        <w:t>Background</w:t>
      </w:r>
    </w:p>
    <w:p w:rsidR="00061C7E" w:rsidRPr="00D714FC" w:rsidRDefault="00061C7E" w:rsidP="00061C7E">
      <w:pPr>
        <w:rPr>
          <w:rFonts w:cs="Times New Roman"/>
        </w:rPr>
      </w:pPr>
      <w:r w:rsidRPr="00D714FC">
        <w:rPr>
          <w:rFonts w:cs="Times New Roman"/>
        </w:rPr>
        <w:t xml:space="preserve">Under Part 6 of the </w:t>
      </w:r>
      <w:r w:rsidR="00E623B1" w:rsidRPr="0067271D">
        <w:rPr>
          <w:rFonts w:cs="Times New Roman"/>
        </w:rPr>
        <w:t>Water Charge (Infrastructure) Rules 2010</w:t>
      </w:r>
      <w:r w:rsidR="00E623B1">
        <w:rPr>
          <w:rFonts w:cs="Times New Roman"/>
        </w:rPr>
        <w:t xml:space="preserve"> (</w:t>
      </w:r>
      <w:r w:rsidRPr="00D714FC">
        <w:rPr>
          <w:rFonts w:cs="Times New Roman"/>
        </w:rPr>
        <w:t>WCIR</w:t>
      </w:r>
      <w:r w:rsidR="00E623B1">
        <w:rPr>
          <w:rFonts w:cs="Times New Roman"/>
        </w:rPr>
        <w:t>)</w:t>
      </w:r>
      <w:r w:rsidRPr="00D714FC">
        <w:rPr>
          <w:rFonts w:cs="Times New Roman"/>
        </w:rPr>
        <w:t xml:space="preserve">, the ACCC, or an accredited regulator, sets the regulated charges for Part 6 operators for the first year of the regulatory period and </w:t>
      </w:r>
      <w:r w:rsidR="00317AD0">
        <w:rPr>
          <w:rFonts w:cs="Times New Roman"/>
        </w:rPr>
        <w:t xml:space="preserve">regulated charges (or a </w:t>
      </w:r>
      <w:r w:rsidRPr="00D714FC">
        <w:rPr>
          <w:rFonts w:cs="Times New Roman"/>
        </w:rPr>
        <w:t>methodology for setting regulated charges</w:t>
      </w:r>
      <w:r w:rsidR="00317AD0">
        <w:rPr>
          <w:rFonts w:cs="Times New Roman"/>
        </w:rPr>
        <w:t>)</w:t>
      </w:r>
      <w:r w:rsidRPr="00D714FC">
        <w:rPr>
          <w:rFonts w:cs="Times New Roman"/>
        </w:rPr>
        <w:t xml:space="preserve"> for the remaining years of the regulatory period.</w:t>
      </w:r>
    </w:p>
    <w:p w:rsidR="00061C7E" w:rsidRPr="00D714FC" w:rsidRDefault="00061C7E" w:rsidP="00061C7E">
      <w:pPr>
        <w:rPr>
          <w:rFonts w:cs="Times New Roman"/>
        </w:rPr>
      </w:pPr>
      <w:r w:rsidRPr="00D714FC">
        <w:rPr>
          <w:rFonts w:cs="Times New Roman"/>
        </w:rPr>
        <w:t xml:space="preserve">The Part 6 operator must apply to the regulator for approval or determination of its </w:t>
      </w:r>
      <w:r>
        <w:rPr>
          <w:rFonts w:cs="Times New Roman"/>
        </w:rPr>
        <w:t>infrast</w:t>
      </w:r>
      <w:r w:rsidR="00E27323">
        <w:rPr>
          <w:rFonts w:cs="Times New Roman"/>
        </w:rPr>
        <w:t>r</w:t>
      </w:r>
      <w:r>
        <w:rPr>
          <w:rFonts w:cs="Times New Roman"/>
        </w:rPr>
        <w:t>ucture</w:t>
      </w:r>
      <w:r w:rsidRPr="00D714FC">
        <w:rPr>
          <w:rFonts w:cs="Times New Roman"/>
        </w:rPr>
        <w:t xml:space="preserve"> charges in each year subsequent to the initial year of the regulatory period (an ‘annual review’). In its application, the operator must include </w:t>
      </w:r>
      <w:r w:rsidR="00DB5D37">
        <w:rPr>
          <w:rFonts w:cs="Times New Roman"/>
        </w:rPr>
        <w:t xml:space="preserve">an estimate of demand for, or consumption of, infrastructure charges during the current year, as well as its forecast of </w:t>
      </w:r>
      <w:r w:rsidRPr="00D714FC">
        <w:rPr>
          <w:rFonts w:cs="Times New Roman"/>
        </w:rPr>
        <w:t>demand</w:t>
      </w:r>
      <w:r>
        <w:rPr>
          <w:rFonts w:cs="Times New Roman"/>
        </w:rPr>
        <w:t xml:space="preserve"> </w:t>
      </w:r>
      <w:r w:rsidR="00DB5D37">
        <w:rPr>
          <w:rFonts w:cs="Times New Roman"/>
        </w:rPr>
        <w:t xml:space="preserve">for, or consumption of, infrastructure charges </w:t>
      </w:r>
      <w:r w:rsidRPr="00D714FC">
        <w:rPr>
          <w:rFonts w:cs="Times New Roman"/>
        </w:rPr>
        <w:t>for the forthcoming regulatory year</w:t>
      </w:r>
      <w:r w:rsidR="00976C42">
        <w:rPr>
          <w:rFonts w:cs="Times New Roman"/>
        </w:rPr>
        <w:t xml:space="preserve">. The operator must also include its </w:t>
      </w:r>
      <w:r w:rsidRPr="00D714FC">
        <w:rPr>
          <w:rFonts w:cs="Times New Roman"/>
        </w:rPr>
        <w:t xml:space="preserve">proposed </w:t>
      </w:r>
      <w:r>
        <w:rPr>
          <w:rFonts w:cs="Times New Roman"/>
        </w:rPr>
        <w:t>infrastructure</w:t>
      </w:r>
      <w:r w:rsidRPr="00D714FC">
        <w:rPr>
          <w:rFonts w:cs="Times New Roman"/>
        </w:rPr>
        <w:t xml:space="preserve"> charges </w:t>
      </w:r>
      <w:r w:rsidR="00976C42">
        <w:rPr>
          <w:rFonts w:cs="Times New Roman"/>
        </w:rPr>
        <w:t xml:space="preserve">for the forthcoming </w:t>
      </w:r>
      <w:r w:rsidRPr="00D714FC">
        <w:rPr>
          <w:rFonts w:cs="Times New Roman"/>
        </w:rPr>
        <w:t xml:space="preserve">year. </w:t>
      </w:r>
    </w:p>
    <w:p w:rsidR="00061C7E" w:rsidRPr="00D714FC" w:rsidRDefault="00061C7E" w:rsidP="00061C7E">
      <w:pPr>
        <w:rPr>
          <w:rFonts w:cs="Times New Roman"/>
        </w:rPr>
      </w:pPr>
      <w:r w:rsidRPr="00D714FC">
        <w:rPr>
          <w:rFonts w:cs="Times New Roman"/>
        </w:rPr>
        <w:t xml:space="preserve">At that review, the regulator must </w:t>
      </w:r>
      <w:r w:rsidR="00317AD0">
        <w:rPr>
          <w:rFonts w:cs="Times New Roman"/>
        </w:rPr>
        <w:t>decide whether to vary the</w:t>
      </w:r>
      <w:r w:rsidRPr="00D714FC">
        <w:rPr>
          <w:rFonts w:cs="Times New Roman"/>
        </w:rPr>
        <w:t xml:space="preserve"> regulated charges </w:t>
      </w:r>
      <w:r w:rsidR="00317AD0">
        <w:rPr>
          <w:rFonts w:cs="Times New Roman"/>
        </w:rPr>
        <w:t xml:space="preserve">in (or set </w:t>
      </w:r>
      <w:r w:rsidRPr="00D714FC">
        <w:rPr>
          <w:rFonts w:cs="Times New Roman"/>
        </w:rPr>
        <w:t>according to the methodology in</w:t>
      </w:r>
      <w:r w:rsidR="00317AD0">
        <w:rPr>
          <w:rFonts w:cs="Times New Roman"/>
        </w:rPr>
        <w:t>)</w:t>
      </w:r>
      <w:r w:rsidRPr="00D714FC">
        <w:rPr>
          <w:rFonts w:cs="Times New Roman"/>
        </w:rPr>
        <w:t xml:space="preserve"> the original approval</w:t>
      </w:r>
      <w:r>
        <w:rPr>
          <w:rFonts w:cs="Times New Roman"/>
        </w:rPr>
        <w:t xml:space="preserve"> </w:t>
      </w:r>
      <w:r w:rsidRPr="00D714FC">
        <w:rPr>
          <w:rFonts w:cs="Times New Roman"/>
        </w:rPr>
        <w:t>/</w:t>
      </w:r>
      <w:r>
        <w:rPr>
          <w:rFonts w:cs="Times New Roman"/>
        </w:rPr>
        <w:t xml:space="preserve"> </w:t>
      </w:r>
      <w:r w:rsidRPr="00D714FC">
        <w:rPr>
          <w:rFonts w:cs="Times New Roman"/>
        </w:rPr>
        <w:t xml:space="preserve">determination. </w:t>
      </w:r>
      <w:r w:rsidR="00317AD0">
        <w:rPr>
          <w:rFonts w:cs="Times New Roman"/>
        </w:rPr>
        <w:t>I</w:t>
      </w:r>
      <w:r w:rsidRPr="00D714FC">
        <w:rPr>
          <w:rFonts w:cs="Times New Roman"/>
        </w:rPr>
        <w:t>t may vary these charges if it is reasonably necessary to do so having regard to</w:t>
      </w:r>
      <w:r w:rsidR="00976C42">
        <w:rPr>
          <w:rFonts w:cs="Times New Roman"/>
        </w:rPr>
        <w:t xml:space="preserve"> </w:t>
      </w:r>
      <w:r w:rsidRPr="00D714FC">
        <w:rPr>
          <w:rFonts w:cs="Times New Roman"/>
        </w:rPr>
        <w:t xml:space="preserve">changes in the demand </w:t>
      </w:r>
      <w:r w:rsidR="0087616C">
        <w:rPr>
          <w:rFonts w:cs="Times New Roman"/>
        </w:rPr>
        <w:t>or</w:t>
      </w:r>
      <w:r w:rsidR="0087616C" w:rsidRPr="00D714FC">
        <w:rPr>
          <w:rFonts w:cs="Times New Roman"/>
        </w:rPr>
        <w:t xml:space="preserve"> </w:t>
      </w:r>
      <w:r w:rsidRPr="00D714FC">
        <w:rPr>
          <w:rFonts w:cs="Times New Roman"/>
        </w:rPr>
        <w:t xml:space="preserve">consumption forecasts </w:t>
      </w:r>
      <w:r w:rsidR="00976C42">
        <w:rPr>
          <w:rFonts w:cs="Times New Roman"/>
        </w:rPr>
        <w:t xml:space="preserve">(from those </w:t>
      </w:r>
      <w:r w:rsidRPr="00D714FC">
        <w:rPr>
          <w:rFonts w:cs="Times New Roman"/>
        </w:rPr>
        <w:t>used in the original approval</w:t>
      </w:r>
      <w:r w:rsidR="00976C42">
        <w:rPr>
          <w:rFonts w:cs="Times New Roman"/>
        </w:rPr>
        <w:t xml:space="preserve"> </w:t>
      </w:r>
      <w:r w:rsidRPr="00D714FC">
        <w:rPr>
          <w:rFonts w:cs="Times New Roman"/>
        </w:rPr>
        <w:t>/</w:t>
      </w:r>
      <w:r w:rsidR="00976C42">
        <w:rPr>
          <w:rFonts w:cs="Times New Roman"/>
        </w:rPr>
        <w:t xml:space="preserve"> </w:t>
      </w:r>
      <w:r w:rsidRPr="00D714FC">
        <w:rPr>
          <w:rFonts w:cs="Times New Roman"/>
        </w:rPr>
        <w:t>determination</w:t>
      </w:r>
      <w:r w:rsidR="00976C42">
        <w:rPr>
          <w:rFonts w:cs="Times New Roman"/>
        </w:rPr>
        <w:t xml:space="preserve">) and </w:t>
      </w:r>
      <w:r w:rsidRPr="00D714FC">
        <w:rPr>
          <w:rFonts w:cs="Times New Roman"/>
        </w:rPr>
        <w:t>price stability.</w:t>
      </w:r>
    </w:p>
    <w:p w:rsidR="00061C7E" w:rsidRPr="00D714FC" w:rsidRDefault="00061C7E" w:rsidP="00061C7E">
      <w:pPr>
        <w:rPr>
          <w:rFonts w:cs="Times New Roman"/>
        </w:rPr>
      </w:pPr>
      <w:r w:rsidRPr="00D714FC">
        <w:rPr>
          <w:rFonts w:cs="Times New Roman"/>
        </w:rPr>
        <w:t>The regulator must complete this review within three months of receiving the application, although if necessary, it may extend this period by one month at a time. This three month period does not include any time that an information request from the regulator to the Part 6 operator is outstanding.</w:t>
      </w:r>
      <w:r w:rsidR="00C6733C">
        <w:rPr>
          <w:rFonts w:cs="Times New Roman"/>
        </w:rPr>
        <w:t xml:space="preserve"> </w:t>
      </w:r>
    </w:p>
    <w:p w:rsidR="00811B05" w:rsidRPr="00811B05" w:rsidRDefault="00811B05" w:rsidP="00135446">
      <w:pPr>
        <w:spacing w:after="120"/>
      </w:pPr>
      <w:r w:rsidRPr="00811B05">
        <w:t>In its Draft Advice, the ACCC considered that the current provisions relating to the annual review are adequate, except in relation to the following matters:</w:t>
      </w:r>
    </w:p>
    <w:p w:rsidR="00811B05" w:rsidRDefault="00DD568E" w:rsidP="00A82DE6">
      <w:pPr>
        <w:pStyle w:val="Lvl1Bulletpoint"/>
      </w:pPr>
      <w:r>
        <w:t>t</w:t>
      </w:r>
      <w:r w:rsidR="00811B05" w:rsidRPr="00811B05">
        <w:t xml:space="preserve">he timelines for the annual review should be adapted as per </w:t>
      </w:r>
      <w:r w:rsidR="001C247F">
        <w:t>T</w:t>
      </w:r>
      <w:r w:rsidR="00D1759A">
        <w:t>able</w:t>
      </w:r>
      <w:r w:rsidR="00D1759A" w:rsidRPr="00811B05">
        <w:t xml:space="preserve"> </w:t>
      </w:r>
      <w:r w:rsidR="001C247F">
        <w:t xml:space="preserve">5.5 </w:t>
      </w:r>
      <w:r w:rsidR="00811B05" w:rsidRPr="00811B05">
        <w:t>in draft rule advice 5</w:t>
      </w:r>
      <w:r w:rsidR="00811B05">
        <w:noBreakHyphen/>
        <w:t>N.</w:t>
      </w:r>
    </w:p>
    <w:p w:rsidR="00811B05" w:rsidRDefault="00DD568E" w:rsidP="00A82DE6">
      <w:pPr>
        <w:pStyle w:val="Lvl1Bulletpoint"/>
      </w:pPr>
      <w:r>
        <w:t>i</w:t>
      </w:r>
      <w:r w:rsidR="00811B05">
        <w:t xml:space="preserve">n undertaking the annual review, the regulator should </w:t>
      </w:r>
      <w:r w:rsidR="00976C42">
        <w:t xml:space="preserve">also be able to vary charges having regard to </w:t>
      </w:r>
      <w:r w:rsidR="00811B05">
        <w:t xml:space="preserve">the </w:t>
      </w:r>
      <w:r w:rsidR="00976C42">
        <w:t xml:space="preserve">consistency of the </w:t>
      </w:r>
      <w:r w:rsidR="00811B05">
        <w:t xml:space="preserve">infrastructure charges with </w:t>
      </w:r>
      <w:r w:rsidR="00256A15">
        <w:t xml:space="preserve">other provisions of </w:t>
      </w:r>
      <w:r w:rsidR="00811B05">
        <w:t>the water charge rules</w:t>
      </w:r>
      <w:r w:rsidR="000324D1">
        <w:t xml:space="preserve"> (this is considered in section 5.6.3)</w:t>
      </w:r>
      <w:r w:rsidR="00371AEE">
        <w:t>.</w:t>
      </w:r>
      <w:r w:rsidR="00811B05">
        <w:t xml:space="preserve"> </w:t>
      </w:r>
    </w:p>
    <w:p w:rsidR="00F33AF9" w:rsidRDefault="00EE6B74" w:rsidP="00F33AF9">
      <w:r>
        <w:t>In the Draft Advice, t</w:t>
      </w:r>
      <w:r w:rsidR="006D41A2">
        <w:t>he ACCC did not support allowing a Part 6 operator to have the discretion to decide whether or not the annual review would take place. Similarly, the ACCC did not support additional requirements</w:t>
      </w:r>
      <w:r>
        <w:t>,</w:t>
      </w:r>
      <w:r w:rsidR="006D41A2">
        <w:t xml:space="preserve"> suggested by some submitters to the Issues Paper</w:t>
      </w:r>
      <w:r>
        <w:t>,</w:t>
      </w:r>
      <w:r w:rsidR="006D41A2">
        <w:t xml:space="preserve"> being placed on Part 6 operators during the annual review.</w:t>
      </w:r>
      <w:r w:rsidR="006D41A2">
        <w:rPr>
          <w:rStyle w:val="FootnoteReference"/>
        </w:rPr>
        <w:footnoteReference w:id="422"/>
      </w:r>
    </w:p>
    <w:p w:rsidR="00061C7E" w:rsidRPr="00F33AF9" w:rsidRDefault="00061C7E" w:rsidP="00F33AF9">
      <w:pPr>
        <w:pStyle w:val="Heading4"/>
        <w:keepNext w:val="0"/>
        <w:rPr>
          <w:rFonts w:ascii="Times New Roman" w:hAnsi="Times New Roman" w:cs="Times New Roman"/>
        </w:rPr>
      </w:pPr>
      <w:r w:rsidRPr="00F33AF9">
        <w:rPr>
          <w:rFonts w:ascii="Times New Roman" w:hAnsi="Times New Roman" w:cs="Times New Roman"/>
        </w:rPr>
        <w:t>Stakeholder feedback</w:t>
      </w:r>
    </w:p>
    <w:p w:rsidR="00061C7E" w:rsidRDefault="00061C7E" w:rsidP="007F4722">
      <w:pPr>
        <w:rPr>
          <w:rFonts w:cs="Times New Roman"/>
        </w:rPr>
      </w:pPr>
      <w:r>
        <w:rPr>
          <w:rFonts w:cs="Times New Roman"/>
        </w:rPr>
        <w:t>The NSW Irrigators</w:t>
      </w:r>
      <w:r w:rsidR="00FB3287">
        <w:rPr>
          <w:rFonts w:cs="Times New Roman"/>
        </w:rPr>
        <w:t>’</w:t>
      </w:r>
      <w:r>
        <w:rPr>
          <w:rFonts w:cs="Times New Roman"/>
        </w:rPr>
        <w:t xml:space="preserve"> Council</w:t>
      </w:r>
      <w:r w:rsidR="00BC5421">
        <w:rPr>
          <w:rFonts w:cs="Times New Roman"/>
        </w:rPr>
        <w:t xml:space="preserve"> (NSWIC)</w:t>
      </w:r>
      <w:r>
        <w:rPr>
          <w:rFonts w:cs="Times New Roman"/>
        </w:rPr>
        <w:t xml:space="preserve"> submitted to the Act Review that the annual review process “creates greater risk and uncertainty about future bulk water charges as any ‘over’ or ‘under’ recovery by [State Water, now WaterNSW] could trigger significant adjustments and volatility in bulk water charges from one year to the next”.</w:t>
      </w:r>
      <w:r>
        <w:rPr>
          <w:rStyle w:val="FootnoteReference"/>
          <w:rFonts w:cs="Times New Roman"/>
        </w:rPr>
        <w:footnoteReference w:id="423"/>
      </w:r>
      <w:r>
        <w:rPr>
          <w:rFonts w:cs="Times New Roman"/>
        </w:rPr>
        <w:t xml:space="preserve"> The </w:t>
      </w:r>
      <w:r w:rsidR="00BC5421">
        <w:rPr>
          <w:rFonts w:cs="Times New Roman"/>
        </w:rPr>
        <w:t xml:space="preserve">NSWIC </w:t>
      </w:r>
      <w:r>
        <w:rPr>
          <w:rFonts w:cs="Times New Roman"/>
        </w:rPr>
        <w:t>also noted that there was no annual review process under price determinati</w:t>
      </w:r>
      <w:r w:rsidR="00C3317D">
        <w:rPr>
          <w:rFonts w:cs="Times New Roman"/>
        </w:rPr>
        <w:t>ons carried out by IPART under S</w:t>
      </w:r>
      <w:r>
        <w:rPr>
          <w:rFonts w:cs="Times New Roman"/>
        </w:rPr>
        <w:t xml:space="preserve">tate water management law. </w:t>
      </w:r>
    </w:p>
    <w:p w:rsidR="00061C7E" w:rsidRPr="00D714FC" w:rsidRDefault="00B736B9" w:rsidP="007F4722">
      <w:pPr>
        <w:rPr>
          <w:rFonts w:cs="Times New Roman"/>
        </w:rPr>
      </w:pPr>
      <w:r>
        <w:rPr>
          <w:rFonts w:cs="Times New Roman"/>
        </w:rPr>
        <w:t>In submissions to the Issues Paper, t</w:t>
      </w:r>
      <w:r w:rsidR="00061C7E" w:rsidRPr="00D714FC">
        <w:rPr>
          <w:rFonts w:cs="Times New Roman"/>
        </w:rPr>
        <w:t>he ACCC received several conflicting views about the annual review process, with some stakeholders advocating for a more flexible process, and others calling for a more prescriptive process.</w:t>
      </w:r>
    </w:p>
    <w:p w:rsidR="00061C7E" w:rsidRPr="00D714FC" w:rsidRDefault="00061C7E" w:rsidP="007F4722">
      <w:pPr>
        <w:rPr>
          <w:rFonts w:cs="Times New Roman"/>
        </w:rPr>
      </w:pPr>
      <w:r w:rsidRPr="00D714FC">
        <w:rPr>
          <w:rFonts w:cs="Times New Roman"/>
        </w:rPr>
        <w:t>The main deregulatory proposal with regard to the annual review process came from WaterNSW (formerly State</w:t>
      </w:r>
      <w:r w:rsidR="00D4606C">
        <w:rPr>
          <w:rFonts w:cs="Times New Roman"/>
        </w:rPr>
        <w:t xml:space="preserve"> </w:t>
      </w:r>
      <w:r w:rsidRPr="00D714FC">
        <w:rPr>
          <w:rFonts w:cs="Times New Roman"/>
        </w:rPr>
        <w:t>Water).</w:t>
      </w:r>
      <w:r w:rsidRPr="00D714FC">
        <w:rPr>
          <w:rStyle w:val="FootnoteReference"/>
          <w:rFonts w:cs="Times New Roman"/>
        </w:rPr>
        <w:footnoteReference w:id="424"/>
      </w:r>
      <w:r w:rsidRPr="00D714FC">
        <w:rPr>
          <w:rFonts w:cs="Times New Roman"/>
        </w:rPr>
        <w:t xml:space="preserve"> WaterNSW proposed that the Part 6 operator should have the discretion as to whether the annual review is held.</w:t>
      </w:r>
      <w:r w:rsidR="00C6733C">
        <w:rPr>
          <w:rFonts w:cs="Times New Roman"/>
        </w:rPr>
        <w:t xml:space="preserve"> </w:t>
      </w:r>
      <w:r w:rsidRPr="00D714FC">
        <w:rPr>
          <w:rFonts w:cs="Times New Roman"/>
        </w:rPr>
        <w:t>Under this proposal, the regulated charges in the years subsequent to the first year of the regulatory period would be the indicative prices outlined in the original approval/determination, or the indicative prices for future regulatory years calculated during a review process if and when a review occurs.</w:t>
      </w:r>
      <w:r w:rsidRPr="00352B7E">
        <w:rPr>
          <w:rFonts w:cs="Times New Roman"/>
          <w:iCs/>
          <w:color w:val="000000"/>
        </w:rPr>
        <w:t xml:space="preserve"> </w:t>
      </w:r>
      <w:r w:rsidRPr="00D714FC">
        <w:rPr>
          <w:rFonts w:cs="Times New Roman"/>
          <w:iCs/>
          <w:color w:val="000000"/>
        </w:rPr>
        <w:t xml:space="preserve">WaterNSW </w:t>
      </w:r>
      <w:r>
        <w:rPr>
          <w:rFonts w:cs="Times New Roman"/>
          <w:iCs/>
          <w:color w:val="000000"/>
        </w:rPr>
        <w:t xml:space="preserve">further </w:t>
      </w:r>
      <w:r w:rsidRPr="00D714FC">
        <w:rPr>
          <w:rFonts w:cs="Times New Roman"/>
          <w:iCs/>
          <w:color w:val="000000"/>
        </w:rPr>
        <w:t>proposed that, in deciding whether to vary the regulated charges at an annual review, the regulator should be required to achieve the BWCOP.</w:t>
      </w:r>
    </w:p>
    <w:p w:rsidR="00061C7E" w:rsidRDefault="00061C7E" w:rsidP="007F4722">
      <w:pPr>
        <w:rPr>
          <w:rFonts w:cs="Times New Roman"/>
          <w:iCs/>
          <w:color w:val="000000"/>
        </w:rPr>
      </w:pPr>
      <w:r w:rsidRPr="00D714FC">
        <w:rPr>
          <w:rFonts w:cs="Times New Roman"/>
        </w:rPr>
        <w:t>In contrast, several stakeholders expressed concerns that the rules do not sufficiently incentivise the operator to find other remedies than increases in charges to address negative impacts arising from demand or consumption fluctuations.</w:t>
      </w:r>
      <w:r w:rsidRPr="00D714FC">
        <w:rPr>
          <w:rFonts w:cs="Times New Roman"/>
          <w:iCs/>
          <w:color w:val="000000"/>
        </w:rPr>
        <w:t xml:space="preserve"> </w:t>
      </w:r>
      <w:r w:rsidR="00B736B9">
        <w:rPr>
          <w:rFonts w:cs="Times New Roman"/>
          <w:iCs/>
          <w:color w:val="000000"/>
        </w:rPr>
        <w:t xml:space="preserve">These stakeholders proposed that the annual review mechanism be amended to increase the amount of information an operator </w:t>
      </w:r>
      <w:r w:rsidR="00371AEE">
        <w:rPr>
          <w:rFonts w:cs="Times New Roman"/>
          <w:iCs/>
          <w:color w:val="000000"/>
        </w:rPr>
        <w:t xml:space="preserve">is </w:t>
      </w:r>
      <w:r w:rsidR="00B736B9">
        <w:rPr>
          <w:rFonts w:cs="Times New Roman"/>
          <w:iCs/>
          <w:color w:val="000000"/>
        </w:rPr>
        <w:t>required to provide and</w:t>
      </w:r>
      <w:r w:rsidR="00371AEE">
        <w:rPr>
          <w:rFonts w:cs="Times New Roman"/>
          <w:iCs/>
          <w:color w:val="000000"/>
        </w:rPr>
        <w:t xml:space="preserve"> </w:t>
      </w:r>
      <w:r w:rsidR="00B736B9">
        <w:rPr>
          <w:rFonts w:cs="Times New Roman"/>
          <w:iCs/>
          <w:color w:val="000000"/>
        </w:rPr>
        <w:t>/</w:t>
      </w:r>
      <w:r w:rsidR="00371AEE">
        <w:rPr>
          <w:rFonts w:cs="Times New Roman"/>
          <w:iCs/>
          <w:color w:val="000000"/>
        </w:rPr>
        <w:t xml:space="preserve"> </w:t>
      </w:r>
      <w:r w:rsidR="00B736B9">
        <w:rPr>
          <w:rFonts w:cs="Times New Roman"/>
          <w:iCs/>
          <w:color w:val="000000"/>
        </w:rPr>
        <w:t>or increase the scope of matters the regulator could consider during the annual review process.</w:t>
      </w:r>
      <w:r w:rsidR="00B736B9">
        <w:rPr>
          <w:rStyle w:val="FootnoteReference"/>
          <w:rFonts w:cs="Times New Roman"/>
          <w:iCs/>
          <w:color w:val="000000"/>
        </w:rPr>
        <w:footnoteReference w:id="425"/>
      </w:r>
    </w:p>
    <w:p w:rsidR="000724BB" w:rsidRDefault="000724BB" w:rsidP="000724BB">
      <w:r>
        <w:t>In response to the Draft Advice, Goulburn-Murray Water</w:t>
      </w:r>
      <w:r w:rsidR="00DA3505">
        <w:t xml:space="preserve"> (GMW)</w:t>
      </w:r>
      <w:r>
        <w:t xml:space="preserve"> submitted that it supports the annual review process, noting its importance to ensuring that there is an ongoing relevance between charges and costs.</w:t>
      </w:r>
      <w:r w:rsidRPr="005C4FF7">
        <w:rPr>
          <w:rStyle w:val="FootnoteReference"/>
          <w:rFonts w:cs="Times New Roman"/>
          <w:sz w:val="20"/>
          <w:szCs w:val="20"/>
        </w:rPr>
        <w:footnoteReference w:id="426"/>
      </w:r>
    </w:p>
    <w:p w:rsidR="000724BB" w:rsidRDefault="000724BB" w:rsidP="00135446">
      <w:pPr>
        <w:spacing w:after="120"/>
      </w:pPr>
      <w:r>
        <w:t>WaterNSW on the other hand submitted that the ACCC should consider other alternatives with lower costs.</w:t>
      </w:r>
      <w:r w:rsidRPr="00AB0F24">
        <w:rPr>
          <w:rStyle w:val="FootnoteReference"/>
          <w:rFonts w:cs="Times New Roman"/>
          <w:sz w:val="20"/>
          <w:szCs w:val="20"/>
        </w:rPr>
        <w:footnoteReference w:id="427"/>
      </w:r>
      <w:r>
        <w:t xml:space="preserve"> WaterNSW suggested the following as alternatives to the annual review process:</w:t>
      </w:r>
    </w:p>
    <w:p w:rsidR="000724BB" w:rsidRDefault="000724BB" w:rsidP="00A82DE6">
      <w:pPr>
        <w:pStyle w:val="Lvl1Bulletpoint"/>
      </w:pPr>
      <w:r>
        <w:t>the approach in the energy sector – annual, mechanis</w:t>
      </w:r>
      <w:r w:rsidR="00B92772">
        <w:t>tic</w:t>
      </w:r>
      <w:r>
        <w:t xml:space="preserve"> updates to charges</w:t>
      </w:r>
    </w:p>
    <w:p w:rsidR="000724BB" w:rsidRPr="000724BB" w:rsidRDefault="000724BB" w:rsidP="00A82DE6">
      <w:pPr>
        <w:pStyle w:val="Lvl1Bulletpoint"/>
      </w:pPr>
      <w:r>
        <w:t>regulator flexibility to take an alternative approach such as the regulator sets a price adjustment formula, which the regulated entity could update for demand forecasts and price stability issues.</w:t>
      </w:r>
    </w:p>
    <w:p w:rsidR="00061C7E" w:rsidRDefault="0079321E" w:rsidP="007F4722">
      <w:pPr>
        <w:pStyle w:val="Heading4"/>
        <w:keepNext w:val="0"/>
        <w:rPr>
          <w:rFonts w:ascii="Times New Roman" w:hAnsi="Times New Roman" w:cs="Times New Roman"/>
        </w:rPr>
      </w:pPr>
      <w:r>
        <w:rPr>
          <w:rFonts w:ascii="Times New Roman" w:hAnsi="Times New Roman" w:cs="Times New Roman"/>
        </w:rPr>
        <w:t>ACCC assessment</w:t>
      </w:r>
    </w:p>
    <w:p w:rsidR="00213C37" w:rsidRDefault="00213C37" w:rsidP="00213C37">
      <w:r>
        <w:t>The ACCC considers that</w:t>
      </w:r>
      <w:r w:rsidR="009A4AD7">
        <w:t xml:space="preserve"> t</w:t>
      </w:r>
      <w:r>
        <w:t xml:space="preserve">he </w:t>
      </w:r>
      <w:r w:rsidR="009A4AD7">
        <w:t xml:space="preserve">complexity of annual reviews depends primarily on the </w:t>
      </w:r>
      <w:r>
        <w:t xml:space="preserve">nature of the original determination for </w:t>
      </w:r>
      <w:r w:rsidR="009A4AD7">
        <w:t xml:space="preserve">a </w:t>
      </w:r>
      <w:r>
        <w:t>regulatory period.</w:t>
      </w:r>
    </w:p>
    <w:p w:rsidR="00213C37" w:rsidRDefault="00213C37" w:rsidP="00135446">
      <w:pPr>
        <w:spacing w:after="120"/>
      </w:pPr>
      <w:r>
        <w:t>Recent decisions under Part 6 have varied as follows:</w:t>
      </w:r>
    </w:p>
    <w:p w:rsidR="00213C37" w:rsidRPr="00564F18" w:rsidRDefault="00213C37" w:rsidP="00A82DE6">
      <w:pPr>
        <w:pStyle w:val="Lvl1Bulletpoint"/>
      </w:pPr>
      <w:r w:rsidRPr="00564F18">
        <w:t xml:space="preserve">In Victoria the </w:t>
      </w:r>
      <w:r w:rsidR="00A224C1">
        <w:t>Essential Services Commission of Victoria (</w:t>
      </w:r>
      <w:r w:rsidRPr="00564F18">
        <w:t>ESC</w:t>
      </w:r>
      <w:r w:rsidR="00A224C1">
        <w:t>V)</w:t>
      </w:r>
      <w:r w:rsidRPr="00564F18">
        <w:t xml:space="preserve"> set revenue caps for GMW and </w:t>
      </w:r>
      <w:r w:rsidR="00B71238">
        <w:t>Lower Murray Water (</w:t>
      </w:r>
      <w:r w:rsidRPr="00564F18">
        <w:t>LMW</w:t>
      </w:r>
      <w:r w:rsidR="00B71238">
        <w:t>)</w:t>
      </w:r>
      <w:r w:rsidRPr="00564F18">
        <w:t xml:space="preserve">, with revenue to come </w:t>
      </w:r>
      <w:r w:rsidR="009A4AD7" w:rsidRPr="00564F18">
        <w:t xml:space="preserve">mostly </w:t>
      </w:r>
      <w:r w:rsidRPr="00564F18">
        <w:t>from fixed rather than variable charges – this requires a relatively small adjustment each year in light of under or over-recovery of revenue as usage changes. However, the operator may also propose some restructuring of charges under a revenue cap at the annual review</w:t>
      </w:r>
      <w:r w:rsidR="009A4AD7" w:rsidRPr="00564F18">
        <w:t xml:space="preserve"> stage</w:t>
      </w:r>
      <w:r w:rsidRPr="00564F18">
        <w:t>, and this may involve more complexity.</w:t>
      </w:r>
    </w:p>
    <w:p w:rsidR="00213C37" w:rsidRPr="00564F18" w:rsidRDefault="00213C37" w:rsidP="00A82DE6">
      <w:pPr>
        <w:pStyle w:val="Lvl1Bulletpoint"/>
      </w:pPr>
      <w:r w:rsidRPr="00564F18">
        <w:t xml:space="preserve">For WaterNSW the ACCC set price caps, with an </w:t>
      </w:r>
      <w:r w:rsidR="009A4AD7" w:rsidRPr="00564F18">
        <w:t>6</w:t>
      </w:r>
      <w:r w:rsidRPr="00564F18">
        <w:t>0:</w:t>
      </w:r>
      <w:r w:rsidR="009A4AD7" w:rsidRPr="00564F18">
        <w:t>4</w:t>
      </w:r>
      <w:r w:rsidRPr="00564F18">
        <w:t xml:space="preserve">0 ratio of revenue from variable </w:t>
      </w:r>
      <w:r w:rsidR="009A4AD7" w:rsidRPr="00564F18">
        <w:t xml:space="preserve">charges </w:t>
      </w:r>
      <w:r w:rsidR="00CC0B60" w:rsidRPr="00564F18">
        <w:t xml:space="preserve">to revenue from </w:t>
      </w:r>
      <w:r w:rsidRPr="00564F18">
        <w:t>fixed charge</w:t>
      </w:r>
      <w:r w:rsidR="00CC0B60" w:rsidRPr="00564F18">
        <w:t>s</w:t>
      </w:r>
      <w:r w:rsidRPr="00564F18">
        <w:t>, and established an unders and overs mechanism to take account of demand changes each year.</w:t>
      </w:r>
      <w:r w:rsidR="004B3B5A" w:rsidRPr="00564F18">
        <w:t xml:space="preserve"> This tends to result in more volatility in charges from year to year, hence a need for greater scrutiny as part of the annual review process.</w:t>
      </w:r>
      <w:r w:rsidR="00C6733C" w:rsidRPr="00564F18">
        <w:t xml:space="preserve"> </w:t>
      </w:r>
    </w:p>
    <w:p w:rsidR="003455B5" w:rsidRDefault="00DB2700" w:rsidP="00213C37">
      <w:r>
        <w:t xml:space="preserve">The ACCC notes WaterNSW’s suggested alternatives to annual reviews, including a mechanistic approach where indicative charges and the approach for adjusting them for each period of a regulatory period, are set out in the original approval / determination for that period. The ACCC believes that such an approach would </w:t>
      </w:r>
      <w:r w:rsidR="003455B5">
        <w:t xml:space="preserve">not necessarily remove the need </w:t>
      </w:r>
      <w:r>
        <w:t>for annual reviews under Division 3 of Part</w:t>
      </w:r>
      <w:r w:rsidR="003455B5">
        <w:t> </w:t>
      </w:r>
      <w:r>
        <w:t>6</w:t>
      </w:r>
      <w:r w:rsidR="003455B5">
        <w:t>, however</w:t>
      </w:r>
      <w:r>
        <w:t xml:space="preserve">. </w:t>
      </w:r>
    </w:p>
    <w:p w:rsidR="00CC3155" w:rsidRDefault="00CC3155" w:rsidP="00CC3155">
      <w:r>
        <w:t xml:space="preserve">It is possible and desirable for the original charge approval / determination decision to set out indicative charges and a mechanism for adjusting charges to account for </w:t>
      </w:r>
      <w:r w:rsidRPr="00CC3155">
        <w:rPr>
          <w:i/>
        </w:rPr>
        <w:t>actual</w:t>
      </w:r>
      <w:r>
        <w:t xml:space="preserve"> demand / consumption being lower or higher than forecast. However, the ACCC still considers it appropriate for regulatory oversight of any proposed charges resulting from the application of the mechanism, to consider if it is necessary to further vary them for reasons of price stability, taking into account any customer views.</w:t>
      </w:r>
    </w:p>
    <w:p w:rsidR="00CC3155" w:rsidRDefault="00F85D9F" w:rsidP="00F85D9F">
      <w:r>
        <w:t>A</w:t>
      </w:r>
      <w:r w:rsidR="003455B5">
        <w:t xml:space="preserve">n operator may </w:t>
      </w:r>
      <w:r w:rsidR="00CC3155">
        <w:t xml:space="preserve">also </w:t>
      </w:r>
      <w:r w:rsidR="003455B5">
        <w:t xml:space="preserve">update its demand </w:t>
      </w:r>
      <w:r>
        <w:t xml:space="preserve">or consumption </w:t>
      </w:r>
      <w:r w:rsidR="003455B5">
        <w:t xml:space="preserve">forecasts (from those provided during the original approval / determination) to take account of better data or changed circumstances. </w:t>
      </w:r>
      <w:r>
        <w:t>M</w:t>
      </w:r>
      <w:r w:rsidR="00B92772">
        <w:t>aterial change</w:t>
      </w:r>
      <w:r>
        <w:t>s</w:t>
      </w:r>
      <w:r w:rsidR="00B92772">
        <w:t xml:space="preserve"> in </w:t>
      </w:r>
      <w:r w:rsidR="00DB2700">
        <w:t>the forecast</w:t>
      </w:r>
      <w:r>
        <w:t>s</w:t>
      </w:r>
      <w:r w:rsidR="00DB2700">
        <w:t xml:space="preserve"> for demand / consumption</w:t>
      </w:r>
      <w:r w:rsidR="00CC3155">
        <w:t xml:space="preserve"> can lead to significant changes in the level of infrastructure charges. The ACCC considers it would be unlikely that an approval / determination decision </w:t>
      </w:r>
      <w:r w:rsidR="00502E1F">
        <w:t>could fully anticipate and provide for the range of scenarios that may eventuate throughout the regulatory period. Annual reviews provide this safeguard.</w:t>
      </w:r>
      <w:r w:rsidR="00502E1F">
        <w:rPr>
          <w:rStyle w:val="FootnoteReference"/>
        </w:rPr>
        <w:footnoteReference w:id="428"/>
      </w:r>
      <w:r w:rsidR="00CC3155">
        <w:t xml:space="preserve"> </w:t>
      </w:r>
    </w:p>
    <w:p w:rsidR="003455B5" w:rsidRDefault="003455B5" w:rsidP="003455B5">
      <w:r>
        <w:t>The ACCC maintains its view from the Draft Advice that the current provisions for annual reviews allow reasonable discretion for regulators to take a range of approaches to the review, ranging from simple mechanistic adjustments to more complex adjustments t</w:t>
      </w:r>
      <w:r w:rsidR="00FA688D">
        <w:t>hat</w:t>
      </w:r>
      <w:r>
        <w:t xml:space="preserve"> allow for changes in demand forecasts. </w:t>
      </w:r>
    </w:p>
    <w:p w:rsidR="00213C37" w:rsidRDefault="00213C37" w:rsidP="00213C37">
      <w:r>
        <w:t xml:space="preserve">In relation to GMW’s preference to ensure an ongoing relevance between charges and costs, the ACCC notes that under current rules the annual review does not allow the regulator to adjust charges to take account of changed costs. </w:t>
      </w:r>
    </w:p>
    <w:p w:rsidR="00B92772" w:rsidRDefault="00213C37" w:rsidP="00213C37">
      <w:r>
        <w:t xml:space="preserve">A similar issue was raised in consultation on the Draft Advice (by </w:t>
      </w:r>
      <w:r w:rsidR="00BC5421">
        <w:t>NSWIC</w:t>
      </w:r>
      <w:r>
        <w:t xml:space="preserve">), suggesting that the regulator should be able to update capex figures during the determination period so that the determination is based on actual rather than estimated capex. The ACCC considers that general adjustments to expenditure during the period at annual reviews would discourage operational efficiency. </w:t>
      </w:r>
      <w:r w:rsidR="00B92772">
        <w:t xml:space="preserve">The ACCC considers that the annual review is not an appropriate time to revisit costs. </w:t>
      </w:r>
    </w:p>
    <w:p w:rsidR="00213C37" w:rsidRDefault="00B92772" w:rsidP="00213C37">
      <w:r>
        <w:t>Nevertheless, th</w:t>
      </w:r>
      <w:r w:rsidR="00213C37">
        <w:t>e ACCC</w:t>
      </w:r>
      <w:r>
        <w:t xml:space="preserve"> considers the rules should allow for some variations to an approval / determination during a regulatory period—</w:t>
      </w:r>
      <w:r w:rsidR="003455B5">
        <w:t>see section 5.6.5 for a discussion of</w:t>
      </w:r>
      <w:r w:rsidR="00213C37">
        <w:t xml:space="preserve"> variations and contingent projects.</w:t>
      </w:r>
    </w:p>
    <w:p w:rsidR="00236C42" w:rsidRDefault="00213C37" w:rsidP="00236C42">
      <w:pPr>
        <w:rPr>
          <w:rFonts w:cs="Times New Roman"/>
        </w:rPr>
      </w:pPr>
      <w:r w:rsidRPr="00DC56EB">
        <w:t xml:space="preserve">The </w:t>
      </w:r>
      <w:r>
        <w:t xml:space="preserve">ACCC’s Final Advice therefore </w:t>
      </w:r>
      <w:r w:rsidRPr="00DC56EB">
        <w:t>maintain</w:t>
      </w:r>
      <w:r>
        <w:t>s</w:t>
      </w:r>
      <w:r w:rsidRPr="00DC56EB">
        <w:t xml:space="preserve"> th</w:t>
      </w:r>
      <w:r>
        <w:t xml:space="preserve">e </w:t>
      </w:r>
      <w:r w:rsidRPr="00DC56EB">
        <w:t>approach</w:t>
      </w:r>
      <w:r>
        <w:t xml:space="preserve"> of the Draft Advice regarding annual reviews</w:t>
      </w:r>
      <w:r w:rsidR="00FA688D">
        <w:t>. The ACCC</w:t>
      </w:r>
      <w:r w:rsidR="004E50C3">
        <w:t xml:space="preserve"> not</w:t>
      </w:r>
      <w:r w:rsidR="00FA688D">
        <w:t>es</w:t>
      </w:r>
      <w:r w:rsidR="004E50C3">
        <w:t xml:space="preserve"> </w:t>
      </w:r>
      <w:r w:rsidR="00236C42">
        <w:rPr>
          <w:rFonts w:cs="Times New Roman"/>
        </w:rPr>
        <w:t>rule advice 5-P in section 5.6.3, that the regulator should be required to consider the consistency of the infrastructure charges being approved or determined with the other requirements of the water charge rules, in annual reviews as well as the initial review</w:t>
      </w:r>
      <w:r w:rsidR="00FA688D">
        <w:rPr>
          <w:rFonts w:cs="Times New Roman"/>
        </w:rPr>
        <w:t>,</w:t>
      </w:r>
      <w:r w:rsidR="00236C42">
        <w:rPr>
          <w:rFonts w:cs="Times New Roman"/>
        </w:rPr>
        <w:t xml:space="preserve"> for a regulatory period.</w:t>
      </w:r>
    </w:p>
    <w:p w:rsidR="00061C7E" w:rsidRPr="00D714FC" w:rsidRDefault="00061C7E" w:rsidP="00464189">
      <w:pPr>
        <w:pStyle w:val="Heading3"/>
        <w:keepNext w:val="0"/>
      </w:pPr>
      <w:bookmarkStart w:id="880" w:name="_Toc436122305"/>
      <w:bookmarkStart w:id="881" w:name="_Toc436122800"/>
      <w:bookmarkStart w:id="882" w:name="_Toc436124155"/>
      <w:bookmarkStart w:id="883" w:name="_Toc456785811"/>
      <w:bookmarkStart w:id="884" w:name="_Toc461630722"/>
      <w:r w:rsidRPr="00D714FC">
        <w:t>Variations of determinations</w:t>
      </w:r>
      <w:bookmarkEnd w:id="880"/>
      <w:bookmarkEnd w:id="881"/>
      <w:bookmarkEnd w:id="882"/>
      <w:bookmarkEnd w:id="883"/>
      <w:bookmarkEnd w:id="884"/>
      <w:r w:rsidRPr="00D714FC">
        <w:tab/>
      </w:r>
    </w:p>
    <w:p w:rsidR="002A0D69" w:rsidRPr="00D07E1E" w:rsidRDefault="00D07E1E" w:rsidP="00464189">
      <w:pPr>
        <w:pStyle w:val="Heading4"/>
        <w:keepNext w:val="0"/>
        <w:spacing w:before="0" w:after="0"/>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r w:rsidR="00C21C88" w:rsidRPr="00D07E1E">
        <w:rPr>
          <w:rFonts w:asciiTheme="minorHAnsi" w:hAnsiTheme="minorHAnsi"/>
          <w:sz w:val="18"/>
        </w:rPr>
        <w:t xml:space="preserve"> </w:t>
      </w:r>
    </w:p>
    <w:tbl>
      <w:tblPr>
        <w:tblStyle w:val="TableGrid"/>
        <w:tblW w:w="0" w:type="auto"/>
        <w:tblLook w:val="04A0" w:firstRow="1" w:lastRow="0" w:firstColumn="1" w:lastColumn="0" w:noHBand="0" w:noVBand="1"/>
      </w:tblPr>
      <w:tblGrid>
        <w:gridCol w:w="9242"/>
      </w:tblGrid>
      <w:tr w:rsidR="00061C7E" w:rsidTr="00ED5AA0">
        <w:tc>
          <w:tcPr>
            <w:tcW w:w="9242" w:type="dxa"/>
            <w:tcBorders>
              <w:top w:val="nil"/>
              <w:left w:val="nil"/>
              <w:bottom w:val="nil"/>
              <w:right w:val="nil"/>
            </w:tcBorders>
            <w:shd w:val="clear" w:color="auto" w:fill="D9D9D9" w:themeFill="background1" w:themeFillShade="D9"/>
          </w:tcPr>
          <w:p w:rsidR="00ED342F" w:rsidRPr="00D714FC" w:rsidRDefault="00ED342F" w:rsidP="00464189">
            <w:pPr>
              <w:pStyle w:val="Caption"/>
              <w:keepNext w:val="0"/>
              <w:keepLines w:val="0"/>
              <w:rPr>
                <w:rFonts w:eastAsia="Arial"/>
              </w:rPr>
            </w:pPr>
            <w:bookmarkStart w:id="885" w:name="_Toc456784024"/>
            <w:bookmarkStart w:id="886" w:name="_Toc432937564"/>
            <w:r w:rsidRPr="00D714FC">
              <w:t xml:space="preserve">Rule advice </w:t>
            </w:r>
            <w:r w:rsidR="007F659D">
              <w:rPr>
                <w:noProof/>
              </w:rPr>
              <w:t>5</w:t>
            </w:r>
            <w:r>
              <w:noBreakHyphen/>
            </w:r>
            <w:r w:rsidR="007F659D">
              <w:rPr>
                <w:noProof/>
              </w:rPr>
              <w:t>Q</w:t>
            </w:r>
            <w:bookmarkEnd w:id="885"/>
          </w:p>
          <w:p w:rsidR="00061C7E" w:rsidRPr="00D714FC" w:rsidRDefault="00061C7E" w:rsidP="00464189">
            <w:pPr>
              <w:pStyle w:val="Heading8"/>
              <w:outlineLvl w:val="7"/>
            </w:pPr>
            <w:bookmarkStart w:id="887" w:name="_Toc432937565"/>
            <w:bookmarkStart w:id="888" w:name="_Toc433975326"/>
            <w:bookmarkStart w:id="889" w:name="_Toc435802788"/>
            <w:bookmarkStart w:id="890" w:name="_Toc436123371"/>
            <w:bookmarkStart w:id="891" w:name="_Toc456784025"/>
            <w:bookmarkStart w:id="892" w:name="Rule_Advice_5Q"/>
            <w:r w:rsidRPr="00D714FC">
              <w:t xml:space="preserve">The rules should be amended to provide the regulator with the discretion to specify a </w:t>
            </w:r>
            <w:r>
              <w:t xml:space="preserve">capital expenditure </w:t>
            </w:r>
            <w:r w:rsidRPr="00D714FC">
              <w:t xml:space="preserve">project as a ‘contingent project’ </w:t>
            </w:r>
            <w:r w:rsidR="00BB3786">
              <w:t xml:space="preserve">in </w:t>
            </w:r>
            <w:r w:rsidR="00485051">
              <w:t>an</w:t>
            </w:r>
            <w:r w:rsidR="00BB3786">
              <w:t xml:space="preserve"> initial </w:t>
            </w:r>
            <w:r w:rsidRPr="00D714FC">
              <w:t>approval / determination</w:t>
            </w:r>
            <w:r w:rsidR="001A0989">
              <w:t xml:space="preserve"> if</w:t>
            </w:r>
            <w:r w:rsidRPr="00D714FC">
              <w:t>:</w:t>
            </w:r>
            <w:bookmarkEnd w:id="887"/>
            <w:bookmarkEnd w:id="888"/>
            <w:bookmarkEnd w:id="889"/>
            <w:bookmarkEnd w:id="890"/>
            <w:bookmarkEnd w:id="891"/>
            <w:r w:rsidRPr="00D714FC">
              <w:t xml:space="preserve"> </w:t>
            </w:r>
          </w:p>
          <w:p w:rsidR="00061C7E" w:rsidRDefault="00061C7E" w:rsidP="00020517">
            <w:pPr>
              <w:pStyle w:val="Ruleadvicebullet"/>
            </w:pPr>
            <w:bookmarkStart w:id="893" w:name="_Toc432937566"/>
            <w:bookmarkStart w:id="894" w:name="_Toc433975327"/>
            <w:bookmarkStart w:id="895" w:name="_Toc435802789"/>
            <w:bookmarkStart w:id="896" w:name="_Toc436123372"/>
            <w:bookmarkStart w:id="897" w:name="_Toc456784026"/>
            <w:r w:rsidRPr="00D714FC">
              <w:t xml:space="preserve">the infrastructure operator submits a project to the regulator in its application </w:t>
            </w:r>
            <w:r w:rsidR="00485051">
              <w:t>for</w:t>
            </w:r>
            <w:r w:rsidRPr="00D714FC">
              <w:t xml:space="preserve"> the </w:t>
            </w:r>
            <w:r w:rsidR="00A56544">
              <w:t>initial</w:t>
            </w:r>
            <w:r w:rsidR="00A56544" w:rsidRPr="00D714FC">
              <w:t xml:space="preserve"> </w:t>
            </w:r>
            <w:r w:rsidRPr="00D714FC">
              <w:t>approval / determination</w:t>
            </w:r>
            <w:r w:rsidR="001A3B5F">
              <w:t>, and</w:t>
            </w:r>
            <w:bookmarkEnd w:id="893"/>
            <w:bookmarkEnd w:id="894"/>
            <w:bookmarkEnd w:id="895"/>
            <w:bookmarkEnd w:id="896"/>
            <w:bookmarkEnd w:id="897"/>
            <w:r w:rsidRPr="00D714FC">
              <w:t xml:space="preserve"> </w:t>
            </w:r>
          </w:p>
          <w:p w:rsidR="00A56544" w:rsidRPr="00CF6F15" w:rsidRDefault="00A56544" w:rsidP="00020517">
            <w:pPr>
              <w:pStyle w:val="Ruleadvicebullet"/>
              <w:rPr>
                <w:rStyle w:val="Hyperlink"/>
                <w:noProof/>
                <w:color w:val="auto"/>
                <w:u w:val="none"/>
              </w:rPr>
            </w:pPr>
            <w:r w:rsidRPr="00CF6F15">
              <w:rPr>
                <w:rStyle w:val="Hyperlink"/>
                <w:noProof/>
                <w:color w:val="auto"/>
                <w:u w:val="none"/>
              </w:rPr>
              <w:t xml:space="preserve">the regulator is sufficiently uncertain about the cost, timing, necessity, likelihood or feasibility of </w:t>
            </w:r>
            <w:r w:rsidR="001A0989">
              <w:rPr>
                <w:rStyle w:val="Hyperlink"/>
                <w:noProof/>
                <w:color w:val="auto"/>
                <w:u w:val="none"/>
              </w:rPr>
              <w:t>the project,</w:t>
            </w:r>
            <w:r w:rsidRPr="00CF6F15">
              <w:rPr>
                <w:rStyle w:val="Hyperlink"/>
                <w:noProof/>
                <w:color w:val="auto"/>
                <w:u w:val="none"/>
              </w:rPr>
              <w:t xml:space="preserve"> and</w:t>
            </w:r>
          </w:p>
          <w:p w:rsidR="00A56544" w:rsidRPr="00CF6F15" w:rsidRDefault="00A56544" w:rsidP="00020517">
            <w:pPr>
              <w:pStyle w:val="Ruleadvicebullet"/>
              <w:rPr>
                <w:rStyle w:val="Hyperlink"/>
                <w:noProof/>
                <w:color w:val="auto"/>
                <w:u w:val="none"/>
              </w:rPr>
            </w:pPr>
            <w:r w:rsidRPr="00CF6F15">
              <w:rPr>
                <w:rStyle w:val="Hyperlink"/>
                <w:noProof/>
                <w:color w:val="auto"/>
                <w:u w:val="none"/>
              </w:rPr>
              <w:t>the inclusion of the project in a Part 6 operator’s revenue requirement would have a material impact on the infrastructure charges to be approved or determined</w:t>
            </w:r>
            <w:r w:rsidR="001A3313">
              <w:rPr>
                <w:rStyle w:val="Hyperlink"/>
                <w:noProof/>
                <w:color w:val="auto"/>
                <w:u w:val="none"/>
              </w:rPr>
              <w:t>.</w:t>
            </w:r>
          </w:p>
          <w:p w:rsidR="001A0989" w:rsidRDefault="001A0989" w:rsidP="00464189">
            <w:pPr>
              <w:pStyle w:val="Heading8"/>
              <w:outlineLvl w:val="7"/>
            </w:pPr>
            <w:r>
              <w:t>I</w:t>
            </w:r>
            <w:r w:rsidRPr="00720897">
              <w:t xml:space="preserve">nfrastructure charges </w:t>
            </w:r>
            <w:r>
              <w:t>for the operator should</w:t>
            </w:r>
            <w:r w:rsidRPr="00720897">
              <w:t xml:space="preserve"> be determined </w:t>
            </w:r>
            <w:r w:rsidR="00DA5A93">
              <w:t xml:space="preserve">in the initial approval / determination </w:t>
            </w:r>
            <w:r w:rsidRPr="00720897">
              <w:t xml:space="preserve">on the basis that funding </w:t>
            </w:r>
            <w:r w:rsidR="00DA5A93">
              <w:t xml:space="preserve">such a </w:t>
            </w:r>
            <w:r w:rsidRPr="00720897">
              <w:t>project would not be a prudent and efficient cost of providing infrastructure services</w:t>
            </w:r>
            <w:r>
              <w:t>.</w:t>
            </w:r>
          </w:p>
          <w:p w:rsidR="00061C7E" w:rsidRPr="00395423" w:rsidRDefault="001A0989" w:rsidP="00464189">
            <w:pPr>
              <w:pStyle w:val="Heading8"/>
              <w:outlineLvl w:val="7"/>
            </w:pPr>
            <w:r>
              <w:t>However, t</w:t>
            </w:r>
            <w:bookmarkStart w:id="898" w:name="_Toc432937574"/>
            <w:bookmarkStart w:id="899" w:name="_Toc433975335"/>
            <w:bookmarkStart w:id="900" w:name="_Toc435802797"/>
            <w:bookmarkStart w:id="901" w:name="_Toc436123380"/>
            <w:bookmarkStart w:id="902" w:name="_Toc456784034"/>
            <w:r w:rsidR="00061C7E" w:rsidRPr="00395423">
              <w:t>he regulator may specify the criteria (or ‘trigger event’) that</w:t>
            </w:r>
            <w:r>
              <w:t xml:space="preserve">—if met—would enable </w:t>
            </w:r>
            <w:r w:rsidR="00061C7E" w:rsidRPr="00395423">
              <w:t xml:space="preserve">the infrastructure operator </w:t>
            </w:r>
            <w:r>
              <w:t>to</w:t>
            </w:r>
            <w:r w:rsidRPr="00395423">
              <w:t xml:space="preserve"> </w:t>
            </w:r>
            <w:r w:rsidR="00061C7E" w:rsidRPr="00395423">
              <w:t xml:space="preserve">apply for </w:t>
            </w:r>
            <w:r w:rsidR="00DA5A93">
              <w:t xml:space="preserve">a variation of the approved / determined charges based on the inclusion of </w:t>
            </w:r>
            <w:r w:rsidR="00061C7E" w:rsidRPr="00395423">
              <w:t>the cost of a contingent project in the revenue requirement for the remainder of the regulatory period.</w:t>
            </w:r>
            <w:bookmarkEnd w:id="898"/>
            <w:bookmarkEnd w:id="899"/>
            <w:bookmarkEnd w:id="900"/>
            <w:bookmarkEnd w:id="901"/>
            <w:bookmarkEnd w:id="902"/>
            <w:r w:rsidR="00061C7E" w:rsidRPr="00395423">
              <w:t xml:space="preserve"> </w:t>
            </w:r>
          </w:p>
          <w:p w:rsidR="00455220" w:rsidRPr="00395423" w:rsidRDefault="00061C7E" w:rsidP="00464189">
            <w:pPr>
              <w:pStyle w:val="Heading8"/>
              <w:outlineLvl w:val="7"/>
            </w:pPr>
            <w:bookmarkStart w:id="903" w:name="_Toc432937575"/>
            <w:bookmarkStart w:id="904" w:name="_Toc433975336"/>
            <w:bookmarkStart w:id="905" w:name="_Toc435802798"/>
            <w:bookmarkStart w:id="906" w:name="_Toc436123381"/>
            <w:bookmarkStart w:id="907" w:name="_Toc456784035"/>
            <w:r w:rsidRPr="00395423">
              <w:t>The inclusion of the prudent and efficient cost of a contingent project in the revenue requirement for the remainder of the regulatory period should be subject to regulatory scrutiny</w:t>
            </w:r>
            <w:r w:rsidR="00455220" w:rsidRPr="00395423">
              <w:t xml:space="preserve"> to ensure:</w:t>
            </w:r>
          </w:p>
          <w:p w:rsidR="00455220" w:rsidRPr="00395423" w:rsidRDefault="00455220" w:rsidP="00020517">
            <w:pPr>
              <w:pStyle w:val="Ruleadvicebullet"/>
            </w:pPr>
            <w:r w:rsidRPr="00395423">
              <w:t>the trigger event has been met</w:t>
            </w:r>
          </w:p>
          <w:p w:rsidR="00725DE3" w:rsidRDefault="00725DE3" w:rsidP="00020517">
            <w:pPr>
              <w:pStyle w:val="Ruleadvicebullet"/>
            </w:pPr>
            <w:r w:rsidRPr="00395423">
              <w:t xml:space="preserve">the contingent project is prudent and efficient </w:t>
            </w:r>
          </w:p>
          <w:p w:rsidR="00455220" w:rsidRPr="00395423" w:rsidRDefault="00C41E80" w:rsidP="00020517">
            <w:pPr>
              <w:pStyle w:val="Ruleadvicebullet"/>
            </w:pPr>
            <w:r w:rsidRPr="00395423">
              <w:t xml:space="preserve">the regulator </w:t>
            </w:r>
            <w:bookmarkStart w:id="908" w:name="_Toc435802800"/>
            <w:bookmarkStart w:id="909" w:name="_Toc436123382"/>
            <w:bookmarkStart w:id="910" w:name="_Toc456784036"/>
            <w:bookmarkStart w:id="911" w:name="_Toc432937577"/>
            <w:bookmarkStart w:id="912" w:name="_Toc433975338"/>
            <w:bookmarkEnd w:id="903"/>
            <w:bookmarkEnd w:id="904"/>
            <w:bookmarkEnd w:id="905"/>
            <w:bookmarkEnd w:id="906"/>
            <w:bookmarkEnd w:id="907"/>
            <w:r w:rsidR="00061C7E" w:rsidRPr="00395423">
              <w:t>is satisfied of the matters set out in subparagraph</w:t>
            </w:r>
            <w:r w:rsidR="00F63CA7" w:rsidRPr="00395423">
              <w:t>s</w:t>
            </w:r>
            <w:r w:rsidR="00061C7E" w:rsidRPr="00395423">
              <w:t xml:space="preserve"> 29(2)(b) and (c)</w:t>
            </w:r>
            <w:r w:rsidR="00F63CA7" w:rsidRPr="00395423">
              <w:t xml:space="preserve"> of the proposed rules</w:t>
            </w:r>
            <w:r w:rsidR="001A3313">
              <w:t>.</w:t>
            </w:r>
          </w:p>
          <w:bookmarkEnd w:id="908"/>
          <w:bookmarkEnd w:id="909"/>
          <w:bookmarkEnd w:id="910"/>
          <w:p w:rsidR="00C41E80" w:rsidRPr="00395423" w:rsidRDefault="00C41E80" w:rsidP="00464189">
            <w:r w:rsidRPr="00395423">
              <w:rPr>
                <w:rFonts w:ascii="Verdana" w:eastAsia="Arial" w:hAnsi="Verdana" w:cs="Times New Roman"/>
                <w:sz w:val="20"/>
              </w:rPr>
              <w:t xml:space="preserve">If the regulator varies an approval or determination, it must decide what infrastructure charges should be varied and the amount of the variation, as well as when the varied charges should commence, </w:t>
            </w:r>
            <w:r w:rsidR="001A3313">
              <w:rPr>
                <w:rFonts w:ascii="Verdana" w:eastAsia="Arial" w:hAnsi="Verdana" w:cs="Times New Roman"/>
                <w:sz w:val="20"/>
              </w:rPr>
              <w:t>but</w:t>
            </w:r>
            <w:r w:rsidRPr="00395423">
              <w:rPr>
                <w:rFonts w:ascii="Verdana" w:eastAsia="Arial" w:hAnsi="Verdana" w:cs="Times New Roman"/>
                <w:sz w:val="20"/>
              </w:rPr>
              <w:t xml:space="preserve"> this should be no earlier than the beginning of the next year of the regulatory period.</w:t>
            </w:r>
          </w:p>
          <w:p w:rsidR="00061C7E" w:rsidRPr="00A831C1" w:rsidRDefault="00061C7E" w:rsidP="00464189">
            <w:pPr>
              <w:pStyle w:val="Heading8"/>
              <w:spacing w:before="120"/>
              <w:outlineLvl w:val="7"/>
            </w:pPr>
            <w:bookmarkStart w:id="913" w:name="_Toc435802804"/>
            <w:bookmarkStart w:id="914" w:name="_Toc436123383"/>
            <w:bookmarkStart w:id="915" w:name="_Toc456784037"/>
            <w:bookmarkEnd w:id="911"/>
            <w:bookmarkEnd w:id="912"/>
            <w:r w:rsidRPr="00395423">
              <w:rPr>
                <w:rFonts w:ascii="Times New Roman" w:hAnsi="Times New Roman"/>
              </w:rPr>
              <w:t xml:space="preserve">This rule advice is implemented in </w:t>
            </w:r>
            <w:r w:rsidR="001A0989">
              <w:rPr>
                <w:rFonts w:ascii="Times New Roman" w:hAnsi="Times New Roman"/>
              </w:rPr>
              <w:t xml:space="preserve">rules 29 and 31, and </w:t>
            </w:r>
            <w:r w:rsidRPr="00395423">
              <w:rPr>
                <w:rFonts w:ascii="Times New Roman" w:hAnsi="Times New Roman"/>
              </w:rPr>
              <w:t xml:space="preserve">Part 6, Division 4 of the </w:t>
            </w:r>
            <w:r w:rsidR="00841CD3" w:rsidRPr="00395423">
              <w:rPr>
                <w:rFonts w:ascii="Times New Roman" w:hAnsi="Times New Roman"/>
              </w:rPr>
              <w:t xml:space="preserve">proposed </w:t>
            </w:r>
            <w:r w:rsidR="00222D0D" w:rsidRPr="00395423">
              <w:rPr>
                <w:rFonts w:ascii="Times New Roman" w:hAnsi="Times New Roman"/>
              </w:rPr>
              <w:t>W</w:t>
            </w:r>
            <w:r w:rsidR="00841CD3" w:rsidRPr="00395423">
              <w:rPr>
                <w:rFonts w:ascii="Times New Roman" w:hAnsi="Times New Roman"/>
              </w:rPr>
              <w:t xml:space="preserve">ater </w:t>
            </w:r>
            <w:r w:rsidR="00222D0D" w:rsidRPr="00395423">
              <w:rPr>
                <w:rFonts w:ascii="Times New Roman" w:hAnsi="Times New Roman"/>
              </w:rPr>
              <w:t>C</w:t>
            </w:r>
            <w:r w:rsidR="00841CD3" w:rsidRPr="00395423">
              <w:rPr>
                <w:rFonts w:ascii="Times New Roman" w:hAnsi="Times New Roman"/>
              </w:rPr>
              <w:t xml:space="preserve">harge </w:t>
            </w:r>
            <w:r w:rsidR="00222D0D" w:rsidRPr="00395423">
              <w:rPr>
                <w:rFonts w:ascii="Times New Roman" w:hAnsi="Times New Roman"/>
              </w:rPr>
              <w:t>R</w:t>
            </w:r>
            <w:r w:rsidR="00841CD3" w:rsidRPr="00395423">
              <w:rPr>
                <w:rFonts w:ascii="Times New Roman" w:hAnsi="Times New Roman"/>
              </w:rPr>
              <w:t>ules</w:t>
            </w:r>
            <w:r w:rsidRPr="00395423">
              <w:rPr>
                <w:rFonts w:ascii="Times New Roman" w:hAnsi="Times New Roman"/>
              </w:rPr>
              <w:t>.</w:t>
            </w:r>
            <w:bookmarkEnd w:id="913"/>
            <w:bookmarkEnd w:id="914"/>
            <w:bookmarkEnd w:id="915"/>
          </w:p>
          <w:bookmarkEnd w:id="892"/>
          <w:p w:rsidR="00061C7E" w:rsidRPr="00570CCA" w:rsidRDefault="00061C7E" w:rsidP="00464189">
            <w:pPr>
              <w:pStyle w:val="Heading8"/>
              <w:ind w:left="720"/>
              <w:outlineLvl w:val="7"/>
            </w:pPr>
          </w:p>
          <w:p w:rsidR="00ED342F" w:rsidRPr="00D714FC" w:rsidRDefault="00ED342F" w:rsidP="00464189">
            <w:pPr>
              <w:pStyle w:val="Caption"/>
              <w:keepNext w:val="0"/>
              <w:keepLines w:val="0"/>
              <w:rPr>
                <w:rFonts w:eastAsia="Arial"/>
              </w:rPr>
            </w:pPr>
            <w:bookmarkStart w:id="916" w:name="_Toc456784038"/>
            <w:r w:rsidRPr="00D714FC">
              <w:t xml:space="preserve">Rule advice </w:t>
            </w:r>
            <w:r w:rsidR="007F659D">
              <w:rPr>
                <w:noProof/>
              </w:rPr>
              <w:t>5</w:t>
            </w:r>
            <w:r>
              <w:noBreakHyphen/>
            </w:r>
            <w:r w:rsidR="007F659D">
              <w:rPr>
                <w:noProof/>
              </w:rPr>
              <w:t>R</w:t>
            </w:r>
            <w:bookmarkEnd w:id="916"/>
          </w:p>
          <w:p w:rsidR="00061C7E" w:rsidRPr="00D714FC" w:rsidRDefault="00061C7E" w:rsidP="00464189">
            <w:pPr>
              <w:pStyle w:val="Heading8"/>
              <w:outlineLvl w:val="7"/>
            </w:pPr>
            <w:bookmarkStart w:id="917" w:name="_Toc435802807"/>
            <w:bookmarkStart w:id="918" w:name="_Toc436123386"/>
            <w:bookmarkStart w:id="919" w:name="_Toc456784039"/>
            <w:bookmarkStart w:id="920" w:name="Rule_Advice_5R"/>
            <w:r w:rsidRPr="00D714FC">
              <w:t xml:space="preserve">The rules should be amended to provide for the following in relation to variations of </w:t>
            </w:r>
            <w:r w:rsidR="00886179">
              <w:t xml:space="preserve">approvals or </w:t>
            </w:r>
            <w:r w:rsidRPr="00D714FC">
              <w:t>determinations</w:t>
            </w:r>
            <w:r w:rsidR="00886179">
              <w:t xml:space="preserve"> for certain events</w:t>
            </w:r>
            <w:r w:rsidRPr="00D714FC">
              <w:t>:</w:t>
            </w:r>
            <w:bookmarkEnd w:id="917"/>
            <w:bookmarkEnd w:id="918"/>
            <w:bookmarkEnd w:id="919"/>
          </w:p>
          <w:p w:rsidR="00061C7E" w:rsidRPr="00D714FC" w:rsidRDefault="00061C7E" w:rsidP="00020517">
            <w:pPr>
              <w:pStyle w:val="Ruleadvicebullet"/>
            </w:pPr>
            <w:bookmarkStart w:id="921" w:name="_Toc432937582"/>
            <w:bookmarkStart w:id="922" w:name="_Toc433975343"/>
            <w:bookmarkStart w:id="923" w:name="_Toc435802808"/>
            <w:bookmarkStart w:id="924" w:name="_Toc436123387"/>
            <w:bookmarkStart w:id="925" w:name="_Toc456784040"/>
            <w:r w:rsidRPr="00D714FC">
              <w:t xml:space="preserve">The regulator should be allowed to </w:t>
            </w:r>
            <w:r w:rsidR="001A3313" w:rsidRPr="001A3313">
              <w:t xml:space="preserve">vary an approval / determination where it is satisfied that a taxation or regulatory event </w:t>
            </w:r>
            <w:bookmarkEnd w:id="921"/>
            <w:bookmarkEnd w:id="922"/>
            <w:r w:rsidRPr="00D714FC">
              <w:t>provides a benefit to an infrastructure operator of more than 1</w:t>
            </w:r>
            <w:r w:rsidR="00AD544A">
              <w:t xml:space="preserve"> per cent</w:t>
            </w:r>
            <w:r w:rsidRPr="00D714FC">
              <w:t xml:space="preserve"> of the operator’s </w:t>
            </w:r>
            <w:r w:rsidR="00714685">
              <w:t xml:space="preserve">aggregate </w:t>
            </w:r>
            <w:r w:rsidRPr="00D714FC">
              <w:t>revenue requirement for the regulatory period.</w:t>
            </w:r>
            <w:bookmarkEnd w:id="923"/>
            <w:bookmarkEnd w:id="924"/>
            <w:bookmarkEnd w:id="925"/>
          </w:p>
          <w:p w:rsidR="00061C7E" w:rsidRPr="00D714FC" w:rsidRDefault="00061C7E" w:rsidP="00020517">
            <w:pPr>
              <w:pStyle w:val="Ruleadvicebullet"/>
            </w:pPr>
            <w:bookmarkStart w:id="926" w:name="_Toc432937584"/>
            <w:bookmarkStart w:id="927" w:name="_Toc433975354"/>
            <w:bookmarkStart w:id="928" w:name="_Toc435802818"/>
            <w:bookmarkStart w:id="929" w:name="_Toc436123388"/>
            <w:bookmarkStart w:id="930" w:name="_Toc456784041"/>
            <w:r w:rsidRPr="00D714FC">
              <w:t xml:space="preserve">For a taxation or regulatory event, </w:t>
            </w:r>
            <w:r>
              <w:t>the</w:t>
            </w:r>
            <w:r w:rsidR="00C41E80">
              <w:t xml:space="preserve"> current</w:t>
            </w:r>
            <w:r>
              <w:t xml:space="preserve"> </w:t>
            </w:r>
            <w:r w:rsidRPr="00D714FC">
              <w:t xml:space="preserve">materiality threshold </w:t>
            </w:r>
            <w:r>
              <w:t xml:space="preserve">should be </w:t>
            </w:r>
            <w:r w:rsidR="00A56544">
              <w:t xml:space="preserve">changed </w:t>
            </w:r>
            <w:r>
              <w:t xml:space="preserve">to </w:t>
            </w:r>
            <w:r w:rsidRPr="00D714FC">
              <w:t>1</w:t>
            </w:r>
            <w:r w:rsidR="00AD544A">
              <w:t xml:space="preserve"> per cent</w:t>
            </w:r>
            <w:r w:rsidRPr="00D714FC">
              <w:t xml:space="preserve"> of the </w:t>
            </w:r>
            <w:r w:rsidR="00714685">
              <w:t xml:space="preserve">aggregate </w:t>
            </w:r>
            <w:r w:rsidRPr="00D714FC">
              <w:t>revenue requirement for the regulatory period</w:t>
            </w:r>
            <w:r>
              <w:t>, and the current requirement for the event to have been ‘unforeseen’ should be removed</w:t>
            </w:r>
            <w:r w:rsidRPr="00D714FC">
              <w:t>.</w:t>
            </w:r>
            <w:bookmarkEnd w:id="926"/>
            <w:bookmarkEnd w:id="927"/>
            <w:bookmarkEnd w:id="928"/>
            <w:bookmarkEnd w:id="929"/>
            <w:bookmarkEnd w:id="930"/>
          </w:p>
          <w:p w:rsidR="00061C7E" w:rsidRPr="002E047E" w:rsidRDefault="00061C7E" w:rsidP="00020517">
            <w:pPr>
              <w:pStyle w:val="Ruleadvicebullet"/>
            </w:pPr>
            <w:bookmarkStart w:id="931" w:name="_Toc432937585"/>
            <w:bookmarkStart w:id="932" w:name="_Toc433975355"/>
            <w:bookmarkStart w:id="933" w:name="_Toc435802819"/>
            <w:bookmarkStart w:id="934" w:name="_Toc436123389"/>
            <w:bookmarkStart w:id="935" w:name="_Toc456784042"/>
            <w:r w:rsidRPr="00D714FC">
              <w:t xml:space="preserve">For other events, </w:t>
            </w:r>
            <w:r w:rsidR="00C41E80">
              <w:t xml:space="preserve">the current </w:t>
            </w:r>
            <w:r>
              <w:t xml:space="preserve">materiality threshold should be </w:t>
            </w:r>
            <w:r w:rsidR="00C41E80">
              <w:t xml:space="preserve">changed </w:t>
            </w:r>
            <w:r>
              <w:t xml:space="preserve">to </w:t>
            </w:r>
            <w:r w:rsidR="007E6558">
              <w:t>3</w:t>
            </w:r>
            <w:r w:rsidR="00AD544A">
              <w:t xml:space="preserve"> per cent</w:t>
            </w:r>
            <w:r w:rsidRPr="00D714FC">
              <w:t xml:space="preserve"> of the </w:t>
            </w:r>
            <w:r w:rsidR="00714685">
              <w:t xml:space="preserve">aggregate </w:t>
            </w:r>
            <w:r w:rsidRPr="00D714FC">
              <w:t xml:space="preserve">revenue requirement for </w:t>
            </w:r>
            <w:r w:rsidRPr="002E047E">
              <w:t>the regulatory period.</w:t>
            </w:r>
            <w:bookmarkEnd w:id="931"/>
            <w:bookmarkEnd w:id="932"/>
            <w:bookmarkEnd w:id="933"/>
            <w:bookmarkEnd w:id="934"/>
            <w:bookmarkEnd w:id="935"/>
          </w:p>
          <w:p w:rsidR="00AF4566" w:rsidRPr="002E047E" w:rsidRDefault="00AF4566" w:rsidP="00020517">
            <w:pPr>
              <w:pStyle w:val="Ruleadvicebullet"/>
            </w:pPr>
            <w:bookmarkStart w:id="936" w:name="_Toc456784043"/>
            <w:bookmarkStart w:id="937" w:name="_Toc432937586"/>
            <w:bookmarkStart w:id="938" w:name="_Toc433975356"/>
            <w:bookmarkStart w:id="939" w:name="_Toc435802820"/>
            <w:bookmarkStart w:id="940" w:name="_Toc436123390"/>
            <w:r w:rsidRPr="002E047E">
              <w:t xml:space="preserve">The term ‘aggregate revenue requirement’ should be </w:t>
            </w:r>
            <w:r w:rsidR="00D1346A" w:rsidRPr="002E047E">
              <w:t xml:space="preserve">defined </w:t>
            </w:r>
            <w:r w:rsidRPr="002E047E">
              <w:t xml:space="preserve">to be the </w:t>
            </w:r>
            <w:bookmarkEnd w:id="936"/>
            <w:r w:rsidR="0003295E" w:rsidRPr="002E047E">
              <w:t>sum of revenue from infrastructure charges and government contributions that was forecast for the regulatory period at the time that the ACCC made the initial approval or determination of the charges under rule 29</w:t>
            </w:r>
            <w:r w:rsidR="00DA5A93" w:rsidRPr="002E047E">
              <w:t>.</w:t>
            </w:r>
          </w:p>
          <w:p w:rsidR="00061C7E" w:rsidRPr="00B976F3" w:rsidRDefault="00886179" w:rsidP="00020517">
            <w:pPr>
              <w:pStyle w:val="Ruleadvicebullet"/>
            </w:pPr>
            <w:bookmarkStart w:id="941" w:name="_Toc456784044"/>
            <w:r w:rsidRPr="00B976F3">
              <w:t>T</w:t>
            </w:r>
            <w:r w:rsidR="00061C7E" w:rsidRPr="00B976F3">
              <w:t xml:space="preserve">he requirement for an operator to demonstrate that it is not able to reduce its expenditure </w:t>
            </w:r>
            <w:r w:rsidRPr="00B976F3">
              <w:t xml:space="preserve">to meet the cost of an event should be amended to </w:t>
            </w:r>
            <w:r w:rsidR="00155246" w:rsidRPr="00B976F3">
              <w:t>be a requirement to demonstrate that</w:t>
            </w:r>
            <w:r w:rsidRPr="00B976F3">
              <w:t xml:space="preserve"> </w:t>
            </w:r>
            <w:r w:rsidR="00CE4EDF" w:rsidRPr="00B976F3">
              <w:t xml:space="preserve">reductions </w:t>
            </w:r>
            <w:r w:rsidR="00155246" w:rsidRPr="00B976F3">
              <w:t xml:space="preserve">are not </w:t>
            </w:r>
            <w:r w:rsidRPr="00B976F3">
              <w:t xml:space="preserve">able to be done </w:t>
            </w:r>
            <w:r w:rsidR="00061C7E" w:rsidRPr="00B976F3">
              <w:t xml:space="preserve">without materially and adversely affecting the reliability or safety </w:t>
            </w:r>
            <w:r w:rsidR="00DB3164" w:rsidRPr="00B976F3">
              <w:t xml:space="preserve">(instead of reliability and safety) </w:t>
            </w:r>
            <w:r w:rsidR="00061C7E" w:rsidRPr="00B976F3">
              <w:t>of its water service infrastructure.</w:t>
            </w:r>
            <w:bookmarkEnd w:id="937"/>
            <w:bookmarkEnd w:id="938"/>
            <w:bookmarkEnd w:id="939"/>
            <w:bookmarkEnd w:id="940"/>
            <w:bookmarkEnd w:id="941"/>
          </w:p>
          <w:p w:rsidR="00061C7E" w:rsidRPr="00570CCA" w:rsidRDefault="00061C7E" w:rsidP="00464189">
            <w:pPr>
              <w:pStyle w:val="Heading8"/>
              <w:outlineLvl w:val="7"/>
            </w:pPr>
            <w:bookmarkStart w:id="942" w:name="_Toc435802823"/>
            <w:bookmarkStart w:id="943" w:name="_Toc436123391"/>
            <w:bookmarkStart w:id="944" w:name="_Toc456784045"/>
            <w:r>
              <w:rPr>
                <w:rFonts w:ascii="Times New Roman" w:hAnsi="Times New Roman"/>
              </w:rPr>
              <w:t xml:space="preserve">This rule advice is implemented in </w:t>
            </w:r>
            <w:r w:rsidR="00DB3164">
              <w:rPr>
                <w:rFonts w:ascii="Times New Roman" w:hAnsi="Times New Roman"/>
              </w:rPr>
              <w:t xml:space="preserve">Rule 3 and </w:t>
            </w:r>
            <w:r>
              <w:rPr>
                <w:rFonts w:ascii="Times New Roman" w:hAnsi="Times New Roman"/>
              </w:rPr>
              <w:t xml:space="preserve">Part 6, Division 4 of the </w:t>
            </w:r>
            <w:r w:rsidR="00841CD3">
              <w:rPr>
                <w:rFonts w:ascii="Times New Roman" w:hAnsi="Times New Roman"/>
              </w:rPr>
              <w:t xml:space="preserve">proposed </w:t>
            </w:r>
            <w:r w:rsidR="00222D0D">
              <w:rPr>
                <w:rFonts w:ascii="Times New Roman" w:hAnsi="Times New Roman"/>
              </w:rPr>
              <w:t>W</w:t>
            </w:r>
            <w:r w:rsidR="00841CD3">
              <w:rPr>
                <w:rFonts w:ascii="Times New Roman" w:hAnsi="Times New Roman"/>
              </w:rPr>
              <w:t xml:space="preserve">ater </w:t>
            </w:r>
            <w:r w:rsidR="00222D0D">
              <w:rPr>
                <w:rFonts w:ascii="Times New Roman" w:hAnsi="Times New Roman"/>
              </w:rPr>
              <w:t>C</w:t>
            </w:r>
            <w:r w:rsidR="00841CD3">
              <w:rPr>
                <w:rFonts w:ascii="Times New Roman" w:hAnsi="Times New Roman"/>
              </w:rPr>
              <w:t xml:space="preserve">harge </w:t>
            </w:r>
            <w:r w:rsidR="00222D0D">
              <w:rPr>
                <w:rFonts w:ascii="Times New Roman" w:hAnsi="Times New Roman"/>
              </w:rPr>
              <w:t>R</w:t>
            </w:r>
            <w:r w:rsidR="00841CD3">
              <w:rPr>
                <w:rFonts w:ascii="Times New Roman" w:hAnsi="Times New Roman"/>
              </w:rPr>
              <w:t>ules</w:t>
            </w:r>
            <w:r w:rsidR="00752375">
              <w:rPr>
                <w:rFonts w:ascii="Times New Roman" w:hAnsi="Times New Roman"/>
              </w:rPr>
              <w:t xml:space="preserve">. </w:t>
            </w:r>
            <w:bookmarkEnd w:id="920"/>
            <w:bookmarkEnd w:id="942"/>
            <w:bookmarkEnd w:id="943"/>
            <w:bookmarkEnd w:id="944"/>
          </w:p>
        </w:tc>
      </w:tr>
    </w:tbl>
    <w:p w:rsidR="007E6558" w:rsidRDefault="007E6558" w:rsidP="003A7058">
      <w:pPr>
        <w:pStyle w:val="Heading4"/>
      </w:pPr>
      <w:bookmarkStart w:id="945" w:name="_Toc436122306"/>
      <w:bookmarkStart w:id="946" w:name="_Toc436122801"/>
      <w:bookmarkStart w:id="947" w:name="_Toc436124156"/>
      <w:bookmarkEnd w:id="886"/>
      <w:r>
        <w:t>Background</w:t>
      </w:r>
    </w:p>
    <w:p w:rsidR="007E6558" w:rsidRPr="00D714FC" w:rsidRDefault="007E6558" w:rsidP="00135446">
      <w:pPr>
        <w:spacing w:after="120"/>
        <w:rPr>
          <w:rFonts w:eastAsia="Arial" w:cs="Times New Roman"/>
        </w:rPr>
      </w:pPr>
      <w:r w:rsidRPr="00D714FC">
        <w:rPr>
          <w:rFonts w:eastAsia="Arial" w:cs="Times New Roman"/>
        </w:rPr>
        <w:t xml:space="preserve">Currently under the </w:t>
      </w:r>
      <w:r>
        <w:rPr>
          <w:rFonts w:eastAsia="Arial" w:cs="Times New Roman"/>
        </w:rPr>
        <w:t>rules</w:t>
      </w:r>
      <w:r w:rsidRPr="00D714FC">
        <w:rPr>
          <w:rFonts w:eastAsia="Arial" w:cs="Times New Roman"/>
        </w:rPr>
        <w:t>, a Part 6 operator may request a variation of a determination if:</w:t>
      </w:r>
    </w:p>
    <w:p w:rsidR="007E6558" w:rsidRPr="00D714FC" w:rsidRDefault="007E6558" w:rsidP="00A82DE6">
      <w:pPr>
        <w:pStyle w:val="Lvl1Bulletpoint"/>
        <w:rPr>
          <w:rFonts w:eastAsia="Arial"/>
        </w:rPr>
      </w:pPr>
      <w:r w:rsidRPr="00D714FC">
        <w:rPr>
          <w:rFonts w:eastAsia="Arial"/>
        </w:rPr>
        <w:t>an event occurs during the regulatory period that materially and adversely affects the operator’s water service infrastructure or otherwise materially and adversely affects the operator’s business</w:t>
      </w:r>
    </w:p>
    <w:p w:rsidR="007E6558" w:rsidRPr="00D714FC" w:rsidRDefault="007E6558" w:rsidP="00A82DE6">
      <w:pPr>
        <w:pStyle w:val="Lvl1Bulletpoint"/>
        <w:rPr>
          <w:rFonts w:eastAsia="Arial"/>
        </w:rPr>
      </w:pPr>
      <w:r w:rsidRPr="00D714FC">
        <w:rPr>
          <w:rFonts w:eastAsia="Arial"/>
        </w:rPr>
        <w:t xml:space="preserve">the operator could not reasonably have foreseen the event. </w:t>
      </w:r>
    </w:p>
    <w:p w:rsidR="007E6558" w:rsidRPr="00D714FC" w:rsidRDefault="007E6558" w:rsidP="00135446">
      <w:pPr>
        <w:spacing w:after="120"/>
        <w:rPr>
          <w:rFonts w:eastAsia="Arial" w:cs="Times New Roman"/>
        </w:rPr>
      </w:pPr>
      <w:r w:rsidRPr="00D714FC">
        <w:rPr>
          <w:rFonts w:eastAsia="Arial" w:cs="Times New Roman"/>
        </w:rPr>
        <w:t xml:space="preserve">The operator must provide the regulator </w:t>
      </w:r>
      <w:r>
        <w:rPr>
          <w:rFonts w:eastAsia="Arial" w:cs="Times New Roman"/>
        </w:rPr>
        <w:t xml:space="preserve">with certain </w:t>
      </w:r>
      <w:r w:rsidRPr="00D714FC">
        <w:rPr>
          <w:rFonts w:eastAsia="Arial" w:cs="Times New Roman"/>
        </w:rPr>
        <w:t xml:space="preserve">details of the event and the attempts </w:t>
      </w:r>
      <w:r>
        <w:rPr>
          <w:rFonts w:eastAsia="Arial" w:cs="Times New Roman"/>
        </w:rPr>
        <w:t xml:space="preserve">it </w:t>
      </w:r>
      <w:r w:rsidRPr="00D714FC">
        <w:rPr>
          <w:rFonts w:eastAsia="Arial" w:cs="Times New Roman"/>
        </w:rPr>
        <w:t>made to rectify the material and adverse circumstances. The regulator must not vary a prior approval or determination unless it is satisfied of the above points, and:</w:t>
      </w:r>
    </w:p>
    <w:p w:rsidR="007E6558" w:rsidRPr="00D714FC" w:rsidRDefault="007E6558" w:rsidP="00A82DE6">
      <w:pPr>
        <w:pStyle w:val="Lvl1Bulletpoint"/>
        <w:rPr>
          <w:rFonts w:eastAsia="Arial"/>
        </w:rPr>
      </w:pPr>
      <w:r w:rsidRPr="00D714FC">
        <w:rPr>
          <w:rFonts w:eastAsia="Arial"/>
        </w:rPr>
        <w:t xml:space="preserve">that the amount required during the remainder of the regulatory period to rectify the material and adverse effects of the unforeseen event exceeds $15 million (absolute materiality threshold) or </w:t>
      </w:r>
      <w:r w:rsidR="00B2128B">
        <w:rPr>
          <w:rFonts w:eastAsia="Arial"/>
        </w:rPr>
        <w:t>five</w:t>
      </w:r>
      <w:r w:rsidRPr="0043382C">
        <w:rPr>
          <w:color w:val="000000"/>
        </w:rPr>
        <w:t xml:space="preserve"> </w:t>
      </w:r>
      <w:r>
        <w:rPr>
          <w:color w:val="000000"/>
        </w:rPr>
        <w:t>per cent</w:t>
      </w:r>
      <w:r w:rsidRPr="00D714FC">
        <w:rPr>
          <w:color w:val="000000"/>
        </w:rPr>
        <w:t xml:space="preserve"> </w:t>
      </w:r>
      <w:r w:rsidRPr="00D714FC">
        <w:rPr>
          <w:rFonts w:eastAsia="Arial"/>
        </w:rPr>
        <w:t xml:space="preserve">of the value of the operator’s </w:t>
      </w:r>
      <w:r w:rsidR="00CE6D61">
        <w:rPr>
          <w:rFonts w:eastAsia="Arial"/>
        </w:rPr>
        <w:t>r</w:t>
      </w:r>
      <w:r>
        <w:rPr>
          <w:rFonts w:eastAsia="Arial"/>
        </w:rPr>
        <w:t xml:space="preserve">egulatory </w:t>
      </w:r>
      <w:r w:rsidR="00CE6D61">
        <w:rPr>
          <w:rFonts w:eastAsia="Arial"/>
        </w:rPr>
        <w:t>a</w:t>
      </w:r>
      <w:r>
        <w:rPr>
          <w:rFonts w:eastAsia="Arial"/>
        </w:rPr>
        <w:t xml:space="preserve">sset </w:t>
      </w:r>
      <w:r w:rsidR="00CE6D61">
        <w:rPr>
          <w:rFonts w:eastAsia="Arial"/>
        </w:rPr>
        <w:t>b</w:t>
      </w:r>
      <w:r>
        <w:rPr>
          <w:rFonts w:eastAsia="Arial"/>
        </w:rPr>
        <w:t>ase (RAB)</w:t>
      </w:r>
      <w:r w:rsidRPr="00D714FC">
        <w:rPr>
          <w:rFonts w:eastAsia="Arial"/>
        </w:rPr>
        <w:t xml:space="preserve"> as at the beginning of the regulatory period (RAB materiality threshold), whichever is the lesser</w:t>
      </w:r>
    </w:p>
    <w:p w:rsidR="007E6558" w:rsidRPr="00D714FC" w:rsidRDefault="007E6558" w:rsidP="00A82DE6">
      <w:pPr>
        <w:pStyle w:val="Lvl1Bulletpoint"/>
        <w:rPr>
          <w:rFonts w:eastAsia="Arial"/>
        </w:rPr>
      </w:pPr>
      <w:r w:rsidRPr="00D714FC">
        <w:rPr>
          <w:rFonts w:eastAsia="Arial"/>
        </w:rPr>
        <w:t>that the total expenditure during the remaining part of the regulatory period will exceed the total forecast expenditure for that remaining part</w:t>
      </w:r>
    </w:p>
    <w:p w:rsidR="007E6558" w:rsidRDefault="007E6558" w:rsidP="00A82DE6">
      <w:pPr>
        <w:pStyle w:val="Lvl1Bulletpoint"/>
        <w:rPr>
          <w:rFonts w:eastAsia="Arial"/>
        </w:rPr>
      </w:pPr>
      <w:r w:rsidRPr="00D714FC">
        <w:rPr>
          <w:rFonts w:eastAsia="Arial"/>
        </w:rPr>
        <w:t>the operator has demonstrated that it is not able to reduce its expenditure without materially and adversely affecting the reliability and safety of its water service infrastructure or its ability to comply with relevant regulatory or legislative obligations.</w:t>
      </w:r>
      <w:r w:rsidR="00C6733C">
        <w:rPr>
          <w:rFonts w:eastAsia="Arial"/>
        </w:rPr>
        <w:t xml:space="preserve"> </w:t>
      </w:r>
    </w:p>
    <w:p w:rsidR="007E6558" w:rsidRDefault="007E6558" w:rsidP="00135446">
      <w:pPr>
        <w:spacing w:before="120" w:after="120"/>
        <w:rPr>
          <w:rFonts w:eastAsia="Arial" w:cs="Times New Roman"/>
        </w:rPr>
      </w:pPr>
      <w:r>
        <w:rPr>
          <w:rFonts w:eastAsia="Arial" w:cs="Times New Roman"/>
        </w:rPr>
        <w:t>In its Draft Advice, the ACCC identified that there were three key areas where the rules for variations of determinations could be improved:</w:t>
      </w:r>
    </w:p>
    <w:p w:rsidR="007E6558" w:rsidRDefault="007E6558" w:rsidP="00A82DE6">
      <w:pPr>
        <w:pStyle w:val="Lvl1Bulletpoint"/>
        <w:rPr>
          <w:rFonts w:eastAsia="Arial"/>
        </w:rPr>
      </w:pPr>
      <w:r>
        <w:rPr>
          <w:rFonts w:eastAsia="Arial"/>
        </w:rPr>
        <w:t>creating a new ‘contingent project’ mechanism whereby the operator may seek a variation to allow the operator to recover specific capital expenditure that was designated as a ‘contingent project’ during the initial determination</w:t>
      </w:r>
    </w:p>
    <w:p w:rsidR="007E6558" w:rsidRDefault="007E6558" w:rsidP="00A82DE6">
      <w:pPr>
        <w:pStyle w:val="Lvl1Bulletpoint"/>
        <w:rPr>
          <w:rFonts w:eastAsia="Arial"/>
        </w:rPr>
      </w:pPr>
      <w:r>
        <w:rPr>
          <w:rFonts w:eastAsia="Arial"/>
        </w:rPr>
        <w:t>allowing the regulator as well as the operator, to initiate a variation under certain circumstances</w:t>
      </w:r>
    </w:p>
    <w:p w:rsidR="007E6558" w:rsidRDefault="007E6558" w:rsidP="00A82DE6">
      <w:pPr>
        <w:pStyle w:val="Lvl1Bulletpoint"/>
        <w:rPr>
          <w:rFonts w:eastAsia="Arial"/>
        </w:rPr>
      </w:pPr>
      <w:r>
        <w:rPr>
          <w:rFonts w:eastAsia="Arial"/>
        </w:rPr>
        <w:t>adjusting the materiality thresholds that must be met before an operator may seek a variation.</w:t>
      </w:r>
    </w:p>
    <w:p w:rsidR="007E6558" w:rsidRPr="00D714FC" w:rsidRDefault="007E6558" w:rsidP="00D17F9C">
      <w:pPr>
        <w:pStyle w:val="Heading5"/>
      </w:pPr>
      <w:r w:rsidRPr="00D714FC">
        <w:t>Pass-throughs and contingent projects</w:t>
      </w:r>
    </w:p>
    <w:p w:rsidR="007E6558" w:rsidRPr="00D714FC" w:rsidRDefault="007E6558" w:rsidP="00135446">
      <w:pPr>
        <w:keepNext/>
        <w:spacing w:before="120" w:after="120"/>
        <w:rPr>
          <w:rFonts w:cs="Times New Roman"/>
        </w:rPr>
      </w:pPr>
      <w:r w:rsidRPr="00D714FC">
        <w:rPr>
          <w:rFonts w:cs="Times New Roman"/>
        </w:rPr>
        <w:t xml:space="preserve">Currently, a regulator must approve or determine infrastructure charges based on the forecast prudent and efficient cost of providing infrastructure services. This requires the regulator to form a view about whether the expenditure proposed by the infrastructure operator is prudent and efficient. For some ‘business as usual’ costs, there will be a high degree of certainty that the </w:t>
      </w:r>
      <w:r>
        <w:rPr>
          <w:rFonts w:cs="Times New Roman"/>
        </w:rPr>
        <w:t xml:space="preserve">infrastructure operator will incur the </w:t>
      </w:r>
      <w:r w:rsidRPr="00D714FC">
        <w:rPr>
          <w:rFonts w:cs="Times New Roman"/>
        </w:rPr>
        <w:t>costs. However, for other projects (such as certain capex items), there will be a degree of uncertainty about:</w:t>
      </w:r>
    </w:p>
    <w:p w:rsidR="007E6558" w:rsidRPr="00D714FC" w:rsidRDefault="007E6558" w:rsidP="00A82DE6">
      <w:pPr>
        <w:pStyle w:val="Lvl1Bulletpoint"/>
      </w:pPr>
      <w:r w:rsidRPr="00D714FC">
        <w:t>whether the infrastructure operator will go ahead with the project</w:t>
      </w:r>
    </w:p>
    <w:p w:rsidR="007E6558" w:rsidRPr="00D714FC" w:rsidRDefault="007E6558" w:rsidP="00A82DE6">
      <w:pPr>
        <w:pStyle w:val="Lvl1Bulletpoint"/>
      </w:pPr>
      <w:r w:rsidRPr="00D714FC">
        <w:t xml:space="preserve">whether the </w:t>
      </w:r>
      <w:r w:rsidR="00CE4EDF">
        <w:t xml:space="preserve">scope of the </w:t>
      </w:r>
      <w:r w:rsidRPr="00D714FC">
        <w:t xml:space="preserve">project will </w:t>
      </w:r>
      <w:r w:rsidR="00CE4EDF">
        <w:t xml:space="preserve">differ from that </w:t>
      </w:r>
      <w:r w:rsidRPr="00D714FC">
        <w:t xml:space="preserve">proposed </w:t>
      </w:r>
    </w:p>
    <w:p w:rsidR="007E6558" w:rsidRPr="00D714FC" w:rsidRDefault="007E6558" w:rsidP="00A82DE6">
      <w:pPr>
        <w:pStyle w:val="Lvl1Bulletpoint"/>
      </w:pPr>
      <w:r w:rsidRPr="00D714FC">
        <w:t>the timing of the expenditure of the project</w:t>
      </w:r>
      <w:r>
        <w:t>,</w:t>
      </w:r>
      <w:r w:rsidRPr="00D714FC">
        <w:t xml:space="preserve"> </w:t>
      </w:r>
      <w:r>
        <w:t>and</w:t>
      </w:r>
      <w:r w:rsidR="00CE4EDF">
        <w:t xml:space="preserve"> </w:t>
      </w:r>
      <w:r>
        <w:t>/</w:t>
      </w:r>
      <w:r w:rsidR="00CE4EDF">
        <w:t xml:space="preserve"> </w:t>
      </w:r>
      <w:r w:rsidRPr="00D714FC">
        <w:t>or</w:t>
      </w:r>
    </w:p>
    <w:p w:rsidR="007E6558" w:rsidRPr="00D714FC" w:rsidRDefault="007E6558" w:rsidP="00A82DE6">
      <w:pPr>
        <w:pStyle w:val="Lvl1Bulletpoint"/>
      </w:pPr>
      <w:r w:rsidRPr="00D714FC">
        <w:t xml:space="preserve">whether the cost of the project has been forecast accurately. </w:t>
      </w:r>
    </w:p>
    <w:p w:rsidR="007E6558" w:rsidRPr="00D714FC" w:rsidRDefault="007E6558" w:rsidP="007E6558">
      <w:pPr>
        <w:keepNext/>
        <w:rPr>
          <w:rFonts w:cs="Times New Roman"/>
        </w:rPr>
      </w:pPr>
      <w:r w:rsidRPr="00D714FC">
        <w:rPr>
          <w:rFonts w:cs="Times New Roman"/>
        </w:rPr>
        <w:t xml:space="preserve">Where the regulator factors the forecast expenditure into the infrastructure operator’s revenue requirement (and therefore into approved or determined charges), but the expenditure does not occur, customers will face higher than necessary charges. However, where the regulator does not factor this forecast expenditure into the revenue requirement and the expenditure proves necessary; this means that the infrastructure operator will be undercompensated for its provision of water infrastructure services. This may lead to reduced quality of services for customers and underinvestment in the infrastructure operator’s infrastructure. </w:t>
      </w:r>
    </w:p>
    <w:p w:rsidR="007E6558" w:rsidRPr="00D714FC" w:rsidRDefault="007E6558" w:rsidP="007E6558">
      <w:pPr>
        <w:keepNext/>
        <w:rPr>
          <w:rFonts w:cs="Times New Roman"/>
        </w:rPr>
      </w:pPr>
      <w:r w:rsidRPr="00D714FC">
        <w:rPr>
          <w:rFonts w:cs="Times New Roman"/>
        </w:rPr>
        <w:t>The ACCC recommend</w:t>
      </w:r>
      <w:r>
        <w:rPr>
          <w:rFonts w:cs="Times New Roman"/>
        </w:rPr>
        <w:t xml:space="preserve">ed in its Draft Advice </w:t>
      </w:r>
      <w:r w:rsidRPr="00D714FC">
        <w:rPr>
          <w:rFonts w:cs="Times New Roman"/>
        </w:rPr>
        <w:t xml:space="preserve">that the </w:t>
      </w:r>
      <w:r>
        <w:rPr>
          <w:rFonts w:cs="Times New Roman"/>
        </w:rPr>
        <w:t xml:space="preserve">rules allow the </w:t>
      </w:r>
      <w:r w:rsidRPr="00D714FC">
        <w:rPr>
          <w:rFonts w:cs="Times New Roman"/>
        </w:rPr>
        <w:t xml:space="preserve">regulator to specify a </w:t>
      </w:r>
      <w:r w:rsidR="00886179">
        <w:rPr>
          <w:rFonts w:cs="Times New Roman"/>
        </w:rPr>
        <w:t xml:space="preserve">specific </w:t>
      </w:r>
      <w:r w:rsidRPr="00D714FC">
        <w:rPr>
          <w:rFonts w:cs="Times New Roman"/>
        </w:rPr>
        <w:t xml:space="preserve">project </w:t>
      </w:r>
      <w:r>
        <w:rPr>
          <w:rFonts w:cs="Times New Roman"/>
        </w:rPr>
        <w:t xml:space="preserve">or particular portion of capital expenditure </w:t>
      </w:r>
      <w:r w:rsidR="00886179">
        <w:rPr>
          <w:rFonts w:cs="Times New Roman"/>
        </w:rPr>
        <w:t xml:space="preserve">related to a specific project </w:t>
      </w:r>
      <w:r w:rsidRPr="00D714FC">
        <w:rPr>
          <w:rFonts w:cs="Times New Roman"/>
        </w:rPr>
        <w:t xml:space="preserve">as a ‘contingent project’ during the </w:t>
      </w:r>
      <w:r>
        <w:rPr>
          <w:rFonts w:cs="Times New Roman"/>
        </w:rPr>
        <w:t>initial</w:t>
      </w:r>
      <w:r w:rsidRPr="00D714FC">
        <w:rPr>
          <w:rFonts w:cs="Times New Roman"/>
        </w:rPr>
        <w:t xml:space="preserve"> determination process, along with the criteria that must be met before the infrastructure operator can apply for the cost of the project to be factored into the calculation of the infrastructure operator’s charges for the remainder of the regulatory period</w:t>
      </w:r>
      <w:r>
        <w:rPr>
          <w:rFonts w:cs="Times New Roman"/>
        </w:rPr>
        <w:t xml:space="preserve"> (draft rule advice 5-Q)</w:t>
      </w:r>
      <w:r w:rsidRPr="00D714FC">
        <w:rPr>
          <w:rFonts w:cs="Times New Roman"/>
        </w:rPr>
        <w:t>. The</w:t>
      </w:r>
      <w:r>
        <w:rPr>
          <w:rFonts w:cs="Times New Roman"/>
        </w:rPr>
        <w:t xml:space="preserve"> advice stated these</w:t>
      </w:r>
      <w:r w:rsidRPr="00D714FC">
        <w:rPr>
          <w:rFonts w:cs="Times New Roman"/>
        </w:rPr>
        <w:t xml:space="preserve"> projects </w:t>
      </w:r>
      <w:r>
        <w:rPr>
          <w:rFonts w:cs="Times New Roman"/>
        </w:rPr>
        <w:t>should be limited to</w:t>
      </w:r>
      <w:r w:rsidRPr="00D714FC">
        <w:rPr>
          <w:rFonts w:cs="Times New Roman"/>
        </w:rPr>
        <w:t xml:space="preserve"> capital expenditure projects only. </w:t>
      </w:r>
    </w:p>
    <w:p w:rsidR="007E6558" w:rsidRPr="00D714FC" w:rsidRDefault="007E6558" w:rsidP="007E6558">
      <w:pPr>
        <w:keepNext/>
        <w:spacing w:after="120"/>
        <w:rPr>
          <w:rFonts w:cs="Times New Roman"/>
        </w:rPr>
      </w:pPr>
      <w:r w:rsidRPr="00D714FC">
        <w:rPr>
          <w:rFonts w:cs="Times New Roman"/>
        </w:rPr>
        <w:t>The ACCC consider</w:t>
      </w:r>
      <w:r>
        <w:rPr>
          <w:rFonts w:cs="Times New Roman"/>
        </w:rPr>
        <w:t>ed</w:t>
      </w:r>
      <w:r w:rsidRPr="00D714FC">
        <w:rPr>
          <w:rFonts w:cs="Times New Roman"/>
        </w:rPr>
        <w:t xml:space="preserve"> that </w:t>
      </w:r>
      <w:r>
        <w:rPr>
          <w:rFonts w:cs="Times New Roman"/>
        </w:rPr>
        <w:t xml:space="preserve">rules allowing </w:t>
      </w:r>
      <w:r w:rsidRPr="00D714FC">
        <w:rPr>
          <w:rFonts w:cs="Times New Roman"/>
        </w:rPr>
        <w:t>the regulator to specify a project as a contingent project in a determination should have the following elements:</w:t>
      </w:r>
    </w:p>
    <w:p w:rsidR="007E6558" w:rsidRPr="00D714FC" w:rsidRDefault="007E6558" w:rsidP="00135446">
      <w:pPr>
        <w:pStyle w:val="Lvl1Bulletpoint"/>
        <w:spacing w:after="0"/>
        <w:ind w:left="568" w:hanging="284"/>
      </w:pPr>
      <w:r w:rsidRPr="00D714FC">
        <w:t xml:space="preserve">the regulator should have the discretion to specify a project as a ‘contingent project’ </w:t>
      </w:r>
      <w:r>
        <w:t>(either in response to a Part 6 operator’s request, or on the regulator’s initiative), taking into account:</w:t>
      </w:r>
    </w:p>
    <w:p w:rsidR="007E6558" w:rsidRPr="00D714FC" w:rsidRDefault="007E6558" w:rsidP="009B6ED8">
      <w:pPr>
        <w:pStyle w:val="Lvl2Bulletpoint"/>
      </w:pPr>
      <w:r w:rsidRPr="00D714FC">
        <w:t>the cost of the project</w:t>
      </w:r>
    </w:p>
    <w:p w:rsidR="007E6558" w:rsidRPr="00D714FC" w:rsidRDefault="007E6558" w:rsidP="009B6ED8">
      <w:pPr>
        <w:pStyle w:val="Lvl2Bulletpoint"/>
      </w:pPr>
      <w:r w:rsidRPr="00D714FC">
        <w:t>the likelihood the project will occur</w:t>
      </w:r>
    </w:p>
    <w:p w:rsidR="007E6558" w:rsidRPr="00D714FC" w:rsidRDefault="007E6558" w:rsidP="009B6ED8">
      <w:pPr>
        <w:pStyle w:val="Lvl2Bulletpoint"/>
      </w:pPr>
      <w:r w:rsidRPr="00D714FC">
        <w:t>the timing of the project</w:t>
      </w:r>
    </w:p>
    <w:p w:rsidR="007E6558" w:rsidRPr="00D714FC" w:rsidRDefault="007E6558" w:rsidP="009B6ED8">
      <w:pPr>
        <w:pStyle w:val="Lvl2Bulletpoint"/>
      </w:pPr>
      <w:r w:rsidRPr="00D714FC">
        <w:t>the necessity of the project</w:t>
      </w:r>
    </w:p>
    <w:p w:rsidR="007E6558" w:rsidRPr="00D714FC" w:rsidRDefault="007E6558" w:rsidP="009B6ED8">
      <w:pPr>
        <w:pStyle w:val="Lvl2Bulletpoint"/>
      </w:pPr>
      <w:r w:rsidRPr="00D714FC">
        <w:t>the feasibility of the project</w:t>
      </w:r>
      <w:r>
        <w:t>.</w:t>
      </w:r>
      <w:r w:rsidRPr="00D714FC">
        <w:t xml:space="preserve"> </w:t>
      </w:r>
    </w:p>
    <w:p w:rsidR="007E6558" w:rsidRPr="00D714FC" w:rsidRDefault="007E6558" w:rsidP="00A82DE6">
      <w:pPr>
        <w:pStyle w:val="Lvl1Bulletpoint"/>
      </w:pPr>
      <w:r w:rsidRPr="00D714FC">
        <w:t>the regulator may specify the criteria (or ‘trigger event’) that must be met before the infrastructure operator can apply for the contingent project to be included in the revenue requirement for the remainder of the regulatory period</w:t>
      </w:r>
      <w:r>
        <w:t>; the criteria set would depend upon the circumstances</w:t>
      </w:r>
      <w:r w:rsidRPr="00D714FC">
        <w:t xml:space="preserve">. </w:t>
      </w:r>
    </w:p>
    <w:p w:rsidR="007E6558" w:rsidRPr="00D714FC" w:rsidRDefault="007E6558" w:rsidP="00A82DE6">
      <w:pPr>
        <w:pStyle w:val="Lvl1Bulletpoint"/>
      </w:pPr>
      <w:r w:rsidRPr="00D714FC">
        <w:t>where the regulator is satisfied that the contingent project meets the criteria, the regulator can review whether the contingent project is included in the revenue requirement for the remainder of the regulatory period</w:t>
      </w:r>
      <w:r>
        <w:t>, taking into account information that was not available at the time of the original determination</w:t>
      </w:r>
      <w:r w:rsidRPr="00D714FC">
        <w:t>.</w:t>
      </w:r>
    </w:p>
    <w:p w:rsidR="007E6558" w:rsidRPr="00D714FC" w:rsidRDefault="007E6558" w:rsidP="00A82DE6">
      <w:pPr>
        <w:pStyle w:val="Lvl1Bulletpoint"/>
      </w:pPr>
      <w:r w:rsidRPr="00D714FC">
        <w:t>as a result of including the contingent project in the revenue requirement for the remainder of the regulatory period, the regulator can decide which infrastructure charges should be varied, by how much and when</w:t>
      </w:r>
      <w:r>
        <w:t>, subject to the decision rules discussed in section 5.6.3</w:t>
      </w:r>
      <w:r w:rsidRPr="00D714FC">
        <w:t>.</w:t>
      </w:r>
    </w:p>
    <w:p w:rsidR="007E6558" w:rsidRPr="00D714FC" w:rsidRDefault="007E6558" w:rsidP="00D17F9C">
      <w:pPr>
        <w:pStyle w:val="Heading5"/>
        <w:rPr>
          <w:rFonts w:eastAsia="Arial"/>
        </w:rPr>
      </w:pPr>
      <w:r>
        <w:rPr>
          <w:rFonts w:eastAsia="Arial"/>
        </w:rPr>
        <w:t>Allowing the regulator to initiate a variation in certain circumstances</w:t>
      </w:r>
      <w:r w:rsidRPr="00D714FC">
        <w:rPr>
          <w:rFonts w:eastAsia="Arial"/>
        </w:rPr>
        <w:t xml:space="preserve"> </w:t>
      </w:r>
    </w:p>
    <w:p w:rsidR="007E6558" w:rsidRPr="00D714FC" w:rsidRDefault="007E6558" w:rsidP="007E6558">
      <w:pPr>
        <w:spacing w:before="120"/>
        <w:rPr>
          <w:rFonts w:eastAsia="Arial" w:cs="Times New Roman"/>
        </w:rPr>
      </w:pPr>
      <w:r w:rsidRPr="00D714FC">
        <w:rPr>
          <w:rFonts w:eastAsia="Arial" w:cs="Times New Roman"/>
        </w:rPr>
        <w:t xml:space="preserve">Currently, only a Part 6 operator may seek a variation of an approval / determination. This means that where an unforeseen event occurs that materially and adversely affects a Part 6 operator, the operator can seek to vary the original approval / determination to remedy the effects of the unforeseen event. However, where the unforeseen event confers on the Part 6 operator a material benefit, there is no opportunity for the regulator to vary the approval / determination in order to share these material benefits with the operator’s customers via reduced </w:t>
      </w:r>
      <w:r>
        <w:rPr>
          <w:rFonts w:eastAsia="Arial" w:cs="Times New Roman"/>
        </w:rPr>
        <w:t xml:space="preserve">infrastructure </w:t>
      </w:r>
      <w:r w:rsidRPr="00D714FC">
        <w:rPr>
          <w:rFonts w:eastAsia="Arial" w:cs="Times New Roman"/>
        </w:rPr>
        <w:t>charges.</w:t>
      </w:r>
    </w:p>
    <w:p w:rsidR="007E6558" w:rsidRPr="00D714FC" w:rsidRDefault="007E6558" w:rsidP="007E6558">
      <w:pPr>
        <w:rPr>
          <w:rFonts w:eastAsia="Arial" w:cs="Times New Roman"/>
        </w:rPr>
      </w:pPr>
      <w:r>
        <w:rPr>
          <w:rFonts w:eastAsia="Arial" w:cs="Times New Roman"/>
        </w:rPr>
        <w:t>In its Draft Advice, t</w:t>
      </w:r>
      <w:r w:rsidRPr="00D714FC">
        <w:rPr>
          <w:rFonts w:eastAsia="Arial" w:cs="Times New Roman"/>
        </w:rPr>
        <w:t xml:space="preserve">he ACCC </w:t>
      </w:r>
      <w:r>
        <w:rPr>
          <w:rFonts w:eastAsia="Arial" w:cs="Times New Roman"/>
        </w:rPr>
        <w:t>considered that both the regulator and the Part 6 operato</w:t>
      </w:r>
      <w:r w:rsidRPr="00D714FC">
        <w:rPr>
          <w:rFonts w:eastAsia="Arial" w:cs="Times New Roman"/>
        </w:rPr>
        <w:t>r</w:t>
      </w:r>
      <w:r>
        <w:rPr>
          <w:rFonts w:eastAsia="Arial" w:cs="Times New Roman"/>
        </w:rPr>
        <w:t xml:space="preserve"> should be allowed to initiate a variation for r</w:t>
      </w:r>
      <w:r w:rsidRPr="00D714FC">
        <w:rPr>
          <w:rFonts w:eastAsia="Arial" w:cs="Times New Roman"/>
        </w:rPr>
        <w:t xml:space="preserve">egulatory and taxation events </w:t>
      </w:r>
      <w:r>
        <w:rPr>
          <w:rFonts w:eastAsia="Arial" w:cs="Times New Roman"/>
        </w:rPr>
        <w:t>but only the Part 6 operator should be permitted to initiate a variation for other events. The reasons for this are set out below.</w:t>
      </w:r>
    </w:p>
    <w:p w:rsidR="007E6558" w:rsidRPr="00250B7A" w:rsidRDefault="007E6558" w:rsidP="00D17F9C">
      <w:pPr>
        <w:pStyle w:val="Heading5"/>
      </w:pPr>
      <w:r w:rsidRPr="00250B7A">
        <w:t>Taxation / regulatory events</w:t>
      </w:r>
    </w:p>
    <w:p w:rsidR="007E6558" w:rsidRPr="00D714FC" w:rsidRDefault="007E6558" w:rsidP="007E6558">
      <w:pPr>
        <w:spacing w:before="120" w:after="120"/>
        <w:rPr>
          <w:rFonts w:cs="Times New Roman"/>
        </w:rPr>
      </w:pPr>
      <w:r w:rsidRPr="00D714FC">
        <w:rPr>
          <w:rFonts w:cs="Times New Roman"/>
        </w:rPr>
        <w:t xml:space="preserve">The ACCC </w:t>
      </w:r>
      <w:r>
        <w:rPr>
          <w:rFonts w:cs="Times New Roman"/>
        </w:rPr>
        <w:t xml:space="preserve">made draft rule advice to allow </w:t>
      </w:r>
      <w:r w:rsidRPr="00D714FC">
        <w:rPr>
          <w:rFonts w:cs="Times New Roman"/>
          <w:i/>
        </w:rPr>
        <w:t>both</w:t>
      </w:r>
      <w:r w:rsidRPr="00D714FC">
        <w:rPr>
          <w:rFonts w:cs="Times New Roman"/>
        </w:rPr>
        <w:t xml:space="preserve"> the regulator and the Part 6 operator </w:t>
      </w:r>
      <w:r>
        <w:rPr>
          <w:rFonts w:cs="Times New Roman"/>
        </w:rPr>
        <w:t xml:space="preserve">to </w:t>
      </w:r>
      <w:r w:rsidRPr="00D714FC">
        <w:rPr>
          <w:rFonts w:cs="Times New Roman"/>
        </w:rPr>
        <w:t>seek a variation of the original approval / determination on the grounds of taxation</w:t>
      </w:r>
      <w:r w:rsidR="00D3128D">
        <w:rPr>
          <w:rFonts w:cs="Times New Roman"/>
        </w:rPr>
        <w:t xml:space="preserve"> events</w:t>
      </w:r>
      <w:r w:rsidRPr="00D714FC">
        <w:rPr>
          <w:rStyle w:val="FootnoteReference"/>
          <w:rFonts w:cs="Times New Roman"/>
        </w:rPr>
        <w:footnoteReference w:id="429"/>
      </w:r>
      <w:r w:rsidRPr="00D714FC">
        <w:rPr>
          <w:rFonts w:cs="Times New Roman"/>
        </w:rPr>
        <w:t xml:space="preserve"> </w:t>
      </w:r>
      <w:r w:rsidR="00D3128D">
        <w:rPr>
          <w:rFonts w:cs="Times New Roman"/>
        </w:rPr>
        <w:t>or</w:t>
      </w:r>
      <w:r w:rsidRPr="00D714FC">
        <w:rPr>
          <w:rFonts w:cs="Times New Roman"/>
        </w:rPr>
        <w:t xml:space="preserve"> regulatory events</w:t>
      </w:r>
      <w:r w:rsidRPr="00D714FC">
        <w:rPr>
          <w:rStyle w:val="FootnoteReference"/>
          <w:rFonts w:cs="Times New Roman"/>
        </w:rPr>
        <w:footnoteReference w:id="430"/>
      </w:r>
      <w:r w:rsidR="00C6733C">
        <w:rPr>
          <w:rFonts w:cs="Times New Roman"/>
        </w:rPr>
        <w:t xml:space="preserve"> </w:t>
      </w:r>
      <w:r>
        <w:rPr>
          <w:rFonts w:cs="Times New Roman"/>
        </w:rPr>
        <w:t>(draft rule advice 5-R)</w:t>
      </w:r>
      <w:r w:rsidRPr="00D714FC">
        <w:rPr>
          <w:rFonts w:cs="Times New Roman"/>
        </w:rPr>
        <w:t xml:space="preserve">. This would include the situation where a Part 6 operator imposes regulated charges on other Part 6 operators (for example, if either the BRC or </w:t>
      </w:r>
      <w:r w:rsidR="00BF194C">
        <w:rPr>
          <w:rFonts w:cs="Times New Roman"/>
        </w:rPr>
        <w:t>Murray-Darling Basin Authority (</w:t>
      </w:r>
      <w:r w:rsidRPr="00D714FC">
        <w:rPr>
          <w:rFonts w:cs="Times New Roman"/>
        </w:rPr>
        <w:t>MDBA</w:t>
      </w:r>
      <w:r w:rsidR="00BF194C">
        <w:rPr>
          <w:rFonts w:cs="Times New Roman"/>
        </w:rPr>
        <w:t>)</w:t>
      </w:r>
      <w:r w:rsidRPr="00D714FC">
        <w:rPr>
          <w:rFonts w:cs="Times New Roman"/>
        </w:rPr>
        <w:t xml:space="preserve"> directly imposed charges for infrastructure services on other Part 6 operators).</w:t>
      </w:r>
      <w:r w:rsidR="00C6733C">
        <w:rPr>
          <w:rFonts w:cs="Times New Roman"/>
        </w:rPr>
        <w:t xml:space="preserve"> </w:t>
      </w:r>
      <w:r w:rsidRPr="00D714FC">
        <w:rPr>
          <w:rFonts w:cs="Times New Roman"/>
        </w:rPr>
        <w:t xml:space="preserve">Notwithstanding the costs of the variation process, and the fact that, to some extent, the regulator can deal with this change in tax </w:t>
      </w:r>
      <w:r>
        <w:rPr>
          <w:rFonts w:cs="Times New Roman"/>
        </w:rPr>
        <w:t xml:space="preserve">or </w:t>
      </w:r>
      <w:r w:rsidRPr="00D714FC">
        <w:rPr>
          <w:rFonts w:cs="Times New Roman"/>
        </w:rPr>
        <w:t>regulatory events at the next approval / determination process, the ACCC considers that there are compelling reasons for allowing the regulator to initiate a variation in this context:</w:t>
      </w:r>
    </w:p>
    <w:p w:rsidR="007E6558" w:rsidRPr="00D714FC" w:rsidRDefault="007E6558" w:rsidP="00A82DE6">
      <w:pPr>
        <w:pStyle w:val="Lvl1Bulletpoint"/>
      </w:pPr>
      <w:r w:rsidRPr="00D714FC">
        <w:t>in many cases the intention of the government in making taxation and regulatory changes is that the benefits of these changes should be passed onto customers. Where such a policy intent is clearly evident, the regulator should not frustrate this clear intention.</w:t>
      </w:r>
      <w:r w:rsidR="00C6733C">
        <w:t xml:space="preserve"> </w:t>
      </w:r>
    </w:p>
    <w:p w:rsidR="007E6558" w:rsidRPr="00D714FC" w:rsidRDefault="007E6558" w:rsidP="00A82DE6">
      <w:pPr>
        <w:pStyle w:val="Lvl1Bulletpoint"/>
      </w:pPr>
      <w:r w:rsidRPr="00D714FC">
        <w:t>extra revenue</w:t>
      </w:r>
      <w:r>
        <w:t xml:space="preserve"> or </w:t>
      </w:r>
      <w:r w:rsidRPr="00D714FC">
        <w:t>lower costs from a taxation</w:t>
      </w:r>
      <w:r>
        <w:t xml:space="preserve"> or </w:t>
      </w:r>
      <w:r w:rsidRPr="00D714FC">
        <w:t xml:space="preserve">regulatory change is a windfall gain. It is not apparent why Part 6 operators should </w:t>
      </w:r>
      <w:r>
        <w:t xml:space="preserve">solely </w:t>
      </w:r>
      <w:r w:rsidRPr="00D714FC">
        <w:t xml:space="preserve">benefit from this windfall gain rather than passing it (at least in part) on to customers. </w:t>
      </w:r>
    </w:p>
    <w:p w:rsidR="007E6558" w:rsidRPr="00D714FC" w:rsidRDefault="007E6558" w:rsidP="00A82DE6">
      <w:pPr>
        <w:pStyle w:val="Lvl1Bulletpoint"/>
      </w:pPr>
      <w:r w:rsidRPr="00D714FC">
        <w:t xml:space="preserve">the costs for undertaking the variation review are unlikely to be high </w:t>
      </w:r>
      <w:r w:rsidR="00CE4EDF">
        <w:t>because</w:t>
      </w:r>
      <w:r w:rsidR="00CE4EDF" w:rsidRPr="00D714FC">
        <w:t xml:space="preserve"> </w:t>
      </w:r>
      <w:r w:rsidRPr="00D714FC">
        <w:t xml:space="preserve">the main question to be decided </w:t>
      </w:r>
      <w:r>
        <w:t>is</w:t>
      </w:r>
      <w:r w:rsidRPr="00D714FC">
        <w:t xml:space="preserve"> the monetary cost of the taxation and regulatory events</w:t>
      </w:r>
      <w:r>
        <w:t>. These</w:t>
      </w:r>
      <w:r w:rsidRPr="00D714FC">
        <w:t xml:space="preserve"> should be measurable.</w:t>
      </w:r>
      <w:r w:rsidR="00C6733C">
        <w:t xml:space="preserve"> </w:t>
      </w:r>
    </w:p>
    <w:p w:rsidR="007E6558" w:rsidRPr="00D714FC" w:rsidRDefault="007E6558" w:rsidP="00A82DE6">
      <w:pPr>
        <w:pStyle w:val="Lvl1Bulletpoint"/>
      </w:pPr>
      <w:r w:rsidRPr="00D714FC">
        <w:t xml:space="preserve">it is consistent with other regulatory frameworks, such as the </w:t>
      </w:r>
      <w:r>
        <w:t>National Electricity Rules</w:t>
      </w:r>
      <w:r w:rsidRPr="00D714FC">
        <w:t>. Under the N</w:t>
      </w:r>
      <w:r w:rsidR="009542D1">
        <w:t xml:space="preserve">ational </w:t>
      </w:r>
      <w:r w:rsidRPr="00D714FC">
        <w:t>E</w:t>
      </w:r>
      <w:r w:rsidR="009542D1">
        <w:t xml:space="preserve">lectricity </w:t>
      </w:r>
      <w:r w:rsidRPr="00D714FC">
        <w:t>R</w:t>
      </w:r>
      <w:r w:rsidR="009542D1">
        <w:t>ules</w:t>
      </w:r>
      <w:r w:rsidRPr="00D714FC">
        <w:t>, the regulator is allowed to seek the variation of the original approval / determination in certain circumstances.</w:t>
      </w:r>
    </w:p>
    <w:p w:rsidR="007E6558" w:rsidRPr="00D714FC" w:rsidRDefault="007E6558" w:rsidP="007E6558">
      <w:pPr>
        <w:rPr>
          <w:rFonts w:cs="Times New Roman"/>
        </w:rPr>
      </w:pPr>
      <w:r w:rsidRPr="00D714FC">
        <w:rPr>
          <w:rFonts w:cs="Times New Roman"/>
        </w:rPr>
        <w:t>The ACCC acknowledge</w:t>
      </w:r>
      <w:r>
        <w:rPr>
          <w:rFonts w:cs="Times New Roman"/>
        </w:rPr>
        <w:t>d</w:t>
      </w:r>
      <w:r w:rsidRPr="00D714FC">
        <w:rPr>
          <w:rFonts w:cs="Times New Roman"/>
        </w:rPr>
        <w:t xml:space="preserve"> that to allow for the regulator to initiate a variation of the original approval / determination due to changes in taxation or regulato</w:t>
      </w:r>
      <w:r>
        <w:rPr>
          <w:rFonts w:cs="Times New Roman"/>
        </w:rPr>
        <w:t>ry arrangements</w:t>
      </w:r>
      <w:r w:rsidRPr="00D714FC">
        <w:rPr>
          <w:rFonts w:cs="Times New Roman"/>
        </w:rPr>
        <w:t xml:space="preserve"> would </w:t>
      </w:r>
      <w:r>
        <w:rPr>
          <w:rFonts w:cs="Times New Roman"/>
        </w:rPr>
        <w:t xml:space="preserve">not be in the interests of </w:t>
      </w:r>
      <w:r w:rsidRPr="00D714FC">
        <w:rPr>
          <w:rFonts w:cs="Times New Roman"/>
        </w:rPr>
        <w:t>Part 6 operator</w:t>
      </w:r>
      <w:r>
        <w:rPr>
          <w:rFonts w:cs="Times New Roman"/>
        </w:rPr>
        <w:t>s</w:t>
      </w:r>
      <w:r w:rsidRPr="00D714FC">
        <w:rPr>
          <w:rFonts w:cs="Times New Roman"/>
        </w:rPr>
        <w:t xml:space="preserve">. Previously, if the Part 6 operator was affected by an unforeseen and material taxation or regulatory event that caused it to gain additional revenue or face significantly reduced costs, it could keep this gain (although it may need to later give it back through other mechanisms). However, if the regulator were allowed to seek the variation of an approval </w:t>
      </w:r>
      <w:r>
        <w:rPr>
          <w:rFonts w:cs="Times New Roman"/>
        </w:rPr>
        <w:t xml:space="preserve">/ </w:t>
      </w:r>
      <w:r w:rsidRPr="00D714FC">
        <w:rPr>
          <w:rFonts w:cs="Times New Roman"/>
        </w:rPr>
        <w:t xml:space="preserve">determination due to taxation </w:t>
      </w:r>
      <w:r>
        <w:rPr>
          <w:rFonts w:cs="Times New Roman"/>
        </w:rPr>
        <w:t>or</w:t>
      </w:r>
      <w:r w:rsidRPr="00D714FC">
        <w:rPr>
          <w:rFonts w:cs="Times New Roman"/>
        </w:rPr>
        <w:t xml:space="preserve"> regulatory changes, then a Part 6 operator may need to immediately give back all or part of the ‘upside’ from this unforeseen event in the form of reduced </w:t>
      </w:r>
      <w:r>
        <w:rPr>
          <w:rFonts w:cs="Times New Roman"/>
        </w:rPr>
        <w:t xml:space="preserve">infrastructure </w:t>
      </w:r>
      <w:r w:rsidRPr="00D714FC">
        <w:rPr>
          <w:rFonts w:cs="Times New Roman"/>
        </w:rPr>
        <w:t>charges in future years of the regulatory period.</w:t>
      </w:r>
      <w:r w:rsidRPr="00D714FC" w:rsidDel="006A174F">
        <w:rPr>
          <w:rFonts w:cs="Times New Roman"/>
        </w:rPr>
        <w:t xml:space="preserve"> </w:t>
      </w:r>
      <w:r w:rsidRPr="00D714FC">
        <w:rPr>
          <w:rFonts w:cs="Times New Roman"/>
        </w:rPr>
        <w:t>Moreover, the operator will be subject to the costs of involvement in a variation process, although these costs are unlikely to be high due to the restricted subject matter of such a review.</w:t>
      </w:r>
    </w:p>
    <w:p w:rsidR="007E6558" w:rsidRPr="00D714FC" w:rsidRDefault="007E6558" w:rsidP="007E6558">
      <w:pPr>
        <w:keepNext/>
        <w:keepLines/>
        <w:spacing w:after="320"/>
        <w:rPr>
          <w:rFonts w:cs="Times New Roman"/>
        </w:rPr>
      </w:pPr>
      <w:r w:rsidRPr="00D714FC">
        <w:rPr>
          <w:rFonts w:cs="Times New Roman"/>
        </w:rPr>
        <w:t xml:space="preserve">The ACCC </w:t>
      </w:r>
      <w:r>
        <w:rPr>
          <w:rFonts w:cs="Times New Roman"/>
        </w:rPr>
        <w:t xml:space="preserve">also </w:t>
      </w:r>
      <w:r w:rsidRPr="00D714FC">
        <w:rPr>
          <w:rFonts w:cs="Times New Roman"/>
        </w:rPr>
        <w:t>note</w:t>
      </w:r>
      <w:r>
        <w:rPr>
          <w:rFonts w:cs="Times New Roman"/>
        </w:rPr>
        <w:t>d</w:t>
      </w:r>
      <w:r w:rsidRPr="00D714FC">
        <w:rPr>
          <w:rFonts w:cs="Times New Roman"/>
        </w:rPr>
        <w:t xml:space="preserve"> that the current variation process would not allow for the amendment of the original approval / determination in many circumstances to account for taxation and regulatory events. Where the event is foreseeable (but the monetary impact of the event is uncertain), the current variation process does not permit the regulator to vary the original approval or determination to account for this regulatory or taxation event. Given the difficulty for a Part 6 operator in avoiding or mitigating these costs when they occur, the ACCC consider</w:t>
      </w:r>
      <w:r>
        <w:rPr>
          <w:rFonts w:cs="Times New Roman"/>
        </w:rPr>
        <w:t>ed</w:t>
      </w:r>
      <w:r w:rsidRPr="00D714FC">
        <w:rPr>
          <w:rFonts w:cs="Times New Roman"/>
        </w:rPr>
        <w:t xml:space="preserve"> it appropriate to remove this foreseeability requirement from the </w:t>
      </w:r>
      <w:r>
        <w:rPr>
          <w:rFonts w:cs="Times New Roman"/>
        </w:rPr>
        <w:t>rules</w:t>
      </w:r>
      <w:r w:rsidRPr="00D714FC">
        <w:rPr>
          <w:rFonts w:cs="Times New Roman"/>
        </w:rPr>
        <w:t xml:space="preserve"> with regard to taxation and regulatory events.</w:t>
      </w:r>
      <w:r w:rsidR="00C6733C">
        <w:rPr>
          <w:rFonts w:cs="Times New Roman"/>
        </w:rPr>
        <w:t xml:space="preserve"> </w:t>
      </w:r>
    </w:p>
    <w:p w:rsidR="007E6558" w:rsidRPr="00250B7A" w:rsidRDefault="007E6558" w:rsidP="00D17F9C">
      <w:pPr>
        <w:pStyle w:val="Heading5"/>
      </w:pPr>
      <w:r w:rsidRPr="00250B7A">
        <w:t>Other Events</w:t>
      </w:r>
    </w:p>
    <w:p w:rsidR="007E6558" w:rsidRPr="00D714FC" w:rsidRDefault="007E6558" w:rsidP="007E6558">
      <w:pPr>
        <w:keepNext/>
        <w:keepLines/>
        <w:spacing w:before="120" w:after="120"/>
        <w:rPr>
          <w:rFonts w:cs="Times New Roman"/>
        </w:rPr>
      </w:pPr>
      <w:r w:rsidRPr="00D714FC">
        <w:rPr>
          <w:rFonts w:cs="Times New Roman"/>
        </w:rPr>
        <w:t xml:space="preserve">The ACCC considers that while Part 6 operators should be able to initiate a variation review for other events, regulators should </w:t>
      </w:r>
      <w:r w:rsidRPr="00D714FC">
        <w:rPr>
          <w:rFonts w:cs="Times New Roman"/>
          <w:i/>
        </w:rPr>
        <w:t>not</w:t>
      </w:r>
      <w:r w:rsidRPr="00D714FC">
        <w:rPr>
          <w:rFonts w:cs="Times New Roman"/>
        </w:rPr>
        <w:t xml:space="preserve"> be able to do so. There are several reasons</w:t>
      </w:r>
      <w:r w:rsidR="00FE7DAB">
        <w:rPr>
          <w:rFonts w:cs="Times New Roman"/>
        </w:rPr>
        <w:t>,</w:t>
      </w:r>
      <w:r w:rsidRPr="00D714FC">
        <w:rPr>
          <w:rFonts w:cs="Times New Roman"/>
        </w:rPr>
        <w:t xml:space="preserve"> which suggest that regulators should be able to initiate such reviews, including symmetry with variations for taxation and regulatory events; fairness in allowing customers to share in unforeseen gains made by Part 6 operators; and consistency with other regulatory frameworks such as the </w:t>
      </w:r>
      <w:r w:rsidR="00CE4EDF">
        <w:rPr>
          <w:rFonts w:cs="Times New Roman"/>
        </w:rPr>
        <w:t>National Electricity Rules (</w:t>
      </w:r>
      <w:r w:rsidRPr="00D714FC">
        <w:rPr>
          <w:rFonts w:cs="Times New Roman"/>
        </w:rPr>
        <w:t>NER</w:t>
      </w:r>
      <w:r w:rsidR="00CE4EDF">
        <w:rPr>
          <w:rFonts w:cs="Times New Roman"/>
        </w:rPr>
        <w:t>)</w:t>
      </w:r>
      <w:r w:rsidRPr="00D714FC">
        <w:rPr>
          <w:rFonts w:cs="Times New Roman"/>
        </w:rPr>
        <w:t xml:space="preserve">. However, on balance the ACCC considers that there are compelling reasons for </w:t>
      </w:r>
      <w:r w:rsidRPr="00D714FC">
        <w:rPr>
          <w:rFonts w:cs="Times New Roman"/>
          <w:i/>
        </w:rPr>
        <w:t>not</w:t>
      </w:r>
      <w:r w:rsidRPr="00D714FC">
        <w:rPr>
          <w:rFonts w:cs="Times New Roman"/>
        </w:rPr>
        <w:t xml:space="preserve"> allowing regulators to initiate such variation review processes including:</w:t>
      </w:r>
    </w:p>
    <w:p w:rsidR="007E6558" w:rsidRPr="00CE4EDF" w:rsidRDefault="007E6558" w:rsidP="00A82DE6">
      <w:pPr>
        <w:pStyle w:val="Lvl1Bulletpoint"/>
      </w:pPr>
      <w:r w:rsidRPr="00CE4EDF">
        <w:t>providing an incentive for Part 6 operators to seek efficiencies</w:t>
      </w:r>
      <w:r w:rsidR="00CE4EDF" w:rsidRPr="00CE4EDF">
        <w:t>—t</w:t>
      </w:r>
      <w:r w:rsidRPr="00CE4EDF">
        <w:t>he regulator is only likely to initiate a variation process where the Part 6 operator has achieved a large reduction in costs. In these circumstances, the regulator is likely to seek to return the gains from this reduction in costs to the customer. This will mean that the Part 6 operator will have little incentive to seek cost efficiencies. Encouraging Part 6 operators to seek efficiencies will benefit customers because at the next approval / determination, the regulator can take this into account when setting the operator’s revenue requirement</w:t>
      </w:r>
      <w:r w:rsidR="00F25DDB" w:rsidRPr="00CE4EDF">
        <w:t>.</w:t>
      </w:r>
      <w:r w:rsidRPr="00CE4EDF">
        <w:rPr>
          <w:rStyle w:val="FootnoteReference"/>
          <w:rFonts w:cs="Times New Roman"/>
        </w:rPr>
        <w:footnoteReference w:id="431"/>
      </w:r>
      <w:r w:rsidRPr="00CE4EDF">
        <w:t xml:space="preserve"> </w:t>
      </w:r>
    </w:p>
    <w:p w:rsidR="007E6558" w:rsidRPr="00CE4EDF" w:rsidRDefault="007E6558" w:rsidP="00A82DE6">
      <w:pPr>
        <w:pStyle w:val="Lvl1Bulletpoint"/>
      </w:pPr>
      <w:r w:rsidRPr="00CE4EDF">
        <w:t xml:space="preserve">other avenues for passing on the cost reductions for non-taxation and non-regulatory events to customers over the longer term. For example, at the 2014 Determination of Regulated Charges for </w:t>
      </w:r>
      <w:r w:rsidR="00DB3164">
        <w:t xml:space="preserve">State Water (now </w:t>
      </w:r>
      <w:r w:rsidRPr="00CE4EDF">
        <w:t>WaterNSW</w:t>
      </w:r>
      <w:r w:rsidR="00DB3164">
        <w:t>)</w:t>
      </w:r>
      <w:r w:rsidRPr="00CE4EDF">
        <w:t xml:space="preserve">, the ACCC determined that </w:t>
      </w:r>
      <w:r w:rsidR="00DB3164">
        <w:t xml:space="preserve">State Water </w:t>
      </w:r>
      <w:r w:rsidRPr="00CE4EDF">
        <w:t xml:space="preserve">underspent its capex in the 2010-14 regulatory period. The ACCC </w:t>
      </w:r>
      <w:r w:rsidR="002842A1" w:rsidRPr="00CE4EDF">
        <w:t xml:space="preserve">reduced </w:t>
      </w:r>
      <w:r w:rsidRPr="00CE4EDF">
        <w:t>the opening RAB for the next regulatory period by the amount of the unspent capex from the previous regulatory period and the depreciation relating to that unspent capex.</w:t>
      </w:r>
      <w:r w:rsidR="00C6733C" w:rsidRPr="00CE4EDF">
        <w:t xml:space="preserve"> </w:t>
      </w:r>
      <w:r w:rsidR="002842A1" w:rsidRPr="00CE4EDF">
        <w:t>This resulted in a lower revenue requirement for the operator in the following regulatory period than would have been the case had the ACCC not done so.</w:t>
      </w:r>
    </w:p>
    <w:p w:rsidR="007E6558" w:rsidRPr="00D714FC" w:rsidRDefault="007E6558" w:rsidP="00A82DE6">
      <w:pPr>
        <w:pStyle w:val="Lvl1Bulletpoint"/>
      </w:pPr>
      <w:r w:rsidRPr="00CE4EDF">
        <w:t xml:space="preserve">the variation process </w:t>
      </w:r>
      <w:r w:rsidR="00CE4EDF">
        <w:t xml:space="preserve">for other events </w:t>
      </w:r>
      <w:r w:rsidRPr="00CE4EDF">
        <w:t>will be costly</w:t>
      </w:r>
      <w:r w:rsidRPr="00D714FC">
        <w:t xml:space="preserve"> for the regulated business</w:t>
      </w:r>
    </w:p>
    <w:p w:rsidR="007E6558" w:rsidRPr="00D714FC" w:rsidRDefault="007E6558" w:rsidP="00A82DE6">
      <w:pPr>
        <w:pStyle w:val="Lvl1Bulletpoint"/>
      </w:pPr>
      <w:r w:rsidRPr="00D714FC">
        <w:t>a reduction in regulatory certainty for businesses</w:t>
      </w:r>
      <w:r>
        <w:t>.</w:t>
      </w:r>
      <w:r w:rsidR="00C6733C">
        <w:t xml:space="preserve"> </w:t>
      </w:r>
    </w:p>
    <w:p w:rsidR="007E6558" w:rsidRPr="00D714FC" w:rsidRDefault="007E6558" w:rsidP="00D17F9C">
      <w:pPr>
        <w:pStyle w:val="Heading5"/>
      </w:pPr>
      <w:r w:rsidRPr="00D714FC">
        <w:t>Materiality thresholds</w:t>
      </w:r>
    </w:p>
    <w:p w:rsidR="007E6558" w:rsidRPr="00D714FC" w:rsidRDefault="007E6558" w:rsidP="00CE4EDF">
      <w:pPr>
        <w:keepNext/>
        <w:spacing w:before="120"/>
        <w:rPr>
          <w:rFonts w:eastAsia="Arial" w:cs="Times New Roman"/>
        </w:rPr>
      </w:pPr>
      <w:r>
        <w:rPr>
          <w:rFonts w:eastAsia="Arial" w:cs="Times New Roman"/>
        </w:rPr>
        <w:t>The current materiality threshold that must be reached for an operator to be able to seek a variation is that the amount required to rectify the material and adverse effects of an event must exceed 5</w:t>
      </w:r>
      <w:r w:rsidR="00AD544A">
        <w:rPr>
          <w:rFonts w:eastAsia="Arial" w:cs="Times New Roman"/>
        </w:rPr>
        <w:t xml:space="preserve"> per cent</w:t>
      </w:r>
      <w:r w:rsidR="00C15279">
        <w:rPr>
          <w:rFonts w:eastAsia="Arial" w:cs="Times New Roman"/>
        </w:rPr>
        <w:t xml:space="preserve"> </w:t>
      </w:r>
      <w:r>
        <w:rPr>
          <w:rFonts w:eastAsia="Arial" w:cs="Times New Roman"/>
        </w:rPr>
        <w:t>of the operator’s RAB, or $15 million, whichever is the lesser.</w:t>
      </w:r>
      <w:r>
        <w:rPr>
          <w:rStyle w:val="FootnoteReference"/>
          <w:rFonts w:eastAsia="Arial" w:cs="Times New Roman"/>
        </w:rPr>
        <w:footnoteReference w:id="432"/>
      </w:r>
      <w:r>
        <w:rPr>
          <w:rFonts w:eastAsia="Arial" w:cs="Times New Roman"/>
        </w:rPr>
        <w:t xml:space="preserve"> In its Draft Advice, the ACCC considered that there are grounds to lower this threshold.</w:t>
      </w:r>
      <w:r>
        <w:rPr>
          <w:rStyle w:val="FootnoteReference"/>
          <w:rFonts w:eastAsia="Arial" w:cs="Times New Roman"/>
        </w:rPr>
        <w:footnoteReference w:id="433"/>
      </w:r>
      <w:r>
        <w:rPr>
          <w:rFonts w:eastAsia="Arial" w:cs="Times New Roman"/>
        </w:rPr>
        <w:t xml:space="preserve"> In forming this view, the </w:t>
      </w:r>
      <w:r w:rsidRPr="00D714FC">
        <w:rPr>
          <w:rFonts w:eastAsia="Arial" w:cs="Times New Roman"/>
        </w:rPr>
        <w:t>ACCC consider</w:t>
      </w:r>
      <w:r>
        <w:rPr>
          <w:rFonts w:eastAsia="Arial" w:cs="Times New Roman"/>
        </w:rPr>
        <w:t>ed</w:t>
      </w:r>
      <w:r w:rsidRPr="00D714FC">
        <w:rPr>
          <w:rFonts w:eastAsia="Arial" w:cs="Times New Roman"/>
        </w:rPr>
        <w:t xml:space="preserve"> that lower thresholds are more consistent with the purpose of an approval / determination process. Such a process is meant to give the Part 6 operator the ability to recover revenue sufficient to cover the prudent and efficient costs of their operations for the regulatory period.</w:t>
      </w:r>
      <w:r w:rsidRPr="00D714FC">
        <w:rPr>
          <w:rStyle w:val="FootnoteReference"/>
          <w:rFonts w:eastAsia="Arial" w:cs="Times New Roman"/>
        </w:rPr>
        <w:footnoteReference w:id="434"/>
      </w:r>
      <w:r w:rsidR="00C6733C">
        <w:rPr>
          <w:rFonts w:eastAsia="Arial" w:cs="Times New Roman"/>
        </w:rPr>
        <w:t xml:space="preserve"> </w:t>
      </w:r>
      <w:r w:rsidRPr="00D714FC">
        <w:rPr>
          <w:rFonts w:eastAsia="Arial" w:cs="Times New Roman"/>
        </w:rPr>
        <w:t>It therefore appear</w:t>
      </w:r>
      <w:r>
        <w:rPr>
          <w:rFonts w:eastAsia="Arial" w:cs="Times New Roman"/>
        </w:rPr>
        <w:t>ed</w:t>
      </w:r>
      <w:r w:rsidRPr="00D714FC">
        <w:rPr>
          <w:rFonts w:eastAsia="Arial" w:cs="Times New Roman"/>
        </w:rPr>
        <w:t xml:space="preserve"> logical that where there is a material unforeseen event (</w:t>
      </w:r>
      <w:r>
        <w:rPr>
          <w:rFonts w:eastAsia="Arial" w:cs="Times New Roman"/>
        </w:rPr>
        <w:t>and/or</w:t>
      </w:r>
      <w:r w:rsidRPr="00D714FC">
        <w:rPr>
          <w:rFonts w:eastAsia="Arial" w:cs="Times New Roman"/>
        </w:rPr>
        <w:t xml:space="preserve"> for taxation and regulatory events, a foreseen event which has an uncertain monetary impact) that prevents them from doing so</w:t>
      </w:r>
      <w:r>
        <w:rPr>
          <w:rFonts w:eastAsia="Arial" w:cs="Times New Roman"/>
        </w:rPr>
        <w:t xml:space="preserve"> (and the operator is unable to mitigate the loss)</w:t>
      </w:r>
      <w:r w:rsidRPr="00D714FC">
        <w:rPr>
          <w:rFonts w:eastAsia="Arial" w:cs="Times New Roman"/>
        </w:rPr>
        <w:t>, that it should be allowed to recover this revenue to make up for the shortfall.</w:t>
      </w:r>
      <w:r w:rsidR="00CE4EDF">
        <w:rPr>
          <w:rFonts w:eastAsia="Arial" w:cs="Times New Roman"/>
        </w:rPr>
        <w:t xml:space="preserve"> </w:t>
      </w:r>
      <w:r w:rsidRPr="00D714FC">
        <w:rPr>
          <w:rFonts w:eastAsia="Arial" w:cs="Times New Roman"/>
        </w:rPr>
        <w:t>However, even though the materiality threshold currently may be too high, any amended threshold needs to balance the desirability of possibly more frequent variations occurring due to these lower thresholds against the factors which favour the limitation of such reviews (mentioned at the start of this section).</w:t>
      </w:r>
    </w:p>
    <w:p w:rsidR="007E6558" w:rsidRPr="00FC64B5" w:rsidRDefault="007E6558" w:rsidP="00FC64B5">
      <w:pPr>
        <w:pStyle w:val="Heading6"/>
      </w:pPr>
      <w:r w:rsidRPr="00FC64B5">
        <w:t>Taxation / regulatory events</w:t>
      </w:r>
    </w:p>
    <w:p w:rsidR="007E6558" w:rsidRPr="00D714FC" w:rsidRDefault="007E6558" w:rsidP="007E6558">
      <w:pPr>
        <w:spacing w:before="120"/>
        <w:rPr>
          <w:rFonts w:cs="Times New Roman"/>
        </w:rPr>
      </w:pPr>
      <w:r>
        <w:rPr>
          <w:rFonts w:cs="Times New Roman"/>
        </w:rPr>
        <w:t>In its Draft Advice, t</w:t>
      </w:r>
      <w:r w:rsidRPr="00D714FC">
        <w:rPr>
          <w:rFonts w:cs="Times New Roman"/>
        </w:rPr>
        <w:t>he ACCC consider</w:t>
      </w:r>
      <w:r>
        <w:rPr>
          <w:rFonts w:cs="Times New Roman"/>
        </w:rPr>
        <w:t>ed</w:t>
      </w:r>
      <w:r w:rsidRPr="00D714FC">
        <w:rPr>
          <w:rFonts w:cs="Times New Roman"/>
        </w:rPr>
        <w:t xml:space="preserve"> </w:t>
      </w:r>
      <w:r>
        <w:rPr>
          <w:rFonts w:cs="Times New Roman"/>
        </w:rPr>
        <w:t xml:space="preserve">that it is </w:t>
      </w:r>
      <w:r w:rsidRPr="00D714FC">
        <w:rPr>
          <w:rFonts w:cs="Times New Roman"/>
        </w:rPr>
        <w:t xml:space="preserve">appropriate that the materiality thresholds for the variation process differ between taxation and regulatory events and other events. Taxation and regulatory events are legal obligations from the perspective of the Part 6 operator; the Part 6 operator has no choice in whether to pay the amounts incurred under these obligations. Further, these expenses are unlikely to be able to be insured against or mitigated against. </w:t>
      </w:r>
      <w:r>
        <w:rPr>
          <w:rFonts w:cs="Times New Roman"/>
        </w:rPr>
        <w:t xml:space="preserve">In its Draft Advice, the ACCC recommended (at draft rule advice 5-R) that, for taxation and regulatory events, the </w:t>
      </w:r>
      <w:r w:rsidRPr="00D714FC">
        <w:rPr>
          <w:rFonts w:cs="Times New Roman"/>
        </w:rPr>
        <w:t xml:space="preserve">materiality threshold </w:t>
      </w:r>
      <w:r>
        <w:rPr>
          <w:rFonts w:cs="Times New Roman"/>
        </w:rPr>
        <w:t xml:space="preserve">should be </w:t>
      </w:r>
      <w:r w:rsidRPr="00D714FC">
        <w:rPr>
          <w:rFonts w:cs="Times New Roman"/>
        </w:rPr>
        <w:t>1</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of </w:t>
      </w:r>
      <w:r>
        <w:rPr>
          <w:rFonts w:cs="Times New Roman"/>
        </w:rPr>
        <w:t>the aggregate revenue requirement to be recovered from infrastructure charges</w:t>
      </w:r>
      <w:r w:rsidRPr="00D714FC">
        <w:rPr>
          <w:rFonts w:cs="Times New Roman"/>
        </w:rPr>
        <w:t xml:space="preserve"> for the </w:t>
      </w:r>
      <w:r>
        <w:rPr>
          <w:rFonts w:cs="Times New Roman"/>
        </w:rPr>
        <w:t xml:space="preserve">current and </w:t>
      </w:r>
      <w:r w:rsidRPr="00D714FC">
        <w:rPr>
          <w:rFonts w:cs="Times New Roman"/>
        </w:rPr>
        <w:t>remaining years of the regulatory period</w:t>
      </w:r>
      <w:r w:rsidRPr="009F3C82">
        <w:rPr>
          <w:rStyle w:val="FootnoteReference"/>
          <w:rFonts w:cs="Times New Roman"/>
        </w:rPr>
        <w:footnoteReference w:id="435"/>
      </w:r>
      <w:r w:rsidRPr="00D714FC">
        <w:rPr>
          <w:rFonts w:cs="Times New Roman"/>
        </w:rPr>
        <w:t xml:space="preserve"> (</w:t>
      </w:r>
      <w:r>
        <w:rPr>
          <w:rFonts w:cs="Times New Roman"/>
        </w:rPr>
        <w:t xml:space="preserve">the </w:t>
      </w:r>
      <w:r w:rsidR="006D2B0B">
        <w:rPr>
          <w:rFonts w:cs="Times New Roman"/>
        </w:rPr>
        <w:t>one</w:t>
      </w:r>
      <w:r>
        <w:rPr>
          <w:rFonts w:cs="Times New Roman"/>
        </w:rPr>
        <w:t xml:space="preserve"> per cent remainder materiality threshold)</w:t>
      </w:r>
      <w:r w:rsidRPr="00D714FC">
        <w:rPr>
          <w:rFonts w:cs="Times New Roman"/>
        </w:rPr>
        <w:t>.</w:t>
      </w:r>
      <w:r w:rsidR="00C6733C">
        <w:rPr>
          <w:rFonts w:cs="Times New Roman"/>
        </w:rPr>
        <w:t xml:space="preserve"> </w:t>
      </w:r>
    </w:p>
    <w:p w:rsidR="007E6558" w:rsidRDefault="007E6558" w:rsidP="007E6558">
      <w:pPr>
        <w:rPr>
          <w:rFonts w:cs="Times New Roman"/>
        </w:rPr>
      </w:pPr>
      <w:r w:rsidRPr="00D714FC">
        <w:rPr>
          <w:rFonts w:cs="Times New Roman"/>
        </w:rPr>
        <w:t xml:space="preserve">However, even though the taxation or regulatory event arises from a legal obligation that is unavoidable for the Part 6 operators, the ACCC does not consider that where the event occurs and meets the required threshold that the entire additional amount should </w:t>
      </w:r>
      <w:r>
        <w:rPr>
          <w:rFonts w:cs="Times New Roman"/>
        </w:rPr>
        <w:t xml:space="preserve">automatically </w:t>
      </w:r>
      <w:r w:rsidRPr="00D714FC">
        <w:rPr>
          <w:rFonts w:cs="Times New Roman"/>
        </w:rPr>
        <w:t xml:space="preserve">be included in the Part 6 operator’s </w:t>
      </w:r>
      <w:r>
        <w:rPr>
          <w:rFonts w:cs="Times New Roman"/>
        </w:rPr>
        <w:t>regulated revenue</w:t>
      </w:r>
      <w:r w:rsidRPr="00D714FC">
        <w:rPr>
          <w:rFonts w:cs="Times New Roman"/>
        </w:rPr>
        <w:t xml:space="preserve"> for the remainder of the regulatory period. That is, the Part 6 operator would still need to satisfy the regulator that it cannot reduce its expenditure to avoid the consequences of the event. Further, consistent with the current variation process, the monetary impact of the event would need to remain above the </w:t>
      </w:r>
      <w:r w:rsidR="00F25DDB">
        <w:rPr>
          <w:rFonts w:cs="Times New Roman"/>
        </w:rPr>
        <w:t>one</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materiality threshold after these matters have been considered. </w:t>
      </w:r>
    </w:p>
    <w:p w:rsidR="007E6558" w:rsidRPr="00D714FC" w:rsidRDefault="007E6558" w:rsidP="007E6558">
      <w:pPr>
        <w:rPr>
          <w:rFonts w:cs="Times New Roman"/>
        </w:rPr>
      </w:pPr>
      <w:r w:rsidRPr="00D714FC">
        <w:rPr>
          <w:rFonts w:cs="Times New Roman"/>
        </w:rPr>
        <w:t xml:space="preserve">Further, the purpose of the taxation or regulatory changes imposed may be intended to make the Part 6 operator change its behaviour, so if the regulator allows the operator to include in its revenue requirement enough revenue to continue its ‘business as usual’ practices, this may frustrate the intended purpose of the change. </w:t>
      </w:r>
    </w:p>
    <w:p w:rsidR="007E6558" w:rsidRPr="00FC64B5" w:rsidRDefault="007E6558" w:rsidP="00FC64B5">
      <w:pPr>
        <w:pStyle w:val="Heading6"/>
      </w:pPr>
      <w:r w:rsidRPr="00FC64B5">
        <w:t>Other Events</w:t>
      </w:r>
      <w:r w:rsidR="004C15B2" w:rsidRPr="00FC64B5">
        <w:tab/>
      </w:r>
    </w:p>
    <w:p w:rsidR="007E6558" w:rsidRPr="00D714FC" w:rsidRDefault="007E6558" w:rsidP="007E6558">
      <w:pPr>
        <w:spacing w:before="120"/>
        <w:rPr>
          <w:rFonts w:cs="Times New Roman"/>
        </w:rPr>
      </w:pPr>
      <w:r>
        <w:rPr>
          <w:rFonts w:cs="Times New Roman"/>
        </w:rPr>
        <w:t xml:space="preserve">For </w:t>
      </w:r>
      <w:r w:rsidRPr="00D714FC">
        <w:rPr>
          <w:rFonts w:cs="Times New Roman"/>
        </w:rPr>
        <w:t>other events, the ACCC d</w:t>
      </w:r>
      <w:r>
        <w:rPr>
          <w:rFonts w:cs="Times New Roman"/>
        </w:rPr>
        <w:t>id</w:t>
      </w:r>
      <w:r w:rsidRPr="00D714FC">
        <w:rPr>
          <w:rFonts w:cs="Times New Roman"/>
        </w:rPr>
        <w:t xml:space="preserve"> not consider a </w:t>
      </w:r>
      <w:r w:rsidR="00F25DDB">
        <w:rPr>
          <w:rFonts w:cs="Times New Roman"/>
        </w:rPr>
        <w:t>one</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remainder materiality threshold to be appropriate. </w:t>
      </w:r>
      <w:r w:rsidR="002842A1">
        <w:rPr>
          <w:rFonts w:cs="Times New Roman"/>
        </w:rPr>
        <w:t>T</w:t>
      </w:r>
      <w:r>
        <w:rPr>
          <w:rFonts w:cs="Times New Roman"/>
        </w:rPr>
        <w:t>he ACCC made draft rule advice that the</w:t>
      </w:r>
      <w:r w:rsidRPr="00D714FC">
        <w:rPr>
          <w:rFonts w:cs="Times New Roman"/>
        </w:rPr>
        <w:t xml:space="preserve"> materiality threshold for other events </w:t>
      </w:r>
      <w:r>
        <w:rPr>
          <w:rFonts w:cs="Times New Roman"/>
        </w:rPr>
        <w:t>should be</w:t>
      </w:r>
      <w:r w:rsidRPr="00D714FC">
        <w:rPr>
          <w:rFonts w:cs="Times New Roman"/>
        </w:rPr>
        <w:t xml:space="preserve"> </w:t>
      </w:r>
      <w:r w:rsidR="00F25DDB">
        <w:rPr>
          <w:rFonts w:cs="Times New Roman"/>
        </w:rPr>
        <w:t>five</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of the</w:t>
      </w:r>
      <w:r>
        <w:rPr>
          <w:rFonts w:cs="Times New Roman"/>
        </w:rPr>
        <w:t xml:space="preserve"> aggregate</w:t>
      </w:r>
      <w:r w:rsidRPr="00D714FC">
        <w:rPr>
          <w:rFonts w:cs="Times New Roman"/>
        </w:rPr>
        <w:t xml:space="preserve"> </w:t>
      </w:r>
      <w:r>
        <w:rPr>
          <w:rFonts w:cs="Times New Roman"/>
        </w:rPr>
        <w:t>revenue requirement (draft rule advice 5-R)</w:t>
      </w:r>
      <w:r w:rsidRPr="00D714FC">
        <w:rPr>
          <w:rFonts w:cs="Times New Roman"/>
        </w:rPr>
        <w:t xml:space="preserve">. This </w:t>
      </w:r>
      <w:r>
        <w:rPr>
          <w:rFonts w:cs="Times New Roman"/>
        </w:rPr>
        <w:t xml:space="preserve">threshold </w:t>
      </w:r>
      <w:r w:rsidRPr="00D714FC">
        <w:rPr>
          <w:rFonts w:cs="Times New Roman"/>
        </w:rPr>
        <w:t xml:space="preserve">would still be subject to the requirement that the regulator be satisfied that the Part 6 operator is not able to reduce its expenditure without materially and adversely affecting the reliability </w:t>
      </w:r>
      <w:r>
        <w:rPr>
          <w:rFonts w:cs="Times New Roman"/>
        </w:rPr>
        <w:t>or</w:t>
      </w:r>
      <w:r w:rsidRPr="00D714FC">
        <w:rPr>
          <w:rFonts w:cs="Times New Roman"/>
        </w:rPr>
        <w:t xml:space="preserve"> safety of its business or its ability to comply with its legislative or regulatory obligations.</w:t>
      </w:r>
    </w:p>
    <w:p w:rsidR="007E6558" w:rsidRPr="00D714FC" w:rsidRDefault="007E6558" w:rsidP="007E6558">
      <w:pPr>
        <w:spacing w:after="120"/>
        <w:rPr>
          <w:rFonts w:cs="Times New Roman"/>
        </w:rPr>
      </w:pPr>
      <w:r w:rsidRPr="00D714FC">
        <w:rPr>
          <w:rFonts w:cs="Times New Roman"/>
        </w:rPr>
        <w:t xml:space="preserve">However, even if this </w:t>
      </w:r>
      <w:r w:rsidR="00C15279">
        <w:rPr>
          <w:rFonts w:cs="Times New Roman"/>
        </w:rPr>
        <w:t>five</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remainder materiality threshold is satisfied, </w:t>
      </w:r>
      <w:r>
        <w:rPr>
          <w:rFonts w:cs="Times New Roman"/>
        </w:rPr>
        <w:t xml:space="preserve">the ACCC considered </w:t>
      </w:r>
      <w:r w:rsidRPr="00D714FC">
        <w:rPr>
          <w:rFonts w:cs="Times New Roman"/>
        </w:rPr>
        <w:t xml:space="preserve">it </w:t>
      </w:r>
      <w:r>
        <w:rPr>
          <w:rFonts w:cs="Times New Roman"/>
        </w:rPr>
        <w:t>wa</w:t>
      </w:r>
      <w:r w:rsidRPr="00D714FC">
        <w:rPr>
          <w:rFonts w:cs="Times New Roman"/>
        </w:rPr>
        <w:t xml:space="preserve">s not </w:t>
      </w:r>
      <w:r>
        <w:rPr>
          <w:rFonts w:cs="Times New Roman"/>
        </w:rPr>
        <w:t>appropriate</w:t>
      </w:r>
      <w:r w:rsidRPr="00D714FC">
        <w:rPr>
          <w:rFonts w:cs="Times New Roman"/>
        </w:rPr>
        <w:t xml:space="preserve"> that this amount is automatically added to the Part 6 operator’s revenue requirement for the remainder of the regulatory period. Currently, even where the threshold for seeking </w:t>
      </w:r>
      <w:r>
        <w:rPr>
          <w:rFonts w:cs="Times New Roman"/>
        </w:rPr>
        <w:t xml:space="preserve">a </w:t>
      </w:r>
      <w:r w:rsidRPr="00D714FC">
        <w:rPr>
          <w:rFonts w:cs="Times New Roman"/>
        </w:rPr>
        <w:t>variation is met, Part 6 operators must satisfy the regulator that:</w:t>
      </w:r>
    </w:p>
    <w:p w:rsidR="007E6558" w:rsidRPr="00D714FC" w:rsidRDefault="007E6558" w:rsidP="00A82DE6">
      <w:pPr>
        <w:pStyle w:val="Lvl1Bulletpoint"/>
      </w:pPr>
      <w:r w:rsidRPr="00D714FC">
        <w:t xml:space="preserve">it is reasonably likely that the total expenditure </w:t>
      </w:r>
      <w:r w:rsidR="002842A1">
        <w:t xml:space="preserve">expected to be undertaken </w:t>
      </w:r>
      <w:r w:rsidRPr="00D714FC">
        <w:t>during the remaining part of the regulatory period is likely to exceed the total forecast expenditure for that remaining part</w:t>
      </w:r>
      <w:r w:rsidRPr="00D714FC">
        <w:rPr>
          <w:rStyle w:val="FootnoteReference"/>
          <w:rFonts w:cs="Times New Roman"/>
          <w:szCs w:val="24"/>
        </w:rPr>
        <w:footnoteReference w:id="436"/>
      </w:r>
      <w:r w:rsidRPr="00D714FC">
        <w:t xml:space="preserve"> </w:t>
      </w:r>
    </w:p>
    <w:p w:rsidR="002842A1" w:rsidRPr="004C15B2" w:rsidRDefault="007E6558" w:rsidP="00A82DE6">
      <w:pPr>
        <w:pStyle w:val="Lvl1Bulletpoint"/>
        <w:rPr>
          <w:iCs/>
          <w:color w:val="000000"/>
        </w:rPr>
      </w:pPr>
      <w:r w:rsidRPr="00D714FC">
        <w:t xml:space="preserve">that the applicant has demonstrated that it is not able </w:t>
      </w:r>
      <w:r w:rsidR="00D3128D">
        <w:t xml:space="preserve">to </w:t>
      </w:r>
      <w:r w:rsidRPr="00D714FC">
        <w:t xml:space="preserve">reduce its expenditure to avoid exceeding the total forecast expenditure for the remainder of the regulatory period without materially </w:t>
      </w:r>
      <w:r w:rsidR="00D920E5">
        <w:t xml:space="preserve">and </w:t>
      </w:r>
      <w:r w:rsidRPr="00D714FC">
        <w:t xml:space="preserve">adversely affecting the reliability </w:t>
      </w:r>
      <w:r w:rsidRPr="00DB3164">
        <w:rPr>
          <w:i/>
        </w:rPr>
        <w:t>and</w:t>
      </w:r>
      <w:r w:rsidRPr="00D714FC">
        <w:t xml:space="preserve"> safety of the applicant’s water service infrastructure or the applicant’s ability to comply with any relevant regulatory or legislative obligations</w:t>
      </w:r>
      <w:r w:rsidRPr="00D714FC">
        <w:rPr>
          <w:rStyle w:val="FootnoteReference"/>
          <w:rFonts w:cs="Times New Roman"/>
          <w:szCs w:val="24"/>
        </w:rPr>
        <w:footnoteReference w:id="437"/>
      </w:r>
      <w:r w:rsidR="004C15B2">
        <w:t xml:space="preserve"> </w:t>
      </w:r>
      <w:r w:rsidR="004C15B2">
        <w:rPr>
          <w:iCs/>
          <w:color w:val="000000"/>
        </w:rPr>
        <w:t>(</w:t>
      </w:r>
      <w:r w:rsidR="002842A1">
        <w:t xml:space="preserve">where the </w:t>
      </w:r>
      <w:r w:rsidR="00DB3164">
        <w:t>‘</w:t>
      </w:r>
      <w:r w:rsidR="002842A1">
        <w:t>total forecast expenditure</w:t>
      </w:r>
      <w:r w:rsidR="00DB3164">
        <w:t>’</w:t>
      </w:r>
      <w:r w:rsidR="002842A1">
        <w:t xml:space="preserve"> is that forecast in the initial determination or approval</w:t>
      </w:r>
      <w:r w:rsidR="004C15B2">
        <w:t>)</w:t>
      </w:r>
      <w:r w:rsidR="002842A1">
        <w:t>.</w:t>
      </w:r>
    </w:p>
    <w:p w:rsidR="007E6558" w:rsidRPr="00D714FC" w:rsidRDefault="007E6558" w:rsidP="007E6558">
      <w:pPr>
        <w:rPr>
          <w:rFonts w:cs="Times New Roman"/>
        </w:rPr>
      </w:pPr>
      <w:r w:rsidRPr="00D714FC">
        <w:rPr>
          <w:rFonts w:cs="Times New Roman"/>
        </w:rPr>
        <w:t>The ACCC consider</w:t>
      </w:r>
      <w:r>
        <w:rPr>
          <w:rFonts w:cs="Times New Roman"/>
        </w:rPr>
        <w:t>ed</w:t>
      </w:r>
      <w:r w:rsidRPr="00D714FC">
        <w:rPr>
          <w:rFonts w:cs="Times New Roman"/>
        </w:rPr>
        <w:t xml:space="preserve"> it appropriate that, with regard to other events, these conditions on granting a Part 6 operator a variation of the original approval</w:t>
      </w:r>
      <w:r>
        <w:rPr>
          <w:rFonts w:cs="Times New Roman"/>
        </w:rPr>
        <w:t xml:space="preserve"> </w:t>
      </w:r>
      <w:r w:rsidRPr="00D714FC">
        <w:rPr>
          <w:rFonts w:cs="Times New Roman"/>
        </w:rPr>
        <w:t>/</w:t>
      </w:r>
      <w:r>
        <w:rPr>
          <w:rFonts w:cs="Times New Roman"/>
        </w:rPr>
        <w:t xml:space="preserve"> </w:t>
      </w:r>
      <w:r w:rsidR="00D920E5">
        <w:rPr>
          <w:rFonts w:cs="Times New Roman"/>
        </w:rPr>
        <w:t>de</w:t>
      </w:r>
      <w:r w:rsidRPr="00D714FC">
        <w:rPr>
          <w:rFonts w:cs="Times New Roman"/>
        </w:rPr>
        <w:t>termination remain</w:t>
      </w:r>
      <w:r>
        <w:rPr>
          <w:rFonts w:cs="Times New Roman"/>
        </w:rPr>
        <w:t xml:space="preserve"> (with one minor exception, see ‘Other proposed amendments</w:t>
      </w:r>
      <w:r w:rsidR="002451D7">
        <w:rPr>
          <w:rFonts w:cs="Times New Roman"/>
        </w:rPr>
        <w:t xml:space="preserve"> relating to the variation process</w:t>
      </w:r>
      <w:r>
        <w:rPr>
          <w:rFonts w:cs="Times New Roman"/>
        </w:rPr>
        <w:t>’ immediately below)</w:t>
      </w:r>
      <w:r w:rsidRPr="00D714FC">
        <w:rPr>
          <w:rFonts w:cs="Times New Roman"/>
        </w:rPr>
        <w:t>. Although the events that meet this threshold may be unforeseen, there appears to be no reason to require customers to pay higher charges when the Part 6 operator can mitigate the loss from the unforeseen event or will otherwise gain its revenue requirement. The materiality threshold w</w:t>
      </w:r>
      <w:r>
        <w:rPr>
          <w:rFonts w:cs="Times New Roman"/>
        </w:rPr>
        <w:t>ould</w:t>
      </w:r>
      <w:r w:rsidRPr="00D714FC">
        <w:rPr>
          <w:rFonts w:cs="Times New Roman"/>
        </w:rPr>
        <w:t xml:space="preserve"> therefore </w:t>
      </w:r>
      <w:r>
        <w:rPr>
          <w:rFonts w:cs="Times New Roman"/>
        </w:rPr>
        <w:t>act as</w:t>
      </w:r>
      <w:r w:rsidRPr="00D714FC">
        <w:rPr>
          <w:rFonts w:cs="Times New Roman"/>
        </w:rPr>
        <w:t xml:space="preserve"> a threshold for the Part 6 operator to pass to gain the regulator’s consideration as to whether the operator is allowed to recover costs related to an unforeseen non-taxation and non-regulatory event. The amount actually added to the revenue requirement and passed through to customers (if the variation is approved) may be less than the amount in the application</w:t>
      </w:r>
      <w:r>
        <w:rPr>
          <w:rFonts w:cs="Times New Roman"/>
        </w:rPr>
        <w:t>.</w:t>
      </w:r>
      <w:r w:rsidRPr="00D714FC">
        <w:rPr>
          <w:rStyle w:val="FootnoteReference"/>
          <w:rFonts w:cs="Times New Roman"/>
        </w:rPr>
        <w:footnoteReference w:id="438"/>
      </w:r>
      <w:r w:rsidRPr="00D714FC">
        <w:rPr>
          <w:rFonts w:cs="Times New Roman"/>
        </w:rPr>
        <w:t xml:space="preserve"> </w:t>
      </w:r>
    </w:p>
    <w:p w:rsidR="007E6558" w:rsidRPr="00D714FC" w:rsidRDefault="007E6558" w:rsidP="00135446">
      <w:pPr>
        <w:spacing w:after="120"/>
        <w:rPr>
          <w:rFonts w:cs="Times New Roman"/>
        </w:rPr>
      </w:pPr>
      <w:r>
        <w:rPr>
          <w:rFonts w:cs="Times New Roman"/>
        </w:rPr>
        <w:t>T</w:t>
      </w:r>
      <w:r w:rsidRPr="00D714FC">
        <w:rPr>
          <w:rFonts w:cs="Times New Roman"/>
        </w:rPr>
        <w:t xml:space="preserve">he ACCC </w:t>
      </w:r>
      <w:r>
        <w:rPr>
          <w:rFonts w:cs="Times New Roman"/>
        </w:rPr>
        <w:t xml:space="preserve">considers that, in relation to other events, </w:t>
      </w:r>
      <w:r w:rsidRPr="00D714FC">
        <w:rPr>
          <w:rFonts w:cs="Times New Roman"/>
        </w:rPr>
        <w:t>the requirement for the event to be unforeseen before the Part 6 operator can apply for a variation to the original approval / determination</w:t>
      </w:r>
      <w:r>
        <w:rPr>
          <w:rFonts w:cs="Times New Roman"/>
        </w:rPr>
        <w:t xml:space="preserve"> should be maintained</w:t>
      </w:r>
      <w:r w:rsidRPr="00D714FC">
        <w:rPr>
          <w:rFonts w:cs="Times New Roman"/>
        </w:rPr>
        <w:t xml:space="preserve">. Given that </w:t>
      </w:r>
      <w:r w:rsidRPr="009A0509">
        <w:rPr>
          <w:rFonts w:cs="Times New Roman"/>
          <w:i/>
        </w:rPr>
        <w:t>foreseen</w:t>
      </w:r>
      <w:r w:rsidRPr="00D714FC">
        <w:rPr>
          <w:rFonts w:cs="Times New Roman"/>
        </w:rPr>
        <w:t xml:space="preserve"> other expenditure is likely to be capital expenditure:</w:t>
      </w:r>
    </w:p>
    <w:p w:rsidR="007E6558" w:rsidRPr="00D714FC" w:rsidRDefault="007E6558" w:rsidP="00A82DE6">
      <w:pPr>
        <w:pStyle w:val="Lvl1Bulletpoint"/>
      </w:pPr>
      <w:r w:rsidRPr="00D714FC">
        <w:t>if the monetary impact of the event is known before the start of the regulatory period, it can be assessed by the regulator at the time of the original approval / determination</w:t>
      </w:r>
      <w:r>
        <w:t>; and</w:t>
      </w:r>
    </w:p>
    <w:p w:rsidR="007E6558" w:rsidRPr="00D714FC" w:rsidRDefault="007E6558" w:rsidP="00A82DE6">
      <w:pPr>
        <w:pStyle w:val="Lvl1Bulletpoint"/>
      </w:pPr>
      <w:r w:rsidRPr="00D714FC">
        <w:t>if the monetary impact of the event is unknown at the start of the regulatory period, the regulator can use other processes (e.g</w:t>
      </w:r>
      <w:r>
        <w:t>.</w:t>
      </w:r>
      <w:r w:rsidRPr="00D714FC">
        <w:t xml:space="preserve"> the proposed new contingent </w:t>
      </w:r>
      <w:r>
        <w:t>project provisions set out above</w:t>
      </w:r>
      <w:r w:rsidRPr="00D714FC">
        <w:t>) for assessing whether expenditure relating to the event should be included in the revenue requirement.</w:t>
      </w:r>
      <w:r w:rsidR="00C6733C">
        <w:t xml:space="preserve"> </w:t>
      </w:r>
    </w:p>
    <w:p w:rsidR="007E6558" w:rsidRPr="00D714FC" w:rsidRDefault="007E6558" w:rsidP="00D17F9C">
      <w:pPr>
        <w:pStyle w:val="Heading5"/>
      </w:pPr>
      <w:r w:rsidRPr="00D714FC">
        <w:t>Other proposed amendments relating to the variation process</w:t>
      </w:r>
    </w:p>
    <w:p w:rsidR="007E6558" w:rsidRPr="0037098B" w:rsidRDefault="007E6558" w:rsidP="003A7058">
      <w:pPr>
        <w:spacing w:before="120"/>
        <w:rPr>
          <w:rFonts w:eastAsia="Arial" w:cs="Times New Roman"/>
        </w:rPr>
      </w:pPr>
      <w:r w:rsidRPr="00D714FC">
        <w:rPr>
          <w:rFonts w:cs="Times New Roman"/>
        </w:rPr>
        <w:t>The ACCC note</w:t>
      </w:r>
      <w:r>
        <w:rPr>
          <w:rFonts w:cs="Times New Roman"/>
        </w:rPr>
        <w:t>d in its Draft Advice</w:t>
      </w:r>
      <w:r w:rsidRPr="00D714FC">
        <w:rPr>
          <w:rFonts w:cs="Times New Roman"/>
        </w:rPr>
        <w:t xml:space="preserve"> that </w:t>
      </w:r>
      <w:r>
        <w:rPr>
          <w:rFonts w:cs="Times New Roman"/>
        </w:rPr>
        <w:t xml:space="preserve">under the current rules, </w:t>
      </w:r>
      <w:r w:rsidRPr="00D714FC">
        <w:rPr>
          <w:rFonts w:cs="Times New Roman"/>
        </w:rPr>
        <w:t xml:space="preserve">before allowing the variation the regulator must be satisfied that the Part 6 operator cannot reduce its expenditure without it ‘materially adversely affecting the reliability </w:t>
      </w:r>
      <w:r w:rsidRPr="00AC1ACB">
        <w:rPr>
          <w:rFonts w:cs="Times New Roman"/>
          <w:i/>
        </w:rPr>
        <w:t>and</w:t>
      </w:r>
      <w:r w:rsidRPr="00D714FC">
        <w:rPr>
          <w:rFonts w:cs="Times New Roman"/>
        </w:rPr>
        <w:t xml:space="preserve"> safety of the applicant’s water service infrastructure’. The ACCC consider</w:t>
      </w:r>
      <w:r>
        <w:rPr>
          <w:rFonts w:cs="Times New Roman"/>
        </w:rPr>
        <w:t>ed</w:t>
      </w:r>
      <w:r w:rsidRPr="00D714FC">
        <w:rPr>
          <w:rFonts w:cs="Times New Roman"/>
        </w:rPr>
        <w:t xml:space="preserve"> it </w:t>
      </w:r>
      <w:r>
        <w:rPr>
          <w:rFonts w:cs="Times New Roman"/>
        </w:rPr>
        <w:t>wa</w:t>
      </w:r>
      <w:r w:rsidRPr="00D714FC">
        <w:rPr>
          <w:rFonts w:cs="Times New Roman"/>
        </w:rPr>
        <w:t xml:space="preserve">s sufficient that the regulator is satisfied that the materially adverse effect be on the reliability </w:t>
      </w:r>
      <w:r w:rsidRPr="00784DE9">
        <w:rPr>
          <w:rFonts w:cs="Times New Roman"/>
          <w:i/>
        </w:rPr>
        <w:t>or</w:t>
      </w:r>
      <w:r w:rsidRPr="00D714FC">
        <w:rPr>
          <w:rFonts w:cs="Times New Roman"/>
        </w:rPr>
        <w:t xml:space="preserve"> safety of the applicant’s water service infrastructure. A materially adverse effect on either could be highly detrimental to a regulated business and its customers and therefore allowing a variation in either circumstance is warranted.</w:t>
      </w:r>
      <w:r>
        <w:rPr>
          <w:rFonts w:cs="Times New Roman"/>
        </w:rPr>
        <w:t xml:space="preserve"> Therefore in its </w:t>
      </w:r>
      <w:r w:rsidR="00453670">
        <w:rPr>
          <w:rFonts w:cs="Times New Roman"/>
        </w:rPr>
        <w:t>D</w:t>
      </w:r>
      <w:r>
        <w:rPr>
          <w:rFonts w:cs="Times New Roman"/>
        </w:rPr>
        <w:t xml:space="preserve">raft </w:t>
      </w:r>
      <w:r w:rsidR="00453670">
        <w:rPr>
          <w:rFonts w:cs="Times New Roman"/>
        </w:rPr>
        <w:t>A</w:t>
      </w:r>
      <w:r>
        <w:rPr>
          <w:rFonts w:cs="Times New Roman"/>
        </w:rPr>
        <w:t xml:space="preserve">dvice, the ACCC recommended this change to the </w:t>
      </w:r>
      <w:r w:rsidR="00453670">
        <w:rPr>
          <w:rFonts w:cs="Times New Roman"/>
        </w:rPr>
        <w:t>water charge rules</w:t>
      </w:r>
      <w:r>
        <w:rPr>
          <w:rFonts w:cs="Times New Roman"/>
        </w:rPr>
        <w:t xml:space="preserve"> (draft rule advice 5-R).</w:t>
      </w:r>
    </w:p>
    <w:p w:rsidR="007E6558" w:rsidRPr="00D714FC" w:rsidRDefault="007E6558" w:rsidP="007E6558">
      <w:pPr>
        <w:pStyle w:val="Heading4"/>
        <w:rPr>
          <w:rFonts w:ascii="Times New Roman" w:hAnsi="Times New Roman" w:cs="Times New Roman"/>
        </w:rPr>
      </w:pPr>
      <w:r w:rsidRPr="00D714FC">
        <w:rPr>
          <w:rFonts w:ascii="Times New Roman" w:hAnsi="Times New Roman" w:cs="Times New Roman"/>
        </w:rPr>
        <w:t>Stakeholder feedback</w:t>
      </w:r>
    </w:p>
    <w:p w:rsidR="007E6558" w:rsidRDefault="007E6558" w:rsidP="00D17F9C">
      <w:pPr>
        <w:pStyle w:val="Heading5"/>
      </w:pPr>
      <w:r>
        <w:t xml:space="preserve">General comments on </w:t>
      </w:r>
      <w:r w:rsidR="00A52AF4">
        <w:t>r</w:t>
      </w:r>
      <w:r>
        <w:t xml:space="preserve">ule </w:t>
      </w:r>
      <w:r w:rsidR="00A52AF4">
        <w:t>a</w:t>
      </w:r>
      <w:r>
        <w:t>dvices 5-Q and 5-R</w:t>
      </w:r>
    </w:p>
    <w:p w:rsidR="007E6558" w:rsidRDefault="007E6558" w:rsidP="007E6558">
      <w:pPr>
        <w:spacing w:before="120"/>
      </w:pPr>
      <w:r>
        <w:t xml:space="preserve">The </w:t>
      </w:r>
      <w:r w:rsidR="008E524B">
        <w:t>QFF</w:t>
      </w:r>
      <w:r>
        <w:t xml:space="preserve"> commented generally in relation to </w:t>
      </w:r>
      <w:r w:rsidR="00A52AF4">
        <w:t>r</w:t>
      </w:r>
      <w:r>
        <w:t xml:space="preserve">ule </w:t>
      </w:r>
      <w:r w:rsidR="00A52AF4">
        <w:t>a</w:t>
      </w:r>
      <w:r>
        <w:t>dvice 5-Q and 5-R that the proposed amendments “will raise significant issues for maintaining a consistent state-wide process for pricing regulation”.</w:t>
      </w:r>
      <w:r w:rsidRPr="009524B7">
        <w:rPr>
          <w:rStyle w:val="FootnoteReference"/>
          <w:szCs w:val="20"/>
        </w:rPr>
        <w:footnoteReference w:id="439"/>
      </w:r>
      <w:r w:rsidRPr="009524B7">
        <w:t xml:space="preserve"> </w:t>
      </w:r>
    </w:p>
    <w:p w:rsidR="007E6558" w:rsidRDefault="007E6558" w:rsidP="00D17F9C">
      <w:pPr>
        <w:pStyle w:val="Heading5"/>
      </w:pPr>
      <w:r>
        <w:t>Pass-throughs and contingent projects</w:t>
      </w:r>
    </w:p>
    <w:p w:rsidR="007E6558" w:rsidRDefault="007E6558" w:rsidP="007E6558">
      <w:pPr>
        <w:keepNext/>
        <w:rPr>
          <w:rFonts w:cs="Times New Roman"/>
          <w:iCs/>
          <w:color w:val="000000"/>
        </w:rPr>
      </w:pPr>
      <w:r w:rsidRPr="007978CC">
        <w:rPr>
          <w:rFonts w:cs="Times New Roman"/>
          <w:iCs/>
          <w:color w:val="000000"/>
        </w:rPr>
        <w:t>State Water (now WaterNSW) noted in its submission to the Act Review that the “reopening provisions do not include a specific pass through mechanism for a regulatory change event”.</w:t>
      </w:r>
      <w:r w:rsidRPr="007978CC">
        <w:rPr>
          <w:rStyle w:val="FootnoteReference"/>
          <w:rFonts w:cs="Times New Roman"/>
          <w:iCs/>
          <w:color w:val="000000"/>
        </w:rPr>
        <w:footnoteReference w:id="440"/>
      </w:r>
    </w:p>
    <w:p w:rsidR="007E6558" w:rsidRPr="00F15182" w:rsidRDefault="007E6558" w:rsidP="007E6558">
      <w:pPr>
        <w:keepNext/>
        <w:rPr>
          <w:rFonts w:cs="Times New Roman"/>
        </w:rPr>
      </w:pPr>
      <w:r>
        <w:rPr>
          <w:rFonts w:cs="Times New Roman"/>
        </w:rPr>
        <w:t xml:space="preserve">In its Issues Paper submission, </w:t>
      </w:r>
      <w:r w:rsidR="00CD0E51">
        <w:rPr>
          <w:rFonts w:cs="Times New Roman"/>
        </w:rPr>
        <w:t>Goulburn-Murray Water (</w:t>
      </w:r>
      <w:r w:rsidRPr="007978CC">
        <w:rPr>
          <w:rFonts w:cs="Times New Roman"/>
        </w:rPr>
        <w:t>GMW</w:t>
      </w:r>
      <w:r w:rsidR="00CD0E51">
        <w:rPr>
          <w:rFonts w:cs="Times New Roman"/>
        </w:rPr>
        <w:t>)</w:t>
      </w:r>
      <w:r w:rsidRPr="007978CC">
        <w:rPr>
          <w:rFonts w:cs="Times New Roman"/>
        </w:rPr>
        <w:t xml:space="preserve"> noted that pass-through events are sometimes d</w:t>
      </w:r>
      <w:r>
        <w:rPr>
          <w:rFonts w:cs="Times New Roman"/>
        </w:rPr>
        <w:t>efined in a price determination:</w:t>
      </w:r>
      <w:r w:rsidRPr="007978CC">
        <w:rPr>
          <w:rFonts w:cs="Times New Roman"/>
        </w:rPr>
        <w:t xml:space="preserve"> “for example, the AER determines pass through events where there is some likelihood of an event occurring but the timing and cost impact is unknown at the time of the determination</w:t>
      </w:r>
      <w:r w:rsidR="00D3128D">
        <w:rPr>
          <w:rFonts w:cs="Times New Roman"/>
        </w:rPr>
        <w:t>”</w:t>
      </w:r>
      <w:r w:rsidRPr="007978CC">
        <w:rPr>
          <w:rFonts w:cs="Times New Roman"/>
        </w:rPr>
        <w:t>.</w:t>
      </w:r>
      <w:r w:rsidRPr="007978CC">
        <w:rPr>
          <w:rStyle w:val="FootnoteReference"/>
          <w:rFonts w:cs="Times New Roman"/>
          <w:iCs/>
          <w:color w:val="000000"/>
        </w:rPr>
        <w:footnoteReference w:id="441"/>
      </w:r>
      <w:r w:rsidRPr="007978CC">
        <w:rPr>
          <w:rFonts w:cs="Times New Roman"/>
          <w:iCs/>
          <w:color w:val="000000"/>
        </w:rPr>
        <w:t xml:space="preserve"> </w:t>
      </w:r>
    </w:p>
    <w:p w:rsidR="007E6558" w:rsidRPr="009D69F2" w:rsidRDefault="007E6558" w:rsidP="007E6558">
      <w:pPr>
        <w:spacing w:before="120"/>
      </w:pPr>
      <w:r>
        <w:t xml:space="preserve">In response to the Draft Advice, WaterNSW noted generally that it supports amendments to improve the existing price setting arrangements in the </w:t>
      </w:r>
      <w:r w:rsidR="002C2856" w:rsidRPr="00A43BF7">
        <w:rPr>
          <w:rFonts w:cs="Times New Roman"/>
        </w:rPr>
        <w:t>Water Charge (Infrastructure) Rules 2010</w:t>
      </w:r>
      <w:r w:rsidR="002C2856" w:rsidRPr="00A16AFC">
        <w:rPr>
          <w:rFonts w:cs="Times New Roman"/>
          <w:i/>
        </w:rPr>
        <w:t xml:space="preserve"> </w:t>
      </w:r>
      <w:r w:rsidR="002C2856">
        <w:rPr>
          <w:rFonts w:cs="Times New Roman"/>
        </w:rPr>
        <w:t>(</w:t>
      </w:r>
      <w:r>
        <w:t>WCIR</w:t>
      </w:r>
      <w:r w:rsidR="002C2856">
        <w:t>)</w:t>
      </w:r>
      <w:r>
        <w:t>.</w:t>
      </w:r>
      <w:r w:rsidRPr="00AB0F24">
        <w:rPr>
          <w:rStyle w:val="FootnoteReference"/>
          <w:rFonts w:cs="Times New Roman"/>
          <w:sz w:val="20"/>
          <w:szCs w:val="20"/>
        </w:rPr>
        <w:footnoteReference w:id="442"/>
      </w:r>
      <w:r>
        <w:t xml:space="preserve"> WaterNSW submitted that the proposed amendments ‘reflect an appropriate trade-off between regulatory flexibility and regulatory certainty’.</w:t>
      </w:r>
      <w:r w:rsidRPr="00AB0F24">
        <w:rPr>
          <w:rStyle w:val="FootnoteReference"/>
          <w:rFonts w:cs="Times New Roman"/>
          <w:sz w:val="20"/>
          <w:szCs w:val="20"/>
        </w:rPr>
        <w:footnoteReference w:id="443"/>
      </w:r>
      <w:r>
        <w:t xml:space="preserve"> WaterNSW also noted that the specific proposed amendments to pass-throughs and contingent projects would better allow an operator to respond to customer needs during the regulatory period. </w:t>
      </w:r>
    </w:p>
    <w:p w:rsidR="007E6558" w:rsidRDefault="007E6558" w:rsidP="00D17F9C">
      <w:pPr>
        <w:pStyle w:val="Heading5"/>
      </w:pPr>
      <w:r>
        <w:t>Reducing the current absolute and RAB materiality thresholds</w:t>
      </w:r>
    </w:p>
    <w:p w:rsidR="007E6558" w:rsidRDefault="007E6558" w:rsidP="007E6558">
      <w:pPr>
        <w:spacing w:before="120"/>
      </w:pPr>
      <w:r>
        <w:t xml:space="preserve">GMW noted that the ACCC’s Draft Advice had responded to GMW’s feedback in relation to lowering the thresholds for a variation of a determination (as implemented through </w:t>
      </w:r>
      <w:r w:rsidR="00A52AF4">
        <w:t>r</w:t>
      </w:r>
      <w:r>
        <w:t xml:space="preserve">ule </w:t>
      </w:r>
      <w:r w:rsidR="00A52AF4">
        <w:t>a</w:t>
      </w:r>
      <w:r>
        <w:t>dvice 5-R).</w:t>
      </w:r>
      <w:r w:rsidRPr="00FB350E">
        <w:rPr>
          <w:rStyle w:val="FootnoteReference"/>
          <w:rFonts w:cs="Times New Roman"/>
          <w:sz w:val="20"/>
          <w:szCs w:val="20"/>
        </w:rPr>
        <w:footnoteReference w:id="444"/>
      </w:r>
      <w:r>
        <w:t xml:space="preserve"> However, GMW submitted its concern about the “practical impact” that the proposed amendment to change the threshold to ‘5 per cent of the aggregate revenue requirement for the year to which the review relates and the remaining years of the regulatory period’. GMW expressed concern that this could actually increase the threshold for GMW in the early years of the regulatory period, for events other than taxation and regulatory events.</w:t>
      </w:r>
      <w:r>
        <w:rPr>
          <w:rStyle w:val="FootnoteReference"/>
        </w:rPr>
        <w:footnoteReference w:id="445"/>
      </w:r>
      <w:r>
        <w:t xml:space="preserve"> GMW argued that the proposed amendments to the threshold are ‘unacceptably high’ and that ‘[a]t the proposed threshold for the first year of the regulatory period, GMW could foreseeably be moved to a position where its financial viability is threatened, with adverse implications for service delivery’.</w:t>
      </w:r>
      <w:r w:rsidRPr="00FB350E">
        <w:rPr>
          <w:rStyle w:val="FootnoteReference"/>
          <w:rFonts w:cs="Times New Roman"/>
          <w:sz w:val="20"/>
          <w:szCs w:val="20"/>
        </w:rPr>
        <w:footnoteReference w:id="446"/>
      </w:r>
      <w:r>
        <w:t xml:space="preserve"> GMW added that the impact would be greatest when there is district-based pricing ‘because unforeseen costs below the threshold would be borne by individual business segments or districts rather than absorbed by GMW at a global level’.</w:t>
      </w:r>
      <w:r w:rsidRPr="007E6558">
        <w:rPr>
          <w:rStyle w:val="FootnoteReference"/>
          <w:rFonts w:cs="Times New Roman"/>
          <w:sz w:val="20"/>
          <w:szCs w:val="20"/>
        </w:rPr>
        <w:footnoteReference w:id="447"/>
      </w:r>
      <w:r>
        <w:t xml:space="preserve"> </w:t>
      </w:r>
    </w:p>
    <w:p w:rsidR="007E6558" w:rsidRDefault="007E6558" w:rsidP="007E6558">
      <w:r>
        <w:t>GMW concluded that where the threshold is related to the total annual revenue or the RAB, consideration should be given to ‘the practical impacts of a disaggregated business and user pays reflective based pricing’.</w:t>
      </w:r>
      <w:r w:rsidRPr="00FB350E">
        <w:rPr>
          <w:rStyle w:val="FootnoteReference"/>
          <w:rFonts w:cs="Times New Roman"/>
          <w:sz w:val="20"/>
          <w:szCs w:val="20"/>
        </w:rPr>
        <w:footnoteReference w:id="448"/>
      </w:r>
      <w:r>
        <w:t xml:space="preserve"> GMW added that [t]his highlights the complexity of the trade-off between cost reflectivity and simplicity and the importance of providing sufficient flexibility to allow operators to develop efficient pricing that avoids perverse outcomes and price shocks’.</w:t>
      </w:r>
      <w:r w:rsidRPr="00FB350E">
        <w:rPr>
          <w:rStyle w:val="FootnoteReference"/>
          <w:rFonts w:cs="Times New Roman"/>
          <w:sz w:val="20"/>
          <w:szCs w:val="20"/>
        </w:rPr>
        <w:footnoteReference w:id="449"/>
      </w:r>
    </w:p>
    <w:p w:rsidR="007E6558" w:rsidRPr="00E61BD6" w:rsidRDefault="007E6558" w:rsidP="007E6558">
      <w:r>
        <w:t>IPART argued that the rules should maintain the existing materiality thresholds – hence, ‘[d]eterminations should be varied only where prices would materially change as a result of the trigger event’.</w:t>
      </w:r>
      <w:r w:rsidRPr="00AB0F24">
        <w:rPr>
          <w:rStyle w:val="FootnoteReference"/>
          <w:rFonts w:cs="Times New Roman"/>
          <w:sz w:val="20"/>
          <w:szCs w:val="20"/>
        </w:rPr>
        <w:footnoteReference w:id="450"/>
      </w:r>
      <w:r>
        <w:t xml:space="preserve"> IPART added that this would minimise the cost of regulation on the regulated entity, the regulator and stakeholders. </w:t>
      </w:r>
    </w:p>
    <w:p w:rsidR="007E6558" w:rsidRDefault="007E6558" w:rsidP="00D17F9C">
      <w:pPr>
        <w:pStyle w:val="Heading5"/>
      </w:pPr>
      <w:r>
        <w:t>Allowing the regulator to initiate a variation of the original determination</w:t>
      </w:r>
    </w:p>
    <w:p w:rsidR="007E6558" w:rsidRDefault="007E6558" w:rsidP="007E6558">
      <w:pPr>
        <w:spacing w:before="120"/>
      </w:pPr>
      <w:r>
        <w:t>Only IPART made a submission on this issue. IPART reiterated its views from its submission to the Issues Paper that regulators should be able to initiate variation reviews.</w:t>
      </w:r>
      <w:r w:rsidR="00C6733C">
        <w:t xml:space="preserve"> </w:t>
      </w:r>
      <w:r>
        <w:t>This would allow the regulator to initiate a variation review where there are cost decreases as well as cost increases.</w:t>
      </w:r>
      <w:r w:rsidRPr="00AB0F24">
        <w:rPr>
          <w:rStyle w:val="FootnoteReference"/>
          <w:rFonts w:cs="Times New Roman"/>
          <w:sz w:val="20"/>
          <w:szCs w:val="20"/>
        </w:rPr>
        <w:footnoteReference w:id="451"/>
      </w:r>
    </w:p>
    <w:p w:rsidR="007E6558" w:rsidRDefault="007E6558" w:rsidP="00D17F9C">
      <w:pPr>
        <w:pStyle w:val="Heading5"/>
      </w:pPr>
      <w:r>
        <w:t>Narrowing the circumstances under which a Part 6 operator may seek the variation of a determination</w:t>
      </w:r>
    </w:p>
    <w:p w:rsidR="007E6558" w:rsidRDefault="007E6558" w:rsidP="007E6558">
      <w:pPr>
        <w:spacing w:before="120"/>
      </w:pPr>
      <w:r>
        <w:t>IPART’s submission to the Draft Advice reiterated its position from its Issues Paper submission in favour of limiting the scope for variation of a determination.</w:t>
      </w:r>
      <w:r w:rsidRPr="00AB0F24">
        <w:rPr>
          <w:rStyle w:val="FootnoteReference"/>
          <w:rFonts w:cs="Times New Roman"/>
          <w:sz w:val="20"/>
          <w:szCs w:val="20"/>
        </w:rPr>
        <w:footnoteReference w:id="452"/>
      </w:r>
      <w:r>
        <w:t xml:space="preserve"> In its Issues Paper submission, IPART argued that the circumstances under which there could be a variation of a</w:t>
      </w:r>
      <w:r w:rsidR="00D920E5">
        <w:t>n approval or</w:t>
      </w:r>
      <w:r>
        <w:t xml:space="preserve"> determination should be limited to unforeseen regulatory and taxation change events (because these events are outside the regulated entity’s control).</w:t>
      </w:r>
      <w:r>
        <w:rPr>
          <w:rStyle w:val="FootnoteReference"/>
        </w:rPr>
        <w:footnoteReference w:id="453"/>
      </w:r>
    </w:p>
    <w:p w:rsidR="007E6558" w:rsidRDefault="007E6558" w:rsidP="007E6558">
      <w:pPr>
        <w:pStyle w:val="Heading4"/>
      </w:pPr>
      <w:r>
        <w:t>ACCC assessment</w:t>
      </w:r>
    </w:p>
    <w:p w:rsidR="00D920E5" w:rsidRPr="00D920E5" w:rsidRDefault="00D920E5" w:rsidP="00D920E5">
      <w:pPr>
        <w:pStyle w:val="Heading5"/>
      </w:pPr>
      <w:r>
        <w:t>Overview</w:t>
      </w:r>
    </w:p>
    <w:p w:rsidR="004359EC" w:rsidRDefault="007E6558" w:rsidP="007E6558">
      <w:r>
        <w:t>The ACCC remains of the view that its draft rule advice on contingent projects (</w:t>
      </w:r>
      <w:r w:rsidR="00D920E5">
        <w:t xml:space="preserve">rule advice </w:t>
      </w:r>
      <w:r>
        <w:t xml:space="preserve">5-Q) in the Draft Advice </w:t>
      </w:r>
      <w:r w:rsidR="00D920E5">
        <w:t xml:space="preserve">largely </w:t>
      </w:r>
      <w:r w:rsidR="00171034">
        <w:t>remains</w:t>
      </w:r>
      <w:r>
        <w:t xml:space="preserve"> appropriate, for the reasons set out in that document (summarised in ‘</w:t>
      </w:r>
      <w:r w:rsidR="00D920E5">
        <w:t>B</w:t>
      </w:r>
      <w:r>
        <w:t xml:space="preserve">ackground’ section above). </w:t>
      </w:r>
    </w:p>
    <w:p w:rsidR="007E6558" w:rsidRDefault="00171034" w:rsidP="007E6558">
      <w:r>
        <w:t xml:space="preserve">However, in this Final Advice, the ACCC has added a materiality </w:t>
      </w:r>
      <w:r w:rsidR="00A32AF9">
        <w:t>criterion</w:t>
      </w:r>
      <w:r>
        <w:t xml:space="preserve"> that the regulator must consider before a capital expenditure project can be specified as a contingent project</w:t>
      </w:r>
      <w:r w:rsidR="00694ECB">
        <w:t>. The reasons for this and some further clarification of the contingent projects mechanism is set out below.</w:t>
      </w:r>
      <w:r>
        <w:t xml:space="preserve"> </w:t>
      </w:r>
    </w:p>
    <w:p w:rsidR="00642AE7" w:rsidRDefault="00642AE7" w:rsidP="00D920E5">
      <w:pPr>
        <w:spacing w:before="120"/>
        <w:rPr>
          <w:b/>
        </w:rPr>
      </w:pPr>
      <w:r>
        <w:t>As noted above, in its submission IPART continued to support its previous view, submitted in response to the Issues Paper, that the ability of Part 6 operators and regulators to seek a variation be limited to taxation and regulatory events only.</w:t>
      </w:r>
      <w:r w:rsidR="009D6147">
        <w:t xml:space="preserve"> </w:t>
      </w:r>
      <w:r>
        <w:t xml:space="preserve">In its Draft Advice, the ACCC stated that it supported the ability of both the regulator and operator to seek a variation for regulatory and taxation events, but </w:t>
      </w:r>
      <w:r w:rsidR="00A44544">
        <w:t>in relation to other events it supported only the operator</w:t>
      </w:r>
      <w:r w:rsidR="009D6147">
        <w:t>’</w:t>
      </w:r>
      <w:r w:rsidR="00A44544">
        <w:t>s ability to seek a variation.</w:t>
      </w:r>
      <w:r>
        <w:t xml:space="preserve"> For the reasons outlined in the Draft Advice (and summarised in the background to this section), the ACCC remains of this view. </w:t>
      </w:r>
    </w:p>
    <w:p w:rsidR="007E6558" w:rsidRDefault="007E6558" w:rsidP="00135446">
      <w:pPr>
        <w:spacing w:after="120"/>
      </w:pPr>
      <w:r>
        <w:t>However, in response to stakeholder feedback, the ACCC supports amending draft rule advice 5-R (which relates to the materiality thresholds for parties to seek variations of an original approval / determination). The ACCC recommends that the materiality thresholds now be defined as:</w:t>
      </w:r>
    </w:p>
    <w:p w:rsidR="007E6558" w:rsidRDefault="00070D3C" w:rsidP="00A82DE6">
      <w:pPr>
        <w:pStyle w:val="Lvl1Bulletpoint"/>
      </w:pPr>
      <w:r>
        <w:t>one</w:t>
      </w:r>
      <w:r w:rsidR="007E6558">
        <w:t xml:space="preserve"> per cent of the aggregate revenue requirement for regulatory and taxation events</w:t>
      </w:r>
      <w:r w:rsidR="00694ECB">
        <w:t>,</w:t>
      </w:r>
      <w:r w:rsidR="007E6558">
        <w:t xml:space="preserve"> and </w:t>
      </w:r>
    </w:p>
    <w:p w:rsidR="007E6558" w:rsidRDefault="00070D3C" w:rsidP="00A82DE6">
      <w:pPr>
        <w:pStyle w:val="Lvl1Bulletpoint"/>
      </w:pPr>
      <w:r>
        <w:t>three</w:t>
      </w:r>
      <w:r w:rsidR="007E6558">
        <w:t xml:space="preserve"> per cent of the aggregate revenue requirement for other events. </w:t>
      </w:r>
    </w:p>
    <w:p w:rsidR="00694ECB" w:rsidRDefault="00694ECB" w:rsidP="00694ECB">
      <w:r>
        <w:t>To apply for a variation, the particular event must meet the threshold. The event cannot be a series of events, an aggregation of related events, or an overrun of business as usual costs.</w:t>
      </w:r>
    </w:p>
    <w:p w:rsidR="007E6558" w:rsidRDefault="007E6558" w:rsidP="0003295E">
      <w:pPr>
        <w:pStyle w:val="ListParagraph"/>
        <w:ind w:left="0"/>
      </w:pPr>
      <w:r>
        <w:t xml:space="preserve">The ACCC has also </w:t>
      </w:r>
      <w:r w:rsidRPr="00135446">
        <w:t>amended the proposed definition of the ‘aggregate revenue requirement’ to</w:t>
      </w:r>
      <w:r w:rsidR="00694ECB" w:rsidRPr="00135446">
        <w:t xml:space="preserve"> be the </w:t>
      </w:r>
      <w:r w:rsidR="0003295E" w:rsidRPr="00135446">
        <w:t xml:space="preserve">sum of revenue from infrastructure charges </w:t>
      </w:r>
      <w:r w:rsidR="0003295E" w:rsidRPr="00135446">
        <w:rPr>
          <w:i/>
        </w:rPr>
        <w:t>and government contributions</w:t>
      </w:r>
      <w:r w:rsidR="0003295E" w:rsidRPr="00135446">
        <w:t xml:space="preserve"> that was forecast for the </w:t>
      </w:r>
      <w:r w:rsidR="0003295E" w:rsidRPr="00135446">
        <w:rPr>
          <w:i/>
        </w:rPr>
        <w:t>regulatory period</w:t>
      </w:r>
      <w:r w:rsidR="0003295E" w:rsidRPr="00135446">
        <w:t xml:space="preserve"> at the time that the ACCC made the initial approval or determination of the charges under rule 29.</w:t>
      </w:r>
      <w:r w:rsidR="00694ECB" w:rsidRPr="00135446">
        <w:t xml:space="preserve"> </w:t>
      </w:r>
      <w:r w:rsidR="00694ECB" w:rsidRPr="00135446">
        <w:rPr>
          <w:rFonts w:cs="Times New Roman"/>
        </w:rPr>
        <w:t>In the Draft Advice, the definition of the aggregate revenue requirement covered only infrastructure charges</w:t>
      </w:r>
      <w:r w:rsidR="00694ECB">
        <w:rPr>
          <w:rFonts w:cs="Times New Roman"/>
        </w:rPr>
        <w:t xml:space="preserve"> and was limited to revenue for the current and remaining years of the regulatory period (that is, the amount declined over the regulatory period)</w:t>
      </w:r>
      <w:r w:rsidR="00D920E5">
        <w:rPr>
          <w:rFonts w:cs="Times New Roman"/>
        </w:rPr>
        <w:t>.</w:t>
      </w:r>
    </w:p>
    <w:p w:rsidR="007E6558" w:rsidRDefault="007E6558" w:rsidP="007E6558">
      <w:r>
        <w:t xml:space="preserve">The ACCC’s reasons for its </w:t>
      </w:r>
      <w:r w:rsidR="00694ECB">
        <w:t xml:space="preserve">positions </w:t>
      </w:r>
      <w:r>
        <w:t>and its response to stakeholder concerns are set out below.</w:t>
      </w:r>
      <w:r w:rsidR="00C6733C">
        <w:t xml:space="preserve"> </w:t>
      </w:r>
    </w:p>
    <w:p w:rsidR="00694ECB" w:rsidRDefault="00694ECB" w:rsidP="00EE2E9A">
      <w:pPr>
        <w:pStyle w:val="Heading5"/>
      </w:pPr>
      <w:r>
        <w:t>Contingent Projects</w:t>
      </w:r>
      <w:r w:rsidR="00642AE7">
        <w:t>—materiality thresholds and other matters</w:t>
      </w:r>
    </w:p>
    <w:p w:rsidR="00694ECB" w:rsidRDefault="00694ECB" w:rsidP="00694ECB">
      <w:pPr>
        <w:rPr>
          <w:rStyle w:val="Hyperlink"/>
          <w:noProof/>
          <w:color w:val="auto"/>
          <w:u w:val="none"/>
        </w:rPr>
      </w:pPr>
      <w:r>
        <w:t xml:space="preserve">The Draft Advice proposed that the rules give the ACCC the discretion on whether to include an individual capital expenditure proposed by a Part 6 operator as a contingent project when approving or determining an operator’s infrastructure charges. In making this decision, the ACCC would be required to consider the </w:t>
      </w:r>
      <w:r w:rsidRPr="004222AB">
        <w:rPr>
          <w:rStyle w:val="Hyperlink"/>
          <w:noProof/>
          <w:color w:val="auto"/>
          <w:u w:val="none"/>
        </w:rPr>
        <w:t xml:space="preserve">cost, timing, necessity, likelihood </w:t>
      </w:r>
      <w:r w:rsidR="00D920E5">
        <w:rPr>
          <w:rStyle w:val="Hyperlink"/>
          <w:noProof/>
          <w:color w:val="auto"/>
          <w:u w:val="none"/>
        </w:rPr>
        <w:t>and</w:t>
      </w:r>
      <w:r w:rsidRPr="004222AB">
        <w:rPr>
          <w:rStyle w:val="Hyperlink"/>
          <w:noProof/>
          <w:color w:val="auto"/>
          <w:u w:val="none"/>
        </w:rPr>
        <w:t xml:space="preserve"> feasibility of </w:t>
      </w:r>
      <w:r>
        <w:rPr>
          <w:rStyle w:val="Hyperlink"/>
          <w:noProof/>
          <w:color w:val="auto"/>
          <w:u w:val="none"/>
        </w:rPr>
        <w:t>the</w:t>
      </w:r>
      <w:r w:rsidRPr="004222AB">
        <w:rPr>
          <w:rStyle w:val="Hyperlink"/>
          <w:noProof/>
          <w:color w:val="auto"/>
          <w:u w:val="none"/>
        </w:rPr>
        <w:t xml:space="preserve"> capital expenditure</w:t>
      </w:r>
      <w:r>
        <w:rPr>
          <w:rStyle w:val="Hyperlink"/>
          <w:noProof/>
          <w:color w:val="auto"/>
          <w:u w:val="none"/>
        </w:rPr>
        <w:t xml:space="preserve"> </w:t>
      </w:r>
      <w:r w:rsidR="00D920E5">
        <w:rPr>
          <w:rStyle w:val="Hyperlink"/>
          <w:noProof/>
          <w:color w:val="auto"/>
          <w:u w:val="none"/>
        </w:rPr>
        <w:t xml:space="preserve">project </w:t>
      </w:r>
      <w:r>
        <w:rPr>
          <w:rStyle w:val="Hyperlink"/>
          <w:noProof/>
          <w:color w:val="auto"/>
          <w:u w:val="none"/>
        </w:rPr>
        <w:t>occurring.</w:t>
      </w:r>
    </w:p>
    <w:p w:rsidR="00694ECB" w:rsidRDefault="00694ECB" w:rsidP="00694ECB">
      <w:pPr>
        <w:rPr>
          <w:rStyle w:val="Hyperlink"/>
          <w:noProof/>
          <w:color w:val="auto"/>
          <w:u w:val="none"/>
        </w:rPr>
      </w:pPr>
      <w:r>
        <w:rPr>
          <w:rStyle w:val="Hyperlink"/>
          <w:noProof/>
          <w:color w:val="auto"/>
          <w:u w:val="none"/>
        </w:rPr>
        <w:t>The ACCC continues to believe that th</w:t>
      </w:r>
      <w:r w:rsidR="00D920E5">
        <w:rPr>
          <w:rStyle w:val="Hyperlink"/>
          <w:noProof/>
          <w:color w:val="auto"/>
          <w:u w:val="none"/>
        </w:rPr>
        <w:t>e</w:t>
      </w:r>
      <w:r>
        <w:rPr>
          <w:rStyle w:val="Hyperlink"/>
          <w:noProof/>
          <w:color w:val="auto"/>
          <w:u w:val="none"/>
        </w:rPr>
        <w:t>s</w:t>
      </w:r>
      <w:r w:rsidR="00D920E5">
        <w:rPr>
          <w:rStyle w:val="Hyperlink"/>
          <w:noProof/>
          <w:color w:val="auto"/>
          <w:u w:val="none"/>
        </w:rPr>
        <w:t>e</w:t>
      </w:r>
      <w:r>
        <w:rPr>
          <w:rStyle w:val="Hyperlink"/>
          <w:noProof/>
          <w:color w:val="auto"/>
          <w:u w:val="none"/>
        </w:rPr>
        <w:t xml:space="preserve"> criter</w:t>
      </w:r>
      <w:r w:rsidR="005710C4">
        <w:rPr>
          <w:rStyle w:val="Hyperlink"/>
          <w:noProof/>
          <w:color w:val="auto"/>
          <w:u w:val="none"/>
        </w:rPr>
        <w:t>ia are</w:t>
      </w:r>
      <w:r>
        <w:rPr>
          <w:rStyle w:val="Hyperlink"/>
          <w:noProof/>
          <w:color w:val="auto"/>
          <w:u w:val="none"/>
        </w:rPr>
        <w:t xml:space="preserve"> appropriate for the reasons set out in the Draft Advice. However, on further consideration, the ACCC believes that a further criterion is necessary. The ACCC is concerned that the proposed rule may encourage operators to submit to the ACCC a large number of small projects. This may prove costly for the operator as it will face regulatory costs at the time of the approval or determination and at the time it makes any subsequent variation applications. </w:t>
      </w:r>
    </w:p>
    <w:p w:rsidR="00694ECB" w:rsidRDefault="00694ECB" w:rsidP="00694ECB">
      <w:pPr>
        <w:rPr>
          <w:rStyle w:val="Hyperlink"/>
          <w:noProof/>
          <w:color w:val="auto"/>
          <w:u w:val="none"/>
        </w:rPr>
      </w:pPr>
      <w:r>
        <w:rPr>
          <w:rStyle w:val="Hyperlink"/>
          <w:noProof/>
          <w:color w:val="auto"/>
          <w:u w:val="none"/>
        </w:rPr>
        <w:t xml:space="preserve">Therefore, in this Final Advice, the ACCC has decided to include a materiality criterion the ACCC must consider before it </w:t>
      </w:r>
      <w:r w:rsidR="001956FA">
        <w:t xml:space="preserve">can specify a </w:t>
      </w:r>
      <w:r w:rsidR="005710C4">
        <w:t xml:space="preserve">particular </w:t>
      </w:r>
      <w:r w:rsidR="001956FA">
        <w:t>capital expenditure project as a contingent project</w:t>
      </w:r>
      <w:r w:rsidR="00A32AF9">
        <w:rPr>
          <w:rStyle w:val="Hyperlink"/>
          <w:noProof/>
          <w:color w:val="auto"/>
          <w:u w:val="none"/>
        </w:rPr>
        <w:t xml:space="preserve">. </w:t>
      </w:r>
      <w:r>
        <w:rPr>
          <w:rStyle w:val="Hyperlink"/>
          <w:noProof/>
          <w:color w:val="auto"/>
          <w:u w:val="none"/>
        </w:rPr>
        <w:t>Specifically, the ACCC must be satisfied that the</w:t>
      </w:r>
      <w:r w:rsidRPr="00B57465">
        <w:rPr>
          <w:rStyle w:val="Hyperlink"/>
          <w:color w:val="auto"/>
          <w:u w:val="none"/>
        </w:rPr>
        <w:t xml:space="preserve"> </w:t>
      </w:r>
      <w:r w:rsidRPr="00B57465">
        <w:rPr>
          <w:rStyle w:val="Hyperlink"/>
          <w:noProof/>
          <w:color w:val="auto"/>
          <w:u w:val="none"/>
        </w:rPr>
        <w:t xml:space="preserve">inclusion of the proposed capital expenditure project would have a material impact on the </w:t>
      </w:r>
      <w:r>
        <w:rPr>
          <w:rStyle w:val="Hyperlink"/>
          <w:noProof/>
          <w:color w:val="auto"/>
          <w:u w:val="none"/>
        </w:rPr>
        <w:t xml:space="preserve">operator’s </w:t>
      </w:r>
      <w:r w:rsidRPr="00B57465">
        <w:rPr>
          <w:rStyle w:val="Hyperlink"/>
          <w:noProof/>
          <w:color w:val="auto"/>
          <w:u w:val="none"/>
        </w:rPr>
        <w:t>infrastructure charges to be approved or determined</w:t>
      </w:r>
      <w:r>
        <w:rPr>
          <w:rStyle w:val="Hyperlink"/>
          <w:noProof/>
          <w:color w:val="auto"/>
          <w:u w:val="none"/>
        </w:rPr>
        <w:t>. The ACCC considers that the inclusion of this criteri</w:t>
      </w:r>
      <w:r w:rsidR="00D3128D">
        <w:rPr>
          <w:rStyle w:val="Hyperlink"/>
          <w:noProof/>
          <w:color w:val="auto"/>
          <w:u w:val="none"/>
        </w:rPr>
        <w:t>on</w:t>
      </w:r>
      <w:r>
        <w:rPr>
          <w:rStyle w:val="Hyperlink"/>
          <w:noProof/>
          <w:color w:val="auto"/>
          <w:u w:val="none"/>
        </w:rPr>
        <w:t xml:space="preserve"> will </w:t>
      </w:r>
      <w:r w:rsidR="005710C4">
        <w:rPr>
          <w:rStyle w:val="Hyperlink"/>
          <w:noProof/>
          <w:color w:val="auto"/>
          <w:u w:val="none"/>
        </w:rPr>
        <w:t xml:space="preserve">promote regulatory certainty and </w:t>
      </w:r>
      <w:r>
        <w:rPr>
          <w:rStyle w:val="Hyperlink"/>
          <w:noProof/>
          <w:color w:val="auto"/>
          <w:u w:val="none"/>
        </w:rPr>
        <w:t>make the operation of variations relating to contingent proj</w:t>
      </w:r>
      <w:r w:rsidR="005710C4">
        <w:rPr>
          <w:rStyle w:val="Hyperlink"/>
          <w:noProof/>
          <w:color w:val="auto"/>
          <w:u w:val="none"/>
        </w:rPr>
        <w:t>ects simpler and</w:t>
      </w:r>
      <w:r>
        <w:rPr>
          <w:rStyle w:val="Hyperlink"/>
          <w:noProof/>
          <w:color w:val="auto"/>
          <w:u w:val="none"/>
        </w:rPr>
        <w:t xml:space="preserve"> less costly.</w:t>
      </w:r>
      <w:r w:rsidR="004F6BD0">
        <w:rPr>
          <w:rStyle w:val="Hyperlink"/>
          <w:noProof/>
          <w:color w:val="auto"/>
          <w:u w:val="none"/>
        </w:rPr>
        <w:t xml:space="preserve"> </w:t>
      </w:r>
    </w:p>
    <w:p w:rsidR="005710C4" w:rsidRDefault="00694ECB" w:rsidP="00694ECB">
      <w:pPr>
        <w:rPr>
          <w:rStyle w:val="Hyperlink"/>
          <w:noProof/>
          <w:color w:val="auto"/>
          <w:u w:val="none"/>
        </w:rPr>
      </w:pPr>
      <w:r>
        <w:rPr>
          <w:rStyle w:val="Hyperlink"/>
          <w:noProof/>
          <w:color w:val="auto"/>
          <w:u w:val="none"/>
        </w:rPr>
        <w:t xml:space="preserve">The ACCC notes that </w:t>
      </w:r>
      <w:r w:rsidR="001956FA">
        <w:rPr>
          <w:rStyle w:val="Hyperlink"/>
          <w:noProof/>
          <w:color w:val="auto"/>
          <w:u w:val="none"/>
        </w:rPr>
        <w:t>i</w:t>
      </w:r>
      <w:r>
        <w:rPr>
          <w:rStyle w:val="Hyperlink"/>
          <w:noProof/>
          <w:color w:val="auto"/>
          <w:u w:val="none"/>
        </w:rPr>
        <w:t xml:space="preserve">f the inclusion of a particular project as a contingent project in the operator’s approval or determination has the possibility of </w:t>
      </w:r>
      <w:r w:rsidR="005710C4">
        <w:rPr>
          <w:rStyle w:val="Hyperlink"/>
          <w:noProof/>
          <w:color w:val="auto"/>
          <w:u w:val="none"/>
        </w:rPr>
        <w:t xml:space="preserve">materially </w:t>
      </w:r>
      <w:r>
        <w:rPr>
          <w:rStyle w:val="Hyperlink"/>
          <w:noProof/>
          <w:color w:val="auto"/>
          <w:u w:val="none"/>
        </w:rPr>
        <w:t xml:space="preserve">affecting certain </w:t>
      </w:r>
      <w:r w:rsidR="005710C4">
        <w:rPr>
          <w:rStyle w:val="Hyperlink"/>
          <w:noProof/>
          <w:color w:val="auto"/>
          <w:u w:val="none"/>
        </w:rPr>
        <w:t>infrastructure</w:t>
      </w:r>
      <w:r>
        <w:rPr>
          <w:rStyle w:val="Hyperlink"/>
          <w:noProof/>
          <w:color w:val="auto"/>
          <w:u w:val="none"/>
        </w:rPr>
        <w:t xml:space="preserve"> charges in a particular valley or district, this would be sufficient to satisfy this criterion.</w:t>
      </w:r>
      <w:r w:rsidR="00242635">
        <w:rPr>
          <w:rStyle w:val="Hyperlink"/>
          <w:noProof/>
          <w:color w:val="auto"/>
          <w:u w:val="none"/>
        </w:rPr>
        <w:t xml:space="preserve"> </w:t>
      </w:r>
    </w:p>
    <w:p w:rsidR="00694ECB" w:rsidRDefault="00242635" w:rsidP="00694ECB">
      <w:pPr>
        <w:rPr>
          <w:rStyle w:val="Hyperlink"/>
          <w:noProof/>
          <w:color w:val="auto"/>
          <w:u w:val="none"/>
        </w:rPr>
      </w:pPr>
      <w:r>
        <w:rPr>
          <w:rStyle w:val="Hyperlink"/>
          <w:noProof/>
          <w:color w:val="auto"/>
          <w:u w:val="none"/>
        </w:rPr>
        <w:t xml:space="preserve">The ACCC also notes that the threshold </w:t>
      </w:r>
      <w:r w:rsidR="005710C4">
        <w:rPr>
          <w:rStyle w:val="Hyperlink"/>
          <w:noProof/>
          <w:color w:val="auto"/>
          <w:u w:val="none"/>
        </w:rPr>
        <w:t xml:space="preserve">proposed above </w:t>
      </w:r>
      <w:r>
        <w:rPr>
          <w:rStyle w:val="Hyperlink"/>
          <w:noProof/>
          <w:color w:val="auto"/>
          <w:u w:val="none"/>
        </w:rPr>
        <w:t>does not preclude the ACCC from excluding other proposed capital expenditure from an approval or determination if it considers that the associated costs would not be prudent or efficient.</w:t>
      </w:r>
    </w:p>
    <w:p w:rsidR="00694ECB" w:rsidRDefault="00694ECB" w:rsidP="00694ECB">
      <w:pPr>
        <w:rPr>
          <w:rStyle w:val="Hyperlink"/>
          <w:noProof/>
          <w:color w:val="auto"/>
          <w:u w:val="none"/>
        </w:rPr>
      </w:pPr>
      <w:r>
        <w:rPr>
          <w:rStyle w:val="Hyperlink"/>
          <w:noProof/>
          <w:color w:val="auto"/>
          <w:u w:val="none"/>
        </w:rPr>
        <w:t>In general, the ACCC wishes to clarify certain other matters relating to the operation of the contingent project mechanism</w:t>
      </w:r>
      <w:r w:rsidR="00C8330D">
        <w:rPr>
          <w:rStyle w:val="Hyperlink"/>
          <w:noProof/>
          <w:color w:val="auto"/>
          <w:u w:val="none"/>
        </w:rPr>
        <w:t>, set out below</w:t>
      </w:r>
      <w:r>
        <w:rPr>
          <w:rStyle w:val="Hyperlink"/>
          <w:noProof/>
          <w:color w:val="auto"/>
          <w:u w:val="none"/>
        </w:rPr>
        <w:t xml:space="preserve">. </w:t>
      </w:r>
    </w:p>
    <w:p w:rsidR="00694ECB" w:rsidRDefault="00694ECB" w:rsidP="00135446">
      <w:pPr>
        <w:spacing w:after="120"/>
        <w:rPr>
          <w:rStyle w:val="Hyperlink"/>
          <w:noProof/>
          <w:color w:val="auto"/>
          <w:u w:val="none"/>
        </w:rPr>
      </w:pPr>
      <w:r>
        <w:rPr>
          <w:rStyle w:val="Hyperlink"/>
          <w:noProof/>
          <w:color w:val="auto"/>
          <w:u w:val="none"/>
        </w:rPr>
        <w:t xml:space="preserve">Where the Part 6 operator submits a variation application relating to a contingent project, the Draft Advice </w:t>
      </w:r>
      <w:r w:rsidR="00242635">
        <w:rPr>
          <w:rStyle w:val="Hyperlink"/>
          <w:noProof/>
          <w:color w:val="auto"/>
          <w:u w:val="none"/>
        </w:rPr>
        <w:t xml:space="preserve">did not expressly set out </w:t>
      </w:r>
      <w:r>
        <w:rPr>
          <w:rStyle w:val="Hyperlink"/>
          <w:noProof/>
          <w:color w:val="auto"/>
          <w:u w:val="none"/>
        </w:rPr>
        <w:t>the process to be undertaken by the regulator when considering the application and how this translated to the</w:t>
      </w:r>
      <w:r w:rsidR="001956FA">
        <w:rPr>
          <w:rStyle w:val="Hyperlink"/>
          <w:noProof/>
          <w:color w:val="auto"/>
          <w:u w:val="none"/>
        </w:rPr>
        <w:t xml:space="preserve"> aggregate</w:t>
      </w:r>
      <w:r>
        <w:rPr>
          <w:rStyle w:val="Hyperlink"/>
          <w:noProof/>
          <w:color w:val="auto"/>
          <w:u w:val="none"/>
        </w:rPr>
        <w:t xml:space="preserve"> revenue requirement and infrastructure charges. In the</w:t>
      </w:r>
      <w:r w:rsidR="001956FA">
        <w:rPr>
          <w:rStyle w:val="Hyperlink"/>
          <w:noProof/>
          <w:color w:val="auto"/>
          <w:u w:val="none"/>
        </w:rPr>
        <w:t xml:space="preserve"> proposed </w:t>
      </w:r>
      <w:r w:rsidR="00A32AF9">
        <w:rPr>
          <w:rStyle w:val="Hyperlink"/>
          <w:noProof/>
          <w:color w:val="auto"/>
          <w:u w:val="none"/>
        </w:rPr>
        <w:t xml:space="preserve">water charge </w:t>
      </w:r>
      <w:r w:rsidR="001956FA">
        <w:rPr>
          <w:rStyle w:val="Hyperlink"/>
          <w:noProof/>
          <w:color w:val="auto"/>
          <w:u w:val="none"/>
        </w:rPr>
        <w:t>rule</w:t>
      </w:r>
      <w:r w:rsidR="00A32AF9">
        <w:rPr>
          <w:rStyle w:val="Hyperlink"/>
          <w:noProof/>
          <w:color w:val="auto"/>
          <w:u w:val="none"/>
        </w:rPr>
        <w:t>s</w:t>
      </w:r>
      <w:r w:rsidR="001956FA">
        <w:rPr>
          <w:rStyle w:val="Hyperlink"/>
          <w:noProof/>
          <w:color w:val="auto"/>
          <w:u w:val="none"/>
        </w:rPr>
        <w:t xml:space="preserve"> included in the </w:t>
      </w:r>
      <w:r>
        <w:rPr>
          <w:rStyle w:val="Hyperlink"/>
          <w:noProof/>
          <w:color w:val="auto"/>
          <w:u w:val="none"/>
        </w:rPr>
        <w:t xml:space="preserve">Draft </w:t>
      </w:r>
      <w:r w:rsidR="001956FA">
        <w:rPr>
          <w:rStyle w:val="Hyperlink"/>
          <w:noProof/>
          <w:color w:val="auto"/>
          <w:u w:val="none"/>
        </w:rPr>
        <w:t>Advice</w:t>
      </w:r>
      <w:r>
        <w:rPr>
          <w:rStyle w:val="Hyperlink"/>
          <w:noProof/>
          <w:color w:val="auto"/>
          <w:u w:val="none"/>
        </w:rPr>
        <w:t xml:space="preserve"> </w:t>
      </w:r>
      <w:r w:rsidR="00242635">
        <w:rPr>
          <w:rStyle w:val="Hyperlink"/>
          <w:noProof/>
          <w:color w:val="auto"/>
          <w:u w:val="none"/>
        </w:rPr>
        <w:t>(subrule 43(6))</w:t>
      </w:r>
      <w:r w:rsidR="001956FA">
        <w:rPr>
          <w:rStyle w:val="Hyperlink"/>
          <w:noProof/>
          <w:color w:val="auto"/>
          <w:u w:val="none"/>
        </w:rPr>
        <w:t>,</w:t>
      </w:r>
      <w:r w:rsidR="00242635">
        <w:rPr>
          <w:rStyle w:val="Hyperlink"/>
          <w:noProof/>
          <w:color w:val="auto"/>
          <w:u w:val="none"/>
        </w:rPr>
        <w:t xml:space="preserve"> </w:t>
      </w:r>
      <w:r>
        <w:rPr>
          <w:rStyle w:val="Hyperlink"/>
          <w:noProof/>
          <w:color w:val="auto"/>
          <w:u w:val="none"/>
        </w:rPr>
        <w:t>before approving a change to the approval or determination, the ACCC w</w:t>
      </w:r>
      <w:r w:rsidR="00C8330D">
        <w:rPr>
          <w:rStyle w:val="Hyperlink"/>
          <w:noProof/>
          <w:color w:val="auto"/>
          <w:u w:val="none"/>
        </w:rPr>
        <w:t>ould be</w:t>
      </w:r>
      <w:r>
        <w:rPr>
          <w:rStyle w:val="Hyperlink"/>
          <w:noProof/>
          <w:color w:val="auto"/>
          <w:u w:val="none"/>
        </w:rPr>
        <w:t xml:space="preserve"> required to be satisfied that:</w:t>
      </w:r>
    </w:p>
    <w:p w:rsidR="00694ECB" w:rsidRDefault="00694ECB" w:rsidP="00A82DE6">
      <w:pPr>
        <w:pStyle w:val="Lvl1Bulletpoint"/>
        <w:rPr>
          <w:rStyle w:val="Hyperlink"/>
          <w:noProof/>
          <w:color w:val="auto"/>
          <w:u w:val="none"/>
        </w:rPr>
      </w:pPr>
      <w:r>
        <w:rPr>
          <w:rStyle w:val="Hyperlink"/>
          <w:noProof/>
          <w:color w:val="auto"/>
          <w:u w:val="none"/>
        </w:rPr>
        <w:t>the trigger conditions relating to the application had been fulfilled</w:t>
      </w:r>
    </w:p>
    <w:p w:rsidR="00694ECB" w:rsidRDefault="00694ECB" w:rsidP="00A82DE6">
      <w:pPr>
        <w:pStyle w:val="Lvl1Bulletpoint"/>
        <w:rPr>
          <w:rStyle w:val="Hyperlink"/>
          <w:noProof/>
          <w:color w:val="auto"/>
          <w:u w:val="none"/>
        </w:rPr>
      </w:pPr>
      <w:r>
        <w:rPr>
          <w:rStyle w:val="Hyperlink"/>
          <w:noProof/>
          <w:color w:val="auto"/>
          <w:u w:val="none"/>
        </w:rPr>
        <w:t>the forecast revenue from infrastructure charges covered by the application met the prudent and efficient costs of providing the related infrastructure services</w:t>
      </w:r>
    </w:p>
    <w:p w:rsidR="00694ECB" w:rsidRPr="00CC1987" w:rsidRDefault="00694ECB" w:rsidP="00A82DE6">
      <w:pPr>
        <w:pStyle w:val="Lvl1Bulletpoint"/>
        <w:rPr>
          <w:rStyle w:val="Hyperlink"/>
          <w:noProof/>
          <w:color w:val="auto"/>
          <w:u w:val="none"/>
        </w:rPr>
      </w:pPr>
      <w:r>
        <w:rPr>
          <w:rStyle w:val="Hyperlink"/>
          <w:noProof/>
          <w:color w:val="auto"/>
          <w:u w:val="none"/>
        </w:rPr>
        <w:t xml:space="preserve">the infrastructure charges proposed in the application were consistent with </w:t>
      </w:r>
      <w:r w:rsidR="00531021">
        <w:rPr>
          <w:rStyle w:val="Hyperlink"/>
          <w:noProof/>
          <w:color w:val="auto"/>
          <w:u w:val="none"/>
        </w:rPr>
        <w:t>the Rules</w:t>
      </w:r>
      <w:r>
        <w:rPr>
          <w:rStyle w:val="Hyperlink"/>
          <w:noProof/>
          <w:color w:val="auto"/>
          <w:u w:val="none"/>
        </w:rPr>
        <w:t xml:space="preserve">. </w:t>
      </w:r>
    </w:p>
    <w:p w:rsidR="00694ECB" w:rsidRDefault="00694ECB" w:rsidP="00694ECB">
      <w:pPr>
        <w:rPr>
          <w:rStyle w:val="Hyperlink"/>
          <w:noProof/>
          <w:color w:val="auto"/>
          <w:u w:val="none"/>
        </w:rPr>
      </w:pPr>
      <w:r>
        <w:rPr>
          <w:rStyle w:val="Hyperlink"/>
          <w:noProof/>
          <w:color w:val="auto"/>
          <w:u w:val="none"/>
        </w:rPr>
        <w:t>The ACCC believes that these criteri</w:t>
      </w:r>
      <w:r w:rsidR="00C8330D">
        <w:rPr>
          <w:rStyle w:val="Hyperlink"/>
          <w:noProof/>
          <w:color w:val="auto"/>
          <w:u w:val="none"/>
        </w:rPr>
        <w:t>a</w:t>
      </w:r>
      <w:r>
        <w:rPr>
          <w:rStyle w:val="Hyperlink"/>
          <w:noProof/>
          <w:color w:val="auto"/>
          <w:u w:val="none"/>
        </w:rPr>
        <w:t xml:space="preserve"> are still appropriate for the ACCC to consider when deciding on the variation application. However, in this Final Advice, the ACCC add</w:t>
      </w:r>
      <w:r w:rsidR="00242635">
        <w:rPr>
          <w:rStyle w:val="Hyperlink"/>
          <w:noProof/>
          <w:color w:val="auto"/>
          <w:u w:val="none"/>
        </w:rPr>
        <w:t>s</w:t>
      </w:r>
      <w:r>
        <w:rPr>
          <w:rStyle w:val="Hyperlink"/>
          <w:noProof/>
          <w:color w:val="auto"/>
          <w:u w:val="none"/>
        </w:rPr>
        <w:t xml:space="preserve"> an additional criterion; the proposed project itself must be prudent and efficient. If the project itself is not a prudent and efficient </w:t>
      </w:r>
      <w:r w:rsidR="003C58BA">
        <w:rPr>
          <w:rStyle w:val="Hyperlink"/>
          <w:noProof/>
          <w:color w:val="auto"/>
          <w:u w:val="none"/>
        </w:rPr>
        <w:t xml:space="preserve">capital </w:t>
      </w:r>
      <w:r>
        <w:rPr>
          <w:rStyle w:val="Hyperlink"/>
          <w:noProof/>
          <w:color w:val="auto"/>
          <w:u w:val="none"/>
        </w:rPr>
        <w:t xml:space="preserve">expenditure, then </w:t>
      </w:r>
      <w:r w:rsidR="003C58BA">
        <w:rPr>
          <w:rStyle w:val="Hyperlink"/>
          <w:noProof/>
          <w:color w:val="auto"/>
          <w:u w:val="none"/>
        </w:rPr>
        <w:t xml:space="preserve">the associated costs of funding the project </w:t>
      </w:r>
      <w:r w:rsidR="00C8330D">
        <w:rPr>
          <w:rStyle w:val="Hyperlink"/>
          <w:noProof/>
          <w:color w:val="auto"/>
          <w:u w:val="none"/>
        </w:rPr>
        <w:t>w</w:t>
      </w:r>
      <w:r w:rsidR="003C58BA">
        <w:rPr>
          <w:rStyle w:val="Hyperlink"/>
          <w:noProof/>
          <w:color w:val="auto"/>
          <w:u w:val="none"/>
        </w:rPr>
        <w:t xml:space="preserve">ould </w:t>
      </w:r>
      <w:r>
        <w:rPr>
          <w:rStyle w:val="Hyperlink"/>
          <w:noProof/>
          <w:color w:val="auto"/>
          <w:u w:val="none"/>
        </w:rPr>
        <w:t>not be included in the operator’s revenue requirement.</w:t>
      </w:r>
      <w:r w:rsidR="004F6BD0">
        <w:rPr>
          <w:rStyle w:val="Hyperlink"/>
          <w:noProof/>
          <w:color w:val="auto"/>
          <w:u w:val="none"/>
        </w:rPr>
        <w:t xml:space="preserve"> </w:t>
      </w:r>
    </w:p>
    <w:p w:rsidR="00694ECB" w:rsidRDefault="00694ECB" w:rsidP="00694ECB">
      <w:pPr>
        <w:rPr>
          <w:rStyle w:val="Hyperlink"/>
          <w:noProof/>
          <w:color w:val="auto"/>
          <w:u w:val="none"/>
        </w:rPr>
      </w:pPr>
      <w:r>
        <w:rPr>
          <w:rStyle w:val="Hyperlink"/>
          <w:noProof/>
          <w:color w:val="auto"/>
          <w:u w:val="none"/>
        </w:rPr>
        <w:t>The decision on the prudency and efficiency of a contingent project will be based on the latest available information. This means, where a variation application relating to a contingent project is made, this information will inc</w:t>
      </w:r>
      <w:r w:rsidR="00C8330D">
        <w:rPr>
          <w:rStyle w:val="Hyperlink"/>
          <w:noProof/>
          <w:color w:val="auto"/>
          <w:u w:val="none"/>
        </w:rPr>
        <w:t>l</w:t>
      </w:r>
      <w:r>
        <w:rPr>
          <w:rStyle w:val="Hyperlink"/>
          <w:noProof/>
          <w:color w:val="auto"/>
          <w:u w:val="none"/>
        </w:rPr>
        <w:t>u</w:t>
      </w:r>
      <w:r w:rsidR="00C8330D">
        <w:rPr>
          <w:rStyle w:val="Hyperlink"/>
          <w:noProof/>
          <w:color w:val="auto"/>
          <w:u w:val="none"/>
        </w:rPr>
        <w:t>d</w:t>
      </w:r>
      <w:r>
        <w:rPr>
          <w:rStyle w:val="Hyperlink"/>
          <w:noProof/>
          <w:color w:val="auto"/>
          <w:u w:val="none"/>
        </w:rPr>
        <w:t>e information that was not available at the time of the initial approval or determination.</w:t>
      </w:r>
    </w:p>
    <w:p w:rsidR="00694ECB" w:rsidRDefault="00694ECB" w:rsidP="00694ECB">
      <w:pPr>
        <w:rPr>
          <w:rStyle w:val="Hyperlink"/>
          <w:noProof/>
          <w:color w:val="auto"/>
          <w:u w:val="none"/>
        </w:rPr>
      </w:pPr>
      <w:r>
        <w:rPr>
          <w:rStyle w:val="Hyperlink"/>
          <w:noProof/>
          <w:color w:val="auto"/>
          <w:u w:val="none"/>
        </w:rPr>
        <w:t xml:space="preserve">Where the ACCC approves the variation of an approval or determination </w:t>
      </w:r>
      <w:r w:rsidR="001956FA">
        <w:rPr>
          <w:rStyle w:val="Hyperlink"/>
          <w:noProof/>
          <w:color w:val="auto"/>
          <w:u w:val="none"/>
        </w:rPr>
        <w:t xml:space="preserve">in relation to </w:t>
      </w:r>
      <w:r>
        <w:rPr>
          <w:rStyle w:val="Hyperlink"/>
          <w:noProof/>
          <w:color w:val="auto"/>
          <w:u w:val="none"/>
        </w:rPr>
        <w:t>a contingent project</w:t>
      </w:r>
      <w:r w:rsidR="001956FA">
        <w:rPr>
          <w:rStyle w:val="Hyperlink"/>
          <w:noProof/>
          <w:color w:val="auto"/>
          <w:u w:val="none"/>
        </w:rPr>
        <w:t>, t</w:t>
      </w:r>
      <w:r w:rsidR="001956FA">
        <w:t xml:space="preserve">his </w:t>
      </w:r>
      <w:r w:rsidR="00CB29F9">
        <w:t>will</w:t>
      </w:r>
      <w:r w:rsidR="001956FA">
        <w:t xml:space="preserve"> be incorporated into the calculation of the operator’s revenue requirement in the same way that other approved capital expenditure projects are.</w:t>
      </w:r>
      <w:r>
        <w:rPr>
          <w:rStyle w:val="Hyperlink"/>
          <w:noProof/>
          <w:color w:val="auto"/>
          <w:u w:val="none"/>
        </w:rPr>
        <w:t xml:space="preserve"> That is</w:t>
      </w:r>
      <w:r w:rsidR="00531021">
        <w:rPr>
          <w:rStyle w:val="Hyperlink"/>
          <w:noProof/>
          <w:color w:val="auto"/>
          <w:u w:val="none"/>
        </w:rPr>
        <w:t>,</w:t>
      </w:r>
      <w:r>
        <w:rPr>
          <w:rStyle w:val="Hyperlink"/>
          <w:noProof/>
          <w:color w:val="auto"/>
          <w:u w:val="none"/>
        </w:rPr>
        <w:t xml:space="preserve"> </w:t>
      </w:r>
      <w:r w:rsidR="00817017">
        <w:rPr>
          <w:rStyle w:val="Hyperlink"/>
          <w:noProof/>
          <w:color w:val="auto"/>
          <w:u w:val="none"/>
        </w:rPr>
        <w:t xml:space="preserve">the capital expenditure in each year will be added to the operator’s regulatory asset base, with </w:t>
      </w:r>
      <w:r>
        <w:rPr>
          <w:rStyle w:val="Hyperlink"/>
          <w:noProof/>
          <w:color w:val="auto"/>
          <w:u w:val="none"/>
        </w:rPr>
        <w:t>the forecast depreciation and return o</w:t>
      </w:r>
      <w:r w:rsidR="001956FA">
        <w:rPr>
          <w:rStyle w:val="Hyperlink"/>
          <w:noProof/>
          <w:color w:val="auto"/>
          <w:u w:val="none"/>
        </w:rPr>
        <w:t>n</w:t>
      </w:r>
      <w:r>
        <w:rPr>
          <w:rStyle w:val="Hyperlink"/>
          <w:noProof/>
          <w:color w:val="auto"/>
          <w:u w:val="none"/>
        </w:rPr>
        <w:t xml:space="preserve"> capital relating to the contingent project added to the revenue requirement in each of the remaining years of the regulatory period. The intention of the </w:t>
      </w:r>
      <w:r w:rsidR="00C8330D">
        <w:rPr>
          <w:rStyle w:val="Hyperlink"/>
          <w:noProof/>
          <w:color w:val="auto"/>
          <w:u w:val="none"/>
        </w:rPr>
        <w:t>contingent project</w:t>
      </w:r>
      <w:r>
        <w:rPr>
          <w:rStyle w:val="Hyperlink"/>
          <w:noProof/>
          <w:color w:val="auto"/>
          <w:u w:val="none"/>
        </w:rPr>
        <w:t xml:space="preserve"> mechanism is not to allow an operator to recover the entir</w:t>
      </w:r>
      <w:r w:rsidR="00531021">
        <w:rPr>
          <w:rStyle w:val="Hyperlink"/>
          <w:noProof/>
          <w:color w:val="auto"/>
          <w:u w:val="none"/>
        </w:rPr>
        <w:t>e</w:t>
      </w:r>
      <w:r>
        <w:rPr>
          <w:rStyle w:val="Hyperlink"/>
          <w:noProof/>
          <w:color w:val="auto"/>
          <w:u w:val="none"/>
        </w:rPr>
        <w:t xml:space="preserve">ty of a capital expenditure over one year or over the remainder of the regulatory period. </w:t>
      </w:r>
    </w:p>
    <w:p w:rsidR="007E6558" w:rsidRDefault="00FE1CF0" w:rsidP="00D17F9C">
      <w:pPr>
        <w:pStyle w:val="Heading5"/>
      </w:pPr>
      <w:r>
        <w:t>Variations for taxation or r</w:t>
      </w:r>
      <w:r w:rsidR="00642AE7">
        <w:t>egulatory events</w:t>
      </w:r>
      <w:r>
        <w:t>,</w:t>
      </w:r>
      <w:r w:rsidR="00642AE7">
        <w:t xml:space="preserve"> and other events—m</w:t>
      </w:r>
      <w:r w:rsidR="007E6558">
        <w:t xml:space="preserve">ateriality </w:t>
      </w:r>
      <w:r w:rsidR="00FE7DAB">
        <w:t>t</w:t>
      </w:r>
      <w:r w:rsidR="007E6558">
        <w:t>hresholds</w:t>
      </w:r>
      <w:r w:rsidR="00EE2E9A">
        <w:t xml:space="preserve"> </w:t>
      </w:r>
    </w:p>
    <w:p w:rsidR="007E6558" w:rsidRDefault="007E6558" w:rsidP="007E6558">
      <w:pPr>
        <w:rPr>
          <w:rFonts w:cs="Times New Roman"/>
        </w:rPr>
      </w:pPr>
      <w:r>
        <w:rPr>
          <w:rFonts w:cs="Times New Roman"/>
        </w:rPr>
        <w:t xml:space="preserve">The ACCC made draft rule advice that, for taxation and regulatory events, the </w:t>
      </w:r>
      <w:r w:rsidRPr="00D714FC">
        <w:rPr>
          <w:rFonts w:cs="Times New Roman"/>
        </w:rPr>
        <w:t xml:space="preserve">materiality threshold </w:t>
      </w:r>
      <w:r>
        <w:rPr>
          <w:rFonts w:cs="Times New Roman"/>
        </w:rPr>
        <w:t xml:space="preserve">should be </w:t>
      </w:r>
      <w:r w:rsidR="00070D3C">
        <w:rPr>
          <w:rFonts w:cs="Times New Roman"/>
        </w:rPr>
        <w:t>one</w:t>
      </w:r>
      <w:r w:rsidRPr="0043382C">
        <w:rPr>
          <w:rFonts w:cs="Times New Roman"/>
          <w:color w:val="000000"/>
        </w:rPr>
        <w:t xml:space="preserve"> </w:t>
      </w:r>
      <w:r>
        <w:rPr>
          <w:rFonts w:cs="Times New Roman"/>
          <w:color w:val="000000"/>
        </w:rPr>
        <w:t>per cent</w:t>
      </w:r>
      <w:r w:rsidRPr="00D714FC">
        <w:rPr>
          <w:rFonts w:cs="Times New Roman"/>
          <w:color w:val="000000"/>
        </w:rPr>
        <w:t xml:space="preserve"> </w:t>
      </w:r>
      <w:r w:rsidRPr="00D714FC">
        <w:rPr>
          <w:rFonts w:cs="Times New Roman"/>
        </w:rPr>
        <w:t xml:space="preserve">of </w:t>
      </w:r>
      <w:r>
        <w:rPr>
          <w:rFonts w:cs="Times New Roman"/>
        </w:rPr>
        <w:t xml:space="preserve">the combined amount of the </w:t>
      </w:r>
      <w:r w:rsidRPr="00D714FC">
        <w:rPr>
          <w:rFonts w:cs="Times New Roman"/>
          <w:i/>
        </w:rPr>
        <w:t>revenue requirement</w:t>
      </w:r>
      <w:r w:rsidRPr="00D714FC">
        <w:rPr>
          <w:rFonts w:cs="Times New Roman"/>
        </w:rPr>
        <w:t xml:space="preserve"> for the </w:t>
      </w:r>
      <w:r>
        <w:rPr>
          <w:rFonts w:cs="Times New Roman"/>
        </w:rPr>
        <w:t xml:space="preserve">current and </w:t>
      </w:r>
      <w:r w:rsidRPr="00D714FC">
        <w:rPr>
          <w:rFonts w:cs="Times New Roman"/>
        </w:rPr>
        <w:t>remaining years of the regulatory period (</w:t>
      </w:r>
      <w:r>
        <w:rPr>
          <w:rFonts w:cs="Times New Roman"/>
        </w:rPr>
        <w:t xml:space="preserve">i.e. </w:t>
      </w:r>
      <w:r w:rsidR="00070D3C">
        <w:rPr>
          <w:rFonts w:cs="Times New Roman"/>
        </w:rPr>
        <w:t>one</w:t>
      </w:r>
      <w:r>
        <w:rPr>
          <w:rFonts w:cs="Times New Roman"/>
        </w:rPr>
        <w:t xml:space="preserve"> per cent of the ‘aggregate revenue requirement’) (draft rule advice 5-R). </w:t>
      </w:r>
      <w:r w:rsidR="00C765AF">
        <w:rPr>
          <w:rFonts w:cs="Times New Roman"/>
        </w:rPr>
        <w:t>The draft rule advice also proposed that a regulatory or taxation event need not be foreseeable for an operator to seek a variation.</w:t>
      </w:r>
      <w:r w:rsidRPr="00D62531">
        <w:rPr>
          <w:rStyle w:val="FootnoteReference"/>
          <w:rFonts w:cs="Times New Roman"/>
        </w:rPr>
        <w:footnoteReference w:id="454"/>
      </w:r>
      <w:r w:rsidRPr="00D62531">
        <w:rPr>
          <w:rFonts w:cs="Times New Roman"/>
        </w:rPr>
        <w:t xml:space="preserve"> </w:t>
      </w:r>
      <w:r>
        <w:rPr>
          <w:rFonts w:cs="Times New Roman"/>
        </w:rPr>
        <w:t xml:space="preserve">For ‘other events’ (i.e. events other than regulatory or taxation events), the Draft Advice </w:t>
      </w:r>
      <w:r w:rsidR="00C765AF">
        <w:rPr>
          <w:rFonts w:cs="Times New Roman"/>
        </w:rPr>
        <w:t xml:space="preserve">proposed a </w:t>
      </w:r>
      <w:r>
        <w:rPr>
          <w:rFonts w:cs="Times New Roman"/>
        </w:rPr>
        <w:t xml:space="preserve">materiality threshold </w:t>
      </w:r>
      <w:r w:rsidR="00C765AF">
        <w:rPr>
          <w:rFonts w:cs="Times New Roman"/>
        </w:rPr>
        <w:t>of</w:t>
      </w:r>
      <w:r>
        <w:rPr>
          <w:rFonts w:cs="Times New Roman"/>
        </w:rPr>
        <w:t xml:space="preserve"> </w:t>
      </w:r>
      <w:r w:rsidR="00070D3C">
        <w:rPr>
          <w:rFonts w:cs="Times New Roman"/>
        </w:rPr>
        <w:t>five</w:t>
      </w:r>
      <w:r>
        <w:rPr>
          <w:rFonts w:cs="Times New Roman"/>
        </w:rPr>
        <w:t xml:space="preserve"> per cent of the aggregate revenue requirement</w:t>
      </w:r>
      <w:r w:rsidR="00CB29F9">
        <w:rPr>
          <w:rFonts w:cs="Times New Roman"/>
        </w:rPr>
        <w:t xml:space="preserve"> </w:t>
      </w:r>
      <w:r w:rsidR="00C765AF">
        <w:rPr>
          <w:rFonts w:cs="Times New Roman"/>
        </w:rPr>
        <w:t>(</w:t>
      </w:r>
      <w:r w:rsidR="00CB29F9">
        <w:rPr>
          <w:rFonts w:cs="Times New Roman"/>
        </w:rPr>
        <w:t>and the event needed to be unforeseeable</w:t>
      </w:r>
      <w:r w:rsidR="00C765AF">
        <w:rPr>
          <w:rFonts w:cs="Times New Roman"/>
        </w:rPr>
        <w:t>)</w:t>
      </w:r>
      <w:r>
        <w:rPr>
          <w:rFonts w:cs="Times New Roman"/>
        </w:rPr>
        <w:t>.</w:t>
      </w:r>
      <w:r w:rsidR="003C58BA" w:rsidRPr="003C58BA">
        <w:rPr>
          <w:rFonts w:cs="Times New Roman"/>
        </w:rPr>
        <w:t xml:space="preserve"> </w:t>
      </w:r>
    </w:p>
    <w:p w:rsidR="00EE2E9A" w:rsidRDefault="00EE2E9A" w:rsidP="007E6558">
      <w:pPr>
        <w:rPr>
          <w:rFonts w:cs="Times New Roman"/>
        </w:rPr>
      </w:pPr>
      <w:r>
        <w:rPr>
          <w:rFonts w:cs="Times New Roman"/>
        </w:rPr>
        <w:t>The ACCC maintains its view from the Draft Advice of the need to balance the interests of an operator with those of its customers</w:t>
      </w:r>
      <w:r w:rsidR="00C8330D">
        <w:rPr>
          <w:rFonts w:cs="Times New Roman"/>
        </w:rPr>
        <w:t xml:space="preserve">, while also not imposing unnecessary </w:t>
      </w:r>
      <w:r>
        <w:rPr>
          <w:rFonts w:cs="Times New Roman"/>
        </w:rPr>
        <w:t xml:space="preserve">regulatory costs. If materiality thresholds are set too low, operators will have a greater degree of revenue certainty, </w:t>
      </w:r>
      <w:r w:rsidR="00531021">
        <w:rPr>
          <w:rFonts w:cs="Times New Roman"/>
        </w:rPr>
        <w:t>but</w:t>
      </w:r>
      <w:r>
        <w:rPr>
          <w:rFonts w:cs="Times New Roman"/>
        </w:rPr>
        <w:t xml:space="preserve"> </w:t>
      </w:r>
      <w:r w:rsidR="00C8330D">
        <w:rPr>
          <w:rFonts w:cs="Times New Roman"/>
        </w:rPr>
        <w:t xml:space="preserve">greater </w:t>
      </w:r>
      <w:r>
        <w:rPr>
          <w:rFonts w:cs="Times New Roman"/>
        </w:rPr>
        <w:t xml:space="preserve">regulatory costs </w:t>
      </w:r>
      <w:r w:rsidR="00C8330D">
        <w:rPr>
          <w:rFonts w:cs="Times New Roman"/>
        </w:rPr>
        <w:t xml:space="preserve">will be incurred </w:t>
      </w:r>
      <w:r>
        <w:rPr>
          <w:rFonts w:cs="Times New Roman"/>
        </w:rPr>
        <w:t xml:space="preserve">in making and assessing applications for variations </w:t>
      </w:r>
      <w:r w:rsidR="00C8330D">
        <w:rPr>
          <w:rFonts w:cs="Times New Roman"/>
        </w:rPr>
        <w:t xml:space="preserve">more frequently, </w:t>
      </w:r>
      <w:r>
        <w:rPr>
          <w:rFonts w:cs="Times New Roman"/>
        </w:rPr>
        <w:t xml:space="preserve">and less certainty for customers about the level of infrastructure charges throughout a regulatory period. </w:t>
      </w:r>
      <w:r w:rsidR="009B0EA1">
        <w:rPr>
          <w:rFonts w:cs="Times New Roman"/>
        </w:rPr>
        <w:t>More fundamentally, allowing for variations transfers the risk of unforeseen events from the operator to its customers.</w:t>
      </w:r>
    </w:p>
    <w:p w:rsidR="00642AE7" w:rsidRDefault="00642AE7" w:rsidP="00642AE7">
      <w:pPr>
        <w:spacing w:before="120"/>
        <w:rPr>
          <w:b/>
        </w:rPr>
      </w:pPr>
      <w:r>
        <w:rPr>
          <w:rFonts w:cs="Times New Roman"/>
        </w:rPr>
        <w:t xml:space="preserve">The ACCC acknowledges that where there is district-based pricing (or otherwise where pricing is segmented by customer group), an unforeseen other event may impact disproportionally on a particular business segment of the Part 6 operator that it covers. This could occur even though the impact of such an event, when considered in relation to the entire regulated business of the Part 6 operator, is less than the proposed </w:t>
      </w:r>
      <w:r w:rsidR="007218EE">
        <w:rPr>
          <w:rFonts w:cs="Times New Roman"/>
        </w:rPr>
        <w:t>relevant materiality</w:t>
      </w:r>
      <w:r w:rsidR="00C8330D">
        <w:rPr>
          <w:rFonts w:cs="Times New Roman"/>
        </w:rPr>
        <w:t xml:space="preserve"> </w:t>
      </w:r>
      <w:r>
        <w:rPr>
          <w:rFonts w:cs="Times New Roman"/>
        </w:rPr>
        <w:t xml:space="preserve">threshold. Nevertheless, the ACCC considers it remains appropriate to consider the materiality of an event in relation to the infrastructure operator more generally. This is because the purpose of allowing a Part 6 operator to seek a variation of an original approval / determination is to </w:t>
      </w:r>
      <w:r w:rsidR="008B6489">
        <w:rPr>
          <w:rFonts w:cs="Times New Roman"/>
        </w:rPr>
        <w:t>mitigate the effect of the unforeseen event</w:t>
      </w:r>
      <w:r>
        <w:rPr>
          <w:rFonts w:cs="Times New Roman"/>
        </w:rPr>
        <w:t xml:space="preserve">, in aggregate, on the operator. </w:t>
      </w:r>
    </w:p>
    <w:p w:rsidR="00EE2E9A" w:rsidRPr="00FC64B5" w:rsidRDefault="00EE2E9A" w:rsidP="00FC64B5">
      <w:pPr>
        <w:pStyle w:val="Heading6"/>
      </w:pPr>
      <w:r w:rsidRPr="00FC64B5">
        <w:t>Definition of ‘aggregate revenue requirement’</w:t>
      </w:r>
    </w:p>
    <w:p w:rsidR="009B0EA1" w:rsidRDefault="007E6558" w:rsidP="007E6558">
      <w:pPr>
        <w:rPr>
          <w:rFonts w:cs="Times New Roman"/>
        </w:rPr>
      </w:pPr>
      <w:r>
        <w:rPr>
          <w:rFonts w:cs="Times New Roman"/>
        </w:rPr>
        <w:t xml:space="preserve">The ‘aggregate revenue requirement’ was defined in the </w:t>
      </w:r>
      <w:r w:rsidR="00C765AF">
        <w:rPr>
          <w:rFonts w:cs="Times New Roman"/>
        </w:rPr>
        <w:t xml:space="preserve">proposed water charge </w:t>
      </w:r>
      <w:r w:rsidR="00222D0D">
        <w:rPr>
          <w:rFonts w:cs="Times New Roman"/>
        </w:rPr>
        <w:t xml:space="preserve">rules provided with the Draft Advice </w:t>
      </w:r>
      <w:r>
        <w:rPr>
          <w:rFonts w:cs="Times New Roman"/>
        </w:rPr>
        <w:t xml:space="preserve">as: </w:t>
      </w:r>
      <w:r w:rsidRPr="00C054EF">
        <w:rPr>
          <w:rFonts w:cs="Times New Roman"/>
        </w:rPr>
        <w:t>‘the sum of the forecast revenue from infrastructure charges that is reasonably likely to meet the prudent and efficient costs of providing the infrastructure services for the current and remaining years of the regulatory period.’</w:t>
      </w:r>
      <w:r>
        <w:rPr>
          <w:rStyle w:val="FootnoteReference"/>
          <w:rFonts w:cs="Times New Roman"/>
        </w:rPr>
        <w:footnoteReference w:id="455"/>
      </w:r>
      <w:r w:rsidRPr="00C054EF">
        <w:rPr>
          <w:rFonts w:cs="Times New Roman"/>
        </w:rPr>
        <w:t xml:space="preserve"> </w:t>
      </w:r>
      <w:r>
        <w:rPr>
          <w:rFonts w:cs="Times New Roman"/>
        </w:rPr>
        <w:t>After</w:t>
      </w:r>
      <w:r w:rsidRPr="00C054EF">
        <w:rPr>
          <w:rFonts w:cs="Times New Roman"/>
        </w:rPr>
        <w:t xml:space="preserve"> further consideration, the ACCC</w:t>
      </w:r>
      <w:r>
        <w:rPr>
          <w:rFonts w:cs="Times New Roman"/>
        </w:rPr>
        <w:t xml:space="preserve"> proposes to </w:t>
      </w:r>
      <w:r w:rsidR="00C765AF">
        <w:rPr>
          <w:rFonts w:cs="Times New Roman"/>
        </w:rPr>
        <w:t xml:space="preserve">refine </w:t>
      </w:r>
      <w:r>
        <w:rPr>
          <w:rFonts w:cs="Times New Roman"/>
        </w:rPr>
        <w:t>this definition</w:t>
      </w:r>
      <w:r w:rsidR="009B0EA1">
        <w:rPr>
          <w:rFonts w:cs="Times New Roman"/>
        </w:rPr>
        <w:t xml:space="preserve"> in t</w:t>
      </w:r>
      <w:r w:rsidR="00EE53B6">
        <w:rPr>
          <w:rFonts w:cs="Times New Roman"/>
        </w:rPr>
        <w:t>hree</w:t>
      </w:r>
      <w:r w:rsidR="009B0EA1">
        <w:rPr>
          <w:rFonts w:cs="Times New Roman"/>
        </w:rPr>
        <w:t xml:space="preserve"> </w:t>
      </w:r>
      <w:r w:rsidR="008B6489">
        <w:rPr>
          <w:rFonts w:cs="Times New Roman"/>
        </w:rPr>
        <w:t>areas</w:t>
      </w:r>
      <w:r>
        <w:rPr>
          <w:rFonts w:cs="Times New Roman"/>
        </w:rPr>
        <w:t xml:space="preserve">. </w:t>
      </w:r>
    </w:p>
    <w:p w:rsidR="007E6558" w:rsidRDefault="009B0EA1" w:rsidP="00135446">
      <w:pPr>
        <w:spacing w:after="120"/>
        <w:rPr>
          <w:rFonts w:cs="Times New Roman"/>
        </w:rPr>
      </w:pPr>
      <w:r>
        <w:rPr>
          <w:rFonts w:cs="Times New Roman"/>
        </w:rPr>
        <w:t>First, t</w:t>
      </w:r>
      <w:r w:rsidR="007E6558">
        <w:rPr>
          <w:rFonts w:cs="Times New Roman"/>
        </w:rPr>
        <w:t>he current proposed definition only accounts for revenue from infrastructure charges</w:t>
      </w:r>
      <w:r w:rsidR="008B6489">
        <w:rPr>
          <w:rFonts w:cs="Times New Roman"/>
        </w:rPr>
        <w:t>, but not revenue from government contributions.</w:t>
      </w:r>
      <w:r w:rsidR="007E6558">
        <w:rPr>
          <w:rFonts w:cs="Times New Roman"/>
        </w:rPr>
        <w:t xml:space="preserve"> This definition</w:t>
      </w:r>
      <w:r w:rsidR="008B6489">
        <w:rPr>
          <w:rFonts w:cs="Times New Roman"/>
        </w:rPr>
        <w:t>, by not including revenue from government contributions,</w:t>
      </w:r>
      <w:r w:rsidR="007E6558">
        <w:rPr>
          <w:rFonts w:cs="Times New Roman"/>
        </w:rPr>
        <w:t xml:space="preserve"> is problematic for three reasons:</w:t>
      </w:r>
    </w:p>
    <w:p w:rsidR="007E6558" w:rsidRDefault="007E6558" w:rsidP="00A82DE6">
      <w:pPr>
        <w:pStyle w:val="Lvl1Bulletpoint"/>
      </w:pPr>
      <w:r>
        <w:t>w</w:t>
      </w:r>
      <w:r w:rsidRPr="009F7473">
        <w:t xml:space="preserve">here user </w:t>
      </w:r>
      <w:r w:rsidRPr="009F7473">
        <w:rPr>
          <w:i/>
        </w:rPr>
        <w:t xml:space="preserve">and </w:t>
      </w:r>
      <w:r w:rsidRPr="009F7473">
        <w:t xml:space="preserve">government contributions pay for the </w:t>
      </w:r>
      <w:r>
        <w:t>costs of</w:t>
      </w:r>
      <w:r w:rsidR="00C6733C">
        <w:t xml:space="preserve"> </w:t>
      </w:r>
      <w:r>
        <w:t xml:space="preserve">providing </w:t>
      </w:r>
      <w:r w:rsidRPr="009F7473">
        <w:t>infrastructure</w:t>
      </w:r>
      <w:r>
        <w:t xml:space="preserve"> services</w:t>
      </w:r>
      <w:r w:rsidRPr="009F7473">
        <w:t xml:space="preserve">, infrastructure charges </w:t>
      </w:r>
      <w:r>
        <w:t>may</w:t>
      </w:r>
      <w:r w:rsidRPr="009F7473">
        <w:t xml:space="preserve"> provide </w:t>
      </w:r>
      <w:r>
        <w:t xml:space="preserve">only a small proportion of the </w:t>
      </w:r>
      <w:r w:rsidRPr="009F7473">
        <w:t xml:space="preserve">revenue </w:t>
      </w:r>
      <w:r>
        <w:t>required. Therefore, a test which references only the portion of revenue raised via infrastructure charges could result in materiality thresholds being very low.</w:t>
      </w:r>
    </w:p>
    <w:p w:rsidR="007E6558" w:rsidRDefault="007E6558" w:rsidP="00A82DE6">
      <w:pPr>
        <w:pStyle w:val="Lvl1Bulletpoint"/>
      </w:pPr>
      <w:r>
        <w:t>if the government decreases its contribution from one regulatory period to the next, then user contributions must increase. This will increase the dollar amount of the materiality thresholds. The ACCC does not consider this is appropriate because the thresholds should reflect the effect of the event on the viability of the business, not the contribution of one group of stakeholders to the business.</w:t>
      </w:r>
    </w:p>
    <w:p w:rsidR="007E6558" w:rsidRDefault="007E6558" w:rsidP="00A82DE6">
      <w:pPr>
        <w:pStyle w:val="Lvl1Bulletpoint"/>
      </w:pPr>
      <w:r>
        <w:t xml:space="preserve">it is inconsistent with other parts of the </w:t>
      </w:r>
      <w:r w:rsidR="00453670">
        <w:t>water charge rules</w:t>
      </w:r>
      <w:r>
        <w:t>, in particular, subrule 29(2)(b). In that subrule, the prudent and efficient costs of providing infrastructure services to be recovered through infrastructure charges must take into account government contributions.</w:t>
      </w:r>
      <w:r w:rsidR="00C6733C">
        <w:t xml:space="preserve"> </w:t>
      </w:r>
    </w:p>
    <w:p w:rsidR="00CE2CF2" w:rsidRDefault="00CE2CF2" w:rsidP="006F391A">
      <w:pPr>
        <w:rPr>
          <w:rFonts w:cs="Times New Roman"/>
        </w:rPr>
      </w:pPr>
      <w:r>
        <w:rPr>
          <w:rFonts w:cs="Times New Roman"/>
        </w:rPr>
        <w:t xml:space="preserve">Including forecast revenue from government contributions will effectively increase the materiality thresholds to the extent that an operator has such revenue. </w:t>
      </w:r>
    </w:p>
    <w:p w:rsidR="009B0EA1" w:rsidRDefault="009B0EA1" w:rsidP="007E6558">
      <w:pPr>
        <w:rPr>
          <w:rFonts w:cs="Times New Roman"/>
        </w:rPr>
      </w:pPr>
      <w:r>
        <w:rPr>
          <w:rFonts w:cs="Times New Roman"/>
        </w:rPr>
        <w:t>Second, t</w:t>
      </w:r>
      <w:r w:rsidR="006F391A" w:rsidRPr="006F391A">
        <w:rPr>
          <w:rFonts w:cs="Times New Roman"/>
        </w:rPr>
        <w:t xml:space="preserve">he ACCC also considers that the definition of aggregate revenue requirement in the Draft Advice </w:t>
      </w:r>
      <w:r w:rsidR="00395423">
        <w:rPr>
          <w:rFonts w:cs="Times New Roman"/>
        </w:rPr>
        <w:t xml:space="preserve">may </w:t>
      </w:r>
      <w:r w:rsidR="00CE2CF2">
        <w:rPr>
          <w:rFonts w:cs="Times New Roman"/>
        </w:rPr>
        <w:t xml:space="preserve">result in inappropriately low thresholds in the latter years of a regulatory period. </w:t>
      </w:r>
      <w:r w:rsidR="00395423">
        <w:rPr>
          <w:rFonts w:cs="Times New Roman"/>
        </w:rPr>
        <w:t>This is because</w:t>
      </w:r>
      <w:r w:rsidR="00CE2CF2">
        <w:rPr>
          <w:rFonts w:cs="Times New Roman"/>
        </w:rPr>
        <w:t xml:space="preserve"> the definition set out in the Draft Advice </w:t>
      </w:r>
      <w:r w:rsidR="00395423">
        <w:rPr>
          <w:rFonts w:cs="Times New Roman"/>
        </w:rPr>
        <w:t>refer</w:t>
      </w:r>
      <w:r w:rsidR="00CE2CF2">
        <w:rPr>
          <w:rFonts w:cs="Times New Roman"/>
        </w:rPr>
        <w:t>s</w:t>
      </w:r>
      <w:r w:rsidR="00395423">
        <w:rPr>
          <w:rFonts w:cs="Times New Roman"/>
        </w:rPr>
        <w:t xml:space="preserve"> to the forecast revenue for only the remaining part of a regulatory period</w:t>
      </w:r>
      <w:r w:rsidR="00CE2CF2">
        <w:rPr>
          <w:rFonts w:cs="Times New Roman"/>
        </w:rPr>
        <w:t xml:space="preserve"> rather than the period as a whole.</w:t>
      </w:r>
      <w:r>
        <w:rPr>
          <w:rFonts w:cs="Times New Roman"/>
        </w:rPr>
        <w:t xml:space="preserve"> As noted above, materiality thresholds set too low can increase </w:t>
      </w:r>
      <w:r w:rsidR="008B6489">
        <w:rPr>
          <w:rFonts w:cs="Times New Roman"/>
        </w:rPr>
        <w:t xml:space="preserve">overall </w:t>
      </w:r>
      <w:r>
        <w:rPr>
          <w:rFonts w:cs="Times New Roman"/>
        </w:rPr>
        <w:t>regulatory costs and can inappropriately transfer risk from the operator to its customers.</w:t>
      </w:r>
    </w:p>
    <w:p w:rsidR="00EE53B6" w:rsidRDefault="00EE53B6" w:rsidP="007E6558">
      <w:pPr>
        <w:rPr>
          <w:rFonts w:cs="Times New Roman"/>
        </w:rPr>
      </w:pPr>
      <w:r>
        <w:rPr>
          <w:rFonts w:cs="Times New Roman"/>
        </w:rPr>
        <w:t>Finally, it was unclear in the Draft Advice the point in time th</w:t>
      </w:r>
      <w:r w:rsidR="00647DB1">
        <w:rPr>
          <w:rFonts w:cs="Times New Roman"/>
        </w:rPr>
        <w:t>e</w:t>
      </w:r>
      <w:r>
        <w:rPr>
          <w:rFonts w:cs="Times New Roman"/>
        </w:rPr>
        <w:t xml:space="preserve"> aggregate revenue requirement should be calculated. </w:t>
      </w:r>
      <w:r w:rsidR="00647DB1">
        <w:rPr>
          <w:rFonts w:cs="Times New Roman"/>
        </w:rPr>
        <w:t xml:space="preserve">Were the aggregate revenue requirement to be recalculated every time a variation occurred during the regulatory period, then the materiality thresholds relevant to variations could rise and fall over that time. The ACCC considers that </w:t>
      </w:r>
      <w:r>
        <w:rPr>
          <w:rFonts w:cs="Times New Roman"/>
        </w:rPr>
        <w:t>s</w:t>
      </w:r>
      <w:r w:rsidR="00647DB1">
        <w:rPr>
          <w:rFonts w:cs="Times New Roman"/>
        </w:rPr>
        <w:t>uch a scenario would n</w:t>
      </w:r>
      <w:r w:rsidR="00E964DF">
        <w:rPr>
          <w:rFonts w:cs="Times New Roman"/>
        </w:rPr>
        <w:t>ot</w:t>
      </w:r>
      <w:r w:rsidR="00647DB1">
        <w:rPr>
          <w:rFonts w:cs="Times New Roman"/>
        </w:rPr>
        <w:t xml:space="preserve"> improve the variations process in terms of maintaining the financial viability of the regulated business</w:t>
      </w:r>
      <w:r w:rsidR="00E964DF">
        <w:rPr>
          <w:rFonts w:cs="Times New Roman"/>
        </w:rPr>
        <w:t xml:space="preserve">. Further, it </w:t>
      </w:r>
      <w:r w:rsidR="00647DB1">
        <w:rPr>
          <w:rFonts w:cs="Times New Roman"/>
        </w:rPr>
        <w:t xml:space="preserve">would add an unnecessary layer of complexity to the variations process. </w:t>
      </w:r>
    </w:p>
    <w:p w:rsidR="0003295E" w:rsidRDefault="007E6558" w:rsidP="007E6558">
      <w:pPr>
        <w:rPr>
          <w:color w:val="0000FF"/>
        </w:rPr>
      </w:pPr>
      <w:r>
        <w:rPr>
          <w:rFonts w:cs="Times New Roman"/>
        </w:rPr>
        <w:t xml:space="preserve">In view of these issues, the ACCC considers that ‘aggregate revenue requirement’ should instead be defined </w:t>
      </w:r>
      <w:r w:rsidRPr="004C15B2">
        <w:rPr>
          <w:rFonts w:cs="Times New Roman"/>
        </w:rPr>
        <w:t xml:space="preserve">as </w:t>
      </w:r>
      <w:r w:rsidR="0003295E" w:rsidRPr="004C15B2">
        <w:t xml:space="preserve">the sum of revenue from infrastructure charges </w:t>
      </w:r>
      <w:r w:rsidR="0003295E" w:rsidRPr="004C15B2">
        <w:rPr>
          <w:i/>
        </w:rPr>
        <w:t>and</w:t>
      </w:r>
      <w:r w:rsidR="0003295E" w:rsidRPr="004C15B2">
        <w:t xml:space="preserve"> government contributions that was forecast </w:t>
      </w:r>
      <w:r w:rsidR="0003295E" w:rsidRPr="004C15B2">
        <w:rPr>
          <w:i/>
        </w:rPr>
        <w:t>for the regulatory period at the time that the ACCC made the initial</w:t>
      </w:r>
      <w:r w:rsidR="0003295E" w:rsidRPr="004C15B2">
        <w:t xml:space="preserve"> approval or determination of the charges under rule 29</w:t>
      </w:r>
      <w:r w:rsidR="00245D4E" w:rsidRPr="004C15B2">
        <w:t>.</w:t>
      </w:r>
    </w:p>
    <w:p w:rsidR="007E6558" w:rsidRDefault="007E6558" w:rsidP="007E6558">
      <w:r>
        <w:rPr>
          <w:rFonts w:cs="Times New Roman"/>
        </w:rPr>
        <w:t xml:space="preserve">The ACCC appreciates that this changed definition of the aggregate revenue requirement has the effect that the materiality thresholds </w:t>
      </w:r>
      <w:r w:rsidR="008B6489">
        <w:rPr>
          <w:rFonts w:cs="Times New Roman"/>
        </w:rPr>
        <w:t>(</w:t>
      </w:r>
      <w:r>
        <w:rPr>
          <w:rFonts w:cs="Times New Roman"/>
        </w:rPr>
        <w:t xml:space="preserve">in </w:t>
      </w:r>
      <w:r w:rsidR="008B6489">
        <w:rPr>
          <w:rFonts w:cs="Times New Roman"/>
        </w:rPr>
        <w:t xml:space="preserve">dollar </w:t>
      </w:r>
      <w:r>
        <w:rPr>
          <w:rFonts w:cs="Times New Roman"/>
        </w:rPr>
        <w:t>terms</w:t>
      </w:r>
      <w:r w:rsidR="008B6489">
        <w:rPr>
          <w:rFonts w:cs="Times New Roman"/>
        </w:rPr>
        <w:t>)</w:t>
      </w:r>
      <w:r>
        <w:rPr>
          <w:rFonts w:cs="Times New Roman"/>
        </w:rPr>
        <w:t xml:space="preserve"> may be significantly higher than those which would apply under the </w:t>
      </w:r>
      <w:r w:rsidR="00C765AF">
        <w:rPr>
          <w:rFonts w:cs="Times New Roman"/>
        </w:rPr>
        <w:t xml:space="preserve">proposed water charge </w:t>
      </w:r>
      <w:r w:rsidR="00222D0D">
        <w:rPr>
          <w:rFonts w:cs="Times New Roman"/>
        </w:rPr>
        <w:t>rules provided with the Draft Advice</w:t>
      </w:r>
      <w:r w:rsidR="00333C51">
        <w:rPr>
          <w:rFonts w:cs="Times New Roman"/>
        </w:rPr>
        <w:t>, particularly in the latter years of the regulatory period. Also, f</w:t>
      </w:r>
      <w:r>
        <w:rPr>
          <w:rFonts w:cs="Times New Roman"/>
        </w:rPr>
        <w:t>or ‘other events’, the materiality threshold</w:t>
      </w:r>
      <w:r w:rsidR="00333C51">
        <w:rPr>
          <w:rFonts w:cs="Times New Roman"/>
        </w:rPr>
        <w:t>s for some operators</w:t>
      </w:r>
      <w:r>
        <w:rPr>
          <w:rFonts w:cs="Times New Roman"/>
        </w:rPr>
        <w:t xml:space="preserve"> </w:t>
      </w:r>
      <w:r>
        <w:t xml:space="preserve">could increase when compared with the current thresholds. Thus this change in the proposed definition, other things being equal, would exacerbate the issue which GMW had already identified as being a concern with the Draft Advice materiality threshold proposals. </w:t>
      </w:r>
    </w:p>
    <w:p w:rsidR="007E6558" w:rsidRDefault="007E6558" w:rsidP="007E6558">
      <w:pPr>
        <w:rPr>
          <w:rFonts w:cs="Times New Roman"/>
        </w:rPr>
      </w:pPr>
      <w:r>
        <w:rPr>
          <w:rFonts w:cs="Times New Roman"/>
        </w:rPr>
        <w:t xml:space="preserve">Therefore, having changed the definition for the aggregate revenue requirement, the ACCC has re-examined the materiality threshold for both regulatory and taxation events, and other events to </w:t>
      </w:r>
      <w:r w:rsidR="009B0EA1">
        <w:rPr>
          <w:rFonts w:cs="Times New Roman"/>
        </w:rPr>
        <w:t xml:space="preserve">ensure </w:t>
      </w:r>
      <w:r>
        <w:rPr>
          <w:rFonts w:cs="Times New Roman"/>
        </w:rPr>
        <w:t xml:space="preserve">they remain appropriate for the </w:t>
      </w:r>
      <w:r w:rsidR="009B0EA1">
        <w:rPr>
          <w:rFonts w:cs="Times New Roman"/>
        </w:rPr>
        <w:t>proposed water charge</w:t>
      </w:r>
      <w:r w:rsidR="00222D0D">
        <w:rPr>
          <w:rFonts w:cs="Times New Roman"/>
        </w:rPr>
        <w:t xml:space="preserve"> </w:t>
      </w:r>
      <w:r w:rsidR="00453670">
        <w:rPr>
          <w:rFonts w:cs="Times New Roman"/>
        </w:rPr>
        <w:t>rules</w:t>
      </w:r>
      <w:r>
        <w:rPr>
          <w:rFonts w:cs="Times New Roman"/>
        </w:rPr>
        <w:t xml:space="preserve">. </w:t>
      </w:r>
    </w:p>
    <w:p w:rsidR="007E6558" w:rsidRPr="00FC64B5" w:rsidRDefault="007E6558" w:rsidP="00FC64B5">
      <w:pPr>
        <w:pStyle w:val="Heading6"/>
      </w:pPr>
      <w:r w:rsidRPr="00FC64B5">
        <w:t>Taxation and Regulatory Events</w:t>
      </w:r>
    </w:p>
    <w:p w:rsidR="008B6489" w:rsidRDefault="007E6558" w:rsidP="007E6558">
      <w:pPr>
        <w:rPr>
          <w:rFonts w:cs="Times New Roman"/>
        </w:rPr>
      </w:pPr>
      <w:r>
        <w:rPr>
          <w:rFonts w:cs="Times New Roman"/>
        </w:rPr>
        <w:t xml:space="preserve">The ACCC considers that a materiality threshold for regulatory and taxation events of </w:t>
      </w:r>
      <w:r w:rsidR="00070D3C">
        <w:rPr>
          <w:rFonts w:cs="Times New Roman"/>
        </w:rPr>
        <w:t>one</w:t>
      </w:r>
      <w:r>
        <w:rPr>
          <w:rFonts w:cs="Times New Roman"/>
        </w:rPr>
        <w:t xml:space="preserve"> per cent of the (revised) aggregate revenue requirement is appropriate. </w:t>
      </w:r>
    </w:p>
    <w:p w:rsidR="00A56999" w:rsidRDefault="007E6558" w:rsidP="00135446">
      <w:pPr>
        <w:spacing w:after="120"/>
        <w:rPr>
          <w:rFonts w:cs="Times New Roman"/>
        </w:rPr>
      </w:pPr>
      <w:r>
        <w:rPr>
          <w:rFonts w:cs="Times New Roman"/>
        </w:rPr>
        <w:t>The ACCC notes that, due to</w:t>
      </w:r>
      <w:r w:rsidR="00A56999">
        <w:rPr>
          <w:rFonts w:cs="Times New Roman"/>
        </w:rPr>
        <w:t>:</w:t>
      </w:r>
    </w:p>
    <w:p w:rsidR="00A56999" w:rsidRDefault="00A56999" w:rsidP="00A82DE6">
      <w:pPr>
        <w:pStyle w:val="Lvl1Bulletpoint"/>
      </w:pPr>
      <w:r>
        <w:t>the inclusion of government contributions in the definition of aggregate revenue requirement (relevant to where the customer contribution to the cost of regulated water infrastructure services share is less than 100 per cent)</w:t>
      </w:r>
      <w:r w:rsidR="00135446">
        <w:t>; and</w:t>
      </w:r>
    </w:p>
    <w:p w:rsidR="00A56999" w:rsidRPr="00322824" w:rsidRDefault="00A56999" w:rsidP="00A82DE6">
      <w:pPr>
        <w:pStyle w:val="Lvl1Bulletpoint"/>
      </w:pPr>
      <w:r>
        <w:t>the changing of the aggregate revenue requirement to be a constant amount (rather than a declining amount)</w:t>
      </w:r>
      <w:r w:rsidR="008B6489">
        <w:t xml:space="preserve"> </w:t>
      </w:r>
      <w:r w:rsidR="00C765AF">
        <w:t xml:space="preserve">throughout a regulatory period, </w:t>
      </w:r>
      <w:r w:rsidR="008B6489">
        <w:t xml:space="preserve">as it relates to </w:t>
      </w:r>
      <w:r w:rsidR="00E5574C">
        <w:t xml:space="preserve">the revenue requirement for the </w:t>
      </w:r>
      <w:r w:rsidR="00E5574C">
        <w:rPr>
          <w:i/>
        </w:rPr>
        <w:t xml:space="preserve">entire </w:t>
      </w:r>
      <w:r w:rsidR="00E5574C">
        <w:t>regulatory period</w:t>
      </w:r>
      <w:r>
        <w:t xml:space="preserve"> </w:t>
      </w:r>
      <w:r w:rsidR="00135446">
        <w:t>,</w:t>
      </w:r>
    </w:p>
    <w:p w:rsidR="007E6558" w:rsidRDefault="00A56999" w:rsidP="007E6558">
      <w:pPr>
        <w:rPr>
          <w:rFonts w:cs="Times New Roman"/>
        </w:rPr>
      </w:pPr>
      <w:r>
        <w:rPr>
          <w:rFonts w:cs="Times New Roman"/>
        </w:rPr>
        <w:t xml:space="preserve">there </w:t>
      </w:r>
      <w:r w:rsidR="007E6558">
        <w:rPr>
          <w:rFonts w:cs="Times New Roman"/>
        </w:rPr>
        <w:t xml:space="preserve">will </w:t>
      </w:r>
      <w:r w:rsidR="00E5574C">
        <w:rPr>
          <w:rFonts w:cs="Times New Roman"/>
        </w:rPr>
        <w:t xml:space="preserve">typically </w:t>
      </w:r>
      <w:r>
        <w:rPr>
          <w:rFonts w:cs="Times New Roman"/>
        </w:rPr>
        <w:t xml:space="preserve">be </w:t>
      </w:r>
      <w:r w:rsidR="007E6558">
        <w:rPr>
          <w:rFonts w:cs="Times New Roman"/>
        </w:rPr>
        <w:t>higher materiality threshold</w:t>
      </w:r>
      <w:r>
        <w:rPr>
          <w:rFonts w:cs="Times New Roman"/>
        </w:rPr>
        <w:t>s</w:t>
      </w:r>
      <w:r w:rsidR="007E6558">
        <w:rPr>
          <w:rFonts w:cs="Times New Roman"/>
        </w:rPr>
        <w:t xml:space="preserve"> </w:t>
      </w:r>
      <w:r>
        <w:rPr>
          <w:rFonts w:cs="Times New Roman"/>
        </w:rPr>
        <w:t xml:space="preserve">for operators when compared with the thresholds </w:t>
      </w:r>
      <w:r w:rsidR="00C765AF">
        <w:rPr>
          <w:rFonts w:cs="Times New Roman"/>
        </w:rPr>
        <w:t xml:space="preserve">proposed </w:t>
      </w:r>
      <w:r>
        <w:rPr>
          <w:rFonts w:cs="Times New Roman"/>
        </w:rPr>
        <w:t>in the Draft Advice</w:t>
      </w:r>
      <w:r w:rsidR="007E6558">
        <w:rPr>
          <w:rFonts w:cs="Times New Roman"/>
        </w:rPr>
        <w:t>.</w:t>
      </w:r>
      <w:r w:rsidR="00C6733C">
        <w:rPr>
          <w:rFonts w:cs="Times New Roman"/>
        </w:rPr>
        <w:t xml:space="preserve"> </w:t>
      </w:r>
    </w:p>
    <w:p w:rsidR="007E6558" w:rsidRDefault="007E6558" w:rsidP="007E6558">
      <w:pPr>
        <w:rPr>
          <w:rFonts w:cs="Times New Roman"/>
        </w:rPr>
      </w:pPr>
      <w:r>
        <w:rPr>
          <w:rFonts w:cs="Times New Roman"/>
        </w:rPr>
        <w:t>The following example demonstrates the effect of this proposed threshold based on assumptions drawn from the most recent WaterNSW determination.</w:t>
      </w:r>
    </w:p>
    <w:p w:rsidR="007E6558" w:rsidRPr="002F7D39" w:rsidRDefault="007E6558" w:rsidP="00643641">
      <w:pPr>
        <w:pStyle w:val="Tabletitle"/>
        <w:rPr>
          <w:i/>
        </w:rPr>
      </w:pPr>
      <w:r w:rsidRPr="002F7D39">
        <w:t xml:space="preserve">Example One: WaterNSW (regulatory </w:t>
      </w:r>
      <w:r w:rsidR="00221583">
        <w:t>and</w:t>
      </w:r>
      <w:r w:rsidRPr="002F7D39">
        <w:t xml:space="preserve"> taxation events)</w:t>
      </w:r>
    </w:p>
    <w:tbl>
      <w:tblPr>
        <w:tblStyle w:val="TableGrid"/>
        <w:tblW w:w="0" w:type="auto"/>
        <w:tblLook w:val="04A0" w:firstRow="1" w:lastRow="0" w:firstColumn="1" w:lastColumn="0" w:noHBand="0" w:noVBand="1"/>
      </w:tblPr>
      <w:tblGrid>
        <w:gridCol w:w="9243"/>
      </w:tblGrid>
      <w:tr w:rsidR="00B13B1B" w:rsidTr="00B13B1B">
        <w:tc>
          <w:tcPr>
            <w:tcW w:w="9243" w:type="dxa"/>
            <w:shd w:val="clear" w:color="auto" w:fill="D9D9D9" w:themeFill="background1" w:themeFillShade="D9"/>
          </w:tcPr>
          <w:p w:rsidR="00B13B1B" w:rsidRDefault="00B13B1B" w:rsidP="004E118F">
            <w:pPr>
              <w:pStyle w:val="tabletext"/>
              <w:keepNext/>
            </w:pPr>
            <w:r w:rsidRPr="00A62583">
              <w:t xml:space="preserve">In its final determination for State Water </w:t>
            </w:r>
            <w:r>
              <w:t>(now WaterNSW) for the three year regulatory period 2014-15 to 2016-17:</w:t>
            </w:r>
          </w:p>
          <w:p w:rsidR="00B13B1B" w:rsidRDefault="00B13B1B" w:rsidP="00B13B1B">
            <w:pPr>
              <w:pStyle w:val="tabletextindentbullet"/>
            </w:pPr>
            <w:r w:rsidRPr="004D14F6">
              <w:t xml:space="preserve">the ACCC set the opening RAB for the regulatory period </w:t>
            </w:r>
            <w:r>
              <w:t>at $657.3 million.</w:t>
            </w:r>
            <w:r>
              <w:rPr>
                <w:rStyle w:val="FootnoteReference"/>
              </w:rPr>
              <w:footnoteReference w:id="456"/>
            </w:r>
            <w:r>
              <w:t xml:space="preserve"> This mean</w:t>
            </w:r>
            <w:r w:rsidR="004E118F">
              <w:t>t</w:t>
            </w:r>
            <w:r>
              <w:t xml:space="preserve"> the relevant materiality threshold under the current WCIR is $15 million</w:t>
            </w:r>
            <w:r w:rsidR="004E118F">
              <w:t xml:space="preserve"> (as this figure was lower than 5 per cent of the RAB)</w:t>
            </w:r>
            <w:r>
              <w:t>.</w:t>
            </w:r>
          </w:p>
          <w:p w:rsidR="00B13B1B" w:rsidRDefault="00B13B1B" w:rsidP="00B13B1B">
            <w:pPr>
              <w:pStyle w:val="tabletextindentbullet"/>
            </w:pPr>
            <w:r>
              <w:t>the ACCC set r</w:t>
            </w:r>
            <w:r w:rsidRPr="004D14F6">
              <w:t>egulated revenue at $84.3 million for 2014</w:t>
            </w:r>
            <w:r>
              <w:t>-</w:t>
            </w:r>
            <w:r w:rsidRPr="004D14F6">
              <w:t>15, $88.3 million for 2015</w:t>
            </w:r>
            <w:r>
              <w:t>-</w:t>
            </w:r>
            <w:r w:rsidRPr="004D14F6">
              <w:t>16 and $91.5 million for 2016</w:t>
            </w:r>
            <w:r>
              <w:t>-</w:t>
            </w:r>
            <w:r w:rsidRPr="004D14F6">
              <w:t>17.</w:t>
            </w:r>
            <w:r>
              <w:rPr>
                <w:rStyle w:val="FootnoteReference"/>
              </w:rPr>
              <w:footnoteReference w:id="457"/>
            </w:r>
            <w:r w:rsidRPr="004D14F6">
              <w:t xml:space="preserve"> </w:t>
            </w:r>
          </w:p>
          <w:p w:rsidR="00B13B1B" w:rsidRDefault="00B13B1B" w:rsidP="00B13B1B">
            <w:pPr>
              <w:pStyle w:val="tabletextindentbullet"/>
            </w:pPr>
            <w:r>
              <w:t>based on customer share percentages recommended by IPART and agreed to by the NSW Government for those years, t</w:t>
            </w:r>
            <w:r w:rsidRPr="004D14F6">
              <w:t xml:space="preserve">he customer share of this revenue requirement </w:t>
            </w:r>
            <w:r w:rsidR="004E118F">
              <w:t>wa</w:t>
            </w:r>
            <w:r w:rsidRPr="004D14F6">
              <w:t>s $52.6 million for 2014</w:t>
            </w:r>
            <w:r>
              <w:t>-</w:t>
            </w:r>
            <w:r w:rsidRPr="004D14F6">
              <w:t>15, $54.4 million for 2015</w:t>
            </w:r>
            <w:r>
              <w:t>-</w:t>
            </w:r>
            <w:r w:rsidRPr="004D14F6">
              <w:t>16 and $56.2 million for 2016</w:t>
            </w:r>
            <w:r>
              <w:t>-</w:t>
            </w:r>
            <w:r w:rsidRPr="004D14F6">
              <w:t xml:space="preserve">17. </w:t>
            </w:r>
          </w:p>
          <w:p w:rsidR="00B13B1B" w:rsidRDefault="00B13B1B" w:rsidP="00B13B1B">
            <w:pPr>
              <w:pStyle w:val="tabletext"/>
            </w:pPr>
            <w:r>
              <w:t xml:space="preserve">A comparison of materiality thresholds under the current WCIR, </w:t>
            </w:r>
            <w:r w:rsidR="004E118F">
              <w:t xml:space="preserve">the </w:t>
            </w:r>
            <w:r>
              <w:t xml:space="preserve">proposed materiality thresholds in the Draft Advice and </w:t>
            </w:r>
            <w:r w:rsidR="004E118F">
              <w:t xml:space="preserve">the </w:t>
            </w:r>
            <w:r>
              <w:t>proposed materiality thresholds in the Final Advice are set out in Table 5.6 below.</w:t>
            </w:r>
          </w:p>
          <w:p w:rsidR="00B13B1B" w:rsidRPr="007827B9" w:rsidRDefault="00B13B1B" w:rsidP="00B13B1B">
            <w:pPr>
              <w:rPr>
                <w:rFonts w:cs="Times New Roman"/>
                <w:b/>
              </w:rPr>
            </w:pPr>
            <w:r>
              <w:rPr>
                <w:rFonts w:cs="Times New Roman"/>
                <w:b/>
              </w:rPr>
              <w:t>Table 5.6 – Comparison of materiality thresholds (WaterNSW, regulatory and taxation events)</w:t>
            </w:r>
          </w:p>
          <w:tbl>
            <w:tblPr>
              <w:tblStyle w:val="TableGrid"/>
              <w:tblW w:w="0" w:type="auto"/>
              <w:tblLook w:val="04A0" w:firstRow="1" w:lastRow="0" w:firstColumn="1" w:lastColumn="0" w:noHBand="0" w:noVBand="1"/>
            </w:tblPr>
            <w:tblGrid>
              <w:gridCol w:w="4893"/>
              <w:gridCol w:w="1374"/>
              <w:gridCol w:w="1375"/>
              <w:gridCol w:w="1375"/>
            </w:tblGrid>
            <w:tr w:rsidR="00B13B1B" w:rsidTr="00A35F63">
              <w:tc>
                <w:tcPr>
                  <w:tcW w:w="5070" w:type="dxa"/>
                </w:tcPr>
                <w:p w:rsidR="00B13B1B" w:rsidRDefault="00B13B1B" w:rsidP="00A35F63">
                  <w:pPr>
                    <w:pStyle w:val="tabletext"/>
                  </w:pPr>
                </w:p>
              </w:tc>
              <w:tc>
                <w:tcPr>
                  <w:tcW w:w="1390" w:type="dxa"/>
                </w:tcPr>
                <w:p w:rsidR="00B13B1B" w:rsidRPr="008C1BF9" w:rsidRDefault="00B13B1B" w:rsidP="00A35F63">
                  <w:pPr>
                    <w:pStyle w:val="tabletext"/>
                    <w:rPr>
                      <w:b/>
                    </w:rPr>
                  </w:pPr>
                  <w:r w:rsidRPr="008F0513">
                    <w:t>2014-15</w:t>
                  </w:r>
                  <w:r>
                    <w:t xml:space="preserve"> </w:t>
                  </w:r>
                  <w:r w:rsidRPr="008C1BF9">
                    <w:t>($</w:t>
                  </w:r>
                  <w:r>
                    <w:t> </w:t>
                  </w:r>
                  <w:r w:rsidRPr="008C1BF9">
                    <w:t>million)</w:t>
                  </w:r>
                </w:p>
              </w:tc>
              <w:tc>
                <w:tcPr>
                  <w:tcW w:w="1391" w:type="dxa"/>
                </w:tcPr>
                <w:p w:rsidR="00B13B1B" w:rsidRPr="008F0513" w:rsidRDefault="00B13B1B" w:rsidP="00A35F63">
                  <w:pPr>
                    <w:pStyle w:val="tabletext"/>
                  </w:pPr>
                  <w:r w:rsidRPr="008F0513">
                    <w:t>2015-16</w:t>
                  </w:r>
                  <w:r>
                    <w:t xml:space="preserve"> </w:t>
                  </w:r>
                  <w:r w:rsidRPr="008C1BF9">
                    <w:t>($</w:t>
                  </w:r>
                  <w:r>
                    <w:t> </w:t>
                  </w:r>
                  <w:r w:rsidRPr="008C1BF9">
                    <w:t>million)</w:t>
                  </w:r>
                </w:p>
              </w:tc>
              <w:tc>
                <w:tcPr>
                  <w:tcW w:w="1391" w:type="dxa"/>
                </w:tcPr>
                <w:p w:rsidR="00B13B1B" w:rsidRPr="008F0513" w:rsidRDefault="00B13B1B" w:rsidP="00A35F63">
                  <w:pPr>
                    <w:pStyle w:val="tabletext"/>
                  </w:pPr>
                  <w:r w:rsidRPr="008F0513">
                    <w:t>2016-17</w:t>
                  </w:r>
                  <w:r>
                    <w:t xml:space="preserve"> </w:t>
                  </w:r>
                  <w:r w:rsidRPr="008C1BF9">
                    <w:t>($</w:t>
                  </w:r>
                  <w:r>
                    <w:t> </w:t>
                  </w:r>
                  <w:r w:rsidRPr="008C1BF9">
                    <w:t>million)</w:t>
                  </w:r>
                </w:p>
              </w:tc>
            </w:tr>
            <w:tr w:rsidR="00B13B1B" w:rsidTr="00A35F63">
              <w:tc>
                <w:tcPr>
                  <w:tcW w:w="5070" w:type="dxa"/>
                </w:tcPr>
                <w:p w:rsidR="00B13B1B" w:rsidRDefault="00B13B1B" w:rsidP="00A35F63">
                  <w:pPr>
                    <w:pStyle w:val="tabletext"/>
                  </w:pPr>
                  <w:r>
                    <w:t>Current WCIR Materiality Threshold</w:t>
                  </w:r>
                </w:p>
              </w:tc>
              <w:tc>
                <w:tcPr>
                  <w:tcW w:w="1390" w:type="dxa"/>
                </w:tcPr>
                <w:p w:rsidR="00B13B1B" w:rsidRPr="008F0513" w:rsidRDefault="00B13B1B" w:rsidP="00A35F63">
                  <w:pPr>
                    <w:pStyle w:val="tabletext"/>
                  </w:pPr>
                  <w:r w:rsidRPr="008F0513">
                    <w:t>15</w:t>
                  </w:r>
                  <w:r>
                    <w:t xml:space="preserve"> </w:t>
                  </w:r>
                </w:p>
              </w:tc>
              <w:tc>
                <w:tcPr>
                  <w:tcW w:w="1391" w:type="dxa"/>
                </w:tcPr>
                <w:p w:rsidR="00B13B1B" w:rsidRDefault="00B13B1B" w:rsidP="00A35F63">
                  <w:pPr>
                    <w:pStyle w:val="tabletext"/>
                  </w:pPr>
                  <w:r w:rsidRPr="008F0513">
                    <w:t>15</w:t>
                  </w:r>
                  <w:r>
                    <w:t xml:space="preserve"> </w:t>
                  </w:r>
                </w:p>
              </w:tc>
              <w:tc>
                <w:tcPr>
                  <w:tcW w:w="1391" w:type="dxa"/>
                </w:tcPr>
                <w:p w:rsidR="00B13B1B" w:rsidRDefault="00B13B1B" w:rsidP="00A35F63">
                  <w:pPr>
                    <w:pStyle w:val="tabletext"/>
                  </w:pPr>
                  <w:r w:rsidRPr="008F0513">
                    <w:t xml:space="preserve">15 </w:t>
                  </w:r>
                </w:p>
              </w:tc>
            </w:tr>
            <w:tr w:rsidR="00B13B1B" w:rsidTr="00A35F63">
              <w:tc>
                <w:tcPr>
                  <w:tcW w:w="5070" w:type="dxa"/>
                </w:tcPr>
                <w:p w:rsidR="00B13B1B" w:rsidRDefault="00B13B1B" w:rsidP="00A35F63">
                  <w:pPr>
                    <w:pStyle w:val="tabletext"/>
                  </w:pPr>
                  <w:r>
                    <w:t>Proposed Materiality Threshold (Draft Advice)</w:t>
                  </w:r>
                </w:p>
              </w:tc>
              <w:tc>
                <w:tcPr>
                  <w:tcW w:w="1390" w:type="dxa"/>
                </w:tcPr>
                <w:p w:rsidR="00B13B1B" w:rsidRPr="00514414" w:rsidRDefault="00B13B1B" w:rsidP="00A35F63">
                  <w:pPr>
                    <w:pStyle w:val="tabletext"/>
                  </w:pPr>
                  <w:r>
                    <w:t>1.6</w:t>
                  </w:r>
                </w:p>
              </w:tc>
              <w:tc>
                <w:tcPr>
                  <w:tcW w:w="1391" w:type="dxa"/>
                </w:tcPr>
                <w:p w:rsidR="00B13B1B" w:rsidRPr="00514414" w:rsidRDefault="00B13B1B" w:rsidP="00A35F63">
                  <w:pPr>
                    <w:pStyle w:val="tabletext"/>
                  </w:pPr>
                  <w:r>
                    <w:t>1.1</w:t>
                  </w:r>
                </w:p>
              </w:tc>
              <w:tc>
                <w:tcPr>
                  <w:tcW w:w="1391" w:type="dxa"/>
                </w:tcPr>
                <w:p w:rsidR="00B13B1B" w:rsidRPr="00514414" w:rsidRDefault="00B13B1B" w:rsidP="00A35F63">
                  <w:pPr>
                    <w:pStyle w:val="tabletext"/>
                  </w:pPr>
                  <w:r>
                    <w:t>0.6</w:t>
                  </w:r>
                </w:p>
              </w:tc>
            </w:tr>
            <w:tr w:rsidR="00B13B1B" w:rsidTr="00A35F63">
              <w:tc>
                <w:tcPr>
                  <w:tcW w:w="5070" w:type="dxa"/>
                </w:tcPr>
                <w:p w:rsidR="00B13B1B" w:rsidRDefault="00B13B1B" w:rsidP="00A35F63">
                  <w:pPr>
                    <w:pStyle w:val="tabletext"/>
                  </w:pPr>
                  <w:r>
                    <w:t>Proposed Materiality Threshold (Final Advice)</w:t>
                  </w:r>
                </w:p>
              </w:tc>
              <w:tc>
                <w:tcPr>
                  <w:tcW w:w="1390" w:type="dxa"/>
                </w:tcPr>
                <w:p w:rsidR="00B13B1B" w:rsidRPr="00514414" w:rsidRDefault="00B13B1B" w:rsidP="00A35F63">
                  <w:pPr>
                    <w:pStyle w:val="tabletext"/>
                  </w:pPr>
                  <w:r>
                    <w:t>2.6</w:t>
                  </w:r>
                </w:p>
              </w:tc>
              <w:tc>
                <w:tcPr>
                  <w:tcW w:w="1391" w:type="dxa"/>
                </w:tcPr>
                <w:p w:rsidR="00B13B1B" w:rsidRPr="00514414" w:rsidRDefault="00B13B1B" w:rsidP="00A35F63">
                  <w:pPr>
                    <w:pStyle w:val="tabletext"/>
                  </w:pPr>
                  <w:r>
                    <w:t>2.6</w:t>
                  </w:r>
                </w:p>
              </w:tc>
              <w:tc>
                <w:tcPr>
                  <w:tcW w:w="1391" w:type="dxa"/>
                </w:tcPr>
                <w:p w:rsidR="00B13B1B" w:rsidRPr="00514414" w:rsidRDefault="00B13B1B" w:rsidP="00A35F63">
                  <w:pPr>
                    <w:pStyle w:val="tabletext"/>
                  </w:pPr>
                  <w:r>
                    <w:t>2.6</w:t>
                  </w:r>
                </w:p>
              </w:tc>
            </w:tr>
          </w:tbl>
          <w:p w:rsidR="00B13B1B" w:rsidRDefault="00E5574C" w:rsidP="004E118F">
            <w:pPr>
              <w:pStyle w:val="tabletext"/>
            </w:pPr>
            <w:r>
              <w:t>The aggregate</w:t>
            </w:r>
            <w:r w:rsidR="00B13B1B">
              <w:t xml:space="preserve"> revenue </w:t>
            </w:r>
            <w:r>
              <w:t xml:space="preserve">requirement </w:t>
            </w:r>
            <w:r w:rsidR="00B13B1B">
              <w:t>for WaterNSW for regulatory period = $264.1 million over three years.</w:t>
            </w:r>
            <w:r w:rsidR="004E118F" w:rsidRPr="004D14F6">
              <w:t xml:space="preserve"> All </w:t>
            </w:r>
            <w:r w:rsidR="004E118F">
              <w:t xml:space="preserve">of the </w:t>
            </w:r>
            <w:r w:rsidR="004E118F" w:rsidRPr="004D14F6">
              <w:t xml:space="preserve">figures </w:t>
            </w:r>
            <w:r w:rsidR="004E118F">
              <w:t xml:space="preserve">in this example </w:t>
            </w:r>
            <w:r w:rsidR="004E118F" w:rsidRPr="004D14F6">
              <w:t>are reported in $201</w:t>
            </w:r>
            <w:r w:rsidR="004E118F">
              <w:t>4</w:t>
            </w:r>
            <w:r w:rsidR="004E118F" w:rsidRPr="004D14F6">
              <w:t>-1</w:t>
            </w:r>
            <w:r w:rsidR="004E118F">
              <w:t>5</w:t>
            </w:r>
            <w:r w:rsidR="004E118F" w:rsidRPr="004D14F6">
              <w:t>.</w:t>
            </w:r>
            <w:r w:rsidR="004E118F">
              <w:t xml:space="preserve"> That is, they are not increased by the relevant CPI figure in each year. This maintains the simplicity of the example without undermining any conclusions that can be drawn from it. </w:t>
            </w:r>
          </w:p>
        </w:tc>
      </w:tr>
    </w:tbl>
    <w:p w:rsidR="00B13B1B" w:rsidRDefault="002A0CC9" w:rsidP="002A0CC9">
      <w:pPr>
        <w:tabs>
          <w:tab w:val="left" w:pos="1838"/>
        </w:tabs>
        <w:rPr>
          <w:rFonts w:cs="Times New Roman"/>
        </w:rPr>
      </w:pPr>
      <w:r>
        <w:rPr>
          <w:rFonts w:cs="Times New Roman"/>
        </w:rPr>
        <w:tab/>
      </w:r>
    </w:p>
    <w:p w:rsidR="007E6558" w:rsidRDefault="007E6558" w:rsidP="007E6558">
      <w:pPr>
        <w:tabs>
          <w:tab w:val="left" w:pos="1545"/>
        </w:tabs>
        <w:rPr>
          <w:rFonts w:cs="Times New Roman"/>
        </w:rPr>
      </w:pPr>
      <w:r>
        <w:rPr>
          <w:rFonts w:cs="Times New Roman"/>
        </w:rPr>
        <w:t xml:space="preserve">Based on this example, for WaterNSW the revised materiality threshold for regulatory and taxation events is $2.6 million. </w:t>
      </w:r>
      <w:r w:rsidR="00A56999">
        <w:rPr>
          <w:rFonts w:cs="Times New Roman"/>
        </w:rPr>
        <w:t>This is significantly below the threshold in the current rules. An examination of other Part 6 operators’ materiality threshold</w:t>
      </w:r>
      <w:r w:rsidR="002656C7">
        <w:rPr>
          <w:rFonts w:cs="Times New Roman"/>
        </w:rPr>
        <w:t>s</w:t>
      </w:r>
      <w:r w:rsidR="00A56999">
        <w:rPr>
          <w:rFonts w:cs="Times New Roman"/>
        </w:rPr>
        <w:t xml:space="preserve"> for taxation and regulatory events reveals a similar result.</w:t>
      </w:r>
      <w:r>
        <w:rPr>
          <w:rFonts w:cs="Times New Roman"/>
        </w:rPr>
        <w:tab/>
      </w:r>
    </w:p>
    <w:p w:rsidR="007E6558" w:rsidRDefault="007E6558" w:rsidP="00135446">
      <w:pPr>
        <w:spacing w:after="120"/>
        <w:rPr>
          <w:rFonts w:cs="Times New Roman"/>
        </w:rPr>
      </w:pPr>
      <w:r>
        <w:rPr>
          <w:rFonts w:cs="Times New Roman"/>
        </w:rPr>
        <w:t>The ACCC considers that the revised threshold is appropriate because:</w:t>
      </w:r>
    </w:p>
    <w:p w:rsidR="007E6558" w:rsidRDefault="007E6558" w:rsidP="00A82DE6">
      <w:pPr>
        <w:pStyle w:val="Lvl1Bulletpoint"/>
      </w:pPr>
      <w:r>
        <w:t>although it will mean that the event that allows the operator to seek a variation must be of a greater impact than that included in the Draft Advice, the level of that greater impact is not high and it is still significantly below the current materiality threshold</w:t>
      </w:r>
      <w:r w:rsidR="00E5574C">
        <w:t xml:space="preserve"> in the WCIR</w:t>
      </w:r>
      <w:r>
        <w:t xml:space="preserve"> for taxation and regulatory events.</w:t>
      </w:r>
    </w:p>
    <w:p w:rsidR="00A56999" w:rsidRDefault="00A56999" w:rsidP="00A82DE6">
      <w:pPr>
        <w:pStyle w:val="Lvl1Bulletpoint"/>
      </w:pPr>
      <w:r>
        <w:t>the change from declining to constant thresholds over the regulatory period simplifies the operation of the variation process.</w:t>
      </w:r>
    </w:p>
    <w:p w:rsidR="007E6558" w:rsidRDefault="007E6558" w:rsidP="00A82DE6">
      <w:pPr>
        <w:pStyle w:val="Lvl1Bulletpoint"/>
      </w:pPr>
      <w:r>
        <w:t>it still meets the ACCC objective of balancing the ability of operators to more easily seek a variation for regulatory / taxation obligations (as opposed to other events) and the desirability to avoid variation applications due to their cost and creation of uncertainty for operators and customers.</w:t>
      </w:r>
      <w:r w:rsidR="00C6733C">
        <w:t xml:space="preserve"> </w:t>
      </w:r>
    </w:p>
    <w:p w:rsidR="007E6558" w:rsidRDefault="007E6558" w:rsidP="00A82DE6">
      <w:pPr>
        <w:pStyle w:val="Lvl1Bulletpoint"/>
      </w:pPr>
      <w:r>
        <w:t>it is consistent with the methodology used to determine the materiality threshold for other events.</w:t>
      </w:r>
    </w:p>
    <w:p w:rsidR="007E6558" w:rsidRPr="00FC64B5" w:rsidRDefault="007E6558" w:rsidP="00FC64B5">
      <w:pPr>
        <w:pStyle w:val="Heading6"/>
      </w:pPr>
      <w:r w:rsidRPr="00FC64B5">
        <w:t>Other Events</w:t>
      </w:r>
    </w:p>
    <w:p w:rsidR="00A56999" w:rsidRDefault="00A56999" w:rsidP="00712458">
      <w:r>
        <w:t>The ACCC considers that Part 6 operators should be able to apply for a variation to an approval or determination in response to other events where they are unforeseen.</w:t>
      </w:r>
      <w:r w:rsidR="004F6BD0">
        <w:t xml:space="preserve"> </w:t>
      </w:r>
    </w:p>
    <w:p w:rsidR="004B2A99" w:rsidRDefault="00A56999" w:rsidP="00712458">
      <w:r>
        <w:t xml:space="preserve">However, </w:t>
      </w:r>
      <w:r w:rsidR="004B2A99">
        <w:t>the ACCC</w:t>
      </w:r>
      <w:r w:rsidR="00C8321B">
        <w:t xml:space="preserve"> considers </w:t>
      </w:r>
      <w:r>
        <w:t xml:space="preserve">that the </w:t>
      </w:r>
      <w:r w:rsidR="00CE2CF2">
        <w:t xml:space="preserve">five per cent </w:t>
      </w:r>
      <w:r>
        <w:t xml:space="preserve">materiality threshold outlined in the Draft Advice </w:t>
      </w:r>
      <w:r w:rsidR="00712458">
        <w:t xml:space="preserve">for these ‘other events’ </w:t>
      </w:r>
      <w:r w:rsidR="00CE2CF2">
        <w:t xml:space="preserve">should be adjusted </w:t>
      </w:r>
      <w:r w:rsidR="00EE2E9A">
        <w:t>downwards</w:t>
      </w:r>
      <w:r w:rsidR="00B322E1">
        <w:t xml:space="preserve"> to three per cent</w:t>
      </w:r>
      <w:r w:rsidR="00EE2E9A">
        <w:t xml:space="preserve">, </w:t>
      </w:r>
      <w:r w:rsidR="00CE2CF2">
        <w:t xml:space="preserve">given the </w:t>
      </w:r>
      <w:r w:rsidR="00EE2E9A">
        <w:t>revisions to the definition of ‘aggregate revenue requirement’ set out above.</w:t>
      </w:r>
      <w:r w:rsidR="004B2A99">
        <w:t xml:space="preserve"> </w:t>
      </w:r>
    </w:p>
    <w:p w:rsidR="00712458" w:rsidRDefault="00C8321B" w:rsidP="00712458">
      <w:r>
        <w:t xml:space="preserve">This revised threshold would </w:t>
      </w:r>
      <w:r w:rsidR="00712458">
        <w:t xml:space="preserve">still </w:t>
      </w:r>
      <w:r w:rsidR="00643641">
        <w:t>allow an operator to recover their prudent and efficient costs for other events likely to have a serious effect on the operator</w:t>
      </w:r>
      <w:r>
        <w:t xml:space="preserve"> while limiting the potential for frequent variation applications which entail </w:t>
      </w:r>
      <w:r w:rsidR="00643641">
        <w:t xml:space="preserve">increased </w:t>
      </w:r>
      <w:r>
        <w:t xml:space="preserve">regulatory </w:t>
      </w:r>
      <w:r w:rsidR="00643641">
        <w:t xml:space="preserve">costs </w:t>
      </w:r>
      <w:r w:rsidR="00712458">
        <w:t xml:space="preserve">for </w:t>
      </w:r>
      <w:r w:rsidR="00643641">
        <w:t>the operator, the regulator and customers involved</w:t>
      </w:r>
      <w:r w:rsidR="00712458">
        <w:t>.</w:t>
      </w:r>
      <w:r w:rsidR="00643641">
        <w:t xml:space="preserve"> </w:t>
      </w:r>
    </w:p>
    <w:p w:rsidR="00643641" w:rsidRDefault="00712458" w:rsidP="00712458">
      <w:r>
        <w:t>The impact of other events that do not meet the materiality threshold</w:t>
      </w:r>
      <w:r w:rsidR="00E5574C">
        <w:t xml:space="preserve"> (and therefore cannot result in a variation)</w:t>
      </w:r>
      <w:r>
        <w:t xml:space="preserve"> can </w:t>
      </w:r>
      <w:r w:rsidR="00E5574C">
        <w:t xml:space="preserve">nevertheless </w:t>
      </w:r>
      <w:r>
        <w:t xml:space="preserve">be assessed as part of the more thorough approval or determination </w:t>
      </w:r>
      <w:r w:rsidR="00643641">
        <w:t xml:space="preserve">process </w:t>
      </w:r>
      <w:r>
        <w:t xml:space="preserve">for the next regulatory period, </w:t>
      </w:r>
      <w:r w:rsidR="00643641">
        <w:t xml:space="preserve">rather than the more ad hoc nature of a variation review. </w:t>
      </w:r>
    </w:p>
    <w:p w:rsidR="007E6558" w:rsidRDefault="007E6558" w:rsidP="00B13B1B">
      <w:r w:rsidRPr="00A62583">
        <w:t>The ACCC</w:t>
      </w:r>
      <w:r>
        <w:t xml:space="preserve"> has produced the following examples to aid stakeholders to understand the difference between the materiality thresholds </w:t>
      </w:r>
      <w:r w:rsidR="00C8321B">
        <w:t xml:space="preserve">calculated using the approach set out </w:t>
      </w:r>
      <w:r>
        <w:t xml:space="preserve">in the current WCIR, the ACCC’s Draft Advice and </w:t>
      </w:r>
      <w:r w:rsidR="00C8321B">
        <w:t>this</w:t>
      </w:r>
      <w:r>
        <w:t xml:space="preserve"> Final Advice. </w:t>
      </w:r>
    </w:p>
    <w:p w:rsidR="00712458" w:rsidRDefault="00712458" w:rsidP="00135446">
      <w:pPr>
        <w:spacing w:after="120"/>
      </w:pPr>
      <w:r>
        <w:t>The ACCC observes that the proposed thresholds for other events:</w:t>
      </w:r>
    </w:p>
    <w:p w:rsidR="00712458" w:rsidRDefault="00712458" w:rsidP="00A82DE6">
      <w:pPr>
        <w:pStyle w:val="Lvl1Bulletpoint"/>
      </w:pPr>
      <w:r>
        <w:t xml:space="preserve">result in a much lower materiality threshold for WaterNSW when compared with that in the current rules </w:t>
      </w:r>
    </w:p>
    <w:p w:rsidR="00712458" w:rsidRDefault="00712458" w:rsidP="00A82DE6">
      <w:pPr>
        <w:pStyle w:val="Lvl1Bulletpoint"/>
      </w:pPr>
      <w:r>
        <w:t xml:space="preserve">result in only slightly higher thresholds for GMW and LMW when compared with those under the current rules. </w:t>
      </w:r>
    </w:p>
    <w:p w:rsidR="00712458" w:rsidRDefault="00712458" w:rsidP="00A82DE6">
      <w:pPr>
        <w:pStyle w:val="Lvl1Bulletpoint"/>
      </w:pPr>
      <w:r>
        <w:t xml:space="preserve">resolve the problem raised by GMW in the Draft Advice regarding the thresholds for the first year of the regulatory period </w:t>
      </w:r>
    </w:p>
    <w:p w:rsidR="007E6558" w:rsidRDefault="007E6558" w:rsidP="00B13B1B">
      <w:pPr>
        <w:pStyle w:val="Tabletitle"/>
      </w:pPr>
      <w:r w:rsidRPr="002F7D39">
        <w:t>Example Two: WaterNSW (other events)</w:t>
      </w:r>
    </w:p>
    <w:tbl>
      <w:tblPr>
        <w:tblStyle w:val="TableGrid"/>
        <w:tblW w:w="9322" w:type="dxa"/>
        <w:tblLook w:val="04A0" w:firstRow="1" w:lastRow="0" w:firstColumn="1" w:lastColumn="0" w:noHBand="0" w:noVBand="1"/>
      </w:tblPr>
      <w:tblGrid>
        <w:gridCol w:w="9322"/>
      </w:tblGrid>
      <w:tr w:rsidR="00B13B1B" w:rsidTr="00135446">
        <w:trPr>
          <w:trHeight w:val="4457"/>
        </w:trPr>
        <w:tc>
          <w:tcPr>
            <w:tcW w:w="9322" w:type="dxa"/>
            <w:shd w:val="clear" w:color="auto" w:fill="D9D9D9" w:themeFill="background1" w:themeFillShade="D9"/>
          </w:tcPr>
          <w:p w:rsidR="00B13B1B" w:rsidRPr="007827B9" w:rsidRDefault="00B13B1B" w:rsidP="00B13B1B">
            <w:pPr>
              <w:pStyle w:val="Tabletitle"/>
            </w:pPr>
            <w:r>
              <w:t>Table 5.7: Comparison of materiality thresholds (WaterNSW, other events)</w:t>
            </w:r>
          </w:p>
          <w:tbl>
            <w:tblPr>
              <w:tblStyle w:val="TableGrid"/>
              <w:tblW w:w="0" w:type="auto"/>
              <w:tblLook w:val="04A0" w:firstRow="1" w:lastRow="0" w:firstColumn="1" w:lastColumn="0" w:noHBand="0" w:noVBand="1"/>
            </w:tblPr>
            <w:tblGrid>
              <w:gridCol w:w="5382"/>
              <w:gridCol w:w="1238"/>
              <w:gridCol w:w="1238"/>
              <w:gridCol w:w="1238"/>
            </w:tblGrid>
            <w:tr w:rsidR="00B13B1B" w:rsidTr="00135446">
              <w:trPr>
                <w:trHeight w:val="605"/>
              </w:trPr>
              <w:tc>
                <w:tcPr>
                  <w:tcW w:w="5382" w:type="dxa"/>
                </w:tcPr>
                <w:p w:rsidR="00B13B1B" w:rsidRDefault="00B13B1B" w:rsidP="00B13B1B">
                  <w:pPr>
                    <w:pStyle w:val="tabletext"/>
                  </w:pPr>
                </w:p>
              </w:tc>
              <w:tc>
                <w:tcPr>
                  <w:tcW w:w="1238" w:type="dxa"/>
                </w:tcPr>
                <w:p w:rsidR="00B13B1B" w:rsidRPr="008C1BF9" w:rsidRDefault="00B13B1B" w:rsidP="00B13B1B">
                  <w:pPr>
                    <w:pStyle w:val="tabletext"/>
                    <w:rPr>
                      <w:b/>
                    </w:rPr>
                  </w:pPr>
                  <w:r w:rsidRPr="008F0513">
                    <w:t>2014-15</w:t>
                  </w:r>
                  <w:r>
                    <w:t xml:space="preserve"> </w:t>
                  </w:r>
                  <w:r w:rsidRPr="008C1BF9">
                    <w:t>($</w:t>
                  </w:r>
                  <w:r>
                    <w:t xml:space="preserve"> </w:t>
                  </w:r>
                  <w:r w:rsidRPr="008C1BF9">
                    <w:t>million)</w:t>
                  </w:r>
                </w:p>
              </w:tc>
              <w:tc>
                <w:tcPr>
                  <w:tcW w:w="1238" w:type="dxa"/>
                </w:tcPr>
                <w:p w:rsidR="00B13B1B" w:rsidRPr="008F0513" w:rsidRDefault="00B13B1B" w:rsidP="00B13B1B">
                  <w:pPr>
                    <w:pStyle w:val="tabletext"/>
                  </w:pPr>
                  <w:r w:rsidRPr="008F0513">
                    <w:t>2015-16</w:t>
                  </w:r>
                  <w:r>
                    <w:t xml:space="preserve"> </w:t>
                  </w:r>
                  <w:r w:rsidRPr="008C1BF9">
                    <w:t>($</w:t>
                  </w:r>
                  <w:r>
                    <w:t xml:space="preserve"> </w:t>
                  </w:r>
                  <w:r w:rsidRPr="008C1BF9">
                    <w:t>million)</w:t>
                  </w:r>
                </w:p>
              </w:tc>
              <w:tc>
                <w:tcPr>
                  <w:tcW w:w="1238" w:type="dxa"/>
                </w:tcPr>
                <w:p w:rsidR="00B13B1B" w:rsidRPr="008F0513" w:rsidRDefault="00B13B1B" w:rsidP="00B13B1B">
                  <w:pPr>
                    <w:pStyle w:val="tabletext"/>
                  </w:pPr>
                  <w:r w:rsidRPr="008F0513">
                    <w:t>2016-17</w:t>
                  </w:r>
                  <w:r>
                    <w:t xml:space="preserve"> </w:t>
                  </w:r>
                  <w:r w:rsidRPr="008C1BF9">
                    <w:t>($</w:t>
                  </w:r>
                  <w:r>
                    <w:t xml:space="preserve"> </w:t>
                  </w:r>
                  <w:r w:rsidRPr="008C1BF9">
                    <w:t>million)</w:t>
                  </w:r>
                </w:p>
              </w:tc>
            </w:tr>
            <w:tr w:rsidR="00B13B1B" w:rsidTr="00135446">
              <w:trPr>
                <w:trHeight w:val="363"/>
              </w:trPr>
              <w:tc>
                <w:tcPr>
                  <w:tcW w:w="5382" w:type="dxa"/>
                </w:tcPr>
                <w:p w:rsidR="00B13B1B" w:rsidRDefault="00B13B1B" w:rsidP="00B13B1B">
                  <w:pPr>
                    <w:pStyle w:val="tabletext"/>
                  </w:pPr>
                  <w:r>
                    <w:t>Current WCIR Materiality Threshold</w:t>
                  </w:r>
                </w:p>
              </w:tc>
              <w:tc>
                <w:tcPr>
                  <w:tcW w:w="1238" w:type="dxa"/>
                </w:tcPr>
                <w:p w:rsidR="00B13B1B" w:rsidRPr="008F0513" w:rsidRDefault="00B13B1B" w:rsidP="00B13B1B">
                  <w:pPr>
                    <w:pStyle w:val="tabletext"/>
                  </w:pPr>
                  <w:r w:rsidRPr="008F0513">
                    <w:t>15</w:t>
                  </w:r>
                  <w:r>
                    <w:t xml:space="preserve"> </w:t>
                  </w:r>
                </w:p>
              </w:tc>
              <w:tc>
                <w:tcPr>
                  <w:tcW w:w="1238" w:type="dxa"/>
                </w:tcPr>
                <w:p w:rsidR="00B13B1B" w:rsidRDefault="00B13B1B" w:rsidP="00B13B1B">
                  <w:pPr>
                    <w:pStyle w:val="tabletext"/>
                  </w:pPr>
                  <w:r w:rsidRPr="008F0513">
                    <w:t>15</w:t>
                  </w:r>
                  <w:r>
                    <w:t xml:space="preserve"> </w:t>
                  </w:r>
                </w:p>
              </w:tc>
              <w:tc>
                <w:tcPr>
                  <w:tcW w:w="1238" w:type="dxa"/>
                </w:tcPr>
                <w:p w:rsidR="00B13B1B" w:rsidRDefault="00B13B1B" w:rsidP="00B13B1B">
                  <w:pPr>
                    <w:pStyle w:val="tabletext"/>
                  </w:pPr>
                  <w:r w:rsidRPr="008F0513">
                    <w:t xml:space="preserve">15 </w:t>
                  </w:r>
                </w:p>
              </w:tc>
            </w:tr>
            <w:tr w:rsidR="00B13B1B" w:rsidTr="00135446">
              <w:trPr>
                <w:trHeight w:val="363"/>
              </w:trPr>
              <w:tc>
                <w:tcPr>
                  <w:tcW w:w="5382" w:type="dxa"/>
                </w:tcPr>
                <w:p w:rsidR="00B13B1B" w:rsidRDefault="00B13B1B" w:rsidP="00B13B1B">
                  <w:pPr>
                    <w:pStyle w:val="tabletext"/>
                  </w:pPr>
                  <w:r>
                    <w:t>Proposed Materiality Threshold (Draft Advice)</w:t>
                  </w:r>
                </w:p>
              </w:tc>
              <w:tc>
                <w:tcPr>
                  <w:tcW w:w="1238" w:type="dxa"/>
                </w:tcPr>
                <w:p w:rsidR="00B13B1B" w:rsidRPr="00514414" w:rsidRDefault="00B13B1B" w:rsidP="00B13B1B">
                  <w:pPr>
                    <w:pStyle w:val="tabletext"/>
                  </w:pPr>
                  <w:r>
                    <w:t>8.2</w:t>
                  </w:r>
                </w:p>
              </w:tc>
              <w:tc>
                <w:tcPr>
                  <w:tcW w:w="1238" w:type="dxa"/>
                </w:tcPr>
                <w:p w:rsidR="00B13B1B" w:rsidRPr="00514414" w:rsidRDefault="00B13B1B" w:rsidP="00B13B1B">
                  <w:pPr>
                    <w:pStyle w:val="tabletext"/>
                  </w:pPr>
                  <w:r>
                    <w:t>5.5</w:t>
                  </w:r>
                </w:p>
              </w:tc>
              <w:tc>
                <w:tcPr>
                  <w:tcW w:w="1238" w:type="dxa"/>
                </w:tcPr>
                <w:p w:rsidR="00B13B1B" w:rsidRPr="00514414" w:rsidRDefault="00B13B1B" w:rsidP="00B13B1B">
                  <w:pPr>
                    <w:pStyle w:val="tabletext"/>
                  </w:pPr>
                  <w:r w:rsidRPr="00514414">
                    <w:t>2.</w:t>
                  </w:r>
                  <w:r>
                    <w:t>8</w:t>
                  </w:r>
                </w:p>
              </w:tc>
            </w:tr>
            <w:tr w:rsidR="00B13B1B" w:rsidTr="00135446">
              <w:trPr>
                <w:trHeight w:val="363"/>
              </w:trPr>
              <w:tc>
                <w:tcPr>
                  <w:tcW w:w="5382" w:type="dxa"/>
                </w:tcPr>
                <w:p w:rsidR="00B13B1B" w:rsidRDefault="00B13B1B" w:rsidP="00B13B1B">
                  <w:pPr>
                    <w:pStyle w:val="tabletext"/>
                  </w:pPr>
                  <w:r>
                    <w:t>Proposed Materiality Threshold (Final Advice)</w:t>
                  </w:r>
                </w:p>
              </w:tc>
              <w:tc>
                <w:tcPr>
                  <w:tcW w:w="1238" w:type="dxa"/>
                </w:tcPr>
                <w:p w:rsidR="00B13B1B" w:rsidRPr="00514414" w:rsidRDefault="00B13B1B" w:rsidP="00B13B1B">
                  <w:pPr>
                    <w:pStyle w:val="tabletext"/>
                  </w:pPr>
                  <w:r>
                    <w:t>7.9</w:t>
                  </w:r>
                </w:p>
              </w:tc>
              <w:tc>
                <w:tcPr>
                  <w:tcW w:w="1238" w:type="dxa"/>
                </w:tcPr>
                <w:p w:rsidR="00B13B1B" w:rsidRPr="00514414" w:rsidRDefault="00B13B1B" w:rsidP="00B13B1B">
                  <w:pPr>
                    <w:pStyle w:val="tabletext"/>
                  </w:pPr>
                  <w:r>
                    <w:t>7.9</w:t>
                  </w:r>
                </w:p>
              </w:tc>
              <w:tc>
                <w:tcPr>
                  <w:tcW w:w="1238" w:type="dxa"/>
                </w:tcPr>
                <w:p w:rsidR="00B13B1B" w:rsidRPr="00514414" w:rsidRDefault="00B13B1B" w:rsidP="00B13B1B">
                  <w:pPr>
                    <w:pStyle w:val="tabletext"/>
                  </w:pPr>
                  <w:r>
                    <w:t>7.9</w:t>
                  </w:r>
                </w:p>
              </w:tc>
            </w:tr>
          </w:tbl>
          <w:p w:rsidR="00B13B1B" w:rsidRDefault="00C8321B" w:rsidP="00B13B1B">
            <w:pPr>
              <w:pStyle w:val="tabletext"/>
            </w:pPr>
            <w:r>
              <w:t xml:space="preserve">The </w:t>
            </w:r>
            <w:r w:rsidR="00E5574C">
              <w:t>aggregate revenue requirement</w:t>
            </w:r>
            <w:r w:rsidR="00B13B1B">
              <w:t xml:space="preserve"> for WaterNSW </w:t>
            </w:r>
            <w:r>
              <w:t>was</w:t>
            </w:r>
            <w:r w:rsidR="00B13B1B">
              <w:t xml:space="preserve"> $264.1 million over three years.</w:t>
            </w:r>
          </w:p>
          <w:p w:rsidR="00B13B1B" w:rsidRDefault="00B13B1B" w:rsidP="00B13B1B">
            <w:pPr>
              <w:pStyle w:val="tabletext"/>
            </w:pPr>
            <w:r w:rsidRPr="004D14F6">
              <w:t xml:space="preserve">All </w:t>
            </w:r>
            <w:r>
              <w:t xml:space="preserve">of the </w:t>
            </w:r>
            <w:r w:rsidRPr="004D14F6">
              <w:t xml:space="preserve">figures </w:t>
            </w:r>
            <w:r>
              <w:t xml:space="preserve">in this example </w:t>
            </w:r>
            <w:r w:rsidRPr="004D14F6">
              <w:t>are reported in $201</w:t>
            </w:r>
            <w:r>
              <w:t>4</w:t>
            </w:r>
            <w:r w:rsidRPr="004D14F6">
              <w:t>-1</w:t>
            </w:r>
            <w:r>
              <w:t>5</w:t>
            </w:r>
            <w:r w:rsidRPr="004D14F6">
              <w:t>.</w:t>
            </w:r>
          </w:p>
          <w:p w:rsidR="00B13B1B" w:rsidRPr="004773D2" w:rsidRDefault="00B13B1B" w:rsidP="00B13B1B">
            <w:pPr>
              <w:pStyle w:val="tabletext"/>
              <w:rPr>
                <w:sz w:val="2"/>
              </w:rPr>
            </w:pPr>
          </w:p>
          <w:p w:rsidR="00B13B1B" w:rsidRPr="003E3033" w:rsidRDefault="00B13B1B" w:rsidP="00B13B1B">
            <w:pPr>
              <w:pStyle w:val="tabletext"/>
              <w:rPr>
                <w:sz w:val="2"/>
              </w:rPr>
            </w:pPr>
          </w:p>
          <w:p w:rsidR="00B13B1B" w:rsidRDefault="00B13B1B" w:rsidP="00B13B1B">
            <w:pPr>
              <w:pStyle w:val="tabletext"/>
            </w:pPr>
            <w:r>
              <w:t>While the thresholds proposed in this Final Advice will be higher in the latter years</w:t>
            </w:r>
            <w:r w:rsidR="004F6BD0">
              <w:t xml:space="preserve"> </w:t>
            </w:r>
            <w:r>
              <w:t xml:space="preserve">of a regulatory period than those proposed in the Draft Advice, they will still be significantly lower compared to the current WCIR materiality thresholds. </w:t>
            </w:r>
          </w:p>
          <w:p w:rsidR="00B13B1B" w:rsidRDefault="00B13B1B" w:rsidP="00B13B1B">
            <w:pPr>
              <w:pStyle w:val="tabletext"/>
            </w:pPr>
            <w:r>
              <w:t xml:space="preserve">For WaterNSW, the effect of including government contributions in the definition of ‘aggregate revenue requirement’ is effectively cancelled out by a reduction in the rate from five to three per cent. </w:t>
            </w:r>
          </w:p>
        </w:tc>
      </w:tr>
    </w:tbl>
    <w:p w:rsidR="00B13B1B" w:rsidRPr="002F7D39" w:rsidRDefault="00B13B1B" w:rsidP="00B13B1B"/>
    <w:p w:rsidR="007E6558" w:rsidRDefault="007E6558" w:rsidP="007E6558">
      <w:pPr>
        <w:pStyle w:val="Tabletitle"/>
      </w:pPr>
      <w:r w:rsidRPr="002F7D39">
        <w:t xml:space="preserve">Example Three: </w:t>
      </w:r>
      <w:r w:rsidR="00CD0E51">
        <w:t>GMW</w:t>
      </w:r>
      <w:r w:rsidRPr="002F7D39">
        <w:t xml:space="preserve"> (other events)</w:t>
      </w:r>
    </w:p>
    <w:tbl>
      <w:tblPr>
        <w:tblStyle w:val="TableGrid"/>
        <w:tblW w:w="9322" w:type="dxa"/>
        <w:tblLook w:val="04A0" w:firstRow="1" w:lastRow="0" w:firstColumn="1" w:lastColumn="0" w:noHBand="0" w:noVBand="1"/>
      </w:tblPr>
      <w:tblGrid>
        <w:gridCol w:w="9322"/>
      </w:tblGrid>
      <w:tr w:rsidR="00B13B1B" w:rsidTr="00135446">
        <w:tc>
          <w:tcPr>
            <w:tcW w:w="9322" w:type="dxa"/>
            <w:shd w:val="clear" w:color="auto" w:fill="D9D9D9" w:themeFill="background1" w:themeFillShade="D9"/>
          </w:tcPr>
          <w:p w:rsidR="00C8321B" w:rsidRDefault="00C8321B" w:rsidP="00C8321B">
            <w:pPr>
              <w:pStyle w:val="tabletext"/>
            </w:pPr>
            <w:r>
              <w:t>In its final determination for GMW, the Essential Services Commission Victoria (ESCV) for the regulatory period 2013-14 to 2015-16:</w:t>
            </w:r>
          </w:p>
          <w:p w:rsidR="00C8321B" w:rsidRDefault="00C8321B" w:rsidP="00C8321B">
            <w:pPr>
              <w:pStyle w:val="tabletextindentbullet"/>
            </w:pPr>
            <w:r>
              <w:t>set GMW’s opening RAB at $210.2 million for 2013-14.</w:t>
            </w:r>
            <w:r>
              <w:rPr>
                <w:rStyle w:val="FootnoteReference"/>
              </w:rPr>
              <w:footnoteReference w:id="458"/>
            </w:r>
            <w:r>
              <w:t xml:space="preserve"> This means the relevant materiality threshold under the current WCIR is $10.5 million (i.e. five per cent of the opening RAB).</w:t>
            </w:r>
          </w:p>
          <w:p w:rsidR="00C8321B" w:rsidRDefault="00C8321B" w:rsidP="00C8321B">
            <w:pPr>
              <w:pStyle w:val="tabletextindentbullet"/>
            </w:pPr>
            <w:r>
              <w:t xml:space="preserve">set the regulated revenue requirement at </w:t>
            </w:r>
            <w:r w:rsidRPr="00337947">
              <w:t>$11</w:t>
            </w:r>
            <w:r>
              <w:t>9</w:t>
            </w:r>
            <w:r w:rsidRPr="00337947">
              <w:t>.</w:t>
            </w:r>
            <w:r>
              <w:t xml:space="preserve">0 </w:t>
            </w:r>
            <w:r w:rsidRPr="00337947">
              <w:t xml:space="preserve">million </w:t>
            </w:r>
            <w:r>
              <w:t>for 2013-14, $118.6 million for 2014-15 and $118.8 million for 2015-16.</w:t>
            </w:r>
            <w:r>
              <w:rPr>
                <w:rStyle w:val="FootnoteReference"/>
              </w:rPr>
              <w:footnoteReference w:id="459"/>
            </w:r>
          </w:p>
          <w:p w:rsidR="00C8321B" w:rsidRDefault="00C8321B" w:rsidP="00C8321B">
            <w:pPr>
              <w:pStyle w:val="tabletext"/>
            </w:pPr>
            <w:r>
              <w:t>T</w:t>
            </w:r>
            <w:r w:rsidRPr="00345386">
              <w:t>he customer share of the revenue requirement</w:t>
            </w:r>
            <w:r>
              <w:t xml:space="preserve"> wa</w:t>
            </w:r>
            <w:r w:rsidRPr="00345386">
              <w:t>s 100 per cent.</w:t>
            </w:r>
          </w:p>
          <w:p w:rsidR="00C8321B" w:rsidRPr="009B0EA1" w:rsidRDefault="00C8321B" w:rsidP="00C8321B">
            <w:pPr>
              <w:pStyle w:val="Tabletitle"/>
            </w:pPr>
            <w:r w:rsidRPr="009B0EA1">
              <w:t>Table 5.8: Comparison of materiality thresholds (GMW, other events)</w:t>
            </w:r>
          </w:p>
          <w:tbl>
            <w:tblPr>
              <w:tblStyle w:val="TableGrid"/>
              <w:tblW w:w="0" w:type="auto"/>
              <w:tblLook w:val="04A0" w:firstRow="1" w:lastRow="0" w:firstColumn="1" w:lastColumn="0" w:noHBand="0" w:noVBand="1"/>
            </w:tblPr>
            <w:tblGrid>
              <w:gridCol w:w="5367"/>
              <w:gridCol w:w="1243"/>
              <w:gridCol w:w="1243"/>
              <w:gridCol w:w="1243"/>
            </w:tblGrid>
            <w:tr w:rsidR="00C8321B" w:rsidTr="00A35F63">
              <w:tc>
                <w:tcPr>
                  <w:tcW w:w="5495" w:type="dxa"/>
                </w:tcPr>
                <w:p w:rsidR="00C8321B" w:rsidRDefault="00C8321B" w:rsidP="00C8321B">
                  <w:pPr>
                    <w:pStyle w:val="tabletext"/>
                  </w:pPr>
                </w:p>
              </w:tc>
              <w:tc>
                <w:tcPr>
                  <w:tcW w:w="1249" w:type="dxa"/>
                </w:tcPr>
                <w:p w:rsidR="00C8321B" w:rsidRPr="008F0513" w:rsidRDefault="00C8321B" w:rsidP="00C8321B">
                  <w:pPr>
                    <w:pStyle w:val="tabletext"/>
                  </w:pPr>
                  <w:r w:rsidRPr="008F0513">
                    <w:t>2014-15</w:t>
                  </w:r>
                  <w:r>
                    <w:t xml:space="preserve"> </w:t>
                  </w:r>
                  <w:r w:rsidRPr="008C1BF9">
                    <w:t>($</w:t>
                  </w:r>
                  <w:r>
                    <w:t> </w:t>
                  </w:r>
                  <w:r w:rsidRPr="008C1BF9">
                    <w:t>million)</w:t>
                  </w:r>
                </w:p>
              </w:tc>
              <w:tc>
                <w:tcPr>
                  <w:tcW w:w="1249" w:type="dxa"/>
                </w:tcPr>
                <w:p w:rsidR="00C8321B" w:rsidRPr="008F0513" w:rsidRDefault="00C8321B" w:rsidP="00C8321B">
                  <w:pPr>
                    <w:pStyle w:val="tabletext"/>
                  </w:pPr>
                  <w:r w:rsidRPr="008F0513">
                    <w:t>2015-16</w:t>
                  </w:r>
                  <w:r>
                    <w:t xml:space="preserve"> </w:t>
                  </w:r>
                  <w:r w:rsidRPr="008C1BF9">
                    <w:t>($</w:t>
                  </w:r>
                  <w:r>
                    <w:t> </w:t>
                  </w:r>
                  <w:r w:rsidRPr="008C1BF9">
                    <w:t>million)</w:t>
                  </w:r>
                </w:p>
              </w:tc>
              <w:tc>
                <w:tcPr>
                  <w:tcW w:w="1249" w:type="dxa"/>
                </w:tcPr>
                <w:p w:rsidR="00C8321B" w:rsidRPr="008F0513" w:rsidRDefault="00C8321B" w:rsidP="00C8321B">
                  <w:pPr>
                    <w:pStyle w:val="tabletext"/>
                  </w:pPr>
                  <w:r w:rsidRPr="008F0513">
                    <w:t>2016-17</w:t>
                  </w:r>
                  <w:r>
                    <w:t xml:space="preserve"> </w:t>
                  </w:r>
                  <w:r w:rsidRPr="008C1BF9">
                    <w:t>($</w:t>
                  </w:r>
                  <w:r>
                    <w:t> </w:t>
                  </w:r>
                  <w:r w:rsidRPr="008C1BF9">
                    <w:t>million)</w:t>
                  </w:r>
                </w:p>
              </w:tc>
            </w:tr>
            <w:tr w:rsidR="00C8321B" w:rsidTr="00A35F63">
              <w:tc>
                <w:tcPr>
                  <w:tcW w:w="5495" w:type="dxa"/>
                </w:tcPr>
                <w:p w:rsidR="00C8321B" w:rsidRDefault="00C8321B" w:rsidP="00C8321B">
                  <w:pPr>
                    <w:pStyle w:val="tabletext"/>
                  </w:pPr>
                  <w:r>
                    <w:t>Current WCIR Materiality Threshold</w:t>
                  </w:r>
                </w:p>
              </w:tc>
              <w:tc>
                <w:tcPr>
                  <w:tcW w:w="1249" w:type="dxa"/>
                </w:tcPr>
                <w:p w:rsidR="00C8321B" w:rsidRPr="008F0513" w:rsidRDefault="00C8321B" w:rsidP="00C8321B">
                  <w:pPr>
                    <w:pStyle w:val="tabletext"/>
                  </w:pPr>
                  <w:r>
                    <w:t xml:space="preserve">10.5 </w:t>
                  </w:r>
                </w:p>
              </w:tc>
              <w:tc>
                <w:tcPr>
                  <w:tcW w:w="1249" w:type="dxa"/>
                </w:tcPr>
                <w:p w:rsidR="00C8321B" w:rsidRDefault="00C8321B" w:rsidP="00C8321B">
                  <w:pPr>
                    <w:pStyle w:val="tabletext"/>
                  </w:pPr>
                  <w:r>
                    <w:t xml:space="preserve">10.5 </w:t>
                  </w:r>
                </w:p>
              </w:tc>
              <w:tc>
                <w:tcPr>
                  <w:tcW w:w="1249" w:type="dxa"/>
                </w:tcPr>
                <w:p w:rsidR="00C8321B" w:rsidRDefault="00C8321B" w:rsidP="00C8321B">
                  <w:pPr>
                    <w:pStyle w:val="tabletext"/>
                  </w:pPr>
                  <w:r>
                    <w:t xml:space="preserve">10.5 </w:t>
                  </w:r>
                </w:p>
              </w:tc>
            </w:tr>
            <w:tr w:rsidR="00C8321B" w:rsidTr="00A35F63">
              <w:tc>
                <w:tcPr>
                  <w:tcW w:w="5495" w:type="dxa"/>
                </w:tcPr>
                <w:p w:rsidR="00C8321B" w:rsidRDefault="00C8321B" w:rsidP="00C8321B">
                  <w:pPr>
                    <w:pStyle w:val="tabletext"/>
                  </w:pPr>
                  <w:r>
                    <w:t xml:space="preserve">Proposed Materiality Threshold (Draft </w:t>
                  </w:r>
                  <w:r w:rsidRPr="004773D2">
                    <w:t>Advice</w:t>
                  </w:r>
                  <w:r>
                    <w:t>)</w:t>
                  </w:r>
                </w:p>
              </w:tc>
              <w:tc>
                <w:tcPr>
                  <w:tcW w:w="1249" w:type="dxa"/>
                </w:tcPr>
                <w:p w:rsidR="00C8321B" w:rsidRPr="00514414" w:rsidRDefault="00C8321B" w:rsidP="00C8321B">
                  <w:pPr>
                    <w:pStyle w:val="tabletext"/>
                  </w:pPr>
                  <w:r>
                    <w:t>17.8</w:t>
                  </w:r>
                </w:p>
              </w:tc>
              <w:tc>
                <w:tcPr>
                  <w:tcW w:w="1249" w:type="dxa"/>
                </w:tcPr>
                <w:p w:rsidR="00C8321B" w:rsidRPr="00514414" w:rsidRDefault="00C8321B" w:rsidP="00C8321B">
                  <w:pPr>
                    <w:pStyle w:val="tabletext"/>
                  </w:pPr>
                  <w:r>
                    <w:t>11.9</w:t>
                  </w:r>
                  <w:r w:rsidRPr="00514414">
                    <w:t xml:space="preserve"> </w:t>
                  </w:r>
                </w:p>
              </w:tc>
              <w:tc>
                <w:tcPr>
                  <w:tcW w:w="1249" w:type="dxa"/>
                </w:tcPr>
                <w:p w:rsidR="00C8321B" w:rsidRPr="00514414" w:rsidRDefault="00C8321B" w:rsidP="00C8321B">
                  <w:pPr>
                    <w:pStyle w:val="tabletext"/>
                  </w:pPr>
                  <w:r w:rsidRPr="00514414">
                    <w:t xml:space="preserve"> </w:t>
                  </w:r>
                  <w:r>
                    <w:t>5.9</w:t>
                  </w:r>
                </w:p>
              </w:tc>
            </w:tr>
            <w:tr w:rsidR="00C8321B" w:rsidTr="00A35F63">
              <w:tc>
                <w:tcPr>
                  <w:tcW w:w="5495" w:type="dxa"/>
                </w:tcPr>
                <w:p w:rsidR="00C8321B" w:rsidRDefault="00C8321B" w:rsidP="00C8321B">
                  <w:pPr>
                    <w:pStyle w:val="tabletext"/>
                  </w:pPr>
                  <w:r>
                    <w:t>Proposed Materiality Threshold (Final Advice)</w:t>
                  </w:r>
                </w:p>
              </w:tc>
              <w:tc>
                <w:tcPr>
                  <w:tcW w:w="1249" w:type="dxa"/>
                </w:tcPr>
                <w:p w:rsidR="00C8321B" w:rsidRPr="00514414" w:rsidRDefault="00C8321B" w:rsidP="00C8321B">
                  <w:pPr>
                    <w:pStyle w:val="tabletext"/>
                  </w:pPr>
                  <w:r>
                    <w:t>10.7</w:t>
                  </w:r>
                </w:p>
              </w:tc>
              <w:tc>
                <w:tcPr>
                  <w:tcW w:w="1249" w:type="dxa"/>
                </w:tcPr>
                <w:p w:rsidR="00C8321B" w:rsidRPr="00514414" w:rsidRDefault="00C8321B" w:rsidP="00C8321B">
                  <w:pPr>
                    <w:pStyle w:val="tabletext"/>
                  </w:pPr>
                  <w:r>
                    <w:t>10.7</w:t>
                  </w:r>
                </w:p>
              </w:tc>
              <w:tc>
                <w:tcPr>
                  <w:tcW w:w="1249" w:type="dxa"/>
                </w:tcPr>
                <w:p w:rsidR="00C8321B" w:rsidRPr="00514414" w:rsidRDefault="00C8321B" w:rsidP="00C8321B">
                  <w:pPr>
                    <w:pStyle w:val="tabletext"/>
                  </w:pPr>
                  <w:r>
                    <w:t>10.7</w:t>
                  </w:r>
                </w:p>
              </w:tc>
            </w:tr>
          </w:tbl>
          <w:p w:rsidR="00C8321B" w:rsidRDefault="00C8321B" w:rsidP="00C8321B">
            <w:pPr>
              <w:pStyle w:val="tabletext"/>
            </w:pPr>
            <w:r>
              <w:t xml:space="preserve">The </w:t>
            </w:r>
            <w:r w:rsidR="00E5574C">
              <w:t xml:space="preserve">aggregate </w:t>
            </w:r>
            <w:r>
              <w:t xml:space="preserve">revenue </w:t>
            </w:r>
            <w:r w:rsidR="00E5574C">
              <w:t xml:space="preserve">requirement </w:t>
            </w:r>
            <w:r>
              <w:t>for GMW was $356.1 million over three years.</w:t>
            </w:r>
          </w:p>
          <w:p w:rsidR="00C8321B" w:rsidRDefault="00C8321B" w:rsidP="00C8321B">
            <w:pPr>
              <w:pStyle w:val="tabletext"/>
            </w:pPr>
            <w:r>
              <w:t>All the figures in this example are in $2013</w:t>
            </w:r>
            <w:r>
              <w:noBreakHyphen/>
              <w:t>14.</w:t>
            </w:r>
          </w:p>
          <w:p w:rsidR="00C8321B" w:rsidRDefault="00C8321B" w:rsidP="00C8321B">
            <w:pPr>
              <w:pStyle w:val="tabletext"/>
            </w:pPr>
          </w:p>
          <w:p w:rsidR="00C8321B" w:rsidRDefault="00C8321B" w:rsidP="00C8321B">
            <w:pPr>
              <w:pStyle w:val="tabletext"/>
            </w:pPr>
            <w:r>
              <w:t>This example supports GMW’s contention that the materiality thresholds for ‘other events’ proposed in the Draft Advice could result in much higher materiality thresholds for the early years of a regulatory period than is currently the case. However, this result is likely to occur in very specific circumstances: that is, where the regulated revenue for the remainder of the regulatory period is high (and does not contain government contributions), or the opening RAB is low (or a combination of both). The ACCC considers for the reasons set out earlier in this section that such a high materiality threshold is undesirable.</w:t>
            </w:r>
          </w:p>
          <w:p w:rsidR="00B13B1B" w:rsidRDefault="00C8321B" w:rsidP="00C8321B">
            <w:pPr>
              <w:pStyle w:val="tabletext"/>
            </w:pPr>
            <w:r>
              <w:t>The ACCC considers that the proposed approach in the Final Advice provides an appropriate balance between allowing the Part 6 operator to seek a variation review from the regulator where an unforeseen event occurs that may have a material and adverse effect on an operator and discouraging the operator from regularly seeking a variation review.</w:t>
            </w:r>
          </w:p>
        </w:tc>
      </w:tr>
    </w:tbl>
    <w:p w:rsidR="007E6558" w:rsidRDefault="007E6558" w:rsidP="007E6558">
      <w:pPr>
        <w:rPr>
          <w:rFonts w:cs="Times New Roman"/>
        </w:rPr>
      </w:pPr>
    </w:p>
    <w:p w:rsidR="002A1A6C" w:rsidRDefault="002A1A6C" w:rsidP="002A1A6C">
      <w:pPr>
        <w:pStyle w:val="Tabletitle"/>
      </w:pPr>
      <w:r w:rsidRPr="002A1A6C">
        <w:t>Example Four: LMW (Other Events)</w:t>
      </w:r>
    </w:p>
    <w:tbl>
      <w:tblPr>
        <w:tblStyle w:val="TableGrid"/>
        <w:tblW w:w="9277" w:type="dxa"/>
        <w:tblLook w:val="04A0" w:firstRow="1" w:lastRow="0" w:firstColumn="1" w:lastColumn="0" w:noHBand="0" w:noVBand="1"/>
      </w:tblPr>
      <w:tblGrid>
        <w:gridCol w:w="9277"/>
      </w:tblGrid>
      <w:tr w:rsidR="00C8321B" w:rsidTr="00135446">
        <w:trPr>
          <w:trHeight w:val="3376"/>
        </w:trPr>
        <w:tc>
          <w:tcPr>
            <w:tcW w:w="9277" w:type="dxa"/>
            <w:shd w:val="clear" w:color="auto" w:fill="D9D9D9" w:themeFill="background1" w:themeFillShade="D9"/>
          </w:tcPr>
          <w:p w:rsidR="00C8321B" w:rsidRDefault="00C8321B" w:rsidP="00C8321B">
            <w:pPr>
              <w:pStyle w:val="tabletext"/>
            </w:pPr>
            <w:r>
              <w:t>In its final determination for LMW, the Essential Services Commission Victoria (ESCV) for the regulatory period 2013-14 to 2017-18:</w:t>
            </w:r>
          </w:p>
          <w:p w:rsidR="00C8321B" w:rsidRDefault="00C8321B" w:rsidP="00C8321B">
            <w:pPr>
              <w:pStyle w:val="tabletextindentbullet"/>
            </w:pPr>
            <w:r>
              <w:t>set LMW’s opening RAB at $73.4 million for 2013-14.</w:t>
            </w:r>
            <w:r>
              <w:rPr>
                <w:rStyle w:val="FootnoteReference"/>
              </w:rPr>
              <w:footnoteReference w:id="460"/>
            </w:r>
            <w:r>
              <w:t xml:space="preserve"> This means the relevant materiality threshold under the current WCIR is $3.7 million (i.e. 5 per cent of the opening RAB).</w:t>
            </w:r>
          </w:p>
          <w:p w:rsidR="00C8321B" w:rsidRDefault="00C8321B" w:rsidP="00C8321B">
            <w:pPr>
              <w:pStyle w:val="tabletextindentbullet"/>
            </w:pPr>
            <w:r>
              <w:t xml:space="preserve">set the regulated revenue requirement at </w:t>
            </w:r>
            <w:r w:rsidRPr="00337947">
              <w:t>$</w:t>
            </w:r>
            <w:r>
              <w:t xml:space="preserve">26.8 </w:t>
            </w:r>
            <w:r w:rsidRPr="00337947">
              <w:t xml:space="preserve">million </w:t>
            </w:r>
            <w:r>
              <w:t>for 2013-14, $27.1 million for 2014-15, $27.5 million for 2015-16, $28 million for 2016-17 and $28.5 million for 2017-18.</w:t>
            </w:r>
            <w:r>
              <w:rPr>
                <w:rStyle w:val="FootnoteReference"/>
              </w:rPr>
              <w:footnoteReference w:id="461"/>
            </w:r>
          </w:p>
          <w:p w:rsidR="00C8321B" w:rsidRPr="00345386" w:rsidRDefault="00C8321B" w:rsidP="00C8321B">
            <w:pPr>
              <w:pStyle w:val="tabletext"/>
            </w:pPr>
            <w:r>
              <w:t>T</w:t>
            </w:r>
            <w:r w:rsidRPr="00345386">
              <w:t xml:space="preserve">he customer share of the revenue requirement </w:t>
            </w:r>
            <w:r>
              <w:t>wa</w:t>
            </w:r>
            <w:r w:rsidRPr="00345386">
              <w:t>s 100 per cent.</w:t>
            </w:r>
          </w:p>
          <w:p w:rsidR="00C8321B" w:rsidRPr="002A1A6C" w:rsidRDefault="00C8321B" w:rsidP="00C8321B">
            <w:pPr>
              <w:pStyle w:val="Tabletitle"/>
            </w:pPr>
            <w:r w:rsidRPr="002A1A6C">
              <w:t xml:space="preserve">Table </w:t>
            </w:r>
            <w:r>
              <w:t>5.9</w:t>
            </w:r>
            <w:r w:rsidRPr="002A1A6C">
              <w:t xml:space="preserve">: </w:t>
            </w:r>
            <w:r w:rsidRPr="009B0EA1">
              <w:t>Comparison of materiality thresholds (</w:t>
            </w:r>
            <w:r>
              <w:t>L</w:t>
            </w:r>
            <w:r w:rsidRPr="009B0EA1">
              <w:t>MW, other events)</w:t>
            </w:r>
          </w:p>
          <w:tbl>
            <w:tblPr>
              <w:tblStyle w:val="TableGrid"/>
              <w:tblW w:w="4999" w:type="pct"/>
              <w:tblLook w:val="04A0" w:firstRow="1" w:lastRow="0" w:firstColumn="1" w:lastColumn="0" w:noHBand="0" w:noVBand="1"/>
            </w:tblPr>
            <w:tblGrid>
              <w:gridCol w:w="3352"/>
              <w:gridCol w:w="1140"/>
              <w:gridCol w:w="1140"/>
              <w:gridCol w:w="1140"/>
              <w:gridCol w:w="1140"/>
              <w:gridCol w:w="1137"/>
            </w:tblGrid>
            <w:tr w:rsidR="00C8321B" w:rsidTr="00135446">
              <w:trPr>
                <w:trHeight w:val="148"/>
              </w:trPr>
              <w:tc>
                <w:tcPr>
                  <w:tcW w:w="1852" w:type="pct"/>
                </w:tcPr>
                <w:p w:rsidR="00C8321B" w:rsidRDefault="00C8321B" w:rsidP="00C8321B">
                  <w:pPr>
                    <w:pStyle w:val="tabletext"/>
                  </w:pPr>
                </w:p>
              </w:tc>
              <w:tc>
                <w:tcPr>
                  <w:tcW w:w="630" w:type="pct"/>
                </w:tcPr>
                <w:p w:rsidR="00C8321B" w:rsidRDefault="00C8321B" w:rsidP="00C8321B">
                  <w:pPr>
                    <w:pStyle w:val="tabletext"/>
                  </w:pPr>
                  <w:r>
                    <w:t>2013-14</w:t>
                  </w:r>
                </w:p>
                <w:p w:rsidR="00C8321B" w:rsidRDefault="00C8321B" w:rsidP="00C8321B">
                  <w:pPr>
                    <w:pStyle w:val="tabletext"/>
                  </w:pPr>
                  <w:r w:rsidRPr="008C1BF9">
                    <w:t>($</w:t>
                  </w:r>
                  <w:r>
                    <w:t> </w:t>
                  </w:r>
                  <w:r w:rsidRPr="008C1BF9">
                    <w:t>million)</w:t>
                  </w:r>
                </w:p>
              </w:tc>
              <w:tc>
                <w:tcPr>
                  <w:tcW w:w="630" w:type="pct"/>
                </w:tcPr>
                <w:p w:rsidR="00C8321B" w:rsidRDefault="00C8321B" w:rsidP="00C8321B">
                  <w:pPr>
                    <w:pStyle w:val="tabletext"/>
                  </w:pPr>
                  <w:r>
                    <w:t>2014-15</w:t>
                  </w:r>
                </w:p>
                <w:p w:rsidR="00C8321B" w:rsidRDefault="00C8321B" w:rsidP="00C8321B">
                  <w:pPr>
                    <w:pStyle w:val="tabletext"/>
                  </w:pPr>
                  <w:r w:rsidRPr="008C1BF9">
                    <w:t>($</w:t>
                  </w:r>
                  <w:r>
                    <w:t> </w:t>
                  </w:r>
                  <w:r w:rsidRPr="008C1BF9">
                    <w:t>million)</w:t>
                  </w:r>
                </w:p>
              </w:tc>
              <w:tc>
                <w:tcPr>
                  <w:tcW w:w="630" w:type="pct"/>
                </w:tcPr>
                <w:p w:rsidR="00C8321B" w:rsidRDefault="00C8321B" w:rsidP="00C8321B">
                  <w:pPr>
                    <w:pStyle w:val="tabletext"/>
                  </w:pPr>
                  <w:r>
                    <w:t>2015-16</w:t>
                  </w:r>
                </w:p>
                <w:p w:rsidR="00C8321B" w:rsidRDefault="00C8321B" w:rsidP="00C8321B">
                  <w:pPr>
                    <w:pStyle w:val="tabletext"/>
                  </w:pPr>
                  <w:r w:rsidRPr="008C1BF9">
                    <w:t>($</w:t>
                  </w:r>
                  <w:r>
                    <w:t> </w:t>
                  </w:r>
                  <w:r w:rsidRPr="008C1BF9">
                    <w:t>million)</w:t>
                  </w:r>
                </w:p>
              </w:tc>
              <w:tc>
                <w:tcPr>
                  <w:tcW w:w="630" w:type="pct"/>
                </w:tcPr>
                <w:p w:rsidR="00C8321B" w:rsidRDefault="00C8321B" w:rsidP="00C8321B">
                  <w:pPr>
                    <w:pStyle w:val="tabletext"/>
                  </w:pPr>
                  <w:r>
                    <w:t>2016-17</w:t>
                  </w:r>
                </w:p>
                <w:p w:rsidR="00C8321B" w:rsidRDefault="00C8321B" w:rsidP="00C8321B">
                  <w:pPr>
                    <w:pStyle w:val="tabletext"/>
                  </w:pPr>
                  <w:r w:rsidRPr="008C1BF9">
                    <w:t>($</w:t>
                  </w:r>
                  <w:r>
                    <w:t> </w:t>
                  </w:r>
                  <w:r w:rsidRPr="008C1BF9">
                    <w:t>million)</w:t>
                  </w:r>
                </w:p>
              </w:tc>
              <w:tc>
                <w:tcPr>
                  <w:tcW w:w="628" w:type="pct"/>
                </w:tcPr>
                <w:p w:rsidR="00C8321B" w:rsidRDefault="00C8321B" w:rsidP="00C8321B">
                  <w:pPr>
                    <w:pStyle w:val="tabletext"/>
                  </w:pPr>
                  <w:r>
                    <w:t>2017-18</w:t>
                  </w:r>
                </w:p>
                <w:p w:rsidR="00C8321B" w:rsidRDefault="00C8321B" w:rsidP="00C8321B">
                  <w:pPr>
                    <w:pStyle w:val="tabletext"/>
                  </w:pPr>
                  <w:r w:rsidRPr="008C1BF9">
                    <w:t>($</w:t>
                  </w:r>
                  <w:r>
                    <w:t> </w:t>
                  </w:r>
                  <w:r w:rsidRPr="008C1BF9">
                    <w:t>million)</w:t>
                  </w:r>
                </w:p>
              </w:tc>
            </w:tr>
            <w:tr w:rsidR="00C8321B" w:rsidTr="00135446">
              <w:trPr>
                <w:trHeight w:val="148"/>
              </w:trPr>
              <w:tc>
                <w:tcPr>
                  <w:tcW w:w="1852" w:type="pct"/>
                </w:tcPr>
                <w:p w:rsidR="00C8321B" w:rsidRPr="00BD15D7" w:rsidRDefault="00C8321B" w:rsidP="00C8321B">
                  <w:pPr>
                    <w:pStyle w:val="tabletext"/>
                    <w:rPr>
                      <w:b/>
                      <w:i/>
                    </w:rPr>
                  </w:pPr>
                  <w:r>
                    <w:t>Current WCIR Materiality Threshold</w:t>
                  </w:r>
                </w:p>
              </w:tc>
              <w:tc>
                <w:tcPr>
                  <w:tcW w:w="630" w:type="pct"/>
                </w:tcPr>
                <w:p w:rsidR="00C8321B" w:rsidRDefault="00C8321B" w:rsidP="00C8321B">
                  <w:pPr>
                    <w:pStyle w:val="tabletext"/>
                  </w:pPr>
                  <w:r>
                    <w:t>3.7</w:t>
                  </w:r>
                </w:p>
              </w:tc>
              <w:tc>
                <w:tcPr>
                  <w:tcW w:w="630" w:type="pct"/>
                </w:tcPr>
                <w:p w:rsidR="00C8321B" w:rsidRDefault="00C8321B" w:rsidP="00C8321B">
                  <w:pPr>
                    <w:pStyle w:val="tabletext"/>
                  </w:pPr>
                  <w:r>
                    <w:t>3.7</w:t>
                  </w:r>
                </w:p>
              </w:tc>
              <w:tc>
                <w:tcPr>
                  <w:tcW w:w="630" w:type="pct"/>
                </w:tcPr>
                <w:p w:rsidR="00C8321B" w:rsidRDefault="00C8321B" w:rsidP="00C8321B">
                  <w:pPr>
                    <w:pStyle w:val="tabletext"/>
                  </w:pPr>
                  <w:r>
                    <w:t>3.7</w:t>
                  </w:r>
                </w:p>
              </w:tc>
              <w:tc>
                <w:tcPr>
                  <w:tcW w:w="630" w:type="pct"/>
                </w:tcPr>
                <w:p w:rsidR="00C8321B" w:rsidRDefault="00C8321B" w:rsidP="00C8321B">
                  <w:pPr>
                    <w:pStyle w:val="tabletext"/>
                  </w:pPr>
                  <w:r>
                    <w:t>3.7</w:t>
                  </w:r>
                </w:p>
              </w:tc>
              <w:tc>
                <w:tcPr>
                  <w:tcW w:w="628" w:type="pct"/>
                </w:tcPr>
                <w:p w:rsidR="00C8321B" w:rsidRDefault="00C8321B" w:rsidP="00C8321B">
                  <w:pPr>
                    <w:pStyle w:val="tabletext"/>
                  </w:pPr>
                  <w:r>
                    <w:t>3.7</w:t>
                  </w:r>
                </w:p>
              </w:tc>
            </w:tr>
            <w:tr w:rsidR="00C8321B" w:rsidTr="00135446">
              <w:trPr>
                <w:trHeight w:val="148"/>
              </w:trPr>
              <w:tc>
                <w:tcPr>
                  <w:tcW w:w="1852" w:type="pct"/>
                </w:tcPr>
                <w:p w:rsidR="00C8321B" w:rsidRPr="00CA6B9D" w:rsidRDefault="00C8321B" w:rsidP="00C8321B">
                  <w:pPr>
                    <w:pStyle w:val="tabletext"/>
                    <w:rPr>
                      <w:b/>
                    </w:rPr>
                  </w:pPr>
                  <w:r>
                    <w:t>Proposed Materiality Threshold (Draft Advice)</w:t>
                  </w:r>
                </w:p>
              </w:tc>
              <w:tc>
                <w:tcPr>
                  <w:tcW w:w="630" w:type="pct"/>
                </w:tcPr>
                <w:p w:rsidR="00C8321B" w:rsidRDefault="00C8321B" w:rsidP="00C8321B">
                  <w:pPr>
                    <w:pStyle w:val="tabletext"/>
                  </w:pPr>
                  <w:r>
                    <w:t>4.1</w:t>
                  </w:r>
                </w:p>
              </w:tc>
              <w:tc>
                <w:tcPr>
                  <w:tcW w:w="630" w:type="pct"/>
                </w:tcPr>
                <w:p w:rsidR="00C8321B" w:rsidRDefault="00C8321B" w:rsidP="00C8321B">
                  <w:pPr>
                    <w:pStyle w:val="tabletext"/>
                  </w:pPr>
                  <w:r>
                    <w:t>3.3</w:t>
                  </w:r>
                </w:p>
              </w:tc>
              <w:tc>
                <w:tcPr>
                  <w:tcW w:w="630" w:type="pct"/>
                </w:tcPr>
                <w:p w:rsidR="00C8321B" w:rsidRDefault="00C8321B" w:rsidP="00C8321B">
                  <w:pPr>
                    <w:pStyle w:val="tabletext"/>
                  </w:pPr>
                  <w:r>
                    <w:t>2.5</w:t>
                  </w:r>
                </w:p>
              </w:tc>
              <w:tc>
                <w:tcPr>
                  <w:tcW w:w="630" w:type="pct"/>
                </w:tcPr>
                <w:p w:rsidR="00C8321B" w:rsidRDefault="00C8321B" w:rsidP="00C8321B">
                  <w:pPr>
                    <w:pStyle w:val="tabletext"/>
                  </w:pPr>
                  <w:r>
                    <w:t>1.7</w:t>
                  </w:r>
                </w:p>
              </w:tc>
              <w:tc>
                <w:tcPr>
                  <w:tcW w:w="628" w:type="pct"/>
                </w:tcPr>
                <w:p w:rsidR="00C8321B" w:rsidRDefault="00C8321B" w:rsidP="00C8321B">
                  <w:pPr>
                    <w:pStyle w:val="tabletext"/>
                  </w:pPr>
                  <w:r>
                    <w:t>0.9</w:t>
                  </w:r>
                </w:p>
              </w:tc>
            </w:tr>
            <w:tr w:rsidR="00C8321B" w:rsidTr="00135446">
              <w:trPr>
                <w:trHeight w:val="148"/>
              </w:trPr>
              <w:tc>
                <w:tcPr>
                  <w:tcW w:w="1852" w:type="pct"/>
                </w:tcPr>
                <w:p w:rsidR="00C8321B" w:rsidRPr="00CA6B9D" w:rsidRDefault="00C8321B" w:rsidP="00C8321B">
                  <w:pPr>
                    <w:pStyle w:val="tabletext"/>
                    <w:rPr>
                      <w:b/>
                    </w:rPr>
                  </w:pPr>
                  <w:r>
                    <w:t>Proposed Materiality Threshold (Final Advice)</w:t>
                  </w:r>
                </w:p>
              </w:tc>
              <w:tc>
                <w:tcPr>
                  <w:tcW w:w="630" w:type="pct"/>
                </w:tcPr>
                <w:p w:rsidR="00C8321B" w:rsidRDefault="00C8321B" w:rsidP="00C8321B">
                  <w:pPr>
                    <w:pStyle w:val="tabletext"/>
                  </w:pPr>
                  <w:r>
                    <w:t>4.1</w:t>
                  </w:r>
                </w:p>
              </w:tc>
              <w:tc>
                <w:tcPr>
                  <w:tcW w:w="630" w:type="pct"/>
                </w:tcPr>
                <w:p w:rsidR="00C8321B" w:rsidRDefault="00C8321B" w:rsidP="00C8321B">
                  <w:pPr>
                    <w:pStyle w:val="tabletext"/>
                  </w:pPr>
                  <w:r>
                    <w:t>4.1</w:t>
                  </w:r>
                </w:p>
              </w:tc>
              <w:tc>
                <w:tcPr>
                  <w:tcW w:w="630" w:type="pct"/>
                </w:tcPr>
                <w:p w:rsidR="00C8321B" w:rsidRDefault="00C8321B" w:rsidP="00C8321B">
                  <w:pPr>
                    <w:pStyle w:val="tabletext"/>
                  </w:pPr>
                  <w:r>
                    <w:t>4.1</w:t>
                  </w:r>
                </w:p>
              </w:tc>
              <w:tc>
                <w:tcPr>
                  <w:tcW w:w="630" w:type="pct"/>
                </w:tcPr>
                <w:p w:rsidR="00C8321B" w:rsidRDefault="00C8321B" w:rsidP="00C8321B">
                  <w:pPr>
                    <w:pStyle w:val="tabletext"/>
                  </w:pPr>
                  <w:r>
                    <w:t>4.1</w:t>
                  </w:r>
                </w:p>
              </w:tc>
              <w:tc>
                <w:tcPr>
                  <w:tcW w:w="628" w:type="pct"/>
                </w:tcPr>
                <w:p w:rsidR="00C8321B" w:rsidRDefault="00C8321B" w:rsidP="00C8321B">
                  <w:pPr>
                    <w:pStyle w:val="tabletext"/>
                  </w:pPr>
                  <w:r>
                    <w:t>4.1</w:t>
                  </w:r>
                </w:p>
              </w:tc>
            </w:tr>
          </w:tbl>
          <w:p w:rsidR="00C8321B" w:rsidRDefault="00C8321B" w:rsidP="00C8321B">
            <w:pPr>
              <w:pStyle w:val="tabletext"/>
            </w:pPr>
            <w:r>
              <w:t xml:space="preserve">The </w:t>
            </w:r>
            <w:r w:rsidR="00E5574C">
              <w:t xml:space="preserve">aggregate </w:t>
            </w:r>
            <w:r>
              <w:t xml:space="preserve">revenue </w:t>
            </w:r>
            <w:r w:rsidR="00E5574C">
              <w:t xml:space="preserve">requirement </w:t>
            </w:r>
            <w:r>
              <w:t xml:space="preserve">for LMW was $137.9 million over five years. </w:t>
            </w:r>
          </w:p>
          <w:p w:rsidR="00C8321B" w:rsidRDefault="00C8321B" w:rsidP="00C8321B">
            <w:pPr>
              <w:pStyle w:val="tabletext"/>
            </w:pPr>
            <w:r>
              <w:t>All the figures in this example are in $2013</w:t>
            </w:r>
            <w:r>
              <w:noBreakHyphen/>
              <w:t>14.</w:t>
            </w:r>
          </w:p>
          <w:p w:rsidR="00C8321B" w:rsidRPr="004773D2" w:rsidRDefault="00C8321B" w:rsidP="00C8321B">
            <w:pPr>
              <w:pStyle w:val="tabletext"/>
              <w:rPr>
                <w:sz w:val="2"/>
              </w:rPr>
            </w:pPr>
          </w:p>
          <w:p w:rsidR="00C8321B" w:rsidRPr="003E3033" w:rsidRDefault="00C8321B" w:rsidP="00C8321B">
            <w:pPr>
              <w:pStyle w:val="tabletext"/>
              <w:rPr>
                <w:sz w:val="2"/>
              </w:rPr>
            </w:pPr>
          </w:p>
          <w:p w:rsidR="00C8321B" w:rsidRPr="00C8321B" w:rsidRDefault="00C8321B" w:rsidP="00C8321B">
            <w:pPr>
              <w:pStyle w:val="tabletext"/>
            </w:pPr>
            <w:r>
              <w:t>This example shows the proposed thresholds for LMW are slightly higher than under the current WCIR thresholds. However, the ACCC considers that the thresholds resulting from the approach proposed in the Draft Advice would be set too low in the later years of a regulatory period (for reasons set out above) and the methodology set out in this Final Advice is more appropriate.</w:t>
            </w:r>
          </w:p>
        </w:tc>
      </w:tr>
    </w:tbl>
    <w:p w:rsidR="00C8321B" w:rsidRPr="00C8321B" w:rsidRDefault="00C8321B" w:rsidP="00C8321B"/>
    <w:p w:rsidR="007A042B" w:rsidRDefault="007A042B" w:rsidP="007A042B">
      <w:pPr>
        <w:pStyle w:val="Heading5"/>
        <w:rPr>
          <w:rStyle w:val="Hyperlink"/>
          <w:noProof/>
          <w:color w:val="auto"/>
          <w:u w:val="none"/>
        </w:rPr>
      </w:pPr>
      <w:r>
        <w:rPr>
          <w:rStyle w:val="Hyperlink"/>
          <w:noProof/>
          <w:color w:val="auto"/>
          <w:u w:val="none"/>
        </w:rPr>
        <w:t>How a variation is to be given effect</w:t>
      </w:r>
    </w:p>
    <w:p w:rsidR="008F1A4C" w:rsidRDefault="007A042B" w:rsidP="007A042B">
      <w:pPr>
        <w:rPr>
          <w:rStyle w:val="Hyperlink"/>
          <w:noProof/>
          <w:color w:val="auto"/>
          <w:u w:val="none"/>
        </w:rPr>
      </w:pPr>
      <w:r>
        <w:rPr>
          <w:rStyle w:val="Hyperlink"/>
          <w:noProof/>
          <w:color w:val="auto"/>
          <w:u w:val="none"/>
        </w:rPr>
        <w:t xml:space="preserve">The Draft Advice was unclear as to how a variation of an approval or determination </w:t>
      </w:r>
      <w:r w:rsidR="008F1A4C">
        <w:rPr>
          <w:rStyle w:val="Hyperlink"/>
          <w:noProof/>
          <w:color w:val="auto"/>
          <w:u w:val="none"/>
        </w:rPr>
        <w:t xml:space="preserve">made by the ACCC would </w:t>
      </w:r>
      <w:r>
        <w:rPr>
          <w:rStyle w:val="Hyperlink"/>
          <w:noProof/>
          <w:color w:val="auto"/>
          <w:u w:val="none"/>
        </w:rPr>
        <w:t xml:space="preserve">be given effect, particularly in terms of how this would translate into varied infrastructure charges. </w:t>
      </w:r>
      <w:r w:rsidR="003E3033">
        <w:rPr>
          <w:rStyle w:val="Hyperlink"/>
          <w:noProof/>
          <w:color w:val="auto"/>
          <w:u w:val="none"/>
        </w:rPr>
        <w:t>T</w:t>
      </w:r>
      <w:r>
        <w:rPr>
          <w:rStyle w:val="Hyperlink"/>
          <w:noProof/>
          <w:color w:val="auto"/>
          <w:u w:val="none"/>
        </w:rPr>
        <w:t xml:space="preserve">he ACCC considers that this is best left to the discretion of the </w:t>
      </w:r>
      <w:r w:rsidR="003E3033">
        <w:rPr>
          <w:rStyle w:val="Hyperlink"/>
          <w:noProof/>
          <w:color w:val="auto"/>
          <w:u w:val="none"/>
        </w:rPr>
        <w:t>regulator</w:t>
      </w:r>
      <w:r w:rsidR="008F1A4C">
        <w:rPr>
          <w:rStyle w:val="Hyperlink"/>
          <w:noProof/>
          <w:color w:val="auto"/>
          <w:u w:val="none"/>
        </w:rPr>
        <w:t xml:space="preserve"> as part of its assessment of the variation.</w:t>
      </w:r>
      <w:r w:rsidR="008F1A4C" w:rsidRPr="008F1A4C">
        <w:rPr>
          <w:rStyle w:val="Hyperlink"/>
          <w:noProof/>
          <w:color w:val="auto"/>
          <w:u w:val="none"/>
        </w:rPr>
        <w:t xml:space="preserve"> </w:t>
      </w:r>
    </w:p>
    <w:p w:rsidR="008F1A4C" w:rsidRDefault="008F1A4C" w:rsidP="007A042B">
      <w:pPr>
        <w:rPr>
          <w:rStyle w:val="Hyperlink"/>
          <w:noProof/>
          <w:color w:val="auto"/>
          <w:u w:val="none"/>
        </w:rPr>
      </w:pPr>
      <w:r>
        <w:rPr>
          <w:rStyle w:val="Hyperlink"/>
          <w:noProof/>
          <w:color w:val="auto"/>
          <w:u w:val="none"/>
        </w:rPr>
        <w:t xml:space="preserve">While different criteria must be met for a variation due to a taxation or regulatory event, </w:t>
      </w:r>
      <w:r w:rsidR="00E5574C">
        <w:rPr>
          <w:rStyle w:val="Hyperlink"/>
          <w:noProof/>
          <w:color w:val="auto"/>
          <w:u w:val="none"/>
        </w:rPr>
        <w:t>an</w:t>
      </w:r>
      <w:r>
        <w:rPr>
          <w:rStyle w:val="Hyperlink"/>
          <w:noProof/>
          <w:color w:val="auto"/>
          <w:u w:val="none"/>
        </w:rPr>
        <w:t xml:space="preserve"> </w:t>
      </w:r>
      <w:r w:rsidR="00E5574C">
        <w:rPr>
          <w:rStyle w:val="Hyperlink"/>
          <w:noProof/>
          <w:color w:val="auto"/>
          <w:u w:val="none"/>
        </w:rPr>
        <w:t>‘</w:t>
      </w:r>
      <w:r>
        <w:rPr>
          <w:rStyle w:val="Hyperlink"/>
          <w:noProof/>
          <w:color w:val="auto"/>
          <w:u w:val="none"/>
        </w:rPr>
        <w:t>other event</w:t>
      </w:r>
      <w:r w:rsidR="00E5574C">
        <w:rPr>
          <w:rStyle w:val="Hyperlink"/>
          <w:noProof/>
          <w:color w:val="auto"/>
          <w:u w:val="none"/>
        </w:rPr>
        <w:t>’</w:t>
      </w:r>
      <w:r>
        <w:rPr>
          <w:rStyle w:val="Hyperlink"/>
          <w:noProof/>
          <w:color w:val="auto"/>
          <w:u w:val="none"/>
        </w:rPr>
        <w:t>, or in relation to a contingent project, the ACCC considers that</w:t>
      </w:r>
      <w:r w:rsidR="007A042B">
        <w:rPr>
          <w:rStyle w:val="Hyperlink"/>
          <w:noProof/>
          <w:color w:val="auto"/>
          <w:u w:val="none"/>
        </w:rPr>
        <w:t xml:space="preserve"> </w:t>
      </w:r>
      <w:r>
        <w:rPr>
          <w:rStyle w:val="Hyperlink"/>
          <w:noProof/>
          <w:color w:val="auto"/>
          <w:u w:val="none"/>
        </w:rPr>
        <w:t xml:space="preserve">such variations should all be given effect </w:t>
      </w:r>
      <w:r w:rsidR="007A042B">
        <w:rPr>
          <w:rStyle w:val="Hyperlink"/>
          <w:noProof/>
          <w:color w:val="auto"/>
          <w:u w:val="none"/>
        </w:rPr>
        <w:t>subject to</w:t>
      </w:r>
      <w:r>
        <w:rPr>
          <w:rStyle w:val="Hyperlink"/>
          <w:noProof/>
          <w:color w:val="auto"/>
          <w:u w:val="none"/>
        </w:rPr>
        <w:t>:</w:t>
      </w:r>
    </w:p>
    <w:p w:rsidR="008F1A4C" w:rsidRDefault="007A042B" w:rsidP="00A82DE6">
      <w:pPr>
        <w:pStyle w:val="Lvl1Bulletpoint"/>
        <w:rPr>
          <w:rStyle w:val="Hyperlink"/>
          <w:noProof/>
          <w:color w:val="auto"/>
          <w:u w:val="none"/>
        </w:rPr>
      </w:pPr>
      <w:r>
        <w:rPr>
          <w:rStyle w:val="Hyperlink"/>
          <w:noProof/>
          <w:color w:val="auto"/>
          <w:u w:val="none"/>
        </w:rPr>
        <w:t xml:space="preserve">the </w:t>
      </w:r>
      <w:r w:rsidR="008F1A4C">
        <w:rPr>
          <w:rStyle w:val="Hyperlink"/>
          <w:noProof/>
          <w:color w:val="auto"/>
          <w:u w:val="none"/>
        </w:rPr>
        <w:t xml:space="preserve">requirement </w:t>
      </w:r>
      <w:r>
        <w:rPr>
          <w:rStyle w:val="Hyperlink"/>
          <w:noProof/>
          <w:color w:val="auto"/>
          <w:u w:val="none"/>
        </w:rPr>
        <w:t>that any varied charges not commence before the beginning of the next year of the regulatory period</w:t>
      </w:r>
      <w:r w:rsidR="00E5574C">
        <w:rPr>
          <w:rStyle w:val="Hyperlink"/>
          <w:noProof/>
          <w:color w:val="auto"/>
          <w:u w:val="none"/>
        </w:rPr>
        <w:t>,</w:t>
      </w:r>
      <w:r w:rsidR="008F1A4C">
        <w:rPr>
          <w:rStyle w:val="Hyperlink"/>
          <w:noProof/>
          <w:color w:val="auto"/>
          <w:u w:val="none"/>
        </w:rPr>
        <w:t xml:space="preserve"> and</w:t>
      </w:r>
    </w:p>
    <w:p w:rsidR="007A042B" w:rsidRDefault="008F1A4C" w:rsidP="00A82DE6">
      <w:pPr>
        <w:pStyle w:val="Lvl1Bulletpoint"/>
        <w:rPr>
          <w:rStyle w:val="Hyperlink"/>
          <w:noProof/>
          <w:color w:val="auto"/>
          <w:u w:val="none"/>
        </w:rPr>
      </w:pPr>
      <w:r>
        <w:rPr>
          <w:rStyle w:val="Hyperlink"/>
          <w:noProof/>
          <w:color w:val="auto"/>
          <w:u w:val="none"/>
        </w:rPr>
        <w:t>the ACCC being satisfied, in relation to the varied charges, of the regulatory test for approvals and determinations set out in paragraphs in subrules 29(2)(b) and (c) of the proposed water charge rules.</w:t>
      </w:r>
      <w:r w:rsidR="007A042B">
        <w:rPr>
          <w:rStyle w:val="Hyperlink"/>
          <w:noProof/>
          <w:color w:val="auto"/>
          <w:u w:val="none"/>
        </w:rPr>
        <w:t xml:space="preserve"> </w:t>
      </w:r>
    </w:p>
    <w:p w:rsidR="007A042B" w:rsidRDefault="0082472F" w:rsidP="007A042B">
      <w:pPr>
        <w:rPr>
          <w:rStyle w:val="Hyperlink"/>
          <w:noProof/>
          <w:color w:val="auto"/>
          <w:u w:val="none"/>
        </w:rPr>
      </w:pPr>
      <w:r>
        <w:rPr>
          <w:rStyle w:val="Hyperlink"/>
          <w:noProof/>
          <w:color w:val="auto"/>
          <w:u w:val="none"/>
        </w:rPr>
        <w:t xml:space="preserve">The proposed water charge rules provided with the Draft Advice only stated this expressly in relation to variations for contingent projects. </w:t>
      </w:r>
      <w:r w:rsidR="007A042B">
        <w:rPr>
          <w:rStyle w:val="Hyperlink"/>
          <w:noProof/>
          <w:color w:val="auto"/>
          <w:u w:val="none"/>
        </w:rPr>
        <w:t xml:space="preserve">The ACCC </w:t>
      </w:r>
      <w:r w:rsidR="008F1A4C">
        <w:rPr>
          <w:rStyle w:val="Hyperlink"/>
          <w:noProof/>
          <w:color w:val="auto"/>
          <w:u w:val="none"/>
        </w:rPr>
        <w:t xml:space="preserve">has adjusted its rule advice, and the proposed water charge rules, to </w:t>
      </w:r>
      <w:r>
        <w:rPr>
          <w:rStyle w:val="Hyperlink"/>
          <w:noProof/>
          <w:color w:val="auto"/>
          <w:u w:val="none"/>
        </w:rPr>
        <w:t xml:space="preserve">expressly </w:t>
      </w:r>
      <w:r w:rsidR="008F1A4C">
        <w:rPr>
          <w:rStyle w:val="Hyperlink"/>
          <w:noProof/>
          <w:color w:val="auto"/>
          <w:u w:val="none"/>
        </w:rPr>
        <w:t>provide for th</w:t>
      </w:r>
      <w:r>
        <w:rPr>
          <w:rStyle w:val="Hyperlink"/>
          <w:noProof/>
          <w:color w:val="auto"/>
          <w:u w:val="none"/>
        </w:rPr>
        <w:t>ese requirements in relation to all variations</w:t>
      </w:r>
      <w:r w:rsidR="008F1A4C">
        <w:rPr>
          <w:rStyle w:val="Hyperlink"/>
          <w:noProof/>
          <w:color w:val="auto"/>
          <w:u w:val="none"/>
        </w:rPr>
        <w:t>.</w:t>
      </w:r>
    </w:p>
    <w:p w:rsidR="007E6558" w:rsidRDefault="007E6558" w:rsidP="00D17F9C">
      <w:pPr>
        <w:pStyle w:val="Heading5"/>
      </w:pPr>
      <w:r>
        <w:t>Maintaining a consistent state-wide process for pricing regulation</w:t>
      </w:r>
      <w:r w:rsidR="00C6733C">
        <w:t xml:space="preserve"> </w:t>
      </w:r>
    </w:p>
    <w:p w:rsidR="007E6558" w:rsidRDefault="007E6558" w:rsidP="007E6558">
      <w:pPr>
        <w:spacing w:before="120"/>
      </w:pPr>
      <w:r>
        <w:t>As mentioned above, the QFF considered that th</w:t>
      </w:r>
      <w:r w:rsidR="00E5574C">
        <w:t>e</w:t>
      </w:r>
      <w:r>
        <w:t xml:space="preserve"> proposed recommendations in relation to variations of an approval / determination included in the Draft Advice ‘raised significant issues for maintaining a consistent state-wide process for pricing regulation’.</w:t>
      </w:r>
    </w:p>
    <w:p w:rsidR="007E6558" w:rsidRDefault="007E6558" w:rsidP="007E6558">
      <w:pPr>
        <w:spacing w:before="120"/>
      </w:pPr>
      <w:r>
        <w:t xml:space="preserve">The ACCC notes that pricing regulation in the </w:t>
      </w:r>
      <w:r w:rsidR="00BF194C">
        <w:t>Murray-Darling Basin (</w:t>
      </w:r>
      <w:r>
        <w:t>MDB</w:t>
      </w:r>
      <w:r w:rsidR="00BF194C">
        <w:t>)</w:t>
      </w:r>
      <w:r>
        <w:t xml:space="preserve"> is regulated under the </w:t>
      </w:r>
      <w:r w:rsidRPr="008C5F66">
        <w:t>Act</w:t>
      </w:r>
      <w:r>
        <w:rPr>
          <w:i/>
        </w:rPr>
        <w:t xml:space="preserve"> </w:t>
      </w:r>
      <w:r>
        <w:t xml:space="preserve">and the related </w:t>
      </w:r>
      <w:r w:rsidR="00222D0D">
        <w:t>w</w:t>
      </w:r>
      <w:r>
        <w:t xml:space="preserve">ater </w:t>
      </w:r>
      <w:r w:rsidR="00222D0D">
        <w:t>c</w:t>
      </w:r>
      <w:r>
        <w:t xml:space="preserve">harge </w:t>
      </w:r>
      <w:r w:rsidR="00222D0D">
        <w:t>r</w:t>
      </w:r>
      <w:r>
        <w:t xml:space="preserve">ules. </w:t>
      </w:r>
      <w:r w:rsidR="00070D3C">
        <w:t>A</w:t>
      </w:r>
      <w:r>
        <w:t xml:space="preserve">reas outside the MDB are regulated under the relevant state law. In these circumstances, the ACCC considers that having more than one system for pricing regulation in any particular Basin State </w:t>
      </w:r>
      <w:r w:rsidR="00434194">
        <w:t>may be inevitable to the extent that one or more operators from that Basin State continue to be subject to Part 6 (see section 5.6 for proposed amendments to the criteria for Part 6 operators)</w:t>
      </w:r>
      <w:r>
        <w:t>.</w:t>
      </w:r>
    </w:p>
    <w:p w:rsidR="007E6558" w:rsidRDefault="007E6558" w:rsidP="007E6558">
      <w:r>
        <w:t xml:space="preserve">The ACCC considers that the </w:t>
      </w:r>
      <w:r w:rsidR="005B7802">
        <w:t>F</w:t>
      </w:r>
      <w:r>
        <w:t xml:space="preserve">inal </w:t>
      </w:r>
      <w:r w:rsidR="005B7802">
        <w:t>A</w:t>
      </w:r>
      <w:r>
        <w:t>dvice allows the ACCC to maintain a consistent Basin-wide system for water charge regulation, consistent with the scope of the Act, in relation to approvals / determinations under the water charge rules.</w:t>
      </w:r>
    </w:p>
    <w:p w:rsidR="005F47E8" w:rsidRPr="00D714FC" w:rsidRDefault="005F47E8" w:rsidP="00135446">
      <w:pPr>
        <w:pStyle w:val="Heading2"/>
        <w:keepNext w:val="0"/>
        <w:widowControl w:val="0"/>
        <w:ind w:left="862" w:hanging="578"/>
      </w:pPr>
      <w:bookmarkStart w:id="948" w:name="_Toc456785812"/>
      <w:bookmarkStart w:id="949" w:name="_Toc461630723"/>
      <w:r w:rsidRPr="00D714FC">
        <w:t>Distributions (Part 7)</w:t>
      </w:r>
      <w:bookmarkEnd w:id="945"/>
      <w:bookmarkEnd w:id="946"/>
      <w:bookmarkEnd w:id="947"/>
      <w:bookmarkEnd w:id="948"/>
      <w:bookmarkEnd w:id="949"/>
      <w:r w:rsidRPr="00D714FC">
        <w:tab/>
      </w:r>
    </w:p>
    <w:p w:rsidR="005F47E8" w:rsidRPr="00020517" w:rsidRDefault="00D07E1E" w:rsidP="00020517">
      <w:pPr>
        <w:pStyle w:val="Heading3Un-numbered"/>
        <w:spacing w:before="0" w:after="0"/>
        <w:rPr>
          <w:color w:val="FFFFFF" w:themeColor="background1"/>
          <w:sz w:val="12"/>
          <w:szCs w:val="12"/>
        </w:rPr>
      </w:pPr>
      <w:r w:rsidRPr="00020517">
        <w:rPr>
          <w:color w:val="FFFFFF" w:themeColor="background1"/>
          <w:sz w:val="12"/>
          <w:szCs w:val="12"/>
        </w:rPr>
        <w:fldChar w:fldCharType="begin"/>
      </w:r>
      <w:r w:rsidRPr="00020517">
        <w:rPr>
          <w:color w:val="FFFFFF" w:themeColor="background1"/>
          <w:sz w:val="12"/>
          <w:szCs w:val="12"/>
        </w:rPr>
        <w:instrText xml:space="preserve"> REF _Ref434840359 \h  \* MERGEFORMAT </w:instrText>
      </w:r>
      <w:r w:rsidRPr="00020517">
        <w:rPr>
          <w:color w:val="FFFFFF" w:themeColor="background1"/>
          <w:sz w:val="12"/>
          <w:szCs w:val="12"/>
        </w:rPr>
      </w:r>
      <w:r w:rsidRPr="00020517">
        <w:rPr>
          <w:color w:val="FFFFFF" w:themeColor="background1"/>
          <w:sz w:val="12"/>
          <w:szCs w:val="12"/>
        </w:rPr>
        <w:fldChar w:fldCharType="separate"/>
      </w:r>
      <w:r w:rsidR="00BD218B" w:rsidRPr="00BD218B">
        <w:rPr>
          <w:color w:val="FFFFFF" w:themeColor="background1"/>
          <w:sz w:val="12"/>
          <w:szCs w:val="12"/>
        </w:rPr>
        <w:t>Rule advice</w:t>
      </w:r>
      <w:r w:rsidRPr="00020517">
        <w:rPr>
          <w:color w:val="FFFFFF" w:themeColor="background1"/>
          <w:sz w:val="12"/>
          <w:szCs w:val="12"/>
        </w:rPr>
        <w:fldChar w:fldCharType="end"/>
      </w:r>
      <w:r w:rsidR="00C21C88" w:rsidRPr="00020517">
        <w:rPr>
          <w:color w:val="FFFFFF" w:themeColor="background1"/>
          <w:sz w:val="12"/>
          <w:szCs w:val="12"/>
        </w:rPr>
        <w:t xml:space="preserve"> </w:t>
      </w:r>
    </w:p>
    <w:tbl>
      <w:tblPr>
        <w:tblStyle w:val="TableGrid"/>
        <w:tblW w:w="0" w:type="auto"/>
        <w:tblLook w:val="04A0" w:firstRow="1" w:lastRow="0" w:firstColumn="1" w:lastColumn="0" w:noHBand="0" w:noVBand="1"/>
      </w:tblPr>
      <w:tblGrid>
        <w:gridCol w:w="9242"/>
      </w:tblGrid>
      <w:tr w:rsidR="00000049" w:rsidTr="00000049">
        <w:tc>
          <w:tcPr>
            <w:tcW w:w="9242" w:type="dxa"/>
            <w:tcBorders>
              <w:top w:val="nil"/>
              <w:left w:val="nil"/>
              <w:bottom w:val="nil"/>
              <w:right w:val="nil"/>
            </w:tcBorders>
            <w:shd w:val="clear" w:color="auto" w:fill="D9D9D9" w:themeFill="background1" w:themeFillShade="D9"/>
          </w:tcPr>
          <w:p w:rsidR="00ED342F" w:rsidRPr="00D714FC" w:rsidRDefault="00ED342F" w:rsidP="00135446">
            <w:pPr>
              <w:pStyle w:val="Caption"/>
              <w:keepNext w:val="0"/>
              <w:keepLines w:val="0"/>
              <w:widowControl w:val="0"/>
              <w:rPr>
                <w:rFonts w:eastAsia="Arial"/>
              </w:rPr>
            </w:pPr>
            <w:bookmarkStart w:id="950" w:name="_Toc456784046"/>
            <w:bookmarkStart w:id="951" w:name="_Toc433975360"/>
            <w:bookmarkStart w:id="952" w:name="_Toc432937590"/>
            <w:bookmarkStart w:id="953" w:name="_Ref433019976"/>
            <w:bookmarkStart w:id="954" w:name="_Ref433641948"/>
            <w:r w:rsidRPr="00D714FC">
              <w:t xml:space="preserve">Rule advice </w:t>
            </w:r>
            <w:r w:rsidR="007F659D">
              <w:rPr>
                <w:noProof/>
              </w:rPr>
              <w:t>5</w:t>
            </w:r>
            <w:r>
              <w:noBreakHyphen/>
            </w:r>
            <w:r w:rsidR="007F659D">
              <w:rPr>
                <w:noProof/>
              </w:rPr>
              <w:t>S</w:t>
            </w:r>
            <w:bookmarkEnd w:id="950"/>
          </w:p>
          <w:p w:rsidR="00DF7513" w:rsidRPr="00DF7513" w:rsidRDefault="00DF7513" w:rsidP="00135446">
            <w:pPr>
              <w:pStyle w:val="Ruleadvicesubheading"/>
              <w:widowControl w:val="0"/>
            </w:pPr>
            <w:bookmarkStart w:id="955" w:name="_Toc432937591"/>
            <w:bookmarkStart w:id="956" w:name="_Toc456784047"/>
            <w:bookmarkStart w:id="957" w:name="_Toc433975361"/>
            <w:bookmarkStart w:id="958" w:name="_Toc436123393"/>
            <w:bookmarkStart w:id="959" w:name="Rule_Advice_5S"/>
            <w:r>
              <w:t>Application of Part 7</w:t>
            </w:r>
          </w:p>
          <w:p w:rsidR="00950066" w:rsidRDefault="00000049" w:rsidP="00135446">
            <w:pPr>
              <w:pStyle w:val="Heading8"/>
              <w:widowControl w:val="0"/>
              <w:outlineLvl w:val="7"/>
            </w:pPr>
            <w:r w:rsidRPr="00D714FC">
              <w:t xml:space="preserve">Part 7 should be amended to adapt the “triggering” provisions (Part 7, Division 1) to apply to </w:t>
            </w:r>
            <w:bookmarkStart w:id="960" w:name="_Toc432937592"/>
            <w:bookmarkEnd w:id="955"/>
            <w:r w:rsidRPr="00D714FC">
              <w:t xml:space="preserve">all distributions by an infrastructure operator, other than </w:t>
            </w:r>
            <w:r w:rsidR="001A133F" w:rsidRPr="00714685">
              <w:rPr>
                <w:b/>
                <w:i/>
              </w:rPr>
              <w:t xml:space="preserve">standard </w:t>
            </w:r>
            <w:r w:rsidRPr="00714685">
              <w:rPr>
                <w:b/>
                <w:i/>
              </w:rPr>
              <w:t>distributions</w:t>
            </w:r>
            <w:r w:rsidR="001A133F">
              <w:t>.</w:t>
            </w:r>
            <w:bookmarkEnd w:id="956"/>
            <w:r w:rsidR="001A133F">
              <w:t xml:space="preserve"> </w:t>
            </w:r>
          </w:p>
          <w:p w:rsidR="00434194" w:rsidRPr="00434194" w:rsidRDefault="003123FA" w:rsidP="00135446">
            <w:pPr>
              <w:pStyle w:val="Heading8"/>
              <w:widowControl w:val="0"/>
              <w:outlineLvl w:val="7"/>
            </w:pPr>
            <w:r>
              <w:t xml:space="preserve">The </w:t>
            </w:r>
            <w:r w:rsidR="00DF7513">
              <w:t xml:space="preserve">test for the application of Part 7 </w:t>
            </w:r>
            <w:r w:rsidR="00950066">
              <w:t xml:space="preserve">should </w:t>
            </w:r>
            <w:r w:rsidR="00DF7513">
              <w:t xml:space="preserve">refer to “infrastructure operators” (rather than only to member-owned infrastructure operators as in the existing rules). </w:t>
            </w:r>
            <w:r w:rsidR="002451D7">
              <w:t>(see section 5.2</w:t>
            </w:r>
            <w:r w:rsidR="000E40C4">
              <w:t xml:space="preserve"> for further discussion).</w:t>
            </w:r>
            <w:r w:rsidR="00761251">
              <w:t xml:space="preserve"> </w:t>
            </w:r>
          </w:p>
          <w:p w:rsidR="00872DC6" w:rsidRDefault="00872DC6" w:rsidP="00135446">
            <w:pPr>
              <w:pStyle w:val="Heading8"/>
              <w:widowControl w:val="0"/>
              <w:outlineLvl w:val="7"/>
            </w:pPr>
            <w:bookmarkStart w:id="961" w:name="_Toc456784048"/>
            <w:r w:rsidRPr="00AF7032">
              <w:rPr>
                <w:i/>
                <w:sz w:val="18"/>
              </w:rPr>
              <w:t xml:space="preserve">See </w:t>
            </w:r>
            <w:r w:rsidR="00DF7513" w:rsidRPr="00AF7032">
              <w:rPr>
                <w:i/>
                <w:sz w:val="18"/>
              </w:rPr>
              <w:t xml:space="preserve">also </w:t>
            </w:r>
            <w:r w:rsidRPr="00AF7032">
              <w:rPr>
                <w:i/>
                <w:sz w:val="18"/>
              </w:rPr>
              <w:t>rule advice 5-U</w:t>
            </w:r>
            <w:r w:rsidRPr="00AF7032">
              <w:rPr>
                <w:sz w:val="18"/>
              </w:rPr>
              <w:t xml:space="preserve"> in relation to when an operator should be taken to have made a distribution</w:t>
            </w:r>
            <w:r>
              <w:t>.</w:t>
            </w:r>
            <w:bookmarkEnd w:id="961"/>
          </w:p>
          <w:p w:rsidR="00000049" w:rsidRPr="00D714FC" w:rsidRDefault="001A133F" w:rsidP="00135446">
            <w:pPr>
              <w:pStyle w:val="Heading8"/>
              <w:widowControl w:val="0"/>
              <w:outlineLvl w:val="7"/>
            </w:pPr>
            <w:bookmarkStart w:id="962" w:name="_Toc456784049"/>
            <w:r w:rsidRPr="00872DC6">
              <w:rPr>
                <w:b/>
                <w:i/>
              </w:rPr>
              <w:t>Standard distributions</w:t>
            </w:r>
            <w:r>
              <w:t xml:space="preserve"> are those</w:t>
            </w:r>
            <w:r w:rsidR="00000049" w:rsidRPr="00D714FC">
              <w:t>:</w:t>
            </w:r>
            <w:bookmarkEnd w:id="957"/>
            <w:bookmarkEnd w:id="958"/>
            <w:bookmarkEnd w:id="960"/>
            <w:bookmarkEnd w:id="962"/>
          </w:p>
          <w:p w:rsidR="00A835F0" w:rsidRDefault="003511C7" w:rsidP="00020517">
            <w:pPr>
              <w:pStyle w:val="Ruleadvicebullet"/>
            </w:pPr>
            <w:bookmarkStart w:id="963" w:name="_Toc432937593"/>
            <w:bookmarkStart w:id="964" w:name="_Toc433975362"/>
            <w:bookmarkStart w:id="965" w:name="_Toc436123394"/>
            <w:bookmarkStart w:id="966" w:name="_Toc456784050"/>
            <w:r w:rsidRPr="00D714FC">
              <w:t>made</w:t>
            </w:r>
            <w:r>
              <w:t xml:space="preserve"> or offered</w:t>
            </w:r>
            <w:r w:rsidRPr="00D714FC" w:rsidDel="00E401B3">
              <w:t xml:space="preserve"> </w:t>
            </w:r>
            <w:r w:rsidR="00E401B3">
              <w:t>in proportion to</w:t>
            </w:r>
            <w:r w:rsidR="00000049" w:rsidRPr="00D714FC">
              <w:t xml:space="preserve"> </w:t>
            </w:r>
            <w:r w:rsidR="00BE08C6">
              <w:t xml:space="preserve">the volume of </w:t>
            </w:r>
            <w:r w:rsidR="00000049" w:rsidRPr="00D714FC">
              <w:t>all the operator’s customers’ rights of access (typically represented by their water delivery right)</w:t>
            </w:r>
            <w:bookmarkEnd w:id="963"/>
            <w:r w:rsidR="00000049" w:rsidRPr="00D714FC">
              <w:t>;</w:t>
            </w:r>
            <w:bookmarkEnd w:id="964"/>
            <w:bookmarkEnd w:id="965"/>
            <w:bookmarkEnd w:id="966"/>
          </w:p>
          <w:p w:rsidR="00BE08C6" w:rsidRPr="00BE08C6" w:rsidRDefault="003511C7" w:rsidP="00020517">
            <w:pPr>
              <w:pStyle w:val="Ruleadvicebullet"/>
            </w:pPr>
            <w:bookmarkStart w:id="967" w:name="_Toc456784051"/>
            <w:r w:rsidRPr="00D714FC">
              <w:t>made</w:t>
            </w:r>
            <w:r>
              <w:t xml:space="preserve"> or offered</w:t>
            </w:r>
            <w:r w:rsidRPr="00D714FC" w:rsidDel="00E401B3">
              <w:t xml:space="preserve"> </w:t>
            </w:r>
            <w:r w:rsidR="00BE08C6">
              <w:t xml:space="preserve">in proportion to </w:t>
            </w:r>
            <w:r w:rsidR="007B7DB0">
              <w:t xml:space="preserve">each customer’s contribution to </w:t>
            </w:r>
            <w:r w:rsidR="00BE08C6">
              <w:t xml:space="preserve">the </w:t>
            </w:r>
            <w:r w:rsidR="007B7DB0">
              <w:t xml:space="preserve">total revenue from all customers from </w:t>
            </w:r>
            <w:r w:rsidR="00BE08C6">
              <w:t>charges levied per unit of water delivery right held;</w:t>
            </w:r>
            <w:bookmarkEnd w:id="967"/>
            <w:r w:rsidR="00BE08C6">
              <w:t xml:space="preserve"> </w:t>
            </w:r>
          </w:p>
          <w:p w:rsidR="00000049" w:rsidRPr="00D714FC" w:rsidRDefault="003511C7" w:rsidP="00020517">
            <w:pPr>
              <w:pStyle w:val="Ruleadvicebullet"/>
            </w:pPr>
            <w:bookmarkStart w:id="968" w:name="_Toc432937594"/>
            <w:bookmarkStart w:id="969" w:name="_Toc433975363"/>
            <w:bookmarkStart w:id="970" w:name="_Toc436123395"/>
            <w:bookmarkStart w:id="971" w:name="_Toc456784052"/>
            <w:r w:rsidRPr="00D714FC">
              <w:t>made</w:t>
            </w:r>
            <w:r>
              <w:t xml:space="preserve"> </w:t>
            </w:r>
            <w:r w:rsidR="00000049" w:rsidRPr="00D714FC">
              <w:t>to customers that had previously contributed to a fund for the replacement</w:t>
            </w:r>
            <w:r w:rsidR="00C64B20">
              <w:t xml:space="preserve"> / upgrade</w:t>
            </w:r>
            <w:r w:rsidR="00000049" w:rsidRPr="00D714FC">
              <w:t xml:space="preserve"> of infrastructure when this money is no longer required because the replacement </w:t>
            </w:r>
            <w:r w:rsidR="00C64B20">
              <w:t xml:space="preserve">/ upgrade </w:t>
            </w:r>
            <w:r w:rsidR="00000049" w:rsidRPr="00D714FC">
              <w:t>of the infrastructure is no longer required</w:t>
            </w:r>
            <w:r w:rsidR="00C64B20">
              <w:t>, or has been undertaken at a lower cost than forecast</w:t>
            </w:r>
            <w:r w:rsidR="00000049" w:rsidRPr="00D714FC">
              <w:t xml:space="preserve">, in proportion to </w:t>
            </w:r>
            <w:bookmarkEnd w:id="968"/>
            <w:r w:rsidR="00000049" w:rsidRPr="00D714FC">
              <w:t>the contributions made by each customer;</w:t>
            </w:r>
            <w:bookmarkEnd w:id="969"/>
            <w:bookmarkEnd w:id="970"/>
            <w:bookmarkEnd w:id="971"/>
          </w:p>
          <w:p w:rsidR="00000049" w:rsidRDefault="003511C7" w:rsidP="00020517">
            <w:pPr>
              <w:pStyle w:val="Ruleadvicebullet"/>
            </w:pPr>
            <w:bookmarkStart w:id="972" w:name="_Toc432937595"/>
            <w:bookmarkStart w:id="973" w:name="_Toc433975364"/>
            <w:bookmarkStart w:id="974" w:name="_Toc436123396"/>
            <w:bookmarkStart w:id="975" w:name="_Toc456784053"/>
            <w:r w:rsidRPr="00D714FC">
              <w:t>made</w:t>
            </w:r>
            <w:r>
              <w:t xml:space="preserve"> </w:t>
            </w:r>
            <w:r w:rsidR="00000049" w:rsidRPr="00D714FC">
              <w:t>in the form of reasonable honorariums</w:t>
            </w:r>
            <w:bookmarkEnd w:id="972"/>
            <w:r w:rsidR="00000049" w:rsidRPr="00D714FC">
              <w:t>;</w:t>
            </w:r>
            <w:bookmarkEnd w:id="973"/>
            <w:bookmarkEnd w:id="974"/>
            <w:bookmarkEnd w:id="975"/>
          </w:p>
          <w:p w:rsidR="00D731B3" w:rsidRPr="00D731B3" w:rsidRDefault="003511C7" w:rsidP="00020517">
            <w:pPr>
              <w:pStyle w:val="Ruleadvicebullet"/>
            </w:pPr>
            <w:r>
              <w:t xml:space="preserve">made </w:t>
            </w:r>
            <w:r w:rsidR="00D731B3">
              <w:t xml:space="preserve">in the form of a </w:t>
            </w:r>
            <w:r w:rsidR="00E70806">
              <w:t>trade or allocation</w:t>
            </w:r>
            <w:r w:rsidR="00D731B3">
              <w:t xml:space="preserve"> of water </w:t>
            </w:r>
            <w:r w:rsidR="008065BA">
              <w:t xml:space="preserve">that was </w:t>
            </w:r>
            <w:r w:rsidR="00D731B3">
              <w:t>offered to all customers on the same terms</w:t>
            </w:r>
            <w:r w:rsidR="00D731B3" w:rsidRPr="00DF7513">
              <w:t xml:space="preserve">, </w:t>
            </w:r>
            <w:r w:rsidR="001B632C" w:rsidRPr="00DF7513">
              <w:t>whether or not the offer was in return for consideration</w:t>
            </w:r>
            <w:r w:rsidR="00D731B3">
              <w:t>;</w:t>
            </w:r>
          </w:p>
          <w:p w:rsidR="00000049" w:rsidRPr="00D714FC" w:rsidRDefault="003511C7" w:rsidP="00020517">
            <w:pPr>
              <w:pStyle w:val="Ruleadvicebullet"/>
            </w:pPr>
            <w:bookmarkStart w:id="976" w:name="_Toc432937596"/>
            <w:bookmarkStart w:id="977" w:name="_Toc433975365"/>
            <w:bookmarkStart w:id="978" w:name="_Toc436123397"/>
            <w:bookmarkStart w:id="979" w:name="_Toc456784054"/>
            <w:r w:rsidRPr="00D714FC">
              <w:t>made</w:t>
            </w:r>
            <w:r w:rsidR="005E3EBD">
              <w:t xml:space="preserve"> or offered</w:t>
            </w:r>
            <w:r>
              <w:t xml:space="preserve"> </w:t>
            </w:r>
            <w:r w:rsidR="00000049" w:rsidRPr="00D714FC">
              <w:t>to all customers in a specific part of the area serviced by the infrastructure operator in relation to water savings achieved by the operator in that part, in proportion to each customer’s right of access to that part</w:t>
            </w:r>
            <w:r w:rsidR="007B7DB0">
              <w:t xml:space="preserve"> or in proportion to each customer’s contribution to the total revenue f</w:t>
            </w:r>
            <w:r w:rsidR="00D731B3">
              <w:t>rom</w:t>
            </w:r>
            <w:r w:rsidR="007B7DB0">
              <w:t xml:space="preserve"> all customers in that part from charges levied per unit of water delivery right held</w:t>
            </w:r>
            <w:r w:rsidR="00000049" w:rsidRPr="00D714FC">
              <w:t>;</w:t>
            </w:r>
            <w:bookmarkEnd w:id="976"/>
            <w:r w:rsidR="00000049" w:rsidRPr="00D714FC">
              <w:t xml:space="preserve"> or</w:t>
            </w:r>
            <w:bookmarkEnd w:id="977"/>
            <w:bookmarkEnd w:id="978"/>
            <w:bookmarkEnd w:id="979"/>
          </w:p>
          <w:p w:rsidR="00000049" w:rsidRPr="00D714FC" w:rsidRDefault="00000049" w:rsidP="00020517">
            <w:pPr>
              <w:pStyle w:val="Ruleadvicebullet"/>
            </w:pPr>
            <w:bookmarkStart w:id="980" w:name="_Toc432937597"/>
            <w:bookmarkStart w:id="981" w:name="_Toc433975366"/>
            <w:bookmarkStart w:id="982" w:name="_Toc436123398"/>
            <w:bookmarkStart w:id="983" w:name="_Toc456784055"/>
            <w:r w:rsidRPr="00D714FC">
              <w:t xml:space="preserve">made by an infrastructure operator to its owners but only if the infrastructure operators’ infrastructure charges are approved or determined under Part 6 or by a State Agency under </w:t>
            </w:r>
            <w:r w:rsidR="00C64B20">
              <w:t>a</w:t>
            </w:r>
            <w:r w:rsidR="00C64B20" w:rsidRPr="00D714FC">
              <w:t xml:space="preserve"> </w:t>
            </w:r>
            <w:r w:rsidRPr="00D714FC">
              <w:t xml:space="preserve">law of </w:t>
            </w:r>
            <w:r w:rsidR="00337537">
              <w:t>the</w:t>
            </w:r>
            <w:r w:rsidR="00337537" w:rsidRPr="00D714FC">
              <w:t xml:space="preserve"> </w:t>
            </w:r>
            <w:r w:rsidRPr="00D714FC">
              <w:t>State</w:t>
            </w:r>
            <w:bookmarkEnd w:id="980"/>
            <w:r w:rsidRPr="00D714FC">
              <w:t>.</w:t>
            </w:r>
            <w:bookmarkEnd w:id="981"/>
            <w:bookmarkEnd w:id="982"/>
            <w:bookmarkEnd w:id="983"/>
            <w:r w:rsidRPr="00D714FC">
              <w:t xml:space="preserve"> </w:t>
            </w:r>
          </w:p>
          <w:p w:rsidR="00DF7513" w:rsidRDefault="00EE7972" w:rsidP="00135446">
            <w:pPr>
              <w:pStyle w:val="Heading8"/>
              <w:widowControl w:val="0"/>
              <w:outlineLvl w:val="7"/>
            </w:pPr>
            <w:bookmarkStart w:id="984" w:name="_Toc456784058"/>
            <w:bookmarkStart w:id="985" w:name="_Toc436123399"/>
            <w:r>
              <w:t>The rules should also provide that</w:t>
            </w:r>
            <w:r w:rsidR="00DF7513">
              <w:t>,</w:t>
            </w:r>
            <w:r>
              <w:t xml:space="preserve"> where an </w:t>
            </w:r>
            <w:r w:rsidRPr="00EE7972">
              <w:t>infrastructure operator</w:t>
            </w:r>
            <w:r>
              <w:t xml:space="preserve"> </w:t>
            </w:r>
            <w:r w:rsidRPr="00EE7972">
              <w:t>withhold</w:t>
            </w:r>
            <w:r>
              <w:t>s</w:t>
            </w:r>
            <w:r w:rsidRPr="00EE7972">
              <w:t xml:space="preserve"> </w:t>
            </w:r>
            <w:r>
              <w:t xml:space="preserve">a </w:t>
            </w:r>
            <w:r w:rsidRPr="00EE7972">
              <w:t>distribution</w:t>
            </w:r>
            <w:r>
              <w:t xml:space="preserve"> up to the amount of any arrears owed by a customer</w:t>
            </w:r>
            <w:r w:rsidR="00D731B3">
              <w:t xml:space="preserve"> </w:t>
            </w:r>
            <w:r w:rsidR="00DF7513">
              <w:t>(where that amount would otherwise have formed part of a distribution), that amount is taken to have been made as a distribution, or part of a distribution, as appropriate.</w:t>
            </w:r>
          </w:p>
          <w:p w:rsidR="00EE7972" w:rsidRPr="00AF7032" w:rsidRDefault="00DF7513" w:rsidP="00135446">
            <w:pPr>
              <w:pStyle w:val="Heading8"/>
              <w:widowControl w:val="0"/>
              <w:outlineLvl w:val="7"/>
              <w:rPr>
                <w:sz w:val="18"/>
              </w:rPr>
            </w:pPr>
            <w:r w:rsidRPr="00AF7032">
              <w:rPr>
                <w:i/>
                <w:sz w:val="18"/>
              </w:rPr>
              <w:t>Note</w:t>
            </w:r>
            <w:r w:rsidRPr="00AF7032">
              <w:rPr>
                <w:sz w:val="18"/>
              </w:rPr>
              <w:t xml:space="preserve">: This </w:t>
            </w:r>
            <w:r w:rsidR="008E3182" w:rsidRPr="00AF7032">
              <w:rPr>
                <w:sz w:val="18"/>
              </w:rPr>
              <w:t>would have</w:t>
            </w:r>
            <w:r w:rsidRPr="00AF7032">
              <w:rPr>
                <w:sz w:val="18"/>
              </w:rPr>
              <w:t xml:space="preserve"> the effect that the assessment of whether a </w:t>
            </w:r>
            <w:r w:rsidR="00EE7972" w:rsidRPr="00AF7032">
              <w:rPr>
                <w:sz w:val="18"/>
              </w:rPr>
              <w:t>distribution would be considered a standard distribution</w:t>
            </w:r>
            <w:r w:rsidRPr="00AF7032">
              <w:rPr>
                <w:sz w:val="18"/>
              </w:rPr>
              <w:t xml:space="preserve"> is not affected by an operator withholding a distribution (or part of a distribution) for the purpose of paying off arrears owed</w:t>
            </w:r>
            <w:r w:rsidR="00EE7972" w:rsidRPr="00AF7032">
              <w:rPr>
                <w:sz w:val="18"/>
              </w:rPr>
              <w:t>.</w:t>
            </w:r>
            <w:bookmarkEnd w:id="984"/>
          </w:p>
          <w:bookmarkEnd w:id="985"/>
          <w:p w:rsidR="00DF7513" w:rsidRPr="00DF7513" w:rsidRDefault="00DF7513" w:rsidP="00135446">
            <w:pPr>
              <w:widowControl w:val="0"/>
              <w:spacing w:after="120"/>
              <w:rPr>
                <w:rFonts w:ascii="Verdana" w:hAnsi="Verdana" w:cs="Times New Roman"/>
                <w:i/>
                <w:sz w:val="18"/>
                <w:szCs w:val="20"/>
              </w:rPr>
            </w:pPr>
            <w:r w:rsidRPr="00DF7513">
              <w:rPr>
                <w:sz w:val="20"/>
              </w:rPr>
              <w:t>This rule advice is implemented in Part 7, Division 1 of the proposed Water Charge Rules.</w:t>
            </w:r>
          </w:p>
          <w:p w:rsidR="00DF7513" w:rsidRDefault="00DF7513" w:rsidP="00135446">
            <w:pPr>
              <w:pStyle w:val="Ruleadvicesubheading"/>
              <w:widowControl w:val="0"/>
            </w:pPr>
            <w:r>
              <w:t>Regulator for Part 7</w:t>
            </w:r>
          </w:p>
          <w:p w:rsidR="00DF7513" w:rsidRDefault="00DF7513" w:rsidP="00135446">
            <w:pPr>
              <w:pStyle w:val="Heading8"/>
              <w:widowControl w:val="0"/>
              <w:outlineLvl w:val="7"/>
            </w:pPr>
            <w:r>
              <w:t xml:space="preserve">Consistently with </w:t>
            </w:r>
            <w:r w:rsidRPr="00D714FC">
              <w:t>the rule advice for amending the application of Part 6 and the consequent removal of the need for accreditation, the regul</w:t>
            </w:r>
            <w:r>
              <w:t xml:space="preserve">ator for Part 7 </w:t>
            </w:r>
            <w:r w:rsidR="00871408">
              <w:t xml:space="preserve">following the transition period </w:t>
            </w:r>
            <w:r>
              <w:t>will be the ACCC</w:t>
            </w:r>
            <w:r w:rsidRPr="00D714FC">
              <w:t>.</w:t>
            </w:r>
          </w:p>
          <w:p w:rsidR="00DF7513" w:rsidRPr="00AF7032" w:rsidRDefault="00DF7513" w:rsidP="00135446">
            <w:pPr>
              <w:pStyle w:val="Heading8"/>
              <w:widowControl w:val="0"/>
              <w:outlineLvl w:val="7"/>
              <w:rPr>
                <w:i/>
                <w:sz w:val="18"/>
              </w:rPr>
            </w:pPr>
            <w:r w:rsidRPr="00AF7032">
              <w:rPr>
                <w:i/>
                <w:sz w:val="18"/>
              </w:rPr>
              <w:t>See also rule advices 5-M and 5-W.</w:t>
            </w:r>
          </w:p>
          <w:p w:rsidR="00000049" w:rsidRDefault="00570CCA" w:rsidP="00135446">
            <w:pPr>
              <w:pStyle w:val="Heading8"/>
              <w:widowControl w:val="0"/>
              <w:outlineLvl w:val="7"/>
              <w:rPr>
                <w:rFonts w:ascii="Times New Roman" w:hAnsi="Times New Roman"/>
              </w:rPr>
            </w:pPr>
            <w:bookmarkStart w:id="986" w:name="_Toc436123400"/>
            <w:bookmarkStart w:id="987" w:name="_Toc456784060"/>
            <w:r>
              <w:rPr>
                <w:rFonts w:ascii="Times New Roman" w:hAnsi="Times New Roman"/>
              </w:rPr>
              <w:t xml:space="preserve">This rule advice is implemented in Part 7 of the </w:t>
            </w:r>
            <w:r w:rsidR="00841CD3">
              <w:rPr>
                <w:rFonts w:ascii="Times New Roman" w:hAnsi="Times New Roman"/>
              </w:rPr>
              <w:t xml:space="preserve">proposed </w:t>
            </w:r>
            <w:r w:rsidR="00222D0D">
              <w:rPr>
                <w:rFonts w:ascii="Times New Roman" w:hAnsi="Times New Roman"/>
              </w:rPr>
              <w:t>W</w:t>
            </w:r>
            <w:r w:rsidR="00841CD3">
              <w:rPr>
                <w:rFonts w:ascii="Times New Roman" w:hAnsi="Times New Roman"/>
              </w:rPr>
              <w:t xml:space="preserve">ater </w:t>
            </w:r>
            <w:r w:rsidR="00222D0D">
              <w:rPr>
                <w:rFonts w:ascii="Times New Roman" w:hAnsi="Times New Roman"/>
              </w:rPr>
              <w:t>C</w:t>
            </w:r>
            <w:r w:rsidR="00841CD3">
              <w:rPr>
                <w:rFonts w:ascii="Times New Roman" w:hAnsi="Times New Roman"/>
              </w:rPr>
              <w:t xml:space="preserve">harge </w:t>
            </w:r>
            <w:r w:rsidR="00222D0D">
              <w:rPr>
                <w:rFonts w:ascii="Times New Roman" w:hAnsi="Times New Roman"/>
              </w:rPr>
              <w:t>R</w:t>
            </w:r>
            <w:r w:rsidR="00841CD3">
              <w:rPr>
                <w:rFonts w:ascii="Times New Roman" w:hAnsi="Times New Roman"/>
              </w:rPr>
              <w:t>ules</w:t>
            </w:r>
            <w:r>
              <w:rPr>
                <w:rFonts w:ascii="Times New Roman" w:hAnsi="Times New Roman"/>
              </w:rPr>
              <w:t>.</w:t>
            </w:r>
            <w:bookmarkEnd w:id="959"/>
            <w:bookmarkEnd w:id="986"/>
            <w:bookmarkEnd w:id="987"/>
          </w:p>
          <w:p w:rsidR="005861DC" w:rsidRPr="005861DC" w:rsidRDefault="005861DC" w:rsidP="00135446">
            <w:pPr>
              <w:widowControl w:val="0"/>
            </w:pPr>
          </w:p>
          <w:p w:rsidR="00ED342F" w:rsidRPr="00D714FC" w:rsidRDefault="00ED342F" w:rsidP="00135446">
            <w:pPr>
              <w:pStyle w:val="Caption"/>
              <w:keepNext w:val="0"/>
              <w:keepLines w:val="0"/>
              <w:widowControl w:val="0"/>
              <w:rPr>
                <w:rFonts w:eastAsia="Arial"/>
              </w:rPr>
            </w:pPr>
            <w:bookmarkStart w:id="988" w:name="_Toc456784061"/>
            <w:r w:rsidRPr="00D714FC">
              <w:t xml:space="preserve">Rule advice </w:t>
            </w:r>
            <w:r w:rsidR="007F659D">
              <w:rPr>
                <w:noProof/>
              </w:rPr>
              <w:t>5</w:t>
            </w:r>
            <w:r>
              <w:noBreakHyphen/>
            </w:r>
            <w:r w:rsidR="007F659D">
              <w:rPr>
                <w:noProof/>
              </w:rPr>
              <w:t>T</w:t>
            </w:r>
            <w:bookmarkEnd w:id="988"/>
          </w:p>
          <w:p w:rsidR="00B75843" w:rsidRDefault="00B75843" w:rsidP="00135446">
            <w:pPr>
              <w:pStyle w:val="Heading8"/>
              <w:widowControl w:val="0"/>
              <w:outlineLvl w:val="7"/>
            </w:pPr>
            <w:bookmarkStart w:id="989" w:name="_Toc433975368"/>
            <w:bookmarkStart w:id="990" w:name="_Toc436123402"/>
            <w:bookmarkStart w:id="991" w:name="_Toc456784062"/>
            <w:bookmarkStart w:id="992" w:name="_Toc432937601"/>
            <w:bookmarkStart w:id="993" w:name="Rule_Advice_5T"/>
            <w:r>
              <w:t xml:space="preserve">The rules should require that an infrastructure operator </w:t>
            </w:r>
            <w:r w:rsidR="00A31C28">
              <w:t>must notify</w:t>
            </w:r>
            <w:r>
              <w:t xml:space="preserve"> the ACCC as soon as practicable if:</w:t>
            </w:r>
          </w:p>
          <w:p w:rsidR="00B75843" w:rsidRDefault="00B75843" w:rsidP="00020517">
            <w:pPr>
              <w:pStyle w:val="Ruleadvicebullet"/>
            </w:pPr>
            <w:r>
              <w:t>it becomes aware that it is a Part 7 operator; or</w:t>
            </w:r>
          </w:p>
          <w:p w:rsidR="00B75843" w:rsidRDefault="00A31C28" w:rsidP="00020517">
            <w:pPr>
              <w:pStyle w:val="Ruleadvicebullet"/>
            </w:pPr>
            <w:r>
              <w:t xml:space="preserve">it </w:t>
            </w:r>
            <w:r w:rsidR="00B75843">
              <w:t>becomes aware of a distribution it will make that may result in the operator becoming a Part 7 operator.</w:t>
            </w:r>
          </w:p>
          <w:p w:rsidR="00000049" w:rsidRDefault="00000049" w:rsidP="00135446">
            <w:pPr>
              <w:pStyle w:val="Heading8"/>
              <w:widowControl w:val="0"/>
              <w:outlineLvl w:val="7"/>
            </w:pPr>
            <w:r w:rsidRPr="00D714FC">
              <w:t xml:space="preserve">The </w:t>
            </w:r>
            <w:r w:rsidR="00570CCA">
              <w:t xml:space="preserve">rules </w:t>
            </w:r>
            <w:r w:rsidRPr="00D714FC">
              <w:t xml:space="preserve">should be amended to </w:t>
            </w:r>
            <w:r w:rsidR="000D4EFE">
              <w:t>allow for the ACCC</w:t>
            </w:r>
            <w:r w:rsidRPr="00D714FC">
              <w:t xml:space="preserve"> to </w:t>
            </w:r>
            <w:r w:rsidR="00ED2203">
              <w:t>grant</w:t>
            </w:r>
            <w:r w:rsidR="00ED2203" w:rsidRPr="00D714FC">
              <w:t xml:space="preserve"> </w:t>
            </w:r>
            <w:r w:rsidRPr="00D714FC">
              <w:t xml:space="preserve">an exemption to the </w:t>
            </w:r>
            <w:r w:rsidR="0012472D">
              <w:t xml:space="preserve">requirement </w:t>
            </w:r>
            <w:r w:rsidR="00A31C28">
              <w:t xml:space="preserve">for </w:t>
            </w:r>
            <w:r w:rsidR="0012472D">
              <w:t>a</w:t>
            </w:r>
            <w:r w:rsidRPr="00D714FC">
              <w:t xml:space="preserve"> Part 7 operator</w:t>
            </w:r>
            <w:r w:rsidR="0012472D">
              <w:t xml:space="preserve"> to have its </w:t>
            </w:r>
            <w:r w:rsidR="00931B85">
              <w:t>infrastructure</w:t>
            </w:r>
            <w:r w:rsidRPr="00D714FC">
              <w:t xml:space="preserve"> charges</w:t>
            </w:r>
            <w:r w:rsidR="0012472D">
              <w:t xml:space="preserve"> approved or determined</w:t>
            </w:r>
            <w:r w:rsidR="00ED2203">
              <w:t>.</w:t>
            </w:r>
            <w:bookmarkEnd w:id="989"/>
            <w:bookmarkEnd w:id="990"/>
            <w:bookmarkEnd w:id="991"/>
          </w:p>
          <w:p w:rsidR="00FB5550" w:rsidRPr="00FB5550" w:rsidRDefault="00FB5550" w:rsidP="00135446">
            <w:pPr>
              <w:pStyle w:val="Heading8"/>
              <w:widowControl w:val="0"/>
              <w:outlineLvl w:val="7"/>
            </w:pPr>
            <w:r>
              <w:t>The rule</w:t>
            </w:r>
            <w:r w:rsidR="00A31C28">
              <w:t>s</w:t>
            </w:r>
            <w:r>
              <w:t xml:space="preserve"> should allow the ACCC to make the exemption in relation to a specific distribution or a distribution to be made in the future that meets particular conditions specified by the ACCC.</w:t>
            </w:r>
          </w:p>
          <w:p w:rsidR="00000049" w:rsidRPr="00D714FC" w:rsidRDefault="00000049" w:rsidP="00135446">
            <w:pPr>
              <w:pStyle w:val="Heading8"/>
              <w:widowControl w:val="0"/>
              <w:outlineLvl w:val="7"/>
            </w:pPr>
            <w:bookmarkStart w:id="994" w:name="_Toc433975369"/>
            <w:bookmarkStart w:id="995" w:name="_Toc436123403"/>
            <w:bookmarkStart w:id="996" w:name="_Toc456784063"/>
            <w:r w:rsidRPr="00D714FC">
              <w:t xml:space="preserve">The </w:t>
            </w:r>
            <w:r w:rsidR="000D4EFE">
              <w:t>ACCC</w:t>
            </w:r>
            <w:r w:rsidR="000D4EFE" w:rsidRPr="00D714FC">
              <w:t xml:space="preserve"> </w:t>
            </w:r>
            <w:r w:rsidRPr="00D714FC">
              <w:t xml:space="preserve">should only </w:t>
            </w:r>
            <w:r w:rsidR="0012472D">
              <w:t xml:space="preserve">give such an exemption </w:t>
            </w:r>
            <w:r w:rsidRPr="00D714FC">
              <w:t>if it is satisfied that providing the exemption is unlikely to have a negative impact on the achievement of the Basin Water Charging Objectives and Principles</w:t>
            </w:r>
            <w:r w:rsidR="0012472D">
              <w:t>, taking into account</w:t>
            </w:r>
            <w:r w:rsidRPr="00D714FC">
              <w:t>:</w:t>
            </w:r>
            <w:bookmarkEnd w:id="992"/>
            <w:bookmarkEnd w:id="994"/>
            <w:bookmarkEnd w:id="995"/>
            <w:bookmarkEnd w:id="996"/>
          </w:p>
          <w:p w:rsidR="00000049" w:rsidRPr="00D714FC" w:rsidRDefault="00000049" w:rsidP="00020517">
            <w:pPr>
              <w:pStyle w:val="Ruleadvicebullet"/>
            </w:pPr>
            <w:bookmarkStart w:id="997" w:name="_Toc432937602"/>
            <w:bookmarkStart w:id="998" w:name="_Toc433975370"/>
            <w:bookmarkStart w:id="999" w:name="_Toc436123404"/>
            <w:bookmarkStart w:id="1000" w:name="_Toc456784064"/>
            <w:r w:rsidRPr="00D714FC">
              <w:t xml:space="preserve">the </w:t>
            </w:r>
            <w:bookmarkEnd w:id="997"/>
            <w:r w:rsidRPr="00D714FC">
              <w:t>nature of the operator’s infrastructure services;</w:t>
            </w:r>
            <w:bookmarkEnd w:id="998"/>
            <w:bookmarkEnd w:id="999"/>
            <w:bookmarkEnd w:id="1000"/>
          </w:p>
          <w:p w:rsidR="00000049" w:rsidRPr="00D714FC" w:rsidRDefault="00000049" w:rsidP="00020517">
            <w:pPr>
              <w:pStyle w:val="Ruleadvicebullet"/>
            </w:pPr>
            <w:bookmarkStart w:id="1001" w:name="_Toc432937603"/>
            <w:bookmarkStart w:id="1002" w:name="_Toc433975371"/>
            <w:bookmarkStart w:id="1003" w:name="_Toc436123405"/>
            <w:bookmarkStart w:id="1004" w:name="_Toc456784065"/>
            <w:r w:rsidRPr="00D714FC">
              <w:t>the nature of the distribution made by the operator to its customers</w:t>
            </w:r>
            <w:bookmarkEnd w:id="1001"/>
            <w:r w:rsidRPr="00D714FC">
              <w:t>;</w:t>
            </w:r>
            <w:bookmarkEnd w:id="1002"/>
            <w:bookmarkEnd w:id="1003"/>
            <w:bookmarkEnd w:id="1004"/>
            <w:r w:rsidRPr="00D714FC">
              <w:t xml:space="preserve"> </w:t>
            </w:r>
          </w:p>
          <w:p w:rsidR="00000049" w:rsidRPr="00D714FC" w:rsidRDefault="00000049" w:rsidP="00020517">
            <w:pPr>
              <w:pStyle w:val="Ruleadvicebullet"/>
            </w:pPr>
            <w:bookmarkStart w:id="1005" w:name="_Toc432937604"/>
            <w:bookmarkStart w:id="1006" w:name="_Toc433975372"/>
            <w:bookmarkStart w:id="1007" w:name="_Toc436123406"/>
            <w:bookmarkStart w:id="1008" w:name="_Toc456784066"/>
            <w:r w:rsidRPr="00D714FC">
              <w:t>the preferences of the operator</w:t>
            </w:r>
            <w:r w:rsidR="001A133F">
              <w:t>’</w:t>
            </w:r>
            <w:r w:rsidRPr="00D714FC">
              <w:t>s customers</w:t>
            </w:r>
            <w:bookmarkEnd w:id="1005"/>
            <w:r w:rsidRPr="00D714FC">
              <w:t>; and</w:t>
            </w:r>
            <w:bookmarkEnd w:id="1006"/>
            <w:bookmarkEnd w:id="1007"/>
            <w:bookmarkEnd w:id="1008"/>
          </w:p>
          <w:p w:rsidR="00000049" w:rsidRPr="00D714FC" w:rsidRDefault="00000049" w:rsidP="00020517">
            <w:pPr>
              <w:pStyle w:val="Ruleadvicebullet"/>
            </w:pPr>
            <w:bookmarkStart w:id="1009" w:name="_Toc433975373"/>
            <w:bookmarkStart w:id="1010" w:name="_Toc436123407"/>
            <w:bookmarkStart w:id="1011" w:name="_Toc456784067"/>
            <w:bookmarkStart w:id="1012" w:name="_Toc432937605"/>
            <w:r w:rsidRPr="00D714FC">
              <w:t>any action taken by the operator in response to the ACCC’s concerns</w:t>
            </w:r>
            <w:bookmarkEnd w:id="1009"/>
            <w:r w:rsidR="00D731B3">
              <w:t xml:space="preserve"> about distributions that the operator has made or intends to make</w:t>
            </w:r>
            <w:r w:rsidRPr="00D714FC">
              <w:t>; and</w:t>
            </w:r>
            <w:bookmarkEnd w:id="1010"/>
            <w:bookmarkEnd w:id="1011"/>
            <w:r w:rsidRPr="00D714FC">
              <w:t xml:space="preserve"> </w:t>
            </w:r>
          </w:p>
          <w:p w:rsidR="00000049" w:rsidRPr="00D714FC" w:rsidRDefault="00090852" w:rsidP="00020517">
            <w:pPr>
              <w:pStyle w:val="Ruleadvicebullet"/>
            </w:pPr>
            <w:bookmarkStart w:id="1013" w:name="_Toc433975374"/>
            <w:bookmarkStart w:id="1014" w:name="_Toc436123408"/>
            <w:bookmarkStart w:id="1015" w:name="_Toc456784068"/>
            <w:bookmarkEnd w:id="1012"/>
            <w:r>
              <w:t>any terms, conditions, or obligations associated with the distribution</w:t>
            </w:r>
            <w:r w:rsidR="00000049" w:rsidRPr="00D714FC">
              <w:t>.</w:t>
            </w:r>
            <w:bookmarkEnd w:id="1013"/>
            <w:bookmarkEnd w:id="1014"/>
            <w:bookmarkEnd w:id="1015"/>
          </w:p>
          <w:p w:rsidR="000C7E45" w:rsidRPr="000C7E45" w:rsidRDefault="0012472D" w:rsidP="00135446">
            <w:pPr>
              <w:pStyle w:val="Heading8"/>
              <w:widowControl w:val="0"/>
              <w:outlineLvl w:val="7"/>
            </w:pPr>
            <w:bookmarkStart w:id="1016" w:name="_Toc436123409"/>
            <w:bookmarkStart w:id="1017" w:name="_Toc456784069"/>
            <w:bookmarkStart w:id="1018" w:name="_Toc433975375"/>
            <w:bookmarkStart w:id="1019" w:name="_Toc432937606"/>
            <w:r w:rsidRPr="00D714FC">
              <w:t xml:space="preserve">In making this decision </w:t>
            </w:r>
            <w:r>
              <w:t xml:space="preserve">the rules should allow </w:t>
            </w:r>
            <w:r w:rsidRPr="00D714FC">
              <w:t xml:space="preserve">the ACCC </w:t>
            </w:r>
            <w:r>
              <w:t>to undertake public consultation or request further information from the operator</w:t>
            </w:r>
            <w:r w:rsidR="00AB681B">
              <w:t>.</w:t>
            </w:r>
            <w:bookmarkEnd w:id="1016"/>
            <w:bookmarkEnd w:id="1017"/>
            <w:r w:rsidRPr="00D714FC" w:rsidDel="00846F2E">
              <w:t xml:space="preserve"> </w:t>
            </w:r>
            <w:bookmarkEnd w:id="1018"/>
            <w:bookmarkEnd w:id="1019"/>
          </w:p>
          <w:p w:rsidR="008F5084" w:rsidRPr="00AF7032" w:rsidRDefault="008F5084" w:rsidP="00135446">
            <w:pPr>
              <w:pStyle w:val="Ruleadvicesubheading"/>
              <w:widowControl w:val="0"/>
            </w:pPr>
            <w:bookmarkStart w:id="1020" w:name="_Toc436123410"/>
            <w:bookmarkStart w:id="1021" w:name="_Toc456784070"/>
            <w:bookmarkStart w:id="1022" w:name="_Toc432937598"/>
            <w:bookmarkStart w:id="1023" w:name="_Ref433385853"/>
            <w:r w:rsidRPr="00AF7032">
              <w:t>Approvals or determinations under Part 7</w:t>
            </w:r>
          </w:p>
          <w:bookmarkEnd w:id="1020"/>
          <w:bookmarkEnd w:id="1021"/>
          <w:p w:rsidR="00090852" w:rsidRDefault="008F5084" w:rsidP="00135446">
            <w:pPr>
              <w:pStyle w:val="Heading8"/>
              <w:widowControl w:val="0"/>
              <w:outlineLvl w:val="7"/>
            </w:pPr>
            <w:r>
              <w:t>The rules should also be amended to allow the ACCC, i</w:t>
            </w:r>
            <w:r w:rsidR="00090852" w:rsidRPr="0030146A">
              <w:t xml:space="preserve">n approving or determining </w:t>
            </w:r>
            <w:r w:rsidR="00090852" w:rsidRPr="00090852">
              <w:t>infrastructure charges</w:t>
            </w:r>
            <w:r w:rsidR="00090852" w:rsidRPr="0030146A">
              <w:t xml:space="preserve"> set out in an application under </w:t>
            </w:r>
            <w:r w:rsidR="00F26B87">
              <w:t>Part 7</w:t>
            </w:r>
            <w:r w:rsidR="00090852" w:rsidRPr="0030146A">
              <w:t xml:space="preserve">, </w:t>
            </w:r>
            <w:r>
              <w:t>to also</w:t>
            </w:r>
            <w:r w:rsidR="00090852">
              <w:t>:</w:t>
            </w:r>
          </w:p>
          <w:p w:rsidR="00090852" w:rsidRDefault="0050188D" w:rsidP="00020517">
            <w:pPr>
              <w:pStyle w:val="Ruleadvicebullet"/>
            </w:pPr>
            <w:r>
              <w:t xml:space="preserve">have regard </w:t>
            </w:r>
            <w:r w:rsidR="00090852">
              <w:t>to any distributions previously made and / or proposed by the infrastructure operator.</w:t>
            </w:r>
          </w:p>
          <w:p w:rsidR="0050188D" w:rsidRDefault="0050188D" w:rsidP="00020517">
            <w:pPr>
              <w:pStyle w:val="Ruleadvicebullet"/>
            </w:pPr>
            <w:r>
              <w:t>specify terms and conditions in relation to particular charges.</w:t>
            </w:r>
          </w:p>
          <w:p w:rsidR="00AF7032" w:rsidRPr="00AF7032" w:rsidRDefault="00AF7032" w:rsidP="00135446">
            <w:pPr>
              <w:pStyle w:val="Heading8"/>
              <w:widowControl w:val="0"/>
              <w:outlineLvl w:val="7"/>
              <w:rPr>
                <w:rFonts w:ascii="Times New Roman" w:hAnsi="Times New Roman"/>
              </w:rPr>
            </w:pPr>
            <w:r w:rsidRPr="00AF7032">
              <w:rPr>
                <w:rFonts w:ascii="Times New Roman" w:hAnsi="Times New Roman"/>
              </w:rPr>
              <w:t>This rule advice is implemented in Part 7 of the proposed Water Charge Rules.</w:t>
            </w:r>
          </w:p>
          <w:bookmarkEnd w:id="993"/>
          <w:p w:rsidR="008F5084" w:rsidRDefault="008F5084" w:rsidP="00135446">
            <w:pPr>
              <w:pStyle w:val="Heading8"/>
              <w:widowControl w:val="0"/>
              <w:outlineLvl w:val="7"/>
              <w:rPr>
                <w:rFonts w:ascii="Times New Roman" w:hAnsi="Times New Roman"/>
              </w:rPr>
            </w:pPr>
          </w:p>
          <w:p w:rsidR="00ED342F" w:rsidRPr="00D714FC" w:rsidRDefault="00ED342F" w:rsidP="00135446">
            <w:pPr>
              <w:pStyle w:val="Caption"/>
              <w:keepNext w:val="0"/>
              <w:keepLines w:val="0"/>
              <w:widowControl w:val="0"/>
              <w:rPr>
                <w:rFonts w:eastAsia="Arial"/>
              </w:rPr>
            </w:pPr>
            <w:bookmarkStart w:id="1024" w:name="_Toc456784071"/>
            <w:bookmarkEnd w:id="1022"/>
            <w:bookmarkEnd w:id="1023"/>
            <w:r w:rsidRPr="00D714FC">
              <w:t xml:space="preserve">Rule advice </w:t>
            </w:r>
            <w:r w:rsidR="007F659D">
              <w:rPr>
                <w:noProof/>
              </w:rPr>
              <w:t>5</w:t>
            </w:r>
            <w:r>
              <w:noBreakHyphen/>
            </w:r>
            <w:r w:rsidR="007F659D">
              <w:rPr>
                <w:noProof/>
              </w:rPr>
              <w:t>U</w:t>
            </w:r>
            <w:bookmarkEnd w:id="1024"/>
          </w:p>
          <w:p w:rsidR="00872DC6" w:rsidRPr="00BE08C6" w:rsidRDefault="00DA5DFD" w:rsidP="00135446">
            <w:pPr>
              <w:pStyle w:val="Heading8"/>
              <w:widowControl w:val="0"/>
              <w:outlineLvl w:val="7"/>
            </w:pPr>
            <w:bookmarkStart w:id="1025" w:name="_Toc456784072"/>
            <w:bookmarkStart w:id="1026" w:name="_Toc432937599"/>
            <w:bookmarkStart w:id="1027" w:name="_Toc433975382"/>
            <w:bookmarkStart w:id="1028" w:name="_Toc436123412"/>
            <w:bookmarkStart w:id="1029" w:name="Rule_Advice_5U"/>
            <w:r>
              <w:t>T</w:t>
            </w:r>
            <w:r w:rsidR="00872DC6">
              <w:t xml:space="preserve">he water charge rules should </w:t>
            </w:r>
            <w:r w:rsidR="00E5462E">
              <w:t xml:space="preserve">be amended to </w:t>
            </w:r>
            <w:r w:rsidR="00872DC6">
              <w:t xml:space="preserve">provide that an infrastructure operator should be taken to have made a </w:t>
            </w:r>
            <w:r w:rsidR="00872DC6" w:rsidRPr="003A4AEE">
              <w:rPr>
                <w:b/>
                <w:i/>
              </w:rPr>
              <w:t>distribution</w:t>
            </w:r>
            <w:r w:rsidR="00872DC6">
              <w:t xml:space="preserve"> </w:t>
            </w:r>
            <w:r w:rsidR="00872DC6" w:rsidRPr="00BE08C6">
              <w:t>to a customer if it has:</w:t>
            </w:r>
            <w:bookmarkEnd w:id="1025"/>
          </w:p>
          <w:p w:rsidR="00872DC6" w:rsidRPr="00BE08C6" w:rsidRDefault="00872DC6" w:rsidP="00020517">
            <w:pPr>
              <w:pStyle w:val="Ruleadvicebullet"/>
            </w:pPr>
            <w:bookmarkStart w:id="1030" w:name="_Toc456784073"/>
            <w:r w:rsidRPr="00BE08C6">
              <w:t>declared a dividend for a customer; or</w:t>
            </w:r>
            <w:bookmarkEnd w:id="1030"/>
          </w:p>
          <w:p w:rsidR="00872DC6" w:rsidRPr="00BE08C6" w:rsidRDefault="00872DC6" w:rsidP="00020517">
            <w:pPr>
              <w:pStyle w:val="Ruleadvicebullet"/>
            </w:pPr>
            <w:bookmarkStart w:id="1031" w:name="_Toc456784074"/>
            <w:r w:rsidRPr="00BE08C6">
              <w:t>distributed profits, or any part of its profits, whether in the form of dividends or otherwise to a customer; or</w:t>
            </w:r>
            <w:bookmarkEnd w:id="1031"/>
            <w:r w:rsidRPr="00BE08C6">
              <w:t xml:space="preserve"> </w:t>
            </w:r>
          </w:p>
          <w:p w:rsidR="00872DC6" w:rsidRPr="00BE08C6" w:rsidRDefault="00872DC6" w:rsidP="00020517">
            <w:pPr>
              <w:pStyle w:val="Ruleadvicebullet"/>
            </w:pPr>
            <w:bookmarkStart w:id="1032" w:name="_Toc456784075"/>
            <w:r w:rsidRPr="00BE08C6">
              <w:t>distributed its reserves, or any part of its reserves to a customer; or</w:t>
            </w:r>
            <w:bookmarkEnd w:id="1032"/>
          </w:p>
          <w:p w:rsidR="00872DC6" w:rsidRPr="00BE08C6" w:rsidRDefault="00872DC6" w:rsidP="00020517">
            <w:pPr>
              <w:pStyle w:val="Ruleadvicebullet"/>
            </w:pPr>
            <w:bookmarkStart w:id="1033" w:name="_Toc456784076"/>
            <w:r w:rsidRPr="00BE08C6">
              <w:t>issued bonus shares to a customer</w:t>
            </w:r>
            <w:bookmarkEnd w:id="1033"/>
            <w:r w:rsidR="00490BED">
              <w:t>.</w:t>
            </w:r>
          </w:p>
          <w:p w:rsidR="00872DC6" w:rsidRDefault="00872DC6" w:rsidP="00135446">
            <w:pPr>
              <w:pStyle w:val="Heading8"/>
              <w:widowControl w:val="0"/>
              <w:outlineLvl w:val="7"/>
            </w:pPr>
            <w:bookmarkStart w:id="1034" w:name="_Toc456784077"/>
            <w:r>
              <w:t xml:space="preserve">However, the rules should clarify that </w:t>
            </w:r>
            <w:r w:rsidRPr="00AA7422">
              <w:t xml:space="preserve">an infrastructure operator is not taken to have made a distribution where it makes a payment to a customer </w:t>
            </w:r>
            <w:r>
              <w:t xml:space="preserve">as an incentive for the </w:t>
            </w:r>
            <w:r w:rsidRPr="00AA7422">
              <w:t xml:space="preserve">customer </w:t>
            </w:r>
            <w:r>
              <w:t>to agree to the reconfiguration or decommissioning of relevant water service infrastructure</w:t>
            </w:r>
            <w:r w:rsidRPr="00AA7422">
              <w:t>.</w:t>
            </w:r>
            <w:bookmarkEnd w:id="1034"/>
          </w:p>
          <w:p w:rsidR="00000049" w:rsidRPr="00D714FC" w:rsidRDefault="00846F2E" w:rsidP="00135446">
            <w:pPr>
              <w:pStyle w:val="Heading8"/>
              <w:widowControl w:val="0"/>
              <w:outlineLvl w:val="7"/>
            </w:pPr>
            <w:bookmarkStart w:id="1035" w:name="_Toc456784078"/>
            <w:r>
              <w:t xml:space="preserve">The rules </w:t>
            </w:r>
            <w:r w:rsidR="00000049" w:rsidRPr="00D714FC">
              <w:t>should provide that an infrastructure operator is also taken to have made a distribution where it</w:t>
            </w:r>
            <w:bookmarkEnd w:id="1026"/>
            <w:bookmarkEnd w:id="1027"/>
            <w:r w:rsidR="00000049" w:rsidRPr="00D714FC">
              <w:t xml:space="preserve"> </w:t>
            </w:r>
            <w:bookmarkStart w:id="1036" w:name="_Toc433975383"/>
            <w:r w:rsidR="00000049" w:rsidRPr="00D714FC">
              <w:t>trades</w:t>
            </w:r>
            <w:bookmarkStart w:id="1037" w:name="_Toc433975384"/>
            <w:bookmarkEnd w:id="1036"/>
            <w:r w:rsidR="00000049" w:rsidRPr="00D714FC">
              <w:t xml:space="preserve"> or</w:t>
            </w:r>
            <w:bookmarkEnd w:id="1037"/>
            <w:r w:rsidR="00000049" w:rsidRPr="00D714FC">
              <w:t xml:space="preserve"> </w:t>
            </w:r>
            <w:bookmarkStart w:id="1038" w:name="_Toc433975385"/>
            <w:r w:rsidR="00000049" w:rsidRPr="00D714FC">
              <w:t>allocates</w:t>
            </w:r>
            <w:bookmarkEnd w:id="1038"/>
            <w:r w:rsidR="00000049" w:rsidRPr="00D714FC">
              <w:t xml:space="preserve"> </w:t>
            </w:r>
            <w:bookmarkStart w:id="1039" w:name="_Toc433975386"/>
            <w:r w:rsidR="00000049" w:rsidRPr="00D714FC">
              <w:t xml:space="preserve">water </w:t>
            </w:r>
            <w:r w:rsidR="00984775">
              <w:t xml:space="preserve">to a customer </w:t>
            </w:r>
            <w:r w:rsidR="00000049" w:rsidRPr="00D714FC">
              <w:t>in the form of a ‘water allocation’ or an allocation of water to an irrigation right other than:</w:t>
            </w:r>
            <w:bookmarkEnd w:id="1028"/>
            <w:bookmarkEnd w:id="1035"/>
            <w:bookmarkEnd w:id="1039"/>
          </w:p>
          <w:p w:rsidR="00AA7422" w:rsidRDefault="00000049" w:rsidP="00020517">
            <w:pPr>
              <w:pStyle w:val="Ruleadvicebullet"/>
            </w:pPr>
            <w:bookmarkStart w:id="1040" w:name="_Toc456784079"/>
            <w:bookmarkStart w:id="1041" w:name="_Toc433975387"/>
            <w:bookmarkStart w:id="1042" w:name="_Toc436123413"/>
            <w:r w:rsidRPr="00D714FC">
              <w:t xml:space="preserve">the allocation of water from an irrigation infrastructure operator to the holder of an irrigation right </w:t>
            </w:r>
            <w:r w:rsidR="00D731B3">
              <w:t xml:space="preserve">to </w:t>
            </w:r>
            <w:r w:rsidR="004B613B">
              <w:t xml:space="preserve">fulfil </w:t>
            </w:r>
            <w:r w:rsidR="00AA7422" w:rsidRPr="00AA7422">
              <w:t>its contractual obligations in relation to irrigation rights held by its customers</w:t>
            </w:r>
            <w:bookmarkEnd w:id="1040"/>
            <w:r w:rsidR="000E710D">
              <w:t>;</w:t>
            </w:r>
          </w:p>
          <w:p w:rsidR="00000049" w:rsidRPr="00D714FC" w:rsidRDefault="00000049" w:rsidP="00020517">
            <w:pPr>
              <w:pStyle w:val="Ruleadvicebullet"/>
            </w:pPr>
            <w:bookmarkStart w:id="1043" w:name="_Toc433975388"/>
            <w:bookmarkStart w:id="1044" w:name="_Toc436123414"/>
            <w:bookmarkStart w:id="1045" w:name="_Toc456784081"/>
            <w:bookmarkEnd w:id="1041"/>
            <w:bookmarkEnd w:id="1042"/>
            <w:r w:rsidRPr="00D714FC">
              <w:t>those necessary to give effect to a trade of water access right or irrigation right by a customer</w:t>
            </w:r>
            <w:r w:rsidR="000E710D">
              <w:t>.</w:t>
            </w:r>
            <w:r w:rsidR="00AA7422">
              <w:t xml:space="preserve"> </w:t>
            </w:r>
            <w:bookmarkEnd w:id="1043"/>
            <w:bookmarkEnd w:id="1044"/>
            <w:bookmarkEnd w:id="1045"/>
          </w:p>
          <w:p w:rsidR="00000049" w:rsidRDefault="004520C3" w:rsidP="00135446">
            <w:pPr>
              <w:pStyle w:val="Heading8"/>
              <w:widowControl w:val="0"/>
              <w:outlineLvl w:val="7"/>
            </w:pPr>
            <w:bookmarkStart w:id="1046" w:name="_Toc436123415"/>
            <w:bookmarkStart w:id="1047" w:name="_Toc456784082"/>
            <w:r>
              <w:t xml:space="preserve">However, </w:t>
            </w:r>
            <w:r w:rsidR="008F5084">
              <w:t xml:space="preserve">even where the trade or allocation of water to a customer is considered a distribution, it </w:t>
            </w:r>
            <w:bookmarkStart w:id="1048" w:name="_Toc433975389"/>
            <w:r>
              <w:t>sh</w:t>
            </w:r>
            <w:r w:rsidR="001A133F">
              <w:t xml:space="preserve">ould not trigger </w:t>
            </w:r>
            <w:r w:rsidR="008F5084">
              <w:t>the potential application of Part </w:t>
            </w:r>
            <w:r w:rsidR="001A133F">
              <w:t xml:space="preserve">7 if it </w:t>
            </w:r>
            <w:r w:rsidR="008F5084">
              <w:t xml:space="preserve">also meets the definition of </w:t>
            </w:r>
            <w:r w:rsidR="001A133F">
              <w:t xml:space="preserve">a </w:t>
            </w:r>
            <w:r w:rsidR="001A133F" w:rsidRPr="00714685">
              <w:rPr>
                <w:b/>
                <w:i/>
              </w:rPr>
              <w:t>standard distribution</w:t>
            </w:r>
            <w:r w:rsidR="001A133F">
              <w:t xml:space="preserve"> as </w:t>
            </w:r>
            <w:r w:rsidR="008F5084">
              <w:t xml:space="preserve">proposed </w:t>
            </w:r>
            <w:r w:rsidR="00000049" w:rsidRPr="00D714FC">
              <w:t xml:space="preserve">in </w:t>
            </w:r>
            <w:bookmarkEnd w:id="1048"/>
            <w:r w:rsidR="006D54AC">
              <w:t>rule advice 5</w:t>
            </w:r>
            <w:r>
              <w:noBreakHyphen/>
            </w:r>
            <w:r w:rsidR="006D54AC">
              <w:t>S</w:t>
            </w:r>
            <w:r w:rsidR="00000049" w:rsidRPr="00D714FC">
              <w:t>.</w:t>
            </w:r>
            <w:bookmarkEnd w:id="1046"/>
            <w:bookmarkEnd w:id="1047"/>
          </w:p>
          <w:p w:rsidR="00570CCA" w:rsidRDefault="00570CCA" w:rsidP="00135446">
            <w:pPr>
              <w:pStyle w:val="Heading8"/>
              <w:widowControl w:val="0"/>
              <w:outlineLvl w:val="7"/>
              <w:rPr>
                <w:rFonts w:ascii="Times New Roman" w:hAnsi="Times New Roman"/>
              </w:rPr>
            </w:pPr>
            <w:bookmarkStart w:id="1049" w:name="_Toc436123416"/>
            <w:bookmarkStart w:id="1050" w:name="_Toc456784083"/>
            <w:r>
              <w:rPr>
                <w:rFonts w:ascii="Times New Roman" w:hAnsi="Times New Roman"/>
              </w:rPr>
              <w:t xml:space="preserve">This rule advice is implemented in Part 7, Division 1 of the </w:t>
            </w:r>
            <w:r w:rsidR="00841CD3">
              <w:rPr>
                <w:rFonts w:ascii="Times New Roman" w:hAnsi="Times New Roman"/>
              </w:rPr>
              <w:t xml:space="preserve">proposed </w:t>
            </w:r>
            <w:r w:rsidR="00222D0D">
              <w:rPr>
                <w:rFonts w:ascii="Times New Roman" w:hAnsi="Times New Roman"/>
              </w:rPr>
              <w:t>W</w:t>
            </w:r>
            <w:r w:rsidR="00841CD3">
              <w:rPr>
                <w:rFonts w:ascii="Times New Roman" w:hAnsi="Times New Roman"/>
              </w:rPr>
              <w:t xml:space="preserve">ater </w:t>
            </w:r>
            <w:r w:rsidR="00222D0D">
              <w:rPr>
                <w:rFonts w:ascii="Times New Roman" w:hAnsi="Times New Roman"/>
              </w:rPr>
              <w:t>C</w:t>
            </w:r>
            <w:r w:rsidR="00841CD3">
              <w:rPr>
                <w:rFonts w:ascii="Times New Roman" w:hAnsi="Times New Roman"/>
              </w:rPr>
              <w:t xml:space="preserve">harge </w:t>
            </w:r>
            <w:r w:rsidR="00222D0D">
              <w:rPr>
                <w:rFonts w:ascii="Times New Roman" w:hAnsi="Times New Roman"/>
              </w:rPr>
              <w:t>R</w:t>
            </w:r>
            <w:r w:rsidR="00841CD3">
              <w:rPr>
                <w:rFonts w:ascii="Times New Roman" w:hAnsi="Times New Roman"/>
              </w:rPr>
              <w:t>ules</w:t>
            </w:r>
            <w:r>
              <w:rPr>
                <w:rFonts w:ascii="Times New Roman" w:hAnsi="Times New Roman"/>
              </w:rPr>
              <w:t>.</w:t>
            </w:r>
            <w:bookmarkEnd w:id="1029"/>
            <w:bookmarkEnd w:id="1049"/>
            <w:bookmarkEnd w:id="1050"/>
          </w:p>
          <w:p w:rsidR="00514BE6" w:rsidRPr="00514BE6" w:rsidRDefault="00514BE6" w:rsidP="00135446">
            <w:pPr>
              <w:widowControl w:val="0"/>
            </w:pPr>
          </w:p>
          <w:p w:rsidR="00ED342F" w:rsidRPr="00D714FC" w:rsidRDefault="00ED342F" w:rsidP="00135446">
            <w:pPr>
              <w:pStyle w:val="Caption"/>
              <w:keepNext w:val="0"/>
              <w:keepLines w:val="0"/>
              <w:widowControl w:val="0"/>
              <w:rPr>
                <w:rFonts w:eastAsia="Arial"/>
              </w:rPr>
            </w:pPr>
            <w:bookmarkStart w:id="1051" w:name="_Toc456784084"/>
            <w:bookmarkStart w:id="1052" w:name="_Toc433975391"/>
            <w:r w:rsidRPr="00D714FC">
              <w:t xml:space="preserve">Rule advice </w:t>
            </w:r>
            <w:r w:rsidR="007F659D">
              <w:rPr>
                <w:noProof/>
              </w:rPr>
              <w:t>5</w:t>
            </w:r>
            <w:r>
              <w:noBreakHyphen/>
            </w:r>
            <w:r w:rsidR="007F659D">
              <w:rPr>
                <w:noProof/>
              </w:rPr>
              <w:t>V</w:t>
            </w:r>
            <w:bookmarkEnd w:id="1051"/>
          </w:p>
          <w:p w:rsidR="00337537" w:rsidRDefault="00846F2E" w:rsidP="00135446">
            <w:pPr>
              <w:pStyle w:val="Heading8"/>
              <w:widowControl w:val="0"/>
              <w:outlineLvl w:val="7"/>
            </w:pPr>
            <w:bookmarkStart w:id="1053" w:name="_Toc436123418"/>
            <w:bookmarkStart w:id="1054" w:name="_Toc456784085"/>
            <w:bookmarkStart w:id="1055" w:name="Rule_Advice_5V"/>
            <w:r>
              <w:t>The water charge rules</w:t>
            </w:r>
            <w:r w:rsidR="00000049" w:rsidRPr="00D714FC">
              <w:t xml:space="preserve"> should be amended such that an infrastructure operator ceases to be a Part 7 operator </w:t>
            </w:r>
            <w:r w:rsidR="00AB681B">
              <w:t>three years</w:t>
            </w:r>
            <w:r w:rsidR="000B7537">
              <w:t xml:space="preserve"> after</w:t>
            </w:r>
            <w:r w:rsidR="00337537">
              <w:t>:</w:t>
            </w:r>
            <w:r w:rsidR="000B7537">
              <w:t xml:space="preserve"> </w:t>
            </w:r>
          </w:p>
          <w:p w:rsidR="00337537" w:rsidRDefault="000B7537" w:rsidP="00020517">
            <w:pPr>
              <w:pStyle w:val="Ruleadvicebullet"/>
            </w:pPr>
            <w:r>
              <w:t>the</w:t>
            </w:r>
            <w:r w:rsidR="00337537">
              <w:t xml:space="preserve"> day the</w:t>
            </w:r>
            <w:r>
              <w:t xml:space="preserve"> operator last made a distribution (other than standard distribution)</w:t>
            </w:r>
            <w:r w:rsidR="00AF7032">
              <w:t>;</w:t>
            </w:r>
            <w:r w:rsidR="00337537">
              <w:t xml:space="preserve"> or</w:t>
            </w:r>
          </w:p>
          <w:p w:rsidR="00337537" w:rsidRDefault="00337537" w:rsidP="00020517">
            <w:pPr>
              <w:pStyle w:val="Ruleadvicebullet"/>
            </w:pPr>
            <w:r>
              <w:t>the start of the regulatory period for the operator</w:t>
            </w:r>
            <w:r w:rsidR="00AF7032">
              <w:t>;</w:t>
            </w:r>
          </w:p>
          <w:p w:rsidR="008F5084" w:rsidRDefault="00337537" w:rsidP="00135446">
            <w:pPr>
              <w:pStyle w:val="Heading8"/>
              <w:widowControl w:val="0"/>
              <w:outlineLvl w:val="7"/>
            </w:pPr>
            <w:r>
              <w:t xml:space="preserve">whichever occurs later. </w:t>
            </w:r>
          </w:p>
          <w:p w:rsidR="00000049" w:rsidRDefault="008F5084" w:rsidP="00135446">
            <w:pPr>
              <w:pStyle w:val="Heading8"/>
              <w:widowControl w:val="0"/>
              <w:outlineLvl w:val="7"/>
            </w:pPr>
            <w:r>
              <w:t xml:space="preserve">(The current rules state that </w:t>
            </w:r>
            <w:r w:rsidR="00337537">
              <w:t xml:space="preserve">an operator is no longer a Part 7 operator </w:t>
            </w:r>
            <w:r w:rsidR="00AB6B31">
              <w:t>five</w:t>
            </w:r>
            <w:r w:rsidR="00000049" w:rsidRPr="00D714FC">
              <w:t xml:space="preserve"> years</w:t>
            </w:r>
            <w:r w:rsidR="00337537">
              <w:t xml:space="preserve"> after it last made a distribution</w:t>
            </w:r>
            <w:r w:rsidR="00337537" w:rsidRPr="00D714FC">
              <w:t>,</w:t>
            </w:r>
            <w:r w:rsidR="00337537">
              <w:t xml:space="preserve"> or </w:t>
            </w:r>
            <w:r>
              <w:t xml:space="preserve">when </w:t>
            </w:r>
            <w:r w:rsidR="00337537">
              <w:t>it ceases to be a member-owned operator</w:t>
            </w:r>
            <w:r>
              <w:t>.</w:t>
            </w:r>
            <w:r w:rsidR="00337537">
              <w:t>)</w:t>
            </w:r>
            <w:bookmarkEnd w:id="1052"/>
            <w:bookmarkEnd w:id="1053"/>
            <w:bookmarkEnd w:id="1054"/>
          </w:p>
          <w:p w:rsidR="00570CCA" w:rsidRPr="00570CCA" w:rsidRDefault="00570CCA" w:rsidP="00135446">
            <w:pPr>
              <w:pStyle w:val="Heading8"/>
              <w:widowControl w:val="0"/>
              <w:outlineLvl w:val="7"/>
            </w:pPr>
            <w:bookmarkStart w:id="1056" w:name="_Toc436123419"/>
            <w:bookmarkStart w:id="1057" w:name="_Toc456784086"/>
            <w:r>
              <w:rPr>
                <w:rFonts w:ascii="Times New Roman" w:hAnsi="Times New Roman"/>
              </w:rPr>
              <w:t xml:space="preserve">This rule advice is implemented in </w:t>
            </w:r>
            <w:r w:rsidR="00FA4EFC">
              <w:rPr>
                <w:rFonts w:ascii="Times New Roman" w:hAnsi="Times New Roman"/>
              </w:rPr>
              <w:t xml:space="preserve">Part 7, Division 1 </w:t>
            </w:r>
            <w:r>
              <w:rPr>
                <w:rFonts w:ascii="Times New Roman" w:hAnsi="Times New Roman"/>
              </w:rPr>
              <w:t xml:space="preserve">of the </w:t>
            </w:r>
            <w:r w:rsidR="00841CD3">
              <w:rPr>
                <w:rFonts w:ascii="Times New Roman" w:hAnsi="Times New Roman"/>
              </w:rPr>
              <w:t xml:space="preserve">proposed </w:t>
            </w:r>
            <w:r w:rsidR="00222D0D">
              <w:rPr>
                <w:rFonts w:ascii="Times New Roman" w:hAnsi="Times New Roman"/>
              </w:rPr>
              <w:t>W</w:t>
            </w:r>
            <w:r w:rsidR="00841CD3">
              <w:rPr>
                <w:rFonts w:ascii="Times New Roman" w:hAnsi="Times New Roman"/>
              </w:rPr>
              <w:t xml:space="preserve">ater </w:t>
            </w:r>
            <w:r w:rsidR="00222D0D">
              <w:rPr>
                <w:rFonts w:ascii="Times New Roman" w:hAnsi="Times New Roman"/>
              </w:rPr>
              <w:t>C</w:t>
            </w:r>
            <w:r w:rsidR="00841CD3">
              <w:rPr>
                <w:rFonts w:ascii="Times New Roman" w:hAnsi="Times New Roman"/>
              </w:rPr>
              <w:t xml:space="preserve">harge </w:t>
            </w:r>
            <w:r w:rsidR="00222D0D">
              <w:rPr>
                <w:rFonts w:ascii="Times New Roman" w:hAnsi="Times New Roman"/>
              </w:rPr>
              <w:t>R</w:t>
            </w:r>
            <w:r w:rsidR="00841CD3">
              <w:rPr>
                <w:rFonts w:ascii="Times New Roman" w:hAnsi="Times New Roman"/>
              </w:rPr>
              <w:t>ules</w:t>
            </w:r>
            <w:r>
              <w:rPr>
                <w:rFonts w:ascii="Times New Roman" w:hAnsi="Times New Roman"/>
              </w:rPr>
              <w:t>.</w:t>
            </w:r>
            <w:bookmarkEnd w:id="1055"/>
            <w:bookmarkEnd w:id="1056"/>
            <w:bookmarkEnd w:id="1057"/>
          </w:p>
        </w:tc>
      </w:tr>
    </w:tbl>
    <w:p w:rsidR="00C875DA" w:rsidRPr="006246A8" w:rsidRDefault="00C875DA" w:rsidP="00020517">
      <w:pPr>
        <w:pStyle w:val="Heading3Un-numbered"/>
      </w:pPr>
      <w:bookmarkStart w:id="1058" w:name="_Toc436122307"/>
      <w:bookmarkStart w:id="1059" w:name="_Toc436122802"/>
      <w:bookmarkStart w:id="1060" w:name="_Toc436124157"/>
      <w:bookmarkEnd w:id="951"/>
      <w:bookmarkEnd w:id="952"/>
      <w:bookmarkEnd w:id="953"/>
      <w:bookmarkEnd w:id="954"/>
      <w:r>
        <w:t>Background</w:t>
      </w:r>
    </w:p>
    <w:p w:rsidR="00C875DA" w:rsidRPr="00D714FC" w:rsidRDefault="00C875DA" w:rsidP="00C875DA">
      <w:pPr>
        <w:rPr>
          <w:rFonts w:eastAsia="Arial" w:cs="Times New Roman"/>
        </w:rPr>
      </w:pPr>
      <w:r w:rsidRPr="00D714FC">
        <w:rPr>
          <w:rFonts w:eastAsia="Arial" w:cs="Times New Roman"/>
        </w:rPr>
        <w:t xml:space="preserve">Currently Part 7 of the </w:t>
      </w:r>
      <w:r w:rsidR="0001065E" w:rsidRPr="00A43BF7">
        <w:rPr>
          <w:rFonts w:cs="Times New Roman"/>
        </w:rPr>
        <w:t xml:space="preserve">Water Charge (Infrastructure) Rules 2010 </w:t>
      </w:r>
      <w:r w:rsidR="0001065E">
        <w:rPr>
          <w:rFonts w:cs="Times New Roman"/>
        </w:rPr>
        <w:t>(</w:t>
      </w:r>
      <w:r w:rsidRPr="00D714FC">
        <w:rPr>
          <w:rFonts w:eastAsia="Arial" w:cs="Times New Roman"/>
        </w:rPr>
        <w:t>WCIR</w:t>
      </w:r>
      <w:r w:rsidR="0001065E">
        <w:rPr>
          <w:rFonts w:eastAsia="Arial" w:cs="Times New Roman"/>
        </w:rPr>
        <w:t>)</w:t>
      </w:r>
      <w:r w:rsidRPr="00D714FC">
        <w:rPr>
          <w:rFonts w:eastAsia="Arial" w:cs="Times New Roman"/>
        </w:rPr>
        <w:t xml:space="preserve"> is triggered by a member-owned operator (servicing more than 10</w:t>
      </w:r>
      <w:r>
        <w:rPr>
          <w:rFonts w:eastAsia="Arial" w:cs="Times New Roman"/>
        </w:rPr>
        <w:t xml:space="preserve"> gigalitres</w:t>
      </w:r>
      <w:r w:rsidRPr="00D714FC">
        <w:rPr>
          <w:rFonts w:eastAsia="Arial" w:cs="Times New Roman"/>
        </w:rPr>
        <w:t xml:space="preserve"> </w:t>
      </w:r>
      <w:r>
        <w:rPr>
          <w:rFonts w:eastAsia="Arial" w:cs="Times New Roman"/>
        </w:rPr>
        <w:t>(</w:t>
      </w:r>
      <w:r w:rsidRPr="00D714FC">
        <w:rPr>
          <w:rFonts w:eastAsia="Arial" w:cs="Times New Roman"/>
        </w:rPr>
        <w:t>GL</w:t>
      </w:r>
      <w:r>
        <w:rPr>
          <w:rFonts w:eastAsia="Arial" w:cs="Times New Roman"/>
        </w:rPr>
        <w:t>)</w:t>
      </w:r>
      <w:r w:rsidRPr="00D714FC">
        <w:rPr>
          <w:rStyle w:val="FootnoteReference"/>
          <w:rFonts w:eastAsia="Arial" w:cs="Times New Roman"/>
          <w:sz w:val="20"/>
        </w:rPr>
        <w:footnoteReference w:id="462"/>
      </w:r>
      <w:r w:rsidRPr="00D714FC">
        <w:rPr>
          <w:rFonts w:eastAsia="Arial" w:cs="Times New Roman"/>
        </w:rPr>
        <w:t>) making a distribution to all its ‘related customers’.</w:t>
      </w:r>
      <w:r w:rsidRPr="00D714FC">
        <w:rPr>
          <w:rStyle w:val="FootnoteReference"/>
          <w:rFonts w:cs="Times New Roman"/>
        </w:rPr>
        <w:footnoteReference w:id="463"/>
      </w:r>
      <w:r w:rsidRPr="00D714FC">
        <w:rPr>
          <w:rFonts w:eastAsia="Arial" w:cs="Times New Roman"/>
        </w:rPr>
        <w:t xml:space="preserve"> When Part 7 is triggered, the operator is a “Part 7 operator”</w:t>
      </w:r>
      <w:r>
        <w:rPr>
          <w:rFonts w:eastAsia="Arial" w:cs="Times New Roman"/>
        </w:rPr>
        <w:t>,</w:t>
      </w:r>
      <w:r w:rsidRPr="00D714FC">
        <w:rPr>
          <w:rStyle w:val="FootnoteReference"/>
          <w:rFonts w:eastAsia="Arial" w:cs="Times New Roman"/>
          <w:sz w:val="20"/>
        </w:rPr>
        <w:footnoteReference w:id="464"/>
      </w:r>
      <w:r w:rsidRPr="00D714FC">
        <w:rPr>
          <w:rFonts w:eastAsia="Arial" w:cs="Times New Roman"/>
        </w:rPr>
        <w:t xml:space="preserve"> and the regulator is required to undertake a limited (in comparison to Part 6 requirements) price determination / approval role. </w:t>
      </w:r>
    </w:p>
    <w:p w:rsidR="00C875DA" w:rsidRPr="00D714FC" w:rsidRDefault="00C875DA" w:rsidP="00135446">
      <w:pPr>
        <w:spacing w:after="120"/>
        <w:rPr>
          <w:rFonts w:cs="Times New Roman"/>
        </w:rPr>
      </w:pPr>
      <w:r w:rsidRPr="00D714FC">
        <w:rPr>
          <w:rFonts w:cs="Times New Roman"/>
        </w:rPr>
        <w:t>For the purposes of the</w:t>
      </w:r>
      <w:r w:rsidR="006E1AF5">
        <w:rPr>
          <w:rFonts w:cs="Times New Roman"/>
        </w:rPr>
        <w:t xml:space="preserve"> existing</w:t>
      </w:r>
      <w:r w:rsidRPr="00D714FC">
        <w:rPr>
          <w:rFonts w:cs="Times New Roman"/>
        </w:rPr>
        <w:t xml:space="preserve"> rules, there is a distribution if an operator has: </w:t>
      </w:r>
    </w:p>
    <w:p w:rsidR="00C875DA" w:rsidRPr="00D714FC" w:rsidRDefault="00C875DA" w:rsidP="00A82DE6">
      <w:pPr>
        <w:pStyle w:val="Lvl1Bulletpoint"/>
      </w:pPr>
      <w:r w:rsidRPr="00D714FC">
        <w:t>declared a dividend for all its related customers</w:t>
      </w:r>
    </w:p>
    <w:p w:rsidR="00C875DA" w:rsidRPr="00D714FC" w:rsidRDefault="00C875DA" w:rsidP="00A82DE6">
      <w:pPr>
        <w:pStyle w:val="Lvl1Bulletpoint"/>
      </w:pPr>
      <w:r w:rsidRPr="00D714FC">
        <w:t>distributed profits, or any part of its profits, whether in the form of dividends or otherwise, to all its related customers</w:t>
      </w:r>
    </w:p>
    <w:p w:rsidR="00C875DA" w:rsidRPr="00D714FC" w:rsidRDefault="00C875DA" w:rsidP="00A82DE6">
      <w:pPr>
        <w:pStyle w:val="Lvl1Bulletpoint"/>
      </w:pPr>
      <w:r w:rsidRPr="00D714FC">
        <w:t>distributed its reserves, or any part of its reserves, to all its related customers</w:t>
      </w:r>
    </w:p>
    <w:p w:rsidR="00C875DA" w:rsidRPr="00D714FC" w:rsidRDefault="00C875DA" w:rsidP="00A82DE6">
      <w:pPr>
        <w:pStyle w:val="Lvl1Bulletpoint"/>
      </w:pPr>
      <w:r w:rsidRPr="00D714FC">
        <w:t>issued bonus shares to all its related customers.</w:t>
      </w:r>
    </w:p>
    <w:p w:rsidR="00C875DA" w:rsidRPr="00D714FC" w:rsidRDefault="00C875DA" w:rsidP="00C875DA">
      <w:pPr>
        <w:rPr>
          <w:rFonts w:cs="Times New Roman"/>
        </w:rPr>
      </w:pPr>
      <w:r w:rsidRPr="00D714FC">
        <w:rPr>
          <w:rFonts w:cs="Times New Roman"/>
        </w:rPr>
        <w:t xml:space="preserve">A Part 7 operator must have its regulated charges approved or determined by the ACCC or an accredited regulator. Specific procedural requirements are set out in Schedule 3 of the WCIR. Since the WCIR came into effect, the ACCC has not identified any infrastructure operators that have met the definition of a Part 7 operator. </w:t>
      </w:r>
    </w:p>
    <w:p w:rsidR="00C875DA" w:rsidRPr="00D714FC" w:rsidRDefault="00C875DA" w:rsidP="00C875DA">
      <w:pPr>
        <w:rPr>
          <w:rFonts w:cs="Times New Roman"/>
        </w:rPr>
      </w:pPr>
      <w:r w:rsidRPr="00D714FC">
        <w:rPr>
          <w:rFonts w:cs="Times New Roman"/>
        </w:rPr>
        <w:t>Currently, only member-owned operators can meet the definition of Part 7 operator. However, an infrastructure operator that is not member-owned may nevertheless still have</w:t>
      </w:r>
      <w:r>
        <w:rPr>
          <w:rFonts w:cs="Times New Roman"/>
        </w:rPr>
        <w:t xml:space="preserve"> a</w:t>
      </w:r>
      <w:r w:rsidRPr="00D714FC">
        <w:rPr>
          <w:rFonts w:cs="Times New Roman"/>
        </w:rPr>
        <w:t xml:space="preserve"> minority of customers that are ‘related customers’. Distributions by such an infrastructure operator to its related customers would not currently trigger the application of Part 7 of the WCIR. </w:t>
      </w:r>
    </w:p>
    <w:p w:rsidR="00C875DA" w:rsidRPr="00D714FC" w:rsidRDefault="00C875DA" w:rsidP="00C875DA">
      <w:pPr>
        <w:rPr>
          <w:rFonts w:cs="Times New Roman"/>
        </w:rPr>
      </w:pPr>
      <w:r w:rsidRPr="00D714FC">
        <w:rPr>
          <w:rFonts w:cs="Times New Roman"/>
        </w:rPr>
        <w:t xml:space="preserve">Part 7 was developed to ensure that member-owned operators would </w:t>
      </w:r>
      <w:r w:rsidRPr="009A3D99">
        <w:rPr>
          <w:rFonts w:cs="Times New Roman"/>
        </w:rPr>
        <w:t xml:space="preserve">not </w:t>
      </w:r>
      <w:r w:rsidRPr="00D714FC">
        <w:rPr>
          <w:rFonts w:cs="Times New Roman"/>
        </w:rPr>
        <w:t>be able to circumvent the non-discrimination rule 10 by increasing charges to all customers and return</w:t>
      </w:r>
      <w:r>
        <w:rPr>
          <w:rFonts w:cs="Times New Roman"/>
        </w:rPr>
        <w:t>ing</w:t>
      </w:r>
      <w:r w:rsidRPr="00D714FC">
        <w:rPr>
          <w:rFonts w:cs="Times New Roman"/>
        </w:rPr>
        <w:t xml:space="preserve"> profits to related customers through distributions. Part 7 does not </w:t>
      </w:r>
      <w:r w:rsidRPr="00D714FC">
        <w:rPr>
          <w:rFonts w:cs="Times New Roman"/>
          <w:i/>
        </w:rPr>
        <w:t xml:space="preserve">prevent </w:t>
      </w:r>
      <w:r w:rsidRPr="00D714FC">
        <w:rPr>
          <w:rFonts w:cs="Times New Roman"/>
        </w:rPr>
        <w:t>an operator from making such distributions, but rather provides a strong incentive not to because the consequence of triggering Part 7 is that the operator’s regulated charges will be approved/determined by an independent regulator for a five year period.</w:t>
      </w:r>
    </w:p>
    <w:p w:rsidR="00C875DA" w:rsidRPr="00D714FC" w:rsidRDefault="00C875DA" w:rsidP="00C875DA">
      <w:pPr>
        <w:rPr>
          <w:rFonts w:cs="Times New Roman"/>
        </w:rPr>
      </w:pPr>
      <w:r w:rsidRPr="00D714FC">
        <w:rPr>
          <w:rFonts w:cs="Times New Roman"/>
        </w:rPr>
        <w:t>Although Part 7 provides some deterrence for member-owned operators to discriminate between related customers and other customers, the current drafting is also only likely to be effective in very limited circumstances. An operator need only leave out a single related customer when making a distribution to related customers (but not other customers) to avoid triggering Part 7. This means that it is very unlikely that Part 7 would ever be triggered in practice.</w:t>
      </w:r>
    </w:p>
    <w:p w:rsidR="00C875DA" w:rsidRPr="00D714FC" w:rsidRDefault="00C875DA" w:rsidP="00C53AB4">
      <w:pPr>
        <w:rPr>
          <w:rFonts w:cs="Times New Roman"/>
        </w:rPr>
      </w:pPr>
      <w:r w:rsidRPr="00D714FC">
        <w:rPr>
          <w:rFonts w:cs="Times New Roman"/>
        </w:rPr>
        <w:t>Further,</w:t>
      </w:r>
      <w:r>
        <w:rPr>
          <w:rFonts w:cs="Times New Roman"/>
        </w:rPr>
        <w:t xml:space="preserve"> under</w:t>
      </w:r>
      <w:r w:rsidRPr="00D714FC">
        <w:rPr>
          <w:rFonts w:cs="Times New Roman"/>
        </w:rPr>
        <w:t xml:space="preserve"> the current </w:t>
      </w:r>
      <w:r w:rsidR="006E1AF5">
        <w:rPr>
          <w:rFonts w:cs="Times New Roman"/>
        </w:rPr>
        <w:t>rules non-</w:t>
      </w:r>
      <w:r w:rsidRPr="00D714FC">
        <w:rPr>
          <w:rFonts w:cs="Times New Roman"/>
        </w:rPr>
        <w:t xml:space="preserve">financial distributions are </w:t>
      </w:r>
      <w:r w:rsidR="006E1AF5">
        <w:rPr>
          <w:rFonts w:cs="Times New Roman"/>
        </w:rPr>
        <w:t xml:space="preserve">not explicitly </w:t>
      </w:r>
      <w:r w:rsidRPr="00D714FC">
        <w:rPr>
          <w:rFonts w:cs="Times New Roman"/>
        </w:rPr>
        <w:t>covered. However, unused conveyance water or “surplus water” (sometimes called “enhancements”) may also be returned to related customers</w:t>
      </w:r>
      <w:r w:rsidR="006E1AF5">
        <w:rPr>
          <w:rFonts w:cs="Times New Roman"/>
        </w:rPr>
        <w:t xml:space="preserve"> only</w:t>
      </w:r>
      <w:r w:rsidRPr="00D714FC">
        <w:rPr>
          <w:rFonts w:cs="Times New Roman"/>
        </w:rPr>
        <w:t xml:space="preserve">. Such water is easily convertible into </w:t>
      </w:r>
      <w:r>
        <w:rPr>
          <w:rFonts w:cs="Times New Roman"/>
        </w:rPr>
        <w:t>money</w:t>
      </w:r>
      <w:r w:rsidRPr="00D714FC">
        <w:rPr>
          <w:rFonts w:cs="Times New Roman"/>
        </w:rPr>
        <w:t xml:space="preserve"> through the temporary water market. ACCC staff have investigated a number of complaints relating to surplus water distributions.</w:t>
      </w:r>
    </w:p>
    <w:p w:rsidR="00C875DA" w:rsidRDefault="00C875DA" w:rsidP="00C53AB4">
      <w:pPr>
        <w:rPr>
          <w:rFonts w:cs="Times New Roman"/>
        </w:rPr>
      </w:pPr>
      <w:r w:rsidRPr="00D714FC">
        <w:rPr>
          <w:rFonts w:cs="Times New Roman"/>
        </w:rPr>
        <w:t>Finally, Part 7 does not</w:t>
      </w:r>
      <w:r>
        <w:rPr>
          <w:rFonts w:cs="Times New Roman"/>
        </w:rPr>
        <w:t xml:space="preserve"> currently</w:t>
      </w:r>
      <w:r w:rsidRPr="00D714FC">
        <w:rPr>
          <w:rFonts w:cs="Times New Roman"/>
        </w:rPr>
        <w:t xml:space="preserve"> restrict or provide a disincentive for operators to make distributions on discriminatory bases other than between related customers and other customers</w:t>
      </w:r>
      <w:r>
        <w:rPr>
          <w:rFonts w:cs="Times New Roman"/>
        </w:rPr>
        <w:t>—</w:t>
      </w:r>
      <w:r w:rsidRPr="00D714FC">
        <w:rPr>
          <w:rFonts w:cs="Times New Roman"/>
        </w:rPr>
        <w:t xml:space="preserve">for example, based on the purpose for which water has, or will be, used, or the volume of tradeable water right held or used by a customer. </w:t>
      </w:r>
    </w:p>
    <w:p w:rsidR="00C875DA" w:rsidRDefault="00C875DA" w:rsidP="00135446">
      <w:pPr>
        <w:keepNext/>
        <w:spacing w:after="120"/>
        <w:rPr>
          <w:rFonts w:cs="Times New Roman"/>
        </w:rPr>
      </w:pPr>
      <w:r>
        <w:rPr>
          <w:rFonts w:cs="Times New Roman"/>
        </w:rPr>
        <w:t>The ACCC made draft rule advice to alter the application and mechanisms of Part 7 as follows:</w:t>
      </w:r>
      <w:r>
        <w:rPr>
          <w:rStyle w:val="FootnoteReference"/>
          <w:rFonts w:cs="Times New Roman"/>
        </w:rPr>
        <w:footnoteReference w:id="465"/>
      </w:r>
      <w:r>
        <w:rPr>
          <w:rFonts w:cs="Times New Roman"/>
        </w:rPr>
        <w:t xml:space="preserve"> </w:t>
      </w:r>
    </w:p>
    <w:p w:rsidR="00C875DA" w:rsidRDefault="00C875DA" w:rsidP="00A82DE6">
      <w:pPr>
        <w:pStyle w:val="Lvl1Bulletpoint"/>
      </w:pPr>
      <w:r>
        <w:t>(Draft rule advice 5-S) Distributions made by all infrastructure operators should be covered, not only those made by member-owned infrastructure operators.</w:t>
      </w:r>
    </w:p>
    <w:p w:rsidR="00C875DA" w:rsidRDefault="00C875DA" w:rsidP="00A82DE6">
      <w:pPr>
        <w:pStyle w:val="Lvl1Bulletpoint"/>
      </w:pPr>
      <w:r>
        <w:t xml:space="preserve">(Draft rule advice 5-U) </w:t>
      </w:r>
      <w:r w:rsidR="006E1AF5">
        <w:t>D</w:t>
      </w:r>
      <w:r>
        <w:t xml:space="preserve">istributions of water should be </w:t>
      </w:r>
      <w:r w:rsidR="006E1AF5">
        <w:t xml:space="preserve">explicitly </w:t>
      </w:r>
      <w:r>
        <w:t>covered.</w:t>
      </w:r>
    </w:p>
    <w:p w:rsidR="00C875DA" w:rsidRDefault="00C875DA" w:rsidP="00135446">
      <w:pPr>
        <w:pStyle w:val="Lvl1Bulletpoint"/>
        <w:spacing w:after="0"/>
      </w:pPr>
      <w:r>
        <w:rPr>
          <w:rFonts w:cs="Times New Roman"/>
        </w:rPr>
        <w:t>(Draft rule advice 5-S)</w:t>
      </w:r>
      <w:r>
        <w:t xml:space="preserve"> Part 7 should allow for ‘</w:t>
      </w:r>
      <w:r w:rsidRPr="009A3D99">
        <w:t>standard distributions</w:t>
      </w:r>
      <w:r>
        <w:t xml:space="preserve">’ that </w:t>
      </w:r>
      <w:r w:rsidR="00321D5C">
        <w:t>can</w:t>
      </w:r>
      <w:r>
        <w:t>not trigger the application of Part 7, where ‘standard distributions’ are to be defined as those made:</w:t>
      </w:r>
    </w:p>
    <w:p w:rsidR="00C875DA" w:rsidRPr="00C53AB4" w:rsidRDefault="00C875DA" w:rsidP="009B6ED8">
      <w:pPr>
        <w:pStyle w:val="Lvl2Bulletpoint"/>
      </w:pPr>
      <w:r w:rsidRPr="00C53AB4">
        <w:t xml:space="preserve">on the </w:t>
      </w:r>
      <w:r w:rsidRPr="00F2563E">
        <w:t>basis</w:t>
      </w:r>
      <w:r w:rsidRPr="00C53AB4">
        <w:t xml:space="preserve"> of all the operator’s customers’ rights of access (typically represented by their water delivery right);</w:t>
      </w:r>
    </w:p>
    <w:p w:rsidR="00C875DA" w:rsidRPr="00C53AB4" w:rsidRDefault="00C875DA" w:rsidP="009B6ED8">
      <w:pPr>
        <w:pStyle w:val="Lvl2Bulletpoint"/>
      </w:pPr>
      <w:r w:rsidRPr="00C53AB4">
        <w:t>to customers that had previously contributed to a fund for the replacement of infrastructure when this money is no longer required because the replacement of the infrastructure is no longer required, in proportion to the contributions made by each customer;</w:t>
      </w:r>
    </w:p>
    <w:p w:rsidR="00C875DA" w:rsidRPr="00C53AB4" w:rsidRDefault="00C875DA" w:rsidP="009B6ED8">
      <w:pPr>
        <w:pStyle w:val="Lvl2Bulletpoint"/>
      </w:pPr>
      <w:r w:rsidRPr="00C53AB4">
        <w:t>in the form of reasonable honorariums;</w:t>
      </w:r>
    </w:p>
    <w:p w:rsidR="00C875DA" w:rsidRPr="00C53AB4" w:rsidRDefault="00C875DA" w:rsidP="009B6ED8">
      <w:pPr>
        <w:pStyle w:val="Lvl2Bulletpoint"/>
      </w:pPr>
      <w:r w:rsidRPr="00C53AB4">
        <w:t>to all customers in a specific part of the area serviced by the infrastructure operator in relation to water savings achieved by the operator in that part, in proportion to each customer’s right of access to that part; or</w:t>
      </w:r>
    </w:p>
    <w:p w:rsidR="00C875DA" w:rsidRPr="00C53AB4" w:rsidRDefault="00C875DA" w:rsidP="00135446">
      <w:pPr>
        <w:pStyle w:val="Lvl2Bulletpoint"/>
        <w:spacing w:after="0"/>
      </w:pPr>
      <w:r w:rsidRPr="00C53AB4">
        <w:t xml:space="preserve">made by an infrastructure operator to its owners but only if the infrastructure operators’ infrastructure charges are approved or determined under Part 6 or by a State Agency under the water management law of a Basin State. </w:t>
      </w:r>
    </w:p>
    <w:p w:rsidR="00C875DA" w:rsidRDefault="00C875DA" w:rsidP="00A82DE6">
      <w:pPr>
        <w:pStyle w:val="Lvl1Bulletpoint"/>
      </w:pPr>
      <w:r>
        <w:t>(Draft rule advice 5-T) The ACCC should have the discretion to exempt an operator who has made a non-standard distribution from the application of Part 7 in certain circumstances.</w:t>
      </w:r>
    </w:p>
    <w:p w:rsidR="00C875DA" w:rsidRDefault="00C875DA" w:rsidP="00A82DE6">
      <w:pPr>
        <w:pStyle w:val="Lvl1Bulletpoint"/>
      </w:pPr>
      <w:r>
        <w:t xml:space="preserve">(Draft rule advice 5-V) Part 7 </w:t>
      </w:r>
      <w:r w:rsidRPr="00F5696C">
        <w:t xml:space="preserve">should be amended such that an infrastructure operator ceases to be a Part 7 operator after three years, rather than </w:t>
      </w:r>
      <w:r w:rsidR="00AB6B31">
        <w:t>five</w:t>
      </w:r>
      <w:r w:rsidRPr="00F5696C">
        <w:t xml:space="preserve"> years, as is currently the case</w:t>
      </w:r>
      <w:r>
        <w:t>.</w:t>
      </w:r>
    </w:p>
    <w:p w:rsidR="00C875DA" w:rsidRPr="00D714FC" w:rsidRDefault="00C875DA" w:rsidP="00020517">
      <w:pPr>
        <w:pStyle w:val="Heading3Un-numbered"/>
      </w:pPr>
      <w:r w:rsidRPr="00D714FC">
        <w:t>Stakeholder feedback</w:t>
      </w:r>
    </w:p>
    <w:p w:rsidR="00C875DA" w:rsidRDefault="00C875DA" w:rsidP="00C875DA">
      <w:pPr>
        <w:rPr>
          <w:rFonts w:cs="Times New Roman"/>
        </w:rPr>
      </w:pPr>
      <w:r w:rsidRPr="00857F69">
        <w:rPr>
          <w:rFonts w:eastAsia="Arial" w:cs="Times New Roman"/>
        </w:rPr>
        <w:t xml:space="preserve">The ACCC only received three submissions to the </w:t>
      </w:r>
      <w:r w:rsidR="00AB6B31">
        <w:rPr>
          <w:rFonts w:eastAsia="Arial" w:cs="Times New Roman"/>
        </w:rPr>
        <w:t>Draft Advice</w:t>
      </w:r>
      <w:r w:rsidRPr="00857F69">
        <w:rPr>
          <w:rFonts w:eastAsia="Arial" w:cs="Times New Roman"/>
        </w:rPr>
        <w:t xml:space="preserve"> in relation to distributions. Two stakeholders argued Part 7 should not extend to an operato</w:t>
      </w:r>
      <w:r w:rsidRPr="00857F69">
        <w:rPr>
          <w:rFonts w:cs="Times New Roman"/>
        </w:rPr>
        <w:t>r</w:t>
      </w:r>
      <w:r w:rsidRPr="00857F69">
        <w:rPr>
          <w:rFonts w:eastAsia="Arial" w:cs="Times New Roman"/>
        </w:rPr>
        <w:t xml:space="preserve"> that makes a distribution to some (but not all) of its members.</w:t>
      </w:r>
      <w:r w:rsidRPr="00857F69">
        <w:rPr>
          <w:rStyle w:val="FootnoteReference"/>
          <w:rFonts w:eastAsia="Arial" w:cs="Times New Roman"/>
          <w:sz w:val="20"/>
        </w:rPr>
        <w:footnoteReference w:id="466"/>
      </w:r>
      <w:r w:rsidRPr="00857F69">
        <w:rPr>
          <w:rFonts w:eastAsia="Arial" w:cs="Times New Roman"/>
        </w:rPr>
        <w:t xml:space="preserve"> Another</w:t>
      </w:r>
      <w:r w:rsidRPr="00857F69">
        <w:rPr>
          <w:rFonts w:cs="Times New Roman"/>
        </w:rPr>
        <w:t xml:space="preserve"> submitter was of the view that if a customer “does not seek to be a member of an IIO</w:t>
      </w:r>
      <w:r w:rsidR="00B743F5">
        <w:rPr>
          <w:rFonts w:cs="Times New Roman"/>
        </w:rPr>
        <w:t xml:space="preserve"> [irrigation infrastructure operator]</w:t>
      </w:r>
      <w:r w:rsidRPr="00857F69">
        <w:rPr>
          <w:rFonts w:cs="Times New Roman"/>
        </w:rPr>
        <w:t>, they should not be eligible for member benefits”.</w:t>
      </w:r>
      <w:r w:rsidRPr="00857F69">
        <w:rPr>
          <w:rStyle w:val="FootnoteReference"/>
          <w:rFonts w:eastAsia="Arial" w:cs="Times New Roman"/>
          <w:sz w:val="20"/>
        </w:rPr>
        <w:footnoteReference w:id="467"/>
      </w:r>
      <w:r w:rsidRPr="00857F69">
        <w:rPr>
          <w:rFonts w:cs="Times New Roman"/>
        </w:rPr>
        <w:t xml:space="preserve"> </w:t>
      </w:r>
    </w:p>
    <w:p w:rsidR="00C875DA" w:rsidRDefault="00C875DA" w:rsidP="00C875DA">
      <w:r>
        <w:t>Waterfind supported the Draft Advice relating to Part 7 (</w:t>
      </w:r>
      <w:r w:rsidR="006F0423">
        <w:t>r</w:t>
      </w:r>
      <w:r>
        <w:t xml:space="preserve">ule </w:t>
      </w:r>
      <w:r w:rsidR="002451D7">
        <w:t>a</w:t>
      </w:r>
      <w:r>
        <w:t>dvices 5-S and 5-U), but sought clarification on whether ‘allocation enhancements’ would be considered standard distributions.</w:t>
      </w:r>
      <w:r w:rsidRPr="00073821">
        <w:rPr>
          <w:rStyle w:val="FootnoteReference"/>
          <w:rFonts w:cs="Times New Roman"/>
          <w:sz w:val="20"/>
          <w:szCs w:val="20"/>
        </w:rPr>
        <w:footnoteReference w:id="468"/>
      </w:r>
      <w:r>
        <w:t xml:space="preserve"> In particular, Waterfind asked whether ‘allocation enhancements’ would be allowed if they were given only to customers with a particular class of water delivery right, or whether the rules require that they must be given to all customers who hold water delivery rights.</w:t>
      </w:r>
    </w:p>
    <w:p w:rsidR="00C875DA" w:rsidRDefault="00C875DA" w:rsidP="00C875DA">
      <w:r>
        <w:t>The National Irrigators’ Council (NIC) and Western Murray Irrigation (WMI) raised a number of concerns in relation to the proposed amendments to Part 7. The NIC and WMI submitted that the ACCC provided no stakeholder feedback or “proper economic/regulatory argument” in the Draft Advice that supports the need for the proposed amendments to Part 7.</w:t>
      </w:r>
      <w:r w:rsidRPr="00073821">
        <w:rPr>
          <w:rStyle w:val="FootnoteReference"/>
          <w:rFonts w:cs="Times New Roman"/>
          <w:sz w:val="20"/>
          <w:szCs w:val="20"/>
        </w:rPr>
        <w:footnoteReference w:id="469"/>
      </w:r>
      <w:r>
        <w:t xml:space="preserve"> The NIC noted that the only submissions the ACCC cited in the Draft Advice argued “against increased regulation”.</w:t>
      </w:r>
      <w:r w:rsidRPr="00073821">
        <w:rPr>
          <w:rStyle w:val="FootnoteReference"/>
          <w:rFonts w:cs="Times New Roman"/>
          <w:sz w:val="20"/>
          <w:szCs w:val="20"/>
        </w:rPr>
        <w:footnoteReference w:id="470"/>
      </w:r>
      <w:r>
        <w:t xml:space="preserve"> WMI submitted that it rejects the proposed amendments “for not only adding regulatory complexity for no reason, but for stifling both innovation and efforts to minimise costs to customers of the services provided by IIOs”.</w:t>
      </w:r>
      <w:r w:rsidRPr="00073821">
        <w:rPr>
          <w:rStyle w:val="FootnoteReference"/>
          <w:rFonts w:cs="Times New Roman"/>
          <w:sz w:val="20"/>
          <w:szCs w:val="20"/>
        </w:rPr>
        <w:footnoteReference w:id="471"/>
      </w:r>
      <w:r>
        <w:t xml:space="preserve"> NIC agreed with these arguments and added that the ACCC’s distribution proposals (among others) would reduce pricing flexibility.</w:t>
      </w:r>
      <w:r>
        <w:rPr>
          <w:rStyle w:val="FootnoteReference"/>
        </w:rPr>
        <w:footnoteReference w:id="472"/>
      </w:r>
      <w:r>
        <w:t xml:space="preserve"> </w:t>
      </w:r>
    </w:p>
    <w:p w:rsidR="00C875DA" w:rsidRDefault="00C875DA" w:rsidP="00C875DA">
      <w:r>
        <w:t>The NIC also contended that all member-owned operators who currently make distributions will become Part 7 operators.</w:t>
      </w:r>
      <w:r>
        <w:rPr>
          <w:rStyle w:val="FootnoteReference"/>
        </w:rPr>
        <w:footnoteReference w:id="473"/>
      </w:r>
      <w:r>
        <w:t xml:space="preserve"> The NIC noted that under the existing rules an operator can, and does, avoid becoming a Part 7 operator by ensuring that “at least one member misses out on the distribution”.</w:t>
      </w:r>
      <w:r w:rsidRPr="00073821">
        <w:rPr>
          <w:rStyle w:val="FootnoteReference"/>
          <w:rFonts w:cs="Times New Roman"/>
          <w:sz w:val="20"/>
          <w:szCs w:val="20"/>
        </w:rPr>
        <w:footnoteReference w:id="474"/>
      </w:r>
      <w:r>
        <w:t xml:space="preserve"> The NIC stated that a “significant number” of operators make such distributions. The NIC noted that there is no threshold for the operator’s size or consideration of </w:t>
      </w:r>
      <w:r w:rsidR="001A49AA">
        <w:t xml:space="preserve">ownership </w:t>
      </w:r>
      <w:r>
        <w:t>arrangements in the application of Part 7. The NIC argued that the cost to each infrastructure operator of having its charges approved or determined by the ACCC under Part 7 would be similar to the amount estimated by WaterNSW in the Draft Advice ($200</w:t>
      </w:r>
      <w:r w:rsidR="005B03C0">
        <w:t xml:space="preserve"> </w:t>
      </w:r>
      <w:r>
        <w:t xml:space="preserve">000). </w:t>
      </w:r>
    </w:p>
    <w:p w:rsidR="00C875DA" w:rsidRDefault="00C875DA" w:rsidP="00C875DA">
      <w:r>
        <w:t>Similarly, WMI submitted that ‘based on WMI’s current practices, it would become a Part 7 operator (as none of the proposed exceptions would apply)’. WMI did not state what kind of distributions it currently makes that would trigger the application of the proposed new Part 7. The ACCC notes that WMI has previously stated to the ACCC that its Constitution prevents WMI from paying dividends.</w:t>
      </w:r>
      <w:r>
        <w:rPr>
          <w:rStyle w:val="FootnoteReference"/>
        </w:rPr>
        <w:footnoteReference w:id="475"/>
      </w:r>
      <w:r>
        <w:t xml:space="preserve"> Further, WMI’s 2014-15 Annual Report clearly states that “[t]he Company is a not for profit organisation and no operating surplus may be paid or transferred by way of a distribution to the members.”</w:t>
      </w:r>
      <w:r>
        <w:rPr>
          <w:rStyle w:val="FootnoteReference"/>
        </w:rPr>
        <w:footnoteReference w:id="476"/>
      </w:r>
      <w:r>
        <w:t xml:space="preserve"> The ACCC is unaware of whether WMI currently makes distributions in the form of allocating surplus water to customers, and, if so, whether such a distribution would meet the proposed definition of ‘standard distribution’. As such, the ACCC considers that it is not clear that WMI would in fact meet the definition of a Part 7 operator as described in the Draft Advice.</w:t>
      </w:r>
    </w:p>
    <w:p w:rsidR="00C875DA" w:rsidRDefault="00C875DA" w:rsidP="00C875DA">
      <w:r>
        <w:t>The NIC noted that many member-owned operators would need to “change their business models” or become Part 7 operators.</w:t>
      </w:r>
      <w:r w:rsidRPr="00073821">
        <w:rPr>
          <w:rStyle w:val="FootnoteReference"/>
          <w:rFonts w:cs="Times New Roman"/>
          <w:sz w:val="20"/>
          <w:szCs w:val="20"/>
        </w:rPr>
        <w:footnoteReference w:id="477"/>
      </w:r>
      <w:r>
        <w:t xml:space="preserve"> The NIC considered that most infrastructure operators would be unable to make a ‘standard distribution’, because they offer different types of rights of access to their customers, which can vary according to the customer’s circumstances. As such, in the NIC’s view, these operators cannot compare rights of access and it would therefore be “impossible” for such operators to make distributions in proportion with customers’ right of access.</w:t>
      </w:r>
      <w:r>
        <w:rPr>
          <w:rStyle w:val="FootnoteReference"/>
        </w:rPr>
        <w:footnoteReference w:id="478"/>
      </w:r>
      <w:r w:rsidR="00C6733C">
        <w:t xml:space="preserve"> </w:t>
      </w:r>
    </w:p>
    <w:p w:rsidR="00C875DA" w:rsidRDefault="00C875DA" w:rsidP="009B56D7">
      <w:pPr>
        <w:spacing w:after="120"/>
      </w:pPr>
      <w:r>
        <w:t>The NIC also provided examples of types of distributions or circumstances in which an infrastructure operator may or may not offer a distribution, which might be inadvertently captured by the proposed amendments to Part 7:</w:t>
      </w:r>
      <w:r w:rsidRPr="00073821">
        <w:rPr>
          <w:rStyle w:val="FootnoteReference"/>
          <w:rFonts w:cs="Times New Roman"/>
          <w:sz w:val="20"/>
          <w:szCs w:val="20"/>
        </w:rPr>
        <w:footnoteReference w:id="479"/>
      </w:r>
      <w:r>
        <w:t xml:space="preserve"> </w:t>
      </w:r>
    </w:p>
    <w:p w:rsidR="00C875DA" w:rsidRDefault="00C875DA" w:rsidP="009B56D7">
      <w:pPr>
        <w:pStyle w:val="Lvl1Bulletpoint"/>
        <w:spacing w:after="0"/>
      </w:pPr>
      <w:r>
        <w:t>Distributions of additional water allocations would not be considered standard distributions if the following customers/entities did not also receive the distribution:</w:t>
      </w:r>
    </w:p>
    <w:p w:rsidR="00C875DA" w:rsidRDefault="00C875DA" w:rsidP="009B6ED8">
      <w:pPr>
        <w:pStyle w:val="Lvl2Bulletpoint"/>
      </w:pPr>
      <w:r>
        <w:t xml:space="preserve">customers with outstanding charges </w:t>
      </w:r>
    </w:p>
    <w:p w:rsidR="00C875DA" w:rsidRDefault="00C875DA" w:rsidP="009B56D7">
      <w:pPr>
        <w:pStyle w:val="Lvl2Bulletpoint"/>
        <w:spacing w:after="0"/>
      </w:pPr>
      <w:r>
        <w:t>“sophisticated counterparties” who have individual arrangements with the operator, and those arrangements do not entitle the entity to a distribution</w:t>
      </w:r>
    </w:p>
    <w:p w:rsidR="00C875DA" w:rsidRDefault="00C875DA" w:rsidP="00A82DE6">
      <w:pPr>
        <w:pStyle w:val="Lvl1Bulletpoint"/>
      </w:pPr>
      <w:r>
        <w:t>Distributions from an operator’s reserves and part of its reserves. Such a distribution may be provided to a customer as an incentive to close a section of a channel.</w:t>
      </w:r>
    </w:p>
    <w:p w:rsidR="00C875DA" w:rsidRDefault="00C875DA" w:rsidP="00A82DE6">
      <w:pPr>
        <w:pStyle w:val="Lvl1Bulletpoint"/>
      </w:pPr>
      <w:r>
        <w:t xml:space="preserve">Various distributions of supplementary water or off-allocation supply. These distributions sometimes “reflect long-standing and binding agreements” but are not made in accordance with the operator’s water access entitlement </w:t>
      </w:r>
      <w:r w:rsidR="0012425C">
        <w:t xml:space="preserve">(WAE) </w:t>
      </w:r>
      <w:r>
        <w:t xml:space="preserve">and therefore the exemption in proposed subrule 45(3)(e)(i) does not apply. </w:t>
      </w:r>
    </w:p>
    <w:p w:rsidR="00C875DA" w:rsidRDefault="00C875DA" w:rsidP="00C875DA">
      <w:r>
        <w:t>In relation to the exemption in the proposed subrule 45(3)(e)(i), which refers to “a water access entitlement held by the operator on behalf of the holder of an irrigation right”, the NIC submitted that the drafting does not reflect practical realities of member-owned operators’ arrangements, and as such will not achieve the policy intent of this provision. The NIC contended that “no member-owned operator holds its water access entitlement ‘on behalf of the holder’” and that “water access entitlements are not, and never have been, held in trust”.</w:t>
      </w:r>
      <w:r w:rsidRPr="00073821">
        <w:rPr>
          <w:rStyle w:val="FootnoteReference"/>
          <w:rFonts w:cs="Times New Roman"/>
          <w:sz w:val="20"/>
          <w:szCs w:val="20"/>
        </w:rPr>
        <w:footnoteReference w:id="480"/>
      </w:r>
      <w:r w:rsidR="00C6733C">
        <w:rPr>
          <w:rFonts w:cs="Times New Roman"/>
          <w:sz w:val="20"/>
          <w:szCs w:val="20"/>
        </w:rPr>
        <w:t xml:space="preserve"> </w:t>
      </w:r>
      <w:r>
        <w:t>The NIC argued that there is no requirement for operators to hold a water access entitlement and that “operators do not always promise that their irrigation rights will reflect the allocation of any particular water access entitlement”;</w:t>
      </w:r>
      <w:r>
        <w:rPr>
          <w:rStyle w:val="FootnoteReference"/>
        </w:rPr>
        <w:footnoteReference w:id="481"/>
      </w:r>
      <w:r>
        <w:t xml:space="preserve"> operators can manage their entitlement and allocation as they see fit, as long as they meet their contractual obligation to credit customers with their entitled volume of water allocation. The NIC stated that the drafting does not reflect this situation and therefore the exemption “will be of no assistance” to member-owned operators.</w:t>
      </w:r>
      <w:r w:rsidRPr="00073821">
        <w:rPr>
          <w:rStyle w:val="FootnoteReference"/>
          <w:rFonts w:cs="Times New Roman"/>
          <w:sz w:val="20"/>
          <w:szCs w:val="20"/>
        </w:rPr>
        <w:footnoteReference w:id="482"/>
      </w:r>
    </w:p>
    <w:p w:rsidR="00FD18D0" w:rsidRDefault="00FD18D0" w:rsidP="00C875DA">
      <w:r>
        <w:t xml:space="preserve">One stakeholder </w:t>
      </w:r>
      <w:r w:rsidR="00761251">
        <w:t>argued</w:t>
      </w:r>
      <w:r>
        <w:t xml:space="preserve"> that infrastructure operators should be able to give </w:t>
      </w:r>
      <w:r w:rsidR="004B57E9">
        <w:t xml:space="preserve">distributions to members but not non-members without any regulatory consequences. They stated that no other membership-based organisation was required to give distributions to members and non-members equally, </w:t>
      </w:r>
      <w:r w:rsidR="00761251">
        <w:t xml:space="preserve">a </w:t>
      </w:r>
      <w:r w:rsidR="004B57E9">
        <w:t xml:space="preserve">scenario which </w:t>
      </w:r>
      <w:r w:rsidR="008F5084">
        <w:t xml:space="preserve">it argued </w:t>
      </w:r>
      <w:r w:rsidR="004B57E9">
        <w:t>the proposed Part 7 of the rules appeared to encourage.</w:t>
      </w:r>
      <w:r>
        <w:t xml:space="preserve"> </w:t>
      </w:r>
    </w:p>
    <w:p w:rsidR="00C875DA" w:rsidRDefault="00C875DA" w:rsidP="00020517">
      <w:pPr>
        <w:pStyle w:val="Heading3Un-numbered"/>
      </w:pPr>
      <w:r>
        <w:t>ACCC assessment</w:t>
      </w:r>
    </w:p>
    <w:p w:rsidR="00C875DA" w:rsidRDefault="00C875DA" w:rsidP="00C875DA">
      <w:r>
        <w:t>Part 7 was</w:t>
      </w:r>
      <w:r w:rsidR="008F5084">
        <w:t xml:space="preserve"> primarily</w:t>
      </w:r>
      <w:r>
        <w:t xml:space="preserve"> developed to ensure that member-owned operators would not be able to circumvent the rule in the WCIR relating to non-discrimination (</w:t>
      </w:r>
      <w:r w:rsidR="00A52AF4">
        <w:t>r</w:t>
      </w:r>
      <w:r>
        <w:t>ule 10) by increasing charges to all customers and returning profits to related customers through distributions. Part 7 sought to discourage this practice by requiring that the regulated charges of an infrastructure operator making such distributions be subject to approval</w:t>
      </w:r>
      <w:r w:rsidR="005B03C0">
        <w:t xml:space="preserve"> </w:t>
      </w:r>
      <w:r>
        <w:t>/</w:t>
      </w:r>
      <w:r w:rsidR="005B03C0">
        <w:t xml:space="preserve"> </w:t>
      </w:r>
      <w:r>
        <w:t xml:space="preserve">determination by an independent regulator for five years after such a distribution was made. </w:t>
      </w:r>
    </w:p>
    <w:p w:rsidR="00C875DA" w:rsidRDefault="00C875DA" w:rsidP="005B03C0">
      <w:r>
        <w:t>However, the ACCC considers the current rule in relation to distributions has been ineffective</w:t>
      </w:r>
      <w:r w:rsidRPr="001473CE">
        <w:t xml:space="preserve">. Infrastructure operators can </w:t>
      </w:r>
      <w:r w:rsidR="005B03C0">
        <w:t xml:space="preserve">easily </w:t>
      </w:r>
      <w:r w:rsidRPr="001473CE">
        <w:t xml:space="preserve">avoid </w:t>
      </w:r>
      <w:r w:rsidR="005B03C0">
        <w:t xml:space="preserve">the application of </w:t>
      </w:r>
      <w:r w:rsidR="00AB6B31">
        <w:t xml:space="preserve">the </w:t>
      </w:r>
      <w:r w:rsidRPr="001473CE">
        <w:t xml:space="preserve">Part 7 </w:t>
      </w:r>
      <w:r w:rsidR="00AB6B31">
        <w:t xml:space="preserve">provisions when making distributions to related customers </w:t>
      </w:r>
      <w:r w:rsidR="005B03C0">
        <w:t>(and not their other customers) so long as one or more related customers do not receive the distribution.</w:t>
      </w:r>
      <w:r>
        <w:t xml:space="preserve"> The ACCC considers that such practices </w:t>
      </w:r>
      <w:r w:rsidR="00FD54D9">
        <w:t xml:space="preserve">would clearly be </w:t>
      </w:r>
      <w:r>
        <w:t xml:space="preserve">inconsistent with the intent of this Part, which is to promote equitable treatment of customers and ensure that operators do not circumvent the non-discrimination requirements of Part 3 by using distributions, rather than </w:t>
      </w:r>
      <w:r w:rsidR="005B03C0">
        <w:t>differences in charges</w:t>
      </w:r>
      <w:r>
        <w:t>, to favour members or customers who hold irrigation rights over others.</w:t>
      </w:r>
      <w:r>
        <w:rPr>
          <w:rStyle w:val="FootnoteReference"/>
        </w:rPr>
        <w:footnoteReference w:id="483"/>
      </w:r>
      <w:r>
        <w:t xml:space="preserve"> </w:t>
      </w:r>
    </w:p>
    <w:p w:rsidR="00C875DA" w:rsidRDefault="00FD54D9" w:rsidP="00C875DA">
      <w:r>
        <w:t>W</w:t>
      </w:r>
      <w:r w:rsidR="00C875DA">
        <w:t>hile the ACCC continues to support the broad principles in relation to distributions outlined in the Draft Advice, it acknowledges stakeholder concerns</w:t>
      </w:r>
      <w:r w:rsidR="005B03C0">
        <w:t xml:space="preserve"> about the implementation of the proposed rules</w:t>
      </w:r>
      <w:r w:rsidR="00C875DA">
        <w:t xml:space="preserve">, </w:t>
      </w:r>
      <w:r w:rsidR="005B03C0">
        <w:t xml:space="preserve">as </w:t>
      </w:r>
      <w:r w:rsidR="00C875DA">
        <w:t>set out below.</w:t>
      </w:r>
    </w:p>
    <w:p w:rsidR="00C875DA" w:rsidRPr="00CA6046" w:rsidRDefault="00C875DA" w:rsidP="00E83E5D">
      <w:pPr>
        <w:pStyle w:val="Heading4-Un-numberedsubheading-Lvl5"/>
      </w:pPr>
      <w:r w:rsidRPr="00CA6046">
        <w:t>Application</w:t>
      </w:r>
    </w:p>
    <w:p w:rsidR="00DF56B2" w:rsidRDefault="00C875DA" w:rsidP="00C875DA">
      <w:r>
        <w:t xml:space="preserve">The Draft Advice proposed amendments to the application of Part 7 to discourage operators from providing distributions to ‘almost all’ members but not to non-members. Beyond this, the Draft Advice sought to promote equity in distributions more generally, by applying Part 7 to </w:t>
      </w:r>
      <w:r w:rsidR="00643239">
        <w:t xml:space="preserve">operators </w:t>
      </w:r>
      <w:r>
        <w:t xml:space="preserve">that did not allocate distributions proportionally among all its customers. </w:t>
      </w:r>
      <w:r w:rsidR="00DF56B2">
        <w:t>The ACCC considers the position in the Draft Advice is appropriate as those customers that contribute to the costs of running an infrastructure operator should benefit from its distributions, not only members.</w:t>
      </w:r>
    </w:p>
    <w:p w:rsidR="00C875DA" w:rsidRPr="002D0BBE" w:rsidRDefault="00C875DA" w:rsidP="00C875DA">
      <w:r>
        <w:t xml:space="preserve">This may result in individual distributions being smaller than they otherwise would be; however, the ACCC considers they will be fairly allotted. Therefore </w:t>
      </w:r>
      <w:r w:rsidR="00643239">
        <w:t>the ACCC</w:t>
      </w:r>
      <w:r>
        <w:t xml:space="preserve"> has maintained this position in its Final Advice. </w:t>
      </w:r>
    </w:p>
    <w:p w:rsidR="00C875DA" w:rsidRDefault="00C875DA" w:rsidP="00C875DA">
      <w:r>
        <w:t>The NIC expressed the view that the revised Part 7 would result in all member-owned operators who currently make distributions becoming Part 7 operators. The ACCC does not consider this likely for three reasons.</w:t>
      </w:r>
    </w:p>
    <w:p w:rsidR="00C875DA" w:rsidRDefault="00C875DA" w:rsidP="00C875DA">
      <w:r>
        <w:t>First, a key purpose of the revised Part 7 is to discourage operators from making non</w:t>
      </w:r>
      <w:r>
        <w:noBreakHyphen/>
        <w:t xml:space="preserve">standard distributions to customers. The ACCC considers that non-standard distributions have the potential to </w:t>
      </w:r>
      <w:r w:rsidR="00FD54D9">
        <w:t xml:space="preserve">unreasonably </w:t>
      </w:r>
      <w:r>
        <w:t xml:space="preserve">favour some customers at the expense of others. The ACCC expects that the proposed Part 7, if implemented, will discourage infrastructure operators from making such distributions and therefore will limit the number of operators that will be deemed as Part 7 operators. The ACCC accepts that this may incentivise some operators to make changes to how they administer distributions, but does not </w:t>
      </w:r>
      <w:r w:rsidR="002D6B1D">
        <w:t>share</w:t>
      </w:r>
      <w:r>
        <w:t xml:space="preserve"> the NIC’s </w:t>
      </w:r>
      <w:r w:rsidR="002D6B1D">
        <w:t xml:space="preserve">view </w:t>
      </w:r>
      <w:r>
        <w:t>that such a change amounts to a requirement for operators to “change their business model”.</w:t>
      </w:r>
    </w:p>
    <w:p w:rsidR="00C875DA" w:rsidRDefault="00C875DA" w:rsidP="00C875DA">
      <w:r>
        <w:t xml:space="preserve">Second, the proposed rules set out clear and </w:t>
      </w:r>
      <w:r w:rsidR="00643239">
        <w:t>‘</w:t>
      </w:r>
      <w:r>
        <w:t>straight-forward’ standard distributions, which will enable infrastructure operators to make a variety of distributions without becoming Part 7 operators.</w:t>
      </w:r>
      <w:r w:rsidR="00C6733C">
        <w:t xml:space="preserve"> </w:t>
      </w:r>
    </w:p>
    <w:p w:rsidR="0041597A" w:rsidRDefault="00C875DA" w:rsidP="009B56D7">
      <w:pPr>
        <w:spacing w:after="120"/>
      </w:pPr>
      <w:r>
        <w:t xml:space="preserve">Third, the ACCC’s proposals allow it to exempt operators </w:t>
      </w:r>
      <w:r w:rsidR="00BD01EF">
        <w:t xml:space="preserve">meeting the criteria of a Part 7 operator from the requirement to have their infrastructure charges approved or determined by the ACCC </w:t>
      </w:r>
      <w:r w:rsidR="00FD54D9">
        <w:t xml:space="preserve">if doing so is unlikely to have a negative impact on the achievement of the Basin </w:t>
      </w:r>
      <w:r w:rsidR="00643239">
        <w:t>W</w:t>
      </w:r>
      <w:r w:rsidR="00FD54D9">
        <w:t xml:space="preserve">ater </w:t>
      </w:r>
      <w:r w:rsidR="00643239">
        <w:t>C</w:t>
      </w:r>
      <w:r w:rsidR="00FD54D9">
        <w:t xml:space="preserve">harging </w:t>
      </w:r>
      <w:r w:rsidR="00643239">
        <w:t>O</w:t>
      </w:r>
      <w:r w:rsidR="00FD54D9">
        <w:t xml:space="preserve">bjectives and </w:t>
      </w:r>
      <w:r w:rsidR="00643239">
        <w:t>P</w:t>
      </w:r>
      <w:r w:rsidR="00FD54D9">
        <w:t xml:space="preserve">rinciples. In making the decision, the ACCC would have regard to certain matters including </w:t>
      </w:r>
      <w:r>
        <w:t>the magnitude and the impact of any distribution as well as the likelihood of other operators adopting that practice.</w:t>
      </w:r>
      <w:r w:rsidR="004F6BD0">
        <w:t xml:space="preserve"> </w:t>
      </w:r>
      <w:r w:rsidR="0041597A">
        <w:t xml:space="preserve">The rules should </w:t>
      </w:r>
      <w:r w:rsidR="00643239">
        <w:t xml:space="preserve">also </w:t>
      </w:r>
      <w:r w:rsidR="0041597A">
        <w:t xml:space="preserve">provide a non-exhaustive list of factors the ACCC should take into account when considering </w:t>
      </w:r>
      <w:r w:rsidR="00BD01EF">
        <w:t>an exemption</w:t>
      </w:r>
      <w:r w:rsidR="0041597A">
        <w:t>, as follows:</w:t>
      </w:r>
    </w:p>
    <w:p w:rsidR="0041597A" w:rsidRDefault="0041597A" w:rsidP="00A82DE6">
      <w:pPr>
        <w:pStyle w:val="Lvl1Bulletpoint"/>
      </w:pPr>
      <w:r>
        <w:t xml:space="preserve">the nature of the operator’s infrastructure services—this will </w:t>
      </w:r>
      <w:r w:rsidR="00966375">
        <w:t>enable the ACCC to consider more broadly the context in which the distribution was made, and the likely impacts on customers</w:t>
      </w:r>
      <w:r w:rsidR="00DF523B">
        <w:t>;</w:t>
      </w:r>
    </w:p>
    <w:p w:rsidR="0041597A" w:rsidRDefault="0041597A" w:rsidP="00A82DE6">
      <w:pPr>
        <w:pStyle w:val="Lvl1Bulletpoint"/>
      </w:pPr>
      <w:r>
        <w:t>the nature of the distribution made by the operator to its customers</w:t>
      </w:r>
      <w:r w:rsidR="00966375">
        <w:t xml:space="preserve">—this will enable consideration of whether the distribution </w:t>
      </w:r>
      <w:r w:rsidR="003013CC">
        <w:t xml:space="preserve">would have </w:t>
      </w:r>
      <w:r w:rsidR="00966375">
        <w:t xml:space="preserve">the effect </w:t>
      </w:r>
      <w:r w:rsidR="003013CC">
        <w:t>that</w:t>
      </w:r>
      <w:r w:rsidR="00966375">
        <w:t xml:space="preserve"> charges (net of the distribution) paid by customers </w:t>
      </w:r>
      <w:r w:rsidR="003013CC">
        <w:t>are</w:t>
      </w:r>
      <w:r w:rsidR="00966375">
        <w:t xml:space="preserve"> inconsistent with Part 3</w:t>
      </w:r>
      <w:r w:rsidR="00DF523B">
        <w:t>;</w:t>
      </w:r>
    </w:p>
    <w:p w:rsidR="0041597A" w:rsidRDefault="0041597A" w:rsidP="00A82DE6">
      <w:pPr>
        <w:pStyle w:val="Lvl1Bulletpoint"/>
      </w:pPr>
      <w:r>
        <w:t>the preferences of the operator’s customers (in particular those customers that did not receive the distribution)</w:t>
      </w:r>
      <w:r w:rsidR="00966375">
        <w:t>—this will enable the ACCC to better determine whether, and how, the distribution might negatively impact customers</w:t>
      </w:r>
      <w:r w:rsidR="00DF523B">
        <w:t>;</w:t>
      </w:r>
    </w:p>
    <w:p w:rsidR="0041597A" w:rsidRDefault="0041597A" w:rsidP="00A82DE6">
      <w:pPr>
        <w:pStyle w:val="Lvl1Bulletpoint"/>
      </w:pPr>
      <w:r>
        <w:t>any action taken by the operator in response to the ACCC’s concerns</w:t>
      </w:r>
      <w:r w:rsidR="00966375">
        <w:t>—this will enable consideration of, for example, whether an operator inadvertently made a non-standard distribution and whether an operator is willing to take steps to address any instance of non-compliance</w:t>
      </w:r>
      <w:r>
        <w:t xml:space="preserve">; </w:t>
      </w:r>
    </w:p>
    <w:p w:rsidR="008051DA" w:rsidRPr="00D714FC" w:rsidRDefault="008051DA" w:rsidP="009B56D7">
      <w:pPr>
        <w:pStyle w:val="Lvl1Bulletpoint"/>
        <w:ind w:left="568" w:hanging="284"/>
        <w:contextualSpacing w:val="0"/>
      </w:pPr>
      <w:r>
        <w:t>any terms, conditions, or obligations associated with distribution</w:t>
      </w:r>
      <w:r w:rsidR="00A42919">
        <w:t>s made by the operator</w:t>
      </w:r>
      <w:r w:rsidR="006718CD">
        <w:t>—</w:t>
      </w:r>
      <w:r>
        <w:t xml:space="preserve">this will enable the ACCC to take into account the reasonableness (or otherwise) of the particular circumstances associated with an operator’s non-standard distribution </w:t>
      </w:r>
      <w:r w:rsidR="00A42919">
        <w:t xml:space="preserve">as well as previous and future distributions </w:t>
      </w:r>
      <w:r>
        <w:t>when considering whether to provide an exemption in relation to the distribution or any future distribution. This is an additional criterion added since the Draft Advice</w:t>
      </w:r>
      <w:r w:rsidR="00A66243">
        <w:t>.</w:t>
      </w:r>
      <w:r w:rsidR="004F6BD0">
        <w:t xml:space="preserve"> </w:t>
      </w:r>
    </w:p>
    <w:p w:rsidR="009C1766" w:rsidRDefault="009C1766" w:rsidP="00A82DE6">
      <w:pPr>
        <w:pStyle w:val="Lvl1Bulletpoint"/>
        <w:numPr>
          <w:ilvl w:val="0"/>
          <w:numId w:val="0"/>
        </w:numPr>
      </w:pPr>
      <w:r>
        <w:t>In making this decision, the rules should allow the ACCC to undertake public consultation or request further information from the operator</w:t>
      </w:r>
      <w:r w:rsidR="00BD01EF">
        <w:t xml:space="preserve"> to inform its decision</w:t>
      </w:r>
      <w:r>
        <w:t>.</w:t>
      </w:r>
      <w:r w:rsidR="00643239" w:rsidRPr="00643239">
        <w:t xml:space="preserve"> </w:t>
      </w:r>
      <w:r w:rsidR="00643239">
        <w:t>The ACCC considers such an exemption system allows appropriate flexibility.</w:t>
      </w:r>
    </w:p>
    <w:p w:rsidR="00643239" w:rsidRDefault="00643239" w:rsidP="00643239">
      <w:r>
        <w:t>The ACCC considers this exemption process means that there is little justification for maintaining the current restriction of these provisions to member-owned operators providing infrastructure services in relation to at least 10 GL. Broadening the scope of the rules to non</w:t>
      </w:r>
      <w:r>
        <w:noBreakHyphen/>
        <w:t xml:space="preserve">standard distributions of all infrastructure operators means that customers of </w:t>
      </w:r>
      <w:r w:rsidR="00BD01EF">
        <w:t xml:space="preserve">all </w:t>
      </w:r>
      <w:r>
        <w:t xml:space="preserve">infrastructure operators would be protected from </w:t>
      </w:r>
      <w:r w:rsidR="00D74214">
        <w:t>being unfairly treated by their operator’s distribution practices</w:t>
      </w:r>
      <w:r>
        <w:t xml:space="preserve">. </w:t>
      </w:r>
    </w:p>
    <w:p w:rsidR="00643239" w:rsidRDefault="007B6208" w:rsidP="00643239">
      <w:r>
        <w:t xml:space="preserve">In relation to </w:t>
      </w:r>
      <w:r w:rsidR="00643239">
        <w:t>the appropriate length of time that a Part 7 operator should be required to have its charges approved or determined</w:t>
      </w:r>
      <w:r>
        <w:t>,</w:t>
      </w:r>
      <w:r w:rsidRPr="007B6208">
        <w:t xml:space="preserve"> </w:t>
      </w:r>
      <w:r>
        <w:t>the ACCC did not receive any feedback on the amendments proposed in the Draft Advice</w:t>
      </w:r>
      <w:r w:rsidR="00643239">
        <w:t>. Therefore the ACCC confirms that this period should be three years. The ACCC considers this will align this regulatory period with that used under Part 6 but still provide a sufficient regulatory deterrent to infrastructure operators making distributions</w:t>
      </w:r>
      <w:r w:rsidR="00BD01EF">
        <w:t xml:space="preserve"> other than standard distributions</w:t>
      </w:r>
      <w:r w:rsidR="00643239">
        <w:t xml:space="preserve">. </w:t>
      </w:r>
    </w:p>
    <w:p w:rsidR="00643239" w:rsidRDefault="00643239" w:rsidP="00643239">
      <w:r>
        <w:t>The ACCC considers that an infrastructure operator should become a Part 7 operator if it makes a distribution, other than a ‘standard distribution’ to any customer (unless exempted). Therefore, the distinction between standard distributions and other distributions is very important to the operation of the proposed Part 7. The ACCC has considered the various scenarios submitted by stakeholders and where necessary has adjusted its definition of ‘distribution’ and ‘standard distribution’ that was included in the Draft Advice. These are discussed below.</w:t>
      </w:r>
    </w:p>
    <w:p w:rsidR="00477C58" w:rsidRDefault="00477C58" w:rsidP="00E83E5D">
      <w:pPr>
        <w:pStyle w:val="Heading4-Un-numberedsubheading-Lvl5"/>
      </w:pPr>
      <w:r>
        <w:t>Distributions of water</w:t>
      </w:r>
    </w:p>
    <w:p w:rsidR="00C875DA" w:rsidRDefault="00C875DA" w:rsidP="00C875DA">
      <w:r>
        <w:t>Most stakeholders’ specific feedback on the definition of distributions related to the treatment of ‘enhancements’ or allocation of ‘surplus’ water</w:t>
      </w:r>
      <w:r w:rsidR="00E278F4">
        <w:t xml:space="preserve"> (the sale of water, for consideration, from operators to customers is considered further below)</w:t>
      </w:r>
      <w:r>
        <w:t>.</w:t>
      </w:r>
    </w:p>
    <w:p w:rsidR="00292D60" w:rsidRDefault="00C875DA" w:rsidP="009B56D7">
      <w:pPr>
        <w:spacing w:after="120"/>
      </w:pPr>
      <w:r>
        <w:t>In response to Water</w:t>
      </w:r>
      <w:r w:rsidR="00FD54D9">
        <w:t>f</w:t>
      </w:r>
      <w:r>
        <w:t>ind’s query of whether ‘enhancements’ could be given only to holders of a particular class of water delivery right, the ACCC considers that in general additional or ‘surplus’ water should be</w:t>
      </w:r>
      <w:r w:rsidR="00942CFA">
        <w:t>:</w:t>
      </w:r>
      <w:r>
        <w:t xml:space="preserve"> </w:t>
      </w:r>
    </w:p>
    <w:p w:rsidR="00942CFA" w:rsidRDefault="00942CFA" w:rsidP="009B56D7">
      <w:pPr>
        <w:pStyle w:val="Lvl1Bulletpoint"/>
        <w:spacing w:after="0"/>
        <w:ind w:left="568" w:hanging="284"/>
      </w:pPr>
      <w:r>
        <w:t xml:space="preserve">made or offered to </w:t>
      </w:r>
      <w:r w:rsidR="00C875DA">
        <w:t xml:space="preserve">all customers </w:t>
      </w:r>
      <w:r w:rsidR="00292D60">
        <w:t xml:space="preserve">of the operator </w:t>
      </w:r>
      <w:r w:rsidR="00C875DA">
        <w:t>in proportion to their</w:t>
      </w:r>
      <w:r>
        <w:t>:</w:t>
      </w:r>
      <w:r w:rsidR="00C875DA">
        <w:t xml:space="preserve"> </w:t>
      </w:r>
    </w:p>
    <w:p w:rsidR="00292D60" w:rsidRDefault="00C875DA" w:rsidP="009B6ED8">
      <w:pPr>
        <w:pStyle w:val="Lvl2Bulletpoint"/>
      </w:pPr>
      <w:r>
        <w:t>right of access</w:t>
      </w:r>
      <w:r w:rsidR="00292D60">
        <w:t xml:space="preserve"> or </w:t>
      </w:r>
    </w:p>
    <w:p w:rsidR="00942CFA" w:rsidRDefault="00942CFA" w:rsidP="009B6ED8">
      <w:pPr>
        <w:pStyle w:val="Lvl2Bulletpoint"/>
      </w:pPr>
      <w:r>
        <w:t>contribution to total revenue from all customers from infrastructure charges levie</w:t>
      </w:r>
      <w:r w:rsidR="004E59ED">
        <w:t>d</w:t>
      </w:r>
      <w:r>
        <w:t xml:space="preserve"> per unit of water delivery right held;</w:t>
      </w:r>
      <w:r w:rsidR="005667A6">
        <w:t xml:space="preserve"> or</w:t>
      </w:r>
    </w:p>
    <w:p w:rsidR="00F25121" w:rsidRDefault="0063364F" w:rsidP="009B56D7">
      <w:pPr>
        <w:pStyle w:val="Lvl1Bulletpoint"/>
        <w:spacing w:after="0"/>
        <w:ind w:left="568" w:hanging="284"/>
      </w:pPr>
      <w:r>
        <w:t>where the surplus results from water savings in a specific part of the area serviced by the operator</w:t>
      </w:r>
      <w:r w:rsidR="004E59ED">
        <w:t>—made</w:t>
      </w:r>
      <w:r w:rsidR="003A4AEE">
        <w:t xml:space="preserve"> or offered</w:t>
      </w:r>
      <w:r w:rsidR="00F25121">
        <w:t>:</w:t>
      </w:r>
    </w:p>
    <w:p w:rsidR="00F25121" w:rsidRDefault="00292D60" w:rsidP="009B6ED8">
      <w:pPr>
        <w:pStyle w:val="Lvl2Bulletpoint"/>
      </w:pPr>
      <w:r>
        <w:t>to all customers in that part</w:t>
      </w:r>
      <w:r w:rsidR="00F25121">
        <w:t>,</w:t>
      </w:r>
      <w:r>
        <w:t xml:space="preserve"> in proportion to their right of access—which may be represented through a water delivery right of a particular class</w:t>
      </w:r>
      <w:r w:rsidR="00F25121">
        <w:t>; or</w:t>
      </w:r>
    </w:p>
    <w:p w:rsidR="00292D60" w:rsidRDefault="005379AC" w:rsidP="009B6ED8">
      <w:pPr>
        <w:pStyle w:val="Lvl2Bulletpoint"/>
      </w:pPr>
      <w:r>
        <w:t>t</w:t>
      </w:r>
      <w:r w:rsidR="00F25121">
        <w:t>o all customers in that part, in proportion to each customer’s contribution to the total revenue from all customers in that part from charges levied per unit of water delivery right held</w:t>
      </w:r>
      <w:r w:rsidR="004E59ED">
        <w:t>.</w:t>
      </w:r>
      <w:r w:rsidR="00292D60">
        <w:t xml:space="preserve"> </w:t>
      </w:r>
    </w:p>
    <w:p w:rsidR="00C875DA" w:rsidRDefault="00C875DA" w:rsidP="00292D60">
      <w:r>
        <w:t>The ACCC’s advice and the proposed rule amendments reflect this position</w:t>
      </w:r>
      <w:r w:rsidR="00292D60">
        <w:t xml:space="preserve"> and make clear </w:t>
      </w:r>
      <w:r>
        <w:t>that such a distribution would be deemed a ‘standard distribution’.</w:t>
      </w:r>
    </w:p>
    <w:p w:rsidR="0091261F" w:rsidRPr="00AF4566" w:rsidRDefault="00C875DA" w:rsidP="004E384A">
      <w:r w:rsidRPr="00AF4566">
        <w:t xml:space="preserve">However, the ACCC acknowledges that in some cases, </w:t>
      </w:r>
      <w:r w:rsidR="0091261F" w:rsidRPr="00AF4566">
        <w:t>operators may have</w:t>
      </w:r>
      <w:r w:rsidR="006D54AC" w:rsidRPr="00AF4566">
        <w:t xml:space="preserve"> other</w:t>
      </w:r>
      <w:r w:rsidR="0091261F" w:rsidRPr="00AF4566">
        <w:t xml:space="preserve"> </w:t>
      </w:r>
      <w:r w:rsidRPr="00AF4566">
        <w:t>“longstanding and binding agreements”</w:t>
      </w:r>
      <w:r w:rsidRPr="00AF4566">
        <w:rPr>
          <w:rStyle w:val="FootnoteReference"/>
        </w:rPr>
        <w:footnoteReference w:id="484"/>
      </w:r>
      <w:r w:rsidRPr="00AF4566">
        <w:t xml:space="preserve"> regarding the allocation of supplementary</w:t>
      </w:r>
      <w:r w:rsidR="0091261F" w:rsidRPr="00AF4566">
        <w:t>,</w:t>
      </w:r>
      <w:r w:rsidRPr="00AF4566">
        <w:t xml:space="preserve"> off-allocation </w:t>
      </w:r>
      <w:r w:rsidR="0091261F" w:rsidRPr="00AF4566">
        <w:t xml:space="preserve">or ‘surplus’ </w:t>
      </w:r>
      <w:r w:rsidRPr="00AF4566">
        <w:t>water</w:t>
      </w:r>
      <w:r w:rsidR="0091261F" w:rsidRPr="00AF4566">
        <w:t xml:space="preserve"> to customers</w:t>
      </w:r>
      <w:r w:rsidRPr="00AF4566">
        <w:t xml:space="preserve">. </w:t>
      </w:r>
      <w:r w:rsidR="004E384A" w:rsidRPr="00AF4566">
        <w:t>T</w:t>
      </w:r>
      <w:r w:rsidRPr="00AF4566">
        <w:t>he ACCC’s view is that</w:t>
      </w:r>
      <w:r w:rsidR="0091261F" w:rsidRPr="00AF4566">
        <w:t xml:space="preserve"> where a customer has a right to receive water in those circumstances </w:t>
      </w:r>
      <w:r w:rsidRPr="00AF4566">
        <w:t xml:space="preserve">(including water which may only be actually available from time to time) </w:t>
      </w:r>
      <w:r w:rsidR="0091261F" w:rsidRPr="00AF4566">
        <w:t>this would constitute a form of irrigation right, even if it was effective</w:t>
      </w:r>
      <w:r w:rsidR="00C046A9" w:rsidRPr="00AF4566">
        <w:t>ly</w:t>
      </w:r>
      <w:r w:rsidR="0091261F" w:rsidRPr="00AF4566">
        <w:t xml:space="preserve"> still bundled with a customer’s water delivery right.</w:t>
      </w:r>
      <w:r w:rsidR="00935DDC" w:rsidRPr="00AF4566">
        <w:rPr>
          <w:rStyle w:val="FootnoteReference"/>
        </w:rPr>
        <w:footnoteReference w:id="485"/>
      </w:r>
      <w:r w:rsidR="0091261F" w:rsidRPr="00AF4566">
        <w:t xml:space="preserve"> The ACCC’s </w:t>
      </w:r>
      <w:r w:rsidR="00C046A9" w:rsidRPr="00AF4566">
        <w:t>F</w:t>
      </w:r>
      <w:r w:rsidR="0091261F" w:rsidRPr="00AF4566">
        <w:t xml:space="preserve">inal </w:t>
      </w:r>
      <w:r w:rsidR="00C046A9" w:rsidRPr="00AF4566">
        <w:t>A</w:t>
      </w:r>
      <w:r w:rsidR="0091261F" w:rsidRPr="00AF4566">
        <w:t xml:space="preserve">dvice </w:t>
      </w:r>
      <w:r w:rsidR="001E19D1">
        <w:t>clarifies</w:t>
      </w:r>
      <w:r w:rsidR="0091261F" w:rsidRPr="00AF4566">
        <w:t xml:space="preserve"> that</w:t>
      </w:r>
      <w:r w:rsidR="00935DDC" w:rsidRPr="00AF4566">
        <w:t xml:space="preserve"> an allocation of water by an </w:t>
      </w:r>
      <w:r w:rsidR="004E59ED">
        <w:t xml:space="preserve">irrigation infrastructure </w:t>
      </w:r>
      <w:r w:rsidR="00935DDC" w:rsidRPr="00AF4566">
        <w:t>operator to</w:t>
      </w:r>
      <w:r w:rsidR="00A835F0" w:rsidRPr="00AF4566">
        <w:t xml:space="preserve"> </w:t>
      </w:r>
      <w:r w:rsidR="004E59ED">
        <w:t>irrigation right holders</w:t>
      </w:r>
      <w:r w:rsidR="004E59ED" w:rsidRPr="00AF4566">
        <w:t xml:space="preserve"> </w:t>
      </w:r>
      <w:r w:rsidR="001E19D1">
        <w:t xml:space="preserve">to enable the operator </w:t>
      </w:r>
      <w:r w:rsidR="00A835F0" w:rsidRPr="00AF4566">
        <w:t>to</w:t>
      </w:r>
      <w:r w:rsidR="00935DDC" w:rsidRPr="00AF4566">
        <w:t xml:space="preserve"> fulfil its contractual obligations in relation to irrigation rights </w:t>
      </w:r>
      <w:r w:rsidR="00A835F0" w:rsidRPr="00AF4566">
        <w:t xml:space="preserve">held by its customers </w:t>
      </w:r>
      <w:r w:rsidR="00935DDC" w:rsidRPr="00AF4566">
        <w:t xml:space="preserve">would </w:t>
      </w:r>
      <w:r w:rsidR="004B613B" w:rsidRPr="00AF4566">
        <w:t xml:space="preserve">not </w:t>
      </w:r>
      <w:r w:rsidR="00935DDC" w:rsidRPr="00AF4566">
        <w:t>be considered a distribution.</w:t>
      </w:r>
    </w:p>
    <w:p w:rsidR="006D54AC" w:rsidRPr="00AF4566" w:rsidRDefault="006D54AC" w:rsidP="00E83E5D">
      <w:pPr>
        <w:pStyle w:val="Heading4-Un-numberedsubheading-Lvl5"/>
      </w:pPr>
      <w:r w:rsidRPr="00AF4566">
        <w:t>Linkages between the operator’s water access rights and customers’ irrigation rights</w:t>
      </w:r>
    </w:p>
    <w:p w:rsidR="004E384A" w:rsidRDefault="00C875DA" w:rsidP="004E384A">
      <w:r w:rsidRPr="006204AF">
        <w:t xml:space="preserve">The ACCC acknowledges NIC’s comment with regard to </w:t>
      </w:r>
      <w:r>
        <w:t>subrule</w:t>
      </w:r>
      <w:r w:rsidRPr="006204AF">
        <w:t xml:space="preserve"> 45</w:t>
      </w:r>
      <w:r w:rsidR="00984775">
        <w:t>(3)</w:t>
      </w:r>
      <w:r w:rsidRPr="006204AF">
        <w:t>(e)(i)</w:t>
      </w:r>
      <w:r w:rsidR="004E59ED">
        <w:t xml:space="preserve"> (published with the Draft Advice)</w:t>
      </w:r>
      <w:r w:rsidRPr="006204AF">
        <w:t xml:space="preserve"> that </w:t>
      </w:r>
      <w:r w:rsidR="005C776C">
        <w:t>WAE</w:t>
      </w:r>
      <w:r w:rsidRPr="001F67ED">
        <w:t xml:space="preserve">s </w:t>
      </w:r>
      <w:r w:rsidR="00935DDC">
        <w:t>may</w:t>
      </w:r>
      <w:r w:rsidRPr="001F67ED">
        <w:t xml:space="preserve"> not </w:t>
      </w:r>
      <w:r w:rsidR="004E59ED">
        <w:t xml:space="preserve">be </w:t>
      </w:r>
      <w:r w:rsidRPr="001F67ED">
        <w:t xml:space="preserve">held by the </w:t>
      </w:r>
      <w:r w:rsidR="004B070D">
        <w:t>IIO</w:t>
      </w:r>
      <w:r w:rsidRPr="001F67ED">
        <w:t xml:space="preserve"> </w:t>
      </w:r>
      <w:r>
        <w:t>‘</w:t>
      </w:r>
      <w:r w:rsidRPr="001F67ED">
        <w:t>on behalf</w:t>
      </w:r>
      <w:r>
        <w:t>’</w:t>
      </w:r>
      <w:r w:rsidRPr="001F67ED">
        <w:t xml:space="preserve"> of </w:t>
      </w:r>
      <w:r>
        <w:t xml:space="preserve">customers in a formal sense. For example, operators do not necessarily hold </w:t>
      </w:r>
      <w:r w:rsidR="005C776C">
        <w:t>WAE</w:t>
      </w:r>
      <w:r>
        <w:t>s ‘in trust’ for irrigators</w:t>
      </w:r>
      <w:r w:rsidR="00A835F0">
        <w:t xml:space="preserve"> </w:t>
      </w:r>
      <w:r>
        <w:t>/</w:t>
      </w:r>
      <w:r w:rsidR="00A835F0">
        <w:t xml:space="preserve"> </w:t>
      </w:r>
      <w:r>
        <w:t xml:space="preserve">customers, and operators may not have explicit and formal rules which link specific irrigation rights with specific </w:t>
      </w:r>
      <w:r w:rsidR="005C776C">
        <w:t>WAE</w:t>
      </w:r>
      <w:r>
        <w:t xml:space="preserve">s (or parts thereof) held by the operator. The ACCC does not propose to limit the definition of distribution to only those cases where such formal </w:t>
      </w:r>
      <w:r w:rsidR="006D54AC">
        <w:t xml:space="preserve">linkages </w:t>
      </w:r>
      <w:r>
        <w:t xml:space="preserve">exist. Moreover, the ACCC does not wish to include in the definition of distribution a situation where an operator purchases </w:t>
      </w:r>
      <w:r w:rsidR="005C776C">
        <w:t>WAE</w:t>
      </w:r>
      <w:r>
        <w:t xml:space="preserve">s or water allocation in the course of fulfilling its </w:t>
      </w:r>
      <w:r w:rsidR="00EE525D">
        <w:t>irrigation right holders’ right to receive water</w:t>
      </w:r>
      <w:r>
        <w:t>. Accordingly, the ACCC</w:t>
      </w:r>
      <w:r w:rsidR="00935DDC">
        <w:t xml:space="preserve">’s rule advice has proposed amended </w:t>
      </w:r>
      <w:r>
        <w:t xml:space="preserve">wording </w:t>
      </w:r>
      <w:r w:rsidR="00935DDC">
        <w:t>for</w:t>
      </w:r>
      <w:r>
        <w:t xml:space="preserve"> subrule 45</w:t>
      </w:r>
      <w:r w:rsidR="001E19D1">
        <w:t>(</w:t>
      </w:r>
      <w:r w:rsidR="00984775">
        <w:t>3</w:t>
      </w:r>
      <w:r w:rsidR="001E19D1">
        <w:t>)</w:t>
      </w:r>
      <w:r>
        <w:t xml:space="preserve"> to reflect this (</w:t>
      </w:r>
      <w:r w:rsidR="001E19D1">
        <w:t>s</w:t>
      </w:r>
      <w:r>
        <w:t xml:space="preserve">ee </w:t>
      </w:r>
      <w:r w:rsidR="00A52AF4">
        <w:t>r</w:t>
      </w:r>
      <w:r>
        <w:t xml:space="preserve">ule </w:t>
      </w:r>
      <w:r w:rsidR="00A52AF4">
        <w:t>a</w:t>
      </w:r>
      <w:r>
        <w:t>dvice 5-</w:t>
      </w:r>
      <w:r w:rsidR="003A4AEE">
        <w:t>U</w:t>
      </w:r>
      <w:r>
        <w:t>).</w:t>
      </w:r>
      <w:r w:rsidR="004E384A" w:rsidRPr="004E384A">
        <w:t xml:space="preserve"> </w:t>
      </w:r>
    </w:p>
    <w:p w:rsidR="004E384A" w:rsidRDefault="004E384A" w:rsidP="004E384A">
      <w:r>
        <w:t xml:space="preserve">The ACCC </w:t>
      </w:r>
      <w:r w:rsidR="00477C58">
        <w:t xml:space="preserve">also </w:t>
      </w:r>
      <w:r>
        <w:t>notes that in its definition of distribution</w:t>
      </w:r>
      <w:r w:rsidR="004E59ED">
        <w:t xml:space="preserve"> in the Draft Advice</w:t>
      </w:r>
      <w:r>
        <w:t>, it is unclear in subrule 45(3)(e) that the trade or allocat</w:t>
      </w:r>
      <w:r w:rsidR="008F3FC8">
        <w:t xml:space="preserve">ion of </w:t>
      </w:r>
      <w:r>
        <w:t xml:space="preserve">water by the operator must actually be to a customer. The ACCC’s advice and proposed subrule 45(3)(e) have been revised to reflect this. </w:t>
      </w:r>
    </w:p>
    <w:p w:rsidR="00477C58" w:rsidRDefault="00477C58" w:rsidP="00E83E5D">
      <w:pPr>
        <w:pStyle w:val="Heading4-Un-numberedsubheading-Lvl5"/>
      </w:pPr>
      <w:r>
        <w:t>Distributions to customers in arrears</w:t>
      </w:r>
    </w:p>
    <w:p w:rsidR="00C875DA" w:rsidRDefault="00E278F4" w:rsidP="001610A3">
      <w:r>
        <w:t>T</w:t>
      </w:r>
      <w:r w:rsidR="00C875DA">
        <w:t>he ACCC notes the merits of the NIC’s suggestion that customers who have failed to pay outstanding charges should not reap the benefits of a distribution</w:t>
      </w:r>
      <w:r>
        <w:t>. T</w:t>
      </w:r>
      <w:r w:rsidR="00C875DA">
        <w:t xml:space="preserve">he ACCC considers </w:t>
      </w:r>
      <w:r w:rsidR="001610A3">
        <w:t xml:space="preserve">that </w:t>
      </w:r>
      <w:r w:rsidR="00C875DA">
        <w:t>where the proposed distribution is a distribution</w:t>
      </w:r>
      <w:r w:rsidR="00AB7AEF">
        <w:t xml:space="preserve"> that otherwise me</w:t>
      </w:r>
      <w:r w:rsidR="007C63D6">
        <w:t>e</w:t>
      </w:r>
      <w:r w:rsidR="00AB7AEF">
        <w:t>t</w:t>
      </w:r>
      <w:r w:rsidR="007C63D6">
        <w:t>s</w:t>
      </w:r>
      <w:r w:rsidR="00AB7AEF">
        <w:t xml:space="preserve"> the criteria for being a </w:t>
      </w:r>
      <w:r w:rsidR="007C63D6">
        <w:t>‘</w:t>
      </w:r>
      <w:r w:rsidR="00AB7AEF">
        <w:t>standard distribution</w:t>
      </w:r>
      <w:r w:rsidR="007C63D6">
        <w:t>’</w:t>
      </w:r>
      <w:r w:rsidR="00C875DA">
        <w:t xml:space="preserve">, the infrastructure operator </w:t>
      </w:r>
      <w:r w:rsidR="001610A3">
        <w:t xml:space="preserve">should be </w:t>
      </w:r>
      <w:r w:rsidR="00AB7AEF">
        <w:t>able</w:t>
      </w:r>
      <w:r w:rsidR="001610A3">
        <w:t xml:space="preserve"> to </w:t>
      </w:r>
      <w:r w:rsidR="00C875DA">
        <w:t xml:space="preserve">withhold </w:t>
      </w:r>
      <w:r w:rsidR="001610A3">
        <w:t xml:space="preserve">the distribution from </w:t>
      </w:r>
      <w:r w:rsidR="007C63D6">
        <w:t xml:space="preserve">a </w:t>
      </w:r>
      <w:r w:rsidR="001610A3">
        <w:t xml:space="preserve">customer </w:t>
      </w:r>
      <w:r w:rsidR="007C63D6">
        <w:t xml:space="preserve">who is in arrears, </w:t>
      </w:r>
      <w:r w:rsidR="001610A3">
        <w:t>up to the amount of any arrears</w:t>
      </w:r>
      <w:r w:rsidR="00AB7AEF">
        <w:t xml:space="preserve">, and still </w:t>
      </w:r>
      <w:r w:rsidR="00053B82">
        <w:t xml:space="preserve">have that distribution </w:t>
      </w:r>
      <w:r w:rsidR="00AB7AEF">
        <w:t xml:space="preserve">be considered a </w:t>
      </w:r>
      <w:r w:rsidR="00053B82">
        <w:t>‘</w:t>
      </w:r>
      <w:r w:rsidR="00AB7AEF">
        <w:t>standard distribution</w:t>
      </w:r>
      <w:r w:rsidR="00053B82">
        <w:t>’</w:t>
      </w:r>
      <w:r w:rsidR="00AB7AEF">
        <w:t>.</w:t>
      </w:r>
      <w:r w:rsidR="00053B82">
        <w:t xml:space="preserve"> In relation to a non-financial distribution (e.g. a distribution of water), an operator should use a reasonable valuation methodology for determining the amount of the distribution that is to be withheld in order to ‘pay off’ any outstanding amounts payable by customers. For example, an operator could use the prevailing market price of water allocation at the time the distribution is made to determine the value</w:t>
      </w:r>
      <w:r w:rsidR="00C875DA">
        <w:t xml:space="preserve"> </w:t>
      </w:r>
      <w:r w:rsidR="00053B82">
        <w:t xml:space="preserve">of a distribution of water for the purposes of such a deduction. </w:t>
      </w:r>
    </w:p>
    <w:p w:rsidR="00477C58" w:rsidRDefault="00477C58" w:rsidP="00E83E5D">
      <w:pPr>
        <w:pStyle w:val="Heading4-Un-numberedsubheading-Lvl5"/>
      </w:pPr>
      <w:r>
        <w:t>Distributions to ‘sophisticated customers’</w:t>
      </w:r>
      <w:r w:rsidR="00EE7972">
        <w:t xml:space="preserve"> </w:t>
      </w:r>
    </w:p>
    <w:p w:rsidR="00C875DA" w:rsidRDefault="00C875DA" w:rsidP="00C875DA">
      <w:r>
        <w:t>The ACCC consider</w:t>
      </w:r>
      <w:r w:rsidR="0055508F">
        <w:t>s</w:t>
      </w:r>
      <w:r>
        <w:t xml:space="preserve"> it appropriate that </w:t>
      </w:r>
      <w:r w:rsidR="0055508F">
        <w:t xml:space="preserve">the criteria for a Part 7 operator includes where an </w:t>
      </w:r>
      <w:r>
        <w:t>operator</w:t>
      </w:r>
      <w:r w:rsidR="0055508F">
        <w:t xml:space="preserve"> makes a distribution but excludes certain </w:t>
      </w:r>
      <w:r>
        <w:t xml:space="preserve">‘sophisticated customers’. To the extent that these customers </w:t>
      </w:r>
      <w:r w:rsidR="00EE7972">
        <w:t xml:space="preserve">are required to </w:t>
      </w:r>
      <w:r>
        <w:t xml:space="preserve">contribute to the cost of running the </w:t>
      </w:r>
      <w:r w:rsidR="0055508F">
        <w:t>operator’s water service infrastructure</w:t>
      </w:r>
      <w:r w:rsidR="006D7DEE">
        <w:t>,</w:t>
      </w:r>
      <w:r w:rsidR="0055508F">
        <w:t xml:space="preserve"> </w:t>
      </w:r>
      <w:r>
        <w:t xml:space="preserve">the ACCC </w:t>
      </w:r>
      <w:r w:rsidR="0055508F">
        <w:t>considers that they too should receive the distribution in order for it to be considered a ‘standard distribution’ under the rules</w:t>
      </w:r>
      <w:r>
        <w:t>.</w:t>
      </w:r>
      <w:r w:rsidR="00EE7972">
        <w:t xml:space="preserve"> </w:t>
      </w:r>
      <w:r w:rsidR="004B7C4C">
        <w:t>However, t</w:t>
      </w:r>
      <w:r w:rsidR="00EE7972">
        <w:t>his would not extend to where a customer did not have an ongoing right of access to the operator’s water service infrastructure (in particular, where a customer was a casual user without any volume of water delivery right). A distribution could exclude such customers and still be a standard distribution.</w:t>
      </w:r>
    </w:p>
    <w:p w:rsidR="00477C58" w:rsidRDefault="00A835F0" w:rsidP="00E83E5D">
      <w:pPr>
        <w:pStyle w:val="Heading4-Un-numberedsubheading-Lvl5"/>
      </w:pPr>
      <w:r>
        <w:t>Customer contributions for the replacement / upgrade of infrastructure</w:t>
      </w:r>
    </w:p>
    <w:p w:rsidR="0019597C" w:rsidRDefault="0019597C" w:rsidP="0019597C">
      <w:r>
        <w:t xml:space="preserve">The ACCC notes that in the </w:t>
      </w:r>
      <w:r w:rsidR="00A835F0">
        <w:t>D</w:t>
      </w:r>
      <w:r>
        <w:t xml:space="preserve">raft </w:t>
      </w:r>
      <w:r w:rsidR="00A835F0">
        <w:t>A</w:t>
      </w:r>
      <w:r>
        <w:t>dvice a standard distribution included the scenario where the infrastructure operator gives back to the customer the</w:t>
      </w:r>
      <w:r w:rsidR="002D6D4C">
        <w:t>ir</w:t>
      </w:r>
      <w:r>
        <w:t xml:space="preserve"> contribution for the replacement</w:t>
      </w:r>
      <w:r w:rsidR="00A835F0">
        <w:t xml:space="preserve"> </w:t>
      </w:r>
      <w:r>
        <w:t>of infrastructure, where this funding is no longer required because the replacement is no longer required. The ACCC continues to support th</w:t>
      </w:r>
      <w:r w:rsidR="00555521">
        <w:t>e</w:t>
      </w:r>
      <w:r>
        <w:t xml:space="preserve"> inclusion of this scenario as a standard distribution, but consider</w:t>
      </w:r>
      <w:r w:rsidR="00555521">
        <w:t>s</w:t>
      </w:r>
      <w:r>
        <w:t xml:space="preserve"> that it should also extend to situations where </w:t>
      </w:r>
      <w:r w:rsidR="00555521">
        <w:t xml:space="preserve">the </w:t>
      </w:r>
      <w:r w:rsidR="00A835F0">
        <w:t>customer contribute</w:t>
      </w:r>
      <w:r w:rsidR="00555521">
        <w:t>s</w:t>
      </w:r>
      <w:r w:rsidR="00A835F0">
        <w:t xml:space="preserve"> to the forecast cost of infrastructure upgrades</w:t>
      </w:r>
      <w:r w:rsidR="006D7DEE">
        <w:t xml:space="preserve"> and</w:t>
      </w:r>
      <w:r w:rsidR="00A835F0">
        <w:t xml:space="preserve"> </w:t>
      </w:r>
      <w:r>
        <w:t xml:space="preserve">the replacement / </w:t>
      </w:r>
      <w:r w:rsidR="00A835F0">
        <w:t>upgrade</w:t>
      </w:r>
      <w:r>
        <w:t xml:space="preserve"> was undertaken at a lower cost than forecast. In </w:t>
      </w:r>
      <w:r w:rsidR="00C046A9">
        <w:t xml:space="preserve">these </w:t>
      </w:r>
      <w:r>
        <w:t>cases, the infrastructure operator would only be returning</w:t>
      </w:r>
      <w:r w:rsidR="00555521">
        <w:t xml:space="preserve"> to</w:t>
      </w:r>
      <w:r>
        <w:t xml:space="preserve"> the customer</w:t>
      </w:r>
      <w:r w:rsidR="00555521">
        <w:t xml:space="preserve"> their</w:t>
      </w:r>
      <w:r>
        <w:t xml:space="preserve"> own money. The ACCC has adjusted its advice so that </w:t>
      </w:r>
      <w:r w:rsidR="00A835F0">
        <w:t xml:space="preserve">such refunds are </w:t>
      </w:r>
      <w:r>
        <w:t>considered standard distributions.</w:t>
      </w:r>
    </w:p>
    <w:p w:rsidR="00A835F0" w:rsidRDefault="00A835F0" w:rsidP="00E83E5D">
      <w:pPr>
        <w:pStyle w:val="Heading4-Un-numberedsubheading-Lvl5"/>
      </w:pPr>
      <w:r>
        <w:t>Network reconfiguration or decommissioning</w:t>
      </w:r>
    </w:p>
    <w:p w:rsidR="00C875DA" w:rsidRDefault="00AB7AEF" w:rsidP="00C875DA">
      <w:r>
        <w:t>T</w:t>
      </w:r>
      <w:r w:rsidR="00C875DA">
        <w:t xml:space="preserve">he ACCC agrees that Part 7 should not be applicable to an operator that makes a payment (from reserves or otherwise) to </w:t>
      </w:r>
      <w:r>
        <w:t xml:space="preserve">facilitate network reconfiguration or decommissioning (such as the </w:t>
      </w:r>
      <w:r w:rsidR="00C875DA">
        <w:t>closure of an irrigator’s channel or part thereof</w:t>
      </w:r>
      <w:r>
        <w:t>)</w:t>
      </w:r>
      <w:r w:rsidR="00C875DA">
        <w:t xml:space="preserve">. The ACCC considers that such a transaction represents payment to a customer for consideration, the consideration being an agreement to participate in network </w:t>
      </w:r>
      <w:r>
        <w:t>reconfiguration / decommissioning</w:t>
      </w:r>
      <w:r w:rsidR="00C875DA">
        <w:t xml:space="preserve">. The ACCC also notes that an operator may provide similar rationalisation incentives in the form of reducing or waiving termination fees. </w:t>
      </w:r>
      <w:r w:rsidR="00C875DA" w:rsidRPr="00C96316">
        <w:t xml:space="preserve">Accordingly, the ACCC has amended its advice to make clear that payments </w:t>
      </w:r>
      <w:r>
        <w:t>made</w:t>
      </w:r>
      <w:r w:rsidRPr="00C96316">
        <w:t xml:space="preserve"> </w:t>
      </w:r>
      <w:r w:rsidR="00C875DA" w:rsidRPr="00C96316">
        <w:t xml:space="preserve">to </w:t>
      </w:r>
      <w:r w:rsidR="00555521">
        <w:t>provide an incentive to a</w:t>
      </w:r>
      <w:r w:rsidR="00555521" w:rsidRPr="00C96316">
        <w:t xml:space="preserve"> </w:t>
      </w:r>
      <w:r w:rsidR="00C875DA" w:rsidRPr="00C96316">
        <w:t xml:space="preserve">customer </w:t>
      </w:r>
      <w:r w:rsidR="00555521">
        <w:t xml:space="preserve">for their </w:t>
      </w:r>
      <w:r w:rsidR="00C875DA" w:rsidRPr="00C96316">
        <w:t xml:space="preserve">participation in network </w:t>
      </w:r>
      <w:r>
        <w:t>reconfiguration or decommissioning</w:t>
      </w:r>
      <w:r w:rsidRPr="00C96316">
        <w:t xml:space="preserve"> </w:t>
      </w:r>
      <w:r w:rsidR="00FA5FB4">
        <w:t xml:space="preserve">undertaken by the operator </w:t>
      </w:r>
      <w:r w:rsidR="00C875DA" w:rsidRPr="00C96316">
        <w:t>should not be considered a distribution.</w:t>
      </w:r>
      <w:r w:rsidR="00C875DA">
        <w:t xml:space="preserve"> </w:t>
      </w:r>
    </w:p>
    <w:p w:rsidR="00477C58" w:rsidRDefault="00477C58" w:rsidP="00E83E5D">
      <w:pPr>
        <w:pStyle w:val="Heading4-Un-numberedsubheading-Lvl5"/>
      </w:pPr>
      <w:r>
        <w:t>Where customers’ rights of access</w:t>
      </w:r>
      <w:r w:rsidR="00FA5FB4">
        <w:t xml:space="preserve"> are</w:t>
      </w:r>
      <w:r>
        <w:t xml:space="preserve"> defined differently </w:t>
      </w:r>
    </w:p>
    <w:p w:rsidR="00C875DA" w:rsidRDefault="00C875DA" w:rsidP="00C875DA">
      <w:r>
        <w:t>The NIC further stated that it would be ‘impossible for many operators’ to make standard distributions based on customers’ relative rights of access, as the rights of access of each customer are not defined in the same way. The ACCC acknowledges this issue</w:t>
      </w:r>
      <w:r w:rsidR="00AB7AEF">
        <w:t xml:space="preserve"> exists for some operators</w:t>
      </w:r>
      <w:r>
        <w:t>. Accordingly, the proposed distributions rule has been amended to</w:t>
      </w:r>
      <w:r w:rsidR="00FA5FB4">
        <w:t xml:space="preserve"> additionally</w:t>
      </w:r>
      <w:r>
        <w:t xml:space="preserve"> allow operators to make or offer distributions </w:t>
      </w:r>
      <w:r w:rsidR="00E70806">
        <w:t>in proportion to each customer’s contribution to the total revenue from all customers from charges levied per unit of water delivery right held (i.e. in proportion to ‘fixed charges’ levied on customers’ water delivery rights)</w:t>
      </w:r>
      <w:r>
        <w:t>.</w:t>
      </w:r>
      <w:r w:rsidR="00FA5FB4">
        <w:rPr>
          <w:rStyle w:val="FootnoteReference"/>
        </w:rPr>
        <w:footnoteReference w:id="486"/>
      </w:r>
      <w:r w:rsidR="00FA5FB4">
        <w:t xml:space="preserve"> </w:t>
      </w:r>
    </w:p>
    <w:p w:rsidR="00477C58" w:rsidRDefault="00477C58" w:rsidP="00E83E5D">
      <w:pPr>
        <w:pStyle w:val="Heading4-Un-numberedsubheading-Lvl5"/>
      </w:pPr>
      <w:r>
        <w:t>Distributions offered but not taken</w:t>
      </w:r>
    </w:p>
    <w:p w:rsidR="00C875DA" w:rsidRDefault="00C875DA" w:rsidP="00C875DA">
      <w:r>
        <w:t>During consultations, one stakeholder queried whether an infrastructure operator is taken to have made a non-standard distribution if a distribution of water is offered to the customer, but the customer refuses to take it</w:t>
      </w:r>
      <w:r w:rsidR="00C41506">
        <w:t xml:space="preserve">. </w:t>
      </w:r>
      <w:r>
        <w:t xml:space="preserve">The ACCC </w:t>
      </w:r>
      <w:r w:rsidR="00C41506">
        <w:t xml:space="preserve">agrees that this should not preclude a distribution from being considered </w:t>
      </w:r>
      <w:r>
        <w:t>a non-standard distribution. Accordingly, the ACCC has amended the proposed subrule</w:t>
      </w:r>
      <w:r w:rsidR="003A4AEE">
        <w:t>s</w:t>
      </w:r>
      <w:r>
        <w:t xml:space="preserve"> 45(</w:t>
      </w:r>
      <w:r w:rsidR="00555521">
        <w:t>5</w:t>
      </w:r>
      <w:r>
        <w:t>)</w:t>
      </w:r>
      <w:r w:rsidR="00555521">
        <w:t>(a)</w:t>
      </w:r>
      <w:r>
        <w:t xml:space="preserve"> </w:t>
      </w:r>
      <w:r w:rsidR="003A4AEE">
        <w:t xml:space="preserve">and 45(5)(e) </w:t>
      </w:r>
      <w:r>
        <w:t xml:space="preserve">to include distributions that are made or </w:t>
      </w:r>
      <w:r w:rsidRPr="006204AF">
        <w:rPr>
          <w:i/>
        </w:rPr>
        <w:t>offered</w:t>
      </w:r>
      <w:r>
        <w:t xml:space="preserve">. </w:t>
      </w:r>
    </w:p>
    <w:p w:rsidR="0019597C" w:rsidRDefault="0019597C" w:rsidP="00E83E5D">
      <w:pPr>
        <w:pStyle w:val="Heading4-Un-numberedsubheading-Lvl5"/>
      </w:pPr>
      <w:r>
        <w:t>Operators selling water to customers</w:t>
      </w:r>
    </w:p>
    <w:p w:rsidR="0019597C" w:rsidRDefault="00C875DA" w:rsidP="00C875DA">
      <w:r>
        <w:t>A number of submissions queried whether the selling of water to customers at a subsidised rate constituted a non-standard distribution. The ACCC</w:t>
      </w:r>
      <w:r w:rsidR="00CE6B93">
        <w:t>’s Draft Advice</w:t>
      </w:r>
      <w:r>
        <w:t xml:space="preserve"> consider</w:t>
      </w:r>
      <w:r w:rsidR="00CE6B93">
        <w:t>ed</w:t>
      </w:r>
      <w:r>
        <w:t xml:space="preserve"> </w:t>
      </w:r>
      <w:r w:rsidR="00CE6B93">
        <w:t xml:space="preserve">that </w:t>
      </w:r>
      <w:r>
        <w:t xml:space="preserve">the selling of water to customers </w:t>
      </w:r>
      <w:r w:rsidR="00CE6B93">
        <w:t xml:space="preserve">should </w:t>
      </w:r>
      <w:r>
        <w:t xml:space="preserve">be </w:t>
      </w:r>
      <w:r w:rsidR="00CE6B93">
        <w:t xml:space="preserve">considered </w:t>
      </w:r>
      <w:r>
        <w:t xml:space="preserve">a distribution </w:t>
      </w:r>
      <w:r w:rsidR="00CE6B93">
        <w:t xml:space="preserve">except where this was necessary to give effect to a trade of water access right or irrigation right by a customer, but would be a ‘standard distribution’ </w:t>
      </w:r>
      <w:r>
        <w:t xml:space="preserve">if </w:t>
      </w:r>
      <w:r w:rsidR="00CE6B93">
        <w:t>the water was o</w:t>
      </w:r>
      <w:r>
        <w:t xml:space="preserve">ffered to all customers in proportion to their right of access. </w:t>
      </w:r>
    </w:p>
    <w:p w:rsidR="00B14460" w:rsidRDefault="00C875DA" w:rsidP="00C875DA">
      <w:r>
        <w:t xml:space="preserve">On further consideration, this appears unnecessarily restrictive. The ACCC considers that if an infrastructure operator offers </w:t>
      </w:r>
      <w:r w:rsidR="002C50AF">
        <w:t xml:space="preserve">to trade or allocate </w:t>
      </w:r>
      <w:r>
        <w:t>water to all of its customers on the same terms</w:t>
      </w:r>
      <w:r w:rsidR="00E23C2B">
        <w:t xml:space="preserve"> (whether or not the offer was in return for consideration)</w:t>
      </w:r>
      <w:r>
        <w:t>, then this is not an exercise of monopoly power because all customers have the opportunity to participate equally.</w:t>
      </w:r>
      <w:r w:rsidR="00CE6B93">
        <w:t xml:space="preserve"> </w:t>
      </w:r>
      <w:r w:rsidR="00E70806">
        <w:t>Therefore, the</w:t>
      </w:r>
      <w:r w:rsidR="00E401B3">
        <w:t xml:space="preserve"> ACCC considers that the proposed rules </w:t>
      </w:r>
      <w:r w:rsidR="005D38A0">
        <w:t>sh</w:t>
      </w:r>
      <w:r w:rsidR="00E401B3">
        <w:t xml:space="preserve">ould </w:t>
      </w:r>
      <w:r w:rsidR="005D38A0">
        <w:t xml:space="preserve">allow that </w:t>
      </w:r>
      <w:r w:rsidR="00E401B3">
        <w:t>the trade</w:t>
      </w:r>
      <w:r w:rsidR="002C50AF">
        <w:t xml:space="preserve"> or allocation</w:t>
      </w:r>
      <w:r w:rsidR="00E401B3">
        <w:t xml:space="preserve"> of water from an operator to a customer in such circumstances </w:t>
      </w:r>
      <w:r w:rsidR="005D38A0">
        <w:t xml:space="preserve">be considered a ‘standard </w:t>
      </w:r>
      <w:r w:rsidR="00E401B3">
        <w:t xml:space="preserve">distribution’. </w:t>
      </w:r>
      <w:r w:rsidR="00513582">
        <w:t>T</w:t>
      </w:r>
      <w:r>
        <w:t xml:space="preserve">he ACCC has amended </w:t>
      </w:r>
      <w:r w:rsidR="0019597C">
        <w:t>its rule</w:t>
      </w:r>
      <w:r>
        <w:t xml:space="preserve"> advice </w:t>
      </w:r>
      <w:r w:rsidR="00513582">
        <w:t>accordingly.</w:t>
      </w:r>
      <w:r w:rsidR="0019597C">
        <w:t xml:space="preserve"> </w:t>
      </w:r>
    </w:p>
    <w:p w:rsidR="00B14460" w:rsidRDefault="0019597C" w:rsidP="009B56D7">
      <w:pPr>
        <w:spacing w:after="120"/>
      </w:pPr>
      <w:r>
        <w:t xml:space="preserve">For example, an operator </w:t>
      </w:r>
      <w:r w:rsidR="00B14460">
        <w:t xml:space="preserve">trading water to customers would be making a </w:t>
      </w:r>
      <w:r w:rsidR="005D38A0">
        <w:t xml:space="preserve">‘standard </w:t>
      </w:r>
      <w:r w:rsidR="00B14460">
        <w:t>distribution</w:t>
      </w:r>
      <w:r w:rsidR="005D38A0">
        <w:t>’</w:t>
      </w:r>
      <w:r w:rsidR="00B14460">
        <w:t xml:space="preserve"> if they </w:t>
      </w:r>
      <w:r w:rsidR="005D38A0">
        <w:t xml:space="preserve">traded water to customers which they </w:t>
      </w:r>
      <w:r w:rsidR="00B14460">
        <w:t>had offered for sale to all customers:</w:t>
      </w:r>
    </w:p>
    <w:p w:rsidR="00B14460" w:rsidRDefault="00C046A9" w:rsidP="00A82DE6">
      <w:pPr>
        <w:pStyle w:val="Lvl1Bulletpoint"/>
      </w:pPr>
      <w:r>
        <w:t>o</w:t>
      </w:r>
      <w:r w:rsidR="00B14460">
        <w:t>n a ‘first-come-first-served’ basis</w:t>
      </w:r>
    </w:p>
    <w:p w:rsidR="00B14460" w:rsidRDefault="00B14460" w:rsidP="00A82DE6">
      <w:pPr>
        <w:pStyle w:val="Lvl1Bulletpoint"/>
      </w:pPr>
      <w:r>
        <w:t xml:space="preserve">subject to a bidding process (where the water is traded to the highest bidders) </w:t>
      </w:r>
    </w:p>
    <w:p w:rsidR="00B14460" w:rsidRDefault="00B14460" w:rsidP="00A82DE6">
      <w:pPr>
        <w:pStyle w:val="Lvl1Bulletpoint"/>
      </w:pPr>
      <w:r>
        <w:t>with a cap on the amount that could be purchased that was the same for all customers; or</w:t>
      </w:r>
    </w:p>
    <w:p w:rsidR="00B14460" w:rsidRDefault="00B14460" w:rsidP="00A82DE6">
      <w:pPr>
        <w:pStyle w:val="Lvl1Bulletpoint"/>
      </w:pPr>
      <w:r>
        <w:t>with a cap on the amount that could be purchased set in proportion to a customer’s right of access</w:t>
      </w:r>
    </w:p>
    <w:p w:rsidR="003D5FC2" w:rsidRDefault="003D5FC2" w:rsidP="00E83E5D">
      <w:pPr>
        <w:pStyle w:val="Heading4-Un-numberedsubheading-Lvl5"/>
      </w:pPr>
      <w:r>
        <w:t>The nature of an approval or determination under Part 7</w:t>
      </w:r>
    </w:p>
    <w:p w:rsidR="00FF6008" w:rsidRDefault="003D5FC2" w:rsidP="003D5FC2">
      <w:r>
        <w:t xml:space="preserve">In its Draft Advice, the ACCC set out the rules for the operation of an approval or determination process under Part 7. </w:t>
      </w:r>
      <w:r w:rsidR="00FF6008">
        <w:t xml:space="preserve">These did not differ </w:t>
      </w:r>
      <w:r w:rsidR="005B297E">
        <w:t xml:space="preserve">substantially </w:t>
      </w:r>
      <w:r w:rsidR="00FF6008">
        <w:t xml:space="preserve">from the operation of this process </w:t>
      </w:r>
      <w:r w:rsidR="00E3556F">
        <w:t>under</w:t>
      </w:r>
      <w:r w:rsidR="00FF6008">
        <w:t xml:space="preserve"> the current rules.</w:t>
      </w:r>
    </w:p>
    <w:p w:rsidR="003D5FC2" w:rsidRDefault="00EB6922" w:rsidP="003D5FC2">
      <w:r>
        <w:t xml:space="preserve">Under the Draft Advice proposals, </w:t>
      </w:r>
      <w:r w:rsidR="003D5FC2">
        <w:t xml:space="preserve">Part 7 operators would be required to submit an application for an approval </w:t>
      </w:r>
      <w:r w:rsidR="006718CD">
        <w:t xml:space="preserve">and / </w:t>
      </w:r>
      <w:r w:rsidR="003D5FC2">
        <w:t xml:space="preserve">or determination of their infrastructure charges to the ACCC. The ACCC </w:t>
      </w:r>
      <w:r w:rsidR="00FF6008">
        <w:t>then</w:t>
      </w:r>
      <w:r w:rsidR="0050188D">
        <w:t xml:space="preserve"> would be</w:t>
      </w:r>
      <w:r w:rsidR="00FF6008">
        <w:t xml:space="preserve"> required to consider the application but </w:t>
      </w:r>
      <w:r w:rsidR="003D5FC2">
        <w:t xml:space="preserve">could not approve these charges unless it was satisfied that the </w:t>
      </w:r>
      <w:r w:rsidR="00FF6008">
        <w:t>return on investment on these charges were commensurate with the commercial risks involved. If the ACCC was not satisfied of this, it w</w:t>
      </w:r>
      <w:r w:rsidR="00761251">
        <w:t>ould be</w:t>
      </w:r>
      <w:r w:rsidR="00FF6008">
        <w:t xml:space="preserve"> required to determine the infrastructure charge</w:t>
      </w:r>
      <w:r w:rsidR="005B297E">
        <w:t>s</w:t>
      </w:r>
      <w:r w:rsidR="00FF6008">
        <w:t xml:space="preserve"> </w:t>
      </w:r>
      <w:r w:rsidR="0050188D">
        <w:t xml:space="preserve">at a level that would </w:t>
      </w:r>
      <w:r w:rsidR="00FF6008">
        <w:t>satisf</w:t>
      </w:r>
      <w:r w:rsidR="005B297E">
        <w:t>y</w:t>
      </w:r>
      <w:r w:rsidR="00FF6008">
        <w:t xml:space="preserve"> this criterion. </w:t>
      </w:r>
    </w:p>
    <w:p w:rsidR="00FF6008" w:rsidRDefault="00FF6008" w:rsidP="003D5FC2">
      <w:r>
        <w:t xml:space="preserve">In approving or determining the charges, the </w:t>
      </w:r>
      <w:r w:rsidR="0050188D">
        <w:t xml:space="preserve">Draft Advice proposed that the </w:t>
      </w:r>
      <w:r>
        <w:t xml:space="preserve">ACCC </w:t>
      </w:r>
      <w:r w:rsidR="005B297E">
        <w:t>may</w:t>
      </w:r>
      <w:r>
        <w:t xml:space="preserve"> </w:t>
      </w:r>
      <w:r w:rsidRPr="0030146A">
        <w:t xml:space="preserve">have regard to whether or not the </w:t>
      </w:r>
      <w:r w:rsidRPr="00EB2ACF">
        <w:t>infrastructure charges</w:t>
      </w:r>
      <w:r w:rsidRPr="0030146A">
        <w:t xml:space="preserve"> would contribute to achieving the Basin water charging objectives and principles set out in Schedule 2 of the Act.</w:t>
      </w:r>
    </w:p>
    <w:p w:rsidR="00EB2ACF" w:rsidRDefault="00FF6008" w:rsidP="003D5FC2">
      <w:r>
        <w:t>In this Final Advice, the ACCC has amended th</w:t>
      </w:r>
      <w:r w:rsidR="00EB2ACF">
        <w:t xml:space="preserve">is Part 7 </w:t>
      </w:r>
      <w:r w:rsidR="00000DB7">
        <w:t xml:space="preserve">approval / </w:t>
      </w:r>
      <w:r w:rsidR="00EB2ACF">
        <w:t>determination</w:t>
      </w:r>
      <w:r>
        <w:t xml:space="preserve"> process to allow the ACCC to </w:t>
      </w:r>
      <w:r w:rsidR="0050188D">
        <w:t>also</w:t>
      </w:r>
      <w:r w:rsidR="00761251">
        <w:t xml:space="preserve"> </w:t>
      </w:r>
      <w:r>
        <w:t>have regard to previous distributions made and / or proposed to be made by the operator</w:t>
      </w:r>
      <w:r w:rsidR="00A42919">
        <w:t xml:space="preserve"> and to </w:t>
      </w:r>
      <w:r w:rsidR="007B2087">
        <w:t xml:space="preserve">allow the ACCC to </w:t>
      </w:r>
      <w:r w:rsidR="00A42919">
        <w:t>specify terms and conditions in relation to particular charges.</w:t>
      </w:r>
      <w:r w:rsidR="00EB2ACF">
        <w:t xml:space="preserve"> Th</w:t>
      </w:r>
      <w:r w:rsidR="00A42919">
        <w:t>e</w:t>
      </w:r>
      <w:r w:rsidR="00EB2ACF">
        <w:t>s</w:t>
      </w:r>
      <w:r w:rsidR="00A42919">
        <w:t>e</w:t>
      </w:r>
      <w:r w:rsidR="00EB2ACF">
        <w:t xml:space="preserve"> provision</w:t>
      </w:r>
      <w:r w:rsidR="00A42919">
        <w:t>s</w:t>
      </w:r>
      <w:r w:rsidR="00EB2ACF">
        <w:t xml:space="preserve"> would allow, for example, the ACCC to require the operator to discount or waive an infrastructure charge for customers that it considers were / will be unreasonably excluded from a distribution. The ACCC considers that such an amendment is appropriate because it more closely connects the non-standard distribution an operator makes with the consequence of making that non-standard distribution</w:t>
      </w:r>
      <w:r w:rsidR="008F3FC8">
        <w:t>—</w:t>
      </w:r>
      <w:r w:rsidR="00EB2ACF">
        <w:t xml:space="preserve">that the operator </w:t>
      </w:r>
      <w:r w:rsidR="00761251">
        <w:t>may</w:t>
      </w:r>
      <w:r w:rsidR="00EB2ACF">
        <w:t xml:space="preserve"> have its charges regulated by the ACCC</w:t>
      </w:r>
      <w:r w:rsidR="00A42919">
        <w:t xml:space="preserve"> and allows it to redress the impacts of a non-standard distribution on those customers that </w:t>
      </w:r>
      <w:r w:rsidR="008F3FC8">
        <w:t>were excluded</w:t>
      </w:r>
      <w:r w:rsidR="00A42919">
        <w:t xml:space="preserve">. </w:t>
      </w:r>
    </w:p>
    <w:p w:rsidR="00C875DA" w:rsidRDefault="00C64B20" w:rsidP="00E83E5D">
      <w:pPr>
        <w:pStyle w:val="Heading4-Un-numberedsubheading-Lvl5"/>
      </w:pPr>
      <w:r>
        <w:t>Estimated regulatory costs</w:t>
      </w:r>
      <w:r w:rsidR="00C875DA">
        <w:t xml:space="preserve"> </w:t>
      </w:r>
    </w:p>
    <w:p w:rsidR="00C875DA" w:rsidRDefault="00C875DA" w:rsidP="009B56D7">
      <w:pPr>
        <w:spacing w:after="120"/>
      </w:pPr>
      <w:r>
        <w:t xml:space="preserve">Both WMI and the NIC contended in their submissions that the implementation of the proposed new rules in relation to distributions will cause many infrastructure operators to become Part 7 operators and therefore these rules will be costly. The NIC stated that it expected the cost per operator </w:t>
      </w:r>
      <w:r w:rsidR="00555521">
        <w:t xml:space="preserve">of becoming a Part 7 operator </w:t>
      </w:r>
      <w:r>
        <w:t xml:space="preserve">would be around $200 000, based on </w:t>
      </w:r>
      <w:r w:rsidR="009D3E37">
        <w:t>WaterNSW’s estimate of certain costs relating to the determination of its charges under Part 6 of the rules.</w:t>
      </w:r>
      <w:r>
        <w:rPr>
          <w:rStyle w:val="FootnoteReference"/>
        </w:rPr>
        <w:footnoteReference w:id="487"/>
      </w:r>
      <w:r>
        <w:t xml:space="preserve"> The ACCC considers that </w:t>
      </w:r>
      <w:r w:rsidR="00C046A9">
        <w:t xml:space="preserve">the </w:t>
      </w:r>
      <w:r w:rsidR="009D62CF">
        <w:t xml:space="preserve">actual effect of the proposed amendments on </w:t>
      </w:r>
      <w:r>
        <w:t xml:space="preserve">the </w:t>
      </w:r>
      <w:r w:rsidR="009D62CF">
        <w:t xml:space="preserve">estimated regulatory </w:t>
      </w:r>
      <w:r>
        <w:t>cost</w:t>
      </w:r>
      <w:r w:rsidR="009D62CF">
        <w:t>s faced by operators will be minor</w:t>
      </w:r>
      <w:r w:rsidR="009D3E37">
        <w:t xml:space="preserve"> (see also chapter</w:t>
      </w:r>
      <w:r w:rsidR="008A7F92">
        <w:t> </w:t>
      </w:r>
      <w:r w:rsidR="009D3E37">
        <w:t>9). This is because</w:t>
      </w:r>
      <w:r>
        <w:t>:</w:t>
      </w:r>
    </w:p>
    <w:p w:rsidR="009D62CF" w:rsidRDefault="009D62CF" w:rsidP="00A82DE6">
      <w:pPr>
        <w:pStyle w:val="Lvl1Bulletpoint"/>
      </w:pPr>
      <w:r>
        <w:t>the definition of ‘standard distribution’ has been broadened in response to stakeholder feedback (see above)</w:t>
      </w:r>
    </w:p>
    <w:p w:rsidR="00C875DA" w:rsidRDefault="00C875DA" w:rsidP="00A82DE6">
      <w:pPr>
        <w:pStyle w:val="Lvl1Bulletpoint"/>
      </w:pPr>
      <w:r>
        <w:t xml:space="preserve">operators </w:t>
      </w:r>
      <w:r w:rsidR="00555521">
        <w:t>will likely</w:t>
      </w:r>
      <w:r w:rsidR="009D62CF">
        <w:t xml:space="preserve"> </w:t>
      </w:r>
      <w:r>
        <w:t xml:space="preserve">adapt how they make distributions to avoid </w:t>
      </w:r>
      <w:r w:rsidR="008F3FC8">
        <w:t>potential charge</w:t>
      </w:r>
      <w:r>
        <w:t xml:space="preserve"> regulation under Part 7 and </w:t>
      </w:r>
      <w:r w:rsidR="008F3FC8">
        <w:t xml:space="preserve">will </w:t>
      </w:r>
      <w:r>
        <w:t xml:space="preserve">therefore avoid becoming </w:t>
      </w:r>
      <w:r w:rsidR="00C046A9">
        <w:t>P</w:t>
      </w:r>
      <w:r>
        <w:t xml:space="preserve">art 7 operators. </w:t>
      </w:r>
    </w:p>
    <w:p w:rsidR="00C875DA" w:rsidRDefault="00C875DA" w:rsidP="00A82DE6">
      <w:pPr>
        <w:pStyle w:val="Lvl1Bulletpoint"/>
      </w:pPr>
      <w:r>
        <w:t xml:space="preserve">the </w:t>
      </w:r>
      <w:r w:rsidR="009D3E37">
        <w:t>proposed</w:t>
      </w:r>
      <w:r>
        <w:t xml:space="preserve"> exemptions process</w:t>
      </w:r>
      <w:r w:rsidR="009D3E37">
        <w:t xml:space="preserve"> would </w:t>
      </w:r>
      <w:r>
        <w:t xml:space="preserve">allow the ACCC to ensure that Part 7 </w:t>
      </w:r>
      <w:r w:rsidR="008F3FC8">
        <w:t xml:space="preserve">regulation of charges </w:t>
      </w:r>
      <w:r>
        <w:t>is applied only on an ‘as needed’ basis.</w:t>
      </w:r>
    </w:p>
    <w:p w:rsidR="00C875DA" w:rsidRDefault="00C875DA" w:rsidP="00A82DE6">
      <w:pPr>
        <w:pStyle w:val="Lvl1Bulletpoint"/>
      </w:pPr>
      <w:r>
        <w:t>price regulation under Part 7 is less onerous than that under Part 6. Accordingly, the costs of regulat</w:t>
      </w:r>
      <w:r w:rsidR="00C33CDD">
        <w:t>ion</w:t>
      </w:r>
      <w:r>
        <w:t xml:space="preserve"> under Part 6 are not a good indicator of the costs of regulation under Part 7.</w:t>
      </w:r>
    </w:p>
    <w:p w:rsidR="00DF56B2" w:rsidRDefault="00DF56B2" w:rsidP="00E83E5D">
      <w:pPr>
        <w:pStyle w:val="Heading4-Un-numberedsubheading-Lvl5"/>
      </w:pPr>
      <w:r>
        <w:t xml:space="preserve">Effect on the ability of operators to give benefits to members only </w:t>
      </w:r>
    </w:p>
    <w:p w:rsidR="004730C2" w:rsidRDefault="00DF56B2" w:rsidP="004730C2">
      <w:r>
        <w:t>The ACCC notes that the proposed Part 7 does not prevent infrastructure operators from providing distributions to members only, although it discourages them from doing so</w:t>
      </w:r>
      <w:r w:rsidR="00530B1E">
        <w:t xml:space="preserve"> </w:t>
      </w:r>
      <w:r w:rsidR="0050188D">
        <w:t>unless there are</w:t>
      </w:r>
      <w:r w:rsidR="00530B1E">
        <w:t xml:space="preserve"> extenuating circumstances</w:t>
      </w:r>
      <w:r>
        <w:t xml:space="preserve">. </w:t>
      </w:r>
      <w:r w:rsidR="004730C2">
        <w:t xml:space="preserve">The ACCC also notes the proposed exemption process under which the ACCC can exempt an operator that has made or proposes to make a distribution (other than a ‘standard distribution’) from the requirement for its charges to be determined or approved under Part 7. </w:t>
      </w:r>
    </w:p>
    <w:p w:rsidR="00DF56B2" w:rsidRDefault="00DF56B2" w:rsidP="008F3FC8">
      <w:r>
        <w:t>The ACCC acknowledges that this approach is different to other regulated sectors. However, it considers this approach is appropriate</w:t>
      </w:r>
      <w:r w:rsidR="0050188D">
        <w:t xml:space="preserve"> for three reasons</w:t>
      </w:r>
      <w:r>
        <w:t>.</w:t>
      </w:r>
    </w:p>
    <w:p w:rsidR="002C3FE7" w:rsidRDefault="0050188D" w:rsidP="008F3FC8">
      <w:r>
        <w:t xml:space="preserve">First, </w:t>
      </w:r>
      <w:r w:rsidR="00DF56B2">
        <w:t xml:space="preserve">infrastructure operators that are not subject to Part 6 or equivalent Basin State regulation are monopolies that are </w:t>
      </w:r>
      <w:r>
        <w:t xml:space="preserve">generally </w:t>
      </w:r>
      <w:r w:rsidR="00DF56B2">
        <w:t xml:space="preserve">not subject to </w:t>
      </w:r>
      <w:r w:rsidR="001F4718">
        <w:t xml:space="preserve">direct regulation to prevent monopoly profits. </w:t>
      </w:r>
      <w:r w:rsidR="002C3FE7">
        <w:t xml:space="preserve">In this situation, the ACCC considers the distributions that are made to members only or to some members and not other customers need to be more closely examined to ensure that the distribution does not reflect this monopoly power. </w:t>
      </w:r>
    </w:p>
    <w:p w:rsidR="002C3FE7" w:rsidRDefault="0050188D" w:rsidP="008F3FC8">
      <w:r>
        <w:t>Second, t</w:t>
      </w:r>
      <w:r w:rsidR="002C3FE7">
        <w:t>he ACCC also notes that</w:t>
      </w:r>
      <w:r w:rsidR="004F6BD0">
        <w:t xml:space="preserve"> </w:t>
      </w:r>
      <w:r w:rsidR="001F4718">
        <w:t>non-member customers are generally required to pay ongoing access charges set by the operator and/or otherwise pay a termination fee</w:t>
      </w:r>
      <w:r w:rsidR="002C3FE7">
        <w:t xml:space="preserve">. The ACCC considers that those customers that contribute to the costs of running an infrastructure operator should benefit from its distributions, not only </w:t>
      </w:r>
      <w:r w:rsidR="008F3FC8">
        <w:t xml:space="preserve">those customers that are </w:t>
      </w:r>
      <w:r w:rsidR="002C3FE7">
        <w:t xml:space="preserve">members. </w:t>
      </w:r>
    </w:p>
    <w:p w:rsidR="001F4718" w:rsidRDefault="0050188D" w:rsidP="008F3FC8">
      <w:r>
        <w:t>Finally, t</w:t>
      </w:r>
      <w:r w:rsidR="002C3FE7">
        <w:t xml:space="preserve">he ACCC also notes that </w:t>
      </w:r>
      <w:r w:rsidR="001F4718">
        <w:t>non-member customers may not be eligible to become a member of the infrastructure operator.</w:t>
      </w:r>
      <w:r w:rsidR="002C3FE7">
        <w:t xml:space="preserve"> In these circumstances, </w:t>
      </w:r>
      <w:r w:rsidR="00EB6922">
        <w:t xml:space="preserve">it seems </w:t>
      </w:r>
      <w:r w:rsidR="008F3FC8">
        <w:t xml:space="preserve">particularly </w:t>
      </w:r>
      <w:r w:rsidR="00EB6922">
        <w:t xml:space="preserve">unreasonable that </w:t>
      </w:r>
      <w:r w:rsidR="002C3FE7">
        <w:t xml:space="preserve">non-members are </w:t>
      </w:r>
      <w:r w:rsidR="008F3FC8">
        <w:t xml:space="preserve">excluded from </w:t>
      </w:r>
      <w:r w:rsidR="00530B1E">
        <w:t>distributions.</w:t>
      </w:r>
      <w:r w:rsidR="004F6BD0">
        <w:t xml:space="preserve"> </w:t>
      </w:r>
    </w:p>
    <w:p w:rsidR="00C64B20" w:rsidRDefault="00C64B20" w:rsidP="00E83E5D">
      <w:pPr>
        <w:pStyle w:val="Heading4-Un-numberedsubheading-Lvl5"/>
      </w:pPr>
      <w:r>
        <w:t>Effect on operators’ pricing flexibility / ability to innovate</w:t>
      </w:r>
    </w:p>
    <w:p w:rsidR="00C875DA" w:rsidRDefault="00C875DA" w:rsidP="00C875DA">
      <w:r>
        <w:t xml:space="preserve">The ACCC considers that </w:t>
      </w:r>
      <w:r w:rsidR="009D62CF">
        <w:t xml:space="preserve">the proposed rule amendments </w:t>
      </w:r>
      <w:r>
        <w:t>on distributions</w:t>
      </w:r>
      <w:r w:rsidR="009D62CF">
        <w:t xml:space="preserve"> will</w:t>
      </w:r>
      <w:r>
        <w:t xml:space="preserve">, if implemented, have minimal effect on an infrastructure operator’s pricing flexibility. The ACCC accepts that it would prevent an infrastructure operator from increasing its charges and returning profits to </w:t>
      </w:r>
      <w:r w:rsidR="009D3E37">
        <w:t xml:space="preserve">only preferred </w:t>
      </w:r>
      <w:r>
        <w:t>members</w:t>
      </w:r>
      <w:r w:rsidR="009D3E37">
        <w:t xml:space="preserve"> </w:t>
      </w:r>
      <w:r>
        <w:t>/</w:t>
      </w:r>
      <w:r w:rsidR="009D3E37">
        <w:t xml:space="preserve"> </w:t>
      </w:r>
      <w:r>
        <w:t xml:space="preserve">customers through distributions. However, this is precisely the intention of the </w:t>
      </w:r>
      <w:r w:rsidR="009D3E37">
        <w:t xml:space="preserve">current, and </w:t>
      </w:r>
      <w:r>
        <w:t>revised</w:t>
      </w:r>
      <w:r w:rsidR="009D3E37">
        <w:t>,</w:t>
      </w:r>
      <w:r>
        <w:t xml:space="preserve"> Part 7.</w:t>
      </w:r>
      <w:r w:rsidR="00C6733C">
        <w:t xml:space="preserve"> </w:t>
      </w:r>
    </w:p>
    <w:p w:rsidR="00C875DA" w:rsidRDefault="00C875DA" w:rsidP="00C875DA">
      <w:r>
        <w:t xml:space="preserve">The ACCC does not </w:t>
      </w:r>
      <w:r w:rsidR="00914358">
        <w:t xml:space="preserve">share </w:t>
      </w:r>
      <w:r>
        <w:t xml:space="preserve">WMI and NIC’s </w:t>
      </w:r>
      <w:r w:rsidR="00914358">
        <w:t xml:space="preserve">view </w:t>
      </w:r>
      <w:r>
        <w:t xml:space="preserve">that the proposed rules on distributions will add undue complexity and stifle innovation </w:t>
      </w:r>
      <w:r w:rsidR="000C1FCB">
        <w:t>‘</w:t>
      </w:r>
      <w:r>
        <w:t>for no reason</w:t>
      </w:r>
      <w:r w:rsidR="000C1FCB">
        <w:t>’</w:t>
      </w:r>
      <w:r>
        <w:t>. While the revised Part 7 may involve some additional complexity, the ACCC considers the</w:t>
      </w:r>
      <w:r w:rsidR="009D3E37">
        <w:t xml:space="preserve"> proposed</w:t>
      </w:r>
      <w:r>
        <w:t xml:space="preserve"> rules </w:t>
      </w:r>
      <w:r w:rsidR="009D3E37">
        <w:t xml:space="preserve">will </w:t>
      </w:r>
      <w:r>
        <w:t>produce a fairer outcome for customers as they more comprehensively discourage operators from favouring some customers over others</w:t>
      </w:r>
      <w:r w:rsidR="009D3E37">
        <w:t xml:space="preserve"> through distributions</w:t>
      </w:r>
      <w:r>
        <w:t xml:space="preserve">. Further, the proposed rules set out a range of ‘standard distributions’ that operators can make to customers without the risk of triggering Part 7. </w:t>
      </w:r>
      <w:r w:rsidR="00226C3E">
        <w:t xml:space="preserve">The ACCC </w:t>
      </w:r>
      <w:r w:rsidR="00914358">
        <w:t>considers</w:t>
      </w:r>
      <w:r w:rsidR="00226C3E">
        <w:t xml:space="preserve"> that the proposed rules </w:t>
      </w:r>
      <w:r w:rsidR="00914358">
        <w:t>will not</w:t>
      </w:r>
      <w:r w:rsidR="00C64B20">
        <w:t xml:space="preserve"> </w:t>
      </w:r>
      <w:r w:rsidR="00226C3E">
        <w:t>stifle innovation in the infrastructure services that operators offer to customers, or how they operate their infrastructure</w:t>
      </w:r>
      <w:r>
        <w:t xml:space="preserve">. </w:t>
      </w:r>
    </w:p>
    <w:p w:rsidR="00E161B2" w:rsidRPr="00D714FC" w:rsidRDefault="00F970BC" w:rsidP="00616672">
      <w:pPr>
        <w:pStyle w:val="Heading2"/>
      </w:pPr>
      <w:bookmarkStart w:id="1061" w:name="_Toc456785813"/>
      <w:bookmarkStart w:id="1062" w:name="_Toc461630724"/>
      <w:r w:rsidRPr="00D714FC">
        <w:t>Appeal mechanisms under the WCIR and lessons learnt from other sectors</w:t>
      </w:r>
      <w:bookmarkEnd w:id="1058"/>
      <w:bookmarkEnd w:id="1059"/>
      <w:bookmarkEnd w:id="1060"/>
      <w:bookmarkEnd w:id="1061"/>
      <w:bookmarkEnd w:id="1062"/>
      <w:r w:rsidRPr="00D714FC">
        <w:tab/>
      </w:r>
    </w:p>
    <w:p w:rsidR="006246A8" w:rsidRPr="006246A8" w:rsidRDefault="006246A8" w:rsidP="00020517">
      <w:pPr>
        <w:pStyle w:val="Heading3Un-numbered"/>
      </w:pPr>
      <w:r>
        <w:t>Background</w:t>
      </w:r>
    </w:p>
    <w:p w:rsidR="00BB173F" w:rsidRPr="00D714FC" w:rsidRDefault="00BB173F" w:rsidP="008A7F92">
      <w:pPr>
        <w:rPr>
          <w:rFonts w:cs="Times New Roman"/>
        </w:rPr>
      </w:pPr>
      <w:r w:rsidRPr="00D714FC">
        <w:rPr>
          <w:rFonts w:cs="Times New Roman"/>
        </w:rPr>
        <w:t xml:space="preserve">The terms of reference for the </w:t>
      </w:r>
      <w:r w:rsidR="00222D0D">
        <w:rPr>
          <w:rFonts w:cs="Times New Roman"/>
        </w:rPr>
        <w:t>w</w:t>
      </w:r>
      <w:r w:rsidRPr="00D714FC">
        <w:rPr>
          <w:rFonts w:cs="Times New Roman"/>
        </w:rPr>
        <w:t xml:space="preserve">ater </w:t>
      </w:r>
      <w:r w:rsidR="00222D0D">
        <w:rPr>
          <w:rFonts w:cs="Times New Roman"/>
        </w:rPr>
        <w:t>c</w:t>
      </w:r>
      <w:r w:rsidRPr="00D714FC">
        <w:rPr>
          <w:rFonts w:cs="Times New Roman"/>
        </w:rPr>
        <w:t xml:space="preserve">harge </w:t>
      </w:r>
      <w:r w:rsidR="00222D0D">
        <w:rPr>
          <w:rFonts w:cs="Times New Roman"/>
        </w:rPr>
        <w:t>r</w:t>
      </w:r>
      <w:r w:rsidRPr="00D714FC">
        <w:rPr>
          <w:rFonts w:cs="Times New Roman"/>
        </w:rPr>
        <w:t xml:space="preserve">ules </w:t>
      </w:r>
      <w:r w:rsidR="00222D0D">
        <w:rPr>
          <w:rFonts w:cs="Times New Roman"/>
        </w:rPr>
        <w:t>r</w:t>
      </w:r>
      <w:r w:rsidRPr="00D714FC">
        <w:rPr>
          <w:rFonts w:cs="Times New Roman"/>
        </w:rPr>
        <w:t>eview specifically require the ACCC to consider the lessons learned from other sectors in relation to appeal mechanisms.</w:t>
      </w:r>
    </w:p>
    <w:p w:rsidR="00BB173F" w:rsidRPr="00D714FC" w:rsidRDefault="00BB173F" w:rsidP="008A7F92">
      <w:pPr>
        <w:rPr>
          <w:rFonts w:cs="Times New Roman"/>
        </w:rPr>
      </w:pPr>
      <w:r w:rsidRPr="00D714FC">
        <w:rPr>
          <w:rFonts w:cs="Times New Roman"/>
        </w:rPr>
        <w:t xml:space="preserve">Under the </w:t>
      </w:r>
      <w:r w:rsidR="0001065E" w:rsidRPr="00A43BF7">
        <w:rPr>
          <w:rFonts w:cs="Times New Roman"/>
        </w:rPr>
        <w:t>Water Charge (Infrastructure) Rules 2010</w:t>
      </w:r>
      <w:r w:rsidR="0001065E">
        <w:rPr>
          <w:rFonts w:cs="Times New Roman"/>
        </w:rPr>
        <w:t xml:space="preserve"> (</w:t>
      </w:r>
      <w:r w:rsidRPr="00D714FC">
        <w:rPr>
          <w:rFonts w:cs="Times New Roman"/>
        </w:rPr>
        <w:t>WCIR</w:t>
      </w:r>
      <w:r w:rsidR="0001065E">
        <w:rPr>
          <w:rFonts w:cs="Times New Roman"/>
        </w:rPr>
        <w:t>)</w:t>
      </w:r>
      <w:r w:rsidRPr="00D714FC">
        <w:rPr>
          <w:rFonts w:cs="Times New Roman"/>
        </w:rPr>
        <w:t xml:space="preserve">, decisions made by the ACCC, including on price approvals or determinations of regulated charges in Part 6 and 7, are subject to judicial review under the </w:t>
      </w:r>
      <w:r w:rsidRPr="00D714FC">
        <w:rPr>
          <w:rFonts w:cs="Times New Roman"/>
          <w:i/>
        </w:rPr>
        <w:t xml:space="preserve">Administrative Decisions Judicial Review Act 1977 </w:t>
      </w:r>
      <w:r w:rsidRPr="00D714FC">
        <w:rPr>
          <w:rFonts w:cs="Times New Roman"/>
        </w:rPr>
        <w:t xml:space="preserve">(Cth) (ADJR Act). </w:t>
      </w:r>
    </w:p>
    <w:p w:rsidR="00B72F74" w:rsidRDefault="00B72F74" w:rsidP="00B72F74">
      <w:pPr>
        <w:rPr>
          <w:rFonts w:cs="Times New Roman"/>
        </w:rPr>
      </w:pPr>
      <w:r w:rsidRPr="00D714FC">
        <w:rPr>
          <w:rFonts w:cs="Times New Roman"/>
        </w:rPr>
        <w:t xml:space="preserve">A person who is aggrieved by a decision made under the water charge rules may apply to the Federal Court for an order of review in respect of the decision on any one or more of the grounds of judicial review specified in the ADJR Act. Judicial review (as opposed to </w:t>
      </w:r>
      <w:r>
        <w:rPr>
          <w:rFonts w:cs="Times New Roman"/>
        </w:rPr>
        <w:t>‘</w:t>
      </w:r>
      <w:r w:rsidRPr="00D714FC">
        <w:rPr>
          <w:rFonts w:cs="Times New Roman"/>
        </w:rPr>
        <w:t>merits review</w:t>
      </w:r>
      <w:r>
        <w:rPr>
          <w:rFonts w:cs="Times New Roman"/>
        </w:rPr>
        <w:t>’</w:t>
      </w:r>
      <w:r w:rsidR="00165C15">
        <w:rPr>
          <w:rFonts w:cs="Times New Roman"/>
        </w:rPr>
        <w:t>,</w:t>
      </w:r>
      <w:r w:rsidRPr="00D714FC">
        <w:rPr>
          <w:rFonts w:cs="Times New Roman"/>
        </w:rPr>
        <w:t xml:space="preserve"> which looks at the substance of the decision) may be generally described as a review of the legal processes and lawfulness for the making of the decision. Judicial review focusses on errors in the application of the law. It relates to matters such as whether the decision maker had the power to make the decision and whether the decision maker applied ‘procedural fairness’. </w:t>
      </w:r>
    </w:p>
    <w:p w:rsidR="00BB173F" w:rsidRPr="00D714FC" w:rsidRDefault="00BB173F" w:rsidP="009B56D7">
      <w:pPr>
        <w:spacing w:after="120"/>
        <w:rPr>
          <w:rFonts w:cs="Times New Roman"/>
        </w:rPr>
      </w:pPr>
      <w:r w:rsidRPr="00D714FC">
        <w:rPr>
          <w:rFonts w:cs="Times New Roman"/>
        </w:rPr>
        <w:t>In order to seek judicial review, it is necessary to establish a specific ground of review</w:t>
      </w:r>
      <w:r w:rsidR="0071045A">
        <w:rPr>
          <w:rFonts w:cs="Times New Roman"/>
        </w:rPr>
        <w:t>.</w:t>
      </w:r>
      <w:r w:rsidR="0071045A" w:rsidRPr="0071045A">
        <w:rPr>
          <w:rFonts w:cs="Times New Roman"/>
        </w:rPr>
        <w:t xml:space="preserve"> </w:t>
      </w:r>
      <w:r w:rsidR="0071045A" w:rsidRPr="00D714FC">
        <w:rPr>
          <w:rFonts w:cs="Times New Roman"/>
        </w:rPr>
        <w:t>Of most relevance are the grounds for review provided for in section 5 of the ADJR Act</w:t>
      </w:r>
      <w:r w:rsidRPr="00D714FC">
        <w:rPr>
          <w:rFonts w:cs="Times New Roman"/>
        </w:rPr>
        <w:t>. Common circumstances giving grounds for review include:</w:t>
      </w:r>
    </w:p>
    <w:p w:rsidR="00BB173F" w:rsidRPr="00C53AB4" w:rsidRDefault="00BB173F" w:rsidP="00A82DE6">
      <w:pPr>
        <w:pStyle w:val="Lvl1Bulletpoint"/>
      </w:pPr>
      <w:r w:rsidRPr="00C53AB4">
        <w:t>not giving a stakeholder an appropriate opportunity to present their views</w:t>
      </w:r>
    </w:p>
    <w:p w:rsidR="00BB173F" w:rsidRPr="00C53AB4" w:rsidRDefault="00BB173F" w:rsidP="00A82DE6">
      <w:pPr>
        <w:pStyle w:val="Lvl1Bulletpoint"/>
      </w:pPr>
      <w:r w:rsidRPr="00C53AB4">
        <w:t>incorrectly interpreting relevant legislation</w:t>
      </w:r>
    </w:p>
    <w:p w:rsidR="00BB173F" w:rsidRPr="00D714FC" w:rsidRDefault="00BB173F" w:rsidP="00A82DE6">
      <w:pPr>
        <w:pStyle w:val="Lvl1Bulletpoint"/>
      </w:pPr>
      <w:r w:rsidRPr="00C53AB4">
        <w:t>not</w:t>
      </w:r>
      <w:r w:rsidRPr="00D714FC">
        <w:t xml:space="preserve"> taking into account something the law requires to be considered.</w:t>
      </w:r>
    </w:p>
    <w:p w:rsidR="00B72F74" w:rsidRDefault="00BB173F" w:rsidP="00B72F74">
      <w:pPr>
        <w:spacing w:before="240"/>
        <w:rPr>
          <w:rFonts w:cs="Times New Roman"/>
        </w:rPr>
      </w:pPr>
      <w:r w:rsidRPr="00D714FC">
        <w:rPr>
          <w:rFonts w:cs="Times New Roman"/>
        </w:rPr>
        <w:t xml:space="preserve">If the court finds that there are grounds for review and that the decision was not a lawful one, it may set aside that decision. Normally, the court will then ask the original decision-maker to make the decision again. </w:t>
      </w:r>
    </w:p>
    <w:p w:rsidR="00B72F74" w:rsidRPr="00D714FC" w:rsidRDefault="00B72F74" w:rsidP="00B72F74">
      <w:pPr>
        <w:rPr>
          <w:rFonts w:cs="Times New Roman"/>
        </w:rPr>
      </w:pPr>
      <w:r w:rsidRPr="00D714FC">
        <w:rPr>
          <w:rFonts w:cs="Times New Roman"/>
        </w:rPr>
        <w:t>The rules of procedural fairness require a decision maker to give a person a proper hearing before making any decision that affects a person’s interests. For example, if the ACCC failed to consult with interested parties in making a decision to approve or determine regulated charges under Part 6 of the WCIR this would be a ground for judicial review under the ADJR Act.</w:t>
      </w:r>
    </w:p>
    <w:p w:rsidR="00B72F74" w:rsidRDefault="00B72F74" w:rsidP="00B72F74">
      <w:pPr>
        <w:rPr>
          <w:rFonts w:cs="Times New Roman"/>
        </w:rPr>
      </w:pPr>
      <w:r w:rsidRPr="00D714FC">
        <w:rPr>
          <w:rFonts w:cs="Times New Roman"/>
        </w:rPr>
        <w:t xml:space="preserve">Another example of a ground of review under the ADJR Act would be if the ACCC failed to take into account a relevant consideration when making its decision under the </w:t>
      </w:r>
      <w:r w:rsidR="00E173A3">
        <w:rPr>
          <w:rFonts w:cs="Times New Roman"/>
        </w:rPr>
        <w:t>rules</w:t>
      </w:r>
      <w:r w:rsidRPr="00D714FC">
        <w:rPr>
          <w:rFonts w:cs="Times New Roman"/>
        </w:rPr>
        <w:t>. A relevant consideration would include a consideration</w:t>
      </w:r>
      <w:r w:rsidR="00CB42CD">
        <w:rPr>
          <w:rFonts w:cs="Times New Roman"/>
        </w:rPr>
        <w:t>,</w:t>
      </w:r>
      <w:r w:rsidRPr="00D714FC">
        <w:rPr>
          <w:rFonts w:cs="Times New Roman"/>
        </w:rPr>
        <w:t xml:space="preserve"> which the ACCC must take into account as required by the </w:t>
      </w:r>
      <w:r w:rsidR="00E173A3">
        <w:rPr>
          <w:rFonts w:cs="Times New Roman"/>
        </w:rPr>
        <w:t>rules</w:t>
      </w:r>
      <w:r w:rsidRPr="00D714FC">
        <w:rPr>
          <w:rFonts w:cs="Times New Roman"/>
        </w:rPr>
        <w:t>. For example, if the ACCC in making an accreditation decision under Part 9 of the WCIR failed to take into account a relevant consideration such as the requirements set out in Schedule 5 of the WCIR, this would be a ground for judicial review under the ADJR Act.</w:t>
      </w:r>
    </w:p>
    <w:p w:rsidR="00BB173F" w:rsidRPr="00D714FC" w:rsidRDefault="00BB173F" w:rsidP="00BB173F">
      <w:pPr>
        <w:rPr>
          <w:rFonts w:cs="Times New Roman"/>
        </w:rPr>
      </w:pPr>
      <w:r w:rsidRPr="00D714FC">
        <w:rPr>
          <w:rFonts w:cs="Times New Roman"/>
        </w:rPr>
        <w:t>To date, no person has applied for judicial review of a decision under the WCIR.</w:t>
      </w:r>
    </w:p>
    <w:p w:rsidR="00B72F74" w:rsidRDefault="00B72F74" w:rsidP="00BB173F">
      <w:pPr>
        <w:rPr>
          <w:rFonts w:cs="Times New Roman"/>
        </w:rPr>
      </w:pPr>
      <w:r>
        <w:rPr>
          <w:rFonts w:cs="Times New Roman"/>
        </w:rPr>
        <w:t>In its Draft Advice, the ACCC considered that the current provisions of judicial review for the water charge rules are sufficient. The ACCC did not support introduction of a merits review process, noting the considerable costs and uncertainties such a process would introduce</w:t>
      </w:r>
      <w:r w:rsidR="00A975D2">
        <w:rPr>
          <w:rFonts w:cs="Times New Roman"/>
        </w:rPr>
        <w:t>, and the limited likely benefits</w:t>
      </w:r>
      <w:r>
        <w:rPr>
          <w:rFonts w:cs="Times New Roman"/>
        </w:rPr>
        <w:t>. The ACCC also did not support proposals from stakeholders that state jurisdictional appeal mechanisms be accessible under the water charge rules. The ACCC’s reasoning in support of this conclusion is set out in section 5.8 of the Draft Advice.</w:t>
      </w:r>
      <w:r>
        <w:rPr>
          <w:rStyle w:val="FootnoteReference"/>
          <w:rFonts w:cs="Times New Roman"/>
        </w:rPr>
        <w:footnoteReference w:id="488"/>
      </w:r>
    </w:p>
    <w:p w:rsidR="0071045A" w:rsidRPr="00B514CB" w:rsidRDefault="00A975D2" w:rsidP="00A975D2">
      <w:pPr>
        <w:rPr>
          <w:rFonts w:cs="Times New Roman"/>
          <w:color w:val="000000"/>
        </w:rPr>
      </w:pPr>
      <w:r>
        <w:rPr>
          <w:rFonts w:cs="Times New Roman"/>
        </w:rPr>
        <w:t xml:space="preserve">The ACCC also noted in its Draft Advice that some stakeholders are concerned about appeal mechanisms in the rural water sector more broadly. Some stakeholders </w:t>
      </w:r>
      <w:r w:rsidR="00FA3DAC">
        <w:rPr>
          <w:rFonts w:cs="Times New Roman"/>
          <w:color w:val="000000"/>
        </w:rPr>
        <w:t>s</w:t>
      </w:r>
      <w:r w:rsidR="0071045A">
        <w:rPr>
          <w:rFonts w:cs="Times New Roman"/>
          <w:color w:val="000000"/>
        </w:rPr>
        <w:t xml:space="preserve">uggested </w:t>
      </w:r>
      <w:r>
        <w:rPr>
          <w:rFonts w:cs="Times New Roman"/>
          <w:color w:val="000000"/>
        </w:rPr>
        <w:t xml:space="preserve">that </w:t>
      </w:r>
      <w:r w:rsidR="0071045A">
        <w:rPr>
          <w:rFonts w:cs="Times New Roman"/>
          <w:color w:val="000000"/>
        </w:rPr>
        <w:t>a</w:t>
      </w:r>
      <w:r w:rsidR="0071045A" w:rsidRPr="00D714FC">
        <w:rPr>
          <w:rFonts w:cs="Times New Roman"/>
          <w:color w:val="000000"/>
        </w:rPr>
        <w:t xml:space="preserve"> water ombudsman </w:t>
      </w:r>
      <w:r>
        <w:rPr>
          <w:rFonts w:cs="Times New Roman"/>
          <w:color w:val="000000"/>
        </w:rPr>
        <w:t>could be an appropriate entity to deal with issues relating to decisions made under Part 6, or for the rural water sector more broadly.</w:t>
      </w:r>
      <w:r>
        <w:rPr>
          <w:rStyle w:val="FootnoteReference"/>
          <w:rFonts w:cs="Times New Roman"/>
          <w:color w:val="000000"/>
        </w:rPr>
        <w:footnoteReference w:id="489"/>
      </w:r>
      <w:r>
        <w:rPr>
          <w:rFonts w:cs="Times New Roman"/>
          <w:color w:val="000000"/>
        </w:rPr>
        <w:t xml:space="preserve"> While the </w:t>
      </w:r>
      <w:r w:rsidR="0071045A" w:rsidRPr="00D714FC">
        <w:rPr>
          <w:rFonts w:cs="Times New Roman"/>
          <w:color w:val="000000"/>
        </w:rPr>
        <w:t xml:space="preserve">ACCC </w:t>
      </w:r>
      <w:r>
        <w:rPr>
          <w:rFonts w:cs="Times New Roman"/>
          <w:color w:val="000000"/>
        </w:rPr>
        <w:t xml:space="preserve">did </w:t>
      </w:r>
      <w:r w:rsidR="0071045A" w:rsidRPr="00D714FC">
        <w:rPr>
          <w:rFonts w:cs="Times New Roman"/>
          <w:color w:val="000000"/>
        </w:rPr>
        <w:t>not consider an ombudsman to be an appropriate avenue for reviewing a regulatory determination</w:t>
      </w:r>
      <w:r>
        <w:rPr>
          <w:rFonts w:cs="Times New Roman"/>
          <w:color w:val="000000"/>
        </w:rPr>
        <w:t xml:space="preserve"> made under Part 6 (or Part 7) of the WCIR, the ACCC was supportive of the proposal to have </w:t>
      </w:r>
      <w:r w:rsidRPr="00D714FC">
        <w:rPr>
          <w:rFonts w:cs="Times New Roman"/>
          <w:color w:val="000000"/>
        </w:rPr>
        <w:t>a water ombudsman adjudicate individual rural water disputes more generally</w:t>
      </w:r>
      <w:r w:rsidR="0071045A" w:rsidRPr="00D714FC">
        <w:rPr>
          <w:rFonts w:cs="Times New Roman"/>
          <w:color w:val="000000"/>
        </w:rPr>
        <w:t>. Th</w:t>
      </w:r>
      <w:r>
        <w:rPr>
          <w:rFonts w:cs="Times New Roman"/>
          <w:color w:val="000000"/>
        </w:rPr>
        <w:t>is</w:t>
      </w:r>
      <w:r w:rsidR="0071045A" w:rsidRPr="00D714FC">
        <w:rPr>
          <w:rFonts w:cs="Times New Roman"/>
          <w:color w:val="000000"/>
        </w:rPr>
        <w:t xml:space="preserve"> proposal is discussed in section 8.3.</w:t>
      </w:r>
    </w:p>
    <w:p w:rsidR="00BB173F" w:rsidRPr="00D714FC" w:rsidRDefault="00BB173F" w:rsidP="00020517">
      <w:pPr>
        <w:pStyle w:val="Heading3Un-numbered"/>
      </w:pPr>
      <w:r w:rsidRPr="00D714FC">
        <w:t>Stakeholder feedback</w:t>
      </w:r>
    </w:p>
    <w:p w:rsidR="004F7C9F" w:rsidRDefault="005A3C99" w:rsidP="0005156C">
      <w:pPr>
        <w:rPr>
          <w:rFonts w:cs="Times New Roman"/>
        </w:rPr>
      </w:pPr>
      <w:r w:rsidRPr="0005156C">
        <w:rPr>
          <w:rFonts w:cs="Times New Roman"/>
        </w:rPr>
        <w:t xml:space="preserve">In submissions to the Act Review and the Issues Paper, </w:t>
      </w:r>
      <w:r w:rsidR="004F7C9F">
        <w:rPr>
          <w:rFonts w:cs="Times New Roman"/>
        </w:rPr>
        <w:t xml:space="preserve">stakeholders expressed </w:t>
      </w:r>
      <w:r w:rsidR="00BB173F" w:rsidRPr="0005156C">
        <w:rPr>
          <w:rFonts w:cs="Times New Roman"/>
        </w:rPr>
        <w:t>a range of views regarding the benefits of incorporating additional appeal mechanisms beyond judicial review into the WCIR.</w:t>
      </w:r>
      <w:r w:rsidR="0005156C">
        <w:rPr>
          <w:rFonts w:cs="Times New Roman"/>
        </w:rPr>
        <w:t xml:space="preserve"> On balance, there was a mixed response in relation to </w:t>
      </w:r>
      <w:r w:rsidR="00871E89">
        <w:rPr>
          <w:rFonts w:cs="Times New Roman"/>
        </w:rPr>
        <w:t xml:space="preserve">including </w:t>
      </w:r>
      <w:r w:rsidR="0005156C">
        <w:rPr>
          <w:rFonts w:cs="Times New Roman"/>
        </w:rPr>
        <w:t xml:space="preserve">a </w:t>
      </w:r>
      <w:r w:rsidR="00871E89">
        <w:rPr>
          <w:rFonts w:cs="Times New Roman"/>
        </w:rPr>
        <w:t>merits</w:t>
      </w:r>
      <w:r w:rsidR="0005156C">
        <w:rPr>
          <w:rFonts w:cs="Times New Roman"/>
        </w:rPr>
        <w:t xml:space="preserve"> review mechanism in the water charge rules: t</w:t>
      </w:r>
      <w:r w:rsidR="00871E89">
        <w:rPr>
          <w:rFonts w:cs="Times New Roman"/>
        </w:rPr>
        <w:t>wo</w:t>
      </w:r>
      <w:r w:rsidR="001D1685" w:rsidRPr="0005156C">
        <w:rPr>
          <w:rFonts w:cs="Times New Roman"/>
        </w:rPr>
        <w:t xml:space="preserve"> </w:t>
      </w:r>
      <w:r w:rsidR="00BB173F" w:rsidRPr="0005156C">
        <w:rPr>
          <w:rFonts w:cs="Times New Roman"/>
        </w:rPr>
        <w:t xml:space="preserve">stakeholders supported </w:t>
      </w:r>
      <w:r w:rsidR="0005156C">
        <w:rPr>
          <w:rFonts w:cs="Times New Roman"/>
        </w:rPr>
        <w:t>such a mechanism</w:t>
      </w:r>
      <w:r w:rsidRPr="0005156C">
        <w:rPr>
          <w:rStyle w:val="FootnoteReference"/>
          <w:rFonts w:cs="Times New Roman"/>
          <w:color w:val="000000"/>
        </w:rPr>
        <w:footnoteReference w:id="490"/>
      </w:r>
      <w:r w:rsidR="00BB173F" w:rsidRPr="0005156C">
        <w:rPr>
          <w:rFonts w:cs="Times New Roman"/>
        </w:rPr>
        <w:t xml:space="preserve"> </w:t>
      </w:r>
      <w:r w:rsidR="0005156C">
        <w:rPr>
          <w:rFonts w:cs="Times New Roman"/>
        </w:rPr>
        <w:t>three stakeholders did not.</w:t>
      </w:r>
      <w:r w:rsidR="0005156C" w:rsidRPr="0005156C">
        <w:rPr>
          <w:rStyle w:val="FootnoteReference"/>
          <w:rFonts w:cs="Times New Roman"/>
          <w:iCs/>
          <w:color w:val="000000"/>
        </w:rPr>
        <w:footnoteReference w:id="491"/>
      </w:r>
      <w:r w:rsidR="0005156C" w:rsidRPr="0005156C">
        <w:rPr>
          <w:rFonts w:cs="Times New Roman"/>
        </w:rPr>
        <w:t xml:space="preserve"> </w:t>
      </w:r>
    </w:p>
    <w:p w:rsidR="00BB173F" w:rsidRPr="0005156C" w:rsidRDefault="004F7C9F" w:rsidP="004F7C9F">
      <w:pPr>
        <w:rPr>
          <w:rFonts w:cs="Times New Roman"/>
          <w:iCs/>
          <w:color w:val="000000"/>
        </w:rPr>
      </w:pPr>
      <w:r>
        <w:rPr>
          <w:rFonts w:cs="Times New Roman"/>
        </w:rPr>
        <w:t xml:space="preserve">WaterNSW </w:t>
      </w:r>
      <w:r w:rsidR="0005156C" w:rsidRPr="0005156C">
        <w:rPr>
          <w:rFonts w:cs="Times New Roman"/>
          <w:iCs/>
          <w:color w:val="000000"/>
        </w:rPr>
        <w:t xml:space="preserve">argued that the applicability of the ADJR Act to the regulatory framework in water is uncertain and that the right to judicial review should be set out explicitly in the </w:t>
      </w:r>
      <w:r w:rsidR="0005156C" w:rsidRPr="003E27EE">
        <w:rPr>
          <w:rFonts w:cs="Times New Roman"/>
          <w:i/>
          <w:iCs/>
          <w:color w:val="000000"/>
        </w:rPr>
        <w:t>Water Act 2007</w:t>
      </w:r>
      <w:r w:rsidR="003E27EE">
        <w:rPr>
          <w:rFonts w:cs="Times New Roman"/>
          <w:iCs/>
          <w:color w:val="000000"/>
        </w:rPr>
        <w:t xml:space="preserve"> (the Act)</w:t>
      </w:r>
      <w:r w:rsidR="0005156C" w:rsidRPr="0005156C">
        <w:rPr>
          <w:rFonts w:cs="Times New Roman"/>
          <w:iCs/>
          <w:color w:val="000000"/>
        </w:rPr>
        <w:t>.</w:t>
      </w:r>
      <w:r w:rsidR="00BB173F" w:rsidRPr="0005156C">
        <w:rPr>
          <w:rStyle w:val="FootnoteReference"/>
          <w:rFonts w:cs="Times New Roman"/>
          <w:iCs/>
          <w:color w:val="000000"/>
        </w:rPr>
        <w:footnoteReference w:id="492"/>
      </w:r>
      <w:r w:rsidR="00BB173F" w:rsidRPr="0005156C">
        <w:rPr>
          <w:rFonts w:cs="Times New Roman"/>
          <w:iCs/>
          <w:color w:val="000000"/>
        </w:rPr>
        <w:t xml:space="preserve"> </w:t>
      </w:r>
      <w:r>
        <w:rPr>
          <w:rFonts w:cs="Times New Roman"/>
          <w:iCs/>
          <w:color w:val="000000"/>
        </w:rPr>
        <w:t>Goulburn-Murray Water</w:t>
      </w:r>
      <w:r w:rsidR="00CD0E51">
        <w:rPr>
          <w:rFonts w:cs="Times New Roman"/>
          <w:iCs/>
          <w:color w:val="000000"/>
        </w:rPr>
        <w:t xml:space="preserve"> (GMW)</w:t>
      </w:r>
      <w:r>
        <w:rPr>
          <w:rFonts w:cs="Times New Roman"/>
          <w:iCs/>
          <w:color w:val="000000"/>
        </w:rPr>
        <w:t xml:space="preserve"> </w:t>
      </w:r>
      <w:r w:rsidR="0005156C" w:rsidRPr="0005156C">
        <w:rPr>
          <w:rFonts w:cs="Times New Roman"/>
          <w:iCs/>
          <w:color w:val="000000"/>
        </w:rPr>
        <w:t>supported a</w:t>
      </w:r>
      <w:r w:rsidR="00BB173F" w:rsidRPr="0005156C">
        <w:rPr>
          <w:rFonts w:cs="Times New Roman"/>
          <w:iCs/>
          <w:color w:val="000000"/>
        </w:rPr>
        <w:t xml:space="preserve"> </w:t>
      </w:r>
      <w:r>
        <w:rPr>
          <w:rFonts w:cs="Times New Roman"/>
          <w:iCs/>
          <w:color w:val="000000"/>
        </w:rPr>
        <w:t xml:space="preserve">Basin </w:t>
      </w:r>
      <w:r w:rsidR="00BB173F" w:rsidRPr="0005156C">
        <w:rPr>
          <w:rFonts w:cs="Times New Roman"/>
          <w:iCs/>
          <w:color w:val="000000"/>
        </w:rPr>
        <w:t>State’s regulatory review processes apply</w:t>
      </w:r>
      <w:r w:rsidR="0005156C" w:rsidRPr="0005156C">
        <w:rPr>
          <w:rFonts w:cs="Times New Roman"/>
          <w:iCs/>
          <w:color w:val="000000"/>
        </w:rPr>
        <w:t>ing where the State regulator has been accredited</w:t>
      </w:r>
      <w:r w:rsidR="00BB173F" w:rsidRPr="0005156C">
        <w:rPr>
          <w:rFonts w:cs="Times New Roman"/>
          <w:iCs/>
          <w:color w:val="000000"/>
        </w:rPr>
        <w:t>.</w:t>
      </w:r>
      <w:r w:rsidR="00786316" w:rsidRPr="0005156C">
        <w:rPr>
          <w:rStyle w:val="FootnoteReference"/>
          <w:rFonts w:cs="Times New Roman"/>
          <w:iCs/>
          <w:color w:val="000000"/>
        </w:rPr>
        <w:footnoteReference w:id="493"/>
      </w:r>
      <w:r w:rsidR="00BB173F" w:rsidRPr="0005156C">
        <w:rPr>
          <w:rFonts w:cs="Times New Roman"/>
          <w:iCs/>
          <w:color w:val="000000"/>
        </w:rPr>
        <w:t xml:space="preserve"> </w:t>
      </w:r>
    </w:p>
    <w:p w:rsidR="00BB173F" w:rsidRDefault="00BB173F" w:rsidP="0005156C">
      <w:pPr>
        <w:rPr>
          <w:rFonts w:cs="Times New Roman"/>
        </w:rPr>
      </w:pPr>
      <w:r w:rsidRPr="0005156C">
        <w:rPr>
          <w:rFonts w:cs="Times New Roman"/>
        </w:rPr>
        <w:t>Several stakeholders</w:t>
      </w:r>
      <w:r w:rsidR="0005156C" w:rsidRPr="0005156C">
        <w:rPr>
          <w:rStyle w:val="FootnoteReference"/>
          <w:rFonts w:cs="Times New Roman"/>
        </w:rPr>
        <w:footnoteReference w:id="494"/>
      </w:r>
      <w:r w:rsidRPr="0005156C">
        <w:rPr>
          <w:rFonts w:cs="Times New Roman"/>
        </w:rPr>
        <w:t xml:space="preserve"> and individual irrigators attending public forums expressed a preference for having a water ombudsman for the rural water sector. </w:t>
      </w:r>
      <w:r w:rsidR="0032483A" w:rsidRPr="0005156C">
        <w:rPr>
          <w:rFonts w:cs="Times New Roman"/>
        </w:rPr>
        <w:t xml:space="preserve">The </w:t>
      </w:r>
      <w:r w:rsidR="00336D15">
        <w:rPr>
          <w:rFonts w:cs="Times New Roman"/>
        </w:rPr>
        <w:t>National Irrigators’ Council (</w:t>
      </w:r>
      <w:r w:rsidR="0032483A" w:rsidRPr="0005156C">
        <w:rPr>
          <w:rFonts w:cs="Times New Roman"/>
        </w:rPr>
        <w:t>NIC</w:t>
      </w:r>
      <w:r w:rsidR="00336D15">
        <w:rPr>
          <w:rFonts w:cs="Times New Roman"/>
        </w:rPr>
        <w:t>)</w:t>
      </w:r>
      <w:r w:rsidR="0032483A" w:rsidRPr="0005156C">
        <w:rPr>
          <w:rFonts w:cs="Times New Roman"/>
        </w:rPr>
        <w:t xml:space="preserve"> and </w:t>
      </w:r>
      <w:r w:rsidR="00996599">
        <w:rPr>
          <w:rFonts w:cs="Times New Roman"/>
        </w:rPr>
        <w:t>Central Irrigation Trust (</w:t>
      </w:r>
      <w:r w:rsidR="0032483A" w:rsidRPr="0005156C">
        <w:rPr>
          <w:rFonts w:cs="Times New Roman"/>
        </w:rPr>
        <w:t>CIT</w:t>
      </w:r>
      <w:r w:rsidR="00996599">
        <w:rPr>
          <w:rFonts w:cs="Times New Roman"/>
        </w:rPr>
        <w:t>)</w:t>
      </w:r>
      <w:r w:rsidR="0032483A" w:rsidRPr="0005156C">
        <w:rPr>
          <w:rFonts w:cs="Times New Roman"/>
        </w:rPr>
        <w:t xml:space="preserve"> supported having an Ombudsman on the condition that it covered all aspects of the Act, the </w:t>
      </w:r>
      <w:r w:rsidR="00BF194C">
        <w:rPr>
          <w:rFonts w:cs="Times New Roman"/>
        </w:rPr>
        <w:t>Murray-Darling Basin (</w:t>
      </w:r>
      <w:r w:rsidR="0032483A" w:rsidRPr="0005156C">
        <w:rPr>
          <w:rFonts w:cs="Times New Roman"/>
        </w:rPr>
        <w:t>MDB</w:t>
      </w:r>
      <w:r w:rsidR="00BF194C">
        <w:rPr>
          <w:rFonts w:cs="Times New Roman"/>
        </w:rPr>
        <w:t>)</w:t>
      </w:r>
      <w:r w:rsidR="0032483A" w:rsidRPr="0005156C">
        <w:rPr>
          <w:rFonts w:cs="Times New Roman"/>
        </w:rPr>
        <w:t xml:space="preserve"> Plan and associated State and Federal legislation.</w:t>
      </w:r>
    </w:p>
    <w:p w:rsidR="004F7C9F" w:rsidRDefault="004F7C9F" w:rsidP="004F7C9F">
      <w:r>
        <w:t xml:space="preserve">Only two stakeholders made written submissions to the Draft Advice which addressed appeal mechanisms. Both these stakeholders, WaterNSW and GMW, submitted that they continue to support a merits review process in the WCIR. </w:t>
      </w:r>
    </w:p>
    <w:p w:rsidR="004F7C9F" w:rsidRDefault="004F7C9F" w:rsidP="004F7C9F">
      <w:r>
        <w:t xml:space="preserve">While WaterNSW acknowledged that the judicial review mechanism was an appropriate mechanism for review of decisions the regulator makes under the WCIR, it was concerned that this mechanism was limited in scope. </w:t>
      </w:r>
    </w:p>
    <w:p w:rsidR="004F7C9F" w:rsidRDefault="004F7C9F" w:rsidP="004F7C9F">
      <w:r>
        <w:t xml:space="preserve">While acknowledging the ACCC’s view that it was unclear the benefits of merits review outweighed the costs, WaterNSW noted that the ACCC’s assessment was based on qualitative, rather than detailed, cost information. </w:t>
      </w:r>
    </w:p>
    <w:p w:rsidR="004F7C9F" w:rsidRDefault="004F7C9F" w:rsidP="009B56D7">
      <w:pPr>
        <w:spacing w:after="120"/>
      </w:pPr>
      <w:r>
        <w:t>WaterNSW continued to support merits review for price determinations in the MDB for the reasons set out in its previous submissions, including its submission in relation to the ACCC’s Issues Paper.</w:t>
      </w:r>
      <w:r>
        <w:rPr>
          <w:rStyle w:val="FootnoteReference"/>
        </w:rPr>
        <w:footnoteReference w:id="495"/>
      </w:r>
      <w:r>
        <w:t xml:space="preserve"> These reasons were that a merits review process:</w:t>
      </w:r>
    </w:p>
    <w:p w:rsidR="004F7C9F" w:rsidRDefault="004F7C9F" w:rsidP="00A82DE6">
      <w:pPr>
        <w:pStyle w:val="Lvl1Bulletpoint"/>
      </w:pPr>
      <w:r>
        <w:t>facilitates robust and consistent economic outcomes</w:t>
      </w:r>
    </w:p>
    <w:p w:rsidR="004F7C9F" w:rsidRDefault="004F7C9F" w:rsidP="00A82DE6">
      <w:pPr>
        <w:pStyle w:val="Lvl1Bulletpoint"/>
      </w:pPr>
      <w:r>
        <w:t>ensures the regulator exercises power lawfully and within its mandate</w:t>
      </w:r>
    </w:p>
    <w:p w:rsidR="004F7C9F" w:rsidRDefault="004F7C9F" w:rsidP="00A82DE6">
      <w:pPr>
        <w:pStyle w:val="Lvl1Bulletpoint"/>
      </w:pPr>
      <w:r>
        <w:t>prevents outside influences creeping into the regulatory process in the form of regulatory capture, regulatory inertia or regulatory timidity</w:t>
      </w:r>
    </w:p>
    <w:p w:rsidR="004F7C9F" w:rsidRDefault="004F7C9F" w:rsidP="00A82DE6">
      <w:pPr>
        <w:pStyle w:val="Lvl1Bulletpoint"/>
      </w:pPr>
      <w:r>
        <w:t>ensures outcomes are free of regulatory error</w:t>
      </w:r>
    </w:p>
    <w:p w:rsidR="004F7C9F" w:rsidRDefault="004F7C9F" w:rsidP="00A82DE6">
      <w:pPr>
        <w:pStyle w:val="Lvl1Bulletpoint"/>
      </w:pPr>
      <w:r>
        <w:t>facilitates greater investments as operators would have greater confidence that the regulatory decisions would allow an adequate return.</w:t>
      </w:r>
      <w:r>
        <w:rPr>
          <w:rStyle w:val="FootnoteReference"/>
        </w:rPr>
        <w:footnoteReference w:id="496"/>
      </w:r>
    </w:p>
    <w:p w:rsidR="004F7C9F" w:rsidRPr="00D714FC" w:rsidRDefault="004F7C9F" w:rsidP="004F7C9F">
      <w:pPr>
        <w:rPr>
          <w:rFonts w:cs="Times New Roman"/>
        </w:rPr>
      </w:pPr>
      <w:r>
        <w:t>GMW submitted that the introduction of a merits review process would make the WCIR consistent with “standard regulatory practice and provide the opportunity for manifestly incorrect decisions to be challenged”.</w:t>
      </w:r>
      <w:r w:rsidRPr="00073821">
        <w:rPr>
          <w:rStyle w:val="FootnoteReference"/>
          <w:rFonts w:cs="Times New Roman"/>
          <w:sz w:val="20"/>
          <w:szCs w:val="20"/>
        </w:rPr>
        <w:footnoteReference w:id="497"/>
      </w:r>
    </w:p>
    <w:p w:rsidR="00643F3F" w:rsidRDefault="0079321E" w:rsidP="00020517">
      <w:pPr>
        <w:pStyle w:val="Heading3Un-numbered"/>
      </w:pPr>
      <w:r>
        <w:t>ACCC assessment</w:t>
      </w:r>
    </w:p>
    <w:p w:rsidR="0032609A" w:rsidRDefault="0032609A" w:rsidP="0032609A">
      <w:r>
        <w:t xml:space="preserve">The ACCC notes and agrees with stakeholders’ general support for the use of judicial review of administrative decisions of regulators under the </w:t>
      </w:r>
      <w:r w:rsidR="003C6A83">
        <w:t>rules</w:t>
      </w:r>
      <w:r>
        <w:t>.</w:t>
      </w:r>
    </w:p>
    <w:p w:rsidR="0032609A" w:rsidRDefault="0032609A" w:rsidP="0032609A">
      <w:r>
        <w:t xml:space="preserve">The ACCC also notes that some stakeholders support the introduction of a merits review process for approvals or determinations made by the regulator, in addition to judicial review. </w:t>
      </w:r>
      <w:r w:rsidR="00D35316">
        <w:t>However, t</w:t>
      </w:r>
      <w:r>
        <w:t xml:space="preserve">he ACCC does not support </w:t>
      </w:r>
      <w:r w:rsidR="00D35316">
        <w:t>the introduction of merits review,</w:t>
      </w:r>
      <w:r>
        <w:t xml:space="preserve"> for the following reasons: </w:t>
      </w:r>
    </w:p>
    <w:p w:rsidR="0032609A" w:rsidRDefault="0032609A" w:rsidP="00A82DE6">
      <w:pPr>
        <w:pStyle w:val="Lvl1Bulletpoint"/>
      </w:pPr>
      <w:r>
        <w:t xml:space="preserve">in many scenarios the ACCC considers judicial review as sufficient to address problems that may be present in regulatory decisions. </w:t>
      </w:r>
    </w:p>
    <w:p w:rsidR="0032609A" w:rsidRDefault="0032609A" w:rsidP="00A82DE6">
      <w:pPr>
        <w:pStyle w:val="Lvl1Bulletpoint"/>
      </w:pPr>
      <w:r>
        <w:t>stakeholders have not demonstrated how a merits review system would improve regulatory decision-making.</w:t>
      </w:r>
    </w:p>
    <w:p w:rsidR="0032609A" w:rsidRDefault="0032609A" w:rsidP="00A82DE6">
      <w:pPr>
        <w:pStyle w:val="Lvl1Bulletpoint"/>
      </w:pPr>
      <w:r>
        <w:t xml:space="preserve">it is not apparent that the benefits of an appeals process would outweigh the costs. </w:t>
      </w:r>
    </w:p>
    <w:p w:rsidR="0032609A" w:rsidRDefault="00966643" w:rsidP="0032609A">
      <w:r>
        <w:t>M</w:t>
      </w:r>
      <w:r w:rsidR="0032609A">
        <w:t>erits review can take a number of forms. It can consist of a ‘full’ merits review, where the appeals body may make a decision on any issue the stakeholder raises as new, that is, without regard to the regulator’s original decision. Alternatively, merits review can be a ‘limited’ review in which a stakeholder may appeal only on certain grounds (such as is used in the energy sector). The appeals body may be an administrative body with specialist expertise or a quasi-judicial body, such as the Australian Competition Tribunal.</w:t>
      </w:r>
    </w:p>
    <w:p w:rsidR="0032609A" w:rsidRDefault="0032609A" w:rsidP="0032609A">
      <w:r>
        <w:t xml:space="preserve">In making regulatory decisions, the ACCC and other regulators weigh up various complex objectives. There is often a range of reasonable decisions that the regulator may make, rather than one ‘correct’ decision. </w:t>
      </w:r>
    </w:p>
    <w:p w:rsidR="0032609A" w:rsidRDefault="0032609A" w:rsidP="0032609A">
      <w:r>
        <w:t xml:space="preserve">Where the decision made does not fall within this reasonable range of outcomes, the decision is likely to be contrary to or involve an error of law, not be authorised by the </w:t>
      </w:r>
      <w:r w:rsidR="003C6A83">
        <w:t>rules</w:t>
      </w:r>
      <w:r>
        <w:t>, and</w:t>
      </w:r>
      <w:r w:rsidR="00E173A3">
        <w:t xml:space="preserve"> </w:t>
      </w:r>
      <w:r>
        <w:t>/</w:t>
      </w:r>
      <w:r w:rsidR="00E173A3">
        <w:t xml:space="preserve"> </w:t>
      </w:r>
      <w:r>
        <w:t xml:space="preserve">or be an improper exercise of power under the </w:t>
      </w:r>
      <w:r w:rsidR="003C6A83">
        <w:t>rules</w:t>
      </w:r>
      <w:r>
        <w:t>. In these circumstances, judicial review should be sufficient to examine these regulatory decisions and ensure that ‘manifestly incorrect’ decisions are overturned and power is exercised lawfully.</w:t>
      </w:r>
    </w:p>
    <w:p w:rsidR="0032609A" w:rsidRDefault="0032609A" w:rsidP="0032609A">
      <w:r>
        <w:t>The ACCC acknowledges that various appeals processes are used in several other regulated industries. However, it is unclear that the benefits of implementing an appeals process for the regulatory approval</w:t>
      </w:r>
      <w:r w:rsidR="003C6A83">
        <w:t xml:space="preserve"> </w:t>
      </w:r>
      <w:r>
        <w:t>/</w:t>
      </w:r>
      <w:r w:rsidR="003C6A83">
        <w:t xml:space="preserve"> </w:t>
      </w:r>
      <w:r>
        <w:t xml:space="preserve">determination process for Part 6 (and Part 7) operators outweigh the costs. </w:t>
      </w:r>
    </w:p>
    <w:p w:rsidR="0032609A" w:rsidRDefault="0032609A" w:rsidP="0032609A">
      <w:r>
        <w:t>The benefits of an additional appeals process are likely to be relatively small in aggregate. Although stakeholders cited the energy industry as an example of a successful appeals process, the ACCC notes that the size of the regulated energy industry is far greater than the regulated MDB rural water sector. For example, the electricity distribution industry in NSW and Victoria has annual regulated revenues of more than $5 billion. By contrast</w:t>
      </w:r>
      <w:r w:rsidR="00CB42CD">
        <w:t>,</w:t>
      </w:r>
      <w:r>
        <w:t xml:space="preserve"> GMW, </w:t>
      </w:r>
      <w:r w:rsidR="00B71238">
        <w:t>Lower Murray Water (</w:t>
      </w:r>
      <w:r>
        <w:t>LMW</w:t>
      </w:r>
      <w:r w:rsidR="00B71238">
        <w:t>)</w:t>
      </w:r>
      <w:r>
        <w:t xml:space="preserve"> and WaterNSW combined have regulated revenues of just over $250 million per year.</w:t>
      </w:r>
      <w:r>
        <w:rPr>
          <w:rStyle w:val="FootnoteReference"/>
        </w:rPr>
        <w:footnoteReference w:id="498"/>
      </w:r>
      <w:r>
        <w:t xml:space="preserve"> The possible gains of an appeals process are likely to be much lower in the regulated water sector than in the regulated energy sector. The ACCC acknowledges that, despite potential benefits likely being small in aggregate, they could nonetheless be material to a particular operator. </w:t>
      </w:r>
    </w:p>
    <w:p w:rsidR="0032609A" w:rsidRDefault="0032609A" w:rsidP="009B56D7">
      <w:pPr>
        <w:spacing w:after="120"/>
      </w:pPr>
      <w:r>
        <w:t>Potential benefits from an operator’s perspective include:</w:t>
      </w:r>
    </w:p>
    <w:p w:rsidR="0032609A" w:rsidRDefault="0032609A" w:rsidP="00A82DE6">
      <w:pPr>
        <w:pStyle w:val="Lvl1Bulletpoint"/>
      </w:pPr>
      <w:r>
        <w:t>greater accountability—the existence of a merits review mechanism may incentivise the regulator to undertake a more exhaustive decision-making process in order to reduce the risk of an appeal (e.g. by considering more alternatives, undertaking more research, consulting more widely)</w:t>
      </w:r>
    </w:p>
    <w:p w:rsidR="0032609A" w:rsidRDefault="0032609A" w:rsidP="00A82DE6">
      <w:pPr>
        <w:pStyle w:val="Lvl1Bulletpoint"/>
      </w:pPr>
      <w:r>
        <w:t>allowing a ‘more appropriate’ balance between the Schedule 2 objectives in the Act than the original determination</w:t>
      </w:r>
      <w:r>
        <w:rPr>
          <w:rStyle w:val="FootnoteReference"/>
        </w:rPr>
        <w:footnoteReference w:id="499"/>
      </w:r>
    </w:p>
    <w:p w:rsidR="0032609A" w:rsidRDefault="0032609A" w:rsidP="00A82DE6">
      <w:pPr>
        <w:pStyle w:val="Lvl1Bulletpoint"/>
      </w:pPr>
      <w:r>
        <w:t>allowing a ‘more appropriate’ balance between the interests of the operator and consumers</w:t>
      </w:r>
    </w:p>
    <w:p w:rsidR="0032609A" w:rsidRDefault="0032609A" w:rsidP="00A82DE6">
      <w:pPr>
        <w:pStyle w:val="Lvl1Bulletpoint"/>
      </w:pPr>
      <w:r>
        <w:t>providing an authoritative guide on how the regulator should undertake its particular responsibilities</w:t>
      </w:r>
    </w:p>
    <w:p w:rsidR="0032609A" w:rsidRDefault="0032609A" w:rsidP="00A82DE6">
      <w:pPr>
        <w:pStyle w:val="Lvl1Bulletpoint"/>
      </w:pPr>
      <w:r>
        <w:t>correcting elements of the regulator’s decision that were based on factual errors</w:t>
      </w:r>
      <w:r w:rsidR="00C33CDD">
        <w:t>.</w:t>
      </w:r>
    </w:p>
    <w:p w:rsidR="0032609A" w:rsidRDefault="0032609A" w:rsidP="0032609A">
      <w:r>
        <w:t>In practice, several of these potential benefits may depend on a stakeholder’s point of view. For example, stakeholders’ views on the ‘appropriate’ or ‘correct’ balance between competing interests are likely to differ, and it is not clear that a decision by the appeals body on such matters will necessarily be better than the regulator’s original decision.</w:t>
      </w:r>
    </w:p>
    <w:p w:rsidR="0032609A" w:rsidRDefault="0032609A" w:rsidP="0032609A">
      <w:r>
        <w:t xml:space="preserve">However, any potential benefits need to be weighed against potential costs. </w:t>
      </w:r>
    </w:p>
    <w:p w:rsidR="0032609A" w:rsidRDefault="0032609A" w:rsidP="0032609A">
      <w:r>
        <w:t xml:space="preserve">Although the total cost of an appeals process ultimately depends on how often stakeholders use it, the costs to set up and maintain an appeals process are likely to be substantial. While there is limited evidence on the total cost of appeal mechanisms operating in other sectors, partial data on costs of the appeals process in the energy sector (a sector </w:t>
      </w:r>
      <w:r w:rsidR="00CB42CD">
        <w:t xml:space="preserve">that </w:t>
      </w:r>
      <w:r>
        <w:t xml:space="preserve">has a limited merits review process) give some indication. The Regulation Impact Statement for the review of the </w:t>
      </w:r>
      <w:r w:rsidR="008F0D6B">
        <w:t>l</w:t>
      </w:r>
      <w:r>
        <w:t xml:space="preserve">imited </w:t>
      </w:r>
      <w:r w:rsidR="008F0D6B">
        <w:t>m</w:t>
      </w:r>
      <w:r>
        <w:t xml:space="preserve">erits </w:t>
      </w:r>
      <w:r w:rsidR="008F0D6B">
        <w:t>r</w:t>
      </w:r>
      <w:r>
        <w:t>eview mechanism in the energy sector assessed the annual operating costs of an appeals body to be up to $5</w:t>
      </w:r>
      <w:r>
        <w:noBreakHyphen/>
        <w:t>$10 million. Also, the final report completed on the pre-2013 limited merits review process in the electricity and gas networks sectors completed for the Council of Australian Governments Standing Council on Energy and Resources noted that: “[t]</w:t>
      </w:r>
      <w:r w:rsidRPr="007F01AE">
        <w:t xml:space="preserve">he </w:t>
      </w:r>
      <w:r w:rsidR="008F0D6B">
        <w:t xml:space="preserve">[Limited Merits Review] </w:t>
      </w:r>
      <w:r w:rsidRPr="007F01AE">
        <w:t>LMR regime has been costlier to operate and cases have taken longer than was anticipated</w:t>
      </w:r>
      <w:r>
        <w:t>”.</w:t>
      </w:r>
      <w:r>
        <w:rPr>
          <w:rStyle w:val="FootnoteReference"/>
        </w:rPr>
        <w:footnoteReference w:id="500"/>
      </w:r>
      <w:r>
        <w:t xml:space="preserve"> </w:t>
      </w:r>
    </w:p>
    <w:p w:rsidR="0032609A" w:rsidRDefault="0032609A" w:rsidP="00E81EB4">
      <w:pPr>
        <w:spacing w:after="120"/>
      </w:pPr>
      <w:r>
        <w:t>Beyond the set-up and ongoing costs relating to the appeals body, the regulator will also incur costs, such as:</w:t>
      </w:r>
    </w:p>
    <w:p w:rsidR="0032609A" w:rsidRDefault="0032609A" w:rsidP="00A82DE6">
      <w:pPr>
        <w:pStyle w:val="Lvl1Bulletpoint"/>
      </w:pPr>
      <w:r>
        <w:t>undertaking or commissioning more detailed analysis on matters that could be the subject of an appeal</w:t>
      </w:r>
    </w:p>
    <w:p w:rsidR="0032609A" w:rsidRDefault="0032609A" w:rsidP="00A82DE6">
      <w:pPr>
        <w:pStyle w:val="Lvl1Bulletpoint"/>
      </w:pPr>
      <w:r>
        <w:t>legal costs incurred in anticipation and during</w:t>
      </w:r>
      <w:r w:rsidR="00C6733C">
        <w:t xml:space="preserve"> </w:t>
      </w:r>
      <w:r>
        <w:t xml:space="preserve">appeals (including the cost of legal counsel, expert witnesses etc.) </w:t>
      </w:r>
    </w:p>
    <w:p w:rsidR="0032609A" w:rsidRDefault="0032609A" w:rsidP="00A82DE6">
      <w:pPr>
        <w:pStyle w:val="Lvl1Bulletpoint"/>
      </w:pPr>
      <w:r>
        <w:t>legal costs in anticipation of forthcoming appeals</w:t>
      </w:r>
    </w:p>
    <w:p w:rsidR="0032609A" w:rsidRDefault="0032609A" w:rsidP="00A82DE6">
      <w:pPr>
        <w:pStyle w:val="Lvl1Bulletpoint"/>
      </w:pPr>
      <w:r>
        <w:t>curtailing of the regulator’s discretion when making future decisions</w:t>
      </w:r>
    </w:p>
    <w:p w:rsidR="0032609A" w:rsidRDefault="0032609A" w:rsidP="00A82DE6">
      <w:pPr>
        <w:pStyle w:val="Lvl1Bulletpoint"/>
      </w:pPr>
      <w:r>
        <w:t>costs of additional staff to deal with the appeals process</w:t>
      </w:r>
      <w:r w:rsidR="00C33CDD">
        <w:t>.</w:t>
      </w:r>
    </w:p>
    <w:p w:rsidR="0032609A" w:rsidRDefault="0032609A" w:rsidP="00E81EB4">
      <w:pPr>
        <w:spacing w:after="120"/>
      </w:pPr>
      <w:r>
        <w:t>Appeals processes introduce a significant burden on stakeholders who participate in them. Costs incurred by stakeholders include:</w:t>
      </w:r>
    </w:p>
    <w:p w:rsidR="0032609A" w:rsidRDefault="0032609A" w:rsidP="00A82DE6">
      <w:pPr>
        <w:pStyle w:val="Lvl1Bulletpoint"/>
      </w:pPr>
      <w:r>
        <w:t>cost of legal counsel</w:t>
      </w:r>
    </w:p>
    <w:p w:rsidR="0032609A" w:rsidRDefault="0032609A" w:rsidP="00A82DE6">
      <w:pPr>
        <w:pStyle w:val="Lvl1Bulletpoint"/>
      </w:pPr>
      <w:r>
        <w:t>cost of consultants / staff time to analyse issues that are to be appealed</w:t>
      </w:r>
    </w:p>
    <w:p w:rsidR="0032609A" w:rsidRDefault="0032609A" w:rsidP="00A82DE6">
      <w:pPr>
        <w:pStyle w:val="Lvl1Bulletpoint"/>
      </w:pPr>
      <w:r>
        <w:t>time costs</w:t>
      </w:r>
    </w:p>
    <w:p w:rsidR="0032609A" w:rsidRDefault="0032609A" w:rsidP="00A82DE6">
      <w:pPr>
        <w:pStyle w:val="Lvl1Bulletpoint"/>
      </w:pPr>
      <w:r>
        <w:t>cost of uncertainty / delay of final decision</w:t>
      </w:r>
      <w:r w:rsidR="00C33CDD">
        <w:t>.</w:t>
      </w:r>
      <w:r>
        <w:rPr>
          <w:rStyle w:val="FootnoteReference"/>
        </w:rPr>
        <w:footnoteReference w:id="501"/>
      </w:r>
      <w:r>
        <w:t xml:space="preserve"> </w:t>
      </w:r>
    </w:p>
    <w:p w:rsidR="0032609A" w:rsidRDefault="0032609A" w:rsidP="0032609A">
      <w:r>
        <w:t xml:space="preserve">Given that regulated entities are able to include their costs of participating in appeals when estimating their required revenues, inevitably, it is customers who bear these costs. </w:t>
      </w:r>
    </w:p>
    <w:p w:rsidR="0032609A" w:rsidRDefault="0032609A" w:rsidP="0032609A">
      <w:r>
        <w:t>The ACCC does not consider that having a merits review appeal mechanism will facilitate greater investment, as submitted by WaterNSW. The system of regulatory approvals</w:t>
      </w:r>
      <w:r w:rsidR="00E173A3">
        <w:t xml:space="preserve"> </w:t>
      </w:r>
      <w:r>
        <w:t>/</w:t>
      </w:r>
      <w:r w:rsidR="00E173A3">
        <w:t xml:space="preserve"> </w:t>
      </w:r>
      <w:r>
        <w:t xml:space="preserve">determinations works to ensure that capital expenditure proposed by operators is prudent and efficient—greater investment is not beneficial per se. The ACCC considers that the current mechanisms in the </w:t>
      </w:r>
      <w:r w:rsidR="00E173A3">
        <w:t xml:space="preserve">rules </w:t>
      </w:r>
      <w:r>
        <w:t xml:space="preserve">provide sufficient certainty of investment for operators. </w:t>
      </w:r>
    </w:p>
    <w:p w:rsidR="0032609A" w:rsidRDefault="0032609A" w:rsidP="0032609A">
      <w:r>
        <w:t>The ACCC</w:t>
      </w:r>
      <w:r w:rsidR="00966643">
        <w:t xml:space="preserve">’s view is </w:t>
      </w:r>
      <w:r>
        <w:t>that a merits review appeals mechanism is unlikely to promote greater consistency of regulatory decision-making</w:t>
      </w:r>
      <w:r w:rsidR="00966643">
        <w:t xml:space="preserve"> in the rural MDB</w:t>
      </w:r>
      <w:r>
        <w:t xml:space="preserve">. Given the high-level nature of many of the matters the regulator must have regard to when </w:t>
      </w:r>
      <w:r w:rsidR="00E173A3">
        <w:t xml:space="preserve">approving / determining charges of </w:t>
      </w:r>
      <w:r>
        <w:t>Part</w:t>
      </w:r>
      <w:r w:rsidR="004259BB">
        <w:t xml:space="preserve"> 6 (or Part 7) operator</w:t>
      </w:r>
      <w:r>
        <w:t xml:space="preserve">s, there is considerable scope for discretion when weighing up various criteria. It is not apparent that having two decision-making bodies (the regulator and the appeals tribunal) will make more consistent decisions than just one decision-making body, the regulator. </w:t>
      </w:r>
    </w:p>
    <w:p w:rsidR="0032609A" w:rsidRDefault="0032609A" w:rsidP="00E81EB4">
      <w:pPr>
        <w:spacing w:after="120"/>
      </w:pPr>
      <w:r>
        <w:t>It is also unclear whether a merits review appeals system will provide extra protections for customers. Although such a process would allow customers to appeal approvals or determinations, it also allows operators to do so. Customer participation in appeals processes relating to regulatory determinations is rare in Australia and has to date largely not been successful. For example, in the Council of Australian Governments Standing Council on Energy and Resources report mentioned above, the report noted:</w:t>
      </w:r>
    </w:p>
    <w:p w:rsidR="0032609A" w:rsidRPr="00F33AF9" w:rsidRDefault="0032609A" w:rsidP="00CE67EB">
      <w:pPr>
        <w:pStyle w:val="Quote"/>
        <w:rPr>
          <w:rStyle w:val="Emphasis"/>
          <w:i/>
          <w:iCs/>
        </w:rPr>
      </w:pPr>
      <w:r w:rsidRPr="00F33AF9">
        <w:rPr>
          <w:rStyle w:val="Emphasis"/>
          <w:i/>
          <w:iCs/>
        </w:rPr>
        <w:t>There had been only limited participation of network users and consumers in the appeals process to date, suggesting</w:t>
      </w:r>
      <w:r w:rsidRPr="00F33AF9" w:rsidDel="00533A94">
        <w:rPr>
          <w:rStyle w:val="Emphasis"/>
          <w:i/>
          <w:iCs/>
        </w:rPr>
        <w:t xml:space="preserve"> </w:t>
      </w:r>
      <w:r w:rsidRPr="00F33AF9">
        <w:rPr>
          <w:rStyle w:val="Emphasis"/>
          <w:i/>
          <w:iCs/>
        </w:rPr>
        <w:t>there were issues and potential problems with the practicalities and abilities of network users and consumers to participate in the</w:t>
      </w:r>
      <w:r w:rsidR="0078540F">
        <w:rPr>
          <w:rStyle w:val="Emphasis"/>
          <w:i/>
          <w:iCs/>
        </w:rPr>
        <w:t xml:space="preserve"> </w:t>
      </w:r>
      <w:r w:rsidR="00EB57E4">
        <w:rPr>
          <w:rStyle w:val="Emphasis"/>
          <w:i/>
          <w:iCs/>
        </w:rPr>
        <w:t>[L</w:t>
      </w:r>
      <w:r w:rsidRPr="00F33AF9">
        <w:rPr>
          <w:rStyle w:val="Emphasis"/>
          <w:i/>
          <w:iCs/>
        </w:rPr>
        <w:t>imited Merits Review</w:t>
      </w:r>
      <w:r w:rsidR="00EB57E4">
        <w:rPr>
          <w:rStyle w:val="Emphasis"/>
          <w:i/>
          <w:iCs/>
        </w:rPr>
        <w:t>]</w:t>
      </w:r>
      <w:r w:rsidRPr="00F33AF9">
        <w:rPr>
          <w:rStyle w:val="Emphasis"/>
          <w:i/>
          <w:iCs/>
        </w:rPr>
        <w:t xml:space="preserve"> regime.</w:t>
      </w:r>
      <w:r w:rsidRPr="009F3C82">
        <w:rPr>
          <w:rStyle w:val="Emphasis"/>
          <w:iCs/>
          <w:vertAlign w:val="superscript"/>
        </w:rPr>
        <w:footnoteReference w:id="502"/>
      </w:r>
    </w:p>
    <w:p w:rsidR="00BB173F" w:rsidRPr="00D714FC" w:rsidRDefault="0032609A" w:rsidP="00312E96">
      <w:r>
        <w:t xml:space="preserve">Given the above considerations, the ACCC maintains its position that the current </w:t>
      </w:r>
      <w:r w:rsidR="00CD298A">
        <w:t xml:space="preserve">mechanism for the </w:t>
      </w:r>
      <w:r>
        <w:t xml:space="preserve">judicial review </w:t>
      </w:r>
      <w:r w:rsidR="00CD298A">
        <w:t xml:space="preserve">of administrative decisions </w:t>
      </w:r>
      <w:r w:rsidR="004259BB">
        <w:t>in relation to</w:t>
      </w:r>
      <w:r w:rsidR="00CD298A">
        <w:t xml:space="preserve"> Part 6</w:t>
      </w:r>
      <w:r>
        <w:t xml:space="preserve"> </w:t>
      </w:r>
      <w:r w:rsidR="004259BB">
        <w:t>is</w:t>
      </w:r>
      <w:r>
        <w:t xml:space="preserve"> the most appropriate appeal mechanism for the water charge rules. As such, the ACCC does not recommend any amendments to the rules in relation to appeal mechanisms. </w:t>
      </w:r>
    </w:p>
    <w:p w:rsidR="00E161B2" w:rsidRDefault="00F970BC" w:rsidP="009B56D7">
      <w:pPr>
        <w:pStyle w:val="Heading2"/>
        <w:ind w:left="862" w:hanging="578"/>
      </w:pPr>
      <w:bookmarkStart w:id="1063" w:name="_Toc436122308"/>
      <w:bookmarkStart w:id="1064" w:name="_Toc436122803"/>
      <w:bookmarkStart w:id="1065" w:name="_Toc436124158"/>
      <w:bookmarkStart w:id="1066" w:name="_Toc456785814"/>
      <w:bookmarkStart w:id="1067" w:name="_Toc461630725"/>
      <w:r w:rsidRPr="00D714FC">
        <w:t>Accreditation of Basin State regulators (Part 9)</w:t>
      </w:r>
      <w:bookmarkEnd w:id="1063"/>
      <w:bookmarkEnd w:id="1064"/>
      <w:bookmarkEnd w:id="1065"/>
      <w:bookmarkEnd w:id="1066"/>
      <w:bookmarkEnd w:id="1067"/>
      <w:r w:rsidRPr="00D714FC">
        <w:tab/>
      </w:r>
    </w:p>
    <w:bookmarkStart w:id="1068" w:name="_Toc432937614"/>
    <w:p w:rsidR="00F15AAB" w:rsidRPr="00020517" w:rsidRDefault="00D07E1E" w:rsidP="00020517">
      <w:pPr>
        <w:pStyle w:val="Heading3Un-numbered"/>
        <w:spacing w:before="0" w:after="0"/>
        <w:rPr>
          <w:rFonts w:ascii="Times New Roman" w:hAnsi="Times New Roman"/>
          <w:color w:val="FFFFFF" w:themeColor="background1"/>
          <w:sz w:val="12"/>
          <w:szCs w:val="12"/>
        </w:rPr>
      </w:pPr>
      <w:r w:rsidRPr="00020517">
        <w:rPr>
          <w:color w:val="FFFFFF" w:themeColor="background1"/>
          <w:sz w:val="12"/>
          <w:szCs w:val="12"/>
        </w:rPr>
        <w:fldChar w:fldCharType="begin"/>
      </w:r>
      <w:r w:rsidRPr="00020517">
        <w:rPr>
          <w:color w:val="FFFFFF" w:themeColor="background1"/>
          <w:sz w:val="12"/>
          <w:szCs w:val="12"/>
        </w:rPr>
        <w:instrText xml:space="preserve"> REF _Ref434840359 \h  \* MERGEFORMAT </w:instrText>
      </w:r>
      <w:r w:rsidRPr="00020517">
        <w:rPr>
          <w:color w:val="FFFFFF" w:themeColor="background1"/>
          <w:sz w:val="12"/>
          <w:szCs w:val="12"/>
        </w:rPr>
      </w:r>
      <w:r w:rsidRPr="00020517">
        <w:rPr>
          <w:color w:val="FFFFFF" w:themeColor="background1"/>
          <w:sz w:val="12"/>
          <w:szCs w:val="12"/>
        </w:rPr>
        <w:fldChar w:fldCharType="separate"/>
      </w:r>
      <w:r w:rsidR="00BD218B" w:rsidRPr="00BD218B">
        <w:rPr>
          <w:color w:val="FFFFFF" w:themeColor="background1"/>
          <w:sz w:val="12"/>
          <w:szCs w:val="12"/>
        </w:rPr>
        <w:t>Rule advice</w:t>
      </w:r>
      <w:r w:rsidRPr="00020517">
        <w:rPr>
          <w:color w:val="FFFFFF" w:themeColor="background1"/>
          <w:sz w:val="12"/>
          <w:szCs w:val="12"/>
        </w:rPr>
        <w:fldChar w:fldCharType="end"/>
      </w:r>
      <w:r w:rsidR="00C21C88" w:rsidRPr="00020517">
        <w:rPr>
          <w:color w:val="FFFFFF" w:themeColor="background1"/>
          <w:sz w:val="12"/>
          <w:szCs w:val="12"/>
        </w:rPr>
        <w:t xml:space="preserve"> </w:t>
      </w:r>
    </w:p>
    <w:tbl>
      <w:tblPr>
        <w:tblStyle w:val="TableGrid"/>
        <w:tblW w:w="0" w:type="auto"/>
        <w:tblLook w:val="04A0" w:firstRow="1" w:lastRow="0" w:firstColumn="1" w:lastColumn="0" w:noHBand="0" w:noVBand="1"/>
      </w:tblPr>
      <w:tblGrid>
        <w:gridCol w:w="9242"/>
      </w:tblGrid>
      <w:tr w:rsidR="00F15AAB" w:rsidTr="00067769">
        <w:tc>
          <w:tcPr>
            <w:tcW w:w="9242" w:type="dxa"/>
            <w:tcBorders>
              <w:top w:val="nil"/>
              <w:left w:val="nil"/>
              <w:bottom w:val="nil"/>
              <w:right w:val="nil"/>
            </w:tcBorders>
            <w:shd w:val="clear" w:color="auto" w:fill="D9D9D9" w:themeFill="background1" w:themeFillShade="D9"/>
          </w:tcPr>
          <w:p w:rsidR="00ED342F" w:rsidRPr="00D714FC" w:rsidRDefault="00ED342F" w:rsidP="00AF7032">
            <w:pPr>
              <w:pStyle w:val="Caption"/>
              <w:rPr>
                <w:rFonts w:eastAsia="Arial"/>
              </w:rPr>
            </w:pPr>
            <w:bookmarkStart w:id="1069" w:name="_Toc456784087"/>
            <w:bookmarkStart w:id="1070" w:name="_Ref435124594"/>
            <w:bookmarkEnd w:id="1068"/>
            <w:r w:rsidRPr="00D714FC">
              <w:t xml:space="preserve">Rule advice </w:t>
            </w:r>
            <w:r w:rsidR="007F659D">
              <w:rPr>
                <w:noProof/>
              </w:rPr>
              <w:t>5</w:t>
            </w:r>
            <w:r>
              <w:noBreakHyphen/>
            </w:r>
            <w:r w:rsidR="007F659D">
              <w:rPr>
                <w:noProof/>
              </w:rPr>
              <w:t>W</w:t>
            </w:r>
            <w:bookmarkEnd w:id="1069"/>
          </w:p>
          <w:p w:rsidR="00F15AAB" w:rsidRPr="00D714FC" w:rsidRDefault="00E5462E" w:rsidP="00067769">
            <w:pPr>
              <w:pStyle w:val="Heading8"/>
              <w:outlineLvl w:val="7"/>
            </w:pPr>
            <w:bookmarkStart w:id="1071" w:name="_Toc436123421"/>
            <w:bookmarkStart w:id="1072" w:name="_Toc456784088"/>
            <w:bookmarkStart w:id="1073" w:name="_Toc433975398"/>
            <w:bookmarkStart w:id="1074" w:name="Rule_Advice_5W"/>
            <w:r>
              <w:t xml:space="preserve">The rules should be amended so that the current </w:t>
            </w:r>
            <w:r w:rsidR="00F15AAB" w:rsidRPr="00D714FC">
              <w:t xml:space="preserve">Part 9 </w:t>
            </w:r>
            <w:r>
              <w:t>continues</w:t>
            </w:r>
            <w:r w:rsidR="00313D7E">
              <w:t xml:space="preserve"> only</w:t>
            </w:r>
            <w:r>
              <w:t xml:space="preserve"> as far as is necessary </w:t>
            </w:r>
            <w:r w:rsidR="00F15AAB" w:rsidRPr="00D714FC">
              <w:t>to transition from the current application of Part 6</w:t>
            </w:r>
            <w:r>
              <w:t xml:space="preserve"> (and no further)</w:t>
            </w:r>
            <w:r w:rsidR="00F15AAB" w:rsidRPr="00D714FC">
              <w:t>.</w:t>
            </w:r>
            <w:bookmarkEnd w:id="1071"/>
            <w:bookmarkEnd w:id="1072"/>
            <w:r w:rsidR="00F15AAB" w:rsidRPr="00D714FC">
              <w:t xml:space="preserve"> </w:t>
            </w:r>
            <w:bookmarkEnd w:id="1073"/>
          </w:p>
          <w:p w:rsidR="00F15AAB" w:rsidRPr="00D714FC" w:rsidRDefault="00E5462E" w:rsidP="00067769">
            <w:pPr>
              <w:pStyle w:val="Heading8"/>
              <w:outlineLvl w:val="7"/>
            </w:pPr>
            <w:bookmarkStart w:id="1075" w:name="_Toc433975399"/>
            <w:bookmarkStart w:id="1076" w:name="_Toc436123422"/>
            <w:bookmarkStart w:id="1077" w:name="_Toc456784089"/>
            <w:r>
              <w:t xml:space="preserve">In particular, </w:t>
            </w:r>
            <w:r w:rsidR="00F15AAB" w:rsidRPr="00D714FC">
              <w:t xml:space="preserve">accreditation arrangements </w:t>
            </w:r>
            <w:r>
              <w:t xml:space="preserve">under the existing Part 9 should </w:t>
            </w:r>
            <w:r w:rsidR="00F15AAB" w:rsidRPr="00D714FC">
              <w:t>cease to apply in relation to approvals and determinations for:</w:t>
            </w:r>
            <w:bookmarkEnd w:id="1075"/>
            <w:bookmarkEnd w:id="1076"/>
            <w:bookmarkEnd w:id="1077"/>
          </w:p>
          <w:p w:rsidR="00F15AAB" w:rsidRPr="00D714FC" w:rsidRDefault="00555521" w:rsidP="00020517">
            <w:pPr>
              <w:pStyle w:val="Ruleadvicebullet"/>
            </w:pPr>
            <w:bookmarkStart w:id="1078" w:name="_Toc433975400"/>
            <w:bookmarkStart w:id="1079" w:name="_Toc436123423"/>
            <w:bookmarkStart w:id="1080" w:name="_Toc456784090"/>
            <w:r>
              <w:t>i</w:t>
            </w:r>
            <w:r w:rsidR="00F15AAB" w:rsidRPr="00D714FC">
              <w:t xml:space="preserve">nfrastructure operators not currently subject to Part 6 or Part 7: when the amendments </w:t>
            </w:r>
            <w:r w:rsidR="00E5462E">
              <w:t xml:space="preserve">(including the repeal of existing </w:t>
            </w:r>
            <w:r w:rsidR="00F15AAB" w:rsidRPr="00D714FC">
              <w:t>Part 9</w:t>
            </w:r>
            <w:r w:rsidR="00E5462E">
              <w:t>)</w:t>
            </w:r>
            <w:r w:rsidR="00F15AAB" w:rsidRPr="00D714FC">
              <w:t xml:space="preserve"> commence;</w:t>
            </w:r>
            <w:bookmarkEnd w:id="1078"/>
            <w:bookmarkEnd w:id="1079"/>
            <w:bookmarkEnd w:id="1080"/>
          </w:p>
          <w:p w:rsidR="00F15AAB" w:rsidRPr="00D714FC" w:rsidRDefault="00555521" w:rsidP="00020517">
            <w:pPr>
              <w:pStyle w:val="Ruleadvicebullet"/>
            </w:pPr>
            <w:bookmarkStart w:id="1081" w:name="_Toc433975401"/>
            <w:bookmarkStart w:id="1082" w:name="_Toc436123424"/>
            <w:bookmarkStart w:id="1083" w:name="_Toc456784091"/>
            <w:r>
              <w:t>i</w:t>
            </w:r>
            <w:r w:rsidR="00F15AAB" w:rsidRPr="00D714FC">
              <w:t xml:space="preserve">nfrastructure operators subject to </w:t>
            </w:r>
            <w:r w:rsidR="00E5462E">
              <w:t xml:space="preserve">existing </w:t>
            </w:r>
            <w:r w:rsidR="00F15AAB" w:rsidRPr="00D714FC">
              <w:t xml:space="preserve">Part 6: at the end of the regulatory period underway </w:t>
            </w:r>
            <w:r w:rsidR="008870BE">
              <w:t xml:space="preserve">on the transition date (when amendments to the rules take effect) </w:t>
            </w:r>
            <w:r w:rsidR="00F15AAB">
              <w:t>or, if the operator has lodged an application for an upcoming regulatory period, at the end of that regulatory period</w:t>
            </w:r>
            <w:bookmarkEnd w:id="1081"/>
            <w:bookmarkEnd w:id="1082"/>
            <w:bookmarkEnd w:id="1083"/>
            <w:r w:rsidR="00C644EB">
              <w:t>;</w:t>
            </w:r>
            <w:r w:rsidR="00F15AAB" w:rsidRPr="00D714FC">
              <w:t xml:space="preserve"> </w:t>
            </w:r>
          </w:p>
          <w:p w:rsidR="00F15AAB" w:rsidRPr="00D714FC" w:rsidRDefault="00555521" w:rsidP="00020517">
            <w:pPr>
              <w:pStyle w:val="Ruleadvicebullet"/>
            </w:pPr>
            <w:bookmarkStart w:id="1084" w:name="_Toc433975402"/>
            <w:bookmarkStart w:id="1085" w:name="_Toc436123425"/>
            <w:bookmarkStart w:id="1086" w:name="_Toc456784092"/>
            <w:r>
              <w:t>i</w:t>
            </w:r>
            <w:r w:rsidR="00F15AAB" w:rsidRPr="00D714FC">
              <w:t xml:space="preserve">nfrastructure operators subject to </w:t>
            </w:r>
            <w:r w:rsidR="00E5462E">
              <w:t xml:space="preserve">existing </w:t>
            </w:r>
            <w:r w:rsidR="00F15AAB" w:rsidRPr="00D714FC">
              <w:t>Part 7: when those operators cease to be Part 7 operators</w:t>
            </w:r>
            <w:bookmarkEnd w:id="1084"/>
            <w:bookmarkEnd w:id="1085"/>
            <w:bookmarkEnd w:id="1086"/>
            <w:r w:rsidR="00C644EB">
              <w:t>;</w:t>
            </w:r>
          </w:p>
          <w:p w:rsidR="00F15AAB" w:rsidRDefault="00F15AAB" w:rsidP="00020517">
            <w:pPr>
              <w:pStyle w:val="Ruleadvicebullet"/>
            </w:pPr>
            <w:bookmarkStart w:id="1087" w:name="_Toc433975403"/>
            <w:bookmarkStart w:id="1088" w:name="_Toc436123426"/>
            <w:bookmarkStart w:id="1089" w:name="_Toc456784093"/>
            <w:r w:rsidRPr="00D714FC">
              <w:t>unless the accreditation is revoked, withdrawn by a Basin State or expires earlier.</w:t>
            </w:r>
            <w:bookmarkEnd w:id="1087"/>
            <w:bookmarkEnd w:id="1088"/>
            <w:bookmarkEnd w:id="1089"/>
          </w:p>
          <w:p w:rsidR="00F15AAB" w:rsidRPr="00570CCA" w:rsidRDefault="00F15AAB" w:rsidP="00752375">
            <w:pPr>
              <w:pStyle w:val="Heading8"/>
              <w:outlineLvl w:val="7"/>
            </w:pPr>
            <w:bookmarkStart w:id="1090" w:name="_Toc436123427"/>
            <w:bookmarkStart w:id="1091" w:name="_Toc456784094"/>
            <w:r>
              <w:rPr>
                <w:rFonts w:ascii="Times New Roman" w:hAnsi="Times New Roman"/>
              </w:rPr>
              <w:t xml:space="preserve">This rule advice is implemented in the repeal of Part 9 of the current WCIR, and through Part 11 of the proposed </w:t>
            </w:r>
            <w:r w:rsidR="00222D0D">
              <w:rPr>
                <w:rFonts w:ascii="Times New Roman" w:hAnsi="Times New Roman"/>
              </w:rPr>
              <w:t>W</w:t>
            </w:r>
            <w:r>
              <w:rPr>
                <w:rFonts w:ascii="Times New Roman" w:hAnsi="Times New Roman"/>
              </w:rPr>
              <w:t xml:space="preserve">ater </w:t>
            </w:r>
            <w:r w:rsidR="00222D0D">
              <w:rPr>
                <w:rFonts w:ascii="Times New Roman" w:hAnsi="Times New Roman"/>
              </w:rPr>
              <w:t>C</w:t>
            </w:r>
            <w:r>
              <w:rPr>
                <w:rFonts w:ascii="Times New Roman" w:hAnsi="Times New Roman"/>
              </w:rPr>
              <w:t xml:space="preserve">harge </w:t>
            </w:r>
            <w:r w:rsidR="00222D0D">
              <w:rPr>
                <w:rFonts w:ascii="Times New Roman" w:hAnsi="Times New Roman"/>
              </w:rPr>
              <w:t>R</w:t>
            </w:r>
            <w:r>
              <w:rPr>
                <w:rFonts w:ascii="Times New Roman" w:hAnsi="Times New Roman"/>
              </w:rPr>
              <w:t>ules</w:t>
            </w:r>
            <w:r w:rsidR="00752375">
              <w:rPr>
                <w:rFonts w:ascii="Times New Roman" w:hAnsi="Times New Roman"/>
              </w:rPr>
              <w:t xml:space="preserve">. </w:t>
            </w:r>
            <w:bookmarkEnd w:id="1074"/>
            <w:bookmarkEnd w:id="1090"/>
            <w:bookmarkEnd w:id="1091"/>
          </w:p>
        </w:tc>
      </w:tr>
    </w:tbl>
    <w:bookmarkEnd w:id="1070"/>
    <w:p w:rsidR="006246A8" w:rsidRPr="006246A8" w:rsidRDefault="006246A8" w:rsidP="00020517">
      <w:pPr>
        <w:pStyle w:val="Heading3Un-numbered"/>
      </w:pPr>
      <w:r>
        <w:t>Background</w:t>
      </w:r>
    </w:p>
    <w:p w:rsidR="00F33AF9" w:rsidRDefault="008A2DDF" w:rsidP="00F33AF9">
      <w:r w:rsidRPr="008A2DDF">
        <w:t xml:space="preserve">Part 9 of the </w:t>
      </w:r>
      <w:r w:rsidR="0001065E" w:rsidRPr="00524D9F">
        <w:rPr>
          <w:rFonts w:cs="Times New Roman"/>
        </w:rPr>
        <w:t>Water Charge (Infrastructure) Rules 2010</w:t>
      </w:r>
      <w:r w:rsidR="0001065E">
        <w:rPr>
          <w:rFonts w:cs="Times New Roman"/>
        </w:rPr>
        <w:t xml:space="preserve"> (</w:t>
      </w:r>
      <w:r w:rsidRPr="008A2DDF">
        <w:t>WCIR</w:t>
      </w:r>
      <w:r w:rsidR="0001065E">
        <w:t>)</w:t>
      </w:r>
      <w:r w:rsidRPr="008A2DDF">
        <w:t xml:space="preserve"> allows </w:t>
      </w:r>
      <w:r w:rsidR="00015D66">
        <w:t xml:space="preserve">the </w:t>
      </w:r>
      <w:r w:rsidR="00EA75C5">
        <w:t>ACCC</w:t>
      </w:r>
      <w:r w:rsidR="00015D66">
        <w:t xml:space="preserve"> to accredit </w:t>
      </w:r>
      <w:r w:rsidRPr="008A2DDF">
        <w:t xml:space="preserve">a State </w:t>
      </w:r>
      <w:r w:rsidR="00E20D47">
        <w:t>A</w:t>
      </w:r>
      <w:r w:rsidRPr="008A2DDF">
        <w:t>gency</w:t>
      </w:r>
      <w:r w:rsidR="00015D66">
        <w:rPr>
          <w:rStyle w:val="FootnoteReference"/>
        </w:rPr>
        <w:footnoteReference w:id="503"/>
      </w:r>
      <w:r w:rsidR="00E20D47">
        <w:t xml:space="preserve"> </w:t>
      </w:r>
      <w:r w:rsidR="00DC7B00">
        <w:t xml:space="preserve">upon application, to </w:t>
      </w:r>
      <w:r w:rsidRPr="008A2DDF">
        <w:t>approve or determine regulated charges for Part 6 and Part 7 operators</w:t>
      </w:r>
      <w:r w:rsidR="00DC7B00">
        <w:t xml:space="preserve"> within that Basin State</w:t>
      </w:r>
      <w:r w:rsidRPr="008A2DDF">
        <w:t>.</w:t>
      </w:r>
      <w:r>
        <w:t xml:space="preserve"> </w:t>
      </w:r>
      <w:r w:rsidR="00CF261E" w:rsidRPr="00D714FC">
        <w:t xml:space="preserve">Unless the ACCC applies qualifications, accreditation applies for </w:t>
      </w:r>
      <w:r w:rsidR="00015D66">
        <w:t>10</w:t>
      </w:r>
      <w:r w:rsidR="00015D66" w:rsidRPr="00D714FC">
        <w:t xml:space="preserve"> </w:t>
      </w:r>
      <w:r w:rsidR="00CF261E" w:rsidRPr="00D714FC">
        <w:t xml:space="preserve">years. </w:t>
      </w:r>
    </w:p>
    <w:p w:rsidR="00D7602D" w:rsidRDefault="00F33AF9" w:rsidP="00F33AF9">
      <w:r w:rsidRPr="00F33AF9">
        <w:t>Schedule 5 requires that certain provisions of the WCIR (called the ‘applied provisions’, which allow for regulation of Part 6 and Part 7 operators) must apply and be in force in the relevant state before lodging the formal accreditation application. This requires the commitment of the relevant State Government (and State Parliament) to pass the necessary legislation to allow the relevant State Agency’s application to proceed.</w:t>
      </w:r>
    </w:p>
    <w:p w:rsidR="00CF261E" w:rsidRPr="00D714FC" w:rsidRDefault="00CF261E" w:rsidP="00E81EB4">
      <w:pPr>
        <w:spacing w:after="120"/>
      </w:pPr>
      <w:r w:rsidRPr="00D714FC">
        <w:t>To date, two accredited regulators</w:t>
      </w:r>
      <w:r w:rsidR="00DC7B00">
        <w:t xml:space="preserve"> </w:t>
      </w:r>
      <w:r w:rsidR="00F23D64">
        <w:t>approve or determine charges for</w:t>
      </w:r>
      <w:r w:rsidRPr="00D714FC">
        <w:t xml:space="preserve"> three infrastructure operators, as follows:</w:t>
      </w:r>
    </w:p>
    <w:p w:rsidR="00D95285" w:rsidRPr="00D714FC" w:rsidRDefault="00D95285" w:rsidP="00E81EB4">
      <w:pPr>
        <w:pStyle w:val="Lvl1Bulletpoint"/>
        <w:spacing w:after="0"/>
        <w:ind w:left="568" w:hanging="284"/>
      </w:pPr>
      <w:r w:rsidRPr="00D714FC">
        <w:t>The Essential Services</w:t>
      </w:r>
      <w:r w:rsidR="00CF261E" w:rsidRPr="00D714FC">
        <w:t xml:space="preserve"> Commission of Victoria (ESCV) </w:t>
      </w:r>
      <w:r w:rsidR="00F23D64">
        <w:t>was</w:t>
      </w:r>
      <w:r w:rsidR="00CF261E" w:rsidRPr="00D714FC">
        <w:t xml:space="preserve"> accredit</w:t>
      </w:r>
      <w:r w:rsidR="00F23D64">
        <w:t>ed</w:t>
      </w:r>
      <w:r w:rsidRPr="00D714FC">
        <w:t xml:space="preserve"> under the WCIR</w:t>
      </w:r>
      <w:r w:rsidR="00CF261E" w:rsidRPr="00D714FC">
        <w:t xml:space="preserve"> in February 2012</w:t>
      </w:r>
      <w:r w:rsidRPr="00D714FC">
        <w:t>.</w:t>
      </w:r>
      <w:r w:rsidRPr="00D714FC">
        <w:rPr>
          <w:rStyle w:val="FootnoteReference"/>
        </w:rPr>
        <w:footnoteReference w:id="504"/>
      </w:r>
      <w:r w:rsidRPr="00D714FC">
        <w:t xml:space="preserve"> ESCV approves / determines charges for Lower Murray Water (LMW) and Goulburn-Murray Water (GMW). </w:t>
      </w:r>
    </w:p>
    <w:p w:rsidR="00D95285" w:rsidRPr="00D714FC" w:rsidRDefault="00D95285" w:rsidP="009B6ED8">
      <w:pPr>
        <w:pStyle w:val="Lvl2Bulletpoint"/>
      </w:pPr>
      <w:r w:rsidRPr="00D714FC">
        <w:t>The current regulatory period for LMW is 2013–18.</w:t>
      </w:r>
    </w:p>
    <w:p w:rsidR="00D95285" w:rsidRPr="00D714FC" w:rsidRDefault="00D95285" w:rsidP="009B6ED8">
      <w:pPr>
        <w:pStyle w:val="Lvl2Bulletpoint"/>
      </w:pPr>
      <w:r w:rsidRPr="00D714FC">
        <w:t xml:space="preserve">The current regulatory period for GMW </w:t>
      </w:r>
      <w:r w:rsidR="00F23D64">
        <w:t>is</w:t>
      </w:r>
      <w:r w:rsidRPr="00D714FC">
        <w:t xml:space="preserve"> 2016–20.</w:t>
      </w:r>
    </w:p>
    <w:p w:rsidR="00D95285" w:rsidRPr="00D714FC" w:rsidRDefault="00D95285" w:rsidP="00A82DE6">
      <w:pPr>
        <w:pStyle w:val="Lvl1Bulletpoint"/>
      </w:pPr>
      <w:r w:rsidRPr="00D714FC">
        <w:t xml:space="preserve">The IPART (NSW) </w:t>
      </w:r>
      <w:r w:rsidR="00CF261E" w:rsidRPr="00D714FC">
        <w:t>achieved accreditation under the WCIR in September 2015</w:t>
      </w:r>
      <w:r w:rsidR="00DC7B00">
        <w:t>, taking effect on 1 June 2016</w:t>
      </w:r>
      <w:r w:rsidRPr="00D714FC">
        <w:t>.</w:t>
      </w:r>
      <w:r w:rsidRPr="00D714FC">
        <w:rPr>
          <w:rStyle w:val="FootnoteReference"/>
        </w:rPr>
        <w:footnoteReference w:id="505"/>
      </w:r>
      <w:r w:rsidRPr="00D714FC">
        <w:t xml:space="preserve"> IPART </w:t>
      </w:r>
      <w:r w:rsidR="00CF261E" w:rsidRPr="00D714FC">
        <w:t>will approve</w:t>
      </w:r>
      <w:r w:rsidR="00DC7B00">
        <w:t xml:space="preserve"> </w:t>
      </w:r>
      <w:r w:rsidR="00CF261E" w:rsidRPr="00D714FC">
        <w:t>/ determine</w:t>
      </w:r>
      <w:r w:rsidRPr="00D714FC">
        <w:t xml:space="preserve"> of charges for </w:t>
      </w:r>
      <w:r w:rsidR="00603284" w:rsidRPr="00D714FC">
        <w:t>WaterNSW</w:t>
      </w:r>
      <w:r w:rsidRPr="00D714FC">
        <w:t xml:space="preserve"> (formerly State Water Corporation)</w:t>
      </w:r>
      <w:r w:rsidR="00CF261E" w:rsidRPr="00D714FC">
        <w:t xml:space="preserve"> beginning from the next regulatory period</w:t>
      </w:r>
      <w:r w:rsidR="00F23D64">
        <w:t xml:space="preserve"> (2017-21)</w:t>
      </w:r>
      <w:r w:rsidRPr="00D714FC">
        <w:t>.</w:t>
      </w:r>
    </w:p>
    <w:p w:rsidR="00F33AF9" w:rsidRPr="00F33AF9" w:rsidRDefault="00F33AF9" w:rsidP="00F33AF9">
      <w:pPr>
        <w:rPr>
          <w:bCs/>
        </w:rPr>
      </w:pPr>
      <w:r w:rsidRPr="00F33AF9">
        <w:rPr>
          <w:bCs/>
        </w:rPr>
        <w:t>The ACCC noted in its Draft Advice that the accreditation process under Part 9 of the WCIR is a straightforward process that is largely administrative in nature and which does not require a complex application to be submitted to the ACCC.</w:t>
      </w:r>
      <w:r w:rsidRPr="00F33AF9">
        <w:rPr>
          <w:vertAlign w:val="superscript"/>
        </w:rPr>
        <w:footnoteReference w:id="506"/>
      </w:r>
      <w:r w:rsidRPr="00F33AF9">
        <w:rPr>
          <w:bCs/>
          <w:vertAlign w:val="superscript"/>
        </w:rPr>
        <w:t xml:space="preserve"> </w:t>
      </w:r>
    </w:p>
    <w:p w:rsidR="008A2DDF" w:rsidRPr="00D7602D" w:rsidRDefault="00D7602D" w:rsidP="00F33AF9">
      <w:r w:rsidRPr="00D7602D">
        <w:t>The ACCC’s draft rule advice on amendments to the application of Part 6 (as set out in section 5.6) will, if adopted, mean that accreditation will no longer be necessary for the purposes of Part</w:t>
      </w:r>
      <w:r>
        <w:t xml:space="preserve"> 6</w:t>
      </w:r>
      <w:r w:rsidRPr="00D7602D">
        <w:t xml:space="preserve"> </w:t>
      </w:r>
      <w:r w:rsidRPr="00D7602D">
        <w:rPr>
          <w:color w:val="000000"/>
        </w:rPr>
        <w:t>of the WCIR</w:t>
      </w:r>
      <w:r w:rsidRPr="00D7602D">
        <w:t xml:space="preserve">. Further, the ACCC </w:t>
      </w:r>
      <w:r w:rsidR="008A2DDF" w:rsidRPr="00D7602D">
        <w:t>noted</w:t>
      </w:r>
      <w:r w:rsidRPr="00D7602D">
        <w:t xml:space="preserve"> in its Draft Advice</w:t>
      </w:r>
      <w:r w:rsidR="008A2DDF" w:rsidRPr="00D7602D">
        <w:t xml:space="preserve"> that accreditation arrangements were included in the rules primarily due to considerations relating to Part 6, rather than Part 7</w:t>
      </w:r>
      <w:r w:rsidRPr="00D7602D">
        <w:t xml:space="preserve">, and that there is no strong rationale for a state regulator to be the regulator for Part 7 in the context where it is not also the regulator for Part 6. </w:t>
      </w:r>
      <w:r w:rsidR="008A2DDF" w:rsidRPr="00D7602D">
        <w:t>As such, the ACCC consider</w:t>
      </w:r>
      <w:r w:rsidRPr="00D7602D">
        <w:t>ed</w:t>
      </w:r>
      <w:r w:rsidR="008A2DDF" w:rsidRPr="00D7602D">
        <w:t xml:space="preserve"> that Part 9 should no longer provide for Basin State regulators to apply for accreditation</w:t>
      </w:r>
      <w:r w:rsidRPr="00D7602D">
        <w:t>, and made draft rule advice to repeal Part 9 (draft rule advice 5-W)</w:t>
      </w:r>
      <w:r w:rsidR="008A2DDF" w:rsidRPr="00D7602D">
        <w:t xml:space="preserve">. </w:t>
      </w:r>
    </w:p>
    <w:p w:rsidR="008A2DDF" w:rsidRPr="00643F3F" w:rsidRDefault="008A2DDF" w:rsidP="00643F3F">
      <w:pPr>
        <w:rPr>
          <w:rFonts w:cs="Times New Roman"/>
        </w:rPr>
      </w:pPr>
      <w:r w:rsidRPr="00643F3F">
        <w:rPr>
          <w:rFonts w:cs="Times New Roman"/>
        </w:rPr>
        <w:t>However, to provide certainty to currently accredited Basin State regulators, infrastructure operators and customers, the ACCC consider</w:t>
      </w:r>
      <w:r w:rsidR="00643F3F">
        <w:rPr>
          <w:rFonts w:cs="Times New Roman"/>
        </w:rPr>
        <w:t>ed</w:t>
      </w:r>
      <w:r w:rsidRPr="00643F3F">
        <w:rPr>
          <w:rFonts w:cs="Times New Roman"/>
        </w:rPr>
        <w:t xml:space="preserve"> that existing accreditation arrangements should continue to apply in relation to Part 6 on an operator-by-operator basis until the end of the regulatory periods underway at the time amendments to Division 1of Part 6 commence. </w:t>
      </w:r>
    </w:p>
    <w:p w:rsidR="008A2DDF" w:rsidRPr="008A2DDF" w:rsidRDefault="008A2DDF" w:rsidP="00643F3F">
      <w:pPr>
        <w:rPr>
          <w:rFonts w:cs="Times New Roman"/>
        </w:rPr>
      </w:pPr>
      <w:r w:rsidRPr="00643F3F">
        <w:rPr>
          <w:rFonts w:cs="Times New Roman"/>
        </w:rPr>
        <w:t>Further, the ACCC consider</w:t>
      </w:r>
      <w:r w:rsidR="00643F3F">
        <w:rPr>
          <w:rFonts w:cs="Times New Roman"/>
        </w:rPr>
        <w:t>ed</w:t>
      </w:r>
      <w:r w:rsidRPr="00643F3F">
        <w:rPr>
          <w:rFonts w:cs="Times New Roman"/>
        </w:rPr>
        <w:t xml:space="preserve"> that accreditation arrangements should cease to apply in relation to any operators subject to approvals or determinations under Part 7 when these operators cease to be Part 7 operators under the rules. To date, there have been no Part 7 operators.</w:t>
      </w:r>
    </w:p>
    <w:p w:rsidR="008A2DDF" w:rsidRPr="008A2DDF" w:rsidRDefault="00643F3F" w:rsidP="00643F3F">
      <w:pPr>
        <w:autoSpaceDE w:val="0"/>
        <w:autoSpaceDN w:val="0"/>
        <w:adjustRightInd w:val="0"/>
        <w:rPr>
          <w:rFonts w:cs="Times New Roman"/>
          <w:color w:val="000000"/>
        </w:rPr>
      </w:pPr>
      <w:r>
        <w:rPr>
          <w:rFonts w:cs="Times New Roman"/>
          <w:color w:val="000000"/>
        </w:rPr>
        <w:t>T</w:t>
      </w:r>
      <w:r w:rsidR="008A2DDF" w:rsidRPr="008A2DDF">
        <w:rPr>
          <w:rFonts w:cs="Times New Roman"/>
          <w:color w:val="000000"/>
        </w:rPr>
        <w:t>he ACCC note</w:t>
      </w:r>
      <w:r>
        <w:rPr>
          <w:rFonts w:cs="Times New Roman"/>
          <w:color w:val="000000"/>
        </w:rPr>
        <w:t>d in it</w:t>
      </w:r>
      <w:r w:rsidR="008A2DDF" w:rsidRPr="008A2DDF">
        <w:rPr>
          <w:rFonts w:cs="Times New Roman"/>
          <w:color w:val="000000"/>
        </w:rPr>
        <w:t>s</w:t>
      </w:r>
      <w:r>
        <w:rPr>
          <w:rFonts w:cs="Times New Roman"/>
          <w:color w:val="000000"/>
        </w:rPr>
        <w:t xml:space="preserve"> Draft Advice that having </w:t>
      </w:r>
      <w:r w:rsidRPr="008A2DDF">
        <w:rPr>
          <w:rFonts w:cs="Times New Roman"/>
          <w:color w:val="000000"/>
        </w:rPr>
        <w:t xml:space="preserve">multiple regulators across the Basin </w:t>
      </w:r>
      <w:r>
        <w:rPr>
          <w:rFonts w:cs="Times New Roman"/>
          <w:color w:val="000000"/>
        </w:rPr>
        <w:t>could result</w:t>
      </w:r>
      <w:r w:rsidRPr="008A2DDF">
        <w:rPr>
          <w:rFonts w:cs="Times New Roman"/>
          <w:color w:val="000000"/>
        </w:rPr>
        <w:t xml:space="preserve"> in inconsistency in regulatory decisions</w:t>
      </w:r>
      <w:r>
        <w:rPr>
          <w:rFonts w:cs="Times New Roman"/>
          <w:color w:val="000000"/>
        </w:rPr>
        <w:t>.</w:t>
      </w:r>
      <w:r w:rsidR="008A2DDF" w:rsidRPr="008A2DDF">
        <w:rPr>
          <w:rFonts w:cs="Times New Roman"/>
          <w:color w:val="000000"/>
        </w:rPr>
        <w:t xml:space="preserve"> </w:t>
      </w:r>
      <w:r>
        <w:rPr>
          <w:rFonts w:cs="Times New Roman"/>
          <w:color w:val="000000"/>
        </w:rPr>
        <w:t>W</w:t>
      </w:r>
      <w:r w:rsidR="008A2DDF" w:rsidRPr="008A2DDF">
        <w:rPr>
          <w:rFonts w:cs="Times New Roman"/>
          <w:color w:val="000000"/>
        </w:rPr>
        <w:t xml:space="preserve">hile this </w:t>
      </w:r>
      <w:r>
        <w:rPr>
          <w:rFonts w:cs="Times New Roman"/>
          <w:color w:val="000000"/>
        </w:rPr>
        <w:t>may be the case</w:t>
      </w:r>
      <w:r w:rsidR="008A2DDF" w:rsidRPr="008A2DDF">
        <w:rPr>
          <w:rFonts w:cs="Times New Roman"/>
          <w:color w:val="000000"/>
        </w:rPr>
        <w:t>, it is not always an undesirable outcome.</w:t>
      </w:r>
      <w:r w:rsidR="00C6733C">
        <w:rPr>
          <w:rFonts w:cs="Times New Roman"/>
          <w:color w:val="000000"/>
        </w:rPr>
        <w:t xml:space="preserve"> </w:t>
      </w:r>
      <w:r w:rsidR="008A2DDF" w:rsidRPr="008A2DDF">
        <w:rPr>
          <w:rFonts w:cs="Times New Roman"/>
          <w:color w:val="000000"/>
        </w:rPr>
        <w:t xml:space="preserve">In the absence of a single regulator model, different regulators will exercise their discretion differently. Consistency in relation to some aspects of a regulator’s decision will be desirable or necessary in some circumstances whereas in other situations, different pricing decisions will be expected, for example, to reflect that costs vary in different parts of the Basin (see also section </w:t>
      </w:r>
      <w:r w:rsidR="00E722FD">
        <w:rPr>
          <w:rFonts w:cs="Times New Roman"/>
          <w:color w:val="000000"/>
        </w:rPr>
        <w:t>5.10</w:t>
      </w:r>
      <w:r w:rsidR="008A2DDF" w:rsidRPr="008A2DDF">
        <w:rPr>
          <w:rFonts w:cs="Times New Roman"/>
          <w:color w:val="000000"/>
        </w:rPr>
        <w:t xml:space="preserve">). </w:t>
      </w:r>
    </w:p>
    <w:p w:rsidR="00FE361B" w:rsidRPr="00D714FC" w:rsidRDefault="00FE361B" w:rsidP="00020517">
      <w:pPr>
        <w:pStyle w:val="Heading3Un-numbered"/>
      </w:pPr>
      <w:r w:rsidRPr="00D714FC">
        <w:t>Stakeholder feedback</w:t>
      </w:r>
    </w:p>
    <w:p w:rsidR="00FE361B" w:rsidRPr="00D714FC" w:rsidRDefault="00FE361B" w:rsidP="00643F3F">
      <w:pPr>
        <w:rPr>
          <w:rFonts w:cs="Times New Roman"/>
        </w:rPr>
      </w:pPr>
      <w:r w:rsidRPr="00D714FC">
        <w:rPr>
          <w:rFonts w:cs="Times New Roman"/>
        </w:rPr>
        <w:t>Stakeholders provided feedback on the accreditation p</w:t>
      </w:r>
      <w:r w:rsidR="007D5850" w:rsidRPr="00D714FC">
        <w:rPr>
          <w:rFonts w:cs="Times New Roman"/>
        </w:rPr>
        <w:t>rovisions in Part 9 of the WCIR</w:t>
      </w:r>
      <w:r w:rsidRPr="00D714FC">
        <w:rPr>
          <w:rFonts w:cs="Times New Roman"/>
        </w:rPr>
        <w:t xml:space="preserve"> in both the </w:t>
      </w:r>
      <w:r w:rsidR="003E27EE" w:rsidRPr="003E27EE">
        <w:rPr>
          <w:rFonts w:cs="Times New Roman"/>
          <w:i/>
        </w:rPr>
        <w:t xml:space="preserve">Water </w:t>
      </w:r>
      <w:r w:rsidRPr="003E27EE">
        <w:rPr>
          <w:rFonts w:cs="Times New Roman"/>
          <w:i/>
        </w:rPr>
        <w:t>Act</w:t>
      </w:r>
      <w:r w:rsidR="003E27EE" w:rsidRPr="003E27EE">
        <w:rPr>
          <w:rFonts w:cs="Times New Roman"/>
          <w:i/>
        </w:rPr>
        <w:t xml:space="preserve"> 2007</w:t>
      </w:r>
      <w:r w:rsidR="003E27EE">
        <w:rPr>
          <w:rFonts w:cs="Times New Roman"/>
        </w:rPr>
        <w:t xml:space="preserve"> (the Act)</w:t>
      </w:r>
      <w:r w:rsidRPr="00D714FC">
        <w:rPr>
          <w:rFonts w:cs="Times New Roman"/>
        </w:rPr>
        <w:t xml:space="preserve"> Review and as part of </w:t>
      </w:r>
      <w:r w:rsidR="007D5850" w:rsidRPr="00D714FC">
        <w:rPr>
          <w:rFonts w:cs="Times New Roman"/>
        </w:rPr>
        <w:t xml:space="preserve">the </w:t>
      </w:r>
      <w:r w:rsidR="00222D0D">
        <w:rPr>
          <w:rFonts w:cs="Times New Roman"/>
        </w:rPr>
        <w:t>w</w:t>
      </w:r>
      <w:r w:rsidRPr="00D714FC">
        <w:rPr>
          <w:rFonts w:cs="Times New Roman"/>
        </w:rPr>
        <w:t xml:space="preserve">ater </w:t>
      </w:r>
      <w:r w:rsidR="00222D0D">
        <w:rPr>
          <w:rFonts w:cs="Times New Roman"/>
        </w:rPr>
        <w:t>c</w:t>
      </w:r>
      <w:r w:rsidRPr="00D714FC">
        <w:rPr>
          <w:rFonts w:cs="Times New Roman"/>
        </w:rPr>
        <w:t xml:space="preserve">harge </w:t>
      </w:r>
      <w:r w:rsidR="00222D0D">
        <w:rPr>
          <w:rFonts w:cs="Times New Roman"/>
        </w:rPr>
        <w:t>r</w:t>
      </w:r>
      <w:r w:rsidRPr="00D714FC">
        <w:rPr>
          <w:rFonts w:cs="Times New Roman"/>
        </w:rPr>
        <w:t xml:space="preserve">ules </w:t>
      </w:r>
      <w:r w:rsidR="00222D0D">
        <w:rPr>
          <w:rFonts w:cs="Times New Roman"/>
        </w:rPr>
        <w:t>r</w:t>
      </w:r>
      <w:r w:rsidRPr="00D714FC">
        <w:rPr>
          <w:rFonts w:cs="Times New Roman"/>
        </w:rPr>
        <w:t>eview process.</w:t>
      </w:r>
    </w:p>
    <w:p w:rsidR="00FE361B" w:rsidRPr="00D714FC" w:rsidRDefault="00CB42CD" w:rsidP="00643F3F">
      <w:pPr>
        <w:rPr>
          <w:rFonts w:cs="Times New Roman"/>
          <w:color w:val="000000"/>
        </w:rPr>
      </w:pPr>
      <w:r>
        <w:rPr>
          <w:rFonts w:cs="Times New Roman"/>
        </w:rPr>
        <w:t>T</w:t>
      </w:r>
      <w:r w:rsidR="00FE361B" w:rsidRPr="00D714FC">
        <w:rPr>
          <w:rFonts w:cs="Times New Roman"/>
        </w:rPr>
        <w:t>he A</w:t>
      </w:r>
      <w:r w:rsidR="007D5850" w:rsidRPr="00D714FC">
        <w:rPr>
          <w:rFonts w:cs="Times New Roman"/>
        </w:rPr>
        <w:t xml:space="preserve">ct </w:t>
      </w:r>
      <w:r w:rsidR="00FE361B" w:rsidRPr="00D714FC">
        <w:rPr>
          <w:rFonts w:cs="Times New Roman"/>
        </w:rPr>
        <w:t>R</w:t>
      </w:r>
      <w:r w:rsidR="007D5850" w:rsidRPr="00D714FC">
        <w:rPr>
          <w:rFonts w:cs="Times New Roman"/>
        </w:rPr>
        <w:t>eview</w:t>
      </w:r>
      <w:r w:rsidR="00FE361B" w:rsidRPr="00D714FC">
        <w:rPr>
          <w:rFonts w:cs="Times New Roman"/>
        </w:rPr>
        <w:t xml:space="preserve"> raised two key </w:t>
      </w:r>
      <w:r>
        <w:rPr>
          <w:rFonts w:cs="Times New Roman"/>
        </w:rPr>
        <w:t xml:space="preserve">stakeholder </w:t>
      </w:r>
      <w:r w:rsidR="00FE361B" w:rsidRPr="00D714FC">
        <w:rPr>
          <w:rFonts w:cs="Times New Roman"/>
        </w:rPr>
        <w:t xml:space="preserve">concerns relating to accreditation under Part 9 of the WCIR. First, submitters to the </w:t>
      </w:r>
      <w:r w:rsidR="007924C9" w:rsidRPr="00D714FC">
        <w:rPr>
          <w:rFonts w:cs="Times New Roman"/>
        </w:rPr>
        <w:t xml:space="preserve">Act Review </w:t>
      </w:r>
      <w:r w:rsidR="00FE361B" w:rsidRPr="00D714FC">
        <w:rPr>
          <w:rFonts w:cs="Times New Roman"/>
        </w:rPr>
        <w:t xml:space="preserve">stated that the existence of multiple regulators across Basin </w:t>
      </w:r>
      <w:r w:rsidR="00F94A10">
        <w:rPr>
          <w:rFonts w:cs="Times New Roman"/>
        </w:rPr>
        <w:t>S</w:t>
      </w:r>
      <w:r w:rsidR="00FE361B" w:rsidRPr="00D714FC">
        <w:rPr>
          <w:rFonts w:cs="Times New Roman"/>
        </w:rPr>
        <w:t xml:space="preserve">tates has </w:t>
      </w:r>
      <w:r w:rsidR="0029245E">
        <w:rPr>
          <w:rFonts w:cs="Times New Roman"/>
        </w:rPr>
        <w:t>not achieved consistency</w:t>
      </w:r>
      <w:r w:rsidR="00FE361B" w:rsidRPr="00D714FC">
        <w:rPr>
          <w:rFonts w:cs="Times New Roman"/>
        </w:rPr>
        <w:t xml:space="preserve"> in regulatory decisions (under Part 6 of the WCIR) and</w:t>
      </w:r>
      <w:r w:rsidR="0029245E">
        <w:rPr>
          <w:rFonts w:cs="Times New Roman"/>
        </w:rPr>
        <w:t xml:space="preserve"> led to</w:t>
      </w:r>
      <w:r w:rsidR="00FE361B" w:rsidRPr="00D714FC">
        <w:rPr>
          <w:rFonts w:cs="Times New Roman"/>
        </w:rPr>
        <w:t xml:space="preserve"> inefficiencies in the regulation of water charges.</w:t>
      </w:r>
      <w:r w:rsidR="00FE361B" w:rsidRPr="00D714FC">
        <w:rPr>
          <w:rFonts w:cs="Times New Roman"/>
          <w:color w:val="000000"/>
        </w:rPr>
        <w:t xml:space="preserve"> </w:t>
      </w:r>
    </w:p>
    <w:p w:rsidR="00FE361B" w:rsidRPr="00D714FC" w:rsidRDefault="00FE361B" w:rsidP="00643F3F">
      <w:pPr>
        <w:rPr>
          <w:rFonts w:cs="Times New Roman"/>
          <w:color w:val="000000"/>
        </w:rPr>
      </w:pPr>
      <w:r w:rsidRPr="00D714FC">
        <w:rPr>
          <w:rFonts w:cs="Times New Roman"/>
          <w:color w:val="000000"/>
        </w:rPr>
        <w:t xml:space="preserve">Second, </w:t>
      </w:r>
      <w:r w:rsidR="00566D67">
        <w:rPr>
          <w:rFonts w:cs="Times New Roman"/>
          <w:color w:val="000000"/>
        </w:rPr>
        <w:t xml:space="preserve">some </w:t>
      </w:r>
      <w:r w:rsidR="00643F3F">
        <w:rPr>
          <w:rFonts w:cs="Times New Roman"/>
          <w:color w:val="000000"/>
        </w:rPr>
        <w:t>stakeholder</w:t>
      </w:r>
      <w:r w:rsidR="00566D67">
        <w:rPr>
          <w:rFonts w:cs="Times New Roman"/>
          <w:color w:val="000000"/>
        </w:rPr>
        <w:t>s</w:t>
      </w:r>
      <w:r w:rsidR="00643F3F">
        <w:rPr>
          <w:rFonts w:cs="Times New Roman"/>
          <w:color w:val="000000"/>
        </w:rPr>
        <w:t xml:space="preserve"> suggested that </w:t>
      </w:r>
      <w:r w:rsidR="00566D67">
        <w:rPr>
          <w:rFonts w:cs="Times New Roman"/>
          <w:color w:val="000000"/>
        </w:rPr>
        <w:t xml:space="preserve">accreditation requirements are ‘overly prescriptive’, making accreditation difficult to obtain, and that </w:t>
      </w:r>
      <w:r w:rsidR="00643F3F">
        <w:rPr>
          <w:rFonts w:cs="Times New Roman"/>
          <w:color w:val="000000"/>
        </w:rPr>
        <w:t xml:space="preserve">such difficulties may have </w:t>
      </w:r>
      <w:r w:rsidR="00640368">
        <w:rPr>
          <w:rFonts w:cs="Times New Roman"/>
          <w:color w:val="000000"/>
        </w:rPr>
        <w:t>deterred a regulator (</w:t>
      </w:r>
      <w:r w:rsidR="00643F3F">
        <w:rPr>
          <w:rFonts w:cs="Times New Roman"/>
          <w:color w:val="000000"/>
        </w:rPr>
        <w:t>IPART</w:t>
      </w:r>
      <w:r w:rsidR="00640368">
        <w:rPr>
          <w:rFonts w:cs="Times New Roman"/>
          <w:color w:val="000000"/>
        </w:rPr>
        <w:t>)</w:t>
      </w:r>
      <w:r w:rsidR="00643F3F">
        <w:rPr>
          <w:rFonts w:cs="Times New Roman"/>
          <w:color w:val="000000"/>
        </w:rPr>
        <w:t xml:space="preserve"> </w:t>
      </w:r>
      <w:r w:rsidR="00640368">
        <w:rPr>
          <w:rFonts w:cs="Times New Roman"/>
          <w:color w:val="000000"/>
        </w:rPr>
        <w:t xml:space="preserve">from </w:t>
      </w:r>
      <w:r w:rsidR="00643F3F">
        <w:rPr>
          <w:rFonts w:cs="Times New Roman"/>
          <w:color w:val="000000"/>
        </w:rPr>
        <w:t>seeking accreditation under the WCIR</w:t>
      </w:r>
      <w:r w:rsidRPr="00D714FC">
        <w:rPr>
          <w:rFonts w:cs="Times New Roman"/>
          <w:color w:val="000000"/>
        </w:rPr>
        <w:t>.</w:t>
      </w:r>
      <w:r w:rsidR="00B54B9E" w:rsidRPr="00D714FC">
        <w:rPr>
          <w:rStyle w:val="FootnoteReference"/>
          <w:rFonts w:cs="Times New Roman"/>
        </w:rPr>
        <w:footnoteReference w:id="507"/>
      </w:r>
      <w:r w:rsidRPr="00D714FC">
        <w:rPr>
          <w:rFonts w:cs="Times New Roman"/>
          <w:color w:val="000000"/>
        </w:rPr>
        <w:t xml:space="preserve"> </w:t>
      </w:r>
      <w:r w:rsidR="00643F3F">
        <w:rPr>
          <w:rFonts w:cs="Times New Roman"/>
          <w:color w:val="000000"/>
        </w:rPr>
        <w:t xml:space="preserve">The ACCC does not </w:t>
      </w:r>
      <w:r w:rsidR="00914358">
        <w:rPr>
          <w:rFonts w:cs="Times New Roman"/>
          <w:color w:val="000000"/>
        </w:rPr>
        <w:t>believe</w:t>
      </w:r>
      <w:r w:rsidR="00643F3F">
        <w:rPr>
          <w:rFonts w:cs="Times New Roman"/>
          <w:color w:val="000000"/>
        </w:rPr>
        <w:t xml:space="preserve"> </w:t>
      </w:r>
      <w:r w:rsidR="00640368">
        <w:rPr>
          <w:rFonts w:cs="Times New Roman"/>
          <w:color w:val="000000"/>
        </w:rPr>
        <w:t>that accreditation arrangements are difficult or onerous</w:t>
      </w:r>
      <w:r w:rsidR="00643F3F">
        <w:rPr>
          <w:rFonts w:cs="Times New Roman"/>
          <w:color w:val="000000"/>
        </w:rPr>
        <w:t xml:space="preserve">, and </w:t>
      </w:r>
      <w:r w:rsidRPr="00D714FC">
        <w:rPr>
          <w:rFonts w:cs="Times New Roman"/>
          <w:color w:val="000000"/>
        </w:rPr>
        <w:t>note</w:t>
      </w:r>
      <w:r w:rsidR="00643F3F">
        <w:rPr>
          <w:rFonts w:cs="Times New Roman"/>
          <w:color w:val="000000"/>
        </w:rPr>
        <w:t>d in its Draft Advice</w:t>
      </w:r>
      <w:r w:rsidRPr="00D714FC">
        <w:rPr>
          <w:rFonts w:cs="Times New Roman"/>
          <w:color w:val="000000"/>
        </w:rPr>
        <w:t xml:space="preserve"> that IPART has since applied and successfully had its application for accreditation arrangements approved. Its accreditation commence</w:t>
      </w:r>
      <w:r w:rsidR="00E51A57">
        <w:rPr>
          <w:rFonts w:cs="Times New Roman"/>
          <w:color w:val="000000"/>
        </w:rPr>
        <w:t>d</w:t>
      </w:r>
      <w:r w:rsidRPr="00D714FC">
        <w:rPr>
          <w:rFonts w:cs="Times New Roman"/>
          <w:color w:val="000000"/>
        </w:rPr>
        <w:t xml:space="preserve"> on 1 June 2016.</w:t>
      </w:r>
      <w:r w:rsidR="00B51B38">
        <w:rPr>
          <w:rStyle w:val="FootnoteReference"/>
          <w:rFonts w:cs="Times New Roman"/>
          <w:color w:val="000000"/>
        </w:rPr>
        <w:footnoteReference w:id="508"/>
      </w:r>
    </w:p>
    <w:p w:rsidR="00FE361B" w:rsidRDefault="00536070" w:rsidP="00640368">
      <w:pPr>
        <w:rPr>
          <w:rFonts w:cs="Times New Roman"/>
        </w:rPr>
      </w:pPr>
      <w:r w:rsidRPr="00345FA3">
        <w:rPr>
          <w:rFonts w:cs="Times New Roman"/>
        </w:rPr>
        <w:t xml:space="preserve">Responses </w:t>
      </w:r>
      <w:r w:rsidR="00B51B38" w:rsidRPr="00345FA3">
        <w:rPr>
          <w:rFonts w:cs="Times New Roman"/>
        </w:rPr>
        <w:t>to the Issues Paper</w:t>
      </w:r>
      <w:r w:rsidR="00FA591B" w:rsidRPr="00345FA3">
        <w:rPr>
          <w:rFonts w:cs="Times New Roman"/>
        </w:rPr>
        <w:t>, while generally supportive of the accreditation mechanism</w:t>
      </w:r>
      <w:r w:rsidR="00345FA3" w:rsidRPr="00345FA3">
        <w:rPr>
          <w:rFonts w:cs="Times New Roman"/>
        </w:rPr>
        <w:t xml:space="preserve"> in that it reduced duplication for regulated operators</w:t>
      </w:r>
      <w:r w:rsidR="00FA591B" w:rsidRPr="00345FA3">
        <w:rPr>
          <w:rFonts w:cs="Times New Roman"/>
        </w:rPr>
        <w:t>,</w:t>
      </w:r>
      <w:r w:rsidR="00B51B38" w:rsidRPr="00345FA3">
        <w:rPr>
          <w:rFonts w:cs="Times New Roman"/>
        </w:rPr>
        <w:t xml:space="preserve"> raised </w:t>
      </w:r>
      <w:r w:rsidR="00FA591B" w:rsidRPr="00345FA3">
        <w:rPr>
          <w:rFonts w:cs="Times New Roman"/>
        </w:rPr>
        <w:t xml:space="preserve">several </w:t>
      </w:r>
      <w:r w:rsidR="00B51B38" w:rsidRPr="00345FA3">
        <w:rPr>
          <w:rFonts w:cs="Times New Roman"/>
        </w:rPr>
        <w:t>issues</w:t>
      </w:r>
      <w:r w:rsidR="00315A77">
        <w:rPr>
          <w:rFonts w:cs="Times New Roman"/>
        </w:rPr>
        <w:t>.</w:t>
      </w:r>
      <w:r w:rsidR="00B51B38" w:rsidRPr="00345FA3">
        <w:rPr>
          <w:rFonts w:cs="Times New Roman"/>
        </w:rPr>
        <w:t xml:space="preserve"> </w:t>
      </w:r>
      <w:r w:rsidR="008A64A4" w:rsidRPr="00345FA3">
        <w:rPr>
          <w:rFonts w:cs="Times New Roman"/>
        </w:rPr>
        <w:t>One stakeholder submitted that accredited state regulator</w:t>
      </w:r>
      <w:r w:rsidR="00806076" w:rsidRPr="00345FA3">
        <w:rPr>
          <w:rFonts w:cs="Times New Roman"/>
        </w:rPr>
        <w:t>s</w:t>
      </w:r>
      <w:r w:rsidR="008A64A4" w:rsidRPr="00345FA3">
        <w:rPr>
          <w:rFonts w:cs="Times New Roman"/>
        </w:rPr>
        <w:t xml:space="preserve"> should have increased flexibility</w:t>
      </w:r>
      <w:r w:rsidR="00806076" w:rsidRPr="00345FA3">
        <w:rPr>
          <w:rFonts w:cs="Times New Roman"/>
        </w:rPr>
        <w:t xml:space="preserve"> and discretion</w:t>
      </w:r>
      <w:r w:rsidR="008A64A4" w:rsidRPr="00345FA3">
        <w:rPr>
          <w:rFonts w:cs="Times New Roman"/>
        </w:rPr>
        <w:t xml:space="preserve">. In contrast, other stakeholders </w:t>
      </w:r>
      <w:r w:rsidR="00806076" w:rsidRPr="00345FA3">
        <w:rPr>
          <w:rFonts w:cs="Times New Roman"/>
        </w:rPr>
        <w:t xml:space="preserve">submitted </w:t>
      </w:r>
      <w:r w:rsidR="008A64A4" w:rsidRPr="00345FA3">
        <w:rPr>
          <w:rFonts w:cs="Times New Roman"/>
        </w:rPr>
        <w:t>that accreditation has led to a lack of con</w:t>
      </w:r>
      <w:r w:rsidR="00806076" w:rsidRPr="00345FA3">
        <w:rPr>
          <w:rFonts w:cs="Times New Roman"/>
        </w:rPr>
        <w:t xml:space="preserve">sistency in approach to charge determinations and approvals across different regulators, which should be addressed. One submitter also identified that Basin State regulators potentially face a conflict of interest in regulating state-owned operators, and recommended that ACCC oversight of </w:t>
      </w:r>
      <w:r w:rsidR="00E51A57">
        <w:rPr>
          <w:rFonts w:cs="Times New Roman"/>
        </w:rPr>
        <w:t xml:space="preserve">Basin </w:t>
      </w:r>
      <w:r w:rsidR="00806076" w:rsidRPr="00345FA3">
        <w:rPr>
          <w:rFonts w:cs="Times New Roman"/>
        </w:rPr>
        <w:t>State regulators continue.</w:t>
      </w:r>
      <w:r w:rsidR="00806076" w:rsidRPr="00345FA3">
        <w:rPr>
          <w:rStyle w:val="FootnoteReference"/>
          <w:rFonts w:cs="Times New Roman"/>
        </w:rPr>
        <w:footnoteReference w:id="509"/>
      </w:r>
    </w:p>
    <w:p w:rsidR="00315A77" w:rsidRDefault="00315A77" w:rsidP="00315A77">
      <w:r>
        <w:rPr>
          <w:rFonts w:cs="Times New Roman"/>
        </w:rPr>
        <w:t>In response to the Draft Advice, t</w:t>
      </w:r>
      <w:r>
        <w:t>he Queensland Farmers’ Federation</w:t>
      </w:r>
      <w:r w:rsidR="008E524B">
        <w:t xml:space="preserve"> (QFF)</w:t>
      </w:r>
      <w:r>
        <w:t xml:space="preserve"> was the only stakeholder to comment on rule advice 5-W, stating that it cannot support this rule advice because it is conditional on rule advices 5-A to 5-E.</w:t>
      </w:r>
      <w:r w:rsidRPr="00073821">
        <w:rPr>
          <w:rStyle w:val="FootnoteReference"/>
          <w:rFonts w:cs="Times New Roman"/>
          <w:sz w:val="20"/>
          <w:szCs w:val="20"/>
        </w:rPr>
        <w:footnoteReference w:id="510"/>
      </w:r>
      <w:r>
        <w:t xml:space="preserve"> </w:t>
      </w:r>
    </w:p>
    <w:p w:rsidR="00FE361B" w:rsidRPr="00D714FC" w:rsidRDefault="0079321E" w:rsidP="00020517">
      <w:pPr>
        <w:pStyle w:val="Heading3Un-numbered"/>
      </w:pPr>
      <w:r>
        <w:t>ACCC assessment</w:t>
      </w:r>
    </w:p>
    <w:p w:rsidR="00315A77" w:rsidRDefault="00DC7B00" w:rsidP="00DC7B00">
      <w:r>
        <w:t xml:space="preserve">Under the proposed amendments to </w:t>
      </w:r>
      <w:r w:rsidR="00A52AF4">
        <w:t>r</w:t>
      </w:r>
      <w:r>
        <w:t>ule 23</w:t>
      </w:r>
      <w:r w:rsidR="009654E5">
        <w:t>, the ACCC expects</w:t>
      </w:r>
      <w:r>
        <w:t xml:space="preserve"> few</w:t>
      </w:r>
      <w:r w:rsidR="009654E5">
        <w:t>,</w:t>
      </w:r>
      <w:r>
        <w:t xml:space="preserve"> if any</w:t>
      </w:r>
      <w:r w:rsidR="009654E5">
        <w:t>,</w:t>
      </w:r>
      <w:r w:rsidR="00566D67">
        <w:t xml:space="preserve"> operators</w:t>
      </w:r>
      <w:r w:rsidR="009654E5">
        <w:t>,</w:t>
      </w:r>
      <w:r>
        <w:t xml:space="preserve"> to </w:t>
      </w:r>
      <w:r w:rsidR="00315A77">
        <w:t xml:space="preserve">meet the criteria of a </w:t>
      </w:r>
      <w:r>
        <w:t>Part 6</w:t>
      </w:r>
      <w:r w:rsidR="00315A77">
        <w:t xml:space="preserve"> operator</w:t>
      </w:r>
      <w:r>
        <w:t xml:space="preserve">. </w:t>
      </w:r>
      <w:r w:rsidR="00315A77">
        <w:t xml:space="preserve">The only circumstances in which an operator meeting the criteria set out in proposed </w:t>
      </w:r>
      <w:r w:rsidR="00A52AF4">
        <w:t>sub</w:t>
      </w:r>
      <w:r w:rsidR="00315A77">
        <w:t>rule 23(b) could be a Part 6 operator is in the event that the relevant Basin State was unable or unwilling to ensure that the infrastructure charges of the operator are regulated in a manner broadly consistent with the requirements of Part 6. In such cases, the ACCC contends, accreditation of a State Agency would not be feasible in any case.</w:t>
      </w:r>
    </w:p>
    <w:p w:rsidR="00F15AAB" w:rsidRDefault="00F15AAB" w:rsidP="00F15AAB">
      <w:r>
        <w:t xml:space="preserve">The ACCC therefore considers that, if the Minister accepts </w:t>
      </w:r>
      <w:r w:rsidR="00A52AF4">
        <w:t>r</w:t>
      </w:r>
      <w:r>
        <w:t xml:space="preserve">ule </w:t>
      </w:r>
      <w:r w:rsidR="00A52AF4">
        <w:t>a</w:t>
      </w:r>
      <w:r>
        <w:t>dvice 5-M on the application of Part 6, Part 9 as well as Schedules 4 and 5 of the rules can be repealed, subject to transitional arrangements for existing accreditation arrangements for Part 6 and Part 7 operators.</w:t>
      </w:r>
      <w:r w:rsidR="004B4102">
        <w:rPr>
          <w:rStyle w:val="FootnoteReference"/>
        </w:rPr>
        <w:footnoteReference w:id="511"/>
      </w:r>
      <w:r>
        <w:t xml:space="preserve"> </w:t>
      </w:r>
    </w:p>
    <w:p w:rsidR="00DC7B00" w:rsidRDefault="00F15AAB" w:rsidP="00E81EB4">
      <w:pPr>
        <w:spacing w:after="120"/>
      </w:pPr>
      <w:r>
        <w:t xml:space="preserve">The </w:t>
      </w:r>
      <w:r w:rsidR="00DC7B00">
        <w:t xml:space="preserve">current accreditation arrangements should continue </w:t>
      </w:r>
      <w:r w:rsidR="00225307">
        <w:t xml:space="preserve">after the transition date (when amendments to the rules take effect) </w:t>
      </w:r>
      <w:r w:rsidR="00DC7B00">
        <w:t xml:space="preserve">as follows: </w:t>
      </w:r>
    </w:p>
    <w:p w:rsidR="00DC7B00" w:rsidRDefault="00DC7B00" w:rsidP="00A82DE6">
      <w:pPr>
        <w:pStyle w:val="Lvl1Bulletpoint"/>
      </w:pPr>
      <w:r>
        <w:t xml:space="preserve">in relation to Part 6 operators, </w:t>
      </w:r>
      <w:r w:rsidR="00313D7E">
        <w:t xml:space="preserve">until </w:t>
      </w:r>
      <w:r w:rsidR="00313D7E" w:rsidRPr="00D714FC">
        <w:t xml:space="preserve">the end of the </w:t>
      </w:r>
      <w:r w:rsidR="00225307">
        <w:t xml:space="preserve">latest </w:t>
      </w:r>
      <w:r w:rsidR="00313D7E" w:rsidRPr="00D714FC">
        <w:t xml:space="preserve">regulatory period </w:t>
      </w:r>
      <w:r w:rsidR="00225307">
        <w:t xml:space="preserve">for which its infrastructure charges had been approved or determined before the transition date; or if the operator </w:t>
      </w:r>
      <w:r w:rsidR="00313D7E">
        <w:t>ha</w:t>
      </w:r>
      <w:r w:rsidR="00225307">
        <w:t>d</w:t>
      </w:r>
      <w:r w:rsidR="00313D7E">
        <w:t xml:space="preserve"> lodged an application </w:t>
      </w:r>
      <w:r w:rsidR="00225307">
        <w:t xml:space="preserve">but its charges had not yet been approved or determined by the transition date, until the end of the </w:t>
      </w:r>
      <w:r w:rsidR="00313D7E">
        <w:t>upcoming regulatory period</w:t>
      </w:r>
      <w:r w:rsidR="00225307">
        <w:t xml:space="preserve"> that the application related to.</w:t>
      </w:r>
      <w:r w:rsidR="00C6733C">
        <w:t xml:space="preserve"> </w:t>
      </w:r>
    </w:p>
    <w:p w:rsidR="00DC7B00" w:rsidRDefault="00DC7B00" w:rsidP="00A82DE6">
      <w:pPr>
        <w:pStyle w:val="Lvl1Bulletpoint"/>
      </w:pPr>
      <w:r>
        <w:t xml:space="preserve">in relation to Part 7 operators, until those operators cease to be Part 7 operators. </w:t>
      </w:r>
    </w:p>
    <w:p w:rsidR="00F15AAB" w:rsidRDefault="00F15AAB" w:rsidP="00DC7B00">
      <w:r>
        <w:t>S</w:t>
      </w:r>
      <w:r w:rsidR="00DC7B00" w:rsidRPr="002C7E77">
        <w:t xml:space="preserve">ection 5.6 </w:t>
      </w:r>
      <w:r>
        <w:t>contains further detail regarding transitional arrangements for Part 6 operators.</w:t>
      </w:r>
    </w:p>
    <w:p w:rsidR="00F15AAB" w:rsidRPr="008A2DDF" w:rsidRDefault="00F15AAB" w:rsidP="00F15AAB">
      <w:r w:rsidRPr="008A2DDF">
        <w:t xml:space="preserve">If the ACCC’s rule advice is adopted and the accreditation arrangements cease to have effect (after a transition period), the ACCC Pricing Principles will no longer </w:t>
      </w:r>
      <w:r>
        <w:t>apply to accredited Basin State regulators.</w:t>
      </w:r>
      <w:r w:rsidRPr="00D714FC">
        <w:rPr>
          <w:rStyle w:val="FootnoteReference"/>
          <w:rFonts w:cs="Times New Roman"/>
          <w:color w:val="000000"/>
        </w:rPr>
        <w:footnoteReference w:id="512"/>
      </w:r>
      <w:r w:rsidRPr="008A2DDF">
        <w:t xml:space="preserve"> </w:t>
      </w:r>
      <w:r>
        <w:t>This issue is considered further in section 4.4.</w:t>
      </w:r>
    </w:p>
    <w:p w:rsidR="00E161B2" w:rsidRDefault="00F970BC" w:rsidP="00616672">
      <w:pPr>
        <w:pStyle w:val="Heading2"/>
      </w:pPr>
      <w:bookmarkStart w:id="1092" w:name="_Toc436122309"/>
      <w:bookmarkStart w:id="1093" w:name="_Toc436122804"/>
      <w:bookmarkStart w:id="1094" w:name="_Toc436124159"/>
      <w:bookmarkStart w:id="1095" w:name="_Toc456785815"/>
      <w:bookmarkStart w:id="1096" w:name="_Toc461630726"/>
      <w:bookmarkStart w:id="1097" w:name="_Ref433370422"/>
      <w:r w:rsidRPr="00D714FC">
        <w:t>Differences in charging arrangements and their impacts</w:t>
      </w:r>
      <w:bookmarkEnd w:id="1092"/>
      <w:bookmarkEnd w:id="1093"/>
      <w:bookmarkEnd w:id="1094"/>
      <w:bookmarkEnd w:id="1095"/>
      <w:bookmarkEnd w:id="1096"/>
      <w:r w:rsidRPr="00D714FC">
        <w:tab/>
      </w:r>
      <w:bookmarkEnd w:id="1097"/>
    </w:p>
    <w:p w:rsidR="00364BDE" w:rsidRPr="006246A8" w:rsidRDefault="00364BDE" w:rsidP="00020517">
      <w:pPr>
        <w:pStyle w:val="Heading3Un-numbered"/>
      </w:pPr>
      <w:r w:rsidRPr="00364BDE">
        <w:t>Background</w:t>
      </w:r>
    </w:p>
    <w:p w:rsidR="00364BDE" w:rsidRPr="00D714FC" w:rsidRDefault="00364BDE" w:rsidP="00364BDE">
      <w:pPr>
        <w:rPr>
          <w:rFonts w:cs="Times New Roman"/>
        </w:rPr>
      </w:pPr>
      <w:r w:rsidRPr="00D714FC">
        <w:rPr>
          <w:rFonts w:cs="Times New Roman"/>
        </w:rPr>
        <w:t xml:space="preserve">Under </w:t>
      </w:r>
      <w:r w:rsidR="007E3378">
        <w:rPr>
          <w:rFonts w:cs="Times New Roman"/>
        </w:rPr>
        <w:t>sub</w:t>
      </w:r>
      <w:r w:rsidRPr="00D714FC">
        <w:rPr>
          <w:rFonts w:cs="Times New Roman"/>
        </w:rPr>
        <w:t xml:space="preserve">section 92(1)(c) of the </w:t>
      </w:r>
      <w:r w:rsidR="003E27EE" w:rsidRPr="003E27EE">
        <w:rPr>
          <w:rFonts w:cs="Times New Roman"/>
          <w:i/>
        </w:rPr>
        <w:t xml:space="preserve">Water </w:t>
      </w:r>
      <w:r w:rsidRPr="003E27EE">
        <w:rPr>
          <w:rFonts w:cs="Times New Roman"/>
          <w:i/>
        </w:rPr>
        <w:t>Act</w:t>
      </w:r>
      <w:r w:rsidR="003E27EE" w:rsidRPr="003E27EE">
        <w:rPr>
          <w:rFonts w:cs="Times New Roman"/>
          <w:i/>
        </w:rPr>
        <w:t xml:space="preserve"> 2007</w:t>
      </w:r>
      <w:r w:rsidR="003E27EE">
        <w:rPr>
          <w:rFonts w:cs="Times New Roman"/>
        </w:rPr>
        <w:t xml:space="preserve"> (the Act)</w:t>
      </w:r>
      <w:r w:rsidRPr="00D714FC">
        <w:rPr>
          <w:rFonts w:cs="Times New Roman"/>
        </w:rPr>
        <w:t xml:space="preserve">, the water charge rules should contribute to </w:t>
      </w:r>
      <w:r>
        <w:rPr>
          <w:rFonts w:cs="Times New Roman"/>
        </w:rPr>
        <w:t xml:space="preserve">achieving </w:t>
      </w:r>
      <w:r w:rsidRPr="00D714FC">
        <w:rPr>
          <w:rFonts w:cs="Times New Roman"/>
        </w:rPr>
        <w:t>the Basin Water Charging Objectives and Principles (BWCOP). This includes the facilitation of consistency in pricing policies across sectors and jurisdictions where entitlements are able to be traded.</w:t>
      </w:r>
      <w:r w:rsidRPr="00D714FC">
        <w:rPr>
          <w:rStyle w:val="FootnoteReference"/>
          <w:rFonts w:cs="Times New Roman"/>
        </w:rPr>
        <w:footnoteReference w:id="513"/>
      </w:r>
      <w:r w:rsidRPr="00D714FC">
        <w:rPr>
          <w:rFonts w:cs="Times New Roman"/>
        </w:rPr>
        <w:t xml:space="preserve"> The BWCOP are based on the Intergovernmental Agreement on the National Water Initiative (NWI).</w:t>
      </w:r>
      <w:r w:rsidRPr="00D714FC">
        <w:rPr>
          <w:rStyle w:val="FootnoteReference"/>
          <w:rFonts w:cs="Times New Roman"/>
        </w:rPr>
        <w:footnoteReference w:id="514"/>
      </w:r>
      <w:r w:rsidRPr="00D714FC">
        <w:rPr>
          <w:rFonts w:cs="Times New Roman"/>
        </w:rPr>
        <w:t xml:space="preserve"> </w:t>
      </w:r>
      <w:r>
        <w:rPr>
          <w:rFonts w:cs="Times New Roman"/>
        </w:rPr>
        <w:t xml:space="preserve">Under the NWI, </w:t>
      </w:r>
      <w:r w:rsidRPr="00D714FC">
        <w:rPr>
          <w:rFonts w:cs="Times New Roman"/>
        </w:rPr>
        <w:t>States and Territories agreed to implement</w:t>
      </w:r>
      <w:r>
        <w:rPr>
          <w:rFonts w:cs="Times New Roman"/>
        </w:rPr>
        <w:t xml:space="preserve"> consistent pricing policies,</w:t>
      </w:r>
      <w:r w:rsidRPr="00D714FC">
        <w:rPr>
          <w:rFonts w:cs="Times New Roman"/>
        </w:rPr>
        <w:t xml:space="preserve"> compatible institutional and regulatory arrangements and </w:t>
      </w:r>
      <w:r>
        <w:rPr>
          <w:rFonts w:cs="Times New Roman"/>
        </w:rPr>
        <w:t xml:space="preserve">to </w:t>
      </w:r>
      <w:r w:rsidRPr="00D714FC">
        <w:rPr>
          <w:rFonts w:cs="Times New Roman"/>
        </w:rPr>
        <w:t>remove barriers to trade that would facilitate the operation of efficient water markets and opportunities for intrastate and interstate trade.</w:t>
      </w:r>
      <w:r w:rsidRPr="00D714FC">
        <w:rPr>
          <w:rStyle w:val="FootnoteReference"/>
          <w:rFonts w:cs="Times New Roman"/>
        </w:rPr>
        <w:footnoteReference w:id="515"/>
      </w:r>
      <w:r w:rsidRPr="00D714FC">
        <w:rPr>
          <w:rFonts w:cs="Times New Roman"/>
        </w:rPr>
        <w:t xml:space="preserve"> </w:t>
      </w:r>
    </w:p>
    <w:p w:rsidR="00364BDE" w:rsidRPr="00D714FC" w:rsidRDefault="00364BDE" w:rsidP="00364BDE">
      <w:pPr>
        <w:rPr>
          <w:rFonts w:cs="Times New Roman"/>
        </w:rPr>
      </w:pPr>
      <w:r w:rsidRPr="00D714FC">
        <w:rPr>
          <w:rFonts w:cs="Times New Roman"/>
        </w:rPr>
        <w:t xml:space="preserve">The terms of reference for the Act Review required the </w:t>
      </w:r>
      <w:r>
        <w:rPr>
          <w:rFonts w:cs="Times New Roman"/>
        </w:rPr>
        <w:t xml:space="preserve">Independent </w:t>
      </w:r>
      <w:r w:rsidRPr="00D714FC">
        <w:rPr>
          <w:rFonts w:cs="Times New Roman"/>
        </w:rPr>
        <w:t xml:space="preserve">Expert Panel </w:t>
      </w:r>
      <w:r>
        <w:rPr>
          <w:rFonts w:cs="Times New Roman"/>
        </w:rPr>
        <w:t xml:space="preserve">(the Panel) </w:t>
      </w:r>
      <w:r w:rsidRPr="00D714FC">
        <w:rPr>
          <w:rFonts w:cs="Times New Roman"/>
        </w:rPr>
        <w:t>to consider the level of Basin-wide consistency in water charging regimes and the contribution made by those charging regimes to the water charging objectives.</w:t>
      </w:r>
      <w:r w:rsidRPr="00D714FC">
        <w:rPr>
          <w:rStyle w:val="FootnoteReference"/>
          <w:rFonts w:cs="Times New Roman"/>
        </w:rPr>
        <w:footnoteReference w:id="516"/>
      </w:r>
      <w:r w:rsidRPr="00D714FC">
        <w:rPr>
          <w:rFonts w:cs="Times New Roman"/>
        </w:rPr>
        <w:t xml:space="preserve"> The Panel considered that the intention of the Act was to ensure that water charges are set on a consistent basis, rather than a requirement that charges be consistent </w:t>
      </w:r>
      <w:r w:rsidRPr="00D714FC">
        <w:rPr>
          <w:rFonts w:cs="Times New Roman"/>
          <w:i/>
        </w:rPr>
        <w:t>per se</w:t>
      </w:r>
      <w:r w:rsidRPr="00D714FC">
        <w:rPr>
          <w:rFonts w:cs="Times New Roman"/>
        </w:rPr>
        <w:t>.</w:t>
      </w:r>
      <w:r w:rsidRPr="00D714FC">
        <w:rPr>
          <w:rStyle w:val="FootnoteReference"/>
          <w:rFonts w:cs="Times New Roman"/>
        </w:rPr>
        <w:footnoteReference w:id="517"/>
      </w:r>
      <w:r w:rsidRPr="00D714FC">
        <w:rPr>
          <w:rFonts w:cs="Times New Roman"/>
        </w:rPr>
        <w:t xml:space="preserve"> Con</w:t>
      </w:r>
      <w:r>
        <w:rPr>
          <w:rFonts w:cs="Times New Roman"/>
        </w:rPr>
        <w:t>sistency in charging practices wa</w:t>
      </w:r>
      <w:r w:rsidRPr="00D714FC">
        <w:rPr>
          <w:rFonts w:cs="Times New Roman"/>
        </w:rPr>
        <w:t>s seen as necessary in order to address pricing distortions and facilitate the efficient functioning of water markets.</w:t>
      </w:r>
    </w:p>
    <w:p w:rsidR="00364BDE" w:rsidRPr="00D714FC" w:rsidRDefault="00364BDE" w:rsidP="00364BDE">
      <w:pPr>
        <w:rPr>
          <w:rFonts w:cs="Times New Roman"/>
        </w:rPr>
      </w:pPr>
      <w:r w:rsidRPr="00D714FC">
        <w:rPr>
          <w:rFonts w:cs="Times New Roman"/>
        </w:rPr>
        <w:t>The ACCC is required by its terms of reference</w:t>
      </w:r>
      <w:r>
        <w:rPr>
          <w:rFonts w:cs="Times New Roman"/>
        </w:rPr>
        <w:t xml:space="preserve"> for the water charge rules review</w:t>
      </w:r>
      <w:r w:rsidRPr="00D714FC">
        <w:rPr>
          <w:rFonts w:cs="Times New Roman"/>
        </w:rPr>
        <w:t xml:space="preserve">, based on the Panel’s recommendation, to consider a range of issues related to the consistency of water charging regimes. This includes the continuing appropriateness of tiered regulation (see </w:t>
      </w:r>
      <w:r>
        <w:rPr>
          <w:rFonts w:cs="Times New Roman"/>
        </w:rPr>
        <w:t>s</w:t>
      </w:r>
      <w:r w:rsidRPr="00D714FC">
        <w:rPr>
          <w:rFonts w:cs="Times New Roman"/>
        </w:rPr>
        <w:t xml:space="preserve">ection 5.2), the consistent application of the </w:t>
      </w:r>
      <w:r>
        <w:rPr>
          <w:rFonts w:cs="Times New Roman"/>
        </w:rPr>
        <w:t>BWCOP</w:t>
      </w:r>
      <w:r w:rsidRPr="00D714FC">
        <w:rPr>
          <w:rFonts w:cs="Times New Roman"/>
        </w:rPr>
        <w:t xml:space="preserve"> (see </w:t>
      </w:r>
      <w:r>
        <w:rPr>
          <w:rFonts w:cs="Times New Roman"/>
        </w:rPr>
        <w:t>s</w:t>
      </w:r>
      <w:r w:rsidRPr="00D714FC">
        <w:rPr>
          <w:rFonts w:cs="Times New Roman"/>
        </w:rPr>
        <w:t xml:space="preserve">ection 4.2), the form and content of charge determinations and the number of regulatory authorities (see </w:t>
      </w:r>
      <w:r>
        <w:rPr>
          <w:rFonts w:cs="Times New Roman"/>
        </w:rPr>
        <w:t>s</w:t>
      </w:r>
      <w:r w:rsidRPr="00D714FC">
        <w:rPr>
          <w:rFonts w:cs="Times New Roman"/>
        </w:rPr>
        <w:t xml:space="preserve">ection 5.6). </w:t>
      </w:r>
    </w:p>
    <w:p w:rsidR="00364BDE" w:rsidRDefault="00364BDE" w:rsidP="00364BDE">
      <w:pPr>
        <w:rPr>
          <w:rFonts w:cs="Times New Roman"/>
        </w:rPr>
      </w:pPr>
      <w:r w:rsidRPr="00D714FC">
        <w:rPr>
          <w:rFonts w:cs="Times New Roman"/>
        </w:rPr>
        <w:t>This section focuses on the extent to which the water charge rules contribute to one of the outcomes of consistent pricing policies</w:t>
      </w:r>
      <w:r>
        <w:rPr>
          <w:rFonts w:cs="Times New Roman"/>
        </w:rPr>
        <w:t>—</w:t>
      </w:r>
      <w:r w:rsidRPr="00D714FC">
        <w:rPr>
          <w:rFonts w:cs="Times New Roman"/>
        </w:rPr>
        <w:t>to facilitate the efficient functioning of water markets.</w:t>
      </w:r>
      <w:r w:rsidRPr="00AF0C96">
        <w:rPr>
          <w:rStyle w:val="FootnoteReference"/>
          <w:rFonts w:cs="Times New Roman"/>
          <w:vertAlign w:val="baseline"/>
        </w:rPr>
        <w:t xml:space="preserve"> </w:t>
      </w:r>
    </w:p>
    <w:p w:rsidR="00364BDE" w:rsidRDefault="00364BDE" w:rsidP="00364BDE">
      <w:pPr>
        <w:rPr>
          <w:rFonts w:cs="Times New Roman"/>
          <w:lang w:val="en-US" w:eastAsia="ja-JP"/>
        </w:rPr>
      </w:pPr>
      <w:r w:rsidRPr="00D714FC">
        <w:rPr>
          <w:rFonts w:cs="Times New Roman"/>
        </w:rPr>
        <w:t xml:space="preserve">The water charge rules seek to preclude water charging arrangements that could impose a barrier to trade or distort trade-related decision making. As noted in section 5.2, the </w:t>
      </w:r>
      <w:r w:rsidR="002C2856" w:rsidRPr="00524D9F">
        <w:rPr>
          <w:rFonts w:cs="Times New Roman"/>
        </w:rPr>
        <w:t xml:space="preserve">Water Charge (Infrastructure) Rules 2010 </w:t>
      </w:r>
      <w:r w:rsidR="002C2856">
        <w:rPr>
          <w:rFonts w:cs="Times New Roman"/>
        </w:rPr>
        <w:t>(</w:t>
      </w:r>
      <w:r w:rsidRPr="00D714FC">
        <w:rPr>
          <w:rFonts w:cs="Times New Roman"/>
        </w:rPr>
        <w:t>WCIR</w:t>
      </w:r>
      <w:r w:rsidR="002C2856">
        <w:rPr>
          <w:rFonts w:cs="Times New Roman"/>
        </w:rPr>
        <w:t>)</w:t>
      </w:r>
      <w:r w:rsidRPr="00D714FC">
        <w:rPr>
          <w:rFonts w:cs="Times New Roman"/>
        </w:rPr>
        <w:t xml:space="preserve"> currently take a tiered approach, with the form of regulation and the specific requirements applying to an operator determined by the ownership and size of an infrastructure operator. The vast majority of infrastructure operators in the </w:t>
      </w:r>
      <w:r w:rsidR="00BF194C">
        <w:rPr>
          <w:rFonts w:cs="Times New Roman"/>
        </w:rPr>
        <w:t>Murray-Darling Basin (</w:t>
      </w:r>
      <w:r w:rsidRPr="008E61D7">
        <w:rPr>
          <w:rFonts w:cs="Times New Roman"/>
        </w:rPr>
        <w:t>MDB</w:t>
      </w:r>
      <w:r w:rsidR="00BF194C">
        <w:rPr>
          <w:rFonts w:cs="Times New Roman"/>
        </w:rPr>
        <w:t>)</w:t>
      </w:r>
      <w:r>
        <w:rPr>
          <w:rFonts w:cs="Times New Roman"/>
        </w:rPr>
        <w:t xml:space="preserve"> </w:t>
      </w:r>
      <w:r w:rsidRPr="00D714FC">
        <w:rPr>
          <w:rFonts w:cs="Times New Roman"/>
        </w:rPr>
        <w:t xml:space="preserve">are free to design their tariff structures and charging arrangements as they see fit. Charging arrangements therefore reflect </w:t>
      </w:r>
      <w:r w:rsidRPr="00D714FC">
        <w:rPr>
          <w:rFonts w:cs="Times New Roman"/>
          <w:lang w:val="en-US" w:eastAsia="ja-JP"/>
        </w:rPr>
        <w:t xml:space="preserve">differences in operators’ technology, scale, levels of service, infrastructure age, business models, input cost, and owners’ requirements. </w:t>
      </w:r>
    </w:p>
    <w:p w:rsidR="00364BDE" w:rsidRPr="00D714FC" w:rsidRDefault="00364BDE" w:rsidP="00364BDE">
      <w:pPr>
        <w:rPr>
          <w:rFonts w:cs="Times New Roman"/>
        </w:rPr>
      </w:pPr>
      <w:r>
        <w:rPr>
          <w:rFonts w:cs="Times New Roman"/>
          <w:lang w:val="en-US" w:eastAsia="ja-JP"/>
        </w:rPr>
        <w:t>For ‘Tier 1’ and ‘Tier 2’ operators,</w:t>
      </w:r>
      <w:r>
        <w:rPr>
          <w:rStyle w:val="FootnoteReference"/>
          <w:rFonts w:cs="Times New Roman"/>
          <w:lang w:val="en-US" w:eastAsia="ja-JP"/>
        </w:rPr>
        <w:footnoteReference w:id="518"/>
      </w:r>
      <w:r>
        <w:rPr>
          <w:rFonts w:cs="Times New Roman"/>
          <w:lang w:val="en-US" w:eastAsia="ja-JP"/>
        </w:rPr>
        <w:t xml:space="preserve"> t</w:t>
      </w:r>
      <w:r w:rsidRPr="00D714FC">
        <w:rPr>
          <w:rFonts w:cs="Times New Roman"/>
          <w:lang w:val="en-US" w:eastAsia="ja-JP"/>
        </w:rPr>
        <w:t xml:space="preserve">he only </w:t>
      </w:r>
      <w:r>
        <w:rPr>
          <w:rFonts w:cs="Times New Roman"/>
          <w:lang w:val="en-US" w:eastAsia="ja-JP"/>
        </w:rPr>
        <w:t xml:space="preserve">current </w:t>
      </w:r>
      <w:r w:rsidRPr="00D714FC">
        <w:rPr>
          <w:rFonts w:cs="Times New Roman"/>
          <w:lang w:val="en-US" w:eastAsia="ja-JP"/>
        </w:rPr>
        <w:t xml:space="preserve">limitations on </w:t>
      </w:r>
      <w:r>
        <w:rPr>
          <w:rFonts w:cs="Times New Roman"/>
          <w:lang w:val="en-US" w:eastAsia="ja-JP"/>
        </w:rPr>
        <w:t xml:space="preserve">charging arrangements are </w:t>
      </w:r>
      <w:r w:rsidRPr="00D714FC">
        <w:rPr>
          <w:rFonts w:cs="Times New Roman"/>
          <w:lang w:val="en-US" w:eastAsia="ja-JP"/>
        </w:rPr>
        <w:t xml:space="preserve">the </w:t>
      </w:r>
      <w:r w:rsidRPr="00D714FC">
        <w:rPr>
          <w:rFonts w:cs="Times New Roman"/>
        </w:rPr>
        <w:t>minimal and limited non-discrimination requirements in the WCIR. There is no general requirement for these infrastructure operators’ charging arrangements to be consistent with (or to give effect to) the BWCOP</w:t>
      </w:r>
      <w:r>
        <w:rPr>
          <w:rFonts w:cs="Times New Roman"/>
        </w:rPr>
        <w:t xml:space="preserve"> (</w:t>
      </w:r>
      <w:r w:rsidR="00AF5079">
        <w:rPr>
          <w:rFonts w:cs="Times New Roman"/>
        </w:rPr>
        <w:t>s</w:t>
      </w:r>
      <w:r>
        <w:rPr>
          <w:rFonts w:cs="Times New Roman"/>
        </w:rPr>
        <w:t>ee section 4.2)</w:t>
      </w:r>
      <w:r w:rsidRPr="00D714FC">
        <w:rPr>
          <w:rFonts w:cs="Times New Roman"/>
        </w:rPr>
        <w:t>.</w:t>
      </w:r>
    </w:p>
    <w:p w:rsidR="00364BDE" w:rsidRPr="00D714FC" w:rsidRDefault="00364BDE" w:rsidP="00364BDE">
      <w:pPr>
        <w:rPr>
          <w:rFonts w:cs="Times New Roman"/>
        </w:rPr>
      </w:pPr>
      <w:r>
        <w:rPr>
          <w:rFonts w:cs="Times New Roman"/>
        </w:rPr>
        <w:t>‘Tier 3’ operators are required to have their</w:t>
      </w:r>
      <w:r w:rsidRPr="00D714FC">
        <w:rPr>
          <w:rFonts w:cs="Times New Roman"/>
        </w:rPr>
        <w:t xml:space="preserve"> charges approved or dete</w:t>
      </w:r>
      <w:r>
        <w:rPr>
          <w:rFonts w:cs="Times New Roman"/>
        </w:rPr>
        <w:t>rmined under Part 6 (or Part 7) of</w:t>
      </w:r>
      <w:r w:rsidRPr="00D714FC">
        <w:rPr>
          <w:rFonts w:cs="Times New Roman"/>
        </w:rPr>
        <w:t xml:space="preserve"> the WCIR</w:t>
      </w:r>
      <w:r>
        <w:rPr>
          <w:rFonts w:cs="Times New Roman"/>
        </w:rPr>
        <w:t>. In these cases, the rules for the approval or determination</w:t>
      </w:r>
      <w:r w:rsidRPr="00D714FC">
        <w:rPr>
          <w:rFonts w:cs="Times New Roman"/>
        </w:rPr>
        <w:t xml:space="preserve"> </w:t>
      </w:r>
      <w:r>
        <w:rPr>
          <w:rFonts w:cs="Times New Roman"/>
        </w:rPr>
        <w:t xml:space="preserve">of charges </w:t>
      </w:r>
      <w:r w:rsidRPr="00D714FC">
        <w:rPr>
          <w:rFonts w:cs="Times New Roman"/>
        </w:rPr>
        <w:t>will be applied by accredited Basin State regulators as well as by the ACCC. Where the WCIR allow a degree of discretion for a regulator, regulators can and do exercise that discretion in different ways.</w:t>
      </w:r>
      <w:r w:rsidR="00C6733C">
        <w:rPr>
          <w:rFonts w:cs="Times New Roman"/>
        </w:rPr>
        <w:t xml:space="preserve"> </w:t>
      </w:r>
    </w:p>
    <w:p w:rsidR="00364BDE" w:rsidRPr="00D714FC" w:rsidRDefault="00364BDE" w:rsidP="00364BDE">
      <w:pPr>
        <w:rPr>
          <w:rFonts w:cs="Times New Roman"/>
          <w:lang w:val="en-US" w:eastAsia="ja-JP"/>
        </w:rPr>
      </w:pPr>
      <w:r w:rsidRPr="00D714FC">
        <w:rPr>
          <w:rFonts w:cs="Times New Roman"/>
        </w:rPr>
        <w:t xml:space="preserve">As such, charging </w:t>
      </w:r>
      <w:r w:rsidRPr="00D714FC">
        <w:rPr>
          <w:rFonts w:cs="Times New Roman"/>
          <w:lang w:val="en-US" w:eastAsia="ja-JP"/>
        </w:rPr>
        <w:t xml:space="preserve">arrangements in the Basin vary considerably </w:t>
      </w:r>
      <w:r>
        <w:rPr>
          <w:rFonts w:cs="Times New Roman"/>
          <w:lang w:val="en-US" w:eastAsia="ja-JP"/>
        </w:rPr>
        <w:t xml:space="preserve">between operators and between Basin States. Also, due to the fact that all current Part 6 charges operators provide </w:t>
      </w:r>
      <w:r w:rsidRPr="00D714FC">
        <w:rPr>
          <w:rFonts w:cs="Times New Roman"/>
          <w:lang w:val="en-US" w:eastAsia="ja-JP"/>
        </w:rPr>
        <w:t xml:space="preserve">on-river infrastructure </w:t>
      </w:r>
      <w:r>
        <w:rPr>
          <w:rFonts w:cs="Times New Roman"/>
          <w:lang w:val="en-US" w:eastAsia="ja-JP"/>
        </w:rPr>
        <w:t xml:space="preserve">services, while those who only provide off-river infrastructure services are not Part 6 operators, there also exist differences in charging approaches for on-river and off-river services. </w:t>
      </w:r>
    </w:p>
    <w:p w:rsidR="00364BDE" w:rsidRDefault="00364BDE" w:rsidP="00E81EB4">
      <w:pPr>
        <w:spacing w:after="120"/>
        <w:rPr>
          <w:rFonts w:cs="Times New Roman"/>
          <w:lang w:eastAsia="ja-JP"/>
        </w:rPr>
      </w:pPr>
      <w:r>
        <w:rPr>
          <w:rFonts w:cs="Times New Roman"/>
          <w:lang w:eastAsia="ja-JP"/>
        </w:rPr>
        <w:t>Particular aspects of charging arrangements which differ widely across the MDB are:</w:t>
      </w:r>
    </w:p>
    <w:p w:rsidR="00364BDE" w:rsidRDefault="00364BDE" w:rsidP="00A82DE6">
      <w:pPr>
        <w:pStyle w:val="Lvl1Bulletpoint"/>
        <w:rPr>
          <w:lang w:eastAsia="ja-JP"/>
        </w:rPr>
      </w:pPr>
      <w:r w:rsidRPr="00D714FC">
        <w:rPr>
          <w:lang w:eastAsia="ja-JP"/>
        </w:rPr>
        <w:t>T</w:t>
      </w:r>
      <w:r>
        <w:rPr>
          <w:lang w:eastAsia="ja-JP"/>
        </w:rPr>
        <w:t>he cost-reflectiveness of t</w:t>
      </w:r>
      <w:r w:rsidRPr="00D714FC">
        <w:rPr>
          <w:lang w:eastAsia="ja-JP"/>
        </w:rPr>
        <w:t>ariff structures,</w:t>
      </w:r>
      <w:r>
        <w:rPr>
          <w:lang w:eastAsia="ja-JP"/>
        </w:rPr>
        <w:t xml:space="preserve"> in terms of the proportion of costs recovered via fixed versus variable charges;</w:t>
      </w:r>
      <w:r>
        <w:rPr>
          <w:rStyle w:val="FootnoteReference"/>
          <w:lang w:eastAsia="ja-JP"/>
        </w:rPr>
        <w:footnoteReference w:id="519"/>
      </w:r>
    </w:p>
    <w:p w:rsidR="00364BDE" w:rsidRDefault="00364BDE" w:rsidP="00A82DE6">
      <w:pPr>
        <w:pStyle w:val="Lvl1Bulletpoint"/>
        <w:rPr>
          <w:lang w:eastAsia="ja-JP"/>
        </w:rPr>
      </w:pPr>
      <w:r>
        <w:rPr>
          <w:lang w:eastAsia="ja-JP"/>
        </w:rPr>
        <w:t xml:space="preserve">The overall level of cost recovery (including whether charges are set to achieve lower or upper bound costs (or something else), the approach to recovering future capital costs </w:t>
      </w:r>
    </w:p>
    <w:p w:rsidR="00364BDE" w:rsidRDefault="00364BDE" w:rsidP="00A82DE6">
      <w:pPr>
        <w:pStyle w:val="Lvl1Bulletpoint"/>
        <w:rPr>
          <w:lang w:eastAsia="ja-JP"/>
        </w:rPr>
      </w:pPr>
      <w:r>
        <w:rPr>
          <w:lang w:eastAsia="ja-JP"/>
        </w:rPr>
        <w:t>T</w:t>
      </w:r>
      <w:r w:rsidRPr="00D714FC">
        <w:rPr>
          <w:lang w:eastAsia="ja-JP"/>
        </w:rPr>
        <w:t>he way in which government water planning and management charges and on-river infrastructure charges are passed on to irrigators</w:t>
      </w:r>
    </w:p>
    <w:p w:rsidR="00364BDE" w:rsidRDefault="00364BDE" w:rsidP="00A82DE6">
      <w:pPr>
        <w:pStyle w:val="Lvl1Bulletpoint"/>
        <w:rPr>
          <w:lang w:eastAsia="ja-JP"/>
        </w:rPr>
      </w:pPr>
      <w:r>
        <w:rPr>
          <w:lang w:eastAsia="ja-JP"/>
        </w:rPr>
        <w:t>The use of non-volumetric and transaction-based charges.</w:t>
      </w:r>
    </w:p>
    <w:p w:rsidR="00364BDE" w:rsidRDefault="00364BDE" w:rsidP="00364BDE">
      <w:pPr>
        <w:rPr>
          <w:rFonts w:cs="Times New Roman"/>
          <w:lang w:eastAsia="ja-JP"/>
        </w:rPr>
      </w:pPr>
      <w:r w:rsidRPr="00D714FC">
        <w:rPr>
          <w:rFonts w:cs="Times New Roman"/>
          <w:lang w:eastAsia="ja-JP"/>
        </w:rPr>
        <w:t>These differences are likely to influence irrigators’ decisions to use, carry over and trade their water and may affect the efficiency of water use across the MDB. However, there can be reasonable grounds for differences in infrastructure o</w:t>
      </w:r>
      <w:r>
        <w:rPr>
          <w:rFonts w:cs="Times New Roman"/>
          <w:lang w:eastAsia="ja-JP"/>
        </w:rPr>
        <w:t>perators’ charging arrangements</w:t>
      </w:r>
      <w:r w:rsidRPr="00D714FC">
        <w:rPr>
          <w:rFonts w:cs="Times New Roman"/>
          <w:lang w:eastAsia="ja-JP"/>
        </w:rPr>
        <w:t xml:space="preserve">. </w:t>
      </w:r>
    </w:p>
    <w:p w:rsidR="00364BDE" w:rsidRPr="00563429" w:rsidRDefault="00364BDE" w:rsidP="00E81EB4">
      <w:pPr>
        <w:spacing w:after="120"/>
        <w:rPr>
          <w:b/>
        </w:rPr>
      </w:pPr>
      <w:r>
        <w:t>In its Draft Advice the ACCC clarified its</w:t>
      </w:r>
      <w:r w:rsidRPr="002C7E77">
        <w:t xml:space="preserve"> position on a number of matters relating to</w:t>
      </w:r>
      <w:r>
        <w:t xml:space="preserve"> </w:t>
      </w:r>
      <w:r w:rsidRPr="002C7E77">
        <w:t xml:space="preserve">differences in charging arrangements and their impacts. In particular, the </w:t>
      </w:r>
      <w:r>
        <w:t>ACCC</w:t>
      </w:r>
      <w:r w:rsidRPr="002C7E77">
        <w:t>:</w:t>
      </w:r>
    </w:p>
    <w:p w:rsidR="00364BDE" w:rsidRPr="00563429" w:rsidRDefault="00364BDE" w:rsidP="00A82DE6">
      <w:pPr>
        <w:pStyle w:val="Lvl1Bulletpoint"/>
        <w:rPr>
          <w:b/>
        </w:rPr>
      </w:pPr>
      <w:r w:rsidRPr="002C7E77">
        <w:t xml:space="preserve">noted that it supports the interpretation that the intention of </w:t>
      </w:r>
      <w:r w:rsidR="00155630">
        <w:t>the</w:t>
      </w:r>
      <w:r w:rsidRPr="002C7E77">
        <w:t xml:space="preserve"> Act is to ensure that water charges are set on a consistent basis, rather than a requirement that charges be consistent </w:t>
      </w:r>
      <w:r w:rsidRPr="002C7E77">
        <w:rPr>
          <w:i/>
        </w:rPr>
        <w:t>per</w:t>
      </w:r>
      <w:r>
        <w:rPr>
          <w:i/>
        </w:rPr>
        <w:t> </w:t>
      </w:r>
      <w:r w:rsidRPr="002C7E77">
        <w:rPr>
          <w:i/>
        </w:rPr>
        <w:t>se</w:t>
      </w:r>
      <w:r w:rsidRPr="002C7E77">
        <w:t>.</w:t>
      </w:r>
    </w:p>
    <w:p w:rsidR="00364BDE" w:rsidRPr="00563429" w:rsidRDefault="00364BDE" w:rsidP="00A82DE6">
      <w:pPr>
        <w:pStyle w:val="Lvl1Bulletpoint"/>
        <w:rPr>
          <w:b/>
        </w:rPr>
      </w:pPr>
      <w:r w:rsidRPr="002C7E77">
        <w:t>noted the difficulties in eliminating all possible distortions on trade but highlighted the need for ongoing monitoring.</w:t>
      </w:r>
    </w:p>
    <w:p w:rsidR="00364BDE" w:rsidRPr="00563429" w:rsidRDefault="00364BDE" w:rsidP="00A82DE6">
      <w:pPr>
        <w:pStyle w:val="Lvl1Bulletpoint"/>
        <w:rPr>
          <w:b/>
        </w:rPr>
      </w:pPr>
      <w:r w:rsidRPr="002C7E77">
        <w:t>did not support proposals to mandate ‘postage-stamp pricing’ for rural water.</w:t>
      </w:r>
    </w:p>
    <w:p w:rsidR="00364BDE" w:rsidRPr="00563429" w:rsidRDefault="00364BDE" w:rsidP="00A82DE6">
      <w:pPr>
        <w:pStyle w:val="Lvl1Bulletpoint"/>
        <w:rPr>
          <w:b/>
        </w:rPr>
      </w:pPr>
      <w:r w:rsidRPr="002C7E77">
        <w:t xml:space="preserve">did not support </w:t>
      </w:r>
      <w:r>
        <w:t xml:space="preserve">mandating </w:t>
      </w:r>
      <w:r w:rsidRPr="002C7E77">
        <w:t>a particular split between fixed and variable charges.</w:t>
      </w:r>
    </w:p>
    <w:p w:rsidR="00364BDE" w:rsidRDefault="00364BDE" w:rsidP="00364BDE">
      <w:pPr>
        <w:spacing w:before="120" w:after="120"/>
        <w:rPr>
          <w:rFonts w:cs="Times New Roman"/>
        </w:rPr>
      </w:pPr>
      <w:r>
        <w:rPr>
          <w:rFonts w:cs="Times New Roman"/>
        </w:rPr>
        <w:t>T</w:t>
      </w:r>
      <w:r w:rsidRPr="00D714FC">
        <w:rPr>
          <w:rFonts w:cs="Times New Roman"/>
        </w:rPr>
        <w:t xml:space="preserve">he </w:t>
      </w:r>
      <w:r>
        <w:rPr>
          <w:rFonts w:cs="Times New Roman"/>
        </w:rPr>
        <w:t>remainder of this section considers four specific aspects of consistency, as follows</w:t>
      </w:r>
      <w:r w:rsidRPr="00D714FC">
        <w:rPr>
          <w:rFonts w:cs="Times New Roman"/>
        </w:rPr>
        <w:t>:</w:t>
      </w:r>
    </w:p>
    <w:p w:rsidR="00364BDE" w:rsidRDefault="00364BDE" w:rsidP="00A82DE6">
      <w:pPr>
        <w:pStyle w:val="Lvl1Bulletpoint"/>
      </w:pPr>
      <w:r>
        <w:t>Consistency as an objective—section 5.10.1</w:t>
      </w:r>
    </w:p>
    <w:p w:rsidR="00364BDE" w:rsidRDefault="00364BDE" w:rsidP="00A82DE6">
      <w:pPr>
        <w:pStyle w:val="Lvl1Bulletpoint"/>
      </w:pPr>
      <w:r>
        <w:t>Consistency of charges across valleys (“postage stamp pricing”)</w:t>
      </w:r>
      <w:r w:rsidRPr="00AF0C96">
        <w:t xml:space="preserve"> </w:t>
      </w:r>
      <w:r>
        <w:t>—</w:t>
      </w:r>
      <w:r w:rsidRPr="00AF0C96">
        <w:t xml:space="preserve"> </w:t>
      </w:r>
      <w:r>
        <w:t>section 5.10.2</w:t>
      </w:r>
    </w:p>
    <w:p w:rsidR="00364BDE" w:rsidRDefault="00364BDE" w:rsidP="00A82DE6">
      <w:pPr>
        <w:pStyle w:val="Lvl1Bulletpoint"/>
      </w:pPr>
      <w:r>
        <w:t>Consistency in charge approvals / determinations under Part 6 of the WCIR—</w:t>
      </w:r>
      <w:r w:rsidRPr="00AF0C96">
        <w:t xml:space="preserve"> </w:t>
      </w:r>
      <w:r>
        <w:t>section 5.10.3</w:t>
      </w:r>
    </w:p>
    <w:p w:rsidR="00364BDE" w:rsidRDefault="00364BDE" w:rsidP="00A82DE6">
      <w:pPr>
        <w:pStyle w:val="Lvl1Bulletpoint"/>
      </w:pPr>
      <w:r>
        <w:t>Water charging arrangements and barriers to trade—section 5.10.4</w:t>
      </w:r>
    </w:p>
    <w:p w:rsidR="00364BDE" w:rsidRPr="00AF0C96" w:rsidRDefault="00364BDE" w:rsidP="00364BDE">
      <w:pPr>
        <w:pStyle w:val="Heading3"/>
      </w:pPr>
      <w:bookmarkStart w:id="1098" w:name="_Toc436122310"/>
      <w:bookmarkStart w:id="1099" w:name="_Toc436122805"/>
      <w:bookmarkStart w:id="1100" w:name="_Toc436124160"/>
      <w:bookmarkStart w:id="1101" w:name="_Toc456785816"/>
      <w:bookmarkStart w:id="1102" w:name="_Toc461630727"/>
      <w:r w:rsidRPr="00AF0C96">
        <w:t>Consistency as an objective</w:t>
      </w:r>
      <w:bookmarkEnd w:id="1098"/>
      <w:bookmarkEnd w:id="1099"/>
      <w:bookmarkEnd w:id="1100"/>
      <w:bookmarkEnd w:id="1101"/>
      <w:bookmarkEnd w:id="1102"/>
    </w:p>
    <w:p w:rsidR="00364BDE" w:rsidRPr="00D714FC" w:rsidRDefault="00364BDE" w:rsidP="00364BDE">
      <w:pPr>
        <w:pStyle w:val="Heading4"/>
        <w:rPr>
          <w:rFonts w:ascii="Times New Roman" w:hAnsi="Times New Roman" w:cs="Times New Roman"/>
        </w:rPr>
      </w:pPr>
      <w:r w:rsidRPr="00D714FC">
        <w:rPr>
          <w:rFonts w:ascii="Times New Roman" w:hAnsi="Times New Roman" w:cs="Times New Roman"/>
        </w:rPr>
        <w:t xml:space="preserve">Stakeholder feedback </w:t>
      </w:r>
    </w:p>
    <w:p w:rsidR="00364BDE" w:rsidRPr="00791BC5" w:rsidRDefault="00364BDE" w:rsidP="00D17F9C">
      <w:pPr>
        <w:pStyle w:val="Heading5"/>
      </w:pPr>
      <w:r w:rsidRPr="00791BC5">
        <w:t>Consistency at the level of the infrastructure operator</w:t>
      </w:r>
    </w:p>
    <w:p w:rsidR="00364BDE" w:rsidRPr="00791BC5" w:rsidRDefault="00364BDE" w:rsidP="00364BDE">
      <w:pPr>
        <w:rPr>
          <w:rFonts w:cs="Times New Roman"/>
        </w:rPr>
      </w:pPr>
      <w:r w:rsidRPr="00791BC5">
        <w:rPr>
          <w:rFonts w:cs="Times New Roman"/>
        </w:rPr>
        <w:t xml:space="preserve">A number of </w:t>
      </w:r>
      <w:r w:rsidR="00AF7983">
        <w:rPr>
          <w:rFonts w:cs="Times New Roman"/>
        </w:rPr>
        <w:t>irrigation infrastructure operators (</w:t>
      </w:r>
      <w:r w:rsidRPr="00791BC5">
        <w:rPr>
          <w:rFonts w:cs="Times New Roman"/>
        </w:rPr>
        <w:t>IIOs</w:t>
      </w:r>
      <w:r w:rsidR="00AF7983">
        <w:rPr>
          <w:rFonts w:cs="Times New Roman"/>
        </w:rPr>
        <w:t>)</w:t>
      </w:r>
      <w:r w:rsidRPr="00791BC5">
        <w:rPr>
          <w:rFonts w:cs="Times New Roman"/>
        </w:rPr>
        <w:t xml:space="preserve"> and the National Irrigators’ Council (NIC) raised concerns about pursuing consistency as an objective because they wished to maintain IIO discretion in determining their own charges.</w:t>
      </w:r>
      <w:r w:rsidRPr="00791BC5">
        <w:rPr>
          <w:rStyle w:val="FootnoteReference"/>
          <w:rFonts w:cs="Times New Roman"/>
        </w:rPr>
        <w:footnoteReference w:id="520"/>
      </w:r>
      <w:r w:rsidRPr="00791BC5">
        <w:rPr>
          <w:rFonts w:cs="Times New Roman"/>
        </w:rPr>
        <w:t xml:space="preserve"> </w:t>
      </w:r>
      <w:r>
        <w:rPr>
          <w:rFonts w:cs="Times New Roman"/>
        </w:rPr>
        <w:t xml:space="preserve">The </w:t>
      </w:r>
      <w:r w:rsidRPr="00791BC5">
        <w:rPr>
          <w:rFonts w:cs="Times New Roman"/>
        </w:rPr>
        <w:t>Queensland Farmers’ Federation (QFF) similarly submitted that discretion in designing tariff structures is important and necessary to allow for differences between schemes and operators.</w:t>
      </w:r>
      <w:r w:rsidRPr="00791BC5">
        <w:rPr>
          <w:rStyle w:val="FootnoteReference"/>
          <w:rFonts w:cs="Times New Roman"/>
        </w:rPr>
        <w:footnoteReference w:id="521"/>
      </w:r>
      <w:r w:rsidRPr="00791BC5">
        <w:rPr>
          <w:rFonts w:cs="Times New Roman"/>
        </w:rPr>
        <w:t xml:space="preserve"> Submissions stated that each infrastructure operator is different for a variety of reasons, including areas of operation, customers and service levels.</w:t>
      </w:r>
      <w:r w:rsidRPr="00791BC5">
        <w:rPr>
          <w:rStyle w:val="FootnoteReference"/>
          <w:rFonts w:cs="Times New Roman"/>
        </w:rPr>
        <w:footnoteReference w:id="522"/>
      </w:r>
      <w:r w:rsidRPr="00791BC5">
        <w:rPr>
          <w:rFonts w:cs="Times New Roman"/>
        </w:rPr>
        <w:t xml:space="preserve"> Consistency was described as being “aspiration</w:t>
      </w:r>
      <w:r>
        <w:rPr>
          <w:rFonts w:cs="Times New Roman"/>
        </w:rPr>
        <w:t>al” and “impossible” to achieve,</w:t>
      </w:r>
      <w:r w:rsidRPr="00791BC5">
        <w:rPr>
          <w:rStyle w:val="FootnoteReference"/>
          <w:rFonts w:cs="Times New Roman"/>
        </w:rPr>
        <w:footnoteReference w:id="523"/>
      </w:r>
      <w:r>
        <w:rPr>
          <w:rFonts w:cs="Times New Roman"/>
        </w:rPr>
        <w:t xml:space="preserve"> and moreover that </w:t>
      </w:r>
      <w:r w:rsidRPr="00791BC5">
        <w:rPr>
          <w:rFonts w:cs="Times New Roman"/>
        </w:rPr>
        <w:t>“differences in charging arrangements are to be expected in a competitive and innovative industry”.</w:t>
      </w:r>
      <w:r w:rsidRPr="00791BC5">
        <w:rPr>
          <w:rStyle w:val="FootnoteReference"/>
          <w:rFonts w:cs="Times New Roman"/>
        </w:rPr>
        <w:footnoteReference w:id="524"/>
      </w:r>
      <w:r w:rsidRPr="00791BC5">
        <w:rPr>
          <w:rFonts w:cs="Times New Roman"/>
        </w:rPr>
        <w:t xml:space="preserve"> Coleambally Irrigation Cooperative Limited (CICL) considered that attempts to “compare charges across IIOs have been ‘fraught’ because no two IIO’s customers, area of</w:t>
      </w:r>
      <w:r>
        <w:rPr>
          <w:rFonts w:cs="Times New Roman"/>
        </w:rPr>
        <w:t xml:space="preserve"> operations or service levels are</w:t>
      </w:r>
      <w:r w:rsidRPr="00791BC5">
        <w:rPr>
          <w:rFonts w:cs="Times New Roman"/>
        </w:rPr>
        <w:t xml:space="preserve"> the same”.</w:t>
      </w:r>
      <w:r w:rsidRPr="00791BC5">
        <w:rPr>
          <w:rStyle w:val="FootnoteReference"/>
          <w:rFonts w:cs="Times New Roman"/>
        </w:rPr>
        <w:footnoteReference w:id="525"/>
      </w:r>
      <w:r w:rsidRPr="00791BC5">
        <w:rPr>
          <w:rFonts w:cs="Times New Roman"/>
        </w:rPr>
        <w:t xml:space="preserve"> CICL added that pricing and service levels within an IIO over time “is of much more relevance than what is happening elsewhere”.</w:t>
      </w:r>
      <w:r w:rsidRPr="00791BC5">
        <w:rPr>
          <w:rStyle w:val="FootnoteReference"/>
          <w:rFonts w:cs="Times New Roman"/>
        </w:rPr>
        <w:footnoteReference w:id="526"/>
      </w:r>
    </w:p>
    <w:p w:rsidR="00364BDE" w:rsidRPr="00791BC5" w:rsidRDefault="00364BDE" w:rsidP="00364BDE">
      <w:pPr>
        <w:rPr>
          <w:rFonts w:cs="Times New Roman"/>
        </w:rPr>
      </w:pPr>
      <w:r w:rsidRPr="00791BC5">
        <w:rPr>
          <w:rFonts w:cs="Times New Roman"/>
        </w:rPr>
        <w:t>However, many submissions acknowledged that there should be some limits on operators having full discretion (although stakeholders differed on what the appropriate limits should be). The NIC stated that infrastructure operators should not have “free reign” but should be able to “construct their prices according to their particular circumstances in full knowledge that their customers have recourse to the ACCC if they consider the prices unreasonable”.</w:t>
      </w:r>
      <w:r w:rsidRPr="00791BC5">
        <w:rPr>
          <w:rStyle w:val="FootnoteReference"/>
          <w:rFonts w:cs="Times New Roman"/>
        </w:rPr>
        <w:footnoteReference w:id="527"/>
      </w:r>
      <w:r w:rsidRPr="00791BC5">
        <w:rPr>
          <w:rFonts w:cs="Times New Roman"/>
        </w:rPr>
        <w:t xml:space="preserve"> Western Murray Irrigation (WMI) submitted that it supported regulation that would allow for full cost recovery and local-level decision making, noting that NSW was the only Basin State that is “aiming for full cost recovery from its water users”.</w:t>
      </w:r>
      <w:r w:rsidRPr="00791BC5">
        <w:rPr>
          <w:rStyle w:val="FootnoteReference"/>
          <w:rFonts w:cs="Times New Roman"/>
        </w:rPr>
        <w:footnoteReference w:id="528"/>
      </w:r>
    </w:p>
    <w:p w:rsidR="00CD0E51" w:rsidRPr="00791BC5" w:rsidRDefault="00364BDE" w:rsidP="00F20775">
      <w:pPr>
        <w:autoSpaceDE w:val="0"/>
        <w:autoSpaceDN w:val="0"/>
        <w:adjustRightInd w:val="0"/>
        <w:rPr>
          <w:rFonts w:cs="Times New Roman"/>
        </w:rPr>
      </w:pPr>
      <w:r w:rsidRPr="00791BC5">
        <w:rPr>
          <w:rFonts w:cs="Times New Roman"/>
        </w:rPr>
        <w:t xml:space="preserve">WaterNSW’s (formerly State Water) called for </w:t>
      </w:r>
      <w:r w:rsidRPr="00791BC5">
        <w:rPr>
          <w:rFonts w:cs="Times New Roman"/>
          <w:i/>
        </w:rPr>
        <w:t>increased</w:t>
      </w:r>
      <w:r w:rsidRPr="00791BC5">
        <w:rPr>
          <w:rFonts w:cs="Times New Roman"/>
        </w:rPr>
        <w:t xml:space="preserve"> regulation of Part 5 and Part 7 infrastructure operators (by way of “incentive based outcomes observed under Part 6 pricing regulation”), to “ensure consistent and efficient pricing outcomes are obtained for customers” and to promote Basin wide consistency and the achievement of the BWCOP. WaterNSW commented that current Part 5 and Part 7 operators “still [have] an opportunity to extort monopoly rents from customers or levy charges beyond prudent and efficient costs”.</w:t>
      </w:r>
      <w:r w:rsidRPr="00791BC5">
        <w:rPr>
          <w:rStyle w:val="FootnoteReference"/>
          <w:rFonts w:cs="Times New Roman"/>
        </w:rPr>
        <w:footnoteReference w:id="529"/>
      </w:r>
    </w:p>
    <w:p w:rsidR="00364BDE" w:rsidRPr="00791BC5" w:rsidRDefault="00364BDE" w:rsidP="00364BDE">
      <w:pPr>
        <w:rPr>
          <w:rFonts w:cs="Times New Roman"/>
        </w:rPr>
      </w:pPr>
      <w:r w:rsidRPr="00791BC5">
        <w:rPr>
          <w:rFonts w:cs="Times New Roman"/>
        </w:rPr>
        <w:t xml:space="preserve">Daniel Mongan, an irrigator in Goulburn Murray Water (GMW)’s </w:t>
      </w:r>
      <w:r>
        <w:rPr>
          <w:rFonts w:cs="Times New Roman"/>
        </w:rPr>
        <w:t xml:space="preserve">area </w:t>
      </w:r>
      <w:r w:rsidRPr="00791BC5">
        <w:rPr>
          <w:rFonts w:cs="Times New Roman"/>
        </w:rPr>
        <w:t>submitted that “there should be consistency amongst all of the infrastructure operators in the Murray-Darling Basin (MDB). This would remove the differences between approaches along the Murray river operators and allow water to flow to its highest value.”</w:t>
      </w:r>
      <w:r w:rsidRPr="00791BC5">
        <w:rPr>
          <w:rStyle w:val="FootnoteReference"/>
          <w:rFonts w:cs="Times New Roman"/>
        </w:rPr>
        <w:footnoteReference w:id="530"/>
      </w:r>
      <w:r w:rsidRPr="00791BC5">
        <w:rPr>
          <w:rFonts w:cs="Times New Roman"/>
        </w:rPr>
        <w:t xml:space="preserve"> The Victorian Farmers’ Federation (VFF) also “believes that the pricing of Victorian rural water corporations need to be benchmarked against each other”, despite there being some local differences that need to be taken into account.</w:t>
      </w:r>
      <w:r w:rsidRPr="00791BC5">
        <w:rPr>
          <w:rStyle w:val="FootnoteReference"/>
          <w:rFonts w:cs="Times New Roman"/>
        </w:rPr>
        <w:footnoteReference w:id="531"/>
      </w:r>
    </w:p>
    <w:p w:rsidR="00364BDE" w:rsidRPr="00791BC5" w:rsidRDefault="00364BDE" w:rsidP="00D17F9C">
      <w:pPr>
        <w:pStyle w:val="Heading5"/>
      </w:pPr>
      <w:r w:rsidRPr="00791BC5">
        <w:t>Consistency at the ‘macro’ level</w:t>
      </w:r>
    </w:p>
    <w:p w:rsidR="00364BDE" w:rsidRPr="00791BC5" w:rsidRDefault="00364BDE" w:rsidP="00364BDE">
      <w:pPr>
        <w:rPr>
          <w:rFonts w:cs="Times New Roman"/>
        </w:rPr>
      </w:pPr>
      <w:r w:rsidRPr="00791BC5">
        <w:rPr>
          <w:rFonts w:cs="Times New Roman"/>
        </w:rPr>
        <w:t>While infrastructure operators and peak bodies such as the NIC supported maintaining infrastructure operators’ discretion in setting their own charges, these stakeholders, as well as others, appear to desire greater consistency at the ‘macro’ level – that is, between regulators, and within and between Basin States. For example, the NIC</w:t>
      </w:r>
      <w:r w:rsidRPr="00791BC5">
        <w:rPr>
          <w:rStyle w:val="FootnoteReference"/>
          <w:rFonts w:cs="Times New Roman"/>
        </w:rPr>
        <w:footnoteReference w:id="532"/>
      </w:r>
      <w:r w:rsidRPr="00791BC5">
        <w:rPr>
          <w:rFonts w:cs="Times New Roman"/>
        </w:rPr>
        <w:t xml:space="preserve"> saw that the main benefit of accreditation under the </w:t>
      </w:r>
      <w:r w:rsidR="002C2856" w:rsidRPr="00524D9F">
        <w:rPr>
          <w:rFonts w:cs="Times New Roman"/>
        </w:rPr>
        <w:t>Water Charge (Infrastructure) Rules 2010</w:t>
      </w:r>
      <w:r w:rsidR="002C2856">
        <w:rPr>
          <w:rFonts w:cs="Times New Roman"/>
        </w:rPr>
        <w:t xml:space="preserve"> (</w:t>
      </w:r>
      <w:r w:rsidRPr="00791BC5">
        <w:rPr>
          <w:rFonts w:cs="Times New Roman"/>
        </w:rPr>
        <w:t>WCIR</w:t>
      </w:r>
      <w:r w:rsidR="002C2856">
        <w:rPr>
          <w:rFonts w:cs="Times New Roman"/>
        </w:rPr>
        <w:t>)</w:t>
      </w:r>
      <w:r w:rsidRPr="00791BC5">
        <w:rPr>
          <w:rFonts w:cs="Times New Roman"/>
        </w:rPr>
        <w:t xml:space="preserve"> was that it would allow one agency to be “responsible for determining all water charges across the State”. NIC contrasted the situation in NSW where WaterNSW was subject to direct regulation by both the ACCC and IPART unfavourably with the situation in Victoria where </w:t>
      </w:r>
      <w:r w:rsidR="00ED02CF">
        <w:rPr>
          <w:rFonts w:cs="Times New Roman"/>
        </w:rPr>
        <w:t>the Essential Services Commission of Victoria (</w:t>
      </w:r>
      <w:r w:rsidRPr="00791BC5">
        <w:rPr>
          <w:rFonts w:cs="Times New Roman"/>
        </w:rPr>
        <w:t>ESCV</w:t>
      </w:r>
      <w:r w:rsidR="00ED02CF">
        <w:rPr>
          <w:rFonts w:cs="Times New Roman"/>
        </w:rPr>
        <w:t>)</w:t>
      </w:r>
      <w:r w:rsidRPr="00791BC5">
        <w:rPr>
          <w:rFonts w:cs="Times New Roman"/>
        </w:rPr>
        <w:t xml:space="preserve"> has received accreditation under the WCIR and therefore is the sole regulator to conduct price determinations for </w:t>
      </w:r>
      <w:r w:rsidR="00B71238">
        <w:rPr>
          <w:rFonts w:cs="Times New Roman"/>
        </w:rPr>
        <w:t>Lower Murray Water (</w:t>
      </w:r>
      <w:r w:rsidRPr="00791BC5">
        <w:rPr>
          <w:rFonts w:cs="Times New Roman"/>
        </w:rPr>
        <w:t>LMW</w:t>
      </w:r>
      <w:r w:rsidR="00B71238">
        <w:rPr>
          <w:rFonts w:cs="Times New Roman"/>
        </w:rPr>
        <w:t>)</w:t>
      </w:r>
      <w:r w:rsidRPr="00791BC5">
        <w:rPr>
          <w:rFonts w:cs="Times New Roman"/>
        </w:rPr>
        <w:t>, GMW, and other infrastructure operators.</w:t>
      </w:r>
    </w:p>
    <w:p w:rsidR="00364BDE" w:rsidRPr="00791BC5" w:rsidRDefault="00364BDE" w:rsidP="00364BDE">
      <w:pPr>
        <w:rPr>
          <w:rFonts w:cs="Times New Roman"/>
        </w:rPr>
      </w:pPr>
      <w:r w:rsidRPr="00791BC5">
        <w:rPr>
          <w:rFonts w:cs="Times New Roman"/>
        </w:rPr>
        <w:t>The QFF and VFF likewise emphasised the importance of consistency between the Commonwealth water charge rules and the state-based regime. The VFF supported consistency in the principles underpinning the regimes at the Commonwealth and State level, which currently both apply in Victoria. The VFF stated that two principles should be included in the criteria used to assess different pricing approaches: “encouraging effective engagement with customers and stakeholders”, and “considering the future operating environment”.</w:t>
      </w:r>
      <w:r w:rsidRPr="00791BC5">
        <w:rPr>
          <w:rStyle w:val="FootnoteReference"/>
          <w:rFonts w:cs="Times New Roman"/>
        </w:rPr>
        <w:footnoteReference w:id="533"/>
      </w:r>
      <w:r w:rsidRPr="00791BC5">
        <w:rPr>
          <w:rFonts w:cs="Times New Roman"/>
        </w:rPr>
        <w:t xml:space="preserve"> The VFF added that it wants to “ensure that the principles underpinning both regulatory regimes will create value for customers and enhance transparency” whilst also allowing “flexibility to adapt regulatory response to the impacts” of changes in the rural water market.</w:t>
      </w:r>
      <w:r w:rsidRPr="00791BC5">
        <w:rPr>
          <w:rStyle w:val="FootnoteReference"/>
          <w:rFonts w:cs="Times New Roman"/>
        </w:rPr>
        <w:footnoteReference w:id="534"/>
      </w:r>
      <w:r w:rsidRPr="00791BC5">
        <w:rPr>
          <w:rFonts w:cs="Times New Roman"/>
        </w:rPr>
        <w:t xml:space="preserve"> </w:t>
      </w:r>
    </w:p>
    <w:p w:rsidR="00364BDE" w:rsidRPr="00791BC5" w:rsidRDefault="00364BDE" w:rsidP="00364BDE">
      <w:pPr>
        <w:rPr>
          <w:rFonts w:cs="Times New Roman"/>
        </w:rPr>
      </w:pPr>
      <w:r w:rsidRPr="00791BC5">
        <w:rPr>
          <w:rFonts w:cs="Times New Roman"/>
        </w:rPr>
        <w:t>QFF submitted that despite the limited scope of the water charge rules, it was recognised in Queensland that there was a need for a consistent approach and that the water charge rules “have been and continue to be very effective in providing guidance for the implementation of water infrastructure charges and terminations fees across Queensland”.</w:t>
      </w:r>
      <w:r w:rsidRPr="00791BC5">
        <w:rPr>
          <w:rStyle w:val="FootnoteReference"/>
          <w:rFonts w:cs="Times New Roman"/>
        </w:rPr>
        <w:footnoteReference w:id="535"/>
      </w:r>
      <w:r w:rsidRPr="00791BC5">
        <w:rPr>
          <w:rFonts w:cs="Times New Roman"/>
        </w:rPr>
        <w:t xml:space="preserve"> QFF added that the Queensland Competition Authority</w:t>
      </w:r>
      <w:r w:rsidR="00E45DD9">
        <w:rPr>
          <w:rFonts w:cs="Times New Roman"/>
        </w:rPr>
        <w:t xml:space="preserve"> (QCA)</w:t>
      </w:r>
      <w:r w:rsidRPr="00791BC5">
        <w:rPr>
          <w:rFonts w:cs="Times New Roman"/>
        </w:rPr>
        <w:t xml:space="preserve"> was guided by the water charge rules in its recommendation on price paths for SunWater and SEQWater. IPART similarly submitted that they consider the “WCIR provide[s] a good framework for regulation of bulk water in the Basin.”</w:t>
      </w:r>
      <w:r w:rsidRPr="00791BC5">
        <w:rPr>
          <w:rStyle w:val="FootnoteReference"/>
          <w:rFonts w:cs="Times New Roman"/>
        </w:rPr>
        <w:footnoteReference w:id="536"/>
      </w:r>
    </w:p>
    <w:p w:rsidR="00364BDE" w:rsidRPr="00791BC5" w:rsidRDefault="00364BDE" w:rsidP="00364BDE">
      <w:pPr>
        <w:rPr>
          <w:rFonts w:cs="Times New Roman"/>
        </w:rPr>
      </w:pPr>
      <w:r w:rsidRPr="00791BC5">
        <w:rPr>
          <w:rFonts w:cs="Times New Roman"/>
        </w:rPr>
        <w:t>Murray Irrigation Limited (MIL) submitted that although “rules relating to the determination of bulk water prices are sound […] in practice the rules have not achieved the intended goal of consistency across the Basin.”</w:t>
      </w:r>
      <w:r w:rsidRPr="00791BC5">
        <w:rPr>
          <w:rStyle w:val="FootnoteReference"/>
          <w:rFonts w:cs="Times New Roman"/>
        </w:rPr>
        <w:footnoteReference w:id="537"/>
      </w:r>
      <w:r w:rsidRPr="00791BC5">
        <w:rPr>
          <w:rFonts w:cs="Times New Roman"/>
        </w:rPr>
        <w:t xml:space="preserve"> In its submission to the Act Review, MIL suggested that Basin State regulators should be able to approve infrastructure charges and apply their own pricing principles, as long as the intent of those principles is consistent with the WCIR or the BWCOP.</w:t>
      </w:r>
      <w:r w:rsidRPr="00791BC5">
        <w:rPr>
          <w:rStyle w:val="FootnoteReference"/>
          <w:rFonts w:cs="Times New Roman"/>
        </w:rPr>
        <w:footnoteReference w:id="538"/>
      </w:r>
      <w:r w:rsidRPr="00791BC5">
        <w:rPr>
          <w:rFonts w:cs="Times New Roman"/>
        </w:rPr>
        <w:t xml:space="preserve"> See </w:t>
      </w:r>
      <w:r w:rsidR="007E3378">
        <w:rPr>
          <w:rFonts w:cs="Times New Roman"/>
        </w:rPr>
        <w:t>s</w:t>
      </w:r>
      <w:r w:rsidRPr="00791BC5">
        <w:rPr>
          <w:rFonts w:cs="Times New Roman"/>
        </w:rPr>
        <w:t>ection 5.6 for the ACCC’s rule advice in relation to the regulatory approval or determination of infrastructure charges.</w:t>
      </w:r>
      <w:r w:rsidR="00C6733C">
        <w:rPr>
          <w:rFonts w:cs="Times New Roman"/>
        </w:rPr>
        <w:t xml:space="preserve"> </w:t>
      </w:r>
    </w:p>
    <w:p w:rsidR="00364BDE" w:rsidRPr="00791BC5" w:rsidRDefault="00364BDE" w:rsidP="00364BDE">
      <w:pPr>
        <w:rPr>
          <w:rFonts w:cs="Times New Roman"/>
        </w:rPr>
      </w:pPr>
      <w:r w:rsidRPr="00791BC5">
        <w:rPr>
          <w:rFonts w:cs="Times New Roman"/>
        </w:rPr>
        <w:t>WaterNSW submitted that after almost five years of the WCIR, “a common approach to pricing has still not been achieved and there still remains no consistent application of economic principles within the basin.”</w:t>
      </w:r>
      <w:r w:rsidRPr="00791BC5">
        <w:rPr>
          <w:rStyle w:val="FootnoteReference"/>
          <w:rFonts w:cs="Times New Roman"/>
        </w:rPr>
        <w:footnoteReference w:id="539"/>
      </w:r>
      <w:r w:rsidRPr="00791BC5">
        <w:rPr>
          <w:rFonts w:cs="Times New Roman"/>
        </w:rPr>
        <w:t xml:space="preserve"> WaterNSW further noted that this was evident with the recent different regulatory decisions of GMW and WaterNSW.</w:t>
      </w:r>
      <w:r w:rsidRPr="00791BC5">
        <w:rPr>
          <w:rStyle w:val="FootnoteReference"/>
          <w:rFonts w:cs="Times New Roman"/>
        </w:rPr>
        <w:footnoteReference w:id="540"/>
      </w:r>
      <w:r w:rsidRPr="00791BC5">
        <w:rPr>
          <w:rFonts w:cs="Times New Roman"/>
        </w:rPr>
        <w:t xml:space="preserve"> WMI submitted that there has </w:t>
      </w:r>
      <w:r w:rsidR="00155630">
        <w:rPr>
          <w:rFonts w:cs="Times New Roman"/>
        </w:rPr>
        <w:t xml:space="preserve">been </w:t>
      </w:r>
      <w:r w:rsidRPr="00791BC5">
        <w:rPr>
          <w:rFonts w:cs="Times New Roman"/>
        </w:rPr>
        <w:t>“little improvement in consistency of water charging regimes in terms of bulk water charges.”</w:t>
      </w:r>
      <w:r w:rsidRPr="00791BC5">
        <w:rPr>
          <w:rStyle w:val="FootnoteReference"/>
          <w:rFonts w:cs="Times New Roman"/>
        </w:rPr>
        <w:footnoteReference w:id="541"/>
      </w:r>
    </w:p>
    <w:p w:rsidR="00364BDE" w:rsidRPr="00791BC5" w:rsidRDefault="00364BDE" w:rsidP="00364BDE">
      <w:pPr>
        <w:rPr>
          <w:rFonts w:cs="Times New Roman"/>
          <w:color w:val="000000"/>
          <w:sz w:val="23"/>
          <w:szCs w:val="23"/>
        </w:rPr>
      </w:pPr>
      <w:r w:rsidRPr="00791BC5">
        <w:rPr>
          <w:rFonts w:cs="Times New Roman"/>
        </w:rPr>
        <w:t>The Murray-Darling Basin Authority (MDBA) submitted to the Act Review that “transparency of pricing decisions is low” and there are inconsistencies between jurisdictions in the approach to cost recovery and consumption based pricing.</w:t>
      </w:r>
      <w:r w:rsidRPr="00791BC5">
        <w:rPr>
          <w:rStyle w:val="FootnoteReference"/>
          <w:rFonts w:cs="Times New Roman"/>
        </w:rPr>
        <w:footnoteReference w:id="542"/>
      </w:r>
      <w:r w:rsidRPr="00791BC5">
        <w:rPr>
          <w:rFonts w:cs="Times New Roman"/>
        </w:rPr>
        <w:t xml:space="preserve"> MDBA further submitted that there are “consequential distortions” in the water market, which “undermine the objective of achieving efficient use of water”.</w:t>
      </w:r>
      <w:r w:rsidRPr="00791BC5">
        <w:rPr>
          <w:rStyle w:val="FootnoteReference"/>
          <w:rFonts w:cs="Times New Roman"/>
        </w:rPr>
        <w:footnoteReference w:id="543"/>
      </w:r>
      <w:r w:rsidRPr="00791BC5">
        <w:rPr>
          <w:rFonts w:cs="Times New Roman"/>
        </w:rPr>
        <w:t xml:space="preserve"> The MDBA added that “[t]here is also a risk that over time inconsistent approaches to price recovery could result in problems with infrastructure operation and maintenance”. WMI, MIL and NSW</w:t>
      </w:r>
      <w:r w:rsidR="00BC5421">
        <w:rPr>
          <w:rFonts w:cs="Times New Roman"/>
        </w:rPr>
        <w:t>IC</w:t>
      </w:r>
      <w:r w:rsidRPr="00791BC5">
        <w:rPr>
          <w:rFonts w:cs="Times New Roman"/>
        </w:rPr>
        <w:t xml:space="preserve"> also compared NSW to other states by identifying NSW’s focus on ‘beneficiary pays principles’ and its focus on identifiable government</w:t>
      </w:r>
      <w:r>
        <w:rPr>
          <w:rFonts w:cs="Times New Roman"/>
        </w:rPr>
        <w:t xml:space="preserve"> </w:t>
      </w:r>
      <w:r w:rsidRPr="00791BC5">
        <w:rPr>
          <w:rFonts w:cs="Times New Roman"/>
        </w:rPr>
        <w:t>/</w:t>
      </w:r>
      <w:r>
        <w:rPr>
          <w:rFonts w:cs="Times New Roman"/>
        </w:rPr>
        <w:t xml:space="preserve"> </w:t>
      </w:r>
      <w:r w:rsidRPr="00791BC5">
        <w:rPr>
          <w:rFonts w:cs="Times New Roman"/>
        </w:rPr>
        <w:t>user cost shares compared to Victoria and SA, where it is difficult to determine the extent infrastructure charges are subsidised.</w:t>
      </w:r>
      <w:r w:rsidRPr="00791BC5">
        <w:rPr>
          <w:rStyle w:val="FootnoteReference"/>
          <w:rFonts w:cs="Times New Roman"/>
        </w:rPr>
        <w:footnoteReference w:id="544"/>
      </w:r>
    </w:p>
    <w:p w:rsidR="00364BDE" w:rsidRPr="00791BC5" w:rsidRDefault="00364BDE" w:rsidP="00364BDE">
      <w:pPr>
        <w:rPr>
          <w:rFonts w:cs="Times New Roman"/>
        </w:rPr>
      </w:pPr>
      <w:r w:rsidRPr="00791BC5">
        <w:rPr>
          <w:rFonts w:cs="Times New Roman"/>
        </w:rPr>
        <w:t>WMI also noted that SA “still does not on charge its irrigators and general use customers for bulk water charges”.</w:t>
      </w:r>
      <w:r w:rsidRPr="00791BC5">
        <w:rPr>
          <w:rStyle w:val="FootnoteReference"/>
          <w:rFonts w:cs="Times New Roman"/>
        </w:rPr>
        <w:footnoteReference w:id="545"/>
      </w:r>
      <w:r w:rsidRPr="00791BC5">
        <w:rPr>
          <w:rFonts w:cs="Times New Roman"/>
        </w:rPr>
        <w:t xml:space="preserve"> The MDBA also submitted to the ACCC that differences between state governments in the level of cost recovery for River Murray Operations (RMO) contributions, which are ultimately paid by irrigators, “appear at odds with the National Water Initiative in achieving a level playing field for water users”.</w:t>
      </w:r>
      <w:r w:rsidRPr="00791BC5">
        <w:rPr>
          <w:rStyle w:val="FootnoteReference"/>
          <w:rFonts w:cs="Times New Roman"/>
        </w:rPr>
        <w:footnoteReference w:id="546"/>
      </w:r>
    </w:p>
    <w:p w:rsidR="00364BDE" w:rsidRPr="00791BC5" w:rsidRDefault="00364BDE" w:rsidP="00364BDE">
      <w:pPr>
        <w:rPr>
          <w:rFonts w:cs="Times New Roman"/>
        </w:rPr>
      </w:pPr>
      <w:r w:rsidRPr="00791BC5">
        <w:rPr>
          <w:rFonts w:cs="Times New Roman"/>
        </w:rPr>
        <w:t>Murray Valley Private Diverters submitted that water charging arrangements must “adequately factor in how to improve Government inefficiencies” and “must take into account the differences that occur throughout the [MDB]”.</w:t>
      </w:r>
      <w:r w:rsidRPr="00791BC5">
        <w:rPr>
          <w:rStyle w:val="FootnoteReference"/>
          <w:rFonts w:cs="Times New Roman"/>
        </w:rPr>
        <w:footnoteReference w:id="547"/>
      </w:r>
      <w:r w:rsidRPr="00791BC5">
        <w:rPr>
          <w:rFonts w:cs="Times New Roman"/>
        </w:rPr>
        <w:t xml:space="preserve"> Murray Valley Private Diverters stated that differences might exist because of “how water is managed, how water charges are determined, the specific organisational and infrastructure arrangements for water delivery, historical regional differences and the ability of individual users to pay”. Murray Valley Private Diverters stated that they “reject the concept that uniform rules and charges can apply to the entire [MDB]” and called for a review of the appropriateness of the </w:t>
      </w:r>
      <w:r w:rsidR="00B14931">
        <w:rPr>
          <w:rFonts w:cs="Times New Roman"/>
        </w:rPr>
        <w:t>BWCOP</w:t>
      </w:r>
      <w:r w:rsidRPr="00791BC5">
        <w:rPr>
          <w:rFonts w:cs="Times New Roman"/>
        </w:rPr>
        <w:t xml:space="preserve"> in relation to MDB-wide consistent water charging arrangements. Murray Valley Private Diverters also noted that the Act’s “attempts” at uniform water charging arrangements “has resulted in more complex arrangements and further costs to water managers and water users”. </w:t>
      </w:r>
    </w:p>
    <w:p w:rsidR="00364BDE" w:rsidRPr="00791BC5" w:rsidRDefault="00364BDE" w:rsidP="00364BDE">
      <w:pPr>
        <w:rPr>
          <w:rFonts w:cs="Times New Roman"/>
        </w:rPr>
      </w:pPr>
      <w:r w:rsidRPr="00791BC5">
        <w:rPr>
          <w:rFonts w:cs="Times New Roman"/>
        </w:rPr>
        <w:t>The S</w:t>
      </w:r>
      <w:r w:rsidR="0037210E">
        <w:rPr>
          <w:rFonts w:cs="Times New Roman"/>
        </w:rPr>
        <w:t xml:space="preserve">outh </w:t>
      </w:r>
      <w:r w:rsidRPr="00791BC5">
        <w:rPr>
          <w:rFonts w:cs="Times New Roman"/>
        </w:rPr>
        <w:t>A</w:t>
      </w:r>
      <w:r w:rsidR="0037210E">
        <w:rPr>
          <w:rFonts w:cs="Times New Roman"/>
        </w:rPr>
        <w:t>ustralian</w:t>
      </w:r>
      <w:r w:rsidRPr="00791BC5">
        <w:rPr>
          <w:rFonts w:cs="Times New Roman"/>
        </w:rPr>
        <w:t xml:space="preserve"> Government submitted its view to the Act Review that the water charge rules and </w:t>
      </w:r>
      <w:r w:rsidR="009321E5" w:rsidRPr="00524D9F">
        <w:rPr>
          <w:rFonts w:cs="Times New Roman"/>
        </w:rPr>
        <w:t>W</w:t>
      </w:r>
      <w:r w:rsidRPr="00524D9F">
        <w:rPr>
          <w:rFonts w:cs="Times New Roman"/>
        </w:rPr>
        <w:t xml:space="preserve">ater </w:t>
      </w:r>
      <w:r w:rsidR="009321E5" w:rsidRPr="00524D9F">
        <w:rPr>
          <w:rFonts w:cs="Times New Roman"/>
        </w:rPr>
        <w:t>M</w:t>
      </w:r>
      <w:r w:rsidRPr="00524D9F">
        <w:rPr>
          <w:rFonts w:cs="Times New Roman"/>
        </w:rPr>
        <w:t xml:space="preserve">arket </w:t>
      </w:r>
      <w:r w:rsidR="009321E5" w:rsidRPr="00524D9F">
        <w:rPr>
          <w:rFonts w:cs="Times New Roman"/>
        </w:rPr>
        <w:t>R</w:t>
      </w:r>
      <w:r w:rsidRPr="00524D9F">
        <w:rPr>
          <w:rFonts w:cs="Times New Roman"/>
        </w:rPr>
        <w:t xml:space="preserve">ules </w:t>
      </w:r>
      <w:r w:rsidR="009321E5" w:rsidRPr="00524D9F">
        <w:rPr>
          <w:rFonts w:cs="Times New Roman"/>
        </w:rPr>
        <w:t>2009</w:t>
      </w:r>
      <w:r w:rsidR="009321E5">
        <w:rPr>
          <w:rFonts w:cs="Times New Roman"/>
        </w:rPr>
        <w:t xml:space="preserve"> (WMR) </w:t>
      </w:r>
      <w:r w:rsidRPr="00791BC5">
        <w:rPr>
          <w:rFonts w:cs="Times New Roman"/>
        </w:rPr>
        <w:t>“are assisting to promote the efficient use of, and investment in, water infrastructure, improve consistency and transparency of charging and facilitate the efficient operation of water markets”.</w:t>
      </w:r>
      <w:r w:rsidRPr="00791BC5">
        <w:rPr>
          <w:rStyle w:val="FootnoteReference"/>
          <w:rFonts w:cs="Times New Roman"/>
        </w:rPr>
        <w:footnoteReference w:id="548"/>
      </w:r>
    </w:p>
    <w:p w:rsidR="00364BDE" w:rsidRPr="00791BC5" w:rsidRDefault="00364BDE" w:rsidP="00364BDE">
      <w:pPr>
        <w:rPr>
          <w:rFonts w:cs="Times New Roman"/>
        </w:rPr>
      </w:pPr>
      <w:r w:rsidRPr="00791BC5">
        <w:rPr>
          <w:rFonts w:cs="Times New Roman"/>
        </w:rPr>
        <w:t xml:space="preserve">Many submissions to both the Act Review and to the ACCC’s Issues Paper suggested that a key inconsistency is the current absence of the application of the water charge rules, particularly Part 6, to the MDBA. These issues are discussed in </w:t>
      </w:r>
      <w:r w:rsidR="007E3378">
        <w:rPr>
          <w:rFonts w:cs="Times New Roman"/>
        </w:rPr>
        <w:t>s</w:t>
      </w:r>
      <w:r w:rsidRPr="00791BC5">
        <w:rPr>
          <w:rFonts w:cs="Times New Roman"/>
        </w:rPr>
        <w:t xml:space="preserve">ection 5.12. </w:t>
      </w:r>
    </w:p>
    <w:p w:rsidR="00364BDE" w:rsidRPr="001F3577" w:rsidRDefault="00364BDE" w:rsidP="00364BDE">
      <w:pPr>
        <w:rPr>
          <w:rFonts w:cs="Times New Roman"/>
        </w:rPr>
      </w:pPr>
      <w:r w:rsidRPr="001F3577">
        <w:rPr>
          <w:rFonts w:cs="Times New Roman"/>
        </w:rPr>
        <w:t xml:space="preserve">Stakeholders, apart from Waterfind, </w:t>
      </w:r>
      <w:r>
        <w:rPr>
          <w:rFonts w:cs="Times New Roman"/>
        </w:rPr>
        <w:t xml:space="preserve">who responded to </w:t>
      </w:r>
      <w:r w:rsidRPr="001F3577">
        <w:rPr>
          <w:rFonts w:cs="Times New Roman"/>
        </w:rPr>
        <w:t>an option (raised in the ACCC’s Issues Paper) to impose a general requirement for all infrastructure operators’ charging arrangements to be consistent with the BWCOP</w:t>
      </w:r>
      <w:r>
        <w:rPr>
          <w:rFonts w:cs="Times New Roman"/>
        </w:rPr>
        <w:t xml:space="preserve"> generally were not supportive</w:t>
      </w:r>
      <w:r w:rsidRPr="001F3577">
        <w:rPr>
          <w:rFonts w:cs="Times New Roman"/>
        </w:rPr>
        <w:t>.</w:t>
      </w:r>
      <w:r w:rsidRPr="001F3577">
        <w:rPr>
          <w:rStyle w:val="FootnoteReference"/>
          <w:rFonts w:cs="Times New Roman"/>
        </w:rPr>
        <w:footnoteReference w:id="549"/>
      </w:r>
      <w:r w:rsidRPr="001F3577">
        <w:rPr>
          <w:rFonts w:cs="Times New Roman"/>
        </w:rPr>
        <w:t xml:space="preserve"> </w:t>
      </w:r>
    </w:p>
    <w:p w:rsidR="00364BDE" w:rsidRDefault="00364BDE" w:rsidP="00364BDE">
      <w:pPr>
        <w:pStyle w:val="Heading4"/>
        <w:rPr>
          <w:rFonts w:ascii="Times New Roman" w:hAnsi="Times New Roman" w:cs="Times New Roman"/>
        </w:rPr>
      </w:pPr>
      <w:r>
        <w:rPr>
          <w:rFonts w:ascii="Times New Roman" w:hAnsi="Times New Roman" w:cs="Times New Roman"/>
        </w:rPr>
        <w:t>ACCC assessment</w:t>
      </w:r>
    </w:p>
    <w:p w:rsidR="00364BDE" w:rsidRPr="00D714FC" w:rsidRDefault="00364BDE" w:rsidP="00364BDE">
      <w:pPr>
        <w:rPr>
          <w:rFonts w:cs="Times New Roman"/>
        </w:rPr>
      </w:pPr>
      <w:r w:rsidRPr="00D714FC">
        <w:rPr>
          <w:rFonts w:cs="Times New Roman"/>
        </w:rPr>
        <w:t xml:space="preserve">One of the main themes of the ACCC’s </w:t>
      </w:r>
      <w:r>
        <w:rPr>
          <w:rFonts w:cs="Times New Roman"/>
        </w:rPr>
        <w:t>Draft and Final</w:t>
      </w:r>
      <w:r w:rsidRPr="00D714FC">
        <w:rPr>
          <w:rFonts w:cs="Times New Roman"/>
        </w:rPr>
        <w:t xml:space="preserve"> Advice </w:t>
      </w:r>
      <w:r>
        <w:rPr>
          <w:rFonts w:cs="Times New Roman"/>
        </w:rPr>
        <w:t>i</w:t>
      </w:r>
      <w:r w:rsidRPr="00D714FC">
        <w:rPr>
          <w:rFonts w:cs="Times New Roman"/>
        </w:rPr>
        <w:t>s to move from an approach to regulation that applies differently to different groups of regulated entities</w:t>
      </w:r>
      <w:r>
        <w:rPr>
          <w:rFonts w:cs="Times New Roman"/>
        </w:rPr>
        <w:t xml:space="preserve"> (and therefore creates greater protection for some irrigators compared to others)</w:t>
      </w:r>
      <w:r w:rsidRPr="00D714FC">
        <w:rPr>
          <w:rFonts w:cs="Times New Roman"/>
        </w:rPr>
        <w:t>, to</w:t>
      </w:r>
      <w:r>
        <w:rPr>
          <w:rFonts w:cs="Times New Roman"/>
        </w:rPr>
        <w:t xml:space="preserve"> a</w:t>
      </w:r>
      <w:r w:rsidRPr="00D714FC">
        <w:rPr>
          <w:rFonts w:cs="Times New Roman"/>
        </w:rPr>
        <w:t xml:space="preserve"> </w:t>
      </w:r>
      <w:r>
        <w:rPr>
          <w:rFonts w:cs="Times New Roman"/>
        </w:rPr>
        <w:t>more streamlined</w:t>
      </w:r>
      <w:r w:rsidRPr="00D714FC">
        <w:rPr>
          <w:rFonts w:cs="Times New Roman"/>
        </w:rPr>
        <w:t xml:space="preserve"> approach provid</w:t>
      </w:r>
      <w:r>
        <w:rPr>
          <w:rFonts w:cs="Times New Roman"/>
        </w:rPr>
        <w:t>ing</w:t>
      </w:r>
      <w:r w:rsidRPr="00D714FC">
        <w:rPr>
          <w:rFonts w:cs="Times New Roman"/>
        </w:rPr>
        <w:t xml:space="preserve"> a consistent framework for regulated water charges that applies as widely as possible, but which allows a degree of discretion to both regulated entities and the regulator. This approach will better contribute to consistency in water charging arrangements while still ensuring that there is a measured approach to regulation in terms of the level of </w:t>
      </w:r>
      <w:r>
        <w:rPr>
          <w:rFonts w:cs="Times New Roman"/>
        </w:rPr>
        <w:t>regulatory</w:t>
      </w:r>
      <w:r w:rsidRPr="00D714FC">
        <w:rPr>
          <w:rFonts w:cs="Times New Roman"/>
        </w:rPr>
        <w:t xml:space="preserve"> costs infrastructure operators face. </w:t>
      </w:r>
    </w:p>
    <w:p w:rsidR="00364BDE" w:rsidRDefault="00364BDE" w:rsidP="00364BDE">
      <w:pPr>
        <w:rPr>
          <w:rFonts w:cs="Times New Roman"/>
        </w:rPr>
      </w:pPr>
      <w:r w:rsidRPr="00D714FC">
        <w:rPr>
          <w:rFonts w:cs="Times New Roman"/>
        </w:rPr>
        <w:t xml:space="preserve">Under </w:t>
      </w:r>
      <w:r w:rsidR="007E3378">
        <w:rPr>
          <w:rFonts w:cs="Times New Roman"/>
        </w:rPr>
        <w:t>sub</w:t>
      </w:r>
      <w:r w:rsidRPr="00D714FC">
        <w:rPr>
          <w:rFonts w:cs="Times New Roman"/>
        </w:rPr>
        <w:t xml:space="preserve">section 91(2) of the Act, the water charge rules are limited to apply to regulated water charges in the </w:t>
      </w:r>
      <w:r>
        <w:rPr>
          <w:rFonts w:cs="Times New Roman"/>
        </w:rPr>
        <w:t>MDB</w:t>
      </w:r>
      <w:r w:rsidRPr="00D714FC">
        <w:rPr>
          <w:rFonts w:cs="Times New Roman"/>
        </w:rPr>
        <w:t xml:space="preserve">, </w:t>
      </w:r>
      <w:r>
        <w:rPr>
          <w:rFonts w:cs="Times New Roman"/>
        </w:rPr>
        <w:t xml:space="preserve">excluding charges for </w:t>
      </w:r>
      <w:r w:rsidRPr="00D714FC">
        <w:rPr>
          <w:rFonts w:cs="Times New Roman"/>
        </w:rPr>
        <w:t>urban water supply activities. Additionally, the characteristics of infrastructure operators in the Basin differ due to among other factors, size, ownership, infrastructure assets, infrastructure services and costs and the approach to determining charges. Moreover, Basin States have shown a clear preference for continuing to be involved in regulation of infrastructure charges. The ACCC’s proposed approach</w:t>
      </w:r>
      <w:r>
        <w:rPr>
          <w:rFonts w:cs="Times New Roman"/>
        </w:rPr>
        <w:t xml:space="preserve"> throughout its Final Advice</w:t>
      </w:r>
      <w:r w:rsidRPr="00D714FC">
        <w:rPr>
          <w:rFonts w:cs="Times New Roman"/>
        </w:rPr>
        <w:t xml:space="preserve"> takes into account these factors</w:t>
      </w:r>
      <w:r>
        <w:rPr>
          <w:rFonts w:cs="Times New Roman"/>
        </w:rPr>
        <w:t xml:space="preserve">, yet </w:t>
      </w:r>
      <w:r w:rsidRPr="00D714FC">
        <w:rPr>
          <w:rFonts w:cs="Times New Roman"/>
        </w:rPr>
        <w:t xml:space="preserve">aims to create a consistent set of regulatory requirements </w:t>
      </w:r>
      <w:r>
        <w:rPr>
          <w:rFonts w:cs="Times New Roman"/>
        </w:rPr>
        <w:t xml:space="preserve">under the water charge rules. The ACCC has proposed requirements to be applied </w:t>
      </w:r>
      <w:r w:rsidRPr="00D714FC">
        <w:rPr>
          <w:rFonts w:cs="Times New Roman"/>
        </w:rPr>
        <w:t>to all infrastructure operators</w:t>
      </w:r>
      <w:r>
        <w:rPr>
          <w:rFonts w:cs="Times New Roman"/>
        </w:rPr>
        <w:t>,</w:t>
      </w:r>
      <w:r w:rsidRPr="00D714FC">
        <w:rPr>
          <w:rFonts w:cs="Times New Roman"/>
        </w:rPr>
        <w:t xml:space="preserve"> rather than </w:t>
      </w:r>
      <w:r>
        <w:rPr>
          <w:rFonts w:cs="Times New Roman"/>
        </w:rPr>
        <w:t xml:space="preserve">seeking </w:t>
      </w:r>
      <w:r w:rsidRPr="00D714FC">
        <w:rPr>
          <w:rFonts w:cs="Times New Roman"/>
        </w:rPr>
        <w:t>to regulate to produce an outcome where all charging arrangements are as similar as possible. Under the</w:t>
      </w:r>
      <w:r>
        <w:rPr>
          <w:rFonts w:cs="Times New Roman"/>
        </w:rPr>
        <w:t>se proposed</w:t>
      </w:r>
      <w:r w:rsidRPr="00D714FC">
        <w:rPr>
          <w:rFonts w:cs="Times New Roman"/>
        </w:rPr>
        <w:t xml:space="preserve"> amendments, infrastructure operators can generally determine charges and consult with their customers in a way that best meets the individual needs of their business and customers</w:t>
      </w:r>
      <w:r>
        <w:rPr>
          <w:rFonts w:cs="Times New Roman"/>
        </w:rPr>
        <w:t>, subject to some basic customer protections and transparency requirements</w:t>
      </w:r>
      <w:r w:rsidRPr="00D714FC">
        <w:rPr>
          <w:rFonts w:cs="Times New Roman"/>
        </w:rPr>
        <w:t xml:space="preserve">. </w:t>
      </w:r>
    </w:p>
    <w:p w:rsidR="00364BDE" w:rsidRPr="00D714FC" w:rsidRDefault="00364BDE" w:rsidP="00364BDE">
      <w:pPr>
        <w:rPr>
          <w:rFonts w:cs="Times New Roman"/>
        </w:rPr>
      </w:pPr>
      <w:r>
        <w:rPr>
          <w:rFonts w:cs="Times New Roman"/>
        </w:rPr>
        <w:t xml:space="preserve">However, the ACCC considers that it is important that </w:t>
      </w:r>
      <w:r w:rsidRPr="00D714FC">
        <w:rPr>
          <w:rFonts w:cs="Times New Roman"/>
        </w:rPr>
        <w:t xml:space="preserve">the regulator </w:t>
      </w:r>
      <w:r w:rsidR="00155630">
        <w:rPr>
          <w:rFonts w:cs="Times New Roman"/>
        </w:rPr>
        <w:t xml:space="preserve">should </w:t>
      </w:r>
      <w:r w:rsidRPr="00D714FC">
        <w:rPr>
          <w:rFonts w:cs="Times New Roman"/>
        </w:rPr>
        <w:t xml:space="preserve">still maintain the ability to take into account individual circumstances when undertaking its roles, whether this is under the various exemption mechanisms provided under the </w:t>
      </w:r>
      <w:r>
        <w:rPr>
          <w:rFonts w:cs="Times New Roman"/>
        </w:rPr>
        <w:t xml:space="preserve">proposed </w:t>
      </w:r>
      <w:r w:rsidRPr="00D714FC">
        <w:rPr>
          <w:rFonts w:cs="Times New Roman"/>
        </w:rPr>
        <w:t xml:space="preserve">rules, or in undertaking approvals and determinations. </w:t>
      </w:r>
      <w:r>
        <w:rPr>
          <w:rFonts w:cs="Times New Roman"/>
        </w:rPr>
        <w:t>Allowing such guided discretion precludes the need for the regulations to either attempt to deal exhaustively or prescribe a ‘one size fits all’ approach to differing circumstances.</w:t>
      </w:r>
    </w:p>
    <w:p w:rsidR="00364BDE" w:rsidRPr="00B65320" w:rsidRDefault="00364BDE" w:rsidP="00364BDE">
      <w:pPr>
        <w:pStyle w:val="Heading3"/>
      </w:pPr>
      <w:bookmarkStart w:id="1103" w:name="_Ref435004163"/>
      <w:bookmarkStart w:id="1104" w:name="_Toc436122311"/>
      <w:bookmarkStart w:id="1105" w:name="_Toc436122806"/>
      <w:bookmarkStart w:id="1106" w:name="_Toc436124161"/>
      <w:bookmarkStart w:id="1107" w:name="_Toc456785817"/>
      <w:bookmarkStart w:id="1108" w:name="_Toc461630728"/>
      <w:r w:rsidRPr="00B65320">
        <w:t xml:space="preserve">Valley-based and </w:t>
      </w:r>
      <w:r>
        <w:t>‘</w:t>
      </w:r>
      <w:r w:rsidRPr="00B65320">
        <w:t>postage stamp pricing</w:t>
      </w:r>
      <w:bookmarkEnd w:id="1103"/>
      <w:bookmarkEnd w:id="1104"/>
      <w:bookmarkEnd w:id="1105"/>
      <w:bookmarkEnd w:id="1106"/>
      <w:r>
        <w:t>’</w:t>
      </w:r>
      <w:bookmarkEnd w:id="1107"/>
      <w:bookmarkEnd w:id="1108"/>
    </w:p>
    <w:p w:rsidR="00364BDE" w:rsidRPr="00D714FC" w:rsidRDefault="00364BDE" w:rsidP="00364BDE">
      <w:pPr>
        <w:pStyle w:val="Heading4"/>
        <w:rPr>
          <w:rFonts w:ascii="Times New Roman" w:hAnsi="Times New Roman" w:cs="Times New Roman"/>
        </w:rPr>
      </w:pPr>
      <w:r w:rsidRPr="00D714FC">
        <w:rPr>
          <w:rFonts w:ascii="Times New Roman" w:hAnsi="Times New Roman" w:cs="Times New Roman"/>
        </w:rPr>
        <w:t xml:space="preserve">Stakeholder feedback </w:t>
      </w:r>
    </w:p>
    <w:p w:rsidR="00364BDE" w:rsidRDefault="00364BDE" w:rsidP="00364BDE">
      <w:pPr>
        <w:rPr>
          <w:rFonts w:cs="Times New Roman"/>
        </w:rPr>
      </w:pPr>
      <w:r w:rsidRPr="004434D3">
        <w:rPr>
          <w:rFonts w:cs="Times New Roman"/>
        </w:rPr>
        <w:t>Several submissions raised the issue of consistency in water charging arrangements in relation to the merits of valley-based pricing arrangements versus ‘postage stamp pricing’.</w:t>
      </w:r>
      <w:r w:rsidRPr="004434D3">
        <w:rPr>
          <w:rStyle w:val="FootnoteReference"/>
          <w:rFonts w:cs="Times New Roman"/>
        </w:rPr>
        <w:footnoteReference w:id="550"/>
      </w:r>
      <w:r w:rsidRPr="004434D3">
        <w:rPr>
          <w:rFonts w:cs="Times New Roman"/>
        </w:rPr>
        <w:t xml:space="preserve"> </w:t>
      </w:r>
    </w:p>
    <w:p w:rsidR="00364BDE" w:rsidRDefault="00364BDE" w:rsidP="00364BDE">
      <w:r>
        <w:t xml:space="preserve">Goulburn-Murray Water (GMW) noted that it has proposed to move towards uniform pricing in its application to the </w:t>
      </w:r>
      <w:r w:rsidR="00ED02CF">
        <w:t>ESCV</w:t>
      </w:r>
      <w:r>
        <w:t xml:space="preserve"> for the approval / determination of its charges to apply from July 2016. GMW commented on the rationale for valley-based, versus uniform, pricing.</w:t>
      </w:r>
      <w:r w:rsidRPr="00CF565F">
        <w:rPr>
          <w:rStyle w:val="FootnoteReference"/>
          <w:rFonts w:cs="Times New Roman"/>
          <w:sz w:val="20"/>
          <w:szCs w:val="20"/>
        </w:rPr>
        <w:footnoteReference w:id="551"/>
      </w:r>
      <w:r>
        <w:t xml:space="preserve"> It also responded to its customers’ submissions to the ACCC’s Issues Paper regarding this proposal. GMW’s submission on these issues is summarised in section 4.2. In summary, GMW considered that the case for valley-based pricing is diminishing because of the increasing standardisation of assets, service levels and outcomes, largely due to modernisation and low customer growth. Additionally, it considered that district level prices are based on “historically sunk asset allocations and institutional boundaries” rather than reflecting the underlying differences in the cost of supply. GMW further noted that there are administrative cost savings that it can realise from having an administratively simpler tariff structure.</w:t>
      </w:r>
    </w:p>
    <w:p w:rsidR="00364BDE" w:rsidRPr="00737E74" w:rsidRDefault="00364BDE" w:rsidP="00364BDE">
      <w:pPr>
        <w:rPr>
          <w:rFonts w:cs="Times New Roman"/>
        </w:rPr>
      </w:pPr>
      <w:r w:rsidRPr="00737E74">
        <w:rPr>
          <w:rFonts w:cs="Times New Roman"/>
        </w:rPr>
        <w:t>By contrast, some stakeholders submitted concerns about postage stamp pricing for valleys in GMW’s area. Peter Beex stated that GMW’s approach to impose a single water charge is contradictory with the Act</w:t>
      </w:r>
      <w:r w:rsidR="00BC49EE">
        <w:rPr>
          <w:rFonts w:cs="Times New Roman"/>
        </w:rPr>
        <w:t>. Peter Beex</w:t>
      </w:r>
      <w:r w:rsidRPr="00737E74">
        <w:rPr>
          <w:rFonts w:cs="Times New Roman"/>
        </w:rPr>
        <w:t xml:space="preserve"> not</w:t>
      </w:r>
      <w:r w:rsidR="00BC49EE">
        <w:rPr>
          <w:rFonts w:cs="Times New Roman"/>
        </w:rPr>
        <w:t>ed</w:t>
      </w:r>
      <w:r w:rsidRPr="00737E74">
        <w:rPr>
          <w:rFonts w:cs="Times New Roman"/>
        </w:rPr>
        <w:t xml:space="preserve"> that the </w:t>
      </w:r>
      <w:r w:rsidR="00BC49EE">
        <w:rPr>
          <w:rFonts w:cs="Times New Roman"/>
        </w:rPr>
        <w:t xml:space="preserve">Independent </w:t>
      </w:r>
      <w:r w:rsidRPr="00737E74">
        <w:rPr>
          <w:rFonts w:cs="Times New Roman"/>
        </w:rPr>
        <w:t>Expert Panel</w:t>
      </w:r>
      <w:r w:rsidR="00BC49EE">
        <w:rPr>
          <w:rFonts w:cs="Times New Roman"/>
        </w:rPr>
        <w:t xml:space="preserve"> (reviewing </w:t>
      </w:r>
      <w:r w:rsidR="00BC49EE" w:rsidRPr="00BC49EE">
        <w:rPr>
          <w:rFonts w:cs="Times New Roman"/>
        </w:rPr>
        <w:t>the Act</w:t>
      </w:r>
      <w:r w:rsidR="00BC49EE">
        <w:rPr>
          <w:rFonts w:cs="Times New Roman"/>
        </w:rPr>
        <w:t>)</w:t>
      </w:r>
      <w:r w:rsidRPr="00737E74">
        <w:rPr>
          <w:rFonts w:cs="Times New Roman"/>
        </w:rPr>
        <w:t xml:space="preserve"> </w:t>
      </w:r>
      <w:r w:rsidR="00BC49EE">
        <w:rPr>
          <w:rFonts w:cs="Times New Roman"/>
        </w:rPr>
        <w:t xml:space="preserve">had </w:t>
      </w:r>
      <w:r w:rsidRPr="00737E74">
        <w:rPr>
          <w:rFonts w:cs="Times New Roman"/>
        </w:rPr>
        <w:t>interpret</w:t>
      </w:r>
      <w:r w:rsidR="00BC49EE">
        <w:rPr>
          <w:rFonts w:cs="Times New Roman"/>
        </w:rPr>
        <w:t>ed</w:t>
      </w:r>
      <w:r w:rsidRPr="00737E74">
        <w:rPr>
          <w:rFonts w:cs="Times New Roman"/>
        </w:rPr>
        <w:t xml:space="preserve"> the water charging objectives in the Act—to ensure charges are set on a consistent basis (rather than produce consistent charges per se) and to reflect the costs of providing the service (with no cross subsidisation between valleys).</w:t>
      </w:r>
      <w:r w:rsidRPr="00737E74">
        <w:rPr>
          <w:rStyle w:val="FootnoteReference"/>
          <w:rFonts w:cs="Times New Roman"/>
        </w:rPr>
        <w:footnoteReference w:id="552"/>
      </w:r>
      <w:r w:rsidRPr="00737E74">
        <w:rPr>
          <w:rFonts w:cs="Times New Roman"/>
        </w:rPr>
        <w:t xml:space="preserve"> Peter Beex added that the single charge could distort irrigators’ decisions to invest in the Murray Valley if, in order to achieve the single price, water usage charges and infrastructure access fees increase in the Murray Valley and decrease in the Shepparton Valley.</w:t>
      </w:r>
      <w:r w:rsidRPr="00737E74">
        <w:rPr>
          <w:rStyle w:val="FootnoteReference"/>
          <w:rFonts w:cs="Times New Roman"/>
        </w:rPr>
        <w:footnoteReference w:id="553"/>
      </w:r>
      <w:r w:rsidRPr="00737E74">
        <w:rPr>
          <w:rFonts w:cs="Times New Roman"/>
        </w:rPr>
        <w:t xml:space="preserve"> Daniel Mongan and the </w:t>
      </w:r>
      <w:r w:rsidR="00874041">
        <w:rPr>
          <w:rFonts w:cs="Times New Roman"/>
        </w:rPr>
        <w:t>Victorian Farmers’ Federation (</w:t>
      </w:r>
      <w:r w:rsidRPr="00737E74">
        <w:rPr>
          <w:rFonts w:cs="Times New Roman"/>
        </w:rPr>
        <w:t>VFF</w:t>
      </w:r>
      <w:r w:rsidR="00874041">
        <w:rPr>
          <w:rFonts w:cs="Times New Roman"/>
        </w:rPr>
        <w:t>)</w:t>
      </w:r>
      <w:r w:rsidRPr="00737E74">
        <w:rPr>
          <w:rFonts w:cs="Times New Roman"/>
        </w:rPr>
        <w:t xml:space="preserve"> also commented on GMW’s water charging arrangements and corresponding consultation process in relation to potential changes outlined in the GMW Blueprint document.</w:t>
      </w:r>
      <w:r w:rsidRPr="00737E74">
        <w:rPr>
          <w:rStyle w:val="FootnoteReference"/>
          <w:rFonts w:cs="Times New Roman"/>
        </w:rPr>
        <w:footnoteReference w:id="554"/>
      </w:r>
    </w:p>
    <w:p w:rsidR="00364BDE" w:rsidRDefault="00364BDE" w:rsidP="00D17F9C">
      <w:pPr>
        <w:pStyle w:val="Heading5"/>
      </w:pPr>
      <w:r>
        <w:t>Feedback relating to charging outcomes in the Peel Valley</w:t>
      </w:r>
    </w:p>
    <w:p w:rsidR="00364BDE" w:rsidRPr="004434D3" w:rsidRDefault="00364BDE" w:rsidP="00364BDE">
      <w:pPr>
        <w:rPr>
          <w:rFonts w:cs="Times New Roman"/>
        </w:rPr>
      </w:pPr>
      <w:r w:rsidRPr="004434D3">
        <w:rPr>
          <w:rFonts w:cs="Times New Roman"/>
        </w:rPr>
        <w:t xml:space="preserve">The Peel Valley Water Users Association (PVWUA) submitted concerns about the differences in the level of charges between NSW valleys in submissions both to the Issues Paper and Act Review. </w:t>
      </w:r>
    </w:p>
    <w:p w:rsidR="00364BDE" w:rsidRPr="00737E74" w:rsidRDefault="00364BDE" w:rsidP="00364BDE">
      <w:pPr>
        <w:rPr>
          <w:rFonts w:cs="Times New Roman"/>
        </w:rPr>
      </w:pPr>
      <w:r w:rsidRPr="004434D3">
        <w:rPr>
          <w:rFonts w:cs="Times New Roman"/>
        </w:rPr>
        <w:t>The PVWUA</w:t>
      </w:r>
      <w:r w:rsidR="00155630">
        <w:rPr>
          <w:rFonts w:cs="Times New Roman"/>
        </w:rPr>
        <w:t>’s</w:t>
      </w:r>
      <w:r w:rsidRPr="004434D3">
        <w:rPr>
          <w:rFonts w:cs="Times New Roman"/>
        </w:rPr>
        <w:t xml:space="preserve"> view</w:t>
      </w:r>
      <w:r w:rsidR="00155630">
        <w:rPr>
          <w:rFonts w:cs="Times New Roman"/>
        </w:rPr>
        <w:t xml:space="preserve"> is</w:t>
      </w:r>
      <w:r w:rsidRPr="004434D3">
        <w:rPr>
          <w:rFonts w:cs="Times New Roman"/>
        </w:rPr>
        <w:t xml:space="preserve"> that if the water charge rules produce inequitable charges, then </w:t>
      </w:r>
      <w:r w:rsidRPr="00737E74">
        <w:rPr>
          <w:rFonts w:cs="Times New Roman"/>
        </w:rPr>
        <w:t>the rules should be amended “to produce a more equitable pricing outcome”.</w:t>
      </w:r>
      <w:r w:rsidRPr="00737E74">
        <w:rPr>
          <w:rStyle w:val="FootnoteReference"/>
          <w:rFonts w:cs="Times New Roman"/>
        </w:rPr>
        <w:footnoteReference w:id="555"/>
      </w:r>
      <w:r w:rsidRPr="00737E74">
        <w:rPr>
          <w:rFonts w:cs="Times New Roman"/>
        </w:rPr>
        <w:t xml:space="preserve"> In the PVWUA’s view, the cause of the ‘inequitable water charges’ is that there is no definition of what constitutes a ‘perverse outcome’ under the BWCOP.</w:t>
      </w:r>
      <w:r w:rsidRPr="00737E74">
        <w:rPr>
          <w:rStyle w:val="FootnoteReference"/>
          <w:rFonts w:cs="Times New Roman"/>
        </w:rPr>
        <w:footnoteReference w:id="556"/>
      </w:r>
      <w:r w:rsidRPr="00737E74">
        <w:rPr>
          <w:rFonts w:cs="Times New Roman"/>
        </w:rPr>
        <w:t xml:space="preserve"> The PVWUA further stated that there is a need for a definition of ‘perverse </w:t>
      </w:r>
      <w:r w:rsidR="00155630">
        <w:rPr>
          <w:rFonts w:cs="Times New Roman"/>
        </w:rPr>
        <w:t>or unintended pricing outcomes’.</w:t>
      </w:r>
      <w:r w:rsidRPr="00737E74">
        <w:rPr>
          <w:rStyle w:val="FootnoteReference"/>
          <w:rFonts w:cs="Times New Roman"/>
        </w:rPr>
        <w:footnoteReference w:id="557"/>
      </w:r>
      <w:r w:rsidRPr="00737E74">
        <w:rPr>
          <w:rFonts w:cs="Times New Roman"/>
        </w:rPr>
        <w:t xml:space="preserve"> </w:t>
      </w:r>
      <w:r w:rsidR="00155630">
        <w:rPr>
          <w:rFonts w:cs="Times New Roman"/>
        </w:rPr>
        <w:t>I</w:t>
      </w:r>
      <w:r w:rsidRPr="00737E74">
        <w:rPr>
          <w:rFonts w:cs="Times New Roman"/>
        </w:rPr>
        <w:t xml:space="preserve">n its view, the </w:t>
      </w:r>
      <w:r w:rsidR="00155630">
        <w:rPr>
          <w:rFonts w:cs="Times New Roman"/>
        </w:rPr>
        <w:t xml:space="preserve">current </w:t>
      </w:r>
      <w:r w:rsidRPr="00737E74">
        <w:rPr>
          <w:rFonts w:cs="Times New Roman"/>
        </w:rPr>
        <w:t xml:space="preserve">pricing outcomes </w:t>
      </w:r>
      <w:r w:rsidR="00155630">
        <w:rPr>
          <w:rFonts w:cs="Times New Roman"/>
        </w:rPr>
        <w:t xml:space="preserve">in Peel </w:t>
      </w:r>
      <w:r w:rsidRPr="00155630">
        <w:rPr>
          <w:rFonts w:cs="Times New Roman"/>
        </w:rPr>
        <w:t xml:space="preserve">are </w:t>
      </w:r>
      <w:r w:rsidR="00155630">
        <w:rPr>
          <w:rFonts w:cs="Times New Roman"/>
        </w:rPr>
        <w:t xml:space="preserve">both </w:t>
      </w:r>
      <w:r w:rsidR="00155630" w:rsidRPr="00737E74">
        <w:rPr>
          <w:rFonts w:cs="Times New Roman"/>
        </w:rPr>
        <w:t>‘</w:t>
      </w:r>
      <w:r w:rsidR="00155630" w:rsidRPr="00155630">
        <w:rPr>
          <w:rFonts w:cs="Times New Roman"/>
          <w:i/>
        </w:rPr>
        <w:t>intended</w:t>
      </w:r>
      <w:r w:rsidR="00155630" w:rsidRPr="00737E74">
        <w:rPr>
          <w:rFonts w:cs="Times New Roman"/>
        </w:rPr>
        <w:t>’</w:t>
      </w:r>
      <w:r w:rsidR="00155630">
        <w:rPr>
          <w:rFonts w:cs="Times New Roman"/>
        </w:rPr>
        <w:t xml:space="preserve"> and </w:t>
      </w:r>
      <w:r w:rsidRPr="00737E74">
        <w:rPr>
          <w:rFonts w:cs="Times New Roman"/>
        </w:rPr>
        <w:t>‘perverse’</w:t>
      </w:r>
      <w:r w:rsidR="00155630">
        <w:rPr>
          <w:rFonts w:cs="Times New Roman"/>
        </w:rPr>
        <w:t>.</w:t>
      </w:r>
      <w:r w:rsidRPr="00737E74">
        <w:rPr>
          <w:rStyle w:val="FootnoteReference"/>
          <w:rFonts w:cs="Times New Roman"/>
        </w:rPr>
        <w:footnoteReference w:id="558"/>
      </w:r>
    </w:p>
    <w:p w:rsidR="00364BDE" w:rsidRPr="00737E74" w:rsidRDefault="00364BDE" w:rsidP="00364BDE">
      <w:pPr>
        <w:rPr>
          <w:rFonts w:cs="Times New Roman"/>
        </w:rPr>
      </w:pPr>
      <w:r w:rsidRPr="00737E74">
        <w:rPr>
          <w:rFonts w:cs="Times New Roman"/>
        </w:rPr>
        <w:t>The PVWUA</w:t>
      </w:r>
      <w:r w:rsidRPr="00737E74" w:rsidDel="00C904DE">
        <w:rPr>
          <w:rFonts w:cs="Times New Roman"/>
        </w:rPr>
        <w:t xml:space="preserve"> </w:t>
      </w:r>
      <w:r w:rsidRPr="00737E74">
        <w:rPr>
          <w:rFonts w:cs="Times New Roman"/>
        </w:rPr>
        <w:t>advocated postage stamp pricing as a mechanism for addressing its concerns.</w:t>
      </w:r>
      <w:r w:rsidRPr="00737E74">
        <w:rPr>
          <w:rStyle w:val="FootnoteReference"/>
          <w:rFonts w:cs="Times New Roman"/>
        </w:rPr>
        <w:footnoteReference w:id="559"/>
      </w:r>
      <w:r w:rsidRPr="00737E74">
        <w:rPr>
          <w:rFonts w:cs="Times New Roman"/>
        </w:rPr>
        <w:t xml:space="preserve"> The PVWUA reasoned that the </w:t>
      </w:r>
      <w:r w:rsidR="00BF194C">
        <w:rPr>
          <w:rFonts w:cs="Times New Roman"/>
        </w:rPr>
        <w:t>Murray-Darling Basin (</w:t>
      </w:r>
      <w:r w:rsidRPr="00737E74">
        <w:rPr>
          <w:rFonts w:cs="Times New Roman"/>
        </w:rPr>
        <w:t>MDB</w:t>
      </w:r>
      <w:r w:rsidR="00BF194C">
        <w:rPr>
          <w:rFonts w:cs="Times New Roman"/>
        </w:rPr>
        <w:t>)</w:t>
      </w:r>
      <w:r w:rsidRPr="00737E74">
        <w:rPr>
          <w:rFonts w:cs="Times New Roman"/>
        </w:rPr>
        <w:t xml:space="preserve"> is a single ‘entity’ and that therefore there should be a standard charge applying across the entire Basin (rather than valley-based charges). The PVWUA</w:t>
      </w:r>
      <w:r w:rsidRPr="00737E74" w:rsidDel="00C904DE">
        <w:rPr>
          <w:rFonts w:cs="Times New Roman"/>
        </w:rPr>
        <w:t xml:space="preserve"> </w:t>
      </w:r>
      <w:r w:rsidRPr="00737E74">
        <w:rPr>
          <w:rFonts w:cs="Times New Roman"/>
        </w:rPr>
        <w:t>recommended that a weighted average usage charge would be the “fairest system to all users” and not result in reduced revenue for State Water (now WaterNSW).</w:t>
      </w:r>
      <w:r w:rsidRPr="00737E74">
        <w:rPr>
          <w:rStyle w:val="FootnoteReference"/>
          <w:rFonts w:cs="Times New Roman"/>
        </w:rPr>
        <w:footnoteReference w:id="560"/>
      </w:r>
      <w:r w:rsidRPr="00737E74">
        <w:rPr>
          <w:rFonts w:cs="Times New Roman"/>
        </w:rPr>
        <w:t xml:space="preserve"> </w:t>
      </w:r>
    </w:p>
    <w:p w:rsidR="00364BDE" w:rsidRDefault="00364BDE" w:rsidP="00364BDE">
      <w:r>
        <w:t>In their Draft Advice submissions, the Tamworth Regional Council and</w:t>
      </w:r>
      <w:r w:rsidR="0066660E">
        <w:t xml:space="preserve"> </w:t>
      </w:r>
      <w:r>
        <w:t>PVWUA remained concerned about the relatively high charges in the Peel Valley resulting from the application of the water charge rules. Tamworth Regional Council noted that the ACCC had not made any proposed amendments to the water charge rules which would positively affect the level of charges within the Peel Valley.</w:t>
      </w:r>
      <w:r w:rsidRPr="00D66634">
        <w:rPr>
          <w:rStyle w:val="FootnoteReference"/>
          <w:rFonts w:cs="Times New Roman"/>
          <w:sz w:val="20"/>
          <w:szCs w:val="20"/>
        </w:rPr>
        <w:footnoteReference w:id="561"/>
      </w:r>
      <w:r>
        <w:t xml:space="preserve"> The PVWUA echoed this feedback.</w:t>
      </w:r>
    </w:p>
    <w:p w:rsidR="00364BDE" w:rsidRDefault="00364BDE" w:rsidP="00364BDE">
      <w:r>
        <w:t>The PVWUA submitted that the ACCC’s role is to “prevent inequitable charges” and “promote competition and fair trading and regulated national infrastructure to make markets work for everyone”.</w:t>
      </w:r>
      <w:r w:rsidR="00D14538" w:rsidRPr="00D66634">
        <w:rPr>
          <w:rStyle w:val="FootnoteReference"/>
          <w:rFonts w:cs="Times New Roman"/>
          <w:color w:val="000000"/>
          <w:sz w:val="20"/>
          <w:szCs w:val="20"/>
        </w:rPr>
        <w:footnoteReference w:id="562"/>
      </w:r>
      <w:r>
        <w:t xml:space="preserve"> The PVWUA was dissatisfied with the ACCC’s advice in relation to the Peel Valley charges; it considered that the ACCC has not fulfilled its role. The PVWUA’s view was that “the ACCC is more concerned with finding reasons to justify the status quo with water charge rules, rather than focusing on identifying solutions to what is an obvious problem…”.</w:t>
      </w:r>
    </w:p>
    <w:p w:rsidR="00364BDE" w:rsidRDefault="00364BDE" w:rsidP="00364BDE">
      <w:r>
        <w:t xml:space="preserve">The PVWUA, and to some extent </w:t>
      </w:r>
      <w:r w:rsidR="00D14538">
        <w:t xml:space="preserve">the </w:t>
      </w:r>
      <w:r>
        <w:t xml:space="preserve">Tamworth Regional Council, considered that it is the application of the water charge rules (i.e. via the interpretation of the </w:t>
      </w:r>
      <w:r w:rsidR="00B14931">
        <w:t>BWCOP</w:t>
      </w:r>
      <w:r>
        <w:t>) which is producing the differences in charges, and that their concerns can be addressed via amendments to the water charge rules.</w:t>
      </w:r>
      <w:r w:rsidRPr="00D66634">
        <w:rPr>
          <w:rStyle w:val="FootnoteReference"/>
          <w:rFonts w:cs="Times New Roman"/>
          <w:color w:val="000000"/>
          <w:sz w:val="20"/>
          <w:szCs w:val="20"/>
        </w:rPr>
        <w:footnoteReference w:id="563"/>
      </w:r>
      <w:r>
        <w:t xml:space="preserve"> Accordingly, the PVWUA provided suggestions about possible amendments, which they consider would address their concerns about the level of charges in the Peel Valley.</w:t>
      </w:r>
      <w:r>
        <w:rPr>
          <w:rStyle w:val="FootnoteReference"/>
        </w:rPr>
        <w:footnoteReference w:id="564"/>
      </w:r>
      <w:r>
        <w:t xml:space="preserve"> Additionally, Tamworth Regional Council continued to advocate for postage stamp pricing, and for the water charge rules to not preclude uniform pricing from being applied now or in the future.</w:t>
      </w:r>
      <w:r w:rsidRPr="00D66634">
        <w:rPr>
          <w:rStyle w:val="FootnoteReference"/>
          <w:rFonts w:cs="Times New Roman"/>
          <w:sz w:val="20"/>
          <w:szCs w:val="20"/>
        </w:rPr>
        <w:footnoteReference w:id="565"/>
      </w:r>
      <w:r w:rsidR="00C6733C">
        <w:t xml:space="preserve"> </w:t>
      </w:r>
    </w:p>
    <w:p w:rsidR="00364BDE" w:rsidRDefault="00364BDE" w:rsidP="00364BDE">
      <w:r>
        <w:t>One of the PVWUA’s key concerns in relation to the application of the water charge rules continues to be the interpretation of the principle</w:t>
      </w:r>
      <w:r w:rsidR="007F5018">
        <w:t xml:space="preserve"> </w:t>
      </w:r>
      <w:r>
        <w:t>‘to avoid perverse or unintended pricing outcomes’.</w:t>
      </w:r>
      <w:r w:rsidRPr="00D66634">
        <w:rPr>
          <w:rStyle w:val="FootnoteReference"/>
          <w:rFonts w:cs="Times New Roman"/>
          <w:color w:val="000000"/>
          <w:sz w:val="20"/>
          <w:szCs w:val="20"/>
        </w:rPr>
        <w:footnoteReference w:id="566"/>
      </w:r>
      <w:r>
        <w:t xml:space="preserve"> The PVWUA submitted that it cannot see how the current charges in the Peel Valley, relative to other NSW valleys, could not be ‘perverse’ and therefore in violation of this principle. The PVWUA therefore questioned why the regulator continues to approve charges ‘in breach’ of the Act. The PVWUA considered that part of the issue is that there is no definition, or transparent criteria, that demonstrate how the regulator is, or should be, evaluating this principle. The PVWUA noted the ACCC’s recommendation (4-A) to develop guidance material on the interpretation of, and the interactions between, the </w:t>
      </w:r>
      <w:r w:rsidR="00B14931">
        <w:t>BWCOP</w:t>
      </w:r>
      <w:r>
        <w:t xml:space="preserve">. However, the PVWUA considered that the recommendation “is too vague to be helpful”. </w:t>
      </w:r>
    </w:p>
    <w:p w:rsidR="00364BDE" w:rsidRDefault="00364BDE" w:rsidP="00E81EB4">
      <w:pPr>
        <w:spacing w:after="120"/>
      </w:pPr>
      <w:r>
        <w:t>One of the PVWUA’s criticisms about valley-based pricing is that, in its view, it does not reflect the principle of user-pays. The PVWUA</w:t>
      </w:r>
      <w:r w:rsidRPr="00D66634">
        <w:rPr>
          <w:rStyle w:val="FootnoteReference"/>
          <w:rFonts w:cs="Times New Roman"/>
          <w:sz w:val="20"/>
          <w:szCs w:val="20"/>
        </w:rPr>
        <w:footnoteReference w:id="567"/>
      </w:r>
      <w:r>
        <w:t xml:space="preserve"> provided three arguments about how the water charge rules could be applied, or charging arrangements modified, to produce l</w:t>
      </w:r>
      <w:r w:rsidR="00E81EB4">
        <w:t>ower charges in the Peel Valley:</w:t>
      </w:r>
      <w:r>
        <w:t xml:space="preserve"> </w:t>
      </w:r>
    </w:p>
    <w:p w:rsidR="00364BDE" w:rsidRDefault="00364BDE" w:rsidP="00F43856">
      <w:pPr>
        <w:pStyle w:val="ListParagraph"/>
        <w:numPr>
          <w:ilvl w:val="0"/>
          <w:numId w:val="60"/>
        </w:numPr>
        <w:tabs>
          <w:tab w:val="left" w:pos="340"/>
        </w:tabs>
        <w:spacing w:before="120" w:after="0" w:line="240" w:lineRule="auto"/>
        <w:contextualSpacing w:val="0"/>
      </w:pPr>
      <w:r>
        <w:t xml:space="preserve">the user share of costs in the Peel Valley is the same as other parts of NSW; however, the charges are higher because there are fewer irrigators over which to spread the costs. Consequently, if the user share of costs is the same, so too should the charges be the same. </w:t>
      </w:r>
    </w:p>
    <w:p w:rsidR="00364BDE" w:rsidRDefault="00364BDE" w:rsidP="00F43856">
      <w:pPr>
        <w:pStyle w:val="ListParagraph"/>
        <w:numPr>
          <w:ilvl w:val="0"/>
          <w:numId w:val="60"/>
        </w:numPr>
        <w:tabs>
          <w:tab w:val="left" w:pos="340"/>
        </w:tabs>
        <w:spacing w:before="120" w:after="0" w:line="240" w:lineRule="auto"/>
        <w:contextualSpacing w:val="0"/>
      </w:pPr>
      <w:r>
        <w:t>under the Peel Valley Water Sharing Plan, Peel Valley water users (irrigators and Tamworth Regional Council) can only access an amount of water equal to five per cent of the average end of stream flow. Therefore, to reflect the principle of user-pays, Peel Valley water users should not be charged 100 per cent of the user share of costs.</w:t>
      </w:r>
    </w:p>
    <w:p w:rsidR="00364BDE" w:rsidRDefault="00364BDE" w:rsidP="00F43856">
      <w:pPr>
        <w:pStyle w:val="ListParagraph"/>
        <w:numPr>
          <w:ilvl w:val="0"/>
          <w:numId w:val="60"/>
        </w:numPr>
        <w:tabs>
          <w:tab w:val="left" w:pos="340"/>
        </w:tabs>
        <w:spacing w:before="120" w:line="240" w:lineRule="auto"/>
        <w:contextualSpacing w:val="0"/>
      </w:pPr>
      <w:r>
        <w:t>charges do not reflect the “environmental footprint” of consumptive water use. This is because the valleys with the highest volume of water for consumptive use, and therefore the largest environmental footprint, have the lowest charges (i.e. Murray and Murrumbidgee); whereas, the Peel Valley with the lowest volume of water use, and therefore the smallest environmental footprint, have the highest charges. The PVWUA considers this a “perverse outcome for the environment”.</w:t>
      </w:r>
    </w:p>
    <w:p w:rsidR="00364BDE" w:rsidRDefault="00364BDE" w:rsidP="00364BDE">
      <w:r>
        <w:t>Tamworth Regional Council (TRC)</w:t>
      </w:r>
      <w:r w:rsidRPr="00073821">
        <w:rPr>
          <w:rStyle w:val="FootnoteReference"/>
          <w:rFonts w:cs="Times New Roman"/>
          <w:sz w:val="20"/>
          <w:szCs w:val="20"/>
        </w:rPr>
        <w:footnoteReference w:id="568"/>
      </w:r>
      <w:r>
        <w:t xml:space="preserve"> supported postage stamp pricing. TRC submitted that its main point is that even if the ACCC does not support postage stamp pricing now, the water charge rules should not be drafted to preclude it from being introduced at another time, should the ACCC or other relevant government agencies’ position change.</w:t>
      </w:r>
    </w:p>
    <w:p w:rsidR="00364BDE" w:rsidRDefault="00364BDE" w:rsidP="00E81EB4">
      <w:pPr>
        <w:spacing w:after="120"/>
      </w:pPr>
      <w:r>
        <w:t>TRC provided two main arguments about the benefits of postage stamp pricing (other than reducing the level of charges in the Peel V</w:t>
      </w:r>
      <w:r w:rsidR="00E81EB4">
        <w:t>alley):</w:t>
      </w:r>
    </w:p>
    <w:p w:rsidR="00364BDE" w:rsidRDefault="00364BDE" w:rsidP="00F43856">
      <w:pPr>
        <w:pStyle w:val="ListParagraph"/>
        <w:numPr>
          <w:ilvl w:val="0"/>
          <w:numId w:val="61"/>
        </w:numPr>
        <w:tabs>
          <w:tab w:val="left" w:pos="340"/>
        </w:tabs>
        <w:spacing w:before="120" w:after="0" w:line="240" w:lineRule="auto"/>
        <w:contextualSpacing w:val="0"/>
      </w:pPr>
      <w:r>
        <w:t xml:space="preserve">Postage stamp pricing precludes difficulties associated with deciding which valley-based charges should apply in the cases of supplementary / off-allocation flows between valleys, and in the case of water shepherding for environmental flows. </w:t>
      </w:r>
    </w:p>
    <w:p w:rsidR="00364BDE" w:rsidRDefault="00364BDE" w:rsidP="00F43856">
      <w:pPr>
        <w:pStyle w:val="ListParagraph"/>
        <w:numPr>
          <w:ilvl w:val="0"/>
          <w:numId w:val="61"/>
        </w:numPr>
        <w:tabs>
          <w:tab w:val="left" w:pos="340"/>
        </w:tabs>
        <w:spacing w:before="120" w:after="0" w:line="240" w:lineRule="auto"/>
        <w:contextualSpacing w:val="0"/>
      </w:pPr>
      <w:r>
        <w:t xml:space="preserve">Postage stamp pricing recognises and fairly accounts for legacy issues. For example, the higher cost of supplying water to some valleys such as the Peel is due to decisions made by governments “before the notion of user-pays was conceived” and in a time where present day users were not consulted about, or even able to consider, the infrastructure investment decisions. </w:t>
      </w:r>
    </w:p>
    <w:p w:rsidR="00364BDE" w:rsidRDefault="00364BDE" w:rsidP="00364BDE">
      <w:r>
        <w:t>TRC argued that in combination with postage stamp pricing, there could be a requirement to provide a transparent break-down of the costs to supply each valley to identify “inefficiency’s[</w:t>
      </w:r>
      <w:r w:rsidRPr="00F67927">
        <w:rPr>
          <w:i/>
        </w:rPr>
        <w:t>sic</w:t>
      </w:r>
      <w:r>
        <w:t>] or unnecessary waste”. TRC concluded by questioning how the ACCC can allow the NSW Department of Primary Industries</w:t>
      </w:r>
      <w:r w:rsidR="00836844">
        <w:t>—Water</w:t>
      </w:r>
      <w:r w:rsidR="003E354B">
        <w:t xml:space="preserve"> (DPI</w:t>
      </w:r>
      <w:r w:rsidR="00836844">
        <w:t xml:space="preserve"> Water</w:t>
      </w:r>
      <w:r w:rsidR="003E354B">
        <w:t>)</w:t>
      </w:r>
      <w:r>
        <w:t xml:space="preserve"> to apply postage stamp pricing in respect of meter reading charges in the west of the Great Dividing Range, yet not allow postage stamp pricing with respect to on-river infrastructure charges.</w:t>
      </w:r>
      <w:r w:rsidRPr="00073821">
        <w:rPr>
          <w:rStyle w:val="FootnoteReference"/>
          <w:rFonts w:cs="Times New Roman"/>
          <w:sz w:val="20"/>
          <w:szCs w:val="20"/>
        </w:rPr>
        <w:footnoteReference w:id="569"/>
      </w:r>
      <w:r>
        <w:t xml:space="preserve"> </w:t>
      </w:r>
    </w:p>
    <w:p w:rsidR="00364BDE" w:rsidRDefault="00364BDE" w:rsidP="00364BDE">
      <w:pPr>
        <w:pStyle w:val="Heading4"/>
        <w:rPr>
          <w:rFonts w:ascii="Times New Roman" w:hAnsi="Times New Roman" w:cs="Times New Roman"/>
        </w:rPr>
      </w:pPr>
      <w:r>
        <w:rPr>
          <w:rFonts w:ascii="Times New Roman" w:hAnsi="Times New Roman" w:cs="Times New Roman"/>
        </w:rPr>
        <w:t>ACCC assessment</w:t>
      </w:r>
    </w:p>
    <w:p w:rsidR="00364BDE" w:rsidRDefault="00364BDE" w:rsidP="00364BDE">
      <w:r w:rsidRPr="00D714FC">
        <w:t xml:space="preserve">The ACCC supports the </w:t>
      </w:r>
      <w:r>
        <w:t>BWCOP</w:t>
      </w:r>
      <w:r w:rsidRPr="00D714FC">
        <w:t xml:space="preserve"> </w:t>
      </w:r>
      <w:r>
        <w:t xml:space="preserve">and </w:t>
      </w:r>
      <w:r w:rsidRPr="00D714FC">
        <w:t xml:space="preserve">the commitments made under the </w:t>
      </w:r>
      <w:r w:rsidR="00A74192">
        <w:t>National Water Initiative (</w:t>
      </w:r>
      <w:r>
        <w:t>NWI</w:t>
      </w:r>
      <w:r w:rsidR="00A74192">
        <w:t>)</w:t>
      </w:r>
      <w:r w:rsidRPr="00D714FC">
        <w:t xml:space="preserve"> to promote the efficient functioning of water markets and to reduce barriers to trade through consistent water charging arrangements.</w:t>
      </w:r>
      <w:r w:rsidRPr="00D714FC">
        <w:rPr>
          <w:rStyle w:val="FootnoteReference"/>
          <w:rFonts w:cs="Times New Roman"/>
        </w:rPr>
        <w:footnoteReference w:id="570"/>
      </w:r>
      <w:r>
        <w:t xml:space="preserve"> </w:t>
      </w:r>
      <w:r w:rsidRPr="00D714FC">
        <w:t>The ACCC also supports the</w:t>
      </w:r>
      <w:r w:rsidR="00BC49EE">
        <w:t xml:space="preserve"> interpretation of the</w:t>
      </w:r>
      <w:r w:rsidRPr="00D714FC">
        <w:t xml:space="preserve"> </w:t>
      </w:r>
      <w:r w:rsidR="00BC49EE">
        <w:t xml:space="preserve">Independent </w:t>
      </w:r>
      <w:r w:rsidRPr="00D714FC">
        <w:t>Expert Panel</w:t>
      </w:r>
      <w:r w:rsidR="00BC49EE">
        <w:t xml:space="preserve"> reviewing the Act (the Panel)</w:t>
      </w:r>
      <w:r w:rsidRPr="00D714FC">
        <w:t xml:space="preserve"> that the intention of Part 4 of the Act, under which the water charge rules are made, is to “ensure that water charges are set on a consistent basis; it is not intended to produce consistent charges per se”.</w:t>
      </w:r>
      <w:r w:rsidRPr="00D714FC">
        <w:rPr>
          <w:rStyle w:val="FootnoteReference"/>
          <w:rFonts w:cs="Times New Roman"/>
        </w:rPr>
        <w:footnoteReference w:id="571"/>
      </w:r>
      <w:r w:rsidRPr="00D714FC">
        <w:t xml:space="preserve"> In line with this interpretation, the ACCC does not support postage stamp pricing in the rural water sector. The ACCC agrees with the Panel’s position that </w:t>
      </w:r>
      <w:r>
        <w:t xml:space="preserve">mandating </w:t>
      </w:r>
      <w:r w:rsidRPr="00D714FC">
        <w:t>postage stamp pricing would not give effect to the objectives of the Act related to user-pays and price transparency, and that it would result in cross subsidisation and inefficient use of infrastructure services and water.</w:t>
      </w:r>
      <w:r w:rsidRPr="00D714FC">
        <w:rPr>
          <w:rStyle w:val="FootnoteReference"/>
          <w:rFonts w:cs="Times New Roman"/>
        </w:rPr>
        <w:footnoteReference w:id="572"/>
      </w:r>
    </w:p>
    <w:p w:rsidR="00364BDE" w:rsidRPr="009B3FAA" w:rsidRDefault="00364BDE" w:rsidP="00364BDE">
      <w:r>
        <w:t xml:space="preserve">The ACCC </w:t>
      </w:r>
      <w:r w:rsidRPr="009B3FAA">
        <w:t>consider</w:t>
      </w:r>
      <w:r>
        <w:t>s</w:t>
      </w:r>
      <w:r w:rsidRPr="009B3FAA">
        <w:t xml:space="preserve"> that there is no need to change the main principles referred to in the rules (BWCOP), which emphasise cost recovery, user pays and efficiency. </w:t>
      </w:r>
      <w:r>
        <w:t>The ACCC accepts that t</w:t>
      </w:r>
      <w:r w:rsidRPr="009B3FAA">
        <w:t xml:space="preserve">hese </w:t>
      </w:r>
      <w:r>
        <w:t xml:space="preserve">principles </w:t>
      </w:r>
      <w:r w:rsidRPr="009B3FAA">
        <w:t>incline pricing decisions towards valley or district-based pricing in cases in which differential prices reflect different costs. Uniform pricing in that situation would result in groups with higher costs being subsidis</w:t>
      </w:r>
      <w:r>
        <w:t>ed</w:t>
      </w:r>
      <w:r w:rsidRPr="009B3FAA">
        <w:t xml:space="preserve"> by other groups, which itself could be considered a perverse outcome.</w:t>
      </w:r>
    </w:p>
    <w:p w:rsidR="00364BDE" w:rsidRPr="00B65320" w:rsidRDefault="00364BDE" w:rsidP="00364BDE">
      <w:r w:rsidRPr="009B3FAA">
        <w:t xml:space="preserve">However, the rules do not </w:t>
      </w:r>
      <w:r w:rsidRPr="000C7A8C">
        <w:rPr>
          <w:i/>
        </w:rPr>
        <w:t>preclude</w:t>
      </w:r>
      <w:r w:rsidRPr="009B3FAA">
        <w:t xml:space="preserve"> </w:t>
      </w:r>
      <w:r>
        <w:t>standardising or ‘broad-banding’</w:t>
      </w:r>
      <w:r w:rsidRPr="009B3FAA">
        <w:t xml:space="preserve"> charges where appropriate.</w:t>
      </w:r>
      <w:r w:rsidRPr="000C7A8C">
        <w:t xml:space="preserve"> </w:t>
      </w:r>
      <w:r>
        <w:t xml:space="preserve">The ACCC </w:t>
      </w:r>
      <w:r w:rsidRPr="009B3FAA">
        <w:t>accept</w:t>
      </w:r>
      <w:r>
        <w:t>s</w:t>
      </w:r>
      <w:r w:rsidRPr="009B3FAA">
        <w:t xml:space="preserve"> that </w:t>
      </w:r>
      <w:r>
        <w:t xml:space="preserve">in some cases </w:t>
      </w:r>
      <w:r w:rsidRPr="009B3FAA">
        <w:t>it may be more efficient to combine some groups of users where their costs are similar or they share use of the same infrastructure, and where attempting to differentiate their costs and charges would involve excessive administrative cost.</w:t>
      </w:r>
      <w:r>
        <w:t xml:space="preserve"> T</w:t>
      </w:r>
      <w:r w:rsidRPr="009B3FAA">
        <w:t>he ESC</w:t>
      </w:r>
      <w:r>
        <w:t xml:space="preserve">V, as an accredited regulator under the </w:t>
      </w:r>
      <w:r w:rsidR="002C2856" w:rsidRPr="00524D9F">
        <w:rPr>
          <w:rFonts w:cs="Times New Roman"/>
        </w:rPr>
        <w:t>Water Charge (Infrastructure) Rules 2010</w:t>
      </w:r>
      <w:r w:rsidR="002C2856">
        <w:rPr>
          <w:rFonts w:cs="Times New Roman"/>
        </w:rPr>
        <w:t xml:space="preserve"> (</w:t>
      </w:r>
      <w:r>
        <w:t>WCIR</w:t>
      </w:r>
      <w:r w:rsidR="002C2856">
        <w:t>)</w:t>
      </w:r>
      <w:r>
        <w:t>,</w:t>
      </w:r>
      <w:r w:rsidRPr="009B3FAA">
        <w:t xml:space="preserve"> has</w:t>
      </w:r>
      <w:r>
        <w:t xml:space="preserve"> partially implemented </w:t>
      </w:r>
      <w:r w:rsidRPr="009B3FAA">
        <w:t xml:space="preserve">this approach in its recent </w:t>
      </w:r>
      <w:r>
        <w:t xml:space="preserve">determination </w:t>
      </w:r>
      <w:r w:rsidRPr="009B3FAA">
        <w:t>of GMW charges</w:t>
      </w:r>
      <w:r>
        <w:t xml:space="preserve"> for the period 2016-2020</w:t>
      </w:r>
      <w:r w:rsidRPr="009B3FAA">
        <w:t>. The ESC</w:t>
      </w:r>
      <w:r>
        <w:t>V</w:t>
      </w:r>
      <w:r w:rsidRPr="009B3FAA">
        <w:t xml:space="preserve"> accepted that several districts could be combined with the same charges, but charges for certain other districts should be kept separate as the services are too distinct and the costs too different for broad-banding to be efficient.</w:t>
      </w:r>
      <w:r>
        <w:rPr>
          <w:rStyle w:val="FootnoteReference"/>
        </w:rPr>
        <w:footnoteReference w:id="573"/>
      </w:r>
      <w:r w:rsidRPr="00B65320">
        <w:t xml:space="preserve"> </w:t>
      </w:r>
    </w:p>
    <w:p w:rsidR="00364BDE" w:rsidRPr="00B65320" w:rsidRDefault="00364BDE" w:rsidP="00364BDE">
      <w:r>
        <w:t xml:space="preserve">In relation to specific concerns raised by </w:t>
      </w:r>
      <w:r w:rsidR="00D14538">
        <w:t xml:space="preserve">Peel </w:t>
      </w:r>
      <w:r w:rsidR="00F20775">
        <w:t>V</w:t>
      </w:r>
      <w:r w:rsidR="00D14538">
        <w:t xml:space="preserve">alley </w:t>
      </w:r>
      <w:r>
        <w:t xml:space="preserve">stakeholders, </w:t>
      </w:r>
      <w:r w:rsidR="0060740C">
        <w:t>the ACCC</w:t>
      </w:r>
      <w:r>
        <w:t xml:space="preserve"> acknowledg</w:t>
      </w:r>
      <w:r w:rsidR="0060740C">
        <w:t>es</w:t>
      </w:r>
      <w:r>
        <w:t xml:space="preserve"> the relatively high charges faced by Peel users</w:t>
      </w:r>
      <w:r w:rsidR="0060740C">
        <w:t>. However,</w:t>
      </w:r>
      <w:r>
        <w:t xml:space="preserve"> t</w:t>
      </w:r>
      <w:r w:rsidRPr="00B65320">
        <w:t xml:space="preserve">he ACCC reiterates its view that the relatively high charges in </w:t>
      </w:r>
      <w:r w:rsidR="00F20775">
        <w:t xml:space="preserve">the </w:t>
      </w:r>
      <w:r w:rsidRPr="00B65320">
        <w:t xml:space="preserve">Peel </w:t>
      </w:r>
      <w:r w:rsidR="00F20775">
        <w:t>V</w:t>
      </w:r>
      <w:r w:rsidRPr="00B65320">
        <w:t xml:space="preserve">alley are a necessary consequence of the </w:t>
      </w:r>
      <w:r w:rsidR="0060740C">
        <w:t xml:space="preserve">requirement in the water charge rules for the </w:t>
      </w:r>
      <w:r w:rsidRPr="00B65320">
        <w:t xml:space="preserve">ACCC to have regard to the </w:t>
      </w:r>
      <w:r>
        <w:t xml:space="preserve">BWCOP set out in the Act, in particular the </w:t>
      </w:r>
      <w:r w:rsidRPr="00B65320">
        <w:t xml:space="preserve">principles of efficiency, user pays and cost recovery principles. </w:t>
      </w:r>
    </w:p>
    <w:p w:rsidR="00364BDE" w:rsidRPr="009B3FAA" w:rsidRDefault="00364BDE" w:rsidP="00364BDE">
      <w:r>
        <w:t xml:space="preserve">The ACCC emphasises that infrastructure </w:t>
      </w:r>
      <w:r w:rsidRPr="009B3FAA">
        <w:t xml:space="preserve">charges </w:t>
      </w:r>
      <w:r>
        <w:t xml:space="preserve">relate to the provision of </w:t>
      </w:r>
      <w:r w:rsidRPr="009B3FAA">
        <w:t xml:space="preserve">infrastructure access and services, rather than for the water directly. </w:t>
      </w:r>
      <w:r w:rsidRPr="00B65320">
        <w:t xml:space="preserve">Water service infrastructure is largely specific to valleys and user charges reflect the costs of servicing </w:t>
      </w:r>
      <w:r>
        <w:t>each valley</w:t>
      </w:r>
      <w:r w:rsidRPr="00B65320">
        <w:t xml:space="preserve">. Peel </w:t>
      </w:r>
      <w:r w:rsidR="008F3BDD">
        <w:t>V</w:t>
      </w:r>
      <w:r w:rsidRPr="00B65320">
        <w:t xml:space="preserve">alley costs </w:t>
      </w:r>
      <w:r>
        <w:t xml:space="preserve">largely relate to </w:t>
      </w:r>
      <w:r w:rsidRPr="00B65320">
        <w:t>the relatively small Chaffey dam (62 GL capacity before the recent augmentation to 100</w:t>
      </w:r>
      <w:r w:rsidR="00F20775">
        <w:t xml:space="preserve"> </w:t>
      </w:r>
      <w:r w:rsidRPr="00B65320">
        <w:t xml:space="preserve">GL). </w:t>
      </w:r>
      <w:r>
        <w:t>As with all dams, c</w:t>
      </w:r>
      <w:r w:rsidRPr="00B65320">
        <w:t xml:space="preserve">osts to maintain </w:t>
      </w:r>
      <w:r>
        <w:t xml:space="preserve">Chaffey Dam </w:t>
      </w:r>
      <w:r w:rsidRPr="00B65320">
        <w:t>tend to be relatively fixed regardless of capacity.</w:t>
      </w:r>
      <w:r>
        <w:t xml:space="preserve"> The ACCC</w:t>
      </w:r>
      <w:r w:rsidRPr="009B3FAA">
        <w:t xml:space="preserve"> </w:t>
      </w:r>
      <w:r>
        <w:t xml:space="preserve">notes that </w:t>
      </w:r>
      <w:r w:rsidRPr="009B3FAA">
        <w:t xml:space="preserve">the user share of costs in absolute terms is smaller for Peel </w:t>
      </w:r>
      <w:r w:rsidR="008F3BDD">
        <w:t>V</w:t>
      </w:r>
      <w:r w:rsidRPr="009B3FAA">
        <w:t>alley than for any other valley</w:t>
      </w:r>
      <w:r>
        <w:t>. Also, m</w:t>
      </w:r>
      <w:r w:rsidRPr="009B3FAA">
        <w:t xml:space="preserve">ost of the costs paid for by Peel </w:t>
      </w:r>
      <w:r w:rsidR="008F3BDD">
        <w:t xml:space="preserve">Valley </w:t>
      </w:r>
      <w:r w:rsidRPr="009B3FAA">
        <w:t xml:space="preserve">users are for current operations and maintenance, as most of the capital costs, including the Chaffey dam, have been provided by the NSW or </w:t>
      </w:r>
      <w:r w:rsidR="00D77AAB">
        <w:t>Australian</w:t>
      </w:r>
      <w:r w:rsidR="00D77AAB" w:rsidRPr="009B3FAA">
        <w:t xml:space="preserve"> </w:t>
      </w:r>
      <w:r w:rsidR="0061588C">
        <w:t>G</w:t>
      </w:r>
      <w:r w:rsidRPr="009B3FAA">
        <w:t>overnments.</w:t>
      </w:r>
      <w:r>
        <w:t xml:space="preserve"> Nevertheless, </w:t>
      </w:r>
      <w:r w:rsidRPr="009B3FAA">
        <w:t xml:space="preserve">Peel </w:t>
      </w:r>
      <w:r w:rsidR="008F3BDD">
        <w:t xml:space="preserve">Valley </w:t>
      </w:r>
      <w:r w:rsidRPr="009B3FAA">
        <w:t xml:space="preserve">charges are </w:t>
      </w:r>
      <w:r>
        <w:t xml:space="preserve">relatively high </w:t>
      </w:r>
      <w:r w:rsidRPr="009B3FAA">
        <w:t xml:space="preserve">because there </w:t>
      </w:r>
      <w:r>
        <w:t xml:space="preserve">is a relatively small volume of entitlements / </w:t>
      </w:r>
      <w:r w:rsidRPr="009B3FAA">
        <w:t>water use over which to spread the</w:t>
      </w:r>
      <w:r>
        <w:t>se</w:t>
      </w:r>
      <w:r w:rsidRPr="009B3FAA">
        <w:t xml:space="preserve"> costs</w:t>
      </w:r>
      <w:r>
        <w:t xml:space="preserve"> compared to other valleys</w:t>
      </w:r>
      <w:r w:rsidRPr="009B3FAA">
        <w:t>.</w:t>
      </w:r>
    </w:p>
    <w:p w:rsidR="00364BDE" w:rsidRDefault="00364BDE" w:rsidP="00364BDE">
      <w:r>
        <w:t>The</w:t>
      </w:r>
      <w:r w:rsidRPr="009B3FAA">
        <w:t xml:space="preserve"> user pays approach requires that the cost of the infrastructure is spread over those benefiting from it. </w:t>
      </w:r>
      <w:r>
        <w:t>This means that, w</w:t>
      </w:r>
      <w:r w:rsidRPr="009B3FAA">
        <w:t xml:space="preserve">here usage charges are imposed, </w:t>
      </w:r>
      <w:r>
        <w:t xml:space="preserve">they are </w:t>
      </w:r>
      <w:r w:rsidRPr="009B3FAA">
        <w:t>imposed on usage in the Peel Regulated River water resource only</w:t>
      </w:r>
      <w:r>
        <w:t>,</w:t>
      </w:r>
      <w:r w:rsidRPr="009B3FAA">
        <w:t xml:space="preserve"> as this is the area where usage is dependent upon the operation of WaterNSW’s water service infrastructure</w:t>
      </w:r>
      <w:r>
        <w:t xml:space="preserve"> (i.e. Chaffey Dam). </w:t>
      </w:r>
      <w:r w:rsidRPr="009B3FAA">
        <w:t>The water flowing out the end of the Peel is not primarily due to operations by the Chaffey Dam</w:t>
      </w:r>
      <w:r>
        <w:t>—</w:t>
      </w:r>
      <w:r w:rsidRPr="009B3FAA">
        <w:t xml:space="preserve">rather it is inflows from other tributaries and environmental requirements. </w:t>
      </w:r>
    </w:p>
    <w:p w:rsidR="00364BDE" w:rsidRPr="009B3FAA" w:rsidRDefault="00364BDE" w:rsidP="00364BDE">
      <w:r>
        <w:t xml:space="preserve">In relation to the PVWUA’s argument that Peel </w:t>
      </w:r>
      <w:r w:rsidR="008F3BDD">
        <w:t xml:space="preserve">Valley </w:t>
      </w:r>
      <w:r>
        <w:t>water users should be charged lower infrastructure charges because they have a ‘lower environmental footprint’ compared to other valleys where consumptive use is higher, the ACCC observes that c</w:t>
      </w:r>
      <w:r w:rsidRPr="009B3FAA">
        <w:t>harges for water service infrastructure aim to recover the direct costs of provision – they do not include any component for environmental externalities. Environmental issues are addressed through separate more direct measures, in particular the sustainable diversion limits set out in water sharing plans and (</w:t>
      </w:r>
      <w:r>
        <w:t xml:space="preserve">effective </w:t>
      </w:r>
      <w:r w:rsidRPr="009B3FAA">
        <w:t>from 2019) the Murray-Darling Basin Plan.</w:t>
      </w:r>
    </w:p>
    <w:p w:rsidR="00364BDE" w:rsidRDefault="00364BDE" w:rsidP="00E81EB4">
      <w:pPr>
        <w:spacing w:after="120"/>
      </w:pPr>
      <w:r>
        <w:t xml:space="preserve">In summary, the ACCC does not accept that the solution to charging outcomes in the Peel </w:t>
      </w:r>
      <w:r w:rsidR="008F3BDD">
        <w:t xml:space="preserve">Valley </w:t>
      </w:r>
      <w:r>
        <w:t>is to mandate uniform, or ‘postage stamp’ pricing instead of valley based pricing. The ACCC considers that any future consideration of these matters should take into account:</w:t>
      </w:r>
    </w:p>
    <w:p w:rsidR="00364BDE" w:rsidRDefault="00364BDE" w:rsidP="00F43856">
      <w:pPr>
        <w:pStyle w:val="ListParagraph"/>
        <w:numPr>
          <w:ilvl w:val="0"/>
          <w:numId w:val="61"/>
        </w:numPr>
      </w:pPr>
      <w:r>
        <w:t xml:space="preserve">the amount of annual forfeiture of water allocation in the Peel Valley and the impacts of such forfeiture on the level of charges </w:t>
      </w:r>
    </w:p>
    <w:p w:rsidR="00364BDE" w:rsidRDefault="00364BDE" w:rsidP="00F43856">
      <w:pPr>
        <w:pStyle w:val="ListParagraph"/>
        <w:numPr>
          <w:ilvl w:val="0"/>
          <w:numId w:val="61"/>
        </w:numPr>
      </w:pPr>
      <w:r>
        <w:t xml:space="preserve">whether inter-valley trading (e.g. between the Peel and Namoi) has the potential to assist in broadening the customer base on which Peel </w:t>
      </w:r>
      <w:r w:rsidR="008F3BDD">
        <w:t xml:space="preserve">Valley </w:t>
      </w:r>
      <w:r>
        <w:t>charges are levied (e.g. because water is traded and used rather than being forfeited)</w:t>
      </w:r>
    </w:p>
    <w:p w:rsidR="00364BDE" w:rsidRDefault="00364BDE" w:rsidP="00F43856">
      <w:pPr>
        <w:pStyle w:val="ListParagraph"/>
        <w:numPr>
          <w:ilvl w:val="0"/>
          <w:numId w:val="61"/>
        </w:numPr>
      </w:pPr>
      <w:r>
        <w:t>whether there is a more appropriate split between fixed and variable charges</w:t>
      </w:r>
    </w:p>
    <w:p w:rsidR="00364BDE" w:rsidRDefault="00364BDE" w:rsidP="00F43856">
      <w:pPr>
        <w:pStyle w:val="ListParagraph"/>
        <w:numPr>
          <w:ilvl w:val="0"/>
          <w:numId w:val="61"/>
        </w:numPr>
      </w:pPr>
      <w:r>
        <w:t>the impacts on charges of the Chaffey Dam upgrade</w:t>
      </w:r>
    </w:p>
    <w:p w:rsidR="00364BDE" w:rsidRDefault="00364BDE" w:rsidP="00F43856">
      <w:pPr>
        <w:pStyle w:val="ListParagraph"/>
        <w:numPr>
          <w:ilvl w:val="0"/>
          <w:numId w:val="61"/>
        </w:numPr>
      </w:pPr>
      <w:r>
        <w:t>the impacts on charges of any future changes to rules for allocation of water to different entitlement types under the Peel Regulated River water sharing plan</w:t>
      </w:r>
    </w:p>
    <w:p w:rsidR="00364BDE" w:rsidRDefault="00364BDE" w:rsidP="00F43856">
      <w:pPr>
        <w:pStyle w:val="ListParagraph"/>
        <w:numPr>
          <w:ilvl w:val="0"/>
          <w:numId w:val="61"/>
        </w:numPr>
      </w:pPr>
      <w:r>
        <w:t>long-term growth in the demand for water to service Tamworth</w:t>
      </w:r>
    </w:p>
    <w:p w:rsidR="00364BDE" w:rsidRDefault="00364BDE" w:rsidP="00F43856">
      <w:pPr>
        <w:pStyle w:val="ListParagraph"/>
        <w:numPr>
          <w:ilvl w:val="0"/>
          <w:numId w:val="61"/>
        </w:numPr>
      </w:pPr>
      <w:r w:rsidRPr="00D714FC">
        <w:t>the demarcation of geographical areas such as valleys for charging purposes</w:t>
      </w:r>
    </w:p>
    <w:p w:rsidR="00364BDE" w:rsidRDefault="00364BDE" w:rsidP="00F43856">
      <w:pPr>
        <w:pStyle w:val="ListParagraph"/>
        <w:numPr>
          <w:ilvl w:val="0"/>
          <w:numId w:val="61"/>
        </w:numPr>
      </w:pPr>
      <w:r>
        <w:t>the merits of funding a C</w:t>
      </w:r>
      <w:r w:rsidR="001F1D87">
        <w:t xml:space="preserve">ommunity </w:t>
      </w:r>
      <w:r>
        <w:t>S</w:t>
      </w:r>
      <w:r w:rsidR="001F1D87">
        <w:t xml:space="preserve">ervice </w:t>
      </w:r>
      <w:r>
        <w:t>O</w:t>
      </w:r>
      <w:r w:rsidR="001F1D87">
        <w:t>bligation (CSO)</w:t>
      </w:r>
      <w:r>
        <w:t xml:space="preserve"> to alleviate upward pressure on infrastructure charges in the Peel.</w:t>
      </w:r>
    </w:p>
    <w:p w:rsidR="00364BDE" w:rsidRPr="00843B91" w:rsidRDefault="00364BDE" w:rsidP="00364BDE">
      <w:r w:rsidRPr="00843B91">
        <w:t>However, the ACCC acknowledges that these matters are beyond the scope of the rules to address.</w:t>
      </w:r>
    </w:p>
    <w:p w:rsidR="00364BDE" w:rsidRPr="00843B91" w:rsidRDefault="00364BDE" w:rsidP="00364BDE">
      <w:r w:rsidRPr="00843B91">
        <w:t xml:space="preserve">See also section </w:t>
      </w:r>
      <w:r w:rsidR="007F659D">
        <w:t>4.2</w:t>
      </w:r>
      <w:r w:rsidRPr="00843B91">
        <w:t xml:space="preserve"> (in particular Box 4.1) for further discussion of matters relevant to the Peel </w:t>
      </w:r>
      <w:r w:rsidR="00AF5079">
        <w:t>V</w:t>
      </w:r>
      <w:r w:rsidRPr="00843B91">
        <w:t>alley.</w:t>
      </w:r>
    </w:p>
    <w:p w:rsidR="00364BDE" w:rsidRPr="00EC486E" w:rsidRDefault="00364BDE" w:rsidP="00364BDE">
      <w:pPr>
        <w:pStyle w:val="Heading3"/>
      </w:pPr>
      <w:bookmarkStart w:id="1109" w:name="_Toc436122312"/>
      <w:bookmarkStart w:id="1110" w:name="_Toc436122807"/>
      <w:bookmarkStart w:id="1111" w:name="_Toc436124162"/>
      <w:bookmarkStart w:id="1112" w:name="_Toc456785818"/>
      <w:bookmarkStart w:id="1113" w:name="_Toc461630729"/>
      <w:r w:rsidRPr="00EC486E">
        <w:t>Consistency in price approvals / determinations</w:t>
      </w:r>
      <w:bookmarkEnd w:id="1109"/>
      <w:bookmarkEnd w:id="1110"/>
      <w:bookmarkEnd w:id="1111"/>
      <w:bookmarkEnd w:id="1112"/>
      <w:bookmarkEnd w:id="1113"/>
      <w:r w:rsidRPr="00EC486E">
        <w:t xml:space="preserve"> </w:t>
      </w:r>
    </w:p>
    <w:p w:rsidR="00364BDE" w:rsidRPr="00EC486E" w:rsidRDefault="00364BDE" w:rsidP="00364BDE">
      <w:pPr>
        <w:pStyle w:val="Heading4"/>
        <w:rPr>
          <w:rFonts w:ascii="Times New Roman" w:hAnsi="Times New Roman" w:cs="Times New Roman"/>
        </w:rPr>
      </w:pPr>
      <w:r w:rsidRPr="00EC486E">
        <w:rPr>
          <w:rFonts w:ascii="Times New Roman" w:hAnsi="Times New Roman" w:cs="Times New Roman"/>
        </w:rPr>
        <w:t xml:space="preserve">Stakeholder feedback </w:t>
      </w:r>
    </w:p>
    <w:p w:rsidR="00364BDE" w:rsidRPr="00EC486E" w:rsidRDefault="00364BDE" w:rsidP="00364BDE">
      <w:r w:rsidRPr="00EC486E">
        <w:t xml:space="preserve">Several stakeholders commented on consistency in pricing outcomes under Part 6 of the </w:t>
      </w:r>
      <w:r w:rsidR="0001065E" w:rsidRPr="00524D9F">
        <w:rPr>
          <w:rFonts w:cs="Times New Roman"/>
        </w:rPr>
        <w:t>Water Charge (Infrastructure) Rules 2010</w:t>
      </w:r>
      <w:r w:rsidR="0001065E">
        <w:rPr>
          <w:rFonts w:cs="Times New Roman"/>
        </w:rPr>
        <w:t xml:space="preserve"> (</w:t>
      </w:r>
      <w:r w:rsidRPr="00EC486E">
        <w:t>WCIR</w:t>
      </w:r>
      <w:r w:rsidR="0001065E">
        <w:t>)</w:t>
      </w:r>
      <w:r w:rsidRPr="00EC486E">
        <w:t xml:space="preserve">. Current Part 6 operators are </w:t>
      </w:r>
      <w:r w:rsidR="003A4864">
        <w:t>Goulburn-Murray Water (</w:t>
      </w:r>
      <w:r w:rsidRPr="00EC486E">
        <w:t>GMW</w:t>
      </w:r>
      <w:r w:rsidR="003A4864">
        <w:t>)</w:t>
      </w:r>
      <w:r w:rsidRPr="00EC486E">
        <w:t xml:space="preserve">, </w:t>
      </w:r>
      <w:r w:rsidR="00B71238">
        <w:t>Lower Murray Water (</w:t>
      </w:r>
      <w:r w:rsidRPr="00EC486E">
        <w:t>LMW</w:t>
      </w:r>
      <w:r w:rsidR="00B71238">
        <w:t>)</w:t>
      </w:r>
      <w:r w:rsidRPr="00EC486E">
        <w:t xml:space="preserve"> and WaterNSW (formerly State</w:t>
      </w:r>
      <w:r w:rsidR="00C3317D">
        <w:t xml:space="preserve"> </w:t>
      </w:r>
      <w:r w:rsidRPr="00EC486E">
        <w:t>Water).</w:t>
      </w:r>
    </w:p>
    <w:p w:rsidR="00364BDE" w:rsidRPr="00EC486E" w:rsidRDefault="00364BDE" w:rsidP="00E81EB4">
      <w:pPr>
        <w:spacing w:after="120"/>
        <w:rPr>
          <w:rFonts w:cs="Times New Roman"/>
        </w:rPr>
      </w:pPr>
      <w:r w:rsidRPr="00EC486E">
        <w:rPr>
          <w:rFonts w:cs="Times New Roman"/>
        </w:rPr>
        <w:t xml:space="preserve">WaterNSW noted in its submission to the Act Review that recent </w:t>
      </w:r>
      <w:r w:rsidR="00BF194C">
        <w:rPr>
          <w:rFonts w:cs="Times New Roman"/>
        </w:rPr>
        <w:t>Murray-Darling Basin (</w:t>
      </w:r>
      <w:r w:rsidRPr="00EC486E">
        <w:rPr>
          <w:rFonts w:cs="Times New Roman"/>
        </w:rPr>
        <w:t>MDB</w:t>
      </w:r>
      <w:r w:rsidR="00BF194C">
        <w:rPr>
          <w:rFonts w:cs="Times New Roman"/>
        </w:rPr>
        <w:t>)</w:t>
      </w:r>
      <w:r w:rsidRPr="00EC486E">
        <w:rPr>
          <w:rFonts w:cs="Times New Roman"/>
        </w:rPr>
        <w:t xml:space="preserve"> water charging arrangements “neither achieve Basin-wide consistency nor contribute to the [BWCOP] to the degree intended by the Act</w:t>
      </w:r>
      <w:r>
        <w:rPr>
          <w:rFonts w:cs="Times New Roman"/>
        </w:rPr>
        <w:t>”</w:t>
      </w:r>
      <w:r w:rsidRPr="00EC486E">
        <w:rPr>
          <w:rFonts w:cs="Times New Roman"/>
        </w:rPr>
        <w:t>.</w:t>
      </w:r>
      <w:r w:rsidRPr="00EC486E">
        <w:rPr>
          <w:rStyle w:val="FootnoteReference"/>
          <w:rFonts w:cs="Times New Roman"/>
        </w:rPr>
        <w:footnoteReference w:id="574"/>
      </w:r>
      <w:r w:rsidRPr="00EC486E">
        <w:rPr>
          <w:rFonts w:cs="Times New Roman"/>
        </w:rPr>
        <w:t xml:space="preserve"> WaterNSW noted that in recent decisions, the ACCC and the ESCV had different interpretations and applications of the BWCOP and imposed different tariff structures and price control mechanisms. To achieve greater consistency in water charging arrangements, WaterNSW called for a guided discretion model and greater prescription in charging arrangements, incorporating the following elements:</w:t>
      </w:r>
      <w:r w:rsidRPr="00EC486E">
        <w:rPr>
          <w:rStyle w:val="FootnoteReference"/>
          <w:rFonts w:cs="Times New Roman"/>
        </w:rPr>
        <w:footnoteReference w:id="575"/>
      </w:r>
      <w:r w:rsidRPr="00EC486E">
        <w:rPr>
          <w:rFonts w:cs="Times New Roman"/>
        </w:rPr>
        <w:t xml:space="preserve"> </w:t>
      </w:r>
    </w:p>
    <w:p w:rsidR="00364BDE" w:rsidRPr="00EC486E" w:rsidRDefault="00364BDE" w:rsidP="00E81EB4">
      <w:pPr>
        <w:pStyle w:val="Lvl1Bulletpoint"/>
        <w:spacing w:after="0"/>
        <w:ind w:left="568" w:hanging="284"/>
      </w:pPr>
      <w:r w:rsidRPr="00EC486E">
        <w:t>“[P]rovide clear objectives in relation to regulatory decisions”, which could be facilitated by:</w:t>
      </w:r>
    </w:p>
    <w:p w:rsidR="00364BDE" w:rsidRPr="00EC486E" w:rsidRDefault="00364BDE" w:rsidP="00A946C7">
      <w:pPr>
        <w:pStyle w:val="ListParagraph"/>
        <w:numPr>
          <w:ilvl w:val="1"/>
          <w:numId w:val="48"/>
        </w:numPr>
        <w:rPr>
          <w:rFonts w:cs="Times New Roman"/>
        </w:rPr>
      </w:pPr>
      <w:r w:rsidRPr="00EC486E">
        <w:rPr>
          <w:rFonts w:cs="Times New Roman"/>
        </w:rPr>
        <w:t>weighting the BWCOP or ordering the BWCOP into a hierarchy</w:t>
      </w:r>
    </w:p>
    <w:p w:rsidR="00364BDE" w:rsidRPr="00EC486E" w:rsidRDefault="00364BDE" w:rsidP="00A946C7">
      <w:pPr>
        <w:pStyle w:val="ListParagraph"/>
        <w:numPr>
          <w:ilvl w:val="1"/>
          <w:numId w:val="48"/>
        </w:numPr>
        <w:rPr>
          <w:rFonts w:cs="Times New Roman"/>
        </w:rPr>
      </w:pPr>
      <w:r w:rsidRPr="00EC486E">
        <w:rPr>
          <w:rFonts w:cs="Times New Roman"/>
        </w:rPr>
        <w:t>excluding consideration of irrelevant matters, which might influence the outcome of the pricing decision</w:t>
      </w:r>
    </w:p>
    <w:p w:rsidR="00364BDE" w:rsidRPr="00EC486E" w:rsidRDefault="00364BDE" w:rsidP="00A946C7">
      <w:pPr>
        <w:pStyle w:val="ListParagraph"/>
        <w:numPr>
          <w:ilvl w:val="1"/>
          <w:numId w:val="48"/>
        </w:numPr>
        <w:rPr>
          <w:rFonts w:cs="Times New Roman"/>
        </w:rPr>
      </w:pPr>
      <w:r w:rsidRPr="00EC486E">
        <w:rPr>
          <w:rFonts w:cs="Times New Roman"/>
        </w:rPr>
        <w:t>removing unclear or ambiguous objectives, or providing greater guidance on how to interpret (particularly in relation to the phrase, ‘perverse and unintended pricing outcomes’).</w:t>
      </w:r>
    </w:p>
    <w:p w:rsidR="00364BDE" w:rsidRPr="00EC486E" w:rsidRDefault="00364BDE" w:rsidP="00A82DE6">
      <w:pPr>
        <w:pStyle w:val="Lvl1Bulletpoint"/>
      </w:pPr>
      <w:r w:rsidRPr="00EC486E">
        <w:t>“[A]dopt high level mechanisms prescribed in the energy sector, which provide a greater degree of guidance for the decisions to be made by the regulator”.</w:t>
      </w:r>
    </w:p>
    <w:p w:rsidR="00364BDE" w:rsidRPr="00EC486E" w:rsidRDefault="00364BDE" w:rsidP="00A82DE6">
      <w:pPr>
        <w:pStyle w:val="Lvl1Bulletpoint"/>
      </w:pPr>
      <w:r w:rsidRPr="00EC486E">
        <w:t xml:space="preserve">“[A]dopt the high level mechanisms prescribed in the energy sector, which provide improved procedural and information requirements for the pricing process”. </w:t>
      </w:r>
    </w:p>
    <w:p w:rsidR="00364BDE" w:rsidRPr="00EC486E" w:rsidRDefault="00364BDE" w:rsidP="00364BDE">
      <w:pPr>
        <w:rPr>
          <w:rFonts w:cs="Times New Roman"/>
        </w:rPr>
      </w:pPr>
      <w:r w:rsidRPr="00EC486E">
        <w:rPr>
          <w:rFonts w:cs="Times New Roman"/>
        </w:rPr>
        <w:t>WaterNSW called for the introduction of a merits review mechanism, because, in its view, in the absence of such a mechanism, there is less incentive for administrative bodies to be accountable for the decisions that they make</w:t>
      </w:r>
      <w:r>
        <w:rPr>
          <w:rFonts w:cs="Times New Roman"/>
        </w:rPr>
        <w:t>.</w:t>
      </w:r>
      <w:r w:rsidRPr="00EC486E">
        <w:rPr>
          <w:rStyle w:val="FootnoteReference"/>
          <w:rFonts w:cs="Times New Roman"/>
        </w:rPr>
        <w:t xml:space="preserve"> </w:t>
      </w:r>
      <w:r w:rsidRPr="00EC486E">
        <w:rPr>
          <w:rStyle w:val="FootnoteReference"/>
          <w:rFonts w:cs="Times New Roman"/>
        </w:rPr>
        <w:footnoteReference w:id="576"/>
      </w:r>
      <w:r w:rsidRPr="00EC486E">
        <w:rPr>
          <w:rFonts w:cs="Times New Roman"/>
        </w:rPr>
        <w:t xml:space="preserve"> Appeal mechanisms are considered separately in section 5.8. </w:t>
      </w:r>
    </w:p>
    <w:p w:rsidR="00364BDE" w:rsidRPr="00EC486E" w:rsidRDefault="00364BDE" w:rsidP="00364BDE">
      <w:pPr>
        <w:rPr>
          <w:rFonts w:cs="Times New Roman"/>
        </w:rPr>
      </w:pPr>
      <w:r w:rsidRPr="00EC486E">
        <w:rPr>
          <w:rFonts w:cs="Times New Roman"/>
        </w:rPr>
        <w:t>In its Issues Paper submission,</w:t>
      </w:r>
      <w:r w:rsidRPr="00EC486E">
        <w:rPr>
          <w:rStyle w:val="FootnoteReference"/>
          <w:rFonts w:cs="Times New Roman"/>
        </w:rPr>
        <w:t xml:space="preserve"> </w:t>
      </w:r>
      <w:r w:rsidRPr="00EC486E">
        <w:rPr>
          <w:rStyle w:val="FootnoteReference"/>
          <w:rFonts w:cs="Times New Roman"/>
        </w:rPr>
        <w:footnoteReference w:id="577"/>
      </w:r>
      <w:r w:rsidRPr="00EC486E">
        <w:rPr>
          <w:rFonts w:cs="Times New Roman"/>
        </w:rPr>
        <w:t xml:space="preserve"> WaterNSW contended that the WCIR has not achieved a common approach to pricing or application of economic principles within the Basin. WaterNSW stated that the key reason for inconsistent charging arrangements under the WCIR is that regulators must consider “conflicting efficiency and social objectives, with no guidance on how to trade them off”. WaterNSW held up the national electricity market as a model in that it provides substantial guidance “to achieve conflicting policy objectives” and that this has provided consistent charging arrangements across interconnected systems and a robust market. </w:t>
      </w:r>
    </w:p>
    <w:p w:rsidR="00364BDE" w:rsidRPr="00364BDE" w:rsidRDefault="00364BDE" w:rsidP="00364BDE">
      <w:pPr>
        <w:rPr>
          <w:rFonts w:cs="Times New Roman"/>
          <w:highlight w:val="lightGray"/>
        </w:rPr>
      </w:pPr>
      <w:r w:rsidRPr="00EC486E">
        <w:rPr>
          <w:rFonts w:cs="Times New Roman"/>
        </w:rPr>
        <w:t xml:space="preserve">WaterNSW submitted that </w:t>
      </w:r>
      <w:r w:rsidR="00A52AF4">
        <w:rPr>
          <w:rFonts w:cs="Times New Roman"/>
        </w:rPr>
        <w:t>subr</w:t>
      </w:r>
      <w:r w:rsidRPr="00EC486E">
        <w:rPr>
          <w:rFonts w:cs="Times New Roman"/>
        </w:rPr>
        <w:t>ule 29(4) of the WCIR should be amended such that a regulator’s primary objective is to promote economic efficiency and support infrastructure development, without resulting in pricing outcomes that distort market activity”.</w:t>
      </w:r>
      <w:r w:rsidRPr="00EC486E">
        <w:rPr>
          <w:rStyle w:val="FootnoteReference"/>
          <w:rFonts w:cs="Times New Roman"/>
        </w:rPr>
        <w:footnoteReference w:id="578"/>
      </w:r>
      <w:r w:rsidRPr="00EC486E">
        <w:rPr>
          <w:rFonts w:cs="Times New Roman"/>
        </w:rPr>
        <w:t xml:space="preserve"> WaterNSW additionally recommended that the BWCOP should be ordered into a hierarchy, and the WCIR used to define the terms used in the BWCOP to “foster consistent charging arrangements, promote investment and trade”.</w:t>
      </w:r>
      <w:r w:rsidRPr="00EC486E">
        <w:rPr>
          <w:rStyle w:val="FootnoteReference"/>
          <w:rFonts w:cs="Times New Roman"/>
        </w:rPr>
        <w:footnoteReference w:id="579"/>
      </w:r>
      <w:r w:rsidRPr="00EC486E">
        <w:rPr>
          <w:rFonts w:cs="Times New Roman"/>
        </w:rPr>
        <w:t xml:space="preserve"> The ACCC sought stakeholder views on the issue of ranking the BWCOP; these are summarised in section </w:t>
      </w:r>
      <w:r w:rsidR="007F659D">
        <w:rPr>
          <w:rFonts w:cs="Times New Roman"/>
        </w:rPr>
        <w:t>4.2</w:t>
      </w:r>
      <w:r w:rsidRPr="00EC486E">
        <w:rPr>
          <w:rFonts w:cs="Times New Roman"/>
        </w:rPr>
        <w:t>.</w:t>
      </w:r>
    </w:p>
    <w:p w:rsidR="00364BDE" w:rsidRPr="00EC486E" w:rsidRDefault="00364BDE" w:rsidP="00364BDE">
      <w:pPr>
        <w:rPr>
          <w:rFonts w:cs="Times New Roman"/>
        </w:rPr>
      </w:pPr>
      <w:r w:rsidRPr="00EC486E">
        <w:rPr>
          <w:rFonts w:cs="Times New Roman"/>
        </w:rPr>
        <w:t>The NSW</w:t>
      </w:r>
      <w:r w:rsidR="00BC5421">
        <w:rPr>
          <w:rFonts w:cs="Times New Roman"/>
        </w:rPr>
        <w:t>IC</w:t>
      </w:r>
      <w:r w:rsidRPr="00EC486E">
        <w:rPr>
          <w:rFonts w:cs="Times New Roman"/>
        </w:rPr>
        <w:t xml:space="preserve"> submitted that the “involvement of the ACCC in bulk water charging determinations” [i.e. through price determinations under Part 6] has not achieved consistency because on-river infrastructure charges are still regulated by the ESCV in Victoria and the ACCC in NSW.</w:t>
      </w:r>
      <w:r w:rsidRPr="00EC486E">
        <w:rPr>
          <w:rStyle w:val="FootnoteReference"/>
          <w:rFonts w:cs="Times New Roman"/>
        </w:rPr>
        <w:footnoteReference w:id="580"/>
      </w:r>
      <w:r w:rsidR="00C6733C">
        <w:rPr>
          <w:rFonts w:cs="Times New Roman"/>
        </w:rPr>
        <w:t xml:space="preserve"> </w:t>
      </w:r>
      <w:r w:rsidR="008621D4">
        <w:rPr>
          <w:rFonts w:cs="Times New Roman"/>
        </w:rPr>
        <w:t>Murray Irrigation Limited (</w:t>
      </w:r>
      <w:r w:rsidRPr="00EC486E">
        <w:rPr>
          <w:rFonts w:cs="Times New Roman"/>
        </w:rPr>
        <w:t>MIL</w:t>
      </w:r>
      <w:r w:rsidR="008621D4">
        <w:rPr>
          <w:rFonts w:cs="Times New Roman"/>
        </w:rPr>
        <w:t>)</w:t>
      </w:r>
      <w:r w:rsidRPr="00EC486E">
        <w:rPr>
          <w:rFonts w:cs="Times New Roman"/>
        </w:rPr>
        <w:t xml:space="preserve"> provided a similar view in its Issues Paper submission.</w:t>
      </w:r>
      <w:r w:rsidRPr="00EC486E">
        <w:rPr>
          <w:rStyle w:val="FootnoteReference"/>
          <w:rFonts w:cs="Times New Roman"/>
        </w:rPr>
        <w:footnoteReference w:id="581"/>
      </w:r>
      <w:r w:rsidRPr="00EC486E">
        <w:rPr>
          <w:rFonts w:cs="Times New Roman"/>
        </w:rPr>
        <w:t xml:space="preserve"> </w:t>
      </w:r>
    </w:p>
    <w:p w:rsidR="00364BDE" w:rsidRDefault="00364BDE" w:rsidP="00364BDE">
      <w:r w:rsidRPr="009B3FAA">
        <w:t xml:space="preserve">Some stakeholders identified implications for state-based consistency in price approvals / determinations in relation to the </w:t>
      </w:r>
      <w:r>
        <w:t xml:space="preserve">ACCC’s draft </w:t>
      </w:r>
      <w:r w:rsidRPr="009B3FAA">
        <w:t>amendments to the application of Part 6. These</w:t>
      </w:r>
      <w:r>
        <w:t xml:space="preserve"> matters are addressed in section 5.6.</w:t>
      </w:r>
    </w:p>
    <w:p w:rsidR="00364BDE" w:rsidRPr="00D714FC" w:rsidRDefault="00364BDE" w:rsidP="00364BDE">
      <w:pPr>
        <w:pStyle w:val="Heading4"/>
        <w:rPr>
          <w:rFonts w:ascii="Times New Roman" w:hAnsi="Times New Roman" w:cs="Times New Roman"/>
        </w:rPr>
      </w:pPr>
      <w:r>
        <w:rPr>
          <w:rFonts w:ascii="Times New Roman" w:hAnsi="Times New Roman" w:cs="Times New Roman"/>
        </w:rPr>
        <w:t>ACCC assessment</w:t>
      </w:r>
    </w:p>
    <w:p w:rsidR="00364BDE" w:rsidRDefault="00364BDE" w:rsidP="00364BDE">
      <w:r>
        <w:t xml:space="preserve">The ACCC has acknowledged that there continues to be a clear preference from Basin State governments for </w:t>
      </w:r>
      <w:r w:rsidR="008F3BDD">
        <w:t>S</w:t>
      </w:r>
      <w:r>
        <w:t xml:space="preserve">tate regulators to be able to undertake price approval or determination roles, rather than the ACCC. This preference resulted in the current accreditation arrangements under </w:t>
      </w:r>
      <w:r w:rsidR="008F3BDD">
        <w:t xml:space="preserve">Part 9 of </w:t>
      </w:r>
      <w:r>
        <w:t xml:space="preserve">the WCIR. </w:t>
      </w:r>
    </w:p>
    <w:p w:rsidR="00364BDE" w:rsidRDefault="00364BDE" w:rsidP="00364BDE">
      <w:r>
        <w:t xml:space="preserve">Under the ACCC’s proposed amendments to Part 6, this role would revert to being undertaken by regulators under </w:t>
      </w:r>
      <w:r w:rsidR="008F3BDD">
        <w:t>Basin S</w:t>
      </w:r>
      <w:r>
        <w:t xml:space="preserve">tate regulatory regimes rather than under the WCIR (i.e. without accreditation), where </w:t>
      </w:r>
      <w:r w:rsidR="008F3BDD">
        <w:t>S</w:t>
      </w:r>
      <w:r>
        <w:t>tate regulatory processes can be shown to be broadly consistent with those under (the amended) Part 6. As detailed in section 5.6, t</w:t>
      </w:r>
      <w:r w:rsidRPr="00C74425">
        <w:t>he ACCC considers that while the criteria used by the alternative State-based regulators (IPART, ESC</w:t>
      </w:r>
      <w:r w:rsidR="00ED02CF">
        <w:t>V</w:t>
      </w:r>
      <w:r w:rsidRPr="00C74425">
        <w:t xml:space="preserve">, </w:t>
      </w:r>
      <w:r w:rsidR="00FF5CDF">
        <w:t>Queensland Competition Authority (</w:t>
      </w:r>
      <w:r w:rsidRPr="00C74425">
        <w:t>QCA</w:t>
      </w:r>
      <w:r w:rsidR="00FF5CDF">
        <w:t>)</w:t>
      </w:r>
      <w:r w:rsidRPr="00C74425">
        <w:t xml:space="preserve"> and </w:t>
      </w:r>
      <w:r w:rsidR="00A224C1">
        <w:t>Essential Services Commission of SA (</w:t>
      </w:r>
      <w:r w:rsidRPr="00C74425">
        <w:t>ESCOSA</w:t>
      </w:r>
      <w:r w:rsidR="00A224C1">
        <w:t>)</w:t>
      </w:r>
      <w:r w:rsidRPr="00C74425">
        <w:t xml:space="preserve">) are not identical to the BWCOP and </w:t>
      </w:r>
      <w:r w:rsidR="00D14538">
        <w:t xml:space="preserve">the </w:t>
      </w:r>
      <w:r w:rsidRPr="00C74425">
        <w:t>current Part</w:t>
      </w:r>
      <w:r>
        <w:t> </w:t>
      </w:r>
      <w:r w:rsidRPr="00C74425">
        <w:t xml:space="preserve">6, they are </w:t>
      </w:r>
      <w:r>
        <w:t>broadly consistent with</w:t>
      </w:r>
      <w:r w:rsidRPr="00C74425">
        <w:t xml:space="preserve"> the </w:t>
      </w:r>
      <w:r>
        <w:t>requirements the ACCC has proposed to apply under the amended Part 6</w:t>
      </w:r>
      <w:r w:rsidRPr="00C74425">
        <w:t>.</w:t>
      </w:r>
      <w:r>
        <w:t xml:space="preserve"> </w:t>
      </w:r>
    </w:p>
    <w:p w:rsidR="00364BDE" w:rsidRPr="00C04F93" w:rsidRDefault="00364BDE" w:rsidP="00364BDE">
      <w:r>
        <w:t xml:space="preserve">The ACCC acknowledges that, due to operators being regulated by different regulators in different </w:t>
      </w:r>
      <w:r w:rsidR="008F3BDD">
        <w:t>Basin S</w:t>
      </w:r>
      <w:r>
        <w:t xml:space="preserve">tates, there is always the possibility that regulators will, in exercising their discretion, arrive at different outcomes. Nevertheless, the proposed rules will still require fundamental similarity in approach—this is the essence of the ‘test’ in Part 6 which requires that approval processes are broadly equivalent before an operator can be regulated under a </w:t>
      </w:r>
      <w:r w:rsidR="008F3BDD">
        <w:t>S</w:t>
      </w:r>
      <w:r>
        <w:t xml:space="preserve">tate regime instead of the water charge rules. Therefore, this approach will enable an amelioration of current inconsistencies </w:t>
      </w:r>
      <w:r>
        <w:rPr>
          <w:i/>
        </w:rPr>
        <w:t xml:space="preserve">within </w:t>
      </w:r>
      <w:r>
        <w:t xml:space="preserve">Basin States (by allowing the same framework to be applied to MDB and urban / non-MDB areas), without sacrificing all consistency </w:t>
      </w:r>
      <w:r>
        <w:rPr>
          <w:i/>
        </w:rPr>
        <w:t xml:space="preserve">across </w:t>
      </w:r>
      <w:r>
        <w:t xml:space="preserve">Basin States by setting in effect a minimum standard which </w:t>
      </w:r>
      <w:r w:rsidR="008F3BDD">
        <w:t>S</w:t>
      </w:r>
      <w:r>
        <w:t>tate based regimes need in order for Part 6 of the water charge rules not to apply.</w:t>
      </w:r>
    </w:p>
    <w:p w:rsidR="00364BDE" w:rsidRPr="00BB4755" w:rsidRDefault="00364BDE" w:rsidP="00364BDE">
      <w:pPr>
        <w:rPr>
          <w:rFonts w:cs="Times New Roman"/>
        </w:rPr>
      </w:pPr>
      <w:r>
        <w:rPr>
          <w:rFonts w:cs="Times New Roman"/>
        </w:rPr>
        <w:t xml:space="preserve">Further discussion on </w:t>
      </w:r>
      <w:r w:rsidRPr="00843B91">
        <w:rPr>
          <w:rFonts w:cs="Times New Roman"/>
        </w:rPr>
        <w:t xml:space="preserve">the appropriate application of Part 6 of the WCIR, including questions of consistency in regulatory approach and about the ACCC’s involvement in direct price regulation, are addressed in </w:t>
      </w:r>
      <w:r w:rsidR="007E3378">
        <w:rPr>
          <w:rFonts w:cs="Times New Roman"/>
        </w:rPr>
        <w:t>s</w:t>
      </w:r>
      <w:r w:rsidRPr="00843B91">
        <w:rPr>
          <w:rFonts w:cs="Times New Roman"/>
        </w:rPr>
        <w:t xml:space="preserve">ection </w:t>
      </w:r>
      <w:r w:rsidR="0061588C">
        <w:rPr>
          <w:rFonts w:cs="Times New Roman"/>
        </w:rPr>
        <w:t>5.6</w:t>
      </w:r>
      <w:r w:rsidRPr="00843B91">
        <w:rPr>
          <w:rFonts w:cs="Times New Roman"/>
        </w:rPr>
        <w:t>.</w:t>
      </w:r>
    </w:p>
    <w:p w:rsidR="00364BDE" w:rsidRPr="00034FD7" w:rsidRDefault="00364BDE" w:rsidP="00364BDE">
      <w:pPr>
        <w:pStyle w:val="Heading3"/>
      </w:pPr>
      <w:bookmarkStart w:id="1114" w:name="_Toc436122313"/>
      <w:bookmarkStart w:id="1115" w:name="_Toc436122808"/>
      <w:bookmarkStart w:id="1116" w:name="_Toc436124163"/>
      <w:bookmarkStart w:id="1117" w:name="_Toc456785819"/>
      <w:bookmarkStart w:id="1118" w:name="_Toc461630730"/>
      <w:r w:rsidRPr="00034FD7">
        <w:t>Water charging arrangements that create barriers to trade</w:t>
      </w:r>
      <w:bookmarkEnd w:id="1114"/>
      <w:bookmarkEnd w:id="1115"/>
      <w:bookmarkEnd w:id="1116"/>
      <w:bookmarkEnd w:id="1117"/>
      <w:bookmarkEnd w:id="1118"/>
    </w:p>
    <w:p w:rsidR="00364BDE" w:rsidRPr="00D714FC" w:rsidRDefault="00364BDE" w:rsidP="00364BDE">
      <w:pPr>
        <w:pStyle w:val="Heading4"/>
        <w:rPr>
          <w:rFonts w:ascii="Times New Roman" w:hAnsi="Times New Roman" w:cs="Times New Roman"/>
        </w:rPr>
      </w:pPr>
      <w:r w:rsidRPr="00D714FC">
        <w:rPr>
          <w:rFonts w:ascii="Times New Roman" w:hAnsi="Times New Roman" w:cs="Times New Roman"/>
        </w:rPr>
        <w:t xml:space="preserve">Stakeholder feedback </w:t>
      </w:r>
    </w:p>
    <w:p w:rsidR="00364BDE" w:rsidRPr="00034FD7" w:rsidRDefault="00364BDE" w:rsidP="00D17F9C">
      <w:pPr>
        <w:pStyle w:val="Heading5"/>
      </w:pPr>
      <w:r w:rsidRPr="00034FD7">
        <w:t>Impacts of water charging arrangements on trade</w:t>
      </w:r>
    </w:p>
    <w:p w:rsidR="00364BDE" w:rsidRPr="008D1D47" w:rsidRDefault="00364BDE" w:rsidP="00E81EB4">
      <w:pPr>
        <w:autoSpaceDE w:val="0"/>
        <w:autoSpaceDN w:val="0"/>
        <w:adjustRightInd w:val="0"/>
        <w:spacing w:after="120"/>
        <w:rPr>
          <w:rFonts w:cs="Times New Roman"/>
        </w:rPr>
      </w:pPr>
      <w:r w:rsidRPr="008D1D47">
        <w:rPr>
          <w:rFonts w:cs="Times New Roman"/>
        </w:rPr>
        <w:t xml:space="preserve">Many stakeholders pointed out the link between inconsistent charging arrangements and water markets. In particular, stakeholders </w:t>
      </w:r>
      <w:r>
        <w:rPr>
          <w:rFonts w:cs="Times New Roman"/>
        </w:rPr>
        <w:t>identified</w:t>
      </w:r>
      <w:r w:rsidRPr="008D1D47">
        <w:rPr>
          <w:rFonts w:cs="Times New Roman"/>
        </w:rPr>
        <w:t xml:space="preserve"> the following </w:t>
      </w:r>
      <w:r>
        <w:rPr>
          <w:rFonts w:cs="Times New Roman"/>
        </w:rPr>
        <w:t>perceived distortions</w:t>
      </w:r>
      <w:r w:rsidRPr="008D1D47">
        <w:rPr>
          <w:rFonts w:cs="Times New Roman"/>
        </w:rPr>
        <w:t>:</w:t>
      </w:r>
      <w:r>
        <w:rPr>
          <w:rStyle w:val="FootnoteReference"/>
          <w:rFonts w:cs="Times New Roman"/>
        </w:rPr>
        <w:footnoteReference w:id="582"/>
      </w:r>
    </w:p>
    <w:p w:rsidR="00364BDE" w:rsidRPr="00BC292B" w:rsidRDefault="00364BDE" w:rsidP="00A82DE6">
      <w:pPr>
        <w:pStyle w:val="Lvl1Bulletpoint"/>
      </w:pPr>
      <w:r w:rsidRPr="00BC292B">
        <w:t>The fact that S</w:t>
      </w:r>
      <w:r w:rsidR="0037210E">
        <w:t xml:space="preserve">outh </w:t>
      </w:r>
      <w:r w:rsidRPr="00BC292B">
        <w:t>A</w:t>
      </w:r>
      <w:r w:rsidR="0037210E">
        <w:t>ustralian</w:t>
      </w:r>
      <w:r w:rsidRPr="00BC292B">
        <w:t xml:space="preserve"> water users do not pay ‘bulk’ (on-river) infrastructure charges distorts water markets and / or creates the potential for arbitrage between different trading zones.</w:t>
      </w:r>
      <w:r w:rsidRPr="00BC292B">
        <w:rPr>
          <w:rStyle w:val="FootnoteReference"/>
          <w:rFonts w:cs="Times New Roman"/>
        </w:rPr>
        <w:footnoteReference w:id="583"/>
      </w:r>
    </w:p>
    <w:p w:rsidR="00364BDE" w:rsidRPr="00BC292B" w:rsidRDefault="00364BDE" w:rsidP="00A82DE6">
      <w:pPr>
        <w:pStyle w:val="Lvl1Bulletpoint"/>
      </w:pPr>
      <w:r w:rsidRPr="00BC292B">
        <w:t>On-river infrastructure charges are ‘heavily subsidised’ and / or non-transparent in SA and Victoria</w:t>
      </w:r>
      <w:r>
        <w:t>, which distorts water markets.</w:t>
      </w:r>
      <w:r w:rsidRPr="00BC292B">
        <w:rPr>
          <w:rStyle w:val="FootnoteReference"/>
          <w:rFonts w:cs="Times New Roman"/>
        </w:rPr>
        <w:footnoteReference w:id="584"/>
      </w:r>
    </w:p>
    <w:p w:rsidR="00364BDE" w:rsidRDefault="00364BDE" w:rsidP="00A82DE6">
      <w:pPr>
        <w:pStyle w:val="Lvl1Bulletpoint"/>
        <w:rPr>
          <w:rFonts w:cs="Times New Roman"/>
        </w:rPr>
      </w:pPr>
      <w:r w:rsidRPr="00BC292B">
        <w:t>The existence of casual usage arrangements can distort trading decisions by affecting the level of charges on customers’ rights of access</w:t>
      </w:r>
      <w:r>
        <w:t>.</w:t>
      </w:r>
      <w:r w:rsidRPr="00BC292B">
        <w:rPr>
          <w:rStyle w:val="FootnoteReference"/>
          <w:rFonts w:cs="Times New Roman"/>
        </w:rPr>
        <w:footnoteReference w:id="585"/>
      </w:r>
      <w:r w:rsidRPr="00BC292B">
        <w:rPr>
          <w:rFonts w:cs="Times New Roman"/>
        </w:rPr>
        <w:t xml:space="preserve"> </w:t>
      </w:r>
    </w:p>
    <w:p w:rsidR="00364BDE" w:rsidRDefault="00364BDE" w:rsidP="00A82DE6">
      <w:pPr>
        <w:pStyle w:val="Lvl1Bulletpoint"/>
      </w:pPr>
      <w:r>
        <w:t>NSW irrigators have an advantage over Victorian irrigators in interstate water markets because they pay lower charges for water access entitlements.</w:t>
      </w:r>
      <w:r w:rsidRPr="00BC292B">
        <w:rPr>
          <w:rStyle w:val="FootnoteReference"/>
          <w:rFonts w:cs="Times New Roman"/>
        </w:rPr>
        <w:footnoteReference w:id="586"/>
      </w:r>
    </w:p>
    <w:p w:rsidR="00364BDE" w:rsidRDefault="00364BDE" w:rsidP="00A82DE6">
      <w:pPr>
        <w:pStyle w:val="Lvl1Bulletpoint"/>
      </w:pPr>
      <w:r>
        <w:t>At a general level, difference in tariff structures distort trading decisions, for example because customers facing a higher level of variable charges have more incentive to trade than those who face lower variable charges, or because charging arrangements discriminated in favour of certain water users</w:t>
      </w:r>
      <w:r w:rsidRPr="00BC292B">
        <w:t>.</w:t>
      </w:r>
      <w:r w:rsidRPr="00BC292B">
        <w:rPr>
          <w:rStyle w:val="FootnoteReference"/>
          <w:rFonts w:cs="Times New Roman"/>
        </w:rPr>
        <w:footnoteReference w:id="587"/>
      </w:r>
      <w:r w:rsidRPr="00BC292B">
        <w:t xml:space="preserve"> </w:t>
      </w:r>
    </w:p>
    <w:p w:rsidR="00364BDE" w:rsidRPr="005D6744" w:rsidRDefault="00364BDE" w:rsidP="00A82DE6">
      <w:pPr>
        <w:pStyle w:val="Lvl1Bulletpoint"/>
      </w:pPr>
      <w:r w:rsidRPr="005D6744">
        <w:t xml:space="preserve">Inconsistency in the price approval / determination decisions made under Part 6 of the </w:t>
      </w:r>
      <w:r w:rsidR="002C2856" w:rsidRPr="00524D9F">
        <w:rPr>
          <w:rFonts w:cs="Times New Roman"/>
        </w:rPr>
        <w:t xml:space="preserve">Water Charge (Infrastructure) Rules 2010 </w:t>
      </w:r>
      <w:r w:rsidR="002C2856">
        <w:rPr>
          <w:rFonts w:cs="Times New Roman"/>
        </w:rPr>
        <w:t>(</w:t>
      </w:r>
      <w:r w:rsidRPr="005D6744">
        <w:t>WCIR</w:t>
      </w:r>
      <w:r w:rsidR="002C2856">
        <w:t>)</w:t>
      </w:r>
      <w:r w:rsidRPr="005D6744">
        <w:t xml:space="preserve"> for State Water, as compared to </w:t>
      </w:r>
      <w:r w:rsidR="003A4864">
        <w:t>Goulburn-Murray Water (</w:t>
      </w:r>
      <w:r w:rsidRPr="005D6744">
        <w:t>GMW</w:t>
      </w:r>
      <w:r w:rsidR="003A4864">
        <w:t>)</w:t>
      </w:r>
      <w:r w:rsidRPr="005D6744">
        <w:t xml:space="preserve"> and </w:t>
      </w:r>
      <w:r w:rsidR="00B71238">
        <w:t>Lower Murray Water (</w:t>
      </w:r>
      <w:r w:rsidRPr="005D6744">
        <w:t>LMW</w:t>
      </w:r>
      <w:r w:rsidR="00B71238">
        <w:t>)</w:t>
      </w:r>
      <w:r w:rsidRPr="005D6744">
        <w:t>, affect the efficient functioning of water markets.</w:t>
      </w:r>
      <w:r w:rsidRPr="005D6744">
        <w:rPr>
          <w:rStyle w:val="FootnoteReference"/>
          <w:rFonts w:cs="Times New Roman"/>
        </w:rPr>
        <w:footnoteReference w:id="588"/>
      </w:r>
      <w:r w:rsidRPr="005D6744">
        <w:t xml:space="preserve"> </w:t>
      </w:r>
    </w:p>
    <w:p w:rsidR="00364BDE" w:rsidRPr="005D6744" w:rsidRDefault="00364BDE" w:rsidP="00A82DE6">
      <w:pPr>
        <w:pStyle w:val="Lvl1Bulletpoint"/>
      </w:pPr>
      <w:r w:rsidRPr="005D6744">
        <w:t>“Gaps” in state water planning are one factor that could affect trade decisions.</w:t>
      </w:r>
      <w:r w:rsidRPr="005D6744">
        <w:rPr>
          <w:rStyle w:val="FootnoteReference"/>
          <w:rFonts w:cs="Times New Roman"/>
        </w:rPr>
        <w:footnoteReference w:id="589"/>
      </w:r>
      <w:r w:rsidRPr="005D6744">
        <w:t xml:space="preserve"> </w:t>
      </w:r>
    </w:p>
    <w:p w:rsidR="00364BDE" w:rsidRDefault="00364BDE" w:rsidP="00E81EB4">
      <w:pPr>
        <w:spacing w:after="120"/>
      </w:pPr>
      <w:r>
        <w:t xml:space="preserve">In contrast to these views, other stakeholders submitted that charges did </w:t>
      </w:r>
      <w:r>
        <w:rPr>
          <w:i/>
        </w:rPr>
        <w:t xml:space="preserve">not </w:t>
      </w:r>
      <w:r>
        <w:t>have distorting impacts on water markets:</w:t>
      </w:r>
    </w:p>
    <w:p w:rsidR="00364BDE" w:rsidRDefault="00996599" w:rsidP="00A82DE6">
      <w:pPr>
        <w:pStyle w:val="Lvl1Bulletpoint"/>
      </w:pPr>
      <w:r>
        <w:t>Central Irrigation Trust (</w:t>
      </w:r>
      <w:r w:rsidR="00364BDE">
        <w:t>CIT</w:t>
      </w:r>
      <w:r>
        <w:t>)</w:t>
      </w:r>
      <w:r w:rsidR="00364BDE">
        <w:t xml:space="preserve"> and </w:t>
      </w:r>
      <w:r w:rsidR="00336D15">
        <w:t>National Irrigators’ Council (</w:t>
      </w:r>
      <w:r w:rsidR="00364BDE">
        <w:t>NIC</w:t>
      </w:r>
      <w:r w:rsidR="00336D15">
        <w:t>)</w:t>
      </w:r>
      <w:r w:rsidR="00364BDE">
        <w:t xml:space="preserve"> submitted that </w:t>
      </w:r>
      <w:r w:rsidR="00364BDE" w:rsidRPr="00BC292B">
        <w:t xml:space="preserve">water trade data (in particular the significant volume of interstate trade of water allocations and entitlements) indicates that trade across the </w:t>
      </w:r>
      <w:r w:rsidR="00BF194C">
        <w:t>Murray-Darling Basin (</w:t>
      </w:r>
      <w:r w:rsidR="00364BDE" w:rsidRPr="00BC292B">
        <w:t>MDB</w:t>
      </w:r>
      <w:r w:rsidR="00BF194C">
        <w:t>)</w:t>
      </w:r>
      <w:r w:rsidR="00364BDE" w:rsidRPr="00BC292B">
        <w:t>, and the efficient use and migration of water, is uninhibited by existing water charging arrangements.</w:t>
      </w:r>
      <w:r w:rsidR="00364BDE" w:rsidRPr="00BC292B">
        <w:rPr>
          <w:rStyle w:val="FootnoteReference"/>
          <w:rFonts w:cs="Times New Roman"/>
        </w:rPr>
        <w:footnoteReference w:id="590"/>
      </w:r>
      <w:r w:rsidR="00364BDE" w:rsidRPr="00BC292B">
        <w:t xml:space="preserve"> </w:t>
      </w:r>
    </w:p>
    <w:p w:rsidR="00364BDE" w:rsidRPr="00BC292B" w:rsidRDefault="00364BDE" w:rsidP="00A82DE6">
      <w:pPr>
        <w:pStyle w:val="Lvl1Bulletpoint"/>
      </w:pPr>
      <w:r>
        <w:t xml:space="preserve">NIC submitted that </w:t>
      </w:r>
      <w:r w:rsidRPr="00BC292B">
        <w:t xml:space="preserve">the member-owned structure of many infrastructure operators provides incentives for these operators </w:t>
      </w:r>
      <w:r w:rsidRPr="00BC292B">
        <w:rPr>
          <w:i/>
        </w:rPr>
        <w:t xml:space="preserve">not </w:t>
      </w:r>
      <w:r w:rsidRPr="00BC292B">
        <w:t>to impose unreasonable or price-distorting charges</w:t>
      </w:r>
      <w:r>
        <w:t xml:space="preserve">, </w:t>
      </w:r>
      <w:r w:rsidRPr="00BC292B">
        <w:t>and that industry innovation and competition for investment act as a deterrent to these practices.</w:t>
      </w:r>
      <w:r w:rsidRPr="00BC292B">
        <w:rPr>
          <w:rStyle w:val="FootnoteReference"/>
          <w:rFonts w:cs="Times New Roman"/>
        </w:rPr>
        <w:footnoteReference w:id="591"/>
      </w:r>
      <w:r w:rsidRPr="00BC292B">
        <w:t xml:space="preserve"> </w:t>
      </w:r>
    </w:p>
    <w:p w:rsidR="00364BDE" w:rsidRPr="00BC292B" w:rsidRDefault="00364BDE" w:rsidP="00A82DE6">
      <w:pPr>
        <w:pStyle w:val="Lvl1Bulletpoint"/>
      </w:pPr>
      <w:r w:rsidRPr="00BC292B">
        <w:t>C</w:t>
      </w:r>
      <w:r>
        <w:t xml:space="preserve">oleambally </w:t>
      </w:r>
      <w:r w:rsidRPr="00BC292B">
        <w:t>I</w:t>
      </w:r>
      <w:r>
        <w:t xml:space="preserve">rrigation </w:t>
      </w:r>
      <w:r w:rsidRPr="00BC292B">
        <w:t>C</w:t>
      </w:r>
      <w:r>
        <w:t xml:space="preserve">ooperative </w:t>
      </w:r>
      <w:r w:rsidRPr="00BC292B">
        <w:t>L</w:t>
      </w:r>
      <w:r>
        <w:t>imited</w:t>
      </w:r>
      <w:r w:rsidR="001E5064">
        <w:t xml:space="preserve"> (CICL)</w:t>
      </w:r>
      <w:r w:rsidRPr="00BC292B">
        <w:t xml:space="preserve"> submitted that it does not apply conditions on the trade of water within or beyond its area of operations, other than to meet its groundwater and salinity levels under its operating licence, and it is not aware of “any differences” in other </w:t>
      </w:r>
      <w:r w:rsidR="00AF7983">
        <w:t>irrigation infrastructure operators (</w:t>
      </w:r>
      <w:r w:rsidRPr="00BC292B">
        <w:t>IIOs</w:t>
      </w:r>
      <w:r w:rsidR="00AF7983">
        <w:t>)</w:t>
      </w:r>
      <w:r w:rsidRPr="00BC292B">
        <w:t xml:space="preserve"> that would constitute a barrier to trade.</w:t>
      </w:r>
      <w:r w:rsidRPr="00BC292B">
        <w:rPr>
          <w:rStyle w:val="FootnoteReference"/>
          <w:rFonts w:cs="Times New Roman"/>
        </w:rPr>
        <w:footnoteReference w:id="592"/>
      </w:r>
    </w:p>
    <w:p w:rsidR="00364BDE" w:rsidRPr="00BC292B" w:rsidRDefault="00364BDE" w:rsidP="00364BDE">
      <w:pPr>
        <w:rPr>
          <w:rFonts w:eastAsia="Calibri" w:cs="Times New Roman"/>
        </w:rPr>
      </w:pPr>
      <w:r w:rsidRPr="00BC292B">
        <w:rPr>
          <w:rFonts w:eastAsia="Calibri" w:cs="Times New Roman"/>
        </w:rPr>
        <w:t xml:space="preserve">The </w:t>
      </w:r>
      <w:r w:rsidRPr="00BC292B">
        <w:rPr>
          <w:rFonts w:cs="Times New Roman"/>
        </w:rPr>
        <w:t>Australian Bureau of Agricultural and Resource Economics and Sciences (</w:t>
      </w:r>
      <w:r w:rsidRPr="00BC292B">
        <w:rPr>
          <w:rFonts w:eastAsia="Calibri" w:cs="Times New Roman"/>
        </w:rPr>
        <w:t>ABARES) survey of irrigators commissioned by the ACCC identified that, for most irrigators in the Goulburn-Broken and Murray systems, the level of fixed and variable charges is very important or somewhat important to their trading decisions</w:t>
      </w:r>
      <w:r>
        <w:rPr>
          <w:rFonts w:eastAsia="Calibri" w:cs="Times New Roman"/>
        </w:rPr>
        <w:t xml:space="preserve">. Charges were somewhat less important for trading decisions for </w:t>
      </w:r>
      <w:r w:rsidRPr="00BC292B">
        <w:rPr>
          <w:rFonts w:eastAsia="Calibri" w:cs="Times New Roman"/>
        </w:rPr>
        <w:t>irrigators in the Murrumbidgee system and the Northern Basin.</w:t>
      </w:r>
      <w:r w:rsidRPr="00BC292B">
        <w:rPr>
          <w:rStyle w:val="FootnoteReference"/>
          <w:rFonts w:eastAsia="Calibri" w:cs="Times New Roman"/>
        </w:rPr>
        <w:footnoteReference w:id="593"/>
      </w:r>
      <w:r w:rsidRPr="00BC292B">
        <w:rPr>
          <w:rFonts w:eastAsia="Calibri" w:cs="Times New Roman"/>
        </w:rPr>
        <w:t xml:space="preserve"> </w:t>
      </w:r>
    </w:p>
    <w:p w:rsidR="00364BDE" w:rsidRPr="00BC292B" w:rsidRDefault="00364BDE" w:rsidP="00364BDE">
      <w:pPr>
        <w:rPr>
          <w:rFonts w:cs="Times New Roman"/>
        </w:rPr>
      </w:pPr>
      <w:r w:rsidRPr="00BC292B">
        <w:rPr>
          <w:rFonts w:cs="Times New Roman"/>
        </w:rPr>
        <w:t>The Marsden Jacob Associates Report</w:t>
      </w:r>
      <w:r w:rsidR="00EA75C5">
        <w:rPr>
          <w:rFonts w:cs="Times New Roman"/>
        </w:rPr>
        <w:t xml:space="preserve"> </w:t>
      </w:r>
      <w:r w:rsidRPr="00BC292B">
        <w:rPr>
          <w:rFonts w:cs="Times New Roman"/>
        </w:rPr>
        <w:t>commissioned by the ACCC identified that there are substantial variations in the structure and level of IIO charges across the MDB, but those differences do not have a material influence on trade decisions. M</w:t>
      </w:r>
      <w:r w:rsidR="00EA1B40">
        <w:rPr>
          <w:rFonts w:cs="Times New Roman"/>
        </w:rPr>
        <w:t xml:space="preserve">arsden </w:t>
      </w:r>
      <w:r w:rsidRPr="00BC292B">
        <w:rPr>
          <w:rFonts w:cs="Times New Roman"/>
        </w:rPr>
        <w:t>J</w:t>
      </w:r>
      <w:r w:rsidR="00EA1B40">
        <w:rPr>
          <w:rFonts w:cs="Times New Roman"/>
        </w:rPr>
        <w:t xml:space="preserve">acob </w:t>
      </w:r>
      <w:r w:rsidRPr="00BC292B">
        <w:rPr>
          <w:rFonts w:cs="Times New Roman"/>
        </w:rPr>
        <w:t>A</w:t>
      </w:r>
      <w:r w:rsidR="00EA1B40">
        <w:rPr>
          <w:rFonts w:cs="Times New Roman"/>
        </w:rPr>
        <w:t>ssociates</w:t>
      </w:r>
      <w:r w:rsidRPr="00BC292B">
        <w:rPr>
          <w:rFonts w:cs="Times New Roman"/>
        </w:rPr>
        <w:t xml:space="preserve"> further also found that while there are differences in the nominal value of fixed and variable charges (due to differences in capital cost recovery models), these differences are unlikely currently to be materially influencing trade decisions. </w:t>
      </w:r>
    </w:p>
    <w:p w:rsidR="00364BDE" w:rsidRPr="00A157EA" w:rsidRDefault="00364BDE" w:rsidP="00364BDE">
      <w:pPr>
        <w:rPr>
          <w:rFonts w:cs="Times New Roman"/>
        </w:rPr>
      </w:pPr>
      <w:r w:rsidRPr="00BC292B">
        <w:rPr>
          <w:rFonts w:cs="Times New Roman"/>
        </w:rPr>
        <w:t>M</w:t>
      </w:r>
      <w:r w:rsidR="00EA1B40">
        <w:rPr>
          <w:rFonts w:cs="Times New Roman"/>
        </w:rPr>
        <w:t xml:space="preserve">arsden </w:t>
      </w:r>
      <w:r w:rsidRPr="00BC292B">
        <w:rPr>
          <w:rFonts w:cs="Times New Roman"/>
        </w:rPr>
        <w:t>J</w:t>
      </w:r>
      <w:r w:rsidR="00EA1B40">
        <w:rPr>
          <w:rFonts w:cs="Times New Roman"/>
        </w:rPr>
        <w:t xml:space="preserve">acob </w:t>
      </w:r>
      <w:r w:rsidRPr="00BC292B">
        <w:rPr>
          <w:rFonts w:cs="Times New Roman"/>
        </w:rPr>
        <w:t>A</w:t>
      </w:r>
      <w:r w:rsidR="00EA1B40">
        <w:rPr>
          <w:rFonts w:cs="Times New Roman"/>
        </w:rPr>
        <w:t>ssociates</w:t>
      </w:r>
      <w:r w:rsidRPr="00BC292B">
        <w:rPr>
          <w:rFonts w:cs="Times New Roman"/>
        </w:rPr>
        <w:t xml:space="preserve"> recommended that in light of these findings, the ACCC should continue to monitor whether differences in IIO charges are affecting water markets. M</w:t>
      </w:r>
      <w:r w:rsidR="00EA1B40">
        <w:rPr>
          <w:rFonts w:cs="Times New Roman"/>
        </w:rPr>
        <w:t xml:space="preserve">arsden </w:t>
      </w:r>
      <w:r w:rsidRPr="00BC292B">
        <w:rPr>
          <w:rFonts w:cs="Times New Roman"/>
        </w:rPr>
        <w:t>J</w:t>
      </w:r>
      <w:r w:rsidR="00EA1B40">
        <w:rPr>
          <w:rFonts w:cs="Times New Roman"/>
        </w:rPr>
        <w:t xml:space="preserve">acob </w:t>
      </w:r>
      <w:r w:rsidR="00CE200B" w:rsidRPr="00BC292B">
        <w:rPr>
          <w:rFonts w:cs="Times New Roman"/>
        </w:rPr>
        <w:t>A</w:t>
      </w:r>
      <w:r w:rsidR="00CE200B">
        <w:rPr>
          <w:rFonts w:cs="Times New Roman"/>
        </w:rPr>
        <w:t>ssociates</w:t>
      </w:r>
      <w:r w:rsidRPr="00BC292B">
        <w:rPr>
          <w:rFonts w:cs="Times New Roman"/>
        </w:rPr>
        <w:t xml:space="preserve"> suggested that the ACCC could monitor “long-term seasonally corrected water usage across IIOs” in relation to differences in capital recovery frameworks, compliance requirements and fixed to variable charge splits. M</w:t>
      </w:r>
      <w:r w:rsidR="00EA1B40">
        <w:rPr>
          <w:rFonts w:cs="Times New Roman"/>
        </w:rPr>
        <w:t xml:space="preserve">arsden </w:t>
      </w:r>
      <w:r w:rsidRPr="00BC292B">
        <w:rPr>
          <w:rFonts w:cs="Times New Roman"/>
        </w:rPr>
        <w:t>J</w:t>
      </w:r>
      <w:r w:rsidR="00EA1B40">
        <w:rPr>
          <w:rFonts w:cs="Times New Roman"/>
        </w:rPr>
        <w:t xml:space="preserve">acobs </w:t>
      </w:r>
      <w:r w:rsidRPr="00BC292B">
        <w:rPr>
          <w:rFonts w:cs="Times New Roman"/>
        </w:rPr>
        <w:t>A</w:t>
      </w:r>
      <w:r w:rsidR="00EA1B40">
        <w:rPr>
          <w:rFonts w:cs="Times New Roman"/>
        </w:rPr>
        <w:t>ssociates</w:t>
      </w:r>
      <w:r w:rsidRPr="00BC292B">
        <w:rPr>
          <w:rFonts w:cs="Times New Roman"/>
        </w:rPr>
        <w:t xml:space="preserve"> stated that this would be </w:t>
      </w:r>
      <w:r w:rsidRPr="00A157EA">
        <w:rPr>
          <w:rFonts w:cs="Times New Roman"/>
        </w:rPr>
        <w:t xml:space="preserve">to ensure that such charge characteristics do not result in perverse incentives, encouraging irrigators to trade out of higher cost IIOs towards lower cost IIOs. </w:t>
      </w:r>
    </w:p>
    <w:p w:rsidR="00364BDE" w:rsidRPr="00A157EA" w:rsidRDefault="00364BDE" w:rsidP="00D17F9C">
      <w:pPr>
        <w:pStyle w:val="Heading5"/>
      </w:pPr>
      <w:r w:rsidRPr="00A157EA">
        <w:t xml:space="preserve">Transaction fees </w:t>
      </w:r>
      <w:r w:rsidR="00935F9A">
        <w:t>and</w:t>
      </w:r>
      <w:r w:rsidRPr="00A157EA">
        <w:t xml:space="preserve"> charges applied when a person trades</w:t>
      </w:r>
    </w:p>
    <w:p w:rsidR="00364BDE" w:rsidRPr="00A157EA" w:rsidRDefault="00364BDE" w:rsidP="00364BDE">
      <w:pPr>
        <w:rPr>
          <w:rFonts w:cs="Times New Roman"/>
        </w:rPr>
      </w:pPr>
      <w:r w:rsidRPr="00A157EA">
        <w:rPr>
          <w:rFonts w:cs="Times New Roman"/>
        </w:rPr>
        <w:t>Waterfind</w:t>
      </w:r>
      <w:r w:rsidRPr="00A157EA">
        <w:rPr>
          <w:rStyle w:val="FootnoteReference"/>
          <w:rFonts w:cs="Times New Roman"/>
        </w:rPr>
        <w:footnoteReference w:id="594"/>
      </w:r>
      <w:r w:rsidRPr="00A157EA">
        <w:rPr>
          <w:rFonts w:cs="Times New Roman"/>
        </w:rPr>
        <w:t xml:space="preserve"> called for greater regulation of transaction fees (trade application fees and trade out fees) to “reduce trade barriers” and “ensure consistency across the Murray-Darling Basin”. Waterfind submitted its view that “significant water market trade barriers stem from the fact that at present, member owned infrastructure operators can freely set their transaction fee arrangements”, rather than those charges being subject to regulatory approval or determination (i.e. under Part 6 of the rules). Waterfind called for the regulatory approval of transaction fees and other water planning and management charges.</w:t>
      </w:r>
    </w:p>
    <w:p w:rsidR="00364BDE" w:rsidRPr="00A157EA" w:rsidRDefault="00364BDE" w:rsidP="00364BDE">
      <w:pPr>
        <w:rPr>
          <w:rFonts w:cs="Times New Roman"/>
        </w:rPr>
      </w:pPr>
      <w:r w:rsidRPr="00A157EA">
        <w:rPr>
          <w:rFonts w:cs="Times New Roman"/>
        </w:rPr>
        <w:t xml:space="preserve">In relation to transaction fees levied by or on behalf of Basin State governments, Waterfind argued that bringing these charges under WCIR regulation would “improve transparency and efficiency of water markets” and enhance the “comparability of water market transactions”. Waterfind identified that such trade transaction fees are currently regulated under the </w:t>
      </w:r>
      <w:r w:rsidR="008555EC" w:rsidRPr="00524D9F">
        <w:rPr>
          <w:rFonts w:cs="Times New Roman"/>
        </w:rPr>
        <w:t>Water Charge (Planning and Management Information) Rules 2010</w:t>
      </w:r>
      <w:r w:rsidR="008555EC" w:rsidRPr="00A16AFC">
        <w:rPr>
          <w:rFonts w:cs="Times New Roman"/>
          <w:i/>
        </w:rPr>
        <w:t xml:space="preserve"> </w:t>
      </w:r>
      <w:r w:rsidR="008555EC">
        <w:rPr>
          <w:rFonts w:cs="Times New Roman"/>
        </w:rPr>
        <w:t>(</w:t>
      </w:r>
      <w:r w:rsidRPr="00A157EA">
        <w:rPr>
          <w:rFonts w:cs="Times New Roman"/>
        </w:rPr>
        <w:t>WCPMIR</w:t>
      </w:r>
      <w:r w:rsidR="008555EC">
        <w:rPr>
          <w:rFonts w:cs="Times New Roman"/>
        </w:rPr>
        <w:t>)</w:t>
      </w:r>
      <w:r w:rsidRPr="00A157EA">
        <w:rPr>
          <w:rFonts w:cs="Times New Roman"/>
        </w:rPr>
        <w:t xml:space="preserve"> (since they relate to water planning and management activities and are determined by or on behalf of governments) which focuses on publishing information related to these charges rather than the determination or approval of the charges. </w:t>
      </w:r>
    </w:p>
    <w:p w:rsidR="00364BDE" w:rsidRPr="00A157EA" w:rsidRDefault="00364BDE" w:rsidP="00364BDE">
      <w:pPr>
        <w:rPr>
          <w:rFonts w:cs="Times New Roman"/>
        </w:rPr>
      </w:pPr>
      <w:r w:rsidRPr="00A157EA">
        <w:rPr>
          <w:rFonts w:cs="Times New Roman"/>
        </w:rPr>
        <w:t>Additionally, Waterfind identified that ‘transaction fees’, in particular in the form of infrastructure charges imposed on water allocations traded out of member-owned private irrigation districts create barriers to trade. Waterfind called for these charges to be prohibited or capped.</w:t>
      </w:r>
    </w:p>
    <w:p w:rsidR="00364BDE" w:rsidRPr="00A157EA" w:rsidRDefault="00364BDE" w:rsidP="00364BDE">
      <w:pPr>
        <w:rPr>
          <w:rFonts w:cs="Times New Roman"/>
        </w:rPr>
      </w:pPr>
      <w:r w:rsidRPr="00A157EA">
        <w:rPr>
          <w:rFonts w:cs="Times New Roman"/>
        </w:rPr>
        <w:t xml:space="preserve">The </w:t>
      </w:r>
      <w:r w:rsidR="00BF194C">
        <w:rPr>
          <w:rFonts w:cs="Times New Roman"/>
        </w:rPr>
        <w:t>Murray-Darling Basin Authority (</w:t>
      </w:r>
      <w:r w:rsidRPr="00A157EA">
        <w:rPr>
          <w:rFonts w:cs="Times New Roman"/>
        </w:rPr>
        <w:t>MDBA</w:t>
      </w:r>
      <w:r w:rsidR="00BF194C">
        <w:rPr>
          <w:rFonts w:cs="Times New Roman"/>
        </w:rPr>
        <w:t>)</w:t>
      </w:r>
      <w:r w:rsidRPr="00A157EA">
        <w:rPr>
          <w:rFonts w:cs="Times New Roman"/>
        </w:rPr>
        <w:t xml:space="preserve"> submitted that additional or higher charges should not apply to water that is traded into a state or district than would be payable for water associated with “local entitlements”, except where the difference relates to the marginal cost of administering the trade. The MDBA further noted that the marginal cost of administering a trade may be different for each trade authority approval because there is wide variation in the number of trades in each state.</w:t>
      </w:r>
      <w:r w:rsidRPr="00A157EA">
        <w:rPr>
          <w:rStyle w:val="FootnoteReference"/>
          <w:rFonts w:cs="Times New Roman"/>
        </w:rPr>
        <w:footnoteReference w:id="595"/>
      </w:r>
    </w:p>
    <w:p w:rsidR="00364BDE" w:rsidRPr="00A157EA" w:rsidRDefault="00364BDE" w:rsidP="00364BDE">
      <w:pPr>
        <w:rPr>
          <w:rFonts w:cs="Times New Roman"/>
        </w:rPr>
      </w:pPr>
      <w:r w:rsidRPr="00A157EA">
        <w:rPr>
          <w:rFonts w:cs="Times New Roman"/>
        </w:rPr>
        <w:t>National Water Brokers submitted to the Act Review its concerns about the differences in transaction costs between state jurisdictions and that such differences have the effect of creating a barrier to efficient trade, to or from states or IIOs where the fees are higher, particularly for small volume transactions. National Water Brokers called for a more consistent charging regime “to enable more efficient water trading”.</w:t>
      </w:r>
      <w:r w:rsidRPr="00A157EA">
        <w:rPr>
          <w:rStyle w:val="FootnoteReference"/>
          <w:rFonts w:cs="Times New Roman"/>
        </w:rPr>
        <w:footnoteReference w:id="596"/>
      </w:r>
    </w:p>
    <w:p w:rsidR="00364BDE" w:rsidRDefault="00364BDE" w:rsidP="00364BDE">
      <w:pPr>
        <w:rPr>
          <w:rFonts w:cs="Times New Roman"/>
        </w:rPr>
      </w:pPr>
      <w:r w:rsidRPr="00A157EA">
        <w:rPr>
          <w:rFonts w:cs="Times New Roman"/>
        </w:rPr>
        <w:t>M</w:t>
      </w:r>
      <w:r w:rsidR="00EA1B40">
        <w:rPr>
          <w:rFonts w:cs="Times New Roman"/>
        </w:rPr>
        <w:t xml:space="preserve">arsden </w:t>
      </w:r>
      <w:r w:rsidRPr="00A157EA">
        <w:rPr>
          <w:rFonts w:cs="Times New Roman"/>
        </w:rPr>
        <w:t>J</w:t>
      </w:r>
      <w:r w:rsidR="00EA1B40">
        <w:rPr>
          <w:rFonts w:cs="Times New Roman"/>
        </w:rPr>
        <w:t xml:space="preserve">acobs </w:t>
      </w:r>
      <w:r w:rsidRPr="00A157EA">
        <w:rPr>
          <w:rFonts w:cs="Times New Roman"/>
        </w:rPr>
        <w:t>A</w:t>
      </w:r>
      <w:r w:rsidR="00EA1B40">
        <w:rPr>
          <w:rFonts w:cs="Times New Roman"/>
        </w:rPr>
        <w:t>ssociates</w:t>
      </w:r>
      <w:r w:rsidRPr="00A157EA">
        <w:rPr>
          <w:rFonts w:cs="Times New Roman"/>
        </w:rPr>
        <w:t xml:space="preserve"> provided a range of evidence about the impact of </w:t>
      </w:r>
      <w:r>
        <w:rPr>
          <w:rFonts w:cs="Times New Roman"/>
        </w:rPr>
        <w:t xml:space="preserve">WaterNSW’s current </w:t>
      </w:r>
      <w:r w:rsidRPr="00A157EA">
        <w:rPr>
          <w:rFonts w:cs="Times New Roman"/>
        </w:rPr>
        <w:t xml:space="preserve">infrastructure charging arrangements on water markets (see </w:t>
      </w:r>
      <w:r>
        <w:rPr>
          <w:rFonts w:cs="Times New Roman"/>
        </w:rPr>
        <w:t>section 5.3.2</w:t>
      </w:r>
      <w:r w:rsidRPr="00A157EA">
        <w:rPr>
          <w:rFonts w:cs="Times New Roman"/>
        </w:rPr>
        <w:t>).</w:t>
      </w:r>
    </w:p>
    <w:p w:rsidR="00364BDE" w:rsidRDefault="00364BDE" w:rsidP="00364BDE">
      <w:r>
        <w:t>S</w:t>
      </w:r>
      <w:r w:rsidR="00C15279">
        <w:t>ection 5.3 summarises s</w:t>
      </w:r>
      <w:r>
        <w:t>pecific stakeholder feedback on the draft rule advice to prohibit infrastructure charges imposed as a condition of trade, and on the proposal to prohibit price discrimination on the ground that someone has traded their water.</w:t>
      </w:r>
    </w:p>
    <w:p w:rsidR="00364BDE" w:rsidRDefault="00364BDE" w:rsidP="00364BDE">
      <w:pPr>
        <w:pStyle w:val="Heading4"/>
      </w:pPr>
      <w:r>
        <w:t>ACCC assessment</w:t>
      </w:r>
    </w:p>
    <w:p w:rsidR="00364BDE" w:rsidRPr="00D714FC" w:rsidRDefault="00364BDE" w:rsidP="00364BDE">
      <w:pPr>
        <w:rPr>
          <w:rFonts w:cs="Times New Roman"/>
        </w:rPr>
      </w:pPr>
      <w:r w:rsidRPr="00034FD7">
        <w:rPr>
          <w:rFonts w:cs="Times New Roman"/>
        </w:rPr>
        <w:t>In its Draft Advice</w:t>
      </w:r>
      <w:r>
        <w:rPr>
          <w:rFonts w:cs="Times New Roman"/>
        </w:rPr>
        <w:t>, t</w:t>
      </w:r>
      <w:r w:rsidRPr="00D714FC">
        <w:rPr>
          <w:rFonts w:cs="Times New Roman"/>
        </w:rPr>
        <w:t xml:space="preserve">he ACCC </w:t>
      </w:r>
      <w:r>
        <w:rPr>
          <w:rFonts w:cs="Times New Roman"/>
        </w:rPr>
        <w:t xml:space="preserve">expressed </w:t>
      </w:r>
      <w:r w:rsidRPr="00D714FC">
        <w:rPr>
          <w:rFonts w:cs="Times New Roman"/>
        </w:rPr>
        <w:t xml:space="preserve">concern about the unnecessary impediment to trade that </w:t>
      </w:r>
      <w:r>
        <w:rPr>
          <w:rFonts w:cs="Times New Roman"/>
        </w:rPr>
        <w:t>can</w:t>
      </w:r>
      <w:r w:rsidRPr="00D714FC">
        <w:rPr>
          <w:rFonts w:cs="Times New Roman"/>
        </w:rPr>
        <w:t xml:space="preserve"> arise as a result of infrastructure charges that are imposed on, or as a condition of, trade, </w:t>
      </w:r>
      <w:r>
        <w:rPr>
          <w:rFonts w:cs="Times New Roman"/>
        </w:rPr>
        <w:t>where such charges</w:t>
      </w:r>
      <w:r w:rsidRPr="00D714FC">
        <w:rPr>
          <w:rFonts w:cs="Times New Roman"/>
        </w:rPr>
        <w:t xml:space="preserve"> are unrelated to trade or do not reflect the reasonable and efficient costs of processing a trade. The water charge rules currently do not prevent charges being imposed on a customer as a condition or a result of trade, nor do the rules currently directly address the imposition of infrastructure charges to prevent people from trading water out of a particular irrigation </w:t>
      </w:r>
      <w:r>
        <w:rPr>
          <w:rFonts w:cs="Times New Roman"/>
        </w:rPr>
        <w:t>area</w:t>
      </w:r>
      <w:r w:rsidRPr="00D714FC">
        <w:rPr>
          <w:rFonts w:cs="Times New Roman"/>
        </w:rPr>
        <w:t xml:space="preserve"> or jurisdiction (effectively acting as an export tax on </w:t>
      </w:r>
      <w:r>
        <w:rPr>
          <w:rFonts w:cs="Times New Roman"/>
        </w:rPr>
        <w:t xml:space="preserve">water </w:t>
      </w:r>
      <w:r w:rsidRPr="00D714FC">
        <w:rPr>
          <w:rFonts w:cs="Times New Roman"/>
        </w:rPr>
        <w:t xml:space="preserve">trade). These charges have the potential to unduly inhibit water trade, and preclude, at the margin, the use of water resources and infrastructure assets by their highest value use. </w:t>
      </w:r>
    </w:p>
    <w:p w:rsidR="00364BDE" w:rsidRPr="00D714FC" w:rsidRDefault="00364BDE" w:rsidP="00364BDE">
      <w:pPr>
        <w:spacing w:before="240"/>
        <w:rPr>
          <w:rFonts w:cs="Times New Roman"/>
        </w:rPr>
      </w:pPr>
      <w:r w:rsidRPr="00D714FC">
        <w:rPr>
          <w:rFonts w:cs="Times New Roman"/>
        </w:rPr>
        <w:t>The ACCC acknowledge</w:t>
      </w:r>
      <w:r>
        <w:rPr>
          <w:rFonts w:cs="Times New Roman"/>
        </w:rPr>
        <w:t>d</w:t>
      </w:r>
      <w:r w:rsidRPr="00D714FC">
        <w:rPr>
          <w:rFonts w:cs="Times New Roman"/>
        </w:rPr>
        <w:t xml:space="preserve"> that current charging arrangements have not precluded trade decisions entirely. However, charges that are imposed on, or as a condition of trade, where there is no fundamental reason for the charge to be linked to trade, could prevent or distort trade decisions at the margin, </w:t>
      </w:r>
      <w:r>
        <w:rPr>
          <w:rFonts w:cs="Times New Roman"/>
        </w:rPr>
        <w:t xml:space="preserve">even though </w:t>
      </w:r>
      <w:r w:rsidRPr="00D714FC">
        <w:rPr>
          <w:rFonts w:cs="Times New Roman"/>
        </w:rPr>
        <w:t>t</w:t>
      </w:r>
      <w:r>
        <w:rPr>
          <w:rFonts w:cs="Times New Roman"/>
        </w:rPr>
        <w:t>hey do not prevent</w:t>
      </w:r>
      <w:r w:rsidRPr="00D714FC">
        <w:rPr>
          <w:rFonts w:cs="Times New Roman"/>
        </w:rPr>
        <w:t xml:space="preserve"> trade entirely. </w:t>
      </w:r>
    </w:p>
    <w:p w:rsidR="00364BDE" w:rsidRDefault="00364BDE" w:rsidP="00364BDE">
      <w:pPr>
        <w:rPr>
          <w:rFonts w:cs="Times New Roman"/>
        </w:rPr>
      </w:pPr>
      <w:r w:rsidRPr="00D714FC">
        <w:rPr>
          <w:rFonts w:cs="Times New Roman"/>
        </w:rPr>
        <w:t xml:space="preserve">The ACCC considers that stakeholders’ concerns about the impact of tariff structures on trade, and the effect of charges being levied on or because of trade which do not appropriately reflect administration costs, provide further support for its rule advice on the proposed non-discrimination rules. In particular, </w:t>
      </w:r>
      <w:r>
        <w:rPr>
          <w:rFonts w:cs="Times New Roman"/>
        </w:rPr>
        <w:t>rule advice 5-D</w:t>
      </w:r>
      <w:r w:rsidRPr="00D714FC">
        <w:rPr>
          <w:rFonts w:cs="Times New Roman"/>
        </w:rPr>
        <w:t xml:space="preserve"> advises that an infrastructure operator should not </w:t>
      </w:r>
      <w:r>
        <w:rPr>
          <w:rFonts w:cs="Times New Roman"/>
        </w:rPr>
        <w:t xml:space="preserve">be able </w:t>
      </w:r>
      <w:r w:rsidRPr="00D714FC">
        <w:rPr>
          <w:rFonts w:cs="Times New Roman"/>
        </w:rPr>
        <w:t>impose an infrastructure charge when a person applies to trade, as a condition of trade, or because a person has traded</w:t>
      </w:r>
      <w:r>
        <w:rPr>
          <w:rFonts w:cs="Times New Roman"/>
        </w:rPr>
        <w:t xml:space="preserve">, </w:t>
      </w:r>
      <w:r w:rsidRPr="00D714FC">
        <w:rPr>
          <w:rFonts w:cs="Times New Roman"/>
        </w:rPr>
        <w:t xml:space="preserve">other than a charge which reflects the </w:t>
      </w:r>
      <w:r>
        <w:rPr>
          <w:rFonts w:cs="Times New Roman"/>
        </w:rPr>
        <w:t xml:space="preserve">reasonable and efficient </w:t>
      </w:r>
      <w:r w:rsidRPr="00D714FC">
        <w:rPr>
          <w:rFonts w:cs="Times New Roman"/>
        </w:rPr>
        <w:t>administrati</w:t>
      </w:r>
      <w:r>
        <w:rPr>
          <w:rFonts w:cs="Times New Roman"/>
        </w:rPr>
        <w:t>ve</w:t>
      </w:r>
      <w:r w:rsidRPr="00D714FC">
        <w:rPr>
          <w:rFonts w:cs="Times New Roman"/>
        </w:rPr>
        <w:t xml:space="preserve"> costs incurred to process a trade</w:t>
      </w:r>
      <w:r w:rsidR="001D31DA">
        <w:rPr>
          <w:rFonts w:cs="Times New Roman"/>
        </w:rPr>
        <w:t xml:space="preserve"> or to recover the costs of an infrastructure service provided in relation to a trade</w:t>
      </w:r>
      <w:r>
        <w:rPr>
          <w:rFonts w:cs="Times New Roman"/>
        </w:rPr>
        <w:t>.</w:t>
      </w:r>
      <w:r w:rsidR="001D31DA">
        <w:rPr>
          <w:rStyle w:val="FootnoteReference"/>
          <w:rFonts w:cs="Times New Roman"/>
        </w:rPr>
        <w:footnoteReference w:id="597"/>
      </w:r>
      <w:r>
        <w:rPr>
          <w:rFonts w:cs="Times New Roman"/>
        </w:rPr>
        <w:t xml:space="preserve"> This proposed amendment</w:t>
      </w:r>
      <w:r w:rsidRPr="00D714FC">
        <w:rPr>
          <w:rFonts w:cs="Times New Roman"/>
        </w:rPr>
        <w:t xml:space="preserve"> will directly address concerns</w:t>
      </w:r>
      <w:r>
        <w:rPr>
          <w:rFonts w:cs="Times New Roman"/>
        </w:rPr>
        <w:t xml:space="preserve"> about the potential for infrastructure charges to be levied in distortionary ways</w:t>
      </w:r>
      <w:r w:rsidRPr="00D714FC">
        <w:rPr>
          <w:rFonts w:cs="Times New Roman"/>
        </w:rPr>
        <w:t xml:space="preserve">. </w:t>
      </w:r>
      <w:r>
        <w:rPr>
          <w:rFonts w:cs="Times New Roman"/>
        </w:rPr>
        <w:t>Rule advice 5-B</w:t>
      </w:r>
      <w:r w:rsidRPr="00D714FC">
        <w:rPr>
          <w:rFonts w:cs="Times New Roman"/>
        </w:rPr>
        <w:t xml:space="preserve"> (</w:t>
      </w:r>
      <w:r>
        <w:rPr>
          <w:rFonts w:cs="Times New Roman"/>
        </w:rPr>
        <w:t xml:space="preserve">the </w:t>
      </w:r>
      <w:r w:rsidRPr="00D714FC">
        <w:rPr>
          <w:rFonts w:cs="Times New Roman"/>
        </w:rPr>
        <w:t xml:space="preserve">proposed non-discrimination rule) will also limit an infrastructure operator’s ability to </w:t>
      </w:r>
      <w:r w:rsidR="00322A03" w:rsidRPr="00322A03">
        <w:rPr>
          <w:rFonts w:cs="Times New Roman"/>
          <w:i/>
        </w:rPr>
        <w:t>unreasonably</w:t>
      </w:r>
      <w:r w:rsidR="00322A03">
        <w:rPr>
          <w:rFonts w:cs="Times New Roman"/>
        </w:rPr>
        <w:t xml:space="preserve"> </w:t>
      </w:r>
      <w:r w:rsidRPr="00D714FC">
        <w:rPr>
          <w:rFonts w:cs="Times New Roman"/>
        </w:rPr>
        <w:t xml:space="preserve">levy </w:t>
      </w:r>
      <w:r w:rsidR="00322A03">
        <w:rPr>
          <w:rFonts w:cs="Times New Roman"/>
        </w:rPr>
        <w:t xml:space="preserve">a different </w:t>
      </w:r>
      <w:r w:rsidRPr="00D714FC">
        <w:rPr>
          <w:rFonts w:cs="Times New Roman"/>
        </w:rPr>
        <w:t>charges for the same infrastructure service</w:t>
      </w:r>
      <w:r w:rsidR="00322A03">
        <w:rPr>
          <w:rFonts w:cs="Times New Roman"/>
        </w:rPr>
        <w:t>, which could include whether the charge has been levied differently</w:t>
      </w:r>
      <w:r w:rsidRPr="00D714FC">
        <w:rPr>
          <w:rFonts w:cs="Times New Roman"/>
        </w:rPr>
        <w:t xml:space="preserve"> based on whether a person has participated in water markets. </w:t>
      </w:r>
    </w:p>
    <w:p w:rsidR="00D14538" w:rsidRDefault="00364BDE" w:rsidP="00E81EB4">
      <w:pPr>
        <w:spacing w:after="120"/>
        <w:rPr>
          <w:rFonts w:cs="Times New Roman"/>
        </w:rPr>
      </w:pPr>
      <w:r>
        <w:rPr>
          <w:rFonts w:cs="Times New Roman"/>
        </w:rPr>
        <w:t>As detailed elsewhere, t</w:t>
      </w:r>
      <w:r w:rsidRPr="0034267C">
        <w:rPr>
          <w:rFonts w:cs="Times New Roman"/>
        </w:rPr>
        <w:t>he ACCC recognises that, as a default approach, variable and fixed infrastructure charges should reflect underlying variable and fixed costs. Such an approach would be consistent with the principles of achieving full cost recovery and user pays. However, the ACCC does not recommend amending the rules to mandate the fixed / variable split of charges to reflect the underlying fixed / variable composition of costs. There are a range of considerations that an operator must take into account when setting its charges, such as</w:t>
      </w:r>
      <w:r w:rsidR="00D14538">
        <w:rPr>
          <w:rFonts w:cs="Times New Roman"/>
        </w:rPr>
        <w:t>:</w:t>
      </w:r>
      <w:r w:rsidRPr="0034267C">
        <w:rPr>
          <w:rFonts w:cs="Times New Roman"/>
        </w:rPr>
        <w:t xml:space="preserve"> </w:t>
      </w:r>
    </w:p>
    <w:p w:rsidR="00D14538" w:rsidRDefault="00364BDE" w:rsidP="00A82DE6">
      <w:pPr>
        <w:pStyle w:val="Lvl1Bulletpoint"/>
      </w:pPr>
      <w:r w:rsidRPr="0034267C">
        <w:t>the time periods over which costs are to be recovered</w:t>
      </w:r>
    </w:p>
    <w:p w:rsidR="00D14538" w:rsidRDefault="00364BDE" w:rsidP="00A82DE6">
      <w:pPr>
        <w:pStyle w:val="Lvl1Bulletpoint"/>
      </w:pPr>
      <w:r w:rsidRPr="0034267C">
        <w:t>complexities such as economies of scale and the costs of supplying different services or different customer groups</w:t>
      </w:r>
    </w:p>
    <w:p w:rsidR="00D14538" w:rsidRDefault="00364BDE" w:rsidP="00A82DE6">
      <w:pPr>
        <w:pStyle w:val="Lvl1Bulletpoint"/>
      </w:pPr>
      <w:r w:rsidRPr="0034267C">
        <w:t>risk sharing between the operator and its customers (or other equity concerns)</w:t>
      </w:r>
    </w:p>
    <w:p w:rsidR="00364BDE" w:rsidRPr="0034267C" w:rsidRDefault="00364BDE" w:rsidP="00A82DE6">
      <w:pPr>
        <w:pStyle w:val="Lvl1Bulletpoint"/>
      </w:pPr>
      <w:r w:rsidRPr="0034267C">
        <w:t xml:space="preserve">the difficulties inherent in setting charges </w:t>
      </w:r>
      <w:r>
        <w:t xml:space="preserve">based on demand </w:t>
      </w:r>
      <w:r w:rsidRPr="0034267C">
        <w:t>forecast</w:t>
      </w:r>
      <w:r>
        <w:t>s</w:t>
      </w:r>
      <w:r w:rsidRPr="0034267C">
        <w:t xml:space="preserve"> in an environment of considerable uncertainty. </w:t>
      </w:r>
    </w:p>
    <w:p w:rsidR="00364BDE" w:rsidRDefault="00364BDE" w:rsidP="00364BDE">
      <w:pPr>
        <w:rPr>
          <w:rFonts w:cs="Times New Roman"/>
        </w:rPr>
      </w:pPr>
      <w:r w:rsidRPr="0034267C">
        <w:rPr>
          <w:rFonts w:cs="Times New Roman"/>
        </w:rPr>
        <w:t xml:space="preserve">The ACCC is of the view that operators should, consistently with the BWCOP, continue to move towards cost-reflective and upper bound pricing where practicable, but that operators should </w:t>
      </w:r>
      <w:r>
        <w:rPr>
          <w:rFonts w:cs="Times New Roman"/>
        </w:rPr>
        <w:t xml:space="preserve">generally </w:t>
      </w:r>
      <w:r w:rsidRPr="0034267C">
        <w:rPr>
          <w:rFonts w:cs="Times New Roman"/>
        </w:rPr>
        <w:t>retain the discretion to set fixed and variable charges in a manner which best reflects their individual circumstances</w:t>
      </w:r>
      <w:r>
        <w:rPr>
          <w:rFonts w:cs="Times New Roman"/>
        </w:rPr>
        <w:t xml:space="preserve"> (see, however, the ACCC’s rule advice relating to pass through of infrastructure charges incurred by an operator, at section 5.13)</w:t>
      </w:r>
      <w:r w:rsidRPr="0034267C">
        <w:rPr>
          <w:rFonts w:cs="Times New Roman"/>
        </w:rPr>
        <w:t xml:space="preserve">. The ACCC also recognises that enforcing a rule which required revenues recovered via fixed and variable charges to exactly match underlying fixed and variable costs would require exact and detailed data on an operator’s fixed versus variable costs, which would </w:t>
      </w:r>
      <w:r>
        <w:rPr>
          <w:rFonts w:cs="Times New Roman"/>
        </w:rPr>
        <w:t>impose a significant regulatory burden</w:t>
      </w:r>
      <w:r w:rsidRPr="0034267C">
        <w:rPr>
          <w:rFonts w:cs="Times New Roman"/>
        </w:rPr>
        <w:t>.</w:t>
      </w:r>
      <w:r>
        <w:rPr>
          <w:rFonts w:cs="Times New Roman"/>
        </w:rPr>
        <w:t xml:space="preserve"> </w:t>
      </w:r>
    </w:p>
    <w:p w:rsidR="00364BDE" w:rsidRPr="00D714FC" w:rsidRDefault="00364BDE" w:rsidP="00364BDE">
      <w:pPr>
        <w:rPr>
          <w:rFonts w:cs="Times New Roman"/>
        </w:rPr>
      </w:pPr>
      <w:r w:rsidRPr="0034267C">
        <w:rPr>
          <w:rFonts w:cs="Times New Roman"/>
        </w:rPr>
        <w:t>The ACCC notes that the primary rationale behind stakeholder support of cost-reflective charging is the possible impacts on water markets of tariff regimes that differ in their ‘fixed vs variable split’. The ACCC considers that it is more important to address aspects of charging arrangements that directly distort trading decisions, such as infrastructure charges levied directly on trade,</w:t>
      </w:r>
      <w:r>
        <w:rPr>
          <w:rStyle w:val="FootnoteReference"/>
          <w:rFonts w:cs="Times New Roman"/>
        </w:rPr>
        <w:footnoteReference w:id="598"/>
      </w:r>
      <w:r w:rsidRPr="0034267C">
        <w:rPr>
          <w:rFonts w:cs="Times New Roman"/>
        </w:rPr>
        <w:t xml:space="preserve"> rather than attempting to partially address the indirect effects of differing tariff structures by mandating cost-reflective charging via the rules.</w:t>
      </w:r>
      <w:r>
        <w:rPr>
          <w:rFonts w:cs="Times New Roman"/>
        </w:rPr>
        <w:t xml:space="preserve"> </w:t>
      </w:r>
    </w:p>
    <w:p w:rsidR="00364BDE" w:rsidRPr="00D714FC" w:rsidRDefault="00364BDE" w:rsidP="00364BDE">
      <w:pPr>
        <w:rPr>
          <w:rFonts w:cs="Times New Roman"/>
        </w:rPr>
      </w:pPr>
      <w:r>
        <w:rPr>
          <w:rFonts w:cs="Times New Roman"/>
        </w:rPr>
        <w:t xml:space="preserve">The ACCC recognises that </w:t>
      </w:r>
      <w:r w:rsidRPr="00D714FC">
        <w:rPr>
          <w:rFonts w:cs="Times New Roman"/>
        </w:rPr>
        <w:t>underlying differences in charging arrangements will continue to persist, and are likely to continue to affect prices in water markets. Whether these effects amount to distortions on trade will depend on the reasons for the differences in charging arrangements. The ACCC acknowledges the limited ability of the rules to fully prevent all distortionary effects of tariff structures</w:t>
      </w:r>
      <w:r>
        <w:rPr>
          <w:rFonts w:cs="Times New Roman"/>
        </w:rPr>
        <w:t xml:space="preserve">. This is </w:t>
      </w:r>
      <w:r w:rsidRPr="00D714FC">
        <w:rPr>
          <w:rFonts w:cs="Times New Roman"/>
        </w:rPr>
        <w:t xml:space="preserve">due to the prohibitive costs </w:t>
      </w:r>
      <w:r>
        <w:rPr>
          <w:rFonts w:cs="Times New Roman"/>
        </w:rPr>
        <w:t xml:space="preserve">in obtaining the </w:t>
      </w:r>
      <w:r w:rsidRPr="00D714FC">
        <w:rPr>
          <w:rFonts w:cs="Times New Roman"/>
        </w:rPr>
        <w:t>information required to fully understand underlying cost structures and implement fully cost-reflective charges for all infrastructure operators</w:t>
      </w:r>
      <w:r>
        <w:rPr>
          <w:rFonts w:cs="Times New Roman"/>
        </w:rPr>
        <w:t>. In addition, the rules are limited in their ability to fully prevent distortionary effects because</w:t>
      </w:r>
      <w:r w:rsidRPr="00D714FC">
        <w:rPr>
          <w:rFonts w:cs="Times New Roman"/>
        </w:rPr>
        <w:t xml:space="preserve"> infrastructure services </w:t>
      </w:r>
      <w:r>
        <w:rPr>
          <w:rFonts w:cs="Times New Roman"/>
        </w:rPr>
        <w:t>provided by some entities are partly or wholly subsidised by governments, thereby</w:t>
      </w:r>
      <w:r w:rsidRPr="00D714FC">
        <w:rPr>
          <w:rFonts w:cs="Times New Roman"/>
        </w:rPr>
        <w:t xml:space="preserve"> distort</w:t>
      </w:r>
      <w:r>
        <w:rPr>
          <w:rFonts w:cs="Times New Roman"/>
        </w:rPr>
        <w:t>ing</w:t>
      </w:r>
      <w:r w:rsidRPr="00D714FC">
        <w:rPr>
          <w:rFonts w:cs="Times New Roman"/>
        </w:rPr>
        <w:t xml:space="preserve"> relative prices. </w:t>
      </w:r>
    </w:p>
    <w:p w:rsidR="00364BDE" w:rsidRPr="00D714FC" w:rsidRDefault="00364BDE" w:rsidP="00364BDE">
      <w:pPr>
        <w:rPr>
          <w:rFonts w:cs="Times New Roman"/>
        </w:rPr>
      </w:pPr>
      <w:r w:rsidRPr="00D714FC">
        <w:rPr>
          <w:rFonts w:cs="Times New Roman"/>
        </w:rPr>
        <w:t>The ACCC agrees with M</w:t>
      </w:r>
      <w:r w:rsidR="00EA1B40">
        <w:rPr>
          <w:rFonts w:cs="Times New Roman"/>
        </w:rPr>
        <w:t xml:space="preserve">arsden </w:t>
      </w:r>
      <w:r w:rsidRPr="00D714FC">
        <w:rPr>
          <w:rFonts w:cs="Times New Roman"/>
        </w:rPr>
        <w:t>J</w:t>
      </w:r>
      <w:r w:rsidR="00EA1B40">
        <w:rPr>
          <w:rFonts w:cs="Times New Roman"/>
        </w:rPr>
        <w:t xml:space="preserve">acobs </w:t>
      </w:r>
      <w:r w:rsidRPr="00D714FC">
        <w:rPr>
          <w:rFonts w:cs="Times New Roman"/>
        </w:rPr>
        <w:t>A</w:t>
      </w:r>
      <w:r w:rsidR="00EA1B40">
        <w:rPr>
          <w:rFonts w:cs="Times New Roman"/>
        </w:rPr>
        <w:t>ssociates</w:t>
      </w:r>
      <w:r w:rsidRPr="00D714FC">
        <w:rPr>
          <w:rFonts w:cs="Times New Roman"/>
        </w:rPr>
        <w:t xml:space="preserve"> that there is a need for ongoing monitoring of the impact of </w:t>
      </w:r>
      <w:r>
        <w:rPr>
          <w:rFonts w:cs="Times New Roman"/>
        </w:rPr>
        <w:t>operator</w:t>
      </w:r>
      <w:r w:rsidRPr="00D714FC">
        <w:rPr>
          <w:rFonts w:cs="Times New Roman"/>
        </w:rPr>
        <w:t xml:space="preserve"> charges on market outcomes. The ACCC </w:t>
      </w:r>
      <w:r>
        <w:rPr>
          <w:rFonts w:cs="Times New Roman"/>
        </w:rPr>
        <w:t xml:space="preserve">believes this will be possible given </w:t>
      </w:r>
      <w:r w:rsidRPr="00D714FC">
        <w:rPr>
          <w:rFonts w:cs="Times New Roman"/>
        </w:rPr>
        <w:t xml:space="preserve">the </w:t>
      </w:r>
      <w:r>
        <w:rPr>
          <w:rFonts w:cs="Times New Roman"/>
        </w:rPr>
        <w:t xml:space="preserve">proposed </w:t>
      </w:r>
      <w:r w:rsidRPr="00D714FC">
        <w:rPr>
          <w:rFonts w:cs="Times New Roman"/>
        </w:rPr>
        <w:t>non</w:t>
      </w:r>
      <w:r>
        <w:rPr>
          <w:rFonts w:cs="Times New Roman"/>
        </w:rPr>
        <w:noBreakHyphen/>
      </w:r>
      <w:r w:rsidRPr="00D714FC">
        <w:rPr>
          <w:rFonts w:cs="Times New Roman"/>
        </w:rPr>
        <w:t xml:space="preserve">discrimination provisions, the information collected via infrastructure operators’ and other entities’ </w:t>
      </w:r>
      <w:r w:rsidR="00AD6514">
        <w:rPr>
          <w:rFonts w:cs="Times New Roman"/>
        </w:rPr>
        <w:t>S</w:t>
      </w:r>
      <w:r w:rsidRPr="00D714FC">
        <w:rPr>
          <w:rFonts w:cs="Times New Roman"/>
        </w:rPr>
        <w:t xml:space="preserve">chedules of </w:t>
      </w:r>
      <w:r w:rsidR="00AD6514">
        <w:rPr>
          <w:rFonts w:cs="Times New Roman"/>
        </w:rPr>
        <w:t>C</w:t>
      </w:r>
      <w:r w:rsidRPr="00D714FC">
        <w:rPr>
          <w:rFonts w:cs="Times New Roman"/>
        </w:rPr>
        <w:t xml:space="preserve">harges, and the annual </w:t>
      </w:r>
      <w:r w:rsidR="00AD6514">
        <w:rPr>
          <w:rFonts w:cs="Times New Roman"/>
        </w:rPr>
        <w:t>‘</w:t>
      </w:r>
      <w:r w:rsidRPr="00D714FC">
        <w:rPr>
          <w:rFonts w:cs="Times New Roman"/>
        </w:rPr>
        <w:t>Requests For Information</w:t>
      </w:r>
      <w:r w:rsidR="00AD6514">
        <w:rPr>
          <w:rFonts w:cs="Times New Roman"/>
        </w:rPr>
        <w:t>’</w:t>
      </w:r>
      <w:r w:rsidRPr="00D714FC">
        <w:rPr>
          <w:rFonts w:cs="Times New Roman"/>
        </w:rPr>
        <w:t xml:space="preserve"> the ACCC </w:t>
      </w:r>
      <w:r>
        <w:rPr>
          <w:rFonts w:cs="Times New Roman"/>
        </w:rPr>
        <w:t xml:space="preserve">makes </w:t>
      </w:r>
      <w:r w:rsidRPr="00D714FC">
        <w:rPr>
          <w:rFonts w:cs="Times New Roman"/>
        </w:rPr>
        <w:t xml:space="preserve">to </w:t>
      </w:r>
      <w:r>
        <w:rPr>
          <w:rFonts w:cs="Times New Roman"/>
        </w:rPr>
        <w:t>inform</w:t>
      </w:r>
      <w:r w:rsidRPr="00D714FC">
        <w:rPr>
          <w:rFonts w:cs="Times New Roman"/>
        </w:rPr>
        <w:t xml:space="preserve"> its Water Monitoring Reports.</w:t>
      </w:r>
    </w:p>
    <w:p w:rsidR="00364BDE" w:rsidRDefault="00364BDE" w:rsidP="00364BDE">
      <w:pPr>
        <w:pStyle w:val="Heading3"/>
      </w:pPr>
      <w:bookmarkStart w:id="1119" w:name="_Toc456785820"/>
      <w:bookmarkStart w:id="1120" w:name="_Toc461630731"/>
      <w:r>
        <w:t>Charging arrangements during periods of low or restricted water availability</w:t>
      </w:r>
      <w:bookmarkEnd w:id="1119"/>
      <w:bookmarkEnd w:id="1120"/>
    </w:p>
    <w:p w:rsidR="00364BDE" w:rsidRPr="00FC322B" w:rsidRDefault="00364BDE" w:rsidP="00364BDE">
      <w:pPr>
        <w:pStyle w:val="Heading4"/>
      </w:pPr>
      <w:r>
        <w:t>Stakeholder feedback</w:t>
      </w:r>
    </w:p>
    <w:p w:rsidR="00364BDE" w:rsidRDefault="00364BDE" w:rsidP="00364BDE">
      <w:r>
        <w:t xml:space="preserve">Several stakeholders also commented on, or questioned, the imposition of infrastructure charges during periods of low, or restricted, water availability. </w:t>
      </w:r>
    </w:p>
    <w:p w:rsidR="00364BDE" w:rsidRDefault="00364BDE" w:rsidP="00364BDE">
      <w:r>
        <w:t>SMK Consultants submitted on behalf of Mr John Seery, an irrigator in the Macintyre and Gwydir valleys. SMK Consultants, in noting the different proportions of fixed and variable charges between states, submitted that the water charge rules should “mandate” the way in which infrastructure operators’ set this proportion, with a preference towards increasing the proportion of variable charges.</w:t>
      </w:r>
      <w:r>
        <w:rPr>
          <w:rStyle w:val="FootnoteReference"/>
        </w:rPr>
        <w:footnoteReference w:id="599"/>
      </w:r>
      <w:r>
        <w:t xml:space="preserve"> The rationale that SMK Consultants submitted to support this view relate to the concern about paying “significant” charges when there are low volumes of available water allocations. SMK Consultants consider that the current pricing approach is “damaging enterprises” and “hurting the agriculture industry and will continue to do so until a point where many activities are untenable”. SMK Consultants argue that a higher proportion of variable charges would be a more sustainable, and ‘user-pays’, approach to pricing. </w:t>
      </w:r>
    </w:p>
    <w:p w:rsidR="00364BDE" w:rsidRDefault="00364BDE" w:rsidP="00364BDE">
      <w:r>
        <w:t>WJ and A Seery Partnerships separately submitted their view that all annual water charges should not be imposed when the government and/or infrastructure operator imposes embargoes on water extraction.</w:t>
      </w:r>
      <w:r w:rsidRPr="00030905">
        <w:rPr>
          <w:rStyle w:val="FootnoteReference"/>
          <w:rFonts w:cs="Times New Roman"/>
          <w:sz w:val="20"/>
          <w:szCs w:val="20"/>
        </w:rPr>
        <w:footnoteReference w:id="600"/>
      </w:r>
      <w:r>
        <w:t xml:space="preserve"> WJ and A Seery provided that an example of such an embargo in the Border Rivers system whereby the </w:t>
      </w:r>
      <w:r w:rsidR="003E354B">
        <w:t>DPI</w:t>
      </w:r>
      <w:r>
        <w:t xml:space="preserve"> </w:t>
      </w:r>
      <w:r w:rsidR="00836844">
        <w:t xml:space="preserve">Water </w:t>
      </w:r>
      <w:r>
        <w:t>and WaterNSW have at times limited extraction in the Border Rivers System, despite the flow being above 10 000ML, the minimum flow rate at which supplementary licence holders can extract water. WJ and A Seery note that the reasons for the embargo include water quality issues (blue green algae) and to allow water to flow to Menindee Lakes and Broken Hill. WJ and A Seery were concerned about having to pay water charges under these circumstances and that irrigators are unable to “get back water which they have lost as a consequence of these restrictions” (e.g. to extract water below the 10 000</w:t>
      </w:r>
      <w:r w:rsidR="009745C1">
        <w:t xml:space="preserve"> </w:t>
      </w:r>
      <w:r>
        <w:t>ML threshold after the embargo has been removed). WJ and A Seery noted that “the financial loss suffered by irrigators when Government agencies deny them access to extract water which they are normally entitlement[sic] to, is far in excess of annual water charges”. WJ and A Seery considered that “[t]he environment is taking priority and yet the burden of maintaining the system is falling on irrigators”.</w:t>
      </w:r>
    </w:p>
    <w:p w:rsidR="00364BDE" w:rsidRDefault="00364BDE" w:rsidP="00364BDE">
      <w:pPr>
        <w:pStyle w:val="Heading4"/>
      </w:pPr>
      <w:r>
        <w:t>ACCC assessment</w:t>
      </w:r>
    </w:p>
    <w:p w:rsidR="00364BDE" w:rsidRDefault="00364BDE" w:rsidP="00364BDE">
      <w:pPr>
        <w:spacing w:after="120"/>
      </w:pPr>
      <w:r>
        <w:t>The ACCC recognises stakeholder concerns about paying for infrastructure charges in periods of low water availability. However, the ACCC reiterates that infrastructure charges are not ‘resource rents’ for water itself, but are rather set to recover costs of providing infrastructure services.</w:t>
      </w:r>
      <w:r w:rsidRPr="006D5130">
        <w:t xml:space="preserve"> </w:t>
      </w:r>
      <w:r>
        <w:t xml:space="preserve">Many of an infrastructure operator’s </w:t>
      </w:r>
      <w:r w:rsidRPr="006D5130">
        <w:t>costs</w:t>
      </w:r>
      <w:r>
        <w:t xml:space="preserve"> are incurred regardless of the level of water availability—even in cases where water users are unable to access water allocations because of low water availability generally, or specific event-based restrictions (such as the restrictions related to blue-green algae identified by stakeholders). The ACCC considers that the rules cannot mandate that operators should forego recovery of fixed costs in times of low water availability, as to do so would be inconsistent with the BWCOP. </w:t>
      </w:r>
    </w:p>
    <w:p w:rsidR="00364BDE" w:rsidRDefault="00364BDE" w:rsidP="00364BDE">
      <w:pPr>
        <w:spacing w:after="120"/>
      </w:pPr>
      <w:r>
        <w:t xml:space="preserve">However, the rules do allow for the sharing of financial risks between operators and customers, and for operators to alter the timing of when infrastructure charges are imposed, both generally and in relation to customer preferences. In particular, the ACCC has proposed (see section 5.3) that the rules explicitly acknowledge that operators may choose to offer a ‘hardship discount’, and / or may give effect to </w:t>
      </w:r>
      <w:r w:rsidR="001F1D87">
        <w:t>C</w:t>
      </w:r>
      <w:r>
        <w:t xml:space="preserve">ommunity </w:t>
      </w:r>
      <w:r w:rsidR="001F1D87">
        <w:t>S</w:t>
      </w:r>
      <w:r>
        <w:t xml:space="preserve">ervice </w:t>
      </w:r>
      <w:r w:rsidR="001F1D87">
        <w:t>O</w:t>
      </w:r>
      <w:r>
        <w:t xml:space="preserve">bligations given by Basin States via discounting (or waiving) infrastructure charges. </w:t>
      </w:r>
    </w:p>
    <w:p w:rsidR="00364BDE" w:rsidRDefault="00364BDE" w:rsidP="00364BDE">
      <w:pPr>
        <w:spacing w:after="0"/>
      </w:pPr>
      <w:r>
        <w:t xml:space="preserve">Also, the rules do not mandate the proportion of costs that can be recovered through fixed versus variable charges. Operators (and regulators who approve or determine operator’s charges) have the discretion to choose a higher proportion of variable charges, which has the effect that, all else equal, irrigators will pay fewer charges in a period of low water availability relative to a period of high water availability. In deciding on the proportion of fixed and variable charges, an appropriate balance should </w:t>
      </w:r>
      <w:r w:rsidR="00D14538">
        <w:t xml:space="preserve">be </w:t>
      </w:r>
      <w:r>
        <w:t xml:space="preserve">struck between: </w:t>
      </w:r>
    </w:p>
    <w:p w:rsidR="00364BDE" w:rsidRDefault="00364BDE" w:rsidP="00A82DE6">
      <w:pPr>
        <w:pStyle w:val="Lvl1Bulletpoint"/>
      </w:pPr>
      <w:r w:rsidRPr="00405A1D">
        <w:t xml:space="preserve">maintaining the viability of the </w:t>
      </w:r>
      <w:r>
        <w:t>infrastructure operator</w:t>
      </w:r>
    </w:p>
    <w:p w:rsidR="00364BDE" w:rsidRDefault="00364BDE" w:rsidP="00A82DE6">
      <w:pPr>
        <w:pStyle w:val="Lvl1Bulletpoint"/>
      </w:pPr>
      <w:r>
        <w:t>providing incentives and signals for efficient investments and</w:t>
      </w:r>
    </w:p>
    <w:p w:rsidR="00364BDE" w:rsidRDefault="00364BDE" w:rsidP="00A82DE6">
      <w:pPr>
        <w:pStyle w:val="Lvl1Bulletpoint"/>
      </w:pPr>
      <w:r>
        <w:t>customers’ willingness to pay.</w:t>
      </w:r>
    </w:p>
    <w:p w:rsidR="00364BDE" w:rsidRPr="00FC322B" w:rsidRDefault="00364BDE" w:rsidP="00364BDE">
      <w:pPr>
        <w:spacing w:after="0"/>
      </w:pPr>
      <w:r>
        <w:t>The ACCC maintains that these decisions are best considered on a case-by-case basis to enable an operator (and regulator) to take into account individual circumstances. Therefore, the ACCC does not recommend that the rules should mandate the proportion of fixed and variable charges.</w:t>
      </w:r>
    </w:p>
    <w:p w:rsidR="00955EE8" w:rsidRDefault="00955EE8">
      <w:pPr>
        <w:rPr>
          <w:rFonts w:eastAsia="Arial" w:cs="Times New Roman"/>
          <w:b/>
          <w:sz w:val="24"/>
        </w:rPr>
      </w:pPr>
    </w:p>
    <w:p w:rsidR="00F94499" w:rsidRDefault="00E63E6E" w:rsidP="004232BA">
      <w:pPr>
        <w:pStyle w:val="Heading2"/>
      </w:pPr>
      <w:bookmarkStart w:id="1121" w:name="_Toc436122314"/>
      <w:bookmarkStart w:id="1122" w:name="_Toc436122809"/>
      <w:bookmarkStart w:id="1123" w:name="_Toc436124164"/>
      <w:bookmarkStart w:id="1124" w:name="_Toc456785821"/>
      <w:bookmarkStart w:id="1125" w:name="_Toc461630732"/>
      <w:r w:rsidRPr="00D714FC">
        <w:t>Commercially negotiated charges and third party access regimes</w:t>
      </w:r>
      <w:bookmarkEnd w:id="1121"/>
      <w:bookmarkEnd w:id="1122"/>
      <w:bookmarkEnd w:id="1123"/>
      <w:bookmarkEnd w:id="1124"/>
      <w:bookmarkEnd w:id="1125"/>
      <w:r w:rsidRPr="00D714FC">
        <w:tab/>
      </w:r>
    </w:p>
    <w:p w:rsidR="00C62C52" w:rsidRPr="00020517" w:rsidRDefault="00D07E1E" w:rsidP="00020517">
      <w:pPr>
        <w:pStyle w:val="Heading3Un-numbered"/>
        <w:spacing w:before="0" w:after="0"/>
        <w:rPr>
          <w:rFonts w:ascii="Times New Roman" w:hAnsi="Times New Roman"/>
          <w:color w:val="FFFFFF" w:themeColor="background1"/>
          <w:sz w:val="12"/>
          <w:szCs w:val="12"/>
        </w:rPr>
      </w:pPr>
      <w:r w:rsidRPr="00020517">
        <w:rPr>
          <w:color w:val="FFFFFF" w:themeColor="background1"/>
          <w:sz w:val="12"/>
          <w:szCs w:val="12"/>
        </w:rPr>
        <w:fldChar w:fldCharType="begin"/>
      </w:r>
      <w:r w:rsidRPr="00020517">
        <w:rPr>
          <w:color w:val="FFFFFF" w:themeColor="background1"/>
          <w:sz w:val="12"/>
          <w:szCs w:val="12"/>
        </w:rPr>
        <w:instrText xml:space="preserve"> REF _Ref434840359 \h  \* MERGEFORMAT </w:instrText>
      </w:r>
      <w:r w:rsidRPr="00020517">
        <w:rPr>
          <w:color w:val="FFFFFF" w:themeColor="background1"/>
          <w:sz w:val="12"/>
          <w:szCs w:val="12"/>
        </w:rPr>
      </w:r>
      <w:r w:rsidRPr="00020517">
        <w:rPr>
          <w:color w:val="FFFFFF" w:themeColor="background1"/>
          <w:sz w:val="12"/>
          <w:szCs w:val="12"/>
        </w:rPr>
        <w:fldChar w:fldCharType="separate"/>
      </w:r>
      <w:r w:rsidR="00BD218B" w:rsidRPr="00BD218B">
        <w:rPr>
          <w:color w:val="FFFFFF" w:themeColor="background1"/>
          <w:sz w:val="12"/>
          <w:szCs w:val="12"/>
        </w:rPr>
        <w:t>Rule advice</w:t>
      </w:r>
      <w:r w:rsidRPr="00020517">
        <w:rPr>
          <w:color w:val="FFFFFF" w:themeColor="background1"/>
          <w:sz w:val="12"/>
          <w:szCs w:val="12"/>
        </w:rPr>
        <w:fldChar w:fldCharType="end"/>
      </w:r>
      <w:r w:rsidR="00C21C88" w:rsidRPr="00020517">
        <w:rPr>
          <w:color w:val="FFFFFF" w:themeColor="background1"/>
          <w:sz w:val="12"/>
          <w:szCs w:val="12"/>
        </w:rPr>
        <w:t xml:space="preserve"> </w:t>
      </w:r>
    </w:p>
    <w:tbl>
      <w:tblPr>
        <w:tblStyle w:val="TableGrid"/>
        <w:tblW w:w="0" w:type="auto"/>
        <w:tblLook w:val="04A0" w:firstRow="1" w:lastRow="0" w:firstColumn="1" w:lastColumn="0" w:noHBand="0" w:noVBand="1"/>
      </w:tblPr>
      <w:tblGrid>
        <w:gridCol w:w="9242"/>
      </w:tblGrid>
      <w:tr w:rsidR="00C62C52" w:rsidTr="00A14774">
        <w:tc>
          <w:tcPr>
            <w:tcW w:w="9242" w:type="dxa"/>
            <w:tcBorders>
              <w:top w:val="nil"/>
              <w:left w:val="nil"/>
              <w:bottom w:val="nil"/>
              <w:right w:val="nil"/>
            </w:tcBorders>
            <w:shd w:val="clear" w:color="auto" w:fill="D9D9D9" w:themeFill="background1" w:themeFillShade="D9"/>
          </w:tcPr>
          <w:p w:rsidR="00ED342F" w:rsidRPr="00D714FC" w:rsidRDefault="00ED342F" w:rsidP="00AF7032">
            <w:pPr>
              <w:pStyle w:val="Caption"/>
              <w:rPr>
                <w:rFonts w:eastAsia="Arial"/>
              </w:rPr>
            </w:pPr>
            <w:bookmarkStart w:id="1126" w:name="_Toc456784095"/>
            <w:bookmarkStart w:id="1127" w:name="_Toc433975404"/>
            <w:bookmarkStart w:id="1128" w:name="_Toc432937622"/>
            <w:r w:rsidRPr="00D714FC">
              <w:t xml:space="preserve">Rule advice </w:t>
            </w:r>
            <w:r w:rsidR="007F659D">
              <w:rPr>
                <w:noProof/>
              </w:rPr>
              <w:t>5</w:t>
            </w:r>
            <w:r>
              <w:noBreakHyphen/>
            </w:r>
            <w:r w:rsidR="007F659D">
              <w:rPr>
                <w:noProof/>
              </w:rPr>
              <w:t>X</w:t>
            </w:r>
            <w:bookmarkEnd w:id="1126"/>
          </w:p>
          <w:p w:rsidR="00C62C52" w:rsidRPr="00D714FC" w:rsidRDefault="00C62C52" w:rsidP="00A14774">
            <w:pPr>
              <w:pStyle w:val="Heading8"/>
              <w:outlineLvl w:val="7"/>
            </w:pPr>
            <w:bookmarkStart w:id="1129" w:name="_Toc435179043"/>
            <w:bookmarkStart w:id="1130" w:name="_Toc436123429"/>
            <w:bookmarkStart w:id="1131" w:name="_Toc456784096"/>
            <w:bookmarkStart w:id="1132" w:name="Rule_Advice_5X"/>
            <w:r w:rsidRPr="00D714FC">
              <w:t xml:space="preserve">The rules should be amended to provide an exemption such that </w:t>
            </w:r>
            <w:r w:rsidR="007259DC">
              <w:t xml:space="preserve">proposed rule 10 does not apply in relation to </w:t>
            </w:r>
            <w:r w:rsidRPr="00D714FC">
              <w:t>charges</w:t>
            </w:r>
            <w:r w:rsidR="007259DC">
              <w:t>,</w:t>
            </w:r>
            <w:r w:rsidRPr="00D714FC">
              <w:t xml:space="preserve"> </w:t>
            </w:r>
            <w:r w:rsidR="007259DC">
              <w:t xml:space="preserve">or restrictions on the availability of infrastructure services, that are </w:t>
            </w:r>
            <w:r w:rsidRPr="00D714FC">
              <w:t xml:space="preserve">negotiated, </w:t>
            </w:r>
            <w:r w:rsidR="00D85837">
              <w:t xml:space="preserve">offered, </w:t>
            </w:r>
            <w:r w:rsidRPr="00D714FC">
              <w:t xml:space="preserve">arbitrated or otherwise </w:t>
            </w:r>
            <w:r w:rsidR="00D85837">
              <w:t>specified</w:t>
            </w:r>
            <w:r w:rsidR="00D85837" w:rsidRPr="00D714FC">
              <w:t xml:space="preserve"> </w:t>
            </w:r>
            <w:r w:rsidRPr="00D714FC">
              <w:t xml:space="preserve">under the following arrangements </w:t>
            </w:r>
            <w:r w:rsidR="00D85837">
              <w:t xml:space="preserve">(or arrived at under a dispute resolution process undertaken consistently with such an arrangement) </w:t>
            </w:r>
            <w:r w:rsidRPr="00D714FC">
              <w:t xml:space="preserve">under Part IIIA of the </w:t>
            </w:r>
            <w:r w:rsidRPr="00C91F5B">
              <w:rPr>
                <w:i/>
              </w:rPr>
              <w:t>Competition and Consumer Act 2010</w:t>
            </w:r>
            <w:r w:rsidRPr="00D714FC">
              <w:t>:</w:t>
            </w:r>
            <w:bookmarkEnd w:id="1129"/>
            <w:bookmarkEnd w:id="1130"/>
            <w:bookmarkEnd w:id="1131"/>
          </w:p>
          <w:p w:rsidR="00C62C52" w:rsidRPr="00D714FC" w:rsidRDefault="00C62C52" w:rsidP="00F43856">
            <w:pPr>
              <w:pStyle w:val="Heading8"/>
              <w:numPr>
                <w:ilvl w:val="0"/>
                <w:numId w:val="111"/>
              </w:numPr>
              <w:outlineLvl w:val="7"/>
            </w:pPr>
            <w:bookmarkStart w:id="1133" w:name="_Toc435179044"/>
            <w:bookmarkStart w:id="1134" w:name="_Toc436123430"/>
            <w:bookmarkStart w:id="1135" w:name="_Toc456784097"/>
            <w:r w:rsidRPr="00D714FC">
              <w:t>an access undertaking or access code;</w:t>
            </w:r>
            <w:bookmarkEnd w:id="1133"/>
            <w:bookmarkEnd w:id="1134"/>
            <w:bookmarkEnd w:id="1135"/>
          </w:p>
          <w:p w:rsidR="00C62C52" w:rsidRPr="00D714FC" w:rsidRDefault="00C62C52" w:rsidP="00F43856">
            <w:pPr>
              <w:pStyle w:val="Heading8"/>
              <w:numPr>
                <w:ilvl w:val="0"/>
                <w:numId w:val="111"/>
              </w:numPr>
              <w:outlineLvl w:val="7"/>
            </w:pPr>
            <w:bookmarkStart w:id="1136" w:name="_Toc435179045"/>
            <w:bookmarkStart w:id="1137" w:name="_Toc436123431"/>
            <w:bookmarkStart w:id="1138" w:name="_Toc456784098"/>
            <w:r w:rsidRPr="00D714FC">
              <w:t>a declared service;</w:t>
            </w:r>
            <w:bookmarkEnd w:id="1136"/>
            <w:bookmarkEnd w:id="1137"/>
            <w:bookmarkEnd w:id="1138"/>
            <w:r w:rsidRPr="00D714FC">
              <w:t xml:space="preserve"> </w:t>
            </w:r>
          </w:p>
          <w:p w:rsidR="00C62C52" w:rsidRPr="00D714FC" w:rsidRDefault="00C62C52" w:rsidP="00F43856">
            <w:pPr>
              <w:pStyle w:val="Heading8"/>
              <w:numPr>
                <w:ilvl w:val="0"/>
                <w:numId w:val="111"/>
              </w:numPr>
              <w:outlineLvl w:val="7"/>
            </w:pPr>
            <w:bookmarkStart w:id="1139" w:name="_Toc435179046"/>
            <w:bookmarkStart w:id="1140" w:name="_Toc436123432"/>
            <w:bookmarkStart w:id="1141" w:name="_Toc456784099"/>
            <w:r w:rsidRPr="00D714FC">
              <w:t>an effective</w:t>
            </w:r>
            <w:r>
              <w:t xml:space="preserve"> </w:t>
            </w:r>
            <w:r w:rsidRPr="00D714FC">
              <w:t>access regime;</w:t>
            </w:r>
            <w:bookmarkEnd w:id="1139"/>
            <w:bookmarkEnd w:id="1140"/>
            <w:bookmarkEnd w:id="1141"/>
          </w:p>
          <w:p w:rsidR="00C62C52" w:rsidRPr="00D714FC" w:rsidRDefault="00C62C52" w:rsidP="00F43856">
            <w:pPr>
              <w:pStyle w:val="Heading8"/>
              <w:numPr>
                <w:ilvl w:val="0"/>
                <w:numId w:val="111"/>
              </w:numPr>
              <w:outlineLvl w:val="7"/>
            </w:pPr>
            <w:bookmarkStart w:id="1142" w:name="_Toc435179047"/>
            <w:bookmarkStart w:id="1143" w:name="_Toc436123433"/>
            <w:bookmarkStart w:id="1144" w:name="_Toc456784100"/>
            <w:r w:rsidRPr="00D714FC">
              <w:t>a competitive tender process.</w:t>
            </w:r>
            <w:bookmarkEnd w:id="1142"/>
            <w:bookmarkEnd w:id="1143"/>
            <w:bookmarkEnd w:id="1144"/>
          </w:p>
          <w:p w:rsidR="00C62C52" w:rsidRDefault="00C62C52" w:rsidP="00A14774">
            <w:pPr>
              <w:pStyle w:val="Heading8"/>
              <w:outlineLvl w:val="7"/>
            </w:pPr>
            <w:bookmarkStart w:id="1145" w:name="_Toc456784101"/>
            <w:bookmarkStart w:id="1146" w:name="_Toc435179048"/>
            <w:bookmarkStart w:id="1147" w:name="_Toc436123434"/>
            <w:r w:rsidRPr="00D714FC">
              <w:t>There should not be any general exemption for other ‘commercially negotiated’ infrastructure charges.</w:t>
            </w:r>
            <w:bookmarkEnd w:id="1145"/>
            <w:r w:rsidRPr="00D714FC">
              <w:t xml:space="preserve"> </w:t>
            </w:r>
            <w:bookmarkEnd w:id="1146"/>
            <w:bookmarkEnd w:id="1147"/>
          </w:p>
          <w:p w:rsidR="00B30286" w:rsidRPr="004A065E" w:rsidRDefault="00B30286" w:rsidP="00B30286">
            <w:pPr>
              <w:pStyle w:val="Heading8"/>
              <w:outlineLvl w:val="7"/>
              <w:rPr>
                <w:i/>
                <w:sz w:val="18"/>
              </w:rPr>
            </w:pPr>
            <w:r w:rsidRPr="004A065E">
              <w:rPr>
                <w:i/>
                <w:sz w:val="18"/>
              </w:rPr>
              <w:t xml:space="preserve">See rule advice 5-B (in section 5.3.1) for the proposed non-discrimination </w:t>
            </w:r>
            <w:r w:rsidR="00E815E4" w:rsidRPr="004A065E">
              <w:rPr>
                <w:i/>
                <w:sz w:val="18"/>
              </w:rPr>
              <w:t>requirements</w:t>
            </w:r>
            <w:r w:rsidRPr="004A065E">
              <w:rPr>
                <w:i/>
                <w:sz w:val="18"/>
              </w:rPr>
              <w:t xml:space="preserve">. </w:t>
            </w:r>
          </w:p>
          <w:p w:rsidR="00C62C52" w:rsidRPr="00C80AC2" w:rsidRDefault="00C62C52" w:rsidP="00B641AC">
            <w:pPr>
              <w:pStyle w:val="Heading8"/>
              <w:outlineLvl w:val="7"/>
            </w:pPr>
            <w:bookmarkStart w:id="1148" w:name="_Toc436123435"/>
            <w:bookmarkStart w:id="1149" w:name="_Toc456784102"/>
            <w:r>
              <w:rPr>
                <w:rFonts w:ascii="Times New Roman" w:hAnsi="Times New Roman"/>
              </w:rPr>
              <w:t xml:space="preserve">This rule advice is implemented in </w:t>
            </w:r>
            <w:r w:rsidR="00A52AF4">
              <w:rPr>
                <w:rFonts w:ascii="Times New Roman" w:hAnsi="Times New Roman"/>
              </w:rPr>
              <w:t>r</w:t>
            </w:r>
            <w:r>
              <w:rPr>
                <w:rFonts w:ascii="Times New Roman" w:hAnsi="Times New Roman"/>
              </w:rPr>
              <w:t>ule 10(</w:t>
            </w:r>
            <w:r w:rsidR="00B641AC">
              <w:rPr>
                <w:rFonts w:ascii="Times New Roman" w:hAnsi="Times New Roman"/>
              </w:rPr>
              <w:t>7</w:t>
            </w:r>
            <w:r>
              <w:rPr>
                <w:rFonts w:ascii="Times New Roman" w:hAnsi="Times New Roman"/>
              </w:rPr>
              <w:t xml:space="preserve">) of the proposed </w:t>
            </w:r>
            <w:r w:rsidR="00222D0D">
              <w:rPr>
                <w:rFonts w:ascii="Times New Roman" w:hAnsi="Times New Roman"/>
              </w:rPr>
              <w:t>W</w:t>
            </w:r>
            <w:r>
              <w:rPr>
                <w:rFonts w:ascii="Times New Roman" w:hAnsi="Times New Roman"/>
              </w:rPr>
              <w:t xml:space="preserve">ater </w:t>
            </w:r>
            <w:r w:rsidR="00222D0D">
              <w:rPr>
                <w:rFonts w:ascii="Times New Roman" w:hAnsi="Times New Roman"/>
              </w:rPr>
              <w:t>C</w:t>
            </w:r>
            <w:r>
              <w:rPr>
                <w:rFonts w:ascii="Times New Roman" w:hAnsi="Times New Roman"/>
              </w:rPr>
              <w:t xml:space="preserve">harge </w:t>
            </w:r>
            <w:r w:rsidR="00222D0D">
              <w:rPr>
                <w:rFonts w:ascii="Times New Roman" w:hAnsi="Times New Roman"/>
              </w:rPr>
              <w:t>R</w:t>
            </w:r>
            <w:r>
              <w:rPr>
                <w:rFonts w:ascii="Times New Roman" w:hAnsi="Times New Roman"/>
              </w:rPr>
              <w:t>ules.</w:t>
            </w:r>
            <w:bookmarkEnd w:id="1132"/>
            <w:bookmarkEnd w:id="1148"/>
            <w:bookmarkEnd w:id="1149"/>
          </w:p>
        </w:tc>
      </w:tr>
    </w:tbl>
    <w:bookmarkEnd w:id="1127"/>
    <w:bookmarkEnd w:id="1128"/>
    <w:p w:rsidR="006246A8" w:rsidRPr="006246A8" w:rsidRDefault="006246A8" w:rsidP="00020517">
      <w:pPr>
        <w:pStyle w:val="Heading3Un-numbered"/>
      </w:pPr>
      <w:r>
        <w:t>Background</w:t>
      </w:r>
    </w:p>
    <w:p w:rsidR="00FF5E87" w:rsidRDefault="00E63E6E" w:rsidP="00E63E6E">
      <w:pPr>
        <w:rPr>
          <w:rFonts w:cs="Times New Roman"/>
        </w:rPr>
      </w:pPr>
      <w:r w:rsidRPr="00D714FC">
        <w:rPr>
          <w:rFonts w:cs="Times New Roman"/>
        </w:rPr>
        <w:t xml:space="preserve">The </w:t>
      </w:r>
      <w:r w:rsidR="0001065E" w:rsidRPr="00524D9F">
        <w:rPr>
          <w:rFonts w:cs="Times New Roman"/>
        </w:rPr>
        <w:t>Water Charge (Infrastructure) Rules 2010</w:t>
      </w:r>
      <w:r w:rsidR="0001065E">
        <w:rPr>
          <w:rFonts w:cs="Times New Roman"/>
        </w:rPr>
        <w:t xml:space="preserve"> (</w:t>
      </w:r>
      <w:r w:rsidRPr="00D714FC">
        <w:rPr>
          <w:rFonts w:cs="Times New Roman"/>
        </w:rPr>
        <w:t>WCIR</w:t>
      </w:r>
      <w:r w:rsidR="0001065E">
        <w:rPr>
          <w:rFonts w:cs="Times New Roman"/>
        </w:rPr>
        <w:t>)</w:t>
      </w:r>
      <w:r w:rsidRPr="00D714FC">
        <w:rPr>
          <w:rFonts w:cs="Times New Roman"/>
        </w:rPr>
        <w:t xml:space="preserve"> regulates charges for access to, and services provided in relation to, water service infrastructure. Commonly, an infrastructure service is provided to customers by levying </w:t>
      </w:r>
      <w:r w:rsidR="0011610B">
        <w:rPr>
          <w:rFonts w:cs="Times New Roman"/>
        </w:rPr>
        <w:t>a</w:t>
      </w:r>
      <w:r w:rsidR="0011610B" w:rsidRPr="00D714FC">
        <w:rPr>
          <w:rFonts w:cs="Times New Roman"/>
        </w:rPr>
        <w:t xml:space="preserve"> </w:t>
      </w:r>
      <w:r w:rsidRPr="00D714FC">
        <w:rPr>
          <w:rFonts w:cs="Times New Roman"/>
        </w:rPr>
        <w:t xml:space="preserve">standard infrastructure charge </w:t>
      </w:r>
      <w:r w:rsidR="0011610B">
        <w:rPr>
          <w:rFonts w:cs="Times New Roman"/>
        </w:rPr>
        <w:t>as specified</w:t>
      </w:r>
      <w:r w:rsidR="0011610B" w:rsidRPr="00D714FC">
        <w:rPr>
          <w:rFonts w:cs="Times New Roman"/>
        </w:rPr>
        <w:t xml:space="preserve"> </w:t>
      </w:r>
      <w:r w:rsidRPr="00D714FC">
        <w:rPr>
          <w:rFonts w:cs="Times New Roman"/>
        </w:rPr>
        <w:t xml:space="preserve">on the infrastructure operator’s </w:t>
      </w:r>
      <w:r w:rsidR="00681854" w:rsidRPr="00D714FC">
        <w:rPr>
          <w:rFonts w:cs="Times New Roman"/>
        </w:rPr>
        <w:t>S</w:t>
      </w:r>
      <w:r w:rsidRPr="00D714FC">
        <w:rPr>
          <w:rFonts w:cs="Times New Roman"/>
        </w:rPr>
        <w:t xml:space="preserve">chedule of </w:t>
      </w:r>
      <w:r w:rsidR="00681854" w:rsidRPr="00D714FC">
        <w:rPr>
          <w:rFonts w:cs="Times New Roman"/>
        </w:rPr>
        <w:t>C</w:t>
      </w:r>
      <w:r w:rsidRPr="00D714FC">
        <w:rPr>
          <w:rFonts w:cs="Times New Roman"/>
        </w:rPr>
        <w:t>harges. However, an operator may also enter into a contract for the provision of infrastructure services to new or existing customers at a</w:t>
      </w:r>
      <w:r w:rsidR="006C1DBC">
        <w:rPr>
          <w:rFonts w:cs="Times New Roman"/>
        </w:rPr>
        <w:t xml:space="preserve"> different</w:t>
      </w:r>
      <w:r w:rsidRPr="00D714FC">
        <w:rPr>
          <w:rFonts w:cs="Times New Roman"/>
        </w:rPr>
        <w:t xml:space="preserve"> charge. These contracts may arise in relation to access to infrastructure services under any of the available mechanisms pursuant to Part IIIA of the </w:t>
      </w:r>
      <w:r w:rsidRPr="00A9479F">
        <w:rPr>
          <w:rFonts w:cs="Times New Roman"/>
          <w:i/>
        </w:rPr>
        <w:t>Competition and Consumer Act 2010</w:t>
      </w:r>
      <w:r w:rsidRPr="00D714FC">
        <w:rPr>
          <w:rFonts w:cs="Times New Roman"/>
        </w:rPr>
        <w:t xml:space="preserve"> (CCA)</w:t>
      </w:r>
      <w:r w:rsidR="0011610B">
        <w:rPr>
          <w:rStyle w:val="CommentReference"/>
          <w:rFonts w:eastAsiaTheme="minorHAnsi" w:cs="Times New Roman"/>
          <w:lang w:eastAsia="en-US"/>
        </w:rPr>
        <w:t>,</w:t>
      </w:r>
      <w:r w:rsidR="00FF5E87" w:rsidRPr="007259DC">
        <w:rPr>
          <w:rStyle w:val="FootnoteReference"/>
          <w:rFonts w:cs="Times New Roman"/>
        </w:rPr>
        <w:footnoteReference w:id="601"/>
      </w:r>
      <w:r w:rsidRPr="009F3C82">
        <w:rPr>
          <w:rFonts w:cs="Times New Roman"/>
        </w:rPr>
        <w:t xml:space="preserve"> </w:t>
      </w:r>
      <w:r w:rsidR="0011610B">
        <w:rPr>
          <w:rFonts w:cs="Times New Roman"/>
        </w:rPr>
        <w:t xml:space="preserve">or they </w:t>
      </w:r>
      <w:r w:rsidRPr="00D714FC">
        <w:rPr>
          <w:rFonts w:cs="Times New Roman"/>
        </w:rPr>
        <w:t>may also arise independently (i.e. outside of Part IIIA)</w:t>
      </w:r>
      <w:r w:rsidR="00681854" w:rsidRPr="00D714FC">
        <w:rPr>
          <w:rFonts w:cs="Times New Roman"/>
        </w:rPr>
        <w:t>. For the purposes of this discussion, it is useful to distinguish between charges specified in a contract developed under Part IIIA (which will be referred to as a “Part IIIA charge</w:t>
      </w:r>
      <w:r w:rsidR="00361895">
        <w:rPr>
          <w:rFonts w:cs="Times New Roman"/>
        </w:rPr>
        <w:t>s</w:t>
      </w:r>
      <w:r w:rsidR="00681854" w:rsidRPr="00D714FC">
        <w:rPr>
          <w:rFonts w:cs="Times New Roman"/>
        </w:rPr>
        <w:t>”),</w:t>
      </w:r>
      <w:r w:rsidR="00FF5E87">
        <w:rPr>
          <w:rStyle w:val="FootnoteReference"/>
          <w:rFonts w:cs="Times New Roman"/>
        </w:rPr>
        <w:footnoteReference w:id="602"/>
      </w:r>
      <w:r w:rsidR="00681854" w:rsidRPr="00D714FC">
        <w:rPr>
          <w:rFonts w:cs="Times New Roman"/>
        </w:rPr>
        <w:t xml:space="preserve"> and those that arise out of independent contracts (which will be referred to as a “commercially negotiated charge</w:t>
      </w:r>
      <w:r w:rsidR="00361895">
        <w:rPr>
          <w:rFonts w:cs="Times New Roman"/>
        </w:rPr>
        <w:t>s</w:t>
      </w:r>
      <w:r w:rsidR="00681854" w:rsidRPr="00D714FC">
        <w:rPr>
          <w:rFonts w:cs="Times New Roman"/>
        </w:rPr>
        <w:t xml:space="preserve">”). </w:t>
      </w:r>
    </w:p>
    <w:p w:rsidR="00E63E6E" w:rsidRPr="00D714FC" w:rsidRDefault="00E63E6E" w:rsidP="00E63E6E">
      <w:pPr>
        <w:rPr>
          <w:rFonts w:cs="Times New Roman"/>
        </w:rPr>
      </w:pPr>
      <w:r w:rsidRPr="00D714FC">
        <w:rPr>
          <w:rFonts w:cs="Times New Roman"/>
        </w:rPr>
        <w:t xml:space="preserve">Generally, </w:t>
      </w:r>
      <w:r w:rsidR="00681854" w:rsidRPr="00D714FC">
        <w:rPr>
          <w:rFonts w:cs="Times New Roman"/>
        </w:rPr>
        <w:t xml:space="preserve">Part IIIA charges </w:t>
      </w:r>
      <w:r w:rsidRPr="00D714FC">
        <w:rPr>
          <w:rFonts w:cs="Times New Roman"/>
        </w:rPr>
        <w:t xml:space="preserve">and commercially negotiated </w:t>
      </w:r>
      <w:r w:rsidR="0011610B" w:rsidRPr="00D714FC">
        <w:rPr>
          <w:rFonts w:cs="Times New Roman"/>
        </w:rPr>
        <w:t>charges</w:t>
      </w:r>
      <w:r w:rsidR="0011610B">
        <w:rPr>
          <w:rFonts w:cs="Times New Roman"/>
        </w:rPr>
        <w:t xml:space="preserve"> for infrastructure services </w:t>
      </w:r>
      <w:r w:rsidRPr="00D714FC">
        <w:rPr>
          <w:rFonts w:cs="Times New Roman"/>
        </w:rPr>
        <w:t>would be considered ‘infrastructure charges’ as per the ACCC’s proposed approach</w:t>
      </w:r>
      <w:r w:rsidR="006E2368">
        <w:rPr>
          <w:rFonts w:cs="Times New Roman"/>
        </w:rPr>
        <w:t xml:space="preserve"> (see rule advice 4-B)</w:t>
      </w:r>
      <w:r w:rsidR="005A3881" w:rsidRPr="00D714FC">
        <w:rPr>
          <w:rFonts w:cs="Times New Roman"/>
        </w:rPr>
        <w:t>,</w:t>
      </w:r>
      <w:r w:rsidRPr="00D714FC">
        <w:rPr>
          <w:rFonts w:cs="Times New Roman"/>
        </w:rPr>
        <w:t xml:space="preserve"> and </w:t>
      </w:r>
      <w:r w:rsidR="0011610B">
        <w:rPr>
          <w:rFonts w:cs="Times New Roman"/>
        </w:rPr>
        <w:t xml:space="preserve">would </w:t>
      </w:r>
      <w:r w:rsidRPr="00D714FC">
        <w:rPr>
          <w:rFonts w:cs="Times New Roman"/>
        </w:rPr>
        <w:t xml:space="preserve">therefore </w:t>
      </w:r>
      <w:r w:rsidR="0011610B">
        <w:rPr>
          <w:rFonts w:cs="Times New Roman"/>
        </w:rPr>
        <w:t xml:space="preserve">be </w:t>
      </w:r>
      <w:r w:rsidRPr="00D714FC">
        <w:rPr>
          <w:rFonts w:cs="Times New Roman"/>
        </w:rPr>
        <w:t xml:space="preserve">subject to the </w:t>
      </w:r>
      <w:r w:rsidR="00FF5E87">
        <w:rPr>
          <w:rFonts w:cs="Times New Roman"/>
        </w:rPr>
        <w:t xml:space="preserve">water charge </w:t>
      </w:r>
      <w:r w:rsidR="00846503" w:rsidRPr="00D714FC">
        <w:rPr>
          <w:rFonts w:cs="Times New Roman"/>
        </w:rPr>
        <w:t>rules</w:t>
      </w:r>
      <w:r w:rsidRPr="00D714FC">
        <w:rPr>
          <w:rFonts w:cs="Times New Roman"/>
        </w:rPr>
        <w:t xml:space="preserve">. If </w:t>
      </w:r>
      <w:r w:rsidR="0011610B">
        <w:rPr>
          <w:rFonts w:cs="Times New Roman"/>
        </w:rPr>
        <w:t xml:space="preserve">an </w:t>
      </w:r>
      <w:r w:rsidRPr="00D714FC">
        <w:rPr>
          <w:rFonts w:cs="Times New Roman"/>
        </w:rPr>
        <w:t xml:space="preserve">infrastructure operator levies a commercially negotiated </w:t>
      </w:r>
      <w:r w:rsidR="005A3881" w:rsidRPr="00D714FC">
        <w:rPr>
          <w:rFonts w:cs="Times New Roman"/>
        </w:rPr>
        <w:t xml:space="preserve">charge </w:t>
      </w:r>
      <w:r w:rsidRPr="00D714FC">
        <w:rPr>
          <w:rFonts w:cs="Times New Roman"/>
        </w:rPr>
        <w:t xml:space="preserve">or </w:t>
      </w:r>
      <w:r w:rsidR="005A3881" w:rsidRPr="00D714FC">
        <w:rPr>
          <w:rFonts w:cs="Times New Roman"/>
        </w:rPr>
        <w:t>a Part IIIA charge</w:t>
      </w:r>
      <w:r w:rsidRPr="00D714FC">
        <w:rPr>
          <w:rFonts w:cs="Times New Roman"/>
        </w:rPr>
        <w:t xml:space="preserve">, then the operator must ensure that those charges comply with the </w:t>
      </w:r>
      <w:r w:rsidR="006C1DBC">
        <w:rPr>
          <w:rFonts w:cs="Times New Roman"/>
        </w:rPr>
        <w:t xml:space="preserve">current </w:t>
      </w:r>
      <w:r w:rsidRPr="00D714FC">
        <w:rPr>
          <w:rFonts w:cs="Times New Roman"/>
        </w:rPr>
        <w:t xml:space="preserve">non-discrimination provisions under </w:t>
      </w:r>
      <w:r w:rsidR="00A52AF4">
        <w:rPr>
          <w:rFonts w:cs="Times New Roman"/>
        </w:rPr>
        <w:t>r</w:t>
      </w:r>
      <w:r w:rsidRPr="00D714FC">
        <w:rPr>
          <w:rFonts w:cs="Times New Roman"/>
        </w:rPr>
        <w:t xml:space="preserve">ule 10, which prohibits certain infrastructure operators from engaging in price discrimination between irrigation right holders and other customers. The ACCC has proposed additional non-discrimination prohibitions for </w:t>
      </w:r>
      <w:r w:rsidR="00A52AF4">
        <w:rPr>
          <w:rFonts w:cs="Times New Roman"/>
        </w:rPr>
        <w:t>r</w:t>
      </w:r>
      <w:r w:rsidRPr="00D714FC">
        <w:rPr>
          <w:rFonts w:cs="Times New Roman"/>
        </w:rPr>
        <w:t>ule 10</w:t>
      </w:r>
      <w:r w:rsidR="006E2368">
        <w:rPr>
          <w:rFonts w:cs="Times New Roman"/>
        </w:rPr>
        <w:t xml:space="preserve"> (see section 5.3)</w:t>
      </w:r>
      <w:r w:rsidRPr="00D714FC">
        <w:rPr>
          <w:rFonts w:cs="Times New Roman"/>
        </w:rPr>
        <w:t xml:space="preserve">, which would also apply to commercially negotiated charges and </w:t>
      </w:r>
      <w:r w:rsidR="005A3881" w:rsidRPr="00D714FC">
        <w:rPr>
          <w:rFonts w:cs="Times New Roman"/>
        </w:rPr>
        <w:t xml:space="preserve">Part IIIA </w:t>
      </w:r>
      <w:r w:rsidRPr="00D714FC">
        <w:rPr>
          <w:rFonts w:cs="Times New Roman"/>
        </w:rPr>
        <w:t xml:space="preserve">charges (in the absence of further amendments proposed below). </w:t>
      </w:r>
    </w:p>
    <w:p w:rsidR="00E63E6E" w:rsidRPr="00D714FC" w:rsidRDefault="00E63E6E" w:rsidP="00E63E6E">
      <w:pPr>
        <w:rPr>
          <w:rFonts w:cs="Times New Roman"/>
        </w:rPr>
      </w:pPr>
      <w:r w:rsidRPr="00D714FC">
        <w:rPr>
          <w:rFonts w:cs="Times New Roman"/>
        </w:rPr>
        <w:t xml:space="preserve">Further, an infrastructure operator is also required to publish details of </w:t>
      </w:r>
      <w:r w:rsidR="00361895">
        <w:rPr>
          <w:rFonts w:cs="Times New Roman"/>
        </w:rPr>
        <w:t>its</w:t>
      </w:r>
      <w:r w:rsidR="00361895" w:rsidRPr="00D714FC">
        <w:rPr>
          <w:rFonts w:cs="Times New Roman"/>
        </w:rPr>
        <w:t xml:space="preserve"> </w:t>
      </w:r>
      <w:r w:rsidRPr="00D714FC">
        <w:rPr>
          <w:rFonts w:cs="Times New Roman"/>
        </w:rPr>
        <w:t xml:space="preserve">charges, including commercially negotiated charges and </w:t>
      </w:r>
      <w:r w:rsidR="005A3881" w:rsidRPr="00D714FC">
        <w:rPr>
          <w:rFonts w:cs="Times New Roman"/>
        </w:rPr>
        <w:t xml:space="preserve">Part IIIA </w:t>
      </w:r>
      <w:r w:rsidRPr="00D714FC">
        <w:rPr>
          <w:rFonts w:cs="Times New Roman"/>
        </w:rPr>
        <w:t xml:space="preserve">charges, in </w:t>
      </w:r>
      <w:r w:rsidR="00361895">
        <w:rPr>
          <w:rFonts w:cs="Times New Roman"/>
        </w:rPr>
        <w:t xml:space="preserve">its </w:t>
      </w:r>
      <w:r w:rsidRPr="00D714FC">
        <w:rPr>
          <w:rFonts w:cs="Times New Roman"/>
        </w:rPr>
        <w:t xml:space="preserve">Schedule of Charges. The WCIR </w:t>
      </w:r>
      <w:r w:rsidR="006C1DBC">
        <w:rPr>
          <w:rFonts w:cs="Times New Roman"/>
        </w:rPr>
        <w:t xml:space="preserve">currently </w:t>
      </w:r>
      <w:r w:rsidRPr="00D714FC">
        <w:rPr>
          <w:rFonts w:cs="Times New Roman"/>
        </w:rPr>
        <w:t>provide some limited protections in relation to</w:t>
      </w:r>
      <w:r w:rsidR="00C43767">
        <w:rPr>
          <w:rFonts w:cs="Times New Roman"/>
        </w:rPr>
        <w:t xml:space="preserve"> the</w:t>
      </w:r>
      <w:r w:rsidRPr="00D714FC">
        <w:rPr>
          <w:rFonts w:cs="Times New Roman"/>
        </w:rPr>
        <w:t xml:space="preserve"> publication of commercial-in-confidence information where there is a contract between the infrastructure operator and a customer for an agreed charge. Currently under </w:t>
      </w:r>
      <w:r w:rsidR="00A52AF4">
        <w:rPr>
          <w:rFonts w:cs="Times New Roman"/>
        </w:rPr>
        <w:t>r</w:t>
      </w:r>
      <w:r w:rsidRPr="00D714FC">
        <w:rPr>
          <w:rFonts w:cs="Times New Roman"/>
        </w:rPr>
        <w:t>ule 9, an infrastructure operator and customer, or a customer, may apply to the ACCC for an exemption from the requirement that the operator must include the charge on its Schedule of Charges.</w:t>
      </w:r>
      <w:r w:rsidRPr="00D714FC">
        <w:rPr>
          <w:rStyle w:val="FootnoteReference"/>
          <w:rFonts w:cs="Times New Roman"/>
        </w:rPr>
        <w:footnoteReference w:id="603"/>
      </w:r>
      <w:r w:rsidRPr="00D714FC">
        <w:rPr>
          <w:rFonts w:cs="Times New Roman"/>
        </w:rPr>
        <w:t xml:space="preserve"> The test for granting the exemption is that disclosure of the details of the charge would have a material and adverse effect for the infrastructure operator and the customer (or just the customer, when only the customer has applied for an exemption). The ACCC must publish a notice on its website when an exemption has been granted. Currently under </w:t>
      </w:r>
      <w:r w:rsidR="00A52AF4">
        <w:rPr>
          <w:rFonts w:cs="Times New Roman"/>
        </w:rPr>
        <w:t>r</w:t>
      </w:r>
      <w:r w:rsidRPr="00D714FC">
        <w:rPr>
          <w:rFonts w:cs="Times New Roman"/>
        </w:rPr>
        <w:t xml:space="preserve">ule 55, where an exemption under </w:t>
      </w:r>
      <w:r w:rsidR="00A52AF4">
        <w:rPr>
          <w:rFonts w:cs="Times New Roman"/>
        </w:rPr>
        <w:t>r</w:t>
      </w:r>
      <w:r w:rsidRPr="00D714FC">
        <w:rPr>
          <w:rFonts w:cs="Times New Roman"/>
        </w:rPr>
        <w:t>ule 9 has effect</w:t>
      </w:r>
      <w:r w:rsidR="00C43767">
        <w:rPr>
          <w:rFonts w:cs="Times New Roman"/>
        </w:rPr>
        <w:t>,</w:t>
      </w:r>
      <w:r w:rsidRPr="00D714FC">
        <w:rPr>
          <w:rFonts w:cs="Times New Roman"/>
        </w:rPr>
        <w:t xml:space="preserve"> the ACCC may publish the names of the parties and the date on which the exemption has been granted, but may not publish any other information to which the exemption relates. </w:t>
      </w:r>
    </w:p>
    <w:p w:rsidR="008660F7" w:rsidRPr="00D714FC" w:rsidRDefault="00126891" w:rsidP="000C034E">
      <w:pPr>
        <w:pStyle w:val="Tabletitle"/>
        <w:rPr>
          <w:rFonts w:cs="Times New Roman"/>
        </w:rPr>
      </w:pPr>
      <w:r w:rsidRPr="00D714FC">
        <w:rPr>
          <w:rFonts w:cs="Times New Roman"/>
        </w:rPr>
        <w:t xml:space="preserve">Box </w:t>
      </w:r>
      <w:r w:rsidR="007F659D">
        <w:rPr>
          <w:rFonts w:cs="Times New Roman"/>
          <w:noProof/>
        </w:rPr>
        <w:t>5</w:t>
      </w:r>
      <w:r w:rsidR="004B0631" w:rsidRPr="00D714FC">
        <w:rPr>
          <w:rFonts w:cs="Times New Roman"/>
        </w:rPr>
        <w:t>.</w:t>
      </w:r>
      <w:r w:rsidR="005F3355">
        <w:rPr>
          <w:rFonts w:cs="Times New Roman"/>
        </w:rPr>
        <w:t>4</w:t>
      </w:r>
      <w:r w:rsidR="008660F7" w:rsidRPr="00D714FC">
        <w:rPr>
          <w:rFonts w:cs="Times New Roman"/>
        </w:rPr>
        <w:t xml:space="preserve">: Access to Services under Part IIIA of the </w:t>
      </w:r>
      <w:r w:rsidR="000C034E" w:rsidRPr="00C91F5B">
        <w:rPr>
          <w:rFonts w:cs="Times New Roman"/>
          <w:i/>
        </w:rPr>
        <w:t xml:space="preserve">Competition and Consumer </w:t>
      </w:r>
      <w:r w:rsidR="008660F7" w:rsidRPr="00C91F5B">
        <w:rPr>
          <w:rFonts w:cs="Times New Roman"/>
          <w:i/>
        </w:rPr>
        <w:t>Act</w:t>
      </w:r>
      <w:r w:rsidR="000C034E" w:rsidRPr="00C91F5B">
        <w:rPr>
          <w:rFonts w:cs="Times New Roman"/>
          <w:i/>
        </w:rPr>
        <w:t xml:space="preserve"> </w:t>
      </w:r>
      <w:r w:rsidR="008660F7" w:rsidRPr="00C91F5B">
        <w:rPr>
          <w:rFonts w:cs="Times New Roman"/>
          <w:i/>
        </w:rPr>
        <w:t>2010</w:t>
      </w:r>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43"/>
      </w:tblGrid>
      <w:tr w:rsidR="008660F7" w:rsidRPr="00D714FC" w:rsidTr="00C52AEB">
        <w:tc>
          <w:tcPr>
            <w:tcW w:w="11165" w:type="dxa"/>
            <w:shd w:val="clear" w:color="auto" w:fill="D9D9D9" w:themeFill="background1" w:themeFillShade="D9"/>
          </w:tcPr>
          <w:p w:rsidR="008660F7" w:rsidRPr="00D714FC" w:rsidRDefault="008660F7" w:rsidP="004232BA">
            <w:pPr>
              <w:pStyle w:val="tabletext"/>
            </w:pPr>
            <w:r w:rsidRPr="00D714FC">
              <w:t xml:space="preserve">The objects of Part IIIA of the </w:t>
            </w:r>
            <w:r w:rsidR="00FF5E87">
              <w:t>CCA</w:t>
            </w:r>
            <w:r w:rsidRPr="00D714FC">
              <w:t xml:space="preserve"> 2010 are to: </w:t>
            </w:r>
          </w:p>
          <w:p w:rsidR="008660F7" w:rsidRPr="00D714FC" w:rsidRDefault="008660F7" w:rsidP="004A065E">
            <w:pPr>
              <w:pStyle w:val="tabletextindentbullet"/>
            </w:pPr>
            <w:r w:rsidRPr="00D714FC">
              <w:t>promote the economically efficient operation of, use of, and investment in infrastructure by which services are provided, thereby promoting effective competition in upstream and downstream markets; and</w:t>
            </w:r>
          </w:p>
          <w:p w:rsidR="008660F7" w:rsidRPr="00D714FC" w:rsidRDefault="008660F7" w:rsidP="004A065E">
            <w:pPr>
              <w:pStyle w:val="tabletextindentbullet"/>
            </w:pPr>
            <w:r w:rsidRPr="00D714FC">
              <w:t>provide a framework and guiding principles to encourage a consistent approach to access regulation in each industry.</w:t>
            </w:r>
            <w:r w:rsidRPr="004A065E">
              <w:rPr>
                <w:vertAlign w:val="superscript"/>
              </w:rPr>
              <w:footnoteReference w:id="604"/>
            </w:r>
          </w:p>
          <w:p w:rsidR="008660F7" w:rsidRDefault="008660F7" w:rsidP="004232BA">
            <w:pPr>
              <w:pStyle w:val="tabletext"/>
            </w:pPr>
            <w:r w:rsidRPr="00D714FC">
              <w:t>There are a number of mechanisms through which access to infrastructure services can be provided under Part IIIA.</w:t>
            </w:r>
            <w:r w:rsidR="0011610B">
              <w:t xml:space="preserve"> </w:t>
            </w:r>
            <w:r w:rsidRPr="00D714FC">
              <w:t>This includes declaration and negotiation/arbitration, an access undertaking, an ‘effective’ State or Territory access regime and a competitive tender process for government</w:t>
            </w:r>
            <w:r w:rsidR="00C43767">
              <w:t>-</w:t>
            </w:r>
            <w:r w:rsidRPr="00D714FC">
              <w:t xml:space="preserve">owned facilities. </w:t>
            </w:r>
          </w:p>
          <w:p w:rsidR="008660F7" w:rsidRPr="00D714FC" w:rsidRDefault="008660F7" w:rsidP="004C15B2">
            <w:pPr>
              <w:pStyle w:val="tabletext"/>
              <w:spacing w:before="120"/>
              <w:rPr>
                <w:b/>
              </w:rPr>
            </w:pPr>
            <w:r w:rsidRPr="00D714FC">
              <w:rPr>
                <w:b/>
              </w:rPr>
              <w:t>Declaration and negotiation/ arbitration</w:t>
            </w:r>
          </w:p>
          <w:p w:rsidR="008660F7" w:rsidRDefault="008660F7" w:rsidP="004232BA">
            <w:pPr>
              <w:pStyle w:val="tabletext"/>
            </w:pPr>
            <w:r w:rsidRPr="00D714FC">
              <w:t>Any person may apply to the National Competition Council</w:t>
            </w:r>
            <w:r w:rsidR="001C09F6">
              <w:t xml:space="preserve"> </w:t>
            </w:r>
            <w:r w:rsidRPr="00D714FC">
              <w:t>seeking a recommendation that a service</w:t>
            </w:r>
            <w:r w:rsidR="00FF5E87">
              <w:rPr>
                <w:rStyle w:val="FootnoteReference"/>
              </w:rPr>
              <w:footnoteReference w:id="605"/>
            </w:r>
            <w:r w:rsidRPr="00D714FC">
              <w:t xml:space="preserve"> be declared. Once the designated Minister declares a service, an access seeker can enter into negotiations with the service provider. In the event that there is a dispute, an application can be made to the ACCC to have the dispute resolved via arbitration. </w:t>
            </w:r>
          </w:p>
          <w:p w:rsidR="008660F7" w:rsidRPr="00D714FC" w:rsidRDefault="008660F7" w:rsidP="004C15B2">
            <w:pPr>
              <w:pStyle w:val="tabletext"/>
              <w:spacing w:before="120"/>
              <w:rPr>
                <w:b/>
              </w:rPr>
            </w:pPr>
            <w:r w:rsidRPr="00D714FC">
              <w:rPr>
                <w:b/>
              </w:rPr>
              <w:t>Access undertaking</w:t>
            </w:r>
            <w:r w:rsidR="00FF5E87">
              <w:rPr>
                <w:b/>
              </w:rPr>
              <w:t xml:space="preserve"> or access code</w:t>
            </w:r>
          </w:p>
          <w:p w:rsidR="00FF5E87" w:rsidRDefault="00C14E9D" w:rsidP="004232BA">
            <w:pPr>
              <w:pStyle w:val="tabletext"/>
            </w:pPr>
            <w:r w:rsidRPr="00D714FC">
              <w:t xml:space="preserve">The owner or operator of </w:t>
            </w:r>
            <w:r>
              <w:t>a</w:t>
            </w:r>
            <w:r w:rsidRPr="00D714FC">
              <w:t xml:space="preserve"> facility </w:t>
            </w:r>
            <w:r>
              <w:t xml:space="preserve">can </w:t>
            </w:r>
            <w:r w:rsidRPr="00D714FC">
              <w:t>lodge an access undertaking with the ACCC.</w:t>
            </w:r>
            <w:r>
              <w:t xml:space="preserve"> If accepted, the</w:t>
            </w:r>
            <w:r w:rsidR="008660F7" w:rsidRPr="00D714FC">
              <w:t xml:space="preserve"> access undertaking sets out the terms and conditions upon which the owner or operator of a facility that provides a service would be willing to provide third party access. A service cannot be declared if there is an access undertaking in place. </w:t>
            </w:r>
            <w:r>
              <w:t>Similarly, an industry body can lodge a</w:t>
            </w:r>
            <w:r w:rsidR="00FF5E87">
              <w:t xml:space="preserve">n access code </w:t>
            </w:r>
            <w:r>
              <w:t>with</w:t>
            </w:r>
            <w:r w:rsidR="00FF5E87">
              <w:t xml:space="preserve"> the ACCC</w:t>
            </w:r>
            <w:r>
              <w:t xml:space="preserve">. If accepted, the access code sets out </w:t>
            </w:r>
            <w:r w:rsidR="00FF5E87">
              <w:t>the rules for access to a service.</w:t>
            </w:r>
          </w:p>
          <w:p w:rsidR="008660F7" w:rsidRPr="00D714FC" w:rsidRDefault="008660F7" w:rsidP="004C15B2">
            <w:pPr>
              <w:pStyle w:val="tabletext"/>
              <w:spacing w:before="120"/>
              <w:rPr>
                <w:b/>
              </w:rPr>
            </w:pPr>
            <w:r w:rsidRPr="00D714FC">
              <w:rPr>
                <w:b/>
              </w:rPr>
              <w:t>Effective State or Territory access regime</w:t>
            </w:r>
          </w:p>
          <w:p w:rsidR="008660F7" w:rsidRPr="004232BA" w:rsidRDefault="008660F7" w:rsidP="004232BA">
            <w:pPr>
              <w:pStyle w:val="tabletext"/>
              <w:rPr>
                <w:szCs w:val="22"/>
              </w:rPr>
            </w:pPr>
            <w:r w:rsidRPr="004232BA">
              <w:rPr>
                <w:szCs w:val="22"/>
              </w:rPr>
              <w:t>A State or Territory can establish its own third party access regime and apply to the N</w:t>
            </w:r>
            <w:r w:rsidR="001C09F6" w:rsidRPr="004232BA">
              <w:rPr>
                <w:szCs w:val="22"/>
              </w:rPr>
              <w:t xml:space="preserve">ational </w:t>
            </w:r>
            <w:r w:rsidRPr="004232BA">
              <w:rPr>
                <w:szCs w:val="22"/>
              </w:rPr>
              <w:t>C</w:t>
            </w:r>
            <w:r w:rsidR="001C09F6" w:rsidRPr="004232BA">
              <w:rPr>
                <w:szCs w:val="22"/>
              </w:rPr>
              <w:t xml:space="preserve">ompetition </w:t>
            </w:r>
            <w:r w:rsidRPr="004232BA">
              <w:rPr>
                <w:szCs w:val="22"/>
              </w:rPr>
              <w:t>C</w:t>
            </w:r>
            <w:r w:rsidR="001C09F6" w:rsidRPr="004232BA">
              <w:rPr>
                <w:szCs w:val="22"/>
              </w:rPr>
              <w:t>ouncil</w:t>
            </w:r>
            <w:r w:rsidRPr="004232BA">
              <w:rPr>
                <w:szCs w:val="22"/>
              </w:rPr>
              <w:t xml:space="preserve"> seeking a recommendation that the regime should be certified as ‘effective’.</w:t>
            </w:r>
            <w:r w:rsidR="0011610B" w:rsidRPr="004232BA">
              <w:rPr>
                <w:szCs w:val="22"/>
              </w:rPr>
              <w:t xml:space="preserve"> </w:t>
            </w:r>
            <w:r w:rsidRPr="004232BA">
              <w:rPr>
                <w:szCs w:val="22"/>
              </w:rPr>
              <w:t xml:space="preserve">A service </w:t>
            </w:r>
            <w:r w:rsidR="00E830F6" w:rsidRPr="004232BA">
              <w:rPr>
                <w:szCs w:val="22"/>
              </w:rPr>
              <w:t xml:space="preserve">may not </w:t>
            </w:r>
            <w:r w:rsidRPr="004232BA">
              <w:rPr>
                <w:szCs w:val="22"/>
              </w:rPr>
              <w:t xml:space="preserve">be declared once the Commonwealth Minister certifies a State or Territory access regime as ‘effective’. </w:t>
            </w:r>
          </w:p>
          <w:p w:rsidR="008660F7" w:rsidRPr="00D714FC" w:rsidRDefault="008660F7" w:rsidP="004C15B2">
            <w:pPr>
              <w:pStyle w:val="tabletext"/>
              <w:spacing w:before="120"/>
              <w:rPr>
                <w:b/>
              </w:rPr>
            </w:pPr>
            <w:r w:rsidRPr="00D714FC">
              <w:rPr>
                <w:b/>
              </w:rPr>
              <w:t>Competitive tender processes for government-owned facilities</w:t>
            </w:r>
          </w:p>
          <w:p w:rsidR="008660F7" w:rsidRPr="00D714FC" w:rsidRDefault="008660F7" w:rsidP="004232BA">
            <w:pPr>
              <w:pStyle w:val="tabletext"/>
            </w:pPr>
            <w:r w:rsidRPr="00D714FC">
              <w:t xml:space="preserve">This relates to applications made to the ACCC to approve a tender process for the construction or operation of a facility owned by the Commonwealth, or a State or Territory. </w:t>
            </w:r>
          </w:p>
        </w:tc>
      </w:tr>
    </w:tbl>
    <w:p w:rsidR="00E63E6E" w:rsidRPr="00D714FC" w:rsidRDefault="00E63E6E" w:rsidP="00EA7A67">
      <w:pPr>
        <w:spacing w:before="240" w:after="0"/>
        <w:rPr>
          <w:rFonts w:cs="Times New Roman"/>
        </w:rPr>
      </w:pPr>
      <w:r w:rsidRPr="00D714FC">
        <w:rPr>
          <w:rFonts w:cs="Times New Roman"/>
        </w:rPr>
        <w:t>Some state jurisdictions have developed</w:t>
      </w:r>
      <w:r w:rsidR="008870BE">
        <w:rPr>
          <w:rFonts w:cs="Times New Roman"/>
        </w:rPr>
        <w:t xml:space="preserve"> legislation </w:t>
      </w:r>
      <w:r w:rsidR="008870BE" w:rsidRPr="00D714FC">
        <w:rPr>
          <w:rFonts w:cs="Times New Roman"/>
        </w:rPr>
        <w:t>to establish or regulate a third party access regime in relation to water infrastructure services provided within th</w:t>
      </w:r>
      <w:r w:rsidR="008870BE">
        <w:rPr>
          <w:rFonts w:cs="Times New Roman"/>
        </w:rPr>
        <w:t>at jurisdiction.</w:t>
      </w:r>
      <w:r w:rsidR="008660F7" w:rsidRPr="00D714FC">
        <w:rPr>
          <w:rStyle w:val="FootnoteReference"/>
          <w:rFonts w:cs="Times New Roman"/>
        </w:rPr>
        <w:footnoteReference w:id="606"/>
      </w:r>
      <w:r w:rsidR="0011610B">
        <w:rPr>
          <w:rFonts w:cs="Times New Roman"/>
        </w:rPr>
        <w:t xml:space="preserve"> </w:t>
      </w:r>
      <w:r w:rsidRPr="00D714FC">
        <w:rPr>
          <w:rFonts w:cs="Times New Roman"/>
        </w:rPr>
        <w:t xml:space="preserve">The </w:t>
      </w:r>
      <w:r w:rsidR="008870BE">
        <w:rPr>
          <w:rFonts w:cs="Times New Roman"/>
        </w:rPr>
        <w:t>water charge rules</w:t>
      </w:r>
      <w:r w:rsidRPr="00D714FC">
        <w:rPr>
          <w:rFonts w:cs="Times New Roman"/>
        </w:rPr>
        <w:t xml:space="preserve"> are not intended to exclude or limit the operation of any law of a State, including any Basin State third party access regime.</w:t>
      </w:r>
      <w:r w:rsidRPr="00D714FC">
        <w:rPr>
          <w:rStyle w:val="FootnoteReference"/>
          <w:rFonts w:cs="Times New Roman"/>
        </w:rPr>
        <w:footnoteReference w:id="607"/>
      </w:r>
      <w:r w:rsidRPr="00D714FC">
        <w:rPr>
          <w:rFonts w:cs="Times New Roman"/>
        </w:rPr>
        <w:t xml:space="preserve"> In its Issues Paper, the ACCC sought stakeholders’ views on how the </w:t>
      </w:r>
      <w:r w:rsidR="008870BE">
        <w:rPr>
          <w:rFonts w:cs="Times New Roman"/>
        </w:rPr>
        <w:t>rules</w:t>
      </w:r>
      <w:r w:rsidR="008870BE" w:rsidRPr="00D714FC">
        <w:rPr>
          <w:rFonts w:cs="Times New Roman"/>
        </w:rPr>
        <w:t xml:space="preserve"> </w:t>
      </w:r>
      <w:r w:rsidRPr="00D714FC">
        <w:rPr>
          <w:rFonts w:cs="Times New Roman"/>
        </w:rPr>
        <w:t xml:space="preserve">should deal with </w:t>
      </w:r>
      <w:r w:rsidR="00FF5E87">
        <w:rPr>
          <w:rFonts w:cs="Times New Roman"/>
        </w:rPr>
        <w:t xml:space="preserve">the </w:t>
      </w:r>
      <w:r w:rsidRPr="00D714FC">
        <w:rPr>
          <w:rFonts w:cs="Times New Roman"/>
        </w:rPr>
        <w:t xml:space="preserve">interaction between the rules and third party access regimes, and with commercially negotiated charges more generally. In particular, </w:t>
      </w:r>
      <w:r w:rsidR="00EA7A67">
        <w:rPr>
          <w:rFonts w:cs="Times New Roman"/>
        </w:rPr>
        <w:t xml:space="preserve">the ACCC identified </w:t>
      </w:r>
      <w:r w:rsidRPr="00D714FC">
        <w:rPr>
          <w:rFonts w:cs="Times New Roman"/>
        </w:rPr>
        <w:t>a need to consider:</w:t>
      </w:r>
    </w:p>
    <w:p w:rsidR="00E63E6E" w:rsidRPr="00342873" w:rsidRDefault="00D14538" w:rsidP="00A82DE6">
      <w:pPr>
        <w:pStyle w:val="Lvl1Bulletpoint"/>
      </w:pPr>
      <w:r>
        <w:t>w</w:t>
      </w:r>
      <w:r w:rsidR="00E63E6E" w:rsidRPr="00342873">
        <w:t>hether, and how, an exemption from the proposed non-discrimination provisions should apply to commercially negotiated charges, including commercially negotiated charges un</w:t>
      </w:r>
      <w:r>
        <w:t>der a third party access regime.</w:t>
      </w:r>
    </w:p>
    <w:p w:rsidR="00E63E6E" w:rsidRPr="00342873" w:rsidRDefault="00D14538" w:rsidP="00A82DE6">
      <w:pPr>
        <w:pStyle w:val="Lvl1Bulletpoint"/>
      </w:pPr>
      <w:r>
        <w:t>w</w:t>
      </w:r>
      <w:r w:rsidR="00E63E6E" w:rsidRPr="00342873">
        <w:t>hat information must be provided on an infrastructure operator’s Schedule of Charges in relation to commercially negotiated charges</w:t>
      </w:r>
      <w:r>
        <w:t>.</w:t>
      </w:r>
    </w:p>
    <w:p w:rsidR="00E63E6E" w:rsidRPr="00342873" w:rsidRDefault="00D14538" w:rsidP="00A82DE6">
      <w:pPr>
        <w:pStyle w:val="Lvl1Bulletpoint"/>
      </w:pPr>
      <w:r>
        <w:t>h</w:t>
      </w:r>
      <w:r w:rsidR="00E63E6E" w:rsidRPr="00342873">
        <w:t>ow commercially negotiated charges should be taken into account by a regulator during the course of approvals and determinations under Parts 6 and 7 of the WCIR.</w:t>
      </w:r>
    </w:p>
    <w:p w:rsidR="0011610B" w:rsidRPr="0011610B" w:rsidRDefault="0011610B" w:rsidP="00D6429E">
      <w:pPr>
        <w:spacing w:before="240"/>
        <w:rPr>
          <w:rFonts w:cs="Times New Roman"/>
        </w:rPr>
      </w:pPr>
      <w:r w:rsidRPr="0011610B">
        <w:rPr>
          <w:rFonts w:cs="Times New Roman"/>
        </w:rPr>
        <w:t>The WCIR do not specify separate requirements for Part IIIA charges that arise through the provision of infrastructure access and related services under the available mechanisms set out in Part IIIA of the CCA.</w:t>
      </w:r>
    </w:p>
    <w:p w:rsidR="0011610B" w:rsidRDefault="00D6429E" w:rsidP="0011610B">
      <w:pPr>
        <w:rPr>
          <w:rFonts w:cs="Times New Roman"/>
        </w:rPr>
      </w:pPr>
      <w:r>
        <w:rPr>
          <w:rFonts w:cs="Times New Roman"/>
        </w:rPr>
        <w:t xml:space="preserve">The ACCC made draft rule advice that the rules should be amended to provide an exemption from the non-discrimination </w:t>
      </w:r>
      <w:r w:rsidR="00361895">
        <w:rPr>
          <w:rFonts w:cs="Times New Roman"/>
        </w:rPr>
        <w:t xml:space="preserve">provisions (i.e. proposed rule 10) </w:t>
      </w:r>
      <w:r>
        <w:rPr>
          <w:rFonts w:cs="Times New Roman"/>
        </w:rPr>
        <w:t xml:space="preserve">for Part IIIA charges (draft rule advice 5-X). Part IIIA charges would still be subject to the pricing transparency requirements, unless an exemption was granted under </w:t>
      </w:r>
      <w:r w:rsidR="00A52AF4">
        <w:rPr>
          <w:rFonts w:cs="Times New Roman"/>
        </w:rPr>
        <w:t>r</w:t>
      </w:r>
      <w:r>
        <w:rPr>
          <w:rFonts w:cs="Times New Roman"/>
        </w:rPr>
        <w:t>ule 9 (as amended</w:t>
      </w:r>
      <w:r w:rsidR="00E57117">
        <w:rPr>
          <w:rFonts w:cs="Times New Roman"/>
        </w:rPr>
        <w:t>).</w:t>
      </w:r>
      <w:r>
        <w:rPr>
          <w:rFonts w:cs="Times New Roman"/>
        </w:rPr>
        <w:t xml:space="preserve"> The ACCC did not support any exemption being made in relation to</w:t>
      </w:r>
      <w:r w:rsidR="007259DC">
        <w:rPr>
          <w:rFonts w:cs="Times New Roman"/>
        </w:rPr>
        <w:t xml:space="preserve"> other</w:t>
      </w:r>
      <w:r>
        <w:rPr>
          <w:rFonts w:cs="Times New Roman"/>
        </w:rPr>
        <w:t xml:space="preserve"> commercially negotiated charges.</w:t>
      </w:r>
      <w:r w:rsidR="00C6733C">
        <w:rPr>
          <w:rFonts w:cs="Times New Roman"/>
        </w:rPr>
        <w:t xml:space="preserve"> </w:t>
      </w:r>
      <w:r>
        <w:rPr>
          <w:rFonts w:cs="Times New Roman"/>
        </w:rPr>
        <w:t>Also, t</w:t>
      </w:r>
      <w:r w:rsidR="0011610B" w:rsidRPr="0011610B">
        <w:rPr>
          <w:rFonts w:cs="Times New Roman"/>
        </w:rPr>
        <w:t xml:space="preserve">he ACCC </w:t>
      </w:r>
      <w:r>
        <w:rPr>
          <w:rFonts w:cs="Times New Roman"/>
        </w:rPr>
        <w:t xml:space="preserve">did </w:t>
      </w:r>
      <w:r w:rsidR="0011610B" w:rsidRPr="0011610B">
        <w:rPr>
          <w:rFonts w:cs="Times New Roman"/>
        </w:rPr>
        <w:t>not consider a blanket exemption</w:t>
      </w:r>
      <w:r>
        <w:rPr>
          <w:rFonts w:cs="Times New Roman"/>
        </w:rPr>
        <w:t xml:space="preserve"> for Part IIIA charges</w:t>
      </w:r>
      <w:r w:rsidR="0011610B" w:rsidRPr="0011610B">
        <w:rPr>
          <w:rFonts w:cs="Times New Roman"/>
        </w:rPr>
        <w:t xml:space="preserve"> </w:t>
      </w:r>
      <w:r>
        <w:rPr>
          <w:rFonts w:cs="Times New Roman"/>
        </w:rPr>
        <w:t xml:space="preserve">(as proposed by some stakeholders) </w:t>
      </w:r>
      <w:r w:rsidR="00D14538">
        <w:rPr>
          <w:rFonts w:cs="Times New Roman"/>
        </w:rPr>
        <w:t>a</w:t>
      </w:r>
      <w:r w:rsidR="0011610B" w:rsidRPr="0011610B">
        <w:rPr>
          <w:rFonts w:cs="Times New Roman"/>
        </w:rPr>
        <w:t xml:space="preserve">s necessary or appropriate. </w:t>
      </w:r>
    </w:p>
    <w:p w:rsidR="0011610B" w:rsidRPr="0011610B" w:rsidRDefault="00D6429E" w:rsidP="00940A4B">
      <w:pPr>
        <w:rPr>
          <w:rFonts w:cs="Times New Roman"/>
        </w:rPr>
      </w:pPr>
      <w:r>
        <w:rPr>
          <w:rFonts w:cs="Times New Roman"/>
        </w:rPr>
        <w:t>The ACCC considered that this approach str</w:t>
      </w:r>
      <w:r w:rsidR="00E57117">
        <w:rPr>
          <w:rFonts w:cs="Times New Roman"/>
        </w:rPr>
        <w:t>uck</w:t>
      </w:r>
      <w:r>
        <w:rPr>
          <w:rFonts w:cs="Times New Roman"/>
        </w:rPr>
        <w:t xml:space="preserve"> an appropriate balance between recognising the benefits that commercially negotiated and Part IIIA charges can provide, </w:t>
      </w:r>
      <w:r w:rsidR="00940A4B">
        <w:rPr>
          <w:rFonts w:cs="Times New Roman"/>
        </w:rPr>
        <w:t xml:space="preserve">while ensuring that </w:t>
      </w:r>
      <w:r w:rsidR="0011610B" w:rsidRPr="0011610B">
        <w:rPr>
          <w:rFonts w:cs="Times New Roman"/>
        </w:rPr>
        <w:t xml:space="preserve">the interests of customers </w:t>
      </w:r>
      <w:r w:rsidR="00940A4B">
        <w:rPr>
          <w:rFonts w:cs="Times New Roman"/>
        </w:rPr>
        <w:t xml:space="preserve">generally </w:t>
      </w:r>
      <w:r w:rsidR="0011610B" w:rsidRPr="0011610B">
        <w:rPr>
          <w:rFonts w:cs="Times New Roman"/>
        </w:rPr>
        <w:t>are protected by preventing commercially negotiated charges which discriminate against certain customers on particular grounds</w:t>
      </w:r>
      <w:r w:rsidR="00940A4B">
        <w:rPr>
          <w:rFonts w:cs="Times New Roman"/>
        </w:rPr>
        <w:t xml:space="preserve">(as per </w:t>
      </w:r>
      <w:r w:rsidR="0011610B" w:rsidRPr="0011610B">
        <w:rPr>
          <w:rFonts w:cs="Times New Roman"/>
        </w:rPr>
        <w:t xml:space="preserve">the proposed </w:t>
      </w:r>
      <w:r w:rsidR="00E57117">
        <w:rPr>
          <w:rFonts w:cs="Times New Roman"/>
        </w:rPr>
        <w:t>enhanced</w:t>
      </w:r>
      <w:r w:rsidR="0011610B" w:rsidRPr="0011610B">
        <w:rPr>
          <w:rFonts w:cs="Times New Roman"/>
        </w:rPr>
        <w:t xml:space="preserve"> non-discrimination provisions</w:t>
      </w:r>
      <w:r w:rsidR="00940A4B">
        <w:rPr>
          <w:rFonts w:cs="Times New Roman"/>
        </w:rPr>
        <w:t>)</w:t>
      </w:r>
      <w:r w:rsidR="0011610B" w:rsidRPr="0011610B">
        <w:rPr>
          <w:rFonts w:cs="Times New Roman"/>
        </w:rPr>
        <w:t xml:space="preserve">. </w:t>
      </w:r>
      <w:r w:rsidR="00940A4B">
        <w:rPr>
          <w:rFonts w:cs="Times New Roman"/>
        </w:rPr>
        <w:t>This approach also recognise</w:t>
      </w:r>
      <w:r w:rsidR="00E57117">
        <w:rPr>
          <w:rFonts w:cs="Times New Roman"/>
        </w:rPr>
        <w:t>d</w:t>
      </w:r>
      <w:r w:rsidR="00940A4B">
        <w:rPr>
          <w:rFonts w:cs="Times New Roman"/>
        </w:rPr>
        <w:t xml:space="preserve"> the protections that already form part of the Part IIIA framework.</w:t>
      </w:r>
      <w:r w:rsidR="00940A4B">
        <w:rPr>
          <w:rStyle w:val="FootnoteReference"/>
          <w:rFonts w:cs="Times New Roman"/>
        </w:rPr>
        <w:footnoteReference w:id="608"/>
      </w:r>
      <w:r w:rsidR="00940A4B">
        <w:rPr>
          <w:rFonts w:cs="Times New Roman"/>
        </w:rPr>
        <w:t xml:space="preserve"> </w:t>
      </w:r>
    </w:p>
    <w:p w:rsidR="00E63E6E" w:rsidRPr="0011610B" w:rsidRDefault="00187CF0" w:rsidP="00EA7A67">
      <w:r>
        <w:t xml:space="preserve">The ACCC also identified in its Draft Advice that </w:t>
      </w:r>
      <w:r w:rsidR="0011610B" w:rsidRPr="0011610B">
        <w:t xml:space="preserve">another issue in relation to the interaction between commercially negotiated </w:t>
      </w:r>
      <w:r w:rsidR="00EA7A67">
        <w:t>/</w:t>
      </w:r>
      <w:r w:rsidR="0011610B" w:rsidRPr="0011610B">
        <w:t xml:space="preserve"> Part IIIA charges and the water charge rules is how the regulator should treat such charges during an approval or determination of </w:t>
      </w:r>
      <w:r w:rsidR="00E57117">
        <w:t>infrastructure</w:t>
      </w:r>
      <w:r w:rsidR="0011610B" w:rsidRPr="0011610B">
        <w:t xml:space="preserve"> charges under Parts 6 and 7 of the water charge rules. The ACCC considers that under the current rules, a regulator would be required to take account of revenue received from such charges when undertaking such approvals or determinations</w:t>
      </w:r>
      <w:r w:rsidR="00EA7A67">
        <w:t>;</w:t>
      </w:r>
      <w:r w:rsidR="0011610B" w:rsidRPr="0011610B">
        <w:t xml:space="preserve"> however the ACCC’s pricing principles do not currently deal with this issue directly. The ACCC will be conducting a review of these pricing principles </w:t>
      </w:r>
      <w:r w:rsidR="007259DC">
        <w:t>following the provision of this Final Advice</w:t>
      </w:r>
      <w:r w:rsidR="0011610B" w:rsidRPr="0011610B">
        <w:t>. This review can consider the development of principles that relate to the way in which a regulator should take account of commercially negotiated and Part IIIA charges during an approval or determination of infrastructure charges.</w:t>
      </w:r>
    </w:p>
    <w:p w:rsidR="00E63E6E" w:rsidRPr="00D714FC" w:rsidRDefault="00E63E6E" w:rsidP="00020517">
      <w:pPr>
        <w:pStyle w:val="Heading3Un-numbered"/>
      </w:pPr>
      <w:r w:rsidRPr="00D714FC">
        <w:t>Stakeholder feedback</w:t>
      </w:r>
    </w:p>
    <w:p w:rsidR="000B6B73" w:rsidRPr="00D716C5" w:rsidRDefault="00E63E6E" w:rsidP="00187CF0">
      <w:pPr>
        <w:rPr>
          <w:rFonts w:cs="Times New Roman"/>
        </w:rPr>
      </w:pPr>
      <w:r w:rsidRPr="00D716C5">
        <w:rPr>
          <w:rFonts w:cs="Times New Roman"/>
        </w:rPr>
        <w:t>Submissions to the Issues Paper generally did not make substantive comments on how the WCIR should accommodate commercially negotiated charges</w:t>
      </w:r>
      <w:r w:rsidR="00BD0EDF" w:rsidRPr="00D716C5">
        <w:rPr>
          <w:rFonts w:cs="Times New Roman"/>
        </w:rPr>
        <w:t xml:space="preserve"> and Part IIIA charges</w:t>
      </w:r>
      <w:r w:rsidRPr="00D716C5">
        <w:rPr>
          <w:rFonts w:cs="Times New Roman"/>
        </w:rPr>
        <w:t xml:space="preserve">. However, </w:t>
      </w:r>
      <w:r w:rsidR="000B6B73" w:rsidRPr="00D716C5">
        <w:rPr>
          <w:rFonts w:cs="Times New Roman"/>
        </w:rPr>
        <w:t>generally speaking, there was support for operators to be able to enter into commercially negotiated arrangements, particularly under third party access regimes,</w:t>
      </w:r>
      <w:r w:rsidR="000B6B73" w:rsidRPr="00D716C5">
        <w:rPr>
          <w:rStyle w:val="FootnoteReference"/>
          <w:rFonts w:cs="Times New Roman"/>
        </w:rPr>
        <w:footnoteReference w:id="609"/>
      </w:r>
      <w:r w:rsidR="000B6B73" w:rsidRPr="00D716C5">
        <w:rPr>
          <w:rFonts w:cs="Times New Roman"/>
        </w:rPr>
        <w:t xml:space="preserve"> and for there to be transparency in providing for commercially negotiated charges and third party access.</w:t>
      </w:r>
      <w:r w:rsidR="000B6B73" w:rsidRPr="00D716C5">
        <w:rPr>
          <w:rStyle w:val="FootnoteReference"/>
          <w:rFonts w:cs="Times New Roman"/>
        </w:rPr>
        <w:footnoteReference w:id="610"/>
      </w:r>
    </w:p>
    <w:p w:rsidR="00E63E6E" w:rsidRPr="00D716C5" w:rsidRDefault="000B6B73" w:rsidP="00187CF0">
      <w:pPr>
        <w:rPr>
          <w:rFonts w:cs="Times New Roman"/>
        </w:rPr>
      </w:pPr>
      <w:r w:rsidRPr="00D716C5">
        <w:rPr>
          <w:rFonts w:cs="Times New Roman"/>
        </w:rPr>
        <w:t xml:space="preserve">Since the ACCC published its Draft Advice, </w:t>
      </w:r>
      <w:r w:rsidR="00E63E6E" w:rsidRPr="00D716C5">
        <w:rPr>
          <w:rFonts w:cs="Times New Roman"/>
        </w:rPr>
        <w:t>the South Australian</w:t>
      </w:r>
      <w:r w:rsidR="00373BFF" w:rsidRPr="00D716C5">
        <w:rPr>
          <w:rFonts w:cs="Times New Roman"/>
        </w:rPr>
        <w:t xml:space="preserve"> </w:t>
      </w:r>
      <w:r w:rsidR="00E63E6E" w:rsidRPr="00D716C5">
        <w:rPr>
          <w:rFonts w:cs="Times New Roman"/>
        </w:rPr>
        <w:t xml:space="preserve">parliament passed the </w:t>
      </w:r>
      <w:r w:rsidR="00E63E6E" w:rsidRPr="00D716C5">
        <w:rPr>
          <w:rFonts w:cs="Times New Roman"/>
          <w:i/>
        </w:rPr>
        <w:t xml:space="preserve">Water Industry (Third Party Access) Amendment </w:t>
      </w:r>
      <w:r w:rsidRPr="00D716C5">
        <w:rPr>
          <w:rFonts w:cs="Times New Roman"/>
          <w:i/>
        </w:rPr>
        <w:t xml:space="preserve">Act </w:t>
      </w:r>
      <w:r w:rsidR="00E63E6E" w:rsidRPr="00D716C5">
        <w:rPr>
          <w:rFonts w:cs="Times New Roman"/>
          <w:i/>
        </w:rPr>
        <w:t>2015</w:t>
      </w:r>
      <w:r w:rsidR="005C7AC5">
        <w:rPr>
          <w:rFonts w:cs="Times New Roman"/>
          <w:i/>
        </w:rPr>
        <w:t xml:space="preserve"> </w:t>
      </w:r>
      <w:r w:rsidR="005C7AC5" w:rsidRPr="005C7AC5">
        <w:rPr>
          <w:rFonts w:cs="Times New Roman"/>
        </w:rPr>
        <w:t>(South Australia)</w:t>
      </w:r>
      <w:r w:rsidR="00E63E6E" w:rsidRPr="00D716C5">
        <w:rPr>
          <w:rStyle w:val="FootnoteReference"/>
          <w:rFonts w:cs="Times New Roman"/>
        </w:rPr>
        <w:footnoteReference w:id="611"/>
      </w:r>
      <w:r w:rsidR="00E63E6E" w:rsidRPr="00D716C5">
        <w:rPr>
          <w:rFonts w:cs="Times New Roman"/>
        </w:rPr>
        <w:t xml:space="preserve"> (‘the</w:t>
      </w:r>
      <w:r w:rsidR="00E57117">
        <w:rPr>
          <w:rFonts w:cs="Times New Roman"/>
        </w:rPr>
        <w:t xml:space="preserve"> </w:t>
      </w:r>
      <w:r w:rsidR="00231D6F" w:rsidRPr="00D716C5">
        <w:rPr>
          <w:rFonts w:cs="Times New Roman"/>
        </w:rPr>
        <w:t xml:space="preserve">SA </w:t>
      </w:r>
      <w:r w:rsidR="005C7AC5">
        <w:rPr>
          <w:rFonts w:cs="Times New Roman"/>
        </w:rPr>
        <w:t xml:space="preserve">Third Party Access </w:t>
      </w:r>
      <w:r w:rsidR="00231D6F" w:rsidRPr="00D716C5">
        <w:rPr>
          <w:rFonts w:cs="Times New Roman"/>
        </w:rPr>
        <w:t>Act</w:t>
      </w:r>
      <w:r w:rsidR="00E63E6E" w:rsidRPr="00D716C5">
        <w:rPr>
          <w:rFonts w:cs="Times New Roman"/>
        </w:rPr>
        <w:t xml:space="preserve">’) to establish a third party access regime for water infrastructure in </w:t>
      </w:r>
      <w:r w:rsidR="001C09F6" w:rsidRPr="00D716C5">
        <w:rPr>
          <w:rFonts w:cs="Times New Roman"/>
        </w:rPr>
        <w:t>SA</w:t>
      </w:r>
      <w:r w:rsidR="00E63E6E" w:rsidRPr="00D716C5">
        <w:rPr>
          <w:rFonts w:cs="Times New Roman"/>
        </w:rPr>
        <w:t xml:space="preserve">. The </w:t>
      </w:r>
      <w:r w:rsidR="001C09F6" w:rsidRPr="00D716C5">
        <w:rPr>
          <w:rFonts w:cs="Times New Roman"/>
        </w:rPr>
        <w:t>S</w:t>
      </w:r>
      <w:r w:rsidR="009542D1">
        <w:rPr>
          <w:rFonts w:cs="Times New Roman"/>
        </w:rPr>
        <w:t xml:space="preserve">outh </w:t>
      </w:r>
      <w:r w:rsidR="001C09F6" w:rsidRPr="00D716C5">
        <w:rPr>
          <w:rFonts w:cs="Times New Roman"/>
        </w:rPr>
        <w:t>A</w:t>
      </w:r>
      <w:r w:rsidR="009542D1">
        <w:rPr>
          <w:rFonts w:cs="Times New Roman"/>
        </w:rPr>
        <w:t>ustralian</w:t>
      </w:r>
      <w:r w:rsidR="00E63E6E" w:rsidRPr="00D716C5">
        <w:rPr>
          <w:rFonts w:cs="Times New Roman"/>
        </w:rPr>
        <w:t xml:space="preserve"> Government intends to apply to the National Competition Council to have the regime certified as an ‘effective access regime’ for the purposes of Part IIIA of the CCA.</w:t>
      </w:r>
      <w:r w:rsidR="00E63E6E" w:rsidRPr="00D716C5">
        <w:rPr>
          <w:rStyle w:val="FootnoteReference"/>
          <w:rFonts w:cs="Times New Roman"/>
        </w:rPr>
        <w:footnoteReference w:id="612"/>
      </w:r>
      <w:r w:rsidR="00E63E6E" w:rsidRPr="00D716C5">
        <w:rPr>
          <w:rFonts w:cs="Times New Roman"/>
        </w:rPr>
        <w:t xml:space="preserve"> </w:t>
      </w:r>
    </w:p>
    <w:p w:rsidR="00E63E6E" w:rsidRPr="00D716C5" w:rsidRDefault="00E63E6E" w:rsidP="00B0377F">
      <w:pPr>
        <w:rPr>
          <w:rFonts w:cs="Times New Roman"/>
        </w:rPr>
      </w:pPr>
      <w:r w:rsidRPr="00D716C5">
        <w:rPr>
          <w:rFonts w:cs="Times New Roman"/>
        </w:rPr>
        <w:t xml:space="preserve">In the course of its consultation process on the development of the </w:t>
      </w:r>
      <w:r w:rsidR="001634AD">
        <w:rPr>
          <w:rFonts w:cs="Times New Roman"/>
        </w:rPr>
        <w:t xml:space="preserve">SA </w:t>
      </w:r>
      <w:r w:rsidR="005C7AC5">
        <w:rPr>
          <w:rFonts w:cs="Times New Roman"/>
        </w:rPr>
        <w:t xml:space="preserve">Third Party Access </w:t>
      </w:r>
      <w:r w:rsidR="001634AD">
        <w:rPr>
          <w:rFonts w:cs="Times New Roman"/>
        </w:rPr>
        <w:t>Act</w:t>
      </w:r>
      <w:r w:rsidRPr="00D716C5">
        <w:rPr>
          <w:rFonts w:cs="Times New Roman"/>
        </w:rPr>
        <w:t xml:space="preserve">, the </w:t>
      </w:r>
      <w:r w:rsidR="001C09F6" w:rsidRPr="00D716C5">
        <w:rPr>
          <w:rFonts w:cs="Times New Roman"/>
        </w:rPr>
        <w:t>S</w:t>
      </w:r>
      <w:r w:rsidR="0037210E">
        <w:rPr>
          <w:rFonts w:cs="Times New Roman"/>
        </w:rPr>
        <w:t xml:space="preserve">outh </w:t>
      </w:r>
      <w:r w:rsidR="001C09F6" w:rsidRPr="00D716C5">
        <w:rPr>
          <w:rFonts w:cs="Times New Roman"/>
        </w:rPr>
        <w:t>A</w:t>
      </w:r>
      <w:r w:rsidR="0037210E">
        <w:rPr>
          <w:rFonts w:cs="Times New Roman"/>
        </w:rPr>
        <w:t>ustralian</w:t>
      </w:r>
      <w:r w:rsidRPr="00D716C5">
        <w:rPr>
          <w:rFonts w:cs="Times New Roman"/>
        </w:rPr>
        <w:t xml:space="preserve"> Department of Treasury and Finance raised concerns regarding uncertainty in the scope of the application of the water charges rules.</w:t>
      </w:r>
      <w:r w:rsidRPr="00D716C5">
        <w:rPr>
          <w:rStyle w:val="FootnoteReference"/>
          <w:rFonts w:cs="Times New Roman"/>
        </w:rPr>
        <w:footnoteReference w:id="613"/>
      </w:r>
      <w:r w:rsidRPr="00D716C5">
        <w:rPr>
          <w:rFonts w:cs="Times New Roman"/>
        </w:rPr>
        <w:t xml:space="preserve"> To the extent of any overlap between the infrastructure services covered </w:t>
      </w:r>
      <w:r w:rsidR="00361895">
        <w:rPr>
          <w:rFonts w:cs="Times New Roman"/>
        </w:rPr>
        <w:t xml:space="preserve">by </w:t>
      </w:r>
      <w:r w:rsidR="005C7AC5">
        <w:rPr>
          <w:rFonts w:cs="Times New Roman"/>
        </w:rPr>
        <w:t>the</w:t>
      </w:r>
      <w:r w:rsidR="005C7AC5" w:rsidRPr="00D716C5">
        <w:rPr>
          <w:rFonts w:cs="Times New Roman"/>
        </w:rPr>
        <w:t xml:space="preserve"> </w:t>
      </w:r>
      <w:r w:rsidR="001C09F6" w:rsidRPr="00D716C5">
        <w:rPr>
          <w:rFonts w:cs="Times New Roman"/>
        </w:rPr>
        <w:t>SA</w:t>
      </w:r>
      <w:r w:rsidRPr="00D716C5">
        <w:rPr>
          <w:rFonts w:cs="Times New Roman"/>
        </w:rPr>
        <w:t xml:space="preserve"> third party access</w:t>
      </w:r>
      <w:r w:rsidR="005C7AC5">
        <w:rPr>
          <w:rFonts w:cs="Times New Roman"/>
        </w:rPr>
        <w:t xml:space="preserve"> Act</w:t>
      </w:r>
      <w:r w:rsidRPr="00D716C5">
        <w:rPr>
          <w:rFonts w:cs="Times New Roman"/>
        </w:rPr>
        <w:t xml:space="preserve"> and the water charge rules, the </w:t>
      </w:r>
      <w:r w:rsidR="001C09F6" w:rsidRPr="00D716C5">
        <w:rPr>
          <w:rFonts w:cs="Times New Roman"/>
        </w:rPr>
        <w:t>S</w:t>
      </w:r>
      <w:r w:rsidR="0037210E">
        <w:rPr>
          <w:rFonts w:cs="Times New Roman"/>
        </w:rPr>
        <w:t xml:space="preserve">outh </w:t>
      </w:r>
      <w:r w:rsidR="001C09F6" w:rsidRPr="00D716C5">
        <w:rPr>
          <w:rFonts w:cs="Times New Roman"/>
        </w:rPr>
        <w:t>A</w:t>
      </w:r>
      <w:r w:rsidR="0037210E">
        <w:rPr>
          <w:rFonts w:cs="Times New Roman"/>
        </w:rPr>
        <w:t>ustralian</w:t>
      </w:r>
      <w:r w:rsidRPr="00D716C5">
        <w:rPr>
          <w:rFonts w:cs="Times New Roman"/>
        </w:rPr>
        <w:t xml:space="preserve"> Department of Treasury and Finance also noted concerns about potential legal inconsistency, which could have the effect of invalidating the state legislation.</w:t>
      </w:r>
      <w:r w:rsidRPr="00D716C5">
        <w:rPr>
          <w:rStyle w:val="FootnoteReference"/>
          <w:rFonts w:cs="Times New Roman"/>
        </w:rPr>
        <w:footnoteReference w:id="614"/>
      </w:r>
      <w:r w:rsidRPr="00D716C5">
        <w:rPr>
          <w:rFonts w:cs="Times New Roman"/>
        </w:rPr>
        <w:t xml:space="preserve"> </w:t>
      </w:r>
      <w:r w:rsidR="003F7AD3" w:rsidRPr="00D716C5">
        <w:rPr>
          <w:rFonts w:cs="Times New Roman"/>
        </w:rPr>
        <w:t xml:space="preserve">A further concern related to the complexity of the </w:t>
      </w:r>
      <w:r w:rsidR="00361895">
        <w:rPr>
          <w:rFonts w:cs="Times New Roman"/>
        </w:rPr>
        <w:t xml:space="preserve">overlapping </w:t>
      </w:r>
      <w:r w:rsidR="003F7AD3" w:rsidRPr="00D716C5">
        <w:rPr>
          <w:rFonts w:cs="Times New Roman"/>
        </w:rPr>
        <w:t>regime</w:t>
      </w:r>
      <w:r w:rsidR="00361895">
        <w:rPr>
          <w:rFonts w:cs="Times New Roman"/>
        </w:rPr>
        <w:t>s,</w:t>
      </w:r>
      <w:r w:rsidR="003F7AD3" w:rsidRPr="00D716C5">
        <w:rPr>
          <w:rFonts w:cs="Times New Roman"/>
        </w:rPr>
        <w:t xml:space="preserve"> whereby “</w:t>
      </w:r>
      <w:r w:rsidR="003F7AD3" w:rsidRPr="00D716C5">
        <w:t>some infrastructure services of SA Water (and potentially other water industry entities) would be subject to Commonwealth water charge rules, some would be subject to the state-based access regime, and some would be subject to both”.</w:t>
      </w:r>
      <w:r w:rsidR="003F7AD3" w:rsidRPr="00D716C5">
        <w:rPr>
          <w:rStyle w:val="FootnoteReference"/>
          <w:rFonts w:cs="Times New Roman"/>
        </w:rPr>
        <w:footnoteReference w:id="615"/>
      </w:r>
    </w:p>
    <w:p w:rsidR="00E63E6E" w:rsidRDefault="00E63E6E" w:rsidP="00B0377F">
      <w:pPr>
        <w:rPr>
          <w:rFonts w:cs="Times New Roman"/>
        </w:rPr>
      </w:pPr>
      <w:r w:rsidRPr="00D716C5">
        <w:rPr>
          <w:rFonts w:cs="Times New Roman"/>
        </w:rPr>
        <w:t xml:space="preserve">To address these concerns, the </w:t>
      </w:r>
      <w:r w:rsidR="00231D6F" w:rsidRPr="00D716C5">
        <w:rPr>
          <w:rFonts w:cs="Times New Roman"/>
        </w:rPr>
        <w:t xml:space="preserve">SA </w:t>
      </w:r>
      <w:r w:rsidR="005C7AC5">
        <w:rPr>
          <w:rFonts w:cs="Times New Roman"/>
        </w:rPr>
        <w:t xml:space="preserve">Third Party Access </w:t>
      </w:r>
      <w:r w:rsidR="000B6B73" w:rsidRPr="00D716C5">
        <w:rPr>
          <w:rFonts w:cs="Times New Roman"/>
        </w:rPr>
        <w:t>Act</w:t>
      </w:r>
      <w:r w:rsidR="00231D6F" w:rsidRPr="00D716C5">
        <w:rPr>
          <w:rFonts w:cs="Times New Roman"/>
        </w:rPr>
        <w:t xml:space="preserve"> </w:t>
      </w:r>
      <w:r w:rsidRPr="00D716C5">
        <w:rPr>
          <w:rFonts w:cs="Times New Roman"/>
        </w:rPr>
        <w:t>include</w:t>
      </w:r>
      <w:r w:rsidR="000B6B73" w:rsidRPr="00D716C5">
        <w:rPr>
          <w:rFonts w:cs="Times New Roman"/>
        </w:rPr>
        <w:t>s</w:t>
      </w:r>
      <w:r w:rsidRPr="00D716C5">
        <w:rPr>
          <w:rFonts w:cs="Times New Roman"/>
        </w:rPr>
        <w:t xml:space="preserve"> a displacement provision for the purposes of </w:t>
      </w:r>
      <w:r w:rsidR="007E3378">
        <w:rPr>
          <w:rFonts w:cs="Times New Roman"/>
        </w:rPr>
        <w:t>s</w:t>
      </w:r>
      <w:r w:rsidRPr="00D716C5">
        <w:rPr>
          <w:rFonts w:cs="Times New Roman"/>
        </w:rPr>
        <w:t xml:space="preserve">ection 250D of the </w:t>
      </w:r>
      <w:r w:rsidR="000B6B73" w:rsidRPr="003E27EE">
        <w:rPr>
          <w:rFonts w:cs="Times New Roman"/>
          <w:i/>
        </w:rPr>
        <w:t xml:space="preserve">Water </w:t>
      </w:r>
      <w:r w:rsidRPr="003E27EE">
        <w:rPr>
          <w:rFonts w:cs="Times New Roman"/>
          <w:i/>
        </w:rPr>
        <w:t>Act</w:t>
      </w:r>
      <w:r w:rsidR="003E27EE" w:rsidRPr="003E27EE">
        <w:rPr>
          <w:rFonts w:cs="Times New Roman"/>
          <w:i/>
        </w:rPr>
        <w:t xml:space="preserve"> 2007</w:t>
      </w:r>
      <w:r w:rsidR="003E27EE">
        <w:rPr>
          <w:rFonts w:cs="Times New Roman"/>
        </w:rPr>
        <w:t xml:space="preserve"> (the Act)</w:t>
      </w:r>
      <w:r w:rsidRPr="00D716C5">
        <w:rPr>
          <w:rFonts w:cs="Times New Roman"/>
        </w:rPr>
        <w:t xml:space="preserve">. Under this displacement provision, the state legislation will prevail to the extent that there are any </w:t>
      </w:r>
      <w:r w:rsidR="008870BE">
        <w:rPr>
          <w:rFonts w:cs="Times New Roman"/>
        </w:rPr>
        <w:t>direct</w:t>
      </w:r>
      <w:r w:rsidRPr="00D716C5">
        <w:rPr>
          <w:rFonts w:cs="Times New Roman"/>
        </w:rPr>
        <w:t xml:space="preserve"> inconsistencies between the </w:t>
      </w:r>
      <w:r w:rsidR="005C7AC5">
        <w:rPr>
          <w:rFonts w:cs="Times New Roman"/>
        </w:rPr>
        <w:t>SA</w:t>
      </w:r>
      <w:r w:rsidRPr="00D716C5">
        <w:rPr>
          <w:rFonts w:cs="Times New Roman"/>
        </w:rPr>
        <w:t xml:space="preserve"> third party access regime and the water charge rules. To the extent that there are no </w:t>
      </w:r>
      <w:r w:rsidR="008870BE">
        <w:rPr>
          <w:rFonts w:cs="Times New Roman"/>
        </w:rPr>
        <w:t>such</w:t>
      </w:r>
      <w:r w:rsidR="008870BE" w:rsidRPr="00D716C5">
        <w:rPr>
          <w:rFonts w:cs="Times New Roman"/>
        </w:rPr>
        <w:t xml:space="preserve"> </w:t>
      </w:r>
      <w:r w:rsidRPr="00D716C5">
        <w:rPr>
          <w:rFonts w:cs="Times New Roman"/>
        </w:rPr>
        <w:t>inconsistencies, then both the state legislation and the water charge rules can operate concurrently.</w:t>
      </w:r>
      <w:r w:rsidRPr="00D716C5">
        <w:rPr>
          <w:rStyle w:val="FootnoteReference"/>
          <w:rFonts w:cs="Times New Roman"/>
        </w:rPr>
        <w:footnoteReference w:id="616"/>
      </w:r>
      <w:r w:rsidRPr="00D714FC">
        <w:rPr>
          <w:rFonts w:cs="Times New Roman"/>
        </w:rPr>
        <w:t xml:space="preserve"> </w:t>
      </w:r>
    </w:p>
    <w:p w:rsidR="00E57117" w:rsidRDefault="00E57117" w:rsidP="00E57117">
      <w:r>
        <w:t xml:space="preserve">In response to the Draft Advice, the South Australian Department of Treasury and Finance submitted that the </w:t>
      </w:r>
      <w:r w:rsidR="00E815E4">
        <w:t>draft amendments to the water charge rules</w:t>
      </w:r>
      <w:r>
        <w:t xml:space="preserve"> “would substantially address inconsistency between the water charge rules and the operation of an access arrangement or third party access regime under Part IIIA of the </w:t>
      </w:r>
      <w:r>
        <w:rPr>
          <w:i/>
        </w:rPr>
        <w:t>Competition and Consumer Act 2010</w:t>
      </w:r>
      <w:r>
        <w:t>”.</w:t>
      </w:r>
      <w:r w:rsidRPr="00073821">
        <w:rPr>
          <w:rStyle w:val="FootnoteReference"/>
          <w:rFonts w:cs="Times New Roman"/>
          <w:sz w:val="20"/>
          <w:szCs w:val="20"/>
        </w:rPr>
        <w:footnoteReference w:id="617"/>
      </w:r>
      <w:r>
        <w:t xml:space="preserve"> However, the South Australian Department of Treasury and Finance remains concerned about the requirements relating to the exemption process from the publication of a </w:t>
      </w:r>
      <w:r w:rsidR="00AD6514">
        <w:t>S</w:t>
      </w:r>
      <w:r>
        <w:t xml:space="preserve">chedule of </w:t>
      </w:r>
      <w:r w:rsidR="00AD6514">
        <w:t>C</w:t>
      </w:r>
      <w:r>
        <w:t>harges, where those charges arise under a third-party access regime (see section 5.4.3).</w:t>
      </w:r>
    </w:p>
    <w:p w:rsidR="00E57117" w:rsidRPr="00E57117" w:rsidRDefault="00E57117" w:rsidP="00B0377F">
      <w:r>
        <w:t>SunWater commented on transitional provisions for the non-discrimination provisions in relation to charges set under existing contracts (see section 5.3</w:t>
      </w:r>
      <w:r w:rsidR="00AF5079">
        <w:t>.1</w:t>
      </w:r>
      <w:r>
        <w:t xml:space="preserve">). </w:t>
      </w:r>
    </w:p>
    <w:p w:rsidR="00E63E6E" w:rsidRPr="00D714FC" w:rsidRDefault="0079321E" w:rsidP="00020517">
      <w:pPr>
        <w:pStyle w:val="Heading3Un-numbered"/>
      </w:pPr>
      <w:r>
        <w:t>ACCC assessment</w:t>
      </w:r>
    </w:p>
    <w:p w:rsidR="00E57117" w:rsidRPr="00C70AEE" w:rsidRDefault="00E57117" w:rsidP="00E83E5D">
      <w:pPr>
        <w:pStyle w:val="Heading4-Un-numberedsubheading-Lvl5"/>
      </w:pPr>
      <w:r w:rsidRPr="00C70AEE">
        <w:t>Non-discrimination provisions</w:t>
      </w:r>
      <w:r w:rsidR="00C70AEE" w:rsidRPr="00C70AEE">
        <w:t xml:space="preserve"> </w:t>
      </w:r>
      <w:r w:rsidR="00935F9A">
        <w:t>and</w:t>
      </w:r>
      <w:r w:rsidR="00C70AEE" w:rsidRPr="00C70AEE">
        <w:t xml:space="preserve"> </w:t>
      </w:r>
      <w:r w:rsidRPr="00C70AEE">
        <w:t>charges pursuant to a Part IIIA access arrangement</w:t>
      </w:r>
    </w:p>
    <w:p w:rsidR="00522A6E" w:rsidRDefault="00E57117" w:rsidP="00E57117">
      <w:r>
        <w:t xml:space="preserve">The ACCC maintains its position from the Draft Advice that there should be an exemption from the </w:t>
      </w:r>
      <w:r w:rsidR="00361895">
        <w:t xml:space="preserve">proposed </w:t>
      </w:r>
      <w:r>
        <w:t xml:space="preserve">non-discrimination </w:t>
      </w:r>
      <w:r w:rsidR="00361895">
        <w:t xml:space="preserve">rule (i.e. proposed rule 10) </w:t>
      </w:r>
      <w:r>
        <w:t>for charges pursuant to a Part IIIA access arrangement. The ACCC considers that the Part IIIA framework provides an additional protection for customers against certain customers receiving favourable treatment by way of lower charges or access to particular infrastructure services. This is because an infrastructure operator, whose infrastructure is subject to a Part IIIA access arrangement, is required to offer third party access in accordance with the access undertaking or via negotiations. Further, there is a formal dispute resolution process if the parties cannot reach an agreement.</w:t>
      </w:r>
      <w:r>
        <w:rPr>
          <w:rStyle w:val="FootnoteReference"/>
        </w:rPr>
        <w:footnoteReference w:id="618"/>
      </w:r>
      <w:r>
        <w:t xml:space="preserve"> </w:t>
      </w:r>
      <w:r w:rsidR="00D43A19">
        <w:t>The ACCC also notes that there are significant barriers to gaining access under a Part IIIA access regime. Therefore, the carve-out is unlikely to affect a significant number of infrastructure charges that fall within the scope of the water charge rules.</w:t>
      </w:r>
    </w:p>
    <w:p w:rsidR="00361895" w:rsidRDefault="00361895" w:rsidP="00361895">
      <w:r>
        <w:t xml:space="preserve">It should be clarified that, in making this advice, the ACCC does not consider that there is a rationale for exempting Part IIIA charges from proposed rule 10A. </w:t>
      </w:r>
      <w:r w:rsidR="005756C1">
        <w:t>Proposed water charge r</w:t>
      </w:r>
      <w:r>
        <w:t xml:space="preserve">ule 10A is intended to prohibit certain charges from being levied in relation to trade and termination, on the basis that such charges would directly and inappropriately distort customers’ termination and trade decisions (see section 5.3.2). The ACCC considers that, whereas the protections afforded by Part IIIA arrangements can be considered a sufficient alternative to those afforded by proposed rule 10, this is not the case in relation to proposed rule 10A. In particular, an operator levying infrastructure charges under a Part IIIA arrangement could seek to impose (for example) inappropriately high transactions costs on processing all terminations </w:t>
      </w:r>
      <w:r w:rsidR="005756C1">
        <w:t>or</w:t>
      </w:r>
      <w:r>
        <w:t xml:space="preserve"> trades, or other charges which would be inconsistent with rule 10A. The ACCC considers that customers are likely to have little recourse under Part IIIA mechanisms to challenge such charges, particularly if the operator characterises such charges as being generally applicable to all customers (in the relevant circumstances) as opposed to being charges which can be individually negotiated by different customers.</w:t>
      </w:r>
      <w:r w:rsidR="00FA1192">
        <w:t xml:space="preserve"> Accordingly, the ACCC considers it appropriate that all infrastructure charges, including </w:t>
      </w:r>
      <w:r w:rsidR="005756C1">
        <w:t xml:space="preserve">charges pursuant to a </w:t>
      </w:r>
      <w:r w:rsidR="00FA1192">
        <w:t xml:space="preserve">Part IIIA </w:t>
      </w:r>
      <w:r w:rsidR="005756C1">
        <w:t>access arrangement</w:t>
      </w:r>
      <w:r w:rsidR="00FA1192">
        <w:t>, be subject to rule 10A.</w:t>
      </w:r>
    </w:p>
    <w:p w:rsidR="00483777" w:rsidRDefault="00361895" w:rsidP="00361895">
      <w:r>
        <w:t>Draft rule advice 5</w:t>
      </w:r>
      <w:r>
        <w:noBreakHyphen/>
        <w:t>X proposed that Part IIIA charges be “</w:t>
      </w:r>
      <w:r w:rsidRPr="00D714FC">
        <w:t>permitted despite the non-discrimination requirements of Part 3 of the WCIR</w:t>
      </w:r>
      <w:r>
        <w:t>”.</w:t>
      </w:r>
      <w:r>
        <w:rPr>
          <w:rStyle w:val="FootnoteReference"/>
        </w:rPr>
        <w:footnoteReference w:id="619"/>
      </w:r>
      <w:r>
        <w:t xml:space="preserve"> </w:t>
      </w:r>
      <w:r w:rsidR="00483777">
        <w:t xml:space="preserve">Under the current WCIR, the only rule in Part 3 is rule 10. </w:t>
      </w:r>
      <w:r>
        <w:t>In making this draft rule advice, the ACCC intended to provide an exemption from proposed Rule 10 only</w:t>
      </w:r>
      <w:r w:rsidR="00FA1192">
        <w:t xml:space="preserve"> (consistent with the approach described above)</w:t>
      </w:r>
      <w:r>
        <w:t>. This intent was given effect in the proposed rules accompanying the Draft Advice</w:t>
      </w:r>
      <w:r w:rsidR="00FA1192">
        <w:rPr>
          <w:rFonts w:ascii="Calibri" w:hAnsi="Calibri"/>
        </w:rPr>
        <w:t>―</w:t>
      </w:r>
      <w:r>
        <w:t>i.e. an exemption for Part IIIA charges was provided in relation to draft rule 10 but not</w:t>
      </w:r>
      <w:r w:rsidR="00FA1192">
        <w:t xml:space="preserve"> </w:t>
      </w:r>
      <w:r>
        <w:t xml:space="preserve">draft rule 10A. </w:t>
      </w:r>
      <w:r w:rsidR="00483777">
        <w:t>The South Australian Department of Treasury and Finance was the only stakeholder to comment on this issue in response to the Draft Advice, and it submitted that the draft amendments to the water charge rules presented with the Draft Advice would substantially address its concerns regarding inconsistency between the rules and the operation of a Part IIIA arrangement.</w:t>
      </w:r>
      <w:r w:rsidR="00483777" w:rsidRPr="00073821">
        <w:rPr>
          <w:rStyle w:val="FootnoteReference"/>
          <w:rFonts w:cs="Times New Roman"/>
          <w:sz w:val="20"/>
          <w:szCs w:val="20"/>
        </w:rPr>
        <w:footnoteReference w:id="620"/>
      </w:r>
    </w:p>
    <w:p w:rsidR="00361895" w:rsidRDefault="00483777" w:rsidP="00361895">
      <w:r>
        <w:t>Nevertheless</w:t>
      </w:r>
      <w:r w:rsidR="00361895">
        <w:t xml:space="preserve">, the ACCC acknowledges that some ambiguity </w:t>
      </w:r>
      <w:r w:rsidR="00E815E4">
        <w:t>may</w:t>
      </w:r>
      <w:r w:rsidR="00361895">
        <w:t xml:space="preserve"> have arisen from the fact that proposed rule 10A is contained under the general heading of “non</w:t>
      </w:r>
      <w:r w:rsidR="00361895">
        <w:noBreakHyphen/>
        <w:t>discrimination”, both in the advice and in Part 3 of the proposed rules. The ACCC has made clear in (final) rule advice 5-X that the exemption should only apply in relation to rule 10.</w:t>
      </w:r>
    </w:p>
    <w:p w:rsidR="00D43A19" w:rsidRDefault="00D43A19" w:rsidP="00E83E5D">
      <w:pPr>
        <w:pStyle w:val="Heading4-Un-numberedsubheading-Lvl5"/>
      </w:pPr>
      <w:r>
        <w:t xml:space="preserve">Non-discrimination provisions </w:t>
      </w:r>
      <w:r w:rsidR="00935F9A">
        <w:t>and</w:t>
      </w:r>
      <w:r>
        <w:t xml:space="preserve"> other commercially negotiated charges</w:t>
      </w:r>
    </w:p>
    <w:p w:rsidR="00D43A19" w:rsidRDefault="00D43A19" w:rsidP="00D43A19">
      <w:r>
        <w:t xml:space="preserve">The ACCC maintains its position from the Draft Advice that there should be no carve-out from the non-discrimination provisions for charges that are commercially negotiated outside the Part IIIA framework. As set out in the Draft Advice, the ACCC considers that in the absence of the </w:t>
      </w:r>
      <w:r w:rsidRPr="00FC2118">
        <w:rPr>
          <w:i/>
        </w:rPr>
        <w:t>requirement</w:t>
      </w:r>
      <w:r>
        <w:t xml:space="preserve"> for infrastructure operators to offer third-party access (e.g. to negotiate) or to fall back on a formal dispute resolution process, there are inadequate protections for customers against the unfavourable exercise of market power by infrastructure operators. Therefore, these charges should be subject to the proposed non-discrimination provisions in Part 3 of the water charge rules.</w:t>
      </w:r>
    </w:p>
    <w:p w:rsidR="00D43A19" w:rsidRDefault="00D43A19" w:rsidP="00E83E5D">
      <w:pPr>
        <w:pStyle w:val="Heading4-Un-numberedsubheading-Lvl5"/>
      </w:pPr>
      <w:r>
        <w:t>Disclosure of Part IIIA charges and other commercially negotiated charges</w:t>
      </w:r>
    </w:p>
    <w:p w:rsidR="00016FC7" w:rsidRDefault="00E57117" w:rsidP="00E57117">
      <w:r>
        <w:t>Crucially, the ACCC’s support for a carve-out from the non-discrimination provisions for charges pursuant to Part IIIA of the CCA is subject to there being an adequate level of transparency about these charges. Therefore, the ACCC supports the requirements to disclose all infrastructure charges in Parts 2 and 4 of the water charge rules unless</w:t>
      </w:r>
      <w:r w:rsidR="00016FC7">
        <w:t>:</w:t>
      </w:r>
      <w:r>
        <w:t xml:space="preserve"> </w:t>
      </w:r>
    </w:p>
    <w:p w:rsidR="00016FC7" w:rsidRDefault="00E57117" w:rsidP="00A82DE6">
      <w:pPr>
        <w:pStyle w:val="Lvl1Bulletpoint"/>
      </w:pPr>
      <w:r>
        <w:t>there is evidence that disclosing the charge will cause a material financial loss or detriment</w:t>
      </w:r>
      <w:r w:rsidR="00D43A19">
        <w:t xml:space="preserve"> (that is, an exemption is granted by the ACCC under rule 9) or </w:t>
      </w:r>
    </w:p>
    <w:p w:rsidR="00016FC7" w:rsidRDefault="009A1FE8" w:rsidP="00A82DE6">
      <w:pPr>
        <w:pStyle w:val="Lvl1Bulletpoint"/>
      </w:pPr>
      <w:r>
        <w:t xml:space="preserve">the charge </w:t>
      </w:r>
      <w:r w:rsidR="00D43A19">
        <w:t>otherwise qualifies f</w:t>
      </w:r>
      <w:r>
        <w:t>or</w:t>
      </w:r>
      <w:r w:rsidR="00D43A19">
        <w:t xml:space="preserve"> an</w:t>
      </w:r>
      <w:r>
        <w:t xml:space="preserve"> </w:t>
      </w:r>
      <w:r w:rsidR="00D43A19">
        <w:t>exemption</w:t>
      </w:r>
      <w:r>
        <w:t xml:space="preserve"> under one of the proposed grounds in rule advice 5-J.</w:t>
      </w:r>
      <w:r>
        <w:rPr>
          <w:rStyle w:val="FootnoteReference"/>
        </w:rPr>
        <w:footnoteReference w:id="621"/>
      </w:r>
      <w:r>
        <w:t xml:space="preserve"> </w:t>
      </w:r>
    </w:p>
    <w:p w:rsidR="00E57117" w:rsidRDefault="00D43A19" w:rsidP="00016FC7">
      <w:r>
        <w:t>In particular, the ACCC propose</w:t>
      </w:r>
      <w:r w:rsidR="00016FC7">
        <w:t>s</w:t>
      </w:r>
      <w:r>
        <w:t xml:space="preserve"> that the disclosure (on a </w:t>
      </w:r>
      <w:r w:rsidR="00AD6514">
        <w:t>S</w:t>
      </w:r>
      <w:r>
        <w:t xml:space="preserve">chedule of </w:t>
      </w:r>
      <w:r w:rsidR="00AD6514">
        <w:t>C</w:t>
      </w:r>
      <w:r>
        <w:t>harges) of an infrastructure charge set out in a new commercial agreement between an infrastructure operator and customer</w:t>
      </w:r>
      <w:r w:rsidR="00016FC7">
        <w:t xml:space="preserve"> (including any of the </w:t>
      </w:r>
      <w:r w:rsidR="0092681E">
        <w:t xml:space="preserve">proposed </w:t>
      </w:r>
      <w:r w:rsidR="00016FC7">
        <w:t>details required when an exemption under rule 9 has been granted)</w:t>
      </w:r>
      <w:r w:rsidR="0092681E">
        <w:t>,</w:t>
      </w:r>
      <w:r w:rsidR="00016FC7">
        <w:rPr>
          <w:rStyle w:val="FootnoteReference"/>
        </w:rPr>
        <w:footnoteReference w:id="622"/>
      </w:r>
      <w:r w:rsidR="00016FC7">
        <w:t xml:space="preserve"> </w:t>
      </w:r>
      <w:r>
        <w:t xml:space="preserve">may be deferred until the operator next </w:t>
      </w:r>
      <w:r w:rsidR="00016FC7">
        <w:t xml:space="preserve">adopts a </w:t>
      </w:r>
      <w:r w:rsidR="00AD6514">
        <w:t>S</w:t>
      </w:r>
      <w:r>
        <w:t xml:space="preserve">chedule of </w:t>
      </w:r>
      <w:r w:rsidR="00AD6514">
        <w:t>C</w:t>
      </w:r>
      <w:r>
        <w:t>harges</w:t>
      </w:r>
      <w:r w:rsidR="00C6733C">
        <w:t xml:space="preserve"> </w:t>
      </w:r>
      <w:r w:rsidR="00016FC7">
        <w:t xml:space="preserve">but within the next 12 months </w:t>
      </w:r>
      <w:r w:rsidR="00E57117">
        <w:t>(see section 5.4.3 for further discussion about the exemptions from the publication requirements).</w:t>
      </w:r>
      <w:r w:rsidR="00C6733C">
        <w:t xml:space="preserve"> </w:t>
      </w:r>
    </w:p>
    <w:p w:rsidR="00E57117" w:rsidRDefault="00E57117" w:rsidP="00E83E5D">
      <w:pPr>
        <w:pStyle w:val="Heading4-Un-numberedsubheading-Lvl5"/>
      </w:pPr>
      <w:r>
        <w:t xml:space="preserve">Accounting for </w:t>
      </w:r>
      <w:r w:rsidR="00D43A19">
        <w:t xml:space="preserve">Part IIIA charges and other </w:t>
      </w:r>
      <w:r>
        <w:t>commercially negotiated charges in price determinations</w:t>
      </w:r>
    </w:p>
    <w:p w:rsidR="00D84690" w:rsidRPr="00D84690" w:rsidRDefault="00E57117">
      <w:r>
        <w:t xml:space="preserve">The ACCC maintains its view from the Draft Advice that it is important for the revenue from commercially negotiated charges to be taken into consideration in price approvals / determinations and for this to be dealt with under the ACCC’s </w:t>
      </w:r>
      <w:r w:rsidR="00F94499">
        <w:t>guidance material</w:t>
      </w:r>
      <w:r>
        <w:t xml:space="preserve">. </w:t>
      </w:r>
      <w:r w:rsidR="00C62C52">
        <w:t xml:space="preserve">Future ACCC reviews of guidance material for the water charge rules are </w:t>
      </w:r>
      <w:r>
        <w:t xml:space="preserve">discussed in section 4.4. </w:t>
      </w:r>
      <w:bookmarkStart w:id="1150" w:name="_Ref435176919"/>
      <w:bookmarkStart w:id="1151" w:name="_Toc436122315"/>
      <w:bookmarkStart w:id="1152" w:name="_Toc436122810"/>
      <w:bookmarkStart w:id="1153" w:name="_Toc436124165"/>
      <w:bookmarkStart w:id="1154" w:name="_Ref433369509"/>
    </w:p>
    <w:p w:rsidR="00F9576C" w:rsidRPr="00D714FC" w:rsidRDefault="00F9576C" w:rsidP="00054EBC">
      <w:pPr>
        <w:pStyle w:val="Heading2"/>
        <w:ind w:left="862" w:hanging="578"/>
      </w:pPr>
      <w:bookmarkStart w:id="1155" w:name="_Toc456785822"/>
      <w:bookmarkStart w:id="1156" w:name="_Toc461630733"/>
      <w:r w:rsidRPr="00D714FC">
        <w:t>Regulation of MDBA or Border Rivers Commission charges</w:t>
      </w:r>
      <w:bookmarkEnd w:id="1150"/>
      <w:bookmarkEnd w:id="1151"/>
      <w:bookmarkEnd w:id="1152"/>
      <w:bookmarkEnd w:id="1153"/>
      <w:bookmarkEnd w:id="1155"/>
      <w:bookmarkEnd w:id="1156"/>
      <w:r w:rsidRPr="00D714FC">
        <w:tab/>
      </w:r>
      <w:bookmarkEnd w:id="1154"/>
    </w:p>
    <w:p w:rsidR="006246A8" w:rsidRPr="006246A8" w:rsidRDefault="006246A8" w:rsidP="00DF129E">
      <w:pPr>
        <w:pStyle w:val="Heading3Un-numbered"/>
      </w:pPr>
      <w:r>
        <w:t>Background</w:t>
      </w:r>
    </w:p>
    <w:p w:rsidR="00F9576C" w:rsidRPr="00D714FC" w:rsidRDefault="00F9576C" w:rsidP="00B0377F">
      <w:pPr>
        <w:rPr>
          <w:rFonts w:cs="Times New Roman"/>
        </w:rPr>
      </w:pPr>
      <w:r w:rsidRPr="00D714FC">
        <w:rPr>
          <w:rFonts w:cs="Times New Roman"/>
        </w:rPr>
        <w:t xml:space="preserve">Much of the water service infrastructure in the </w:t>
      </w:r>
      <w:r w:rsidR="00210085">
        <w:rPr>
          <w:rFonts w:cs="Times New Roman"/>
        </w:rPr>
        <w:t xml:space="preserve">River </w:t>
      </w:r>
      <w:r w:rsidRPr="00D714FC">
        <w:rPr>
          <w:rFonts w:cs="Times New Roman"/>
        </w:rPr>
        <w:t xml:space="preserve">Murray </w:t>
      </w:r>
      <w:r w:rsidR="00210085">
        <w:rPr>
          <w:rFonts w:cs="Times New Roman"/>
        </w:rPr>
        <w:t>System</w:t>
      </w:r>
      <w:r w:rsidRPr="00D714FC">
        <w:rPr>
          <w:rFonts w:cs="Times New Roman"/>
        </w:rPr>
        <w:t xml:space="preserve"> is operated by, and funded through, the </w:t>
      </w:r>
      <w:r w:rsidR="00BF194C">
        <w:rPr>
          <w:rFonts w:cs="Times New Roman"/>
        </w:rPr>
        <w:t>Murray-Darling Basin Authority (</w:t>
      </w:r>
      <w:r w:rsidRPr="00D714FC">
        <w:rPr>
          <w:rFonts w:cs="Times New Roman"/>
        </w:rPr>
        <w:t>MDBA</w:t>
      </w:r>
      <w:r w:rsidR="00BF194C">
        <w:rPr>
          <w:rFonts w:cs="Times New Roman"/>
        </w:rPr>
        <w:t>)</w:t>
      </w:r>
      <w:r w:rsidRPr="00D714FC">
        <w:rPr>
          <w:rFonts w:cs="Times New Roman"/>
        </w:rPr>
        <w:t xml:space="preserve">, pursuant to the Murray-Darling Basin Agreement (MDB Agreement). </w:t>
      </w:r>
    </w:p>
    <w:p w:rsidR="00F9576C" w:rsidRPr="00D714FC" w:rsidRDefault="00F9576C" w:rsidP="00B0377F">
      <w:pPr>
        <w:rPr>
          <w:rFonts w:cs="Times New Roman"/>
        </w:rPr>
      </w:pPr>
      <w:r w:rsidRPr="00D714FC">
        <w:rPr>
          <w:rFonts w:cs="Times New Roman"/>
        </w:rPr>
        <w:t xml:space="preserve">During the </w:t>
      </w:r>
      <w:r w:rsidR="003E27EE" w:rsidRPr="003E27EE">
        <w:rPr>
          <w:rFonts w:cs="Times New Roman"/>
          <w:i/>
        </w:rPr>
        <w:t xml:space="preserve">Water </w:t>
      </w:r>
      <w:r w:rsidRPr="003E27EE">
        <w:rPr>
          <w:rFonts w:cs="Times New Roman"/>
          <w:i/>
        </w:rPr>
        <w:t>Act</w:t>
      </w:r>
      <w:r w:rsidR="003E27EE" w:rsidRPr="003E27EE">
        <w:rPr>
          <w:rFonts w:cs="Times New Roman"/>
          <w:i/>
        </w:rPr>
        <w:t xml:space="preserve"> 2007</w:t>
      </w:r>
      <w:r w:rsidR="003E27EE">
        <w:rPr>
          <w:rFonts w:cs="Times New Roman"/>
        </w:rPr>
        <w:t xml:space="preserve"> (the Act)</w:t>
      </w:r>
      <w:r w:rsidRPr="00D714FC">
        <w:rPr>
          <w:rFonts w:cs="Times New Roman"/>
        </w:rPr>
        <w:t xml:space="preserve"> Review, several stakeholders expressed concerns that the activities of the MDBA were not subject to the same scrutiny as those of operators subject to price approvals / determinations under Part 6.</w:t>
      </w:r>
      <w:r w:rsidRPr="00D714FC">
        <w:rPr>
          <w:rStyle w:val="FootnoteReference"/>
          <w:rFonts w:cs="Times New Roman"/>
        </w:rPr>
        <w:footnoteReference w:id="623"/>
      </w:r>
      <w:r w:rsidRPr="00D714FC">
        <w:rPr>
          <w:rFonts w:cs="Times New Roman"/>
        </w:rPr>
        <w:t xml:space="preserve"> </w:t>
      </w:r>
    </w:p>
    <w:p w:rsidR="00F9576C" w:rsidRPr="00D714FC" w:rsidRDefault="00F9576C" w:rsidP="00B0377F">
      <w:pPr>
        <w:rPr>
          <w:rFonts w:cs="Times New Roman"/>
        </w:rPr>
      </w:pPr>
      <w:r w:rsidRPr="00D714FC">
        <w:rPr>
          <w:rFonts w:cs="Times New Roman"/>
        </w:rPr>
        <w:t>While there is scope in the Act for the MDBA to impose infrastructure and</w:t>
      </w:r>
      <w:r w:rsidR="00E53F23">
        <w:rPr>
          <w:rFonts w:cs="Times New Roman"/>
        </w:rPr>
        <w:t xml:space="preserve"> </w:t>
      </w:r>
      <w:r w:rsidRPr="00D714FC">
        <w:rPr>
          <w:rFonts w:cs="Times New Roman"/>
        </w:rPr>
        <w:t>/</w:t>
      </w:r>
      <w:r w:rsidR="00E53F23">
        <w:rPr>
          <w:rFonts w:cs="Times New Roman"/>
        </w:rPr>
        <w:t xml:space="preserve"> </w:t>
      </w:r>
      <w:r w:rsidRPr="00D714FC">
        <w:rPr>
          <w:rFonts w:cs="Times New Roman"/>
        </w:rPr>
        <w:t>or planning and management charges to recover its costs, the MDBA does not currently impose such charges</w:t>
      </w:r>
      <w:r w:rsidR="00E53F23">
        <w:rPr>
          <w:rFonts w:cs="Times New Roman"/>
        </w:rPr>
        <w:t xml:space="preserve"> and is therefore not currently subject to the water charge rules</w:t>
      </w:r>
      <w:r w:rsidRPr="00D714FC">
        <w:rPr>
          <w:rFonts w:cs="Times New Roman"/>
        </w:rPr>
        <w:t>.</w:t>
      </w:r>
      <w:r w:rsidRPr="00D714FC">
        <w:rPr>
          <w:rStyle w:val="FootnoteReference"/>
          <w:rFonts w:cs="Times New Roman"/>
        </w:rPr>
        <w:footnoteReference w:id="624"/>
      </w:r>
      <w:r w:rsidRPr="00D714FC">
        <w:rPr>
          <w:rFonts w:cs="Times New Roman"/>
        </w:rPr>
        <w:t xml:space="preserve"> Rather, the MDBA’s infrastructure (and </w:t>
      </w:r>
      <w:r w:rsidR="006F379C">
        <w:rPr>
          <w:rFonts w:cs="Times New Roman"/>
        </w:rPr>
        <w:t>water planning and management (</w:t>
      </w:r>
      <w:r w:rsidRPr="00D714FC">
        <w:rPr>
          <w:rFonts w:cs="Times New Roman"/>
        </w:rPr>
        <w:t>WPM</w:t>
      </w:r>
      <w:r w:rsidR="006F379C">
        <w:rPr>
          <w:rFonts w:cs="Times New Roman"/>
        </w:rPr>
        <w:t>)</w:t>
      </w:r>
      <w:r w:rsidRPr="00D714FC">
        <w:rPr>
          <w:rFonts w:cs="Times New Roman"/>
        </w:rPr>
        <w:t>) costs are funded through contributions from the Commonwealth and Basin State governments (see</w:t>
      </w:r>
      <w:r w:rsidR="000C034E" w:rsidRPr="00D714FC">
        <w:rPr>
          <w:rFonts w:cs="Times New Roman"/>
        </w:rPr>
        <w:t xml:space="preserve"> </w:t>
      </w:r>
      <w:r w:rsidR="007F659D" w:rsidRPr="00D714FC">
        <w:rPr>
          <w:rFonts w:cs="Times New Roman"/>
        </w:rPr>
        <w:t xml:space="preserve">Box </w:t>
      </w:r>
      <w:r w:rsidR="007F659D">
        <w:rPr>
          <w:rFonts w:cs="Times New Roman"/>
          <w:noProof/>
        </w:rPr>
        <w:t>5</w:t>
      </w:r>
      <w:r w:rsidR="007F659D" w:rsidRPr="00D714FC">
        <w:rPr>
          <w:rFonts w:cs="Times New Roman"/>
          <w:noProof/>
        </w:rPr>
        <w:t>.</w:t>
      </w:r>
      <w:r w:rsidR="00B14931">
        <w:rPr>
          <w:rFonts w:cs="Times New Roman"/>
        </w:rPr>
        <w:t>5</w:t>
      </w:r>
      <w:r w:rsidRPr="00D714FC">
        <w:rPr>
          <w:rFonts w:cs="Times New Roman"/>
        </w:rPr>
        <w:t xml:space="preserve">). These contributions are recovered from water users by Basin States in different ways and to different extents. </w:t>
      </w:r>
    </w:p>
    <w:p w:rsidR="00F9576C" w:rsidRPr="00D714FC" w:rsidRDefault="00F9576C" w:rsidP="00881795">
      <w:pPr>
        <w:keepNext/>
        <w:rPr>
          <w:rFonts w:cs="Times New Roman"/>
        </w:rPr>
      </w:pPr>
      <w:r w:rsidRPr="00D714FC">
        <w:rPr>
          <w:rFonts w:cs="Times New Roman"/>
        </w:rPr>
        <w:t>Similarly, the Border Rivers Commission (BRC) is responsible for the operation of infrastructure servicing NSW and Queensland, and is jointly funded by those States, rather than through user charges</w:t>
      </w:r>
      <w:r w:rsidR="00210085">
        <w:rPr>
          <w:rFonts w:cs="Times New Roman"/>
        </w:rPr>
        <w:t xml:space="preserve"> levied by the BRC</w:t>
      </w:r>
      <w:r w:rsidRPr="00D714FC">
        <w:rPr>
          <w:rFonts w:cs="Times New Roman"/>
        </w:rPr>
        <w:t>. As such, the BRC is also not currently subject to the water charge rules.</w:t>
      </w:r>
    </w:p>
    <w:p w:rsidR="005A011A" w:rsidRPr="00D714FC" w:rsidRDefault="00E53F23" w:rsidP="005A011A">
      <w:pPr>
        <w:rPr>
          <w:rFonts w:cs="Times New Roman"/>
        </w:rPr>
      </w:pPr>
      <w:r>
        <w:rPr>
          <w:rFonts w:cs="Times New Roman"/>
        </w:rPr>
        <w:t>I</w:t>
      </w:r>
      <w:r w:rsidR="005A011A" w:rsidRPr="00D714FC">
        <w:rPr>
          <w:rFonts w:cs="Times New Roman"/>
        </w:rPr>
        <w:t xml:space="preserve">f the MDBA </w:t>
      </w:r>
      <w:r>
        <w:rPr>
          <w:rFonts w:cs="Times New Roman"/>
        </w:rPr>
        <w:t xml:space="preserve">or BRC </w:t>
      </w:r>
      <w:r w:rsidR="005A011A" w:rsidRPr="00D714FC">
        <w:rPr>
          <w:rFonts w:cs="Times New Roman"/>
        </w:rPr>
        <w:t xml:space="preserve">were to impose charges, </w:t>
      </w:r>
      <w:r w:rsidR="00210085" w:rsidRPr="00D714FC">
        <w:rPr>
          <w:rFonts w:cs="Times New Roman"/>
        </w:rPr>
        <w:t>the</w:t>
      </w:r>
      <w:r>
        <w:rPr>
          <w:rFonts w:cs="Times New Roman"/>
        </w:rPr>
        <w:t>y</w:t>
      </w:r>
      <w:r w:rsidR="00210085" w:rsidRPr="00D714FC">
        <w:rPr>
          <w:rFonts w:cs="Times New Roman"/>
        </w:rPr>
        <w:t xml:space="preserve"> would </w:t>
      </w:r>
      <w:r w:rsidR="00210085">
        <w:rPr>
          <w:rFonts w:cs="Times New Roman"/>
        </w:rPr>
        <w:t xml:space="preserve">likely be </w:t>
      </w:r>
      <w:r>
        <w:rPr>
          <w:rFonts w:cs="Times New Roman"/>
        </w:rPr>
        <w:t xml:space="preserve">considered </w:t>
      </w:r>
      <w:r w:rsidR="00210085">
        <w:rPr>
          <w:rFonts w:cs="Times New Roman"/>
        </w:rPr>
        <w:t>an ‘</w:t>
      </w:r>
      <w:r w:rsidR="00210085" w:rsidRPr="00D714FC">
        <w:rPr>
          <w:rFonts w:cs="Times New Roman"/>
        </w:rPr>
        <w:t>infrastructure operator</w:t>
      </w:r>
      <w:r w:rsidR="00210085">
        <w:rPr>
          <w:rFonts w:cs="Times New Roman"/>
        </w:rPr>
        <w:t xml:space="preserve">’ and </w:t>
      </w:r>
      <w:r w:rsidR="005A011A" w:rsidRPr="00D714FC">
        <w:rPr>
          <w:rFonts w:cs="Times New Roman"/>
        </w:rPr>
        <w:t xml:space="preserve">the charges </w:t>
      </w:r>
      <w:r>
        <w:rPr>
          <w:rFonts w:cs="Times New Roman"/>
        </w:rPr>
        <w:t xml:space="preserve">(as they relate to infrastructure services) </w:t>
      </w:r>
      <w:r w:rsidR="00210085">
        <w:rPr>
          <w:rFonts w:cs="Times New Roman"/>
        </w:rPr>
        <w:t xml:space="preserve">would be </w:t>
      </w:r>
      <w:r w:rsidR="005A011A">
        <w:rPr>
          <w:rFonts w:cs="Times New Roman"/>
        </w:rPr>
        <w:t>‘</w:t>
      </w:r>
      <w:r w:rsidR="005A011A" w:rsidRPr="00D714FC">
        <w:rPr>
          <w:rFonts w:cs="Times New Roman"/>
        </w:rPr>
        <w:t>infrastructure charges</w:t>
      </w:r>
      <w:r w:rsidR="005A011A">
        <w:rPr>
          <w:rFonts w:cs="Times New Roman"/>
        </w:rPr>
        <w:t>’</w:t>
      </w:r>
      <w:r w:rsidR="005A011A" w:rsidRPr="00D714FC">
        <w:rPr>
          <w:rFonts w:cs="Times New Roman"/>
        </w:rPr>
        <w:t>.</w:t>
      </w:r>
    </w:p>
    <w:p w:rsidR="005A011A" w:rsidRPr="00D714FC" w:rsidRDefault="005A011A" w:rsidP="005A011A">
      <w:pPr>
        <w:rPr>
          <w:rFonts w:cs="Times New Roman"/>
        </w:rPr>
      </w:pPr>
      <w:r w:rsidRPr="00D714FC">
        <w:rPr>
          <w:rFonts w:cs="Times New Roman"/>
        </w:rPr>
        <w:t xml:space="preserve">Similarly, </w:t>
      </w:r>
      <w:r w:rsidR="00ED123B">
        <w:rPr>
          <w:rFonts w:cs="Times New Roman"/>
        </w:rPr>
        <w:t>i</w:t>
      </w:r>
      <w:r w:rsidRPr="00D714FC">
        <w:rPr>
          <w:rFonts w:cs="Times New Roman"/>
        </w:rPr>
        <w:t xml:space="preserve">f the MDBA or BRC were to </w:t>
      </w:r>
      <w:r w:rsidR="00ED123B">
        <w:rPr>
          <w:rFonts w:cs="Times New Roman"/>
        </w:rPr>
        <w:t xml:space="preserve">determine a charge by or on behalf of government </w:t>
      </w:r>
      <w:r w:rsidRPr="00D714FC">
        <w:rPr>
          <w:rFonts w:cs="Times New Roman"/>
        </w:rPr>
        <w:t xml:space="preserve">to recover </w:t>
      </w:r>
      <w:r w:rsidR="00ED123B">
        <w:rPr>
          <w:rFonts w:cs="Times New Roman"/>
        </w:rPr>
        <w:t xml:space="preserve">the </w:t>
      </w:r>
      <w:r w:rsidRPr="00D714FC">
        <w:rPr>
          <w:rFonts w:cs="Times New Roman"/>
        </w:rPr>
        <w:t xml:space="preserve">costs </w:t>
      </w:r>
      <w:r w:rsidR="00ED123B">
        <w:rPr>
          <w:rFonts w:cs="Times New Roman"/>
        </w:rPr>
        <w:t xml:space="preserve">of </w:t>
      </w:r>
      <w:r w:rsidR="002A58F8">
        <w:rPr>
          <w:rFonts w:cs="Times New Roman"/>
        </w:rPr>
        <w:t>WPM</w:t>
      </w:r>
      <w:r w:rsidR="00ED123B">
        <w:rPr>
          <w:rFonts w:cs="Times New Roman"/>
        </w:rPr>
        <w:t xml:space="preserve"> </w:t>
      </w:r>
      <w:r w:rsidRPr="00D714FC">
        <w:rPr>
          <w:rFonts w:cs="Times New Roman"/>
        </w:rPr>
        <w:t>activities, these charges would l</w:t>
      </w:r>
      <w:r>
        <w:rPr>
          <w:rFonts w:cs="Times New Roman"/>
        </w:rPr>
        <w:t>ikely meet the definition of ‘planning and management</w:t>
      </w:r>
      <w:r w:rsidR="00ED123B">
        <w:rPr>
          <w:rFonts w:cs="Times New Roman"/>
        </w:rPr>
        <w:t>’</w:t>
      </w:r>
      <w:r>
        <w:rPr>
          <w:rFonts w:cs="Times New Roman"/>
        </w:rPr>
        <w:t xml:space="preserve"> charge</w:t>
      </w:r>
      <w:r w:rsidR="00ED123B">
        <w:rPr>
          <w:rFonts w:cs="Times New Roman"/>
        </w:rPr>
        <w:t>s</w:t>
      </w:r>
      <w:r w:rsidRPr="00D714FC">
        <w:rPr>
          <w:rFonts w:cs="Times New Roman"/>
        </w:rPr>
        <w:t>.</w:t>
      </w:r>
    </w:p>
    <w:p w:rsidR="00F9576C" w:rsidRPr="00D714FC" w:rsidRDefault="00F9576C" w:rsidP="00F9576C">
      <w:pPr>
        <w:rPr>
          <w:rFonts w:cs="Times New Roman"/>
        </w:rPr>
      </w:pPr>
      <w:r w:rsidRPr="00D714FC">
        <w:rPr>
          <w:rFonts w:cs="Times New Roman"/>
        </w:rPr>
        <w:t>Should the MDBA or BRC elect to impose infrastructure charges and</w:t>
      </w:r>
      <w:r w:rsidR="00626990">
        <w:rPr>
          <w:rFonts w:cs="Times New Roman"/>
        </w:rPr>
        <w:t xml:space="preserve"> </w:t>
      </w:r>
      <w:r w:rsidRPr="00D714FC">
        <w:rPr>
          <w:rFonts w:cs="Times New Roman"/>
        </w:rPr>
        <w:t>/</w:t>
      </w:r>
      <w:r w:rsidR="00626990">
        <w:rPr>
          <w:rFonts w:cs="Times New Roman"/>
        </w:rPr>
        <w:t xml:space="preserve"> </w:t>
      </w:r>
      <w:r w:rsidRPr="00D714FC">
        <w:rPr>
          <w:rFonts w:cs="Times New Roman"/>
        </w:rPr>
        <w:t>or planning and management charges directly, those charges would</w:t>
      </w:r>
      <w:r w:rsidR="00D95B93">
        <w:rPr>
          <w:rFonts w:cs="Times New Roman"/>
        </w:rPr>
        <w:t xml:space="preserve"> likely</w:t>
      </w:r>
      <w:r w:rsidRPr="00D714FC">
        <w:rPr>
          <w:rFonts w:cs="Times New Roman"/>
        </w:rPr>
        <w:t xml:space="preserve"> be subject to the </w:t>
      </w:r>
      <w:r w:rsidR="00210085">
        <w:rPr>
          <w:rFonts w:cs="Times New Roman"/>
        </w:rPr>
        <w:t>water charge rules</w:t>
      </w:r>
      <w:r w:rsidRPr="00D714FC">
        <w:rPr>
          <w:rFonts w:cs="Times New Roman"/>
        </w:rPr>
        <w:t xml:space="preserve">. The specific regulatory requirements that would apply would be determined by the same criteria currently applied to </w:t>
      </w:r>
      <w:r w:rsidR="00210085">
        <w:rPr>
          <w:rFonts w:cs="Times New Roman"/>
        </w:rPr>
        <w:t xml:space="preserve">other </w:t>
      </w:r>
      <w:r w:rsidRPr="00D714FC">
        <w:rPr>
          <w:rFonts w:cs="Times New Roman"/>
        </w:rPr>
        <w:t xml:space="preserve">infrastructure operators </w:t>
      </w:r>
      <w:r w:rsidR="00210085">
        <w:rPr>
          <w:rFonts w:cs="Times New Roman"/>
        </w:rPr>
        <w:t>under the proposed water charge rules</w:t>
      </w:r>
      <w:r w:rsidRPr="00D714FC">
        <w:rPr>
          <w:rFonts w:cs="Times New Roman"/>
        </w:rPr>
        <w:t xml:space="preserve">. </w:t>
      </w:r>
    </w:p>
    <w:p w:rsidR="00F9576C" w:rsidRPr="00D714FC" w:rsidRDefault="000C034E" w:rsidP="00D560D0">
      <w:pPr>
        <w:pStyle w:val="Tabletitle"/>
        <w:rPr>
          <w:rFonts w:cs="Times New Roman"/>
        </w:rPr>
      </w:pPr>
      <w:bookmarkStart w:id="1157" w:name="_Ref435104544"/>
      <w:bookmarkStart w:id="1158" w:name="_Ref435104538"/>
      <w:r w:rsidRPr="00D714FC">
        <w:rPr>
          <w:rFonts w:cs="Times New Roman"/>
        </w:rPr>
        <w:t xml:space="preserve">Box </w:t>
      </w:r>
      <w:r w:rsidR="007F659D">
        <w:rPr>
          <w:rFonts w:cs="Times New Roman"/>
          <w:noProof/>
        </w:rPr>
        <w:t>5</w:t>
      </w:r>
      <w:r w:rsidR="004B0631" w:rsidRPr="00D714FC">
        <w:rPr>
          <w:rFonts w:cs="Times New Roman"/>
        </w:rPr>
        <w:t>.</w:t>
      </w:r>
      <w:bookmarkEnd w:id="1157"/>
      <w:r w:rsidR="005F3355">
        <w:rPr>
          <w:rFonts w:cs="Times New Roman"/>
        </w:rPr>
        <w:t>5</w:t>
      </w:r>
      <w:r w:rsidR="00F9576C" w:rsidRPr="00D714FC">
        <w:rPr>
          <w:rFonts w:cs="Times New Roman"/>
        </w:rPr>
        <w:t>: Legislative framework for MDBA and BRC funding</w:t>
      </w:r>
      <w:bookmarkEnd w:id="1158"/>
    </w:p>
    <w:tbl>
      <w:tblPr>
        <w:tblStyle w:val="TableGrid"/>
        <w:tblW w:w="0" w:type="auto"/>
        <w:shd w:val="clear" w:color="auto" w:fill="BFBFBF" w:themeFill="background1" w:themeFillShade="BF"/>
        <w:tblLook w:val="04A0" w:firstRow="1" w:lastRow="0" w:firstColumn="1" w:lastColumn="0" w:noHBand="0" w:noVBand="1"/>
      </w:tblPr>
      <w:tblGrid>
        <w:gridCol w:w="9242"/>
      </w:tblGrid>
      <w:tr w:rsidR="00F9576C" w:rsidRPr="00D714FC" w:rsidTr="00C52AEB">
        <w:tc>
          <w:tcPr>
            <w:tcW w:w="9242" w:type="dxa"/>
            <w:shd w:val="clear" w:color="auto" w:fill="D9D9D9" w:themeFill="background1" w:themeFillShade="D9"/>
          </w:tcPr>
          <w:p w:rsidR="00F9576C" w:rsidRPr="00ED123B" w:rsidRDefault="00F9576C" w:rsidP="00ED123B">
            <w:pPr>
              <w:pStyle w:val="tabletext"/>
              <w:rPr>
                <w:b/>
              </w:rPr>
            </w:pPr>
            <w:r w:rsidRPr="00ED123B">
              <w:rPr>
                <w:b/>
              </w:rPr>
              <w:t>Murray-Darling Basin Authority</w:t>
            </w:r>
          </w:p>
          <w:p w:rsidR="00F9576C" w:rsidRPr="00D714FC" w:rsidRDefault="00F9576C" w:rsidP="00ED123B">
            <w:pPr>
              <w:pStyle w:val="tabletext"/>
            </w:pPr>
            <w:r w:rsidRPr="00D714FC">
              <w:t xml:space="preserve">The funding of the MDBA’s joint </w:t>
            </w:r>
            <w:r w:rsidR="00ED123B" w:rsidRPr="00D714FC">
              <w:t>activities is</w:t>
            </w:r>
            <w:r w:rsidRPr="00D714FC">
              <w:t xml:space="preserve"> set out in the </w:t>
            </w:r>
            <w:r w:rsidR="00D95B93">
              <w:t xml:space="preserve">MDB </w:t>
            </w:r>
            <w:r w:rsidRPr="00D714FC">
              <w:t>Agreement.</w:t>
            </w:r>
            <w:r w:rsidRPr="00D714FC">
              <w:rPr>
                <w:rStyle w:val="FootnoteReference"/>
              </w:rPr>
              <w:footnoteReference w:id="625"/>
            </w:r>
            <w:r w:rsidRPr="00D714FC">
              <w:t xml:space="preserve"> The MDBA is also an independent statutory authority and receives an appropriation from the Commonwealth for agency costs and the Commonwealth’s contribution to joint activities.</w:t>
            </w:r>
          </w:p>
          <w:p w:rsidR="00F9576C" w:rsidRPr="00D714FC" w:rsidRDefault="00F9576C" w:rsidP="00ED123B">
            <w:pPr>
              <w:pStyle w:val="tabletext"/>
            </w:pPr>
            <w:r w:rsidRPr="00D714FC">
              <w:t xml:space="preserve">Subsection 212(1) of the </w:t>
            </w:r>
            <w:r w:rsidRPr="00ED123B">
              <w:rPr>
                <w:i/>
              </w:rPr>
              <w:t>Water Act 2007</w:t>
            </w:r>
            <w:r w:rsidRPr="003E27EE">
              <w:t xml:space="preserve"> </w:t>
            </w:r>
            <w:r w:rsidRPr="00D714FC">
              <w:t>allows the MDBA to impose fees and charges in performing its functions. Under subsection 212(2) the MDBA cannot impose a fee</w:t>
            </w:r>
            <w:r w:rsidR="00ED123B">
              <w:t xml:space="preserve"> specified in regulations</w:t>
            </w:r>
            <w:r w:rsidR="00ED123B">
              <w:rPr>
                <w:rStyle w:val="FootnoteReference"/>
              </w:rPr>
              <w:footnoteReference w:id="626"/>
            </w:r>
            <w:r w:rsidRPr="00D714FC">
              <w:t xml:space="preserve"> unless:</w:t>
            </w:r>
          </w:p>
          <w:p w:rsidR="00F9576C" w:rsidRPr="00D714FC" w:rsidRDefault="00BF0DFE" w:rsidP="00ED123B">
            <w:pPr>
              <w:pStyle w:val="tabletextindentbullet"/>
            </w:pPr>
            <w:r>
              <w:t>t</w:t>
            </w:r>
            <w:r w:rsidR="00F9576C" w:rsidRPr="00D714FC">
              <w:t>he ACCC has advised that the fee is reasonable, and</w:t>
            </w:r>
          </w:p>
          <w:p w:rsidR="00F9576C" w:rsidRPr="00D714FC" w:rsidRDefault="00BF0DFE" w:rsidP="00ED123B">
            <w:pPr>
              <w:pStyle w:val="tabletextindentbullet"/>
            </w:pPr>
            <w:r>
              <w:t>t</w:t>
            </w:r>
            <w:r w:rsidR="00F9576C" w:rsidRPr="00D714FC">
              <w:t>he MDBA has published the (ACCC) advice on its website.</w:t>
            </w:r>
          </w:p>
          <w:p w:rsidR="00F9576C" w:rsidRPr="00D714FC" w:rsidRDefault="00F9576C" w:rsidP="00ED123B">
            <w:pPr>
              <w:pStyle w:val="tabletext"/>
            </w:pPr>
            <w:r w:rsidRPr="00D714FC">
              <w:t xml:space="preserve">In giving advice the ACCC must take into account (1) the Basin </w:t>
            </w:r>
            <w:r w:rsidR="00B14931">
              <w:t>W</w:t>
            </w:r>
            <w:r w:rsidRPr="00D714FC">
              <w:t xml:space="preserve">ater </w:t>
            </w:r>
            <w:r w:rsidR="00B14931">
              <w:t>C</w:t>
            </w:r>
            <w:r w:rsidRPr="00D714FC">
              <w:t xml:space="preserve">harging </w:t>
            </w:r>
            <w:r w:rsidR="00B14931">
              <w:t>O</w:t>
            </w:r>
            <w:r w:rsidRPr="00D714FC">
              <w:t xml:space="preserve">bjectives and </w:t>
            </w:r>
            <w:r w:rsidR="00B14931">
              <w:t>P</w:t>
            </w:r>
            <w:r w:rsidRPr="00D714FC">
              <w:t xml:space="preserve">rinciples, and (2) any additional matters specified in regulations. </w:t>
            </w:r>
          </w:p>
          <w:p w:rsidR="00F9576C" w:rsidRPr="00D714FC" w:rsidRDefault="00F9576C" w:rsidP="00ED123B">
            <w:pPr>
              <w:pStyle w:val="tabletext"/>
            </w:pPr>
            <w:r w:rsidRPr="00D714FC">
              <w:t>In the event that the MDBA decided to levy an infrastructure charge or a planning and management charge, that charge would be subject to the water charge rules.</w:t>
            </w:r>
          </w:p>
          <w:p w:rsidR="00F9576C" w:rsidRPr="00ED123B" w:rsidRDefault="00F9576C" w:rsidP="00ED123B">
            <w:pPr>
              <w:pStyle w:val="tabletext"/>
              <w:rPr>
                <w:b/>
              </w:rPr>
            </w:pPr>
            <w:r w:rsidRPr="00ED123B">
              <w:rPr>
                <w:b/>
              </w:rPr>
              <w:t xml:space="preserve">Dumareseq-Barwon Border Rivers Commission </w:t>
            </w:r>
          </w:p>
          <w:p w:rsidR="00F9576C" w:rsidRPr="00D714FC" w:rsidRDefault="00D95B93" w:rsidP="00ED123B">
            <w:pPr>
              <w:pStyle w:val="tabletext"/>
            </w:pPr>
            <w:r>
              <w:t>The NSW</w:t>
            </w:r>
            <w:r w:rsidR="00F9576C" w:rsidRPr="00D714FC">
              <w:t>-Queensland Border Rivers Agreement sets up the arrangements for the construction and management of the shared water infrastructure between the two states as well as the agreed water sharing agreements.</w:t>
            </w:r>
            <w:r w:rsidR="0011610B">
              <w:t xml:space="preserve"> </w:t>
            </w:r>
          </w:p>
          <w:p w:rsidR="00FA01BB" w:rsidRPr="00F33AF9" w:rsidRDefault="00F9576C" w:rsidP="00ED123B">
            <w:pPr>
              <w:pStyle w:val="tabletext"/>
            </w:pPr>
            <w:r w:rsidRPr="00D714FC">
              <w:t xml:space="preserve">This </w:t>
            </w:r>
            <w:r w:rsidRPr="00F33AF9">
              <w:t>agreement also set up the BRC as a separate statutory agency. The NSW and Queensland governments each have legislation that sets out the BRC functions, ownership of assets, management structure and allocation of costs of the BRC as well as some additional arrangements to deal with BRC functions relating to the implementation of the National Water Initiative</w:t>
            </w:r>
            <w:r w:rsidR="002A1564" w:rsidRPr="00F33AF9">
              <w:t xml:space="preserve"> (NWI)</w:t>
            </w:r>
            <w:r w:rsidRPr="00F33AF9">
              <w:t>. The costs of these functions are split equally between NSW and Q</w:t>
            </w:r>
            <w:r w:rsidR="00FA01BB" w:rsidRPr="00F33AF9">
              <w:t>ueensland.</w:t>
            </w:r>
          </w:p>
          <w:p w:rsidR="00FA01BB" w:rsidRPr="00F33AF9" w:rsidRDefault="00FA01BB" w:rsidP="00FA01BB">
            <w:pPr>
              <w:pStyle w:val="tabletext"/>
            </w:pPr>
            <w:r w:rsidRPr="00F33AF9">
              <w:t>Although the BRC administers the Border Rivers scheme and SunWater provides operational services, the infrastructure assets are jointly owned by the NSW and Queensland Governments, and the BRC does not itself levy charges:</w:t>
            </w:r>
          </w:p>
          <w:p w:rsidR="00F33AF9" w:rsidRDefault="00FA01BB" w:rsidP="00F33AF9">
            <w:pPr>
              <w:pStyle w:val="tabletextindentbullet"/>
            </w:pPr>
            <w:r w:rsidRPr="00F33AF9">
              <w:t>On the NSW side, WaterNSW levies charges to recover a lump-sum amount it must pay the NSW Government to help recover the Government’s contributions to the BRC. IPART regulates the charges WaterNSW can impose to recover their costs (including this revenue requirement for the BRC).</w:t>
            </w:r>
            <w:r w:rsidR="00F33AF9" w:rsidRPr="00F33AF9">
              <w:t xml:space="preserve"> </w:t>
            </w:r>
          </w:p>
          <w:p w:rsidR="00F9576C" w:rsidRPr="00F33AF9" w:rsidRDefault="00F33AF9" w:rsidP="00F33AF9">
            <w:pPr>
              <w:pStyle w:val="tabletextindentbullet"/>
            </w:pPr>
            <w:r w:rsidRPr="00F33AF9">
              <w:t>On the Queensland side, the Government sets user charges to help fund the BRC infrastructure. The charges are set under Water Regulations 2002 (Queensland) and are based on indexation of charges initially set in about 2000</w:t>
            </w:r>
            <w:r>
              <w:t>.</w:t>
            </w:r>
            <w:r w:rsidRPr="00F33AF9">
              <w:rPr>
                <w:vertAlign w:val="superscript"/>
              </w:rPr>
              <w:footnoteReference w:id="627"/>
            </w:r>
          </w:p>
        </w:tc>
      </w:tr>
    </w:tbl>
    <w:p w:rsidR="00EA7A67" w:rsidRPr="00D714FC" w:rsidRDefault="00EA7A67" w:rsidP="001B43E1">
      <w:pPr>
        <w:spacing w:before="240"/>
        <w:rPr>
          <w:rFonts w:cs="Times New Roman"/>
        </w:rPr>
      </w:pPr>
      <w:r>
        <w:rPr>
          <w:rFonts w:cs="Times New Roman"/>
        </w:rPr>
        <w:t>In its Draft Advice, t</w:t>
      </w:r>
      <w:r w:rsidRPr="00D714FC">
        <w:rPr>
          <w:rFonts w:cs="Times New Roman"/>
        </w:rPr>
        <w:t>he ACCC recognise</w:t>
      </w:r>
      <w:r>
        <w:rPr>
          <w:rFonts w:cs="Times New Roman"/>
        </w:rPr>
        <w:t>d</w:t>
      </w:r>
      <w:r w:rsidRPr="00D714FC">
        <w:rPr>
          <w:rFonts w:cs="Times New Roman"/>
        </w:rPr>
        <w:t xml:space="preserve"> the concerns raised by the MDBA in relation to Basin State contributions, regarding the significant variations in how </w:t>
      </w:r>
      <w:r>
        <w:rPr>
          <w:rFonts w:cs="Times New Roman"/>
        </w:rPr>
        <w:t xml:space="preserve">MDBA </w:t>
      </w:r>
      <w:r w:rsidRPr="00D714FC">
        <w:rPr>
          <w:rFonts w:cs="Times New Roman"/>
        </w:rPr>
        <w:t xml:space="preserve">contributions are paid for across Basin States. However, such matters are beyond the scope of the water charge rules, and remain the responsibility of Basin States and the Commonwealth. </w:t>
      </w:r>
    </w:p>
    <w:p w:rsidR="00EA7A67" w:rsidRDefault="00EA7A67" w:rsidP="00EA7A67">
      <w:pPr>
        <w:rPr>
          <w:rFonts w:cs="Times New Roman"/>
        </w:rPr>
      </w:pPr>
      <w:r w:rsidRPr="00D714FC">
        <w:rPr>
          <w:rFonts w:cs="Times New Roman"/>
        </w:rPr>
        <w:t xml:space="preserve">It is clear that unless the MDBA or BRC imposed infrastructure charges or planning and management charges, their activities will remain beyond the scope of the water charge rules. However, </w:t>
      </w:r>
      <w:r w:rsidR="001B43E1">
        <w:rPr>
          <w:rFonts w:cs="Times New Roman"/>
        </w:rPr>
        <w:t xml:space="preserve">the ACCC considered it was </w:t>
      </w:r>
      <w:r w:rsidRPr="00D714FC">
        <w:rPr>
          <w:rFonts w:cs="Times New Roman"/>
        </w:rPr>
        <w:t xml:space="preserve">important that the MDBA and BRC should be captured by the </w:t>
      </w:r>
      <w:r w:rsidR="001B43E1">
        <w:rPr>
          <w:rFonts w:cs="Times New Roman"/>
        </w:rPr>
        <w:t>rules</w:t>
      </w:r>
      <w:r w:rsidRPr="00D714FC">
        <w:rPr>
          <w:rFonts w:cs="Times New Roman"/>
        </w:rPr>
        <w:t>, if either were to impose charges that meet the definition of ‘infrastructure charge’ or ‘planning and management charge’ in the future. The majority of stakeholders support</w:t>
      </w:r>
      <w:r w:rsidR="008705D5">
        <w:rPr>
          <w:rFonts w:cs="Times New Roman"/>
        </w:rPr>
        <w:t>ed</w:t>
      </w:r>
      <w:r w:rsidRPr="00D714FC">
        <w:rPr>
          <w:rFonts w:cs="Times New Roman"/>
        </w:rPr>
        <w:t xml:space="preserve"> this outcome, and the ACCC also considers that this would be important for the achievement of the </w:t>
      </w:r>
      <w:r w:rsidR="00B14931">
        <w:rPr>
          <w:rFonts w:cs="Times New Roman"/>
        </w:rPr>
        <w:t>Basin Water Charging Objectives and Principles (</w:t>
      </w:r>
      <w:r w:rsidRPr="00D714FC">
        <w:rPr>
          <w:rFonts w:cs="Times New Roman"/>
        </w:rPr>
        <w:t>BWCOP</w:t>
      </w:r>
      <w:r w:rsidR="00B14931">
        <w:rPr>
          <w:rFonts w:cs="Times New Roman"/>
        </w:rPr>
        <w:t>)</w:t>
      </w:r>
      <w:r w:rsidRPr="00D714FC">
        <w:rPr>
          <w:rFonts w:cs="Times New Roman"/>
        </w:rPr>
        <w:t xml:space="preserve">. </w:t>
      </w:r>
      <w:r>
        <w:rPr>
          <w:rFonts w:cs="Times New Roman"/>
        </w:rPr>
        <w:t>The ACCC accordingly made draft rule advice to amend the application of Part 6 such that</w:t>
      </w:r>
      <w:r w:rsidR="008705D5">
        <w:rPr>
          <w:rFonts w:cs="Times New Roman"/>
        </w:rPr>
        <w:t xml:space="preserve"> it would apply i</w:t>
      </w:r>
      <w:r>
        <w:rPr>
          <w:rFonts w:cs="Times New Roman"/>
        </w:rPr>
        <w:t xml:space="preserve">n the event that </w:t>
      </w:r>
      <w:r w:rsidR="008705D5">
        <w:rPr>
          <w:rFonts w:cs="Times New Roman"/>
        </w:rPr>
        <w:t xml:space="preserve">a person must </w:t>
      </w:r>
      <w:r w:rsidR="008705D5" w:rsidRPr="00F15AAB">
        <w:rPr>
          <w:rFonts w:cs="Times New Roman"/>
        </w:rPr>
        <w:t xml:space="preserve">obtain </w:t>
      </w:r>
      <w:r w:rsidR="008705D5" w:rsidRPr="00F15AAB">
        <w:t>infrastructure services from the operator in relation to the storage or delivery of water to give effect to an arrangement for the sharing of water between more than one Basin State</w:t>
      </w:r>
      <w:r w:rsidR="008705D5" w:rsidRPr="00F15AAB">
        <w:rPr>
          <w:rFonts w:cs="Times New Roman"/>
        </w:rPr>
        <w:t xml:space="preserve"> </w:t>
      </w:r>
      <w:r w:rsidRPr="00F15AAB">
        <w:rPr>
          <w:rFonts w:cs="Times New Roman"/>
        </w:rPr>
        <w:t xml:space="preserve">(draft rule </w:t>
      </w:r>
      <w:r>
        <w:rPr>
          <w:rFonts w:cs="Times New Roman"/>
        </w:rPr>
        <w:t>advice 5-M).</w:t>
      </w:r>
    </w:p>
    <w:p w:rsidR="00EA7A67" w:rsidRPr="00D714FC" w:rsidRDefault="00EA7A67" w:rsidP="00EA7A67">
      <w:pPr>
        <w:rPr>
          <w:rFonts w:cs="Times New Roman"/>
        </w:rPr>
      </w:pPr>
      <w:r>
        <w:rPr>
          <w:rFonts w:cs="Times New Roman"/>
        </w:rPr>
        <w:t xml:space="preserve">The ACCC did not support the option </w:t>
      </w:r>
      <w:r w:rsidRPr="00D714FC">
        <w:rPr>
          <w:rFonts w:cs="Times New Roman"/>
        </w:rPr>
        <w:t>raised by the MDBA for the ACCC to conduct efficiency reviews of the MDBA.</w:t>
      </w:r>
      <w:r w:rsidRPr="00D714FC">
        <w:rPr>
          <w:rStyle w:val="FootnoteReference"/>
          <w:rFonts w:cs="Times New Roman"/>
        </w:rPr>
        <w:footnoteReference w:id="628"/>
      </w:r>
      <w:r w:rsidRPr="00D714FC">
        <w:rPr>
          <w:rFonts w:cs="Times New Roman"/>
        </w:rPr>
        <w:t xml:space="preserve"> The ACCC note</w:t>
      </w:r>
      <w:r>
        <w:rPr>
          <w:rFonts w:cs="Times New Roman"/>
        </w:rPr>
        <w:t>d</w:t>
      </w:r>
      <w:r w:rsidRPr="00D714FC">
        <w:rPr>
          <w:rFonts w:cs="Times New Roman"/>
        </w:rPr>
        <w:t xml:space="preserve"> that Basin States, in conjunction with the Commonwealth, being the parties who directly fund MDBA and BRC activities, are best-placed</w:t>
      </w:r>
      <w:r w:rsidR="008705D5">
        <w:rPr>
          <w:rFonts w:cs="Times New Roman"/>
        </w:rPr>
        <w:t xml:space="preserve"> at present </w:t>
      </w:r>
      <w:r w:rsidRPr="00D714FC">
        <w:rPr>
          <w:rFonts w:cs="Times New Roman"/>
        </w:rPr>
        <w:t xml:space="preserve">to progress reforms to improve transparency of MDBA and BRC costs and funding arrangements. </w:t>
      </w:r>
    </w:p>
    <w:p w:rsidR="00F9576C" w:rsidRPr="00D714FC" w:rsidRDefault="00F9576C" w:rsidP="00DF129E">
      <w:pPr>
        <w:pStyle w:val="Heading3Un-numbered"/>
      </w:pPr>
      <w:r w:rsidRPr="00D714FC">
        <w:t>Stakeholder feedback</w:t>
      </w:r>
    </w:p>
    <w:p w:rsidR="00F9576C" w:rsidRPr="00B90F6B" w:rsidRDefault="00F9576C" w:rsidP="003C4CFA">
      <w:pPr>
        <w:rPr>
          <w:rFonts w:cs="Times New Roman"/>
        </w:rPr>
      </w:pPr>
      <w:r w:rsidRPr="00B90F6B">
        <w:rPr>
          <w:rFonts w:cs="Times New Roman"/>
        </w:rPr>
        <w:t xml:space="preserve">A number of submissions to the Act Review raised concerns over the transparency of ‘government charges’ and expressed particular concern about cost recovery in relation to </w:t>
      </w:r>
      <w:r w:rsidR="00B90F6B">
        <w:rPr>
          <w:rFonts w:cs="Times New Roman"/>
        </w:rPr>
        <w:t xml:space="preserve">the </w:t>
      </w:r>
      <w:r w:rsidRPr="00B90F6B">
        <w:rPr>
          <w:rFonts w:cs="Times New Roman"/>
        </w:rPr>
        <w:t>MDBA</w:t>
      </w:r>
      <w:r w:rsidR="00B90F6B">
        <w:rPr>
          <w:rFonts w:cs="Times New Roman"/>
        </w:rPr>
        <w:t xml:space="preserve">’s </w:t>
      </w:r>
      <w:r w:rsidR="001B19ED">
        <w:rPr>
          <w:rFonts w:cs="Times New Roman"/>
        </w:rPr>
        <w:t>R</w:t>
      </w:r>
      <w:r w:rsidRPr="00B90F6B">
        <w:rPr>
          <w:rFonts w:cs="Times New Roman"/>
        </w:rPr>
        <w:t xml:space="preserve">iver </w:t>
      </w:r>
      <w:r w:rsidR="001B19ED">
        <w:rPr>
          <w:rFonts w:cs="Times New Roman"/>
        </w:rPr>
        <w:t>Murray O</w:t>
      </w:r>
      <w:r w:rsidRPr="00B90F6B">
        <w:rPr>
          <w:rFonts w:cs="Times New Roman"/>
        </w:rPr>
        <w:t>perations</w:t>
      </w:r>
      <w:r w:rsidR="001B19ED">
        <w:rPr>
          <w:rFonts w:cs="Times New Roman"/>
        </w:rPr>
        <w:t xml:space="preserve"> (RMO)</w:t>
      </w:r>
      <w:r w:rsidRPr="00B90F6B">
        <w:rPr>
          <w:rFonts w:cs="Times New Roman"/>
        </w:rPr>
        <w:t>.</w:t>
      </w:r>
      <w:r w:rsidRPr="00B90F6B">
        <w:rPr>
          <w:rStyle w:val="FootnoteReference"/>
          <w:rFonts w:cs="Times New Roman"/>
        </w:rPr>
        <w:footnoteReference w:id="629"/>
      </w:r>
      <w:r w:rsidRPr="00B90F6B">
        <w:rPr>
          <w:rFonts w:cs="Times New Roman"/>
        </w:rPr>
        <w:t xml:space="preserve"> </w:t>
      </w:r>
      <w:r w:rsidR="00B90F6B">
        <w:rPr>
          <w:rFonts w:cs="Times New Roman"/>
        </w:rPr>
        <w:t>Many s</w:t>
      </w:r>
      <w:r w:rsidRPr="00B90F6B">
        <w:rPr>
          <w:rFonts w:cs="Times New Roman"/>
        </w:rPr>
        <w:t>ubmissions to the ACCC’s Issues Paper raised similar concerns.</w:t>
      </w:r>
      <w:r w:rsidR="00B90F6B">
        <w:rPr>
          <w:rStyle w:val="FootnoteReference"/>
          <w:rFonts w:cs="Times New Roman"/>
        </w:rPr>
        <w:footnoteReference w:id="630"/>
      </w:r>
    </w:p>
    <w:p w:rsidR="00F9576C" w:rsidRPr="00397D67" w:rsidRDefault="00F9576C" w:rsidP="00E81EB4">
      <w:pPr>
        <w:spacing w:after="120"/>
        <w:rPr>
          <w:rFonts w:cs="Times New Roman"/>
        </w:rPr>
      </w:pPr>
      <w:r w:rsidRPr="00397D67">
        <w:rPr>
          <w:rFonts w:cs="Times New Roman"/>
        </w:rPr>
        <w:t xml:space="preserve">The MDBA’s own submission to the ACCC’s Issues Paper discussed costs-sharing arrangements between the Commonwealth and the Basin States, which provide a significant proportion of MDBA funding. The MDBA detailed the funding arrangements of its joint activities of </w:t>
      </w:r>
      <w:r w:rsidR="006B3503" w:rsidRPr="00397D67">
        <w:rPr>
          <w:rFonts w:cs="Times New Roman"/>
        </w:rPr>
        <w:t xml:space="preserve">RMO </w:t>
      </w:r>
      <w:r w:rsidRPr="00397D67">
        <w:rPr>
          <w:rFonts w:cs="Times New Roman"/>
        </w:rPr>
        <w:t>and how these are approved by Basin States. The MDBA noted the arrangements by which some Basin states recover some of their RMO contributions through indirect water charges, commenting that:</w:t>
      </w:r>
    </w:p>
    <w:p w:rsidR="00F9576C" w:rsidRPr="00F33AF9" w:rsidRDefault="00F9576C" w:rsidP="00CE67EB">
      <w:pPr>
        <w:pStyle w:val="Quote"/>
        <w:rPr>
          <w:rStyle w:val="Emphasis"/>
          <w:i/>
          <w:iCs/>
          <w:highlight w:val="lightGray"/>
        </w:rPr>
      </w:pPr>
      <w:r w:rsidRPr="00F33AF9">
        <w:rPr>
          <w:rStyle w:val="Emphasis"/>
          <w:i/>
          <w:iCs/>
        </w:rPr>
        <w:t xml:space="preserve">“These different arrangements appear to be at odds with the intent of the </w:t>
      </w:r>
      <w:r w:rsidR="00CD76B4" w:rsidRPr="00F33AF9">
        <w:rPr>
          <w:rStyle w:val="Emphasis"/>
          <w:i/>
          <w:iCs/>
        </w:rPr>
        <w:t xml:space="preserve">National Water Initiative </w:t>
      </w:r>
      <w:r w:rsidRPr="00F33AF9">
        <w:rPr>
          <w:rStyle w:val="Emphasis"/>
          <w:i/>
          <w:iCs/>
        </w:rPr>
        <w:t>in achieving a level playing field for water users. In this conte</w:t>
      </w:r>
      <w:r w:rsidR="00BF0DFE">
        <w:rPr>
          <w:rStyle w:val="Emphasis"/>
          <w:i/>
          <w:iCs/>
        </w:rPr>
        <w:t>x</w:t>
      </w:r>
      <w:r w:rsidRPr="00F33AF9">
        <w:rPr>
          <w:rStyle w:val="Emphasis"/>
          <w:i/>
          <w:iCs/>
        </w:rPr>
        <w:t>t, it may be useful for the ACCC to provide explicit guidance to the joint government</w:t>
      </w:r>
      <w:r w:rsidR="00D95B93" w:rsidRPr="00F33AF9">
        <w:rPr>
          <w:rStyle w:val="Emphasis"/>
          <w:i/>
          <w:iCs/>
        </w:rPr>
        <w:t>s</w:t>
      </w:r>
      <w:r w:rsidRPr="00F33AF9">
        <w:rPr>
          <w:rStyle w:val="Emphasis"/>
          <w:i/>
          <w:iCs/>
        </w:rPr>
        <w:t xml:space="preserve"> on a more consistent and transparent approach to meeting their RMO costs.”</w:t>
      </w:r>
      <w:r w:rsidRPr="009F3C82">
        <w:rPr>
          <w:rStyle w:val="Emphasis"/>
          <w:iCs/>
          <w:vertAlign w:val="superscript"/>
        </w:rPr>
        <w:footnoteReference w:id="631"/>
      </w:r>
    </w:p>
    <w:p w:rsidR="003F3971" w:rsidRDefault="008705D5" w:rsidP="003F3971">
      <w:r>
        <w:rPr>
          <w:rFonts w:cs="Times New Roman"/>
        </w:rPr>
        <w:t>In response to the Draft Advice, b</w:t>
      </w:r>
      <w:r w:rsidR="003F3971">
        <w:t>oth WaterNSW and Goulburn-Murray Water</w:t>
      </w:r>
      <w:r w:rsidR="00CD0E51">
        <w:t xml:space="preserve"> (GMW)</w:t>
      </w:r>
      <w:r w:rsidR="003F3971">
        <w:t xml:space="preserve"> submitted that they continue to support greater regulation of the MDBA and</w:t>
      </w:r>
      <w:r>
        <w:t xml:space="preserve"> </w:t>
      </w:r>
      <w:r w:rsidR="003F3971">
        <w:t>/</w:t>
      </w:r>
      <w:r>
        <w:t xml:space="preserve"> </w:t>
      </w:r>
      <w:r w:rsidR="003F3971">
        <w:t>or BRC. WaterNSW consider</w:t>
      </w:r>
      <w:r>
        <w:t>ed</w:t>
      </w:r>
      <w:r w:rsidR="003F3971">
        <w:t xml:space="preserve"> that such regulation would “drive efficiencies and bring costs down for the benefit of customers”.</w:t>
      </w:r>
      <w:r w:rsidR="003F3971" w:rsidRPr="00073821">
        <w:rPr>
          <w:rStyle w:val="FootnoteReference"/>
          <w:rFonts w:cs="Times New Roman"/>
          <w:sz w:val="20"/>
          <w:szCs w:val="20"/>
        </w:rPr>
        <w:footnoteReference w:id="632"/>
      </w:r>
      <w:r w:rsidR="003F3971">
        <w:t xml:space="preserve"> GMW identified some of the benefits that could be derived from economic regulation of the MDBA contributions including greater transparency, certainty, reduced price volatility (potentially), prudency and efficiency.</w:t>
      </w:r>
      <w:r w:rsidR="003F3971" w:rsidRPr="00597AD0">
        <w:rPr>
          <w:rStyle w:val="FootnoteReference"/>
          <w:rFonts w:cs="Times New Roman"/>
          <w:sz w:val="20"/>
          <w:szCs w:val="20"/>
        </w:rPr>
        <w:footnoteReference w:id="633"/>
      </w:r>
      <w:r w:rsidR="003F3971">
        <w:t xml:space="preserve"> </w:t>
      </w:r>
    </w:p>
    <w:p w:rsidR="003F3971" w:rsidRDefault="003F3971" w:rsidP="003F3971">
      <w:r>
        <w:t xml:space="preserve">The MDBA </w:t>
      </w:r>
      <w:r w:rsidR="008705D5">
        <w:t>wa</w:t>
      </w:r>
      <w:r>
        <w:t xml:space="preserve">s similarly of the view that the </w:t>
      </w:r>
      <w:r w:rsidR="005C7AC5">
        <w:t>RMO</w:t>
      </w:r>
      <w:r>
        <w:t xml:space="preserve"> (which are managed by the MDBA) should be subject to the same level of regulation as other infrastructure operators under the </w:t>
      </w:r>
      <w:r w:rsidR="008705D5">
        <w:t>water charge rules</w:t>
      </w:r>
      <w:r>
        <w:t>.</w:t>
      </w:r>
      <w:r>
        <w:rPr>
          <w:rStyle w:val="FootnoteReference"/>
        </w:rPr>
        <w:footnoteReference w:id="634"/>
      </w:r>
      <w:r>
        <w:t xml:space="preserve"> The MDBA called for the ACCC’s views on an independent review (by the ACCC for example) of the </w:t>
      </w:r>
      <w:r w:rsidR="005C7AC5">
        <w:t>RMO</w:t>
      </w:r>
      <w:r>
        <w:t xml:space="preserve">. The MDBA considered that this review could provide either advice to the Commonwealth, NSW, Victorian and South Australian governments, or a regulatory decision, in relation to the efficient costs of the </w:t>
      </w:r>
      <w:r w:rsidR="005C7AC5">
        <w:t>RMO</w:t>
      </w:r>
      <w:r>
        <w:t>. The MDBA consider</w:t>
      </w:r>
      <w:r w:rsidR="008705D5">
        <w:t>ed</w:t>
      </w:r>
      <w:r>
        <w:t xml:space="preserve"> that the outcome from this review would be greater transparency to water users about costs, and cost recovery approaches.</w:t>
      </w:r>
    </w:p>
    <w:p w:rsidR="003F3971" w:rsidRDefault="003F3971" w:rsidP="003F3971">
      <w:r>
        <w:t xml:space="preserve">The MDBA’s position is based on its concerns about the level and uncertainty in state government contributions to the </w:t>
      </w:r>
      <w:r w:rsidR="005C7AC5">
        <w:t>RMO</w:t>
      </w:r>
      <w:r>
        <w:t xml:space="preserve"> for construction, operation and maintenance activities. The MDBA noted that there have been shortfalls in funding over a number of years, which has been managed by deferring asset renewal and maintenance expenditure. However, the MDBA considers that this increases the risk profile of assets and, if deferral occurs over an extended period of time, it could affect water users through higher costs or risks to public safety. </w:t>
      </w:r>
    </w:p>
    <w:p w:rsidR="00397D67" w:rsidRPr="003F3971" w:rsidRDefault="003F3971" w:rsidP="00397D67">
      <w:r>
        <w:t>The Queensland Department of Natural Resources and Mines (DNRM) opposed the regulation of BRC</w:t>
      </w:r>
      <w:r w:rsidR="008705D5">
        <w:t>-related</w:t>
      </w:r>
      <w:r>
        <w:t xml:space="preserve"> charges by the ACCC. DNRM argued that the charges do not constitute a monopoly rent and the total volume of water managed in the BRC area is insignificant in the MDB context.</w:t>
      </w:r>
    </w:p>
    <w:p w:rsidR="005A011A" w:rsidRDefault="005A011A" w:rsidP="00DF129E">
      <w:pPr>
        <w:pStyle w:val="Heading3Un-numbered"/>
      </w:pPr>
      <w:r>
        <w:t>ACCC assessment</w:t>
      </w:r>
    </w:p>
    <w:p w:rsidR="00F03409" w:rsidRDefault="003F3971" w:rsidP="00E81EB4">
      <w:pPr>
        <w:spacing w:after="120"/>
      </w:pPr>
      <w:r>
        <w:t xml:space="preserve">The ACCC maintains its Draft Advice that, if the MDBA </w:t>
      </w:r>
      <w:r w:rsidR="008705D5">
        <w:t xml:space="preserve">or BRC </w:t>
      </w:r>
      <w:r>
        <w:t>begin to levy regulated infrastructure charges, they should be regulated through Part 6 by the ACCC. The ACCC considers that this would be important for the achievement of the BWCOP, and it is consistent with the views expressed in submissions.</w:t>
      </w:r>
      <w:r w:rsidRPr="0080342F">
        <w:t xml:space="preserve"> </w:t>
      </w:r>
      <w:r w:rsidR="008705D5">
        <w:t>The proposed wording of r</w:t>
      </w:r>
      <w:r>
        <w:t xml:space="preserve">ule 23 is intended to bring the MDBA </w:t>
      </w:r>
      <w:r w:rsidR="008705D5">
        <w:t xml:space="preserve">/ BRC </w:t>
      </w:r>
      <w:r>
        <w:t>within the ambit of Part 6</w:t>
      </w:r>
      <w:r w:rsidR="008705D5">
        <w:t xml:space="preserve"> in the event that these bodies levy infrastructure charges in relation to the relevant infrastructure services</w:t>
      </w:r>
      <w:r>
        <w:t xml:space="preserve">. </w:t>
      </w:r>
      <w:r w:rsidR="008705D5">
        <w:t xml:space="preserve">The Final Advice </w:t>
      </w:r>
      <w:r w:rsidR="008705D5" w:rsidRPr="00C1173F">
        <w:t>clarifies that Part 6 should only apply to the extent that an operator levies</w:t>
      </w:r>
      <w:r w:rsidR="00F03409">
        <w:t xml:space="preserve"> an</w:t>
      </w:r>
      <w:r w:rsidR="008705D5" w:rsidRPr="00C1173F">
        <w:t xml:space="preserve"> infrastructure charge in relation </w:t>
      </w:r>
      <w:r w:rsidR="00FA01BB" w:rsidRPr="00C1173F">
        <w:t>to</w:t>
      </w:r>
      <w:r w:rsidR="00F03409">
        <w:t xml:space="preserve"> either:</w:t>
      </w:r>
      <w:r w:rsidR="00FA01BB" w:rsidRPr="00C1173F">
        <w:t xml:space="preserve"> </w:t>
      </w:r>
    </w:p>
    <w:p w:rsidR="00F03409" w:rsidRDefault="00FA01BB" w:rsidP="00A82DE6">
      <w:pPr>
        <w:pStyle w:val="Lvl1Bulletpoint"/>
      </w:pPr>
      <w:r w:rsidRPr="00C1173F">
        <w:t xml:space="preserve">the storage or delivery of water that is necessary to give effect to the </w:t>
      </w:r>
      <w:r w:rsidR="00F03409">
        <w:t xml:space="preserve">sharing of </w:t>
      </w:r>
      <w:r w:rsidRPr="00C1173F">
        <w:t xml:space="preserve">water </w:t>
      </w:r>
      <w:r w:rsidR="00F03409">
        <w:t>between more than one Basin State; or</w:t>
      </w:r>
    </w:p>
    <w:p w:rsidR="00F03409" w:rsidRDefault="00F03409" w:rsidP="00A82DE6">
      <w:pPr>
        <w:pStyle w:val="Lvl1Bulletpoint"/>
      </w:pPr>
      <w:r>
        <w:t>a bulk</w:t>
      </w:r>
      <w:r w:rsidR="00FA01BB" w:rsidRPr="00C1173F">
        <w:t xml:space="preserve"> </w:t>
      </w:r>
      <w:r>
        <w:t xml:space="preserve">water service in respect of water access rights; </w:t>
      </w:r>
    </w:p>
    <w:p w:rsidR="008705D5" w:rsidRPr="00C1173F" w:rsidRDefault="00F03409" w:rsidP="00F03409">
      <w:r>
        <w:rPr>
          <w:i/>
        </w:rPr>
        <w:t xml:space="preserve">and </w:t>
      </w:r>
      <w:r>
        <w:t>the operator is not required to have all its infrastructure charges approved or determined by a single State Agency under a law of the State in a way that is consistent with relevant aspects of Part 6. S</w:t>
      </w:r>
      <w:r w:rsidR="00FA01BB" w:rsidRPr="00C1173F">
        <w:t>ee section 5.6 for further detail.</w:t>
      </w:r>
      <w:r w:rsidR="008705D5" w:rsidRPr="00C1173F">
        <w:t xml:space="preserve"> </w:t>
      </w:r>
    </w:p>
    <w:p w:rsidR="008705D5" w:rsidRPr="00FA01BB" w:rsidRDefault="00FA01BB" w:rsidP="003F3971">
      <w:r w:rsidRPr="00C1173F">
        <w:t xml:space="preserve">The ACCC notes that Part 6 would </w:t>
      </w:r>
      <w:r w:rsidRPr="00C1173F">
        <w:rPr>
          <w:i/>
        </w:rPr>
        <w:t>not</w:t>
      </w:r>
      <w:r w:rsidRPr="00C1173F">
        <w:t xml:space="preserve"> apply if all the infrastructure</w:t>
      </w:r>
      <w:r>
        <w:t xml:space="preserve"> charges of an operator meeting this requirement were regulated by a </w:t>
      </w:r>
      <w:r>
        <w:rPr>
          <w:i/>
        </w:rPr>
        <w:t xml:space="preserve">single </w:t>
      </w:r>
      <w:r>
        <w:t>State Agency. However, if regulation by a single State Agency was not possible, it is appropriate for the ACCC to approve / determine these charges under Part 6 of the rules</w:t>
      </w:r>
      <w:r w:rsidR="00C1173F">
        <w:t xml:space="preserve"> (see sections 5.6 and 5.10 in relation to the difficulties that can arise with multiple regulators)</w:t>
      </w:r>
      <w:r>
        <w:t>.</w:t>
      </w:r>
    </w:p>
    <w:p w:rsidR="003F3971" w:rsidRDefault="00FA01BB" w:rsidP="003F3971">
      <w:r>
        <w:t>I</w:t>
      </w:r>
      <w:r w:rsidR="008705D5">
        <w:t>n the absence of the</w:t>
      </w:r>
      <w:r w:rsidR="00A54DB8">
        <w:t xml:space="preserve"> MDBA and BRC </w:t>
      </w:r>
      <w:r w:rsidR="008705D5">
        <w:t xml:space="preserve">directly imposing infrastructure charges (and therefore being subject to Part 6 regulation), </w:t>
      </w:r>
      <w:r w:rsidR="003F3971">
        <w:t>Basin State governments, in conjunction with the Commonwealth, are best-placed to progress reforms to improve transparency of MDBA and BRC costs and funding arrangements, including any arrangements for direct charges.</w:t>
      </w:r>
    </w:p>
    <w:p w:rsidR="003F3971" w:rsidRDefault="008705D5" w:rsidP="003F3971">
      <w:r>
        <w:t>In relation to the MDBA in particular, t</w:t>
      </w:r>
      <w:r w:rsidR="003F3971">
        <w:t xml:space="preserve">he ACCC’s view is consistent with the Australian Government’s response to the </w:t>
      </w:r>
      <w:r w:rsidR="00A54DB8">
        <w:t>I</w:t>
      </w:r>
      <w:r w:rsidR="003F3971">
        <w:t xml:space="preserve">ndependent </w:t>
      </w:r>
      <w:r w:rsidR="00A54DB8">
        <w:t>R</w:t>
      </w:r>
      <w:r w:rsidR="003F3971">
        <w:t>eview of the Act, which noted that section 212 of the Act already makes it clear that the water charge rules would govern the charging of fees by the MDBA, should regulated water charges be introduced in the future.</w:t>
      </w:r>
      <w:r w:rsidR="003F3971">
        <w:rPr>
          <w:rStyle w:val="FootnoteReference"/>
        </w:rPr>
        <w:footnoteReference w:id="635"/>
      </w:r>
      <w:r w:rsidR="003F3971">
        <w:t xml:space="preserve"> </w:t>
      </w:r>
    </w:p>
    <w:p w:rsidR="003F3971" w:rsidRDefault="003F3971" w:rsidP="003F3971">
      <w:r>
        <w:t>The ACCC also maintains its view in its Draft Advice that it is not its preferred approach for the ACCC to conduct efficiency reviews of the MDBA,</w:t>
      </w:r>
      <w:r w:rsidRPr="00363BF4">
        <w:t xml:space="preserve"> as the </w:t>
      </w:r>
      <w:r w:rsidR="00A54DB8">
        <w:t xml:space="preserve">water </w:t>
      </w:r>
      <w:r>
        <w:t xml:space="preserve">charge </w:t>
      </w:r>
      <w:r w:rsidRPr="00363BF4">
        <w:t>rules cannot provide for the scrutiny of costs in the absence of charges.</w:t>
      </w:r>
      <w:r>
        <w:t xml:space="preserve"> Reviews of MDBA’s costs and efficiency have been done and can be done further by private consultants.</w:t>
      </w:r>
      <w:r>
        <w:rPr>
          <w:rStyle w:val="FootnoteReference"/>
        </w:rPr>
        <w:footnoteReference w:id="636"/>
      </w:r>
      <w:r>
        <w:t xml:space="preserve"> The ACCC considers that, although these reviews were primarily aimed at improving</w:t>
      </w:r>
      <w:r w:rsidRPr="00055408">
        <w:t xml:space="preserve"> transparency</w:t>
      </w:r>
      <w:r>
        <w:t xml:space="preserve"> and funding decisions, they provide an information base for assessment of any future charges.</w:t>
      </w:r>
    </w:p>
    <w:p w:rsidR="003F3971" w:rsidRDefault="003F3971" w:rsidP="003F3971">
      <w:r>
        <w:t>As discussed in section 5.6, the ACCC considers that charges levied by the Queensland Government DNRM to fund the BRC could potentially be regulated under Part 6 by virtue of the proposed rule 23</w:t>
      </w:r>
      <w:r w:rsidR="000506CC">
        <w:t xml:space="preserve"> (the application of Part 6)</w:t>
      </w:r>
      <w:r>
        <w:t xml:space="preserve">. However, </w:t>
      </w:r>
      <w:r w:rsidR="00FA01BB">
        <w:t xml:space="preserve">as noted in section 5.6, the ACCC’s </w:t>
      </w:r>
      <w:r>
        <w:t xml:space="preserve">preferred outcome is for Queensland to adjust its regulatory framework so it can regulate all water charges within the State under its own framework rather than </w:t>
      </w:r>
      <w:r w:rsidR="00BF0DFE">
        <w:t xml:space="preserve">have the ACCC regulate these charges under </w:t>
      </w:r>
      <w:r>
        <w:t>Part 6.</w:t>
      </w:r>
    </w:p>
    <w:p w:rsidR="003F3971" w:rsidRPr="003E1B68" w:rsidRDefault="003F3971">
      <w:r w:rsidRPr="00DC67E6">
        <w:t xml:space="preserve">The </w:t>
      </w:r>
      <w:r>
        <w:t xml:space="preserve">ACCC’s Final Advice, as in its Draft Advice, does not involve any specific rule advice regarding the MDBA and BRC, other than that regarding the application of Part 6 in </w:t>
      </w:r>
      <w:r w:rsidRPr="00D714FC">
        <w:rPr>
          <w:rFonts w:eastAsia="Arial" w:cs="Times New Roman"/>
        </w:rPr>
        <w:t xml:space="preserve">rule advice </w:t>
      </w:r>
      <w:r>
        <w:rPr>
          <w:rFonts w:eastAsia="Arial" w:cs="Times New Roman"/>
        </w:rPr>
        <w:t>5-M, as</w:t>
      </w:r>
      <w:r>
        <w:t xml:space="preserve"> discussed in </w:t>
      </w:r>
      <w:r w:rsidRPr="00DC67E6">
        <w:t>section 5.6</w:t>
      </w:r>
      <w:r w:rsidRPr="00D714FC">
        <w:rPr>
          <w:rFonts w:eastAsia="Arial" w:cs="Times New Roman"/>
        </w:rPr>
        <w:t>.</w:t>
      </w:r>
      <w:bookmarkStart w:id="1159" w:name="_Ref433960102"/>
      <w:bookmarkStart w:id="1160" w:name="_Toc436122316"/>
      <w:bookmarkStart w:id="1161" w:name="_Toc436122811"/>
      <w:bookmarkStart w:id="1162" w:name="_Toc436124166"/>
      <w:bookmarkStart w:id="1163" w:name="_Ref433374721"/>
    </w:p>
    <w:p w:rsidR="00E161B2" w:rsidRDefault="00F970BC" w:rsidP="00E81EB4">
      <w:pPr>
        <w:pStyle w:val="Heading2"/>
        <w:keepNext w:val="0"/>
      </w:pPr>
      <w:bookmarkStart w:id="1164" w:name="_Toc456785823"/>
      <w:bookmarkStart w:id="1165" w:name="_Toc461630734"/>
      <w:r w:rsidRPr="00D714FC">
        <w:t>Transparency of cost pass-throughs</w:t>
      </w:r>
      <w:bookmarkEnd w:id="1159"/>
      <w:bookmarkEnd w:id="1160"/>
      <w:bookmarkEnd w:id="1161"/>
      <w:bookmarkEnd w:id="1162"/>
      <w:bookmarkEnd w:id="1164"/>
      <w:bookmarkEnd w:id="1165"/>
      <w:r w:rsidRPr="00D714FC">
        <w:tab/>
      </w:r>
      <w:bookmarkEnd w:id="1163"/>
    </w:p>
    <w:p w:rsidR="00067769" w:rsidRPr="00DF129E" w:rsidRDefault="00D07E1E" w:rsidP="00DF129E">
      <w:pPr>
        <w:pStyle w:val="Heading3Un-numbered"/>
        <w:spacing w:before="0" w:after="0"/>
        <w:rPr>
          <w:bCs/>
          <w:color w:val="FFFFFF" w:themeColor="background1"/>
          <w:sz w:val="12"/>
          <w:szCs w:val="12"/>
        </w:rPr>
      </w:pPr>
      <w:r w:rsidRPr="00DF129E">
        <w:rPr>
          <w:color w:val="FFFFFF" w:themeColor="background1"/>
          <w:sz w:val="12"/>
          <w:szCs w:val="12"/>
        </w:rPr>
        <w:fldChar w:fldCharType="begin"/>
      </w:r>
      <w:r w:rsidRPr="00DF129E">
        <w:rPr>
          <w:color w:val="FFFFFF" w:themeColor="background1"/>
          <w:sz w:val="12"/>
          <w:szCs w:val="12"/>
        </w:rPr>
        <w:instrText xml:space="preserve"> REF _Ref434840359 \h  \* MERGEFORMAT </w:instrText>
      </w:r>
      <w:r w:rsidRPr="00DF129E">
        <w:rPr>
          <w:color w:val="FFFFFF" w:themeColor="background1"/>
          <w:sz w:val="12"/>
          <w:szCs w:val="12"/>
        </w:rPr>
      </w:r>
      <w:r w:rsidRPr="00DF129E">
        <w:rPr>
          <w:color w:val="FFFFFF" w:themeColor="background1"/>
          <w:sz w:val="12"/>
          <w:szCs w:val="12"/>
        </w:rPr>
        <w:fldChar w:fldCharType="separate"/>
      </w:r>
      <w:r w:rsidR="00BD218B" w:rsidRPr="00BD218B">
        <w:rPr>
          <w:color w:val="FFFFFF" w:themeColor="background1"/>
          <w:sz w:val="12"/>
          <w:szCs w:val="12"/>
        </w:rPr>
        <w:t>Rule advice</w:t>
      </w:r>
      <w:r w:rsidRPr="00DF129E">
        <w:rPr>
          <w:color w:val="FFFFFF" w:themeColor="background1"/>
          <w:sz w:val="12"/>
          <w:szCs w:val="12"/>
        </w:rPr>
        <w:fldChar w:fldCharType="end"/>
      </w:r>
      <w:r w:rsidR="00C21C88" w:rsidRPr="00DF129E">
        <w:rPr>
          <w:color w:val="FFFFFF" w:themeColor="background1"/>
          <w:sz w:val="12"/>
          <w:szCs w:val="12"/>
        </w:rPr>
        <w:t xml:space="preserve"> </w:t>
      </w:r>
    </w:p>
    <w:tbl>
      <w:tblPr>
        <w:tblStyle w:val="TableGrid"/>
        <w:tblW w:w="0" w:type="auto"/>
        <w:tblLook w:val="04A0" w:firstRow="1" w:lastRow="0" w:firstColumn="1" w:lastColumn="0" w:noHBand="0" w:noVBand="1"/>
      </w:tblPr>
      <w:tblGrid>
        <w:gridCol w:w="9242"/>
      </w:tblGrid>
      <w:tr w:rsidR="00067769" w:rsidTr="00067769">
        <w:tc>
          <w:tcPr>
            <w:tcW w:w="9242" w:type="dxa"/>
            <w:tcBorders>
              <w:top w:val="nil"/>
              <w:left w:val="nil"/>
              <w:bottom w:val="nil"/>
              <w:right w:val="nil"/>
            </w:tcBorders>
            <w:shd w:val="clear" w:color="auto" w:fill="D9D9D9" w:themeFill="background1" w:themeFillShade="D9"/>
          </w:tcPr>
          <w:p w:rsidR="00ED342F" w:rsidRPr="00D714FC" w:rsidRDefault="00ED342F" w:rsidP="00E81EB4">
            <w:pPr>
              <w:pStyle w:val="Caption"/>
              <w:keepNext w:val="0"/>
              <w:keepLines w:val="0"/>
              <w:rPr>
                <w:rFonts w:eastAsia="Arial"/>
              </w:rPr>
            </w:pPr>
            <w:bookmarkStart w:id="1166" w:name="_Toc456784103"/>
            <w:bookmarkStart w:id="1167" w:name="_Toc433975407"/>
            <w:bookmarkStart w:id="1168" w:name="_Toc432937627"/>
            <w:bookmarkStart w:id="1169" w:name="_Ref434851958"/>
            <w:r w:rsidRPr="00D714FC">
              <w:t xml:space="preserve">Rule advice </w:t>
            </w:r>
            <w:r w:rsidR="007F659D">
              <w:rPr>
                <w:noProof/>
              </w:rPr>
              <w:t>5</w:t>
            </w:r>
            <w:r>
              <w:noBreakHyphen/>
            </w:r>
            <w:r w:rsidR="007F659D">
              <w:rPr>
                <w:noProof/>
              </w:rPr>
              <w:t>Y</w:t>
            </w:r>
            <w:bookmarkEnd w:id="1166"/>
          </w:p>
          <w:p w:rsidR="00067769" w:rsidRDefault="00067769" w:rsidP="00E81EB4">
            <w:pPr>
              <w:pStyle w:val="Heading8"/>
              <w:outlineLvl w:val="7"/>
            </w:pPr>
            <w:bookmarkStart w:id="1170" w:name="_Toc436123437"/>
            <w:bookmarkStart w:id="1171" w:name="_Toc456784104"/>
            <w:bookmarkStart w:id="1172" w:name="Rule_Advice_5Y"/>
            <w:bookmarkStart w:id="1173" w:name="_Toc433975408"/>
            <w:bookmarkStart w:id="1174" w:name="_Toc432937628"/>
            <w:r w:rsidRPr="00D714FC">
              <w:t>The rules should be amended</w:t>
            </w:r>
            <w:r w:rsidR="00BF0DFE">
              <w:t xml:space="preserve"> to</w:t>
            </w:r>
            <w:r w:rsidRPr="00D714FC">
              <w:t xml:space="preserve"> </w:t>
            </w:r>
            <w:r>
              <w:t>regulate the manner in which an infrastructure operator can recover amounts incurred by the operator through</w:t>
            </w:r>
            <w:r w:rsidRPr="00D714FC">
              <w:t xml:space="preserve"> </w:t>
            </w:r>
            <w:r w:rsidR="0079428C" w:rsidRPr="00D714FC">
              <w:t>infrastructure charge</w:t>
            </w:r>
            <w:r w:rsidR="0079428C">
              <w:t xml:space="preserve">s or </w:t>
            </w:r>
            <w:r w:rsidRPr="00D714FC">
              <w:t>planning and management charge</w:t>
            </w:r>
            <w:r>
              <w:t>s</w:t>
            </w:r>
            <w:r w:rsidRPr="00D714FC">
              <w:t xml:space="preserve"> </w:t>
            </w:r>
            <w:r>
              <w:t>levied on the operator</w:t>
            </w:r>
            <w:r w:rsidR="00503F51">
              <w:t>,</w:t>
            </w:r>
            <w:r w:rsidR="001D63CE">
              <w:t xml:space="preserve"> through infrastructure charges that the operator imposes on its own customers</w:t>
            </w:r>
            <w:r>
              <w:t>.</w:t>
            </w:r>
            <w:bookmarkEnd w:id="1170"/>
            <w:bookmarkEnd w:id="1171"/>
          </w:p>
          <w:p w:rsidR="007423FE" w:rsidRDefault="00067769" w:rsidP="00E81EB4">
            <w:pPr>
              <w:pStyle w:val="Ruleadvicesubheading"/>
            </w:pPr>
            <w:bookmarkStart w:id="1175" w:name="_Toc456784105"/>
            <w:r w:rsidRPr="007423FE">
              <w:t>Definitions</w:t>
            </w:r>
            <w:r>
              <w:t xml:space="preserve"> </w:t>
            </w:r>
          </w:p>
          <w:p w:rsidR="00067769" w:rsidRPr="00484A48" w:rsidRDefault="00067769" w:rsidP="00E81EB4">
            <w:pPr>
              <w:pStyle w:val="Heading8"/>
              <w:outlineLvl w:val="7"/>
              <w:rPr>
                <w:b/>
              </w:rPr>
            </w:pPr>
            <w:r w:rsidRPr="00484A48">
              <w:t xml:space="preserve">The rules should define </w:t>
            </w:r>
            <w:r>
              <w:rPr>
                <w:b/>
                <w:i/>
              </w:rPr>
              <w:t>network operation charges</w:t>
            </w:r>
            <w:r>
              <w:rPr>
                <w:i/>
              </w:rPr>
              <w:t xml:space="preserve"> </w:t>
            </w:r>
            <w:r w:rsidRPr="00484A48">
              <w:t xml:space="preserve">to mean infrastructure charges and planning and management charges </w:t>
            </w:r>
            <w:r w:rsidR="001D63CE">
              <w:t>levied on</w:t>
            </w:r>
            <w:r>
              <w:t xml:space="preserve"> an infrastructure operator</w:t>
            </w:r>
            <w:r w:rsidR="001D63CE">
              <w:t xml:space="preserve"> </w:t>
            </w:r>
            <w:r w:rsidRPr="00484A48">
              <w:t>on the basis of:</w:t>
            </w:r>
            <w:bookmarkEnd w:id="1175"/>
          </w:p>
          <w:p w:rsidR="00067769" w:rsidRPr="00915713" w:rsidRDefault="00067769" w:rsidP="00020517">
            <w:pPr>
              <w:pStyle w:val="Ruleadvicebullet"/>
            </w:pPr>
            <w:bookmarkStart w:id="1176" w:name="_Toc456784106"/>
            <w:r w:rsidRPr="00915713">
              <w:t>water access rights held or used by an infrastructure operator specifically for the purpose of meeting distribution losses;</w:t>
            </w:r>
            <w:bookmarkEnd w:id="1176"/>
            <w:r w:rsidRPr="00915713">
              <w:t xml:space="preserve"> </w:t>
            </w:r>
            <w:r w:rsidR="00E721E7" w:rsidRPr="00915713">
              <w:t>or</w:t>
            </w:r>
          </w:p>
          <w:p w:rsidR="00067769" w:rsidRPr="00915713" w:rsidRDefault="00067769" w:rsidP="00020517">
            <w:pPr>
              <w:pStyle w:val="Ruleadvicebullet"/>
            </w:pPr>
            <w:bookmarkStart w:id="1177" w:name="_Toc456784107"/>
            <w:r w:rsidRPr="00915713">
              <w:t xml:space="preserve">infrastructure used by the operator to extract water from a watercourse or discharge water to a watercourse in the course of providing a service to </w:t>
            </w:r>
            <w:r w:rsidR="001D63CE" w:rsidRPr="00915713">
              <w:t xml:space="preserve">their </w:t>
            </w:r>
            <w:r w:rsidRPr="00915713">
              <w:t>customers (</w:t>
            </w:r>
            <w:r w:rsidR="00E721E7" w:rsidRPr="00915713">
              <w:t xml:space="preserve">for </w:t>
            </w:r>
            <w:r w:rsidRPr="00915713">
              <w:t>example: charges levied on off-take works used by the operator to extract water from or deliver water to a natural watercourse)</w:t>
            </w:r>
            <w:bookmarkEnd w:id="1177"/>
            <w:r w:rsidRPr="00915713">
              <w:t xml:space="preserve"> </w:t>
            </w:r>
          </w:p>
          <w:p w:rsidR="00067769" w:rsidRPr="00484A48" w:rsidRDefault="00067769" w:rsidP="00E81EB4">
            <w:pPr>
              <w:pStyle w:val="Heading8"/>
              <w:outlineLvl w:val="7"/>
            </w:pPr>
            <w:bookmarkStart w:id="1178" w:name="_Toc456784108"/>
            <w:r>
              <w:t xml:space="preserve">All other infrastructure charges and planning and management charges incurred by an </w:t>
            </w:r>
            <w:r w:rsidR="00E721E7">
              <w:t xml:space="preserve">infrastructure </w:t>
            </w:r>
            <w:r>
              <w:t xml:space="preserve">operator should be deemed </w:t>
            </w:r>
            <w:r>
              <w:rPr>
                <w:b/>
                <w:i/>
              </w:rPr>
              <w:t>ancillary charges</w:t>
            </w:r>
            <w:r>
              <w:t>.</w:t>
            </w:r>
            <w:bookmarkEnd w:id="1178"/>
          </w:p>
          <w:p w:rsidR="00067769" w:rsidRDefault="00067769" w:rsidP="00E81EB4">
            <w:pPr>
              <w:pStyle w:val="Ruleadvicesubheading"/>
            </w:pPr>
            <w:bookmarkStart w:id="1179" w:name="_Toc456784109"/>
            <w:r w:rsidRPr="007423FE">
              <w:t xml:space="preserve">Rule for passing through the cost of </w:t>
            </w:r>
            <w:r w:rsidRPr="007423FE">
              <w:rPr>
                <w:b/>
              </w:rPr>
              <w:t>network operation charges</w:t>
            </w:r>
            <w:bookmarkEnd w:id="1179"/>
            <w:r w:rsidRPr="007423FE">
              <w:t xml:space="preserve"> </w:t>
            </w:r>
          </w:p>
          <w:p w:rsidR="00EC5059" w:rsidRPr="00EC5059" w:rsidRDefault="00EC5059" w:rsidP="00E81EB4">
            <w:pPr>
              <w:pStyle w:val="Heading8"/>
              <w:outlineLvl w:val="7"/>
            </w:pPr>
            <w:r>
              <w:t>The rules should be amended so that:</w:t>
            </w:r>
          </w:p>
          <w:p w:rsidR="001D63CE" w:rsidRPr="007423FE" w:rsidRDefault="00067769" w:rsidP="00020517">
            <w:pPr>
              <w:pStyle w:val="Ruleadvicebullet"/>
            </w:pPr>
            <w:bookmarkStart w:id="1180" w:name="_Toc456784110"/>
            <w:r w:rsidRPr="007423FE">
              <w:t>An operator may (but is not required to) levy a separate charge</w:t>
            </w:r>
            <w:r w:rsidR="001D63CE" w:rsidRPr="007423FE">
              <w:t>(s)</w:t>
            </w:r>
            <w:r w:rsidRPr="007423FE">
              <w:t xml:space="preserve"> to recover the amount of any network operation charges it incurs</w:t>
            </w:r>
            <w:r w:rsidR="001D63CE" w:rsidRPr="007423FE">
              <w:t xml:space="preserve"> from its customer</w:t>
            </w:r>
            <w:r w:rsidRPr="007423FE">
              <w:t>.</w:t>
            </w:r>
            <w:bookmarkEnd w:id="1180"/>
            <w:r w:rsidRPr="007423FE">
              <w:t xml:space="preserve"> </w:t>
            </w:r>
          </w:p>
          <w:p w:rsidR="001D63CE" w:rsidRPr="007423FE" w:rsidRDefault="00AA3E1D" w:rsidP="00020517">
            <w:pPr>
              <w:pStyle w:val="Ruleadvicebullet"/>
            </w:pPr>
            <w:bookmarkStart w:id="1181" w:name="_Toc456784111"/>
            <w:r>
              <w:t>If the operator chooses to levy separate charges</w:t>
            </w:r>
            <w:r w:rsidR="001D63CE" w:rsidRPr="007423FE">
              <w:t xml:space="preserve"> to recover network operation charge, </w:t>
            </w:r>
            <w:r>
              <w:t xml:space="preserve">these charges </w:t>
            </w:r>
            <w:r w:rsidR="001D63CE" w:rsidRPr="007423FE">
              <w:t>must not recover in total more than the total amount of the network operation charges.</w:t>
            </w:r>
          </w:p>
          <w:p w:rsidR="002970D9" w:rsidRPr="002970D9" w:rsidRDefault="002970D9" w:rsidP="00E81EB4">
            <w:pPr>
              <w:pStyle w:val="Heading8"/>
              <w:outlineLvl w:val="7"/>
            </w:pPr>
            <w:r>
              <w:t>This rule should be a civil penalty provision.</w:t>
            </w:r>
          </w:p>
          <w:p w:rsidR="00067769" w:rsidRPr="00964376" w:rsidRDefault="00AA3E1D" w:rsidP="00020517">
            <w:pPr>
              <w:pStyle w:val="Ruleadvicebullet"/>
            </w:pPr>
            <w:r w:rsidRPr="00964376">
              <w:rPr>
                <w:i/>
              </w:rPr>
              <w:t xml:space="preserve">Note: </w:t>
            </w:r>
            <w:r w:rsidRPr="00964376">
              <w:t>These rules</w:t>
            </w:r>
            <w:r w:rsidR="00B50DE8" w:rsidRPr="00964376">
              <w:t xml:space="preserve"> should</w:t>
            </w:r>
            <w:r w:rsidRPr="00964376">
              <w:t xml:space="preserve"> have the effect that a</w:t>
            </w:r>
            <w:r w:rsidR="00067769" w:rsidRPr="00964376">
              <w:t>n operator may choose the basis on which it levies such charges, including through charges per unit of water delivery / drainage right held</w:t>
            </w:r>
            <w:r w:rsidR="00EC5059" w:rsidRPr="00964376">
              <w:t xml:space="preserve"> (in which case</w:t>
            </w:r>
            <w:r w:rsidR="009A64A9" w:rsidRPr="00964376">
              <w:t xml:space="preserve"> </w:t>
            </w:r>
            <w:r w:rsidR="00067769" w:rsidRPr="00964376">
              <w:t>these charges are able to be included in termination fees</w:t>
            </w:r>
            <w:r w:rsidR="00EC5059" w:rsidRPr="00964376">
              <w:t>)</w:t>
            </w:r>
            <w:r w:rsidR="00067769" w:rsidRPr="00964376">
              <w:t>.</w:t>
            </w:r>
            <w:bookmarkEnd w:id="1181"/>
          </w:p>
          <w:p w:rsidR="00067769" w:rsidRDefault="00067769" w:rsidP="00E81EB4">
            <w:pPr>
              <w:pStyle w:val="Ruleadvicesubheading"/>
            </w:pPr>
            <w:bookmarkStart w:id="1182" w:name="_Toc456784112"/>
            <w:r w:rsidRPr="007423FE">
              <w:t xml:space="preserve">Rule for passing through the cost of </w:t>
            </w:r>
            <w:r w:rsidRPr="007423FE">
              <w:rPr>
                <w:b/>
              </w:rPr>
              <w:t>ancillary charges</w:t>
            </w:r>
            <w:bookmarkEnd w:id="1182"/>
            <w:r w:rsidRPr="007423FE">
              <w:t xml:space="preserve"> </w:t>
            </w:r>
          </w:p>
          <w:p w:rsidR="00EC5059" w:rsidRPr="00EC5059" w:rsidRDefault="00EC5059" w:rsidP="00E81EB4">
            <w:pPr>
              <w:pStyle w:val="Heading8"/>
              <w:outlineLvl w:val="7"/>
            </w:pPr>
            <w:r>
              <w:t>The rules should be amended so that:</w:t>
            </w:r>
          </w:p>
          <w:p w:rsidR="002970D9" w:rsidRPr="002970D9" w:rsidRDefault="00067769" w:rsidP="00020517">
            <w:pPr>
              <w:pStyle w:val="Ruleadvicebullet"/>
            </w:pPr>
            <w:bookmarkStart w:id="1183" w:name="_Toc456784113"/>
            <w:r w:rsidRPr="007423FE">
              <w:t xml:space="preserve">An operator must levy one or more </w:t>
            </w:r>
            <w:r w:rsidR="00AF66B0" w:rsidRPr="007423FE">
              <w:t xml:space="preserve">separate </w:t>
            </w:r>
            <w:r w:rsidRPr="007423FE">
              <w:t>charges</w:t>
            </w:r>
            <w:r w:rsidR="001D63CE" w:rsidRPr="007423FE">
              <w:t xml:space="preserve"> on its customers</w:t>
            </w:r>
            <w:r w:rsidRPr="007423FE">
              <w:t xml:space="preserve"> to recover the costs of ancillary charges it incurs.</w:t>
            </w:r>
            <w:bookmarkEnd w:id="1183"/>
          </w:p>
          <w:p w:rsidR="00067769" w:rsidRPr="00434473" w:rsidRDefault="00067769" w:rsidP="00020517">
            <w:pPr>
              <w:pStyle w:val="Ruleadvicebullet"/>
              <w:rPr>
                <w:b/>
              </w:rPr>
            </w:pPr>
            <w:bookmarkStart w:id="1184" w:name="_Toc456784114"/>
            <w:r>
              <w:t xml:space="preserve">These charges the operator levies must be </w:t>
            </w:r>
            <w:r w:rsidRPr="00484A48">
              <w:rPr>
                <w:i/>
              </w:rPr>
              <w:t>separate</w:t>
            </w:r>
            <w:r w:rsidRPr="00B67077">
              <w:rPr>
                <w:i/>
              </w:rPr>
              <w:t xml:space="preserve"> </w:t>
            </w:r>
            <w:r w:rsidRPr="00B67077">
              <w:t>from</w:t>
            </w:r>
            <w:r>
              <w:rPr>
                <w:i/>
              </w:rPr>
              <w:t xml:space="preserve"> </w:t>
            </w:r>
            <w:r>
              <w:t xml:space="preserve">its </w:t>
            </w:r>
            <w:r w:rsidRPr="00434473">
              <w:t xml:space="preserve">other </w:t>
            </w:r>
            <w:r>
              <w:t xml:space="preserve">infrastructure </w:t>
            </w:r>
            <w:r w:rsidRPr="00434473">
              <w:t>charges</w:t>
            </w:r>
            <w:r w:rsidR="00EC5059">
              <w:t>,</w:t>
            </w:r>
            <w:r>
              <w:t xml:space="preserve"> but can recover the cost of more than one ‘ancillary charge’</w:t>
            </w:r>
            <w:r w:rsidR="001D63CE">
              <w:t xml:space="preserve"> as long as, as far as practicable, those charges recover the same total amount as the ancillary charges</w:t>
            </w:r>
            <w:r>
              <w:t>.</w:t>
            </w:r>
            <w:bookmarkEnd w:id="1184"/>
            <w:r w:rsidRPr="00434473">
              <w:t xml:space="preserve"> </w:t>
            </w:r>
          </w:p>
          <w:p w:rsidR="00067769" w:rsidRPr="007423FE" w:rsidRDefault="00067769" w:rsidP="00020517">
            <w:pPr>
              <w:pStyle w:val="Ruleadvicebullet"/>
            </w:pPr>
            <w:bookmarkStart w:id="1185" w:name="_Toc456784115"/>
            <w:r w:rsidRPr="007423FE">
              <w:t>The operator must not levy these separate charge(s) on the basis of the number of units of water delivery</w:t>
            </w:r>
            <w:r w:rsidR="001D63CE" w:rsidRPr="007423FE">
              <w:t xml:space="preserve"> right</w:t>
            </w:r>
            <w:r w:rsidRPr="007423FE">
              <w:t xml:space="preserve"> </w:t>
            </w:r>
            <w:r w:rsidR="00EC5059">
              <w:t xml:space="preserve">or </w:t>
            </w:r>
            <w:r w:rsidR="001D63CE" w:rsidRPr="007423FE">
              <w:t xml:space="preserve">water </w:t>
            </w:r>
            <w:r w:rsidRPr="007423FE">
              <w:t>drainage right held</w:t>
            </w:r>
            <w:bookmarkEnd w:id="1185"/>
            <w:r w:rsidR="00AA3E1D">
              <w:t>.</w:t>
            </w:r>
          </w:p>
          <w:p w:rsidR="00067769" w:rsidRPr="00964376" w:rsidRDefault="00067769" w:rsidP="00020517">
            <w:pPr>
              <w:pStyle w:val="Ruleadvicebullet"/>
              <w:rPr>
                <w:b/>
              </w:rPr>
            </w:pPr>
            <w:bookmarkStart w:id="1186" w:name="_Toc456784116"/>
            <w:r w:rsidRPr="00964376">
              <w:rPr>
                <w:i/>
              </w:rPr>
              <w:t>Note:</w:t>
            </w:r>
            <w:r w:rsidRPr="00964376">
              <w:t xml:space="preserve"> this has the effect that such charges cannot form part of the basis for calculation of the maximum termination fee payable.</w:t>
            </w:r>
            <w:bookmarkEnd w:id="1186"/>
            <w:r w:rsidRPr="00964376">
              <w:t xml:space="preserve"> </w:t>
            </w:r>
          </w:p>
          <w:p w:rsidR="00581287" w:rsidRPr="007423FE" w:rsidRDefault="00067769" w:rsidP="00020517">
            <w:pPr>
              <w:pStyle w:val="Ruleadvicebullet"/>
            </w:pPr>
            <w:bookmarkStart w:id="1187" w:name="_Toc456784117"/>
            <w:r w:rsidRPr="007423FE">
              <w:t xml:space="preserve">An operator must </w:t>
            </w:r>
            <w:r w:rsidR="001D63CE" w:rsidRPr="007423FE">
              <w:t>as far as practicable</w:t>
            </w:r>
            <w:r w:rsidRPr="007423FE">
              <w:t xml:space="preserve"> levy charges on the same basis on which the operator incurred the ancillary charges, or otherwise must levy charges on a basis that is reasonably similar to the basis on which the operator incurred the ancillary charges</w:t>
            </w:r>
            <w:r w:rsidR="00581287" w:rsidRPr="007423FE">
              <w:t>.</w:t>
            </w:r>
            <w:r w:rsidRPr="007423FE">
              <w:t xml:space="preserve"> </w:t>
            </w:r>
          </w:p>
          <w:p w:rsidR="00AA3E1D" w:rsidRPr="00964376" w:rsidRDefault="00AA3E1D" w:rsidP="00020517">
            <w:pPr>
              <w:pStyle w:val="Ruleadvicebullet"/>
              <w:rPr>
                <w:b/>
              </w:rPr>
            </w:pPr>
            <w:bookmarkStart w:id="1188" w:name="_Toc456784118"/>
            <w:r w:rsidRPr="00964376">
              <w:t>Example: a volumetric charge incurred by an operator in relation to the water access entitlement held by the operator should be recovered through similar charges on customers’ irrigation rights.</w:t>
            </w:r>
            <w:bookmarkEnd w:id="1188"/>
            <w:r w:rsidRPr="00964376">
              <w:t xml:space="preserve"> </w:t>
            </w:r>
          </w:p>
          <w:p w:rsidR="00067769" w:rsidRPr="007423FE" w:rsidRDefault="00067769" w:rsidP="00020517">
            <w:pPr>
              <w:pStyle w:val="Ruleadvicebullet"/>
            </w:pPr>
            <w:bookmarkStart w:id="1189" w:name="_Toc456784119"/>
            <w:bookmarkEnd w:id="1187"/>
            <w:r w:rsidRPr="007423FE">
              <w:t>Where an infrastructure operator incurs a charge as a direct result of the actions of a particular customer or customers, the infrastructure operator should levy its charge</w:t>
            </w:r>
            <w:r w:rsidR="001D63CE" w:rsidRPr="007423FE">
              <w:t>, as far as practicable,</w:t>
            </w:r>
            <w:r w:rsidRPr="007423FE">
              <w:t xml:space="preserve"> only on that customer or those customers.</w:t>
            </w:r>
            <w:bookmarkEnd w:id="1189"/>
            <w:r w:rsidRPr="007423FE">
              <w:t xml:space="preserve"> </w:t>
            </w:r>
          </w:p>
          <w:p w:rsidR="00067769" w:rsidRPr="00964376" w:rsidRDefault="00067769" w:rsidP="00020517">
            <w:pPr>
              <w:pStyle w:val="Ruleadvicebullet"/>
            </w:pPr>
            <w:bookmarkStart w:id="1190" w:name="_Toc456784120"/>
            <w:r w:rsidRPr="00964376">
              <w:t>Example: if an operator incurs a transaction charge determined by or on behalf of government (a type of planning and management charge) when facilitating a trade or transformation for a customer, the cost of the charge should be passed through directly to that customer. See also section 5.4.</w:t>
            </w:r>
            <w:bookmarkEnd w:id="1190"/>
            <w:r w:rsidR="002970D9" w:rsidRPr="00964376">
              <w:t>3.</w:t>
            </w:r>
          </w:p>
          <w:p w:rsidR="00EC5059" w:rsidRDefault="00EC5059" w:rsidP="00E81EB4">
            <w:pPr>
              <w:pStyle w:val="Heading8"/>
              <w:spacing w:before="240"/>
              <w:outlineLvl w:val="7"/>
              <w:rPr>
                <w:i/>
              </w:rPr>
            </w:pPr>
            <w:bookmarkStart w:id="1191" w:name="_Toc456784121"/>
            <w:r>
              <w:t>This rule should be a civil penalty provision.</w:t>
            </w:r>
          </w:p>
          <w:p w:rsidR="00067769" w:rsidRPr="007423FE" w:rsidRDefault="00067769" w:rsidP="00E81EB4">
            <w:pPr>
              <w:pStyle w:val="Ruleadvicesubheading"/>
            </w:pPr>
            <w:r w:rsidRPr="007423FE">
              <w:t>General rules for the pass</w:t>
            </w:r>
            <w:r w:rsidR="00BF0DFE" w:rsidRPr="007423FE">
              <w:t>-</w:t>
            </w:r>
            <w:r w:rsidRPr="007423FE">
              <w:t>through of network operation charges and ancillary charges</w:t>
            </w:r>
            <w:bookmarkEnd w:id="1191"/>
          </w:p>
          <w:p w:rsidR="00067769" w:rsidRPr="007423FE" w:rsidRDefault="00067769" w:rsidP="00020517">
            <w:pPr>
              <w:pStyle w:val="Ruleadvicebullet"/>
            </w:pPr>
            <w:bookmarkStart w:id="1192" w:name="_Toc456784122"/>
            <w:r w:rsidRPr="007423FE">
              <w:t>The amounts of any charges levied by an infrastructure operator to recover the cost of network operation charges or ancillary charges should take into account any discounts received by the operator.</w:t>
            </w:r>
            <w:bookmarkEnd w:id="1192"/>
          </w:p>
          <w:p w:rsidR="00067769" w:rsidRPr="007423FE" w:rsidRDefault="00067769" w:rsidP="00020517">
            <w:pPr>
              <w:pStyle w:val="Ruleadvicebullet"/>
            </w:pPr>
            <w:bookmarkStart w:id="1193" w:name="_Toc456784123"/>
            <w:r w:rsidRPr="007423FE">
              <w:t xml:space="preserve">An operator may </w:t>
            </w:r>
            <w:r w:rsidR="002970D9" w:rsidRPr="007423FE">
              <w:t>continue to levy</w:t>
            </w:r>
            <w:r w:rsidR="002247A6" w:rsidRPr="007423FE">
              <w:t>, in accordance with the current Schedule of Charges,</w:t>
            </w:r>
            <w:r w:rsidR="002970D9" w:rsidRPr="007423FE">
              <w:t xml:space="preserve"> </w:t>
            </w:r>
            <w:r w:rsidRPr="007423FE">
              <w:t xml:space="preserve">any </w:t>
            </w:r>
            <w:r w:rsidR="002970D9" w:rsidRPr="007423FE">
              <w:t xml:space="preserve">(separate) </w:t>
            </w:r>
            <w:r w:rsidRPr="007423FE">
              <w:t>infrastructure charge(s) that recover network operation charges or ancillary charges for up to three months after the charge(s) it incurs</w:t>
            </w:r>
            <w:r w:rsidR="002970D9" w:rsidRPr="007423FE">
              <w:t xml:space="preserve"> (or the circumstances in which it incurs the charge)</w:t>
            </w:r>
            <w:r w:rsidRPr="007423FE">
              <w:t xml:space="preserve"> are changed.</w:t>
            </w:r>
            <w:r w:rsidRPr="009A64A9">
              <w:rPr>
                <w:rStyle w:val="FootnoteReference"/>
              </w:rPr>
              <w:footnoteReference w:id="637"/>
            </w:r>
            <w:bookmarkEnd w:id="1193"/>
            <w:r w:rsidRPr="007423FE">
              <w:t xml:space="preserve"> </w:t>
            </w:r>
          </w:p>
          <w:p w:rsidR="005F238E" w:rsidRPr="004A065E" w:rsidRDefault="005F238E" w:rsidP="00E81EB4">
            <w:pPr>
              <w:rPr>
                <w:rFonts w:ascii="Verdana" w:hAnsi="Verdana"/>
                <w:i/>
                <w:sz w:val="18"/>
              </w:rPr>
            </w:pPr>
            <w:bookmarkStart w:id="1194" w:name="_Toc436123446"/>
            <w:bookmarkStart w:id="1195" w:name="_Toc456784133"/>
            <w:r w:rsidRPr="004A065E">
              <w:rPr>
                <w:rFonts w:ascii="Verdana" w:hAnsi="Verdana"/>
                <w:i/>
                <w:sz w:val="18"/>
              </w:rPr>
              <w:t xml:space="preserve">See also: </w:t>
            </w:r>
          </w:p>
          <w:p w:rsidR="005F238E" w:rsidRPr="00964376" w:rsidRDefault="005F238E" w:rsidP="00020517">
            <w:pPr>
              <w:pStyle w:val="Ruleadvicebullet"/>
            </w:pPr>
            <w:r w:rsidRPr="00964376">
              <w:rPr>
                <w:i/>
              </w:rPr>
              <w:t>Rule advice 5-E</w:t>
            </w:r>
            <w:r w:rsidRPr="00964376">
              <w:t xml:space="preserve"> (section 5.4.1) for Schedule of Charges information requirements </w:t>
            </w:r>
          </w:p>
          <w:p w:rsidR="005F238E" w:rsidRPr="00964376" w:rsidRDefault="005F238E" w:rsidP="00020517">
            <w:pPr>
              <w:pStyle w:val="Ruleadvicebullet"/>
            </w:pPr>
            <w:r w:rsidRPr="00964376">
              <w:rPr>
                <w:i/>
              </w:rPr>
              <w:t>Rule advice 5-I</w:t>
            </w:r>
            <w:r w:rsidRPr="00964376">
              <w:t xml:space="preserve"> (section 5.4.2) in relation to timing requirements.</w:t>
            </w:r>
          </w:p>
          <w:p w:rsidR="005F238E" w:rsidRPr="00964376" w:rsidRDefault="005F238E" w:rsidP="00020517">
            <w:pPr>
              <w:pStyle w:val="Ruleadvicebullet"/>
            </w:pPr>
            <w:r w:rsidRPr="00964376">
              <w:rPr>
                <w:i/>
              </w:rPr>
              <w:t>Rule advice 5-J</w:t>
            </w:r>
            <w:r w:rsidRPr="00964376">
              <w:t xml:space="preserve"> (section 5.4.3) for an exemption from publication requirements for charges in relation to certain ‘ancillary charges’. </w:t>
            </w:r>
          </w:p>
          <w:p w:rsidR="00067769" w:rsidRPr="00C95B36" w:rsidRDefault="00E85C35" w:rsidP="00E81EB4">
            <w:pPr>
              <w:pStyle w:val="Heading8"/>
              <w:outlineLvl w:val="7"/>
            </w:pPr>
            <w:r w:rsidRPr="00ED342F">
              <w:rPr>
                <w:rFonts w:ascii="Times New Roman" w:hAnsi="Times New Roman"/>
              </w:rPr>
              <w:t xml:space="preserve">This rule advice is implemented in </w:t>
            </w:r>
            <w:r>
              <w:rPr>
                <w:rFonts w:ascii="Times New Roman" w:hAnsi="Times New Roman"/>
              </w:rPr>
              <w:t>r</w:t>
            </w:r>
            <w:r w:rsidRPr="00ED342F">
              <w:rPr>
                <w:rFonts w:ascii="Times New Roman" w:hAnsi="Times New Roman"/>
              </w:rPr>
              <w:t xml:space="preserve">ule 9A of the proposed </w:t>
            </w:r>
            <w:r>
              <w:rPr>
                <w:rFonts w:ascii="Times New Roman" w:hAnsi="Times New Roman"/>
              </w:rPr>
              <w:t>W</w:t>
            </w:r>
            <w:r w:rsidRPr="00ED342F">
              <w:rPr>
                <w:rFonts w:ascii="Times New Roman" w:hAnsi="Times New Roman"/>
              </w:rPr>
              <w:t xml:space="preserve">ater </w:t>
            </w:r>
            <w:r>
              <w:rPr>
                <w:rFonts w:ascii="Times New Roman" w:hAnsi="Times New Roman"/>
              </w:rPr>
              <w:t>C</w:t>
            </w:r>
            <w:r w:rsidRPr="00ED342F">
              <w:rPr>
                <w:rFonts w:ascii="Times New Roman" w:hAnsi="Times New Roman"/>
              </w:rPr>
              <w:t xml:space="preserve">harge </w:t>
            </w:r>
            <w:r>
              <w:rPr>
                <w:rFonts w:ascii="Times New Roman" w:hAnsi="Times New Roman"/>
              </w:rPr>
              <w:t>R</w:t>
            </w:r>
            <w:r w:rsidRPr="00ED342F">
              <w:rPr>
                <w:rFonts w:ascii="Times New Roman" w:hAnsi="Times New Roman"/>
              </w:rPr>
              <w:t>ules</w:t>
            </w:r>
            <w:r w:rsidR="00752375">
              <w:rPr>
                <w:rFonts w:ascii="Times New Roman" w:hAnsi="Times New Roman"/>
              </w:rPr>
              <w:t xml:space="preserve">. </w:t>
            </w:r>
            <w:bookmarkStart w:id="1196" w:name="_Toc435631253"/>
            <w:bookmarkStart w:id="1197" w:name="_Toc435631590"/>
            <w:bookmarkStart w:id="1198" w:name="_Toc435631951"/>
            <w:bookmarkStart w:id="1199" w:name="_Toc435629923"/>
            <w:bookmarkStart w:id="1200" w:name="_Toc435630257"/>
            <w:bookmarkStart w:id="1201" w:name="_Toc435631267"/>
            <w:bookmarkStart w:id="1202" w:name="_Toc435631605"/>
            <w:bookmarkStart w:id="1203" w:name="_Toc435631966"/>
            <w:bookmarkEnd w:id="1172"/>
            <w:bookmarkEnd w:id="1173"/>
            <w:bookmarkEnd w:id="1174"/>
            <w:bookmarkEnd w:id="1194"/>
            <w:bookmarkEnd w:id="1195"/>
            <w:bookmarkEnd w:id="1196"/>
            <w:bookmarkEnd w:id="1197"/>
            <w:bookmarkEnd w:id="1198"/>
            <w:bookmarkEnd w:id="1199"/>
            <w:bookmarkEnd w:id="1200"/>
            <w:bookmarkEnd w:id="1201"/>
            <w:bookmarkEnd w:id="1202"/>
            <w:bookmarkEnd w:id="1203"/>
          </w:p>
        </w:tc>
      </w:tr>
    </w:tbl>
    <w:bookmarkEnd w:id="1167"/>
    <w:bookmarkEnd w:id="1168"/>
    <w:bookmarkEnd w:id="1169"/>
    <w:p w:rsidR="00067769" w:rsidRPr="006246A8" w:rsidRDefault="00067769" w:rsidP="00DF129E">
      <w:pPr>
        <w:pStyle w:val="Heading3Un-numbered"/>
      </w:pPr>
      <w:r>
        <w:t>Background</w:t>
      </w:r>
    </w:p>
    <w:p w:rsidR="00067769" w:rsidRPr="00D714FC" w:rsidRDefault="00067769" w:rsidP="00067769">
      <w:pPr>
        <w:rPr>
          <w:rFonts w:cs="Times New Roman"/>
        </w:rPr>
      </w:pPr>
      <w:r>
        <w:rPr>
          <w:rFonts w:cs="Times New Roman"/>
        </w:rPr>
        <w:t xml:space="preserve">Infrastructure </w:t>
      </w:r>
      <w:r w:rsidRPr="00D714FC">
        <w:rPr>
          <w:rFonts w:cs="Times New Roman"/>
        </w:rPr>
        <w:t>operator</w:t>
      </w:r>
      <w:r>
        <w:rPr>
          <w:rFonts w:cs="Times New Roman"/>
        </w:rPr>
        <w:t>s</w:t>
      </w:r>
      <w:r w:rsidRPr="00D714FC">
        <w:rPr>
          <w:rFonts w:cs="Times New Roman"/>
        </w:rPr>
        <w:t xml:space="preserve"> </w:t>
      </w:r>
      <w:r>
        <w:rPr>
          <w:rFonts w:cs="Times New Roman"/>
        </w:rPr>
        <w:t xml:space="preserve">often </w:t>
      </w:r>
      <w:r w:rsidRPr="00D714FC">
        <w:rPr>
          <w:rFonts w:cs="Times New Roman"/>
        </w:rPr>
        <w:t xml:space="preserve">provide infrastructure services </w:t>
      </w:r>
      <w:r>
        <w:rPr>
          <w:rFonts w:cs="Times New Roman"/>
        </w:rPr>
        <w:t xml:space="preserve">not only to irrigators or other water users, but also </w:t>
      </w:r>
      <w:r w:rsidRPr="00D714FC">
        <w:rPr>
          <w:rFonts w:cs="Times New Roman"/>
        </w:rPr>
        <w:t xml:space="preserve">to </w:t>
      </w:r>
      <w:r>
        <w:rPr>
          <w:rFonts w:cs="Times New Roman"/>
        </w:rPr>
        <w:t xml:space="preserve">other </w:t>
      </w:r>
      <w:r w:rsidRPr="00D714FC">
        <w:rPr>
          <w:rFonts w:cs="Times New Roman"/>
        </w:rPr>
        <w:t>infrastructure operator</w:t>
      </w:r>
      <w:r>
        <w:rPr>
          <w:rFonts w:cs="Times New Roman"/>
        </w:rPr>
        <w:t>s. Generally this occurs in the context of one operator providing on-river infrastructure services to another operator, who in turn provides off-river infrastructure services to individual customers such as irrigators. Where this occurs,</w:t>
      </w:r>
      <w:r w:rsidRPr="00D714FC">
        <w:rPr>
          <w:rFonts w:cs="Times New Roman"/>
        </w:rPr>
        <w:t xml:space="preserve"> that second operator </w:t>
      </w:r>
      <w:r>
        <w:rPr>
          <w:rFonts w:cs="Times New Roman"/>
        </w:rPr>
        <w:t xml:space="preserve">(the off-river infrastructure operator) </w:t>
      </w:r>
      <w:r w:rsidRPr="00D714FC">
        <w:rPr>
          <w:rFonts w:cs="Times New Roman"/>
        </w:rPr>
        <w:t>incur</w:t>
      </w:r>
      <w:r>
        <w:rPr>
          <w:rFonts w:cs="Times New Roman"/>
        </w:rPr>
        <w:t>s</w:t>
      </w:r>
      <w:r w:rsidRPr="00D714FC">
        <w:rPr>
          <w:rFonts w:cs="Times New Roman"/>
        </w:rPr>
        <w:t xml:space="preserve"> infrastructure charges payable to the on-river infrastructure operator. Also, infrastructure operators may incur planning and management charges payable either to another operator or to a </w:t>
      </w:r>
      <w:r>
        <w:rPr>
          <w:rFonts w:cs="Times New Roman"/>
        </w:rPr>
        <w:t xml:space="preserve">Basin </w:t>
      </w:r>
      <w:r w:rsidRPr="00D714FC">
        <w:rPr>
          <w:rFonts w:cs="Times New Roman"/>
        </w:rPr>
        <w:t>State water department</w:t>
      </w:r>
      <w:r>
        <w:rPr>
          <w:rFonts w:cs="Times New Roman"/>
        </w:rPr>
        <w:t xml:space="preserve"> or authority</w:t>
      </w:r>
      <w:r w:rsidRPr="00D714FC">
        <w:rPr>
          <w:rFonts w:cs="Times New Roman"/>
        </w:rPr>
        <w:t>.</w:t>
      </w:r>
      <w:r>
        <w:rPr>
          <w:rFonts w:cs="Times New Roman"/>
        </w:rPr>
        <w:t xml:space="preserve"> The vast majority of these charges (by value) are levied against water access rights.</w:t>
      </w:r>
    </w:p>
    <w:p w:rsidR="00067769" w:rsidRPr="00D714FC" w:rsidRDefault="00067769" w:rsidP="00067769">
      <w:pPr>
        <w:rPr>
          <w:rFonts w:cs="Times New Roman"/>
        </w:rPr>
      </w:pPr>
      <w:r w:rsidRPr="00D714FC">
        <w:rPr>
          <w:rFonts w:cs="Times New Roman"/>
        </w:rPr>
        <w:t xml:space="preserve">Where an infrastructure operator incurs an infrastructure charge or a planning and management charge in the course of their operations, they face a choice as to how to recover these costs from </w:t>
      </w:r>
      <w:r>
        <w:rPr>
          <w:rFonts w:cs="Times New Roman"/>
        </w:rPr>
        <w:t xml:space="preserve">their own </w:t>
      </w:r>
      <w:r w:rsidRPr="00D714FC">
        <w:rPr>
          <w:rFonts w:cs="Times New Roman"/>
        </w:rPr>
        <w:t xml:space="preserve">customers. Some operators choose to “pass through” these charges to their customers, meaning that they levy a separate charge (or charges) to recover revenues to pay the charges they </w:t>
      </w:r>
      <w:r>
        <w:rPr>
          <w:rFonts w:cs="Times New Roman"/>
        </w:rPr>
        <w:t xml:space="preserve">themselves </w:t>
      </w:r>
      <w:r w:rsidRPr="00D714FC">
        <w:rPr>
          <w:rFonts w:cs="Times New Roman"/>
        </w:rPr>
        <w:t xml:space="preserve">incur, in addition to their general infrastructure charges which recover other costs. </w:t>
      </w:r>
      <w:r>
        <w:rPr>
          <w:rFonts w:cs="Times New Roman"/>
        </w:rPr>
        <w:t xml:space="preserve">Other </w:t>
      </w:r>
      <w:r w:rsidRPr="00D714FC">
        <w:rPr>
          <w:rFonts w:cs="Times New Roman"/>
        </w:rPr>
        <w:t>operator</w:t>
      </w:r>
      <w:r>
        <w:rPr>
          <w:rFonts w:cs="Times New Roman"/>
        </w:rPr>
        <w:t>s</w:t>
      </w:r>
      <w:r w:rsidRPr="00D714FC">
        <w:rPr>
          <w:rFonts w:cs="Times New Roman"/>
        </w:rPr>
        <w:t xml:space="preserve"> may roll the costs of infrastructure and planning and management charges they incur into their general cost base, and so recover the costs of these charges</w:t>
      </w:r>
      <w:r>
        <w:rPr>
          <w:rFonts w:cs="Times New Roman"/>
        </w:rPr>
        <w:t xml:space="preserve"> indirectly</w:t>
      </w:r>
      <w:r w:rsidRPr="00D714FC">
        <w:rPr>
          <w:rFonts w:cs="Times New Roman"/>
        </w:rPr>
        <w:t xml:space="preserve"> via the general infrastructure charges they levy on their customers. </w:t>
      </w:r>
    </w:p>
    <w:p w:rsidR="00067769" w:rsidRPr="00D714FC" w:rsidRDefault="00067769" w:rsidP="00067769">
      <w:pPr>
        <w:rPr>
          <w:rFonts w:cs="Times New Roman"/>
        </w:rPr>
      </w:pPr>
      <w:r w:rsidRPr="00D714FC">
        <w:rPr>
          <w:rFonts w:cs="Times New Roman"/>
        </w:rPr>
        <w:t xml:space="preserve">The </w:t>
      </w:r>
      <w:r w:rsidR="002C2856" w:rsidRPr="00524D9F">
        <w:rPr>
          <w:rFonts w:cs="Times New Roman"/>
        </w:rPr>
        <w:t>Water Charge (Infrastructure) Rules 2010</w:t>
      </w:r>
      <w:r w:rsidR="002C2856">
        <w:rPr>
          <w:rFonts w:cs="Times New Roman"/>
        </w:rPr>
        <w:t xml:space="preserve"> (</w:t>
      </w:r>
      <w:r w:rsidRPr="00D714FC">
        <w:rPr>
          <w:rFonts w:cs="Times New Roman"/>
        </w:rPr>
        <w:t>WCIR</w:t>
      </w:r>
      <w:r w:rsidR="002C2856">
        <w:rPr>
          <w:rFonts w:cs="Times New Roman"/>
        </w:rPr>
        <w:t>)</w:t>
      </w:r>
      <w:r w:rsidRPr="00D714FC">
        <w:rPr>
          <w:rFonts w:cs="Times New Roman"/>
        </w:rPr>
        <w:t xml:space="preserve"> currently require </w:t>
      </w:r>
      <w:r w:rsidR="00AF7983">
        <w:rPr>
          <w:rFonts w:cs="Times New Roman"/>
        </w:rPr>
        <w:t>irrigation infrastructure operators (</w:t>
      </w:r>
      <w:r w:rsidRPr="00D714FC">
        <w:rPr>
          <w:rFonts w:cs="Times New Roman"/>
        </w:rPr>
        <w:t>IIOs</w:t>
      </w:r>
      <w:r w:rsidR="00AF7983">
        <w:rPr>
          <w:rFonts w:cs="Times New Roman"/>
        </w:rPr>
        <w:t>)</w:t>
      </w:r>
      <w:r w:rsidRPr="00D714FC">
        <w:rPr>
          <w:rFonts w:cs="Times New Roman"/>
        </w:rPr>
        <w:t xml:space="preserve"> to separately show the components of their charges attributable to on-river infrastructure charges or to the holding of, or management of, water access entitlements (WAE</w:t>
      </w:r>
      <w:r w:rsidR="00A365A7">
        <w:rPr>
          <w:rFonts w:cs="Times New Roman"/>
        </w:rPr>
        <w:t>s</w:t>
      </w:r>
      <w:r w:rsidRPr="00D714FC">
        <w:rPr>
          <w:rFonts w:cs="Times New Roman"/>
        </w:rPr>
        <w:t>) by the operator.</w:t>
      </w:r>
      <w:r w:rsidRPr="00D714FC">
        <w:rPr>
          <w:rStyle w:val="FootnoteReference"/>
          <w:rFonts w:cs="Times New Roman"/>
        </w:rPr>
        <w:footnoteReference w:id="638"/>
      </w:r>
      <w:r w:rsidRPr="00D714FC">
        <w:rPr>
          <w:rFonts w:cs="Times New Roman"/>
        </w:rPr>
        <w:t xml:space="preserve"> This provides partial transparency </w:t>
      </w:r>
      <w:r>
        <w:rPr>
          <w:rFonts w:cs="Times New Roman"/>
        </w:rPr>
        <w:t xml:space="preserve">by requiring </w:t>
      </w:r>
      <w:r w:rsidRPr="00D714FC">
        <w:rPr>
          <w:rFonts w:cs="Times New Roman"/>
        </w:rPr>
        <w:t xml:space="preserve">IIOs </w:t>
      </w:r>
      <w:r>
        <w:rPr>
          <w:rFonts w:cs="Times New Roman"/>
        </w:rPr>
        <w:t xml:space="preserve">to show </w:t>
      </w:r>
      <w:r w:rsidRPr="00D714FC">
        <w:rPr>
          <w:rFonts w:cs="Times New Roman"/>
        </w:rPr>
        <w:t xml:space="preserve">the </w:t>
      </w:r>
      <w:r>
        <w:rPr>
          <w:rFonts w:cs="Times New Roman"/>
        </w:rPr>
        <w:t xml:space="preserve">general </w:t>
      </w:r>
      <w:r w:rsidRPr="00D714FC">
        <w:rPr>
          <w:rFonts w:cs="Times New Roman"/>
        </w:rPr>
        <w:t>extent to which revenues from the IIO’s own charges are used to pay on-river infrastructure charges or for the costs of holding or managing WAE. However, there is no clear requirement that infrastructure operators generally must pass through on-river infrastructure charges and planning and management charges that it incurs on behalf of its customers in a transparent and accountable manner. As such, IIO</w:t>
      </w:r>
      <w:r>
        <w:rPr>
          <w:rFonts w:cs="Times New Roman"/>
        </w:rPr>
        <w:t>s</w:t>
      </w:r>
      <w:r w:rsidRPr="00D714FC">
        <w:rPr>
          <w:rFonts w:cs="Times New Roman"/>
        </w:rPr>
        <w:t xml:space="preserve"> and other infrastructure operators vary considerably in how the</w:t>
      </w:r>
      <w:r>
        <w:rPr>
          <w:rFonts w:cs="Times New Roman"/>
        </w:rPr>
        <w:t xml:space="preserve"> cost of the</w:t>
      </w:r>
      <w:r w:rsidRPr="00D714FC">
        <w:rPr>
          <w:rFonts w:cs="Times New Roman"/>
        </w:rPr>
        <w:t xml:space="preserve">se charges </w:t>
      </w:r>
      <w:r>
        <w:rPr>
          <w:rFonts w:cs="Times New Roman"/>
        </w:rPr>
        <w:t>is</w:t>
      </w:r>
      <w:r w:rsidRPr="00D714FC">
        <w:rPr>
          <w:rFonts w:cs="Times New Roman"/>
        </w:rPr>
        <w:t xml:space="preserve"> </w:t>
      </w:r>
      <w:r>
        <w:rPr>
          <w:rFonts w:cs="Times New Roman"/>
        </w:rPr>
        <w:t>passed through to</w:t>
      </w:r>
      <w:r w:rsidRPr="00D714FC">
        <w:rPr>
          <w:rFonts w:cs="Times New Roman"/>
        </w:rPr>
        <w:t xml:space="preserve"> their own customers. </w:t>
      </w:r>
    </w:p>
    <w:p w:rsidR="00067769" w:rsidRPr="00D714FC" w:rsidRDefault="00067769" w:rsidP="00067769">
      <w:pPr>
        <w:rPr>
          <w:rFonts w:cs="Times New Roman"/>
        </w:rPr>
      </w:pPr>
      <w:r w:rsidRPr="00D714FC">
        <w:rPr>
          <w:rFonts w:cs="Times New Roman"/>
        </w:rPr>
        <w:t xml:space="preserve">In some instances, </w:t>
      </w:r>
      <w:r>
        <w:rPr>
          <w:rFonts w:cs="Times New Roman"/>
        </w:rPr>
        <w:t xml:space="preserve">an operator specifies </w:t>
      </w:r>
      <w:r w:rsidRPr="00D714FC">
        <w:rPr>
          <w:rFonts w:cs="Times New Roman"/>
        </w:rPr>
        <w:t xml:space="preserve">a single, separate fixed or variable ‘government fee’. In other instances, fixed on-river infrastructure charges and planning and management charges are presented separately whilst variable on-river infrastructure charges and planning and management charges are included in an infrastructure operator’s ‘usage’ </w:t>
      </w:r>
      <w:r>
        <w:rPr>
          <w:rFonts w:cs="Times New Roman"/>
        </w:rPr>
        <w:t>charge</w:t>
      </w:r>
      <w:r w:rsidRPr="00D714FC">
        <w:rPr>
          <w:rFonts w:cs="Times New Roman"/>
        </w:rPr>
        <w:t>.</w:t>
      </w:r>
    </w:p>
    <w:p w:rsidR="00067769" w:rsidRPr="00D714FC" w:rsidRDefault="00067769" w:rsidP="00E81EB4">
      <w:pPr>
        <w:spacing w:after="120"/>
        <w:rPr>
          <w:rFonts w:cs="Times New Roman"/>
        </w:rPr>
      </w:pPr>
      <w:r w:rsidRPr="00D714FC">
        <w:rPr>
          <w:rFonts w:cs="Times New Roman"/>
        </w:rPr>
        <w:t xml:space="preserve">Further complicating the way these </w:t>
      </w:r>
      <w:r>
        <w:rPr>
          <w:rFonts w:cs="Times New Roman"/>
        </w:rPr>
        <w:t xml:space="preserve">charges are </w:t>
      </w:r>
      <w:r w:rsidRPr="00D714FC">
        <w:rPr>
          <w:rFonts w:cs="Times New Roman"/>
        </w:rPr>
        <w:t>pass</w:t>
      </w:r>
      <w:r>
        <w:rPr>
          <w:rFonts w:cs="Times New Roman"/>
        </w:rPr>
        <w:t xml:space="preserve">ed </w:t>
      </w:r>
      <w:r w:rsidRPr="00D714FC">
        <w:rPr>
          <w:rFonts w:cs="Times New Roman"/>
        </w:rPr>
        <w:t xml:space="preserve">through </w:t>
      </w:r>
      <w:r>
        <w:rPr>
          <w:rFonts w:cs="Times New Roman"/>
        </w:rPr>
        <w:t>to</w:t>
      </w:r>
      <w:r w:rsidRPr="00D714FC">
        <w:rPr>
          <w:rFonts w:cs="Times New Roman"/>
        </w:rPr>
        <w:t xml:space="preserve"> customers is the rebate some IIOs in NSW receive from WaterNSW.</w:t>
      </w:r>
      <w:r>
        <w:rPr>
          <w:rStyle w:val="FootnoteReference"/>
          <w:rFonts w:cs="Times New Roman"/>
        </w:rPr>
        <w:footnoteReference w:id="639"/>
      </w:r>
      <w:r w:rsidRPr="00D714FC">
        <w:rPr>
          <w:rFonts w:cs="Times New Roman"/>
        </w:rPr>
        <w:t xml:space="preserve"> This rebate is generally used in one of two ways:</w:t>
      </w:r>
    </w:p>
    <w:p w:rsidR="00067769" w:rsidRPr="00D714FC" w:rsidRDefault="001D63CE" w:rsidP="00A82DE6">
      <w:pPr>
        <w:pStyle w:val="Lvl1Bulletpoint"/>
      </w:pPr>
      <w:r>
        <w:t>t</w:t>
      </w:r>
      <w:r w:rsidR="00067769" w:rsidRPr="00D714FC">
        <w:t>o pay for all or a portion of on-river infrastructure charges and</w:t>
      </w:r>
      <w:r w:rsidR="00067769">
        <w:t xml:space="preserve"> </w:t>
      </w:r>
      <w:r w:rsidR="00067769" w:rsidRPr="00D714FC">
        <w:t>/</w:t>
      </w:r>
      <w:r w:rsidR="00067769">
        <w:t xml:space="preserve"> </w:t>
      </w:r>
      <w:r w:rsidR="00067769" w:rsidRPr="00D714FC">
        <w:t>or planning and management charges imposed on conveyance water; or</w:t>
      </w:r>
    </w:p>
    <w:p w:rsidR="00067769" w:rsidRPr="00D714FC" w:rsidRDefault="001D63CE" w:rsidP="00A82DE6">
      <w:pPr>
        <w:pStyle w:val="Lvl1Bulletpoint"/>
      </w:pPr>
      <w:r>
        <w:t>t</w:t>
      </w:r>
      <w:r w:rsidR="00067769" w:rsidRPr="00D714FC">
        <w:t>o pay for a portion of the total fixed on-river infrastructure charges incurred by the IIO.</w:t>
      </w:r>
    </w:p>
    <w:p w:rsidR="00067769" w:rsidRPr="00D714FC" w:rsidRDefault="00067769" w:rsidP="00067769">
      <w:pPr>
        <w:rPr>
          <w:rFonts w:cs="Times New Roman"/>
        </w:rPr>
      </w:pPr>
      <w:r w:rsidRPr="00D714FC">
        <w:rPr>
          <w:rFonts w:cs="Times New Roman"/>
        </w:rPr>
        <w:t>Other infrastructure operators incorporate on-river infrastructure charges and planning and management charges into the</w:t>
      </w:r>
      <w:r>
        <w:rPr>
          <w:rFonts w:cs="Times New Roman"/>
        </w:rPr>
        <w:t>ir</w:t>
      </w:r>
      <w:r w:rsidRPr="00D714FC">
        <w:rPr>
          <w:rFonts w:cs="Times New Roman"/>
        </w:rPr>
        <w:t xml:space="preserve"> tiered tariff structures </w:t>
      </w:r>
      <w:r>
        <w:rPr>
          <w:rFonts w:cs="Times New Roman"/>
        </w:rPr>
        <w:t>for infrastructure charges</w:t>
      </w:r>
      <w:r w:rsidRPr="00D714FC">
        <w:rPr>
          <w:rFonts w:cs="Times New Roman"/>
        </w:rPr>
        <w:t xml:space="preserve">. </w:t>
      </w:r>
    </w:p>
    <w:p w:rsidR="00067769" w:rsidRPr="00D714FC" w:rsidRDefault="00067769" w:rsidP="00067769">
      <w:pPr>
        <w:rPr>
          <w:rFonts w:cs="Times New Roman"/>
        </w:rPr>
      </w:pPr>
      <w:r w:rsidRPr="00D714FC">
        <w:rPr>
          <w:rFonts w:cs="Times New Roman"/>
        </w:rPr>
        <w:t xml:space="preserve">In all of these cases, the </w:t>
      </w:r>
      <w:r>
        <w:rPr>
          <w:rFonts w:cs="Times New Roman"/>
        </w:rPr>
        <w:t>charges</w:t>
      </w:r>
      <w:r w:rsidRPr="00D714FC">
        <w:rPr>
          <w:rFonts w:cs="Times New Roman"/>
        </w:rPr>
        <w:t xml:space="preserve"> payable to the operator are not easily comparable to the on-river infrastructure and planning and management charges that are actually </w:t>
      </w:r>
      <w:r>
        <w:rPr>
          <w:rFonts w:cs="Times New Roman"/>
        </w:rPr>
        <w:t>incurred by</w:t>
      </w:r>
      <w:r w:rsidRPr="00D714FC">
        <w:rPr>
          <w:rFonts w:cs="Times New Roman"/>
        </w:rPr>
        <w:t xml:space="preserve"> the infrastructure operator. These charging practices reduce price transparency and make it difficult for customers to compare the charges </w:t>
      </w:r>
      <w:r w:rsidRPr="00847259">
        <w:rPr>
          <w:rFonts w:cs="Times New Roman"/>
          <w:i/>
        </w:rPr>
        <w:t>imposed on</w:t>
      </w:r>
      <w:r>
        <w:rPr>
          <w:rFonts w:cs="Times New Roman"/>
        </w:rPr>
        <w:t xml:space="preserve"> an</w:t>
      </w:r>
      <w:r w:rsidRPr="00D714FC">
        <w:rPr>
          <w:rFonts w:cs="Times New Roman"/>
        </w:rPr>
        <w:t xml:space="preserve"> infrastructure operator</w:t>
      </w:r>
      <w:r>
        <w:rPr>
          <w:rFonts w:cs="Times New Roman"/>
        </w:rPr>
        <w:t xml:space="preserve"> with any infrastructure charges </w:t>
      </w:r>
      <w:r w:rsidRPr="00847259">
        <w:rPr>
          <w:rFonts w:cs="Times New Roman"/>
          <w:i/>
        </w:rPr>
        <w:t>imposed by</w:t>
      </w:r>
      <w:r>
        <w:rPr>
          <w:rFonts w:cs="Times New Roman"/>
        </w:rPr>
        <w:t xml:space="preserve"> infrastructure operators to recover these costs</w:t>
      </w:r>
      <w:r w:rsidRPr="00D714FC">
        <w:rPr>
          <w:rFonts w:cs="Times New Roman"/>
        </w:rPr>
        <w:t xml:space="preserve">. </w:t>
      </w:r>
      <w:r>
        <w:rPr>
          <w:rFonts w:cs="Times New Roman"/>
        </w:rPr>
        <w:t xml:space="preserve">Similarly, such practices make it difficult for customers to distinguish the extent to which the charges they face represent the specific costs of operating their network. </w:t>
      </w:r>
      <w:r w:rsidRPr="00D714FC">
        <w:rPr>
          <w:rFonts w:cs="Times New Roman"/>
        </w:rPr>
        <w:t xml:space="preserve">This is particularly relevant when a customer is considering the merits of transformation or termination. </w:t>
      </w:r>
    </w:p>
    <w:p w:rsidR="00067769" w:rsidRPr="00411505" w:rsidRDefault="00067769" w:rsidP="00067769">
      <w:pPr>
        <w:rPr>
          <w:rFonts w:cs="Times New Roman"/>
        </w:rPr>
      </w:pPr>
      <w:r w:rsidRPr="00411505">
        <w:rPr>
          <w:rFonts w:cs="Times New Roman"/>
        </w:rPr>
        <w:t>The ACCC acknowledges that operators wish to maintain flexibility over their charging arrangements as much as possible. However, the ACCC</w:t>
      </w:r>
      <w:r w:rsidR="00BF0DFE">
        <w:rPr>
          <w:rFonts w:cs="Times New Roman"/>
        </w:rPr>
        <w:t>’s</w:t>
      </w:r>
      <w:r w:rsidRPr="00411505">
        <w:rPr>
          <w:rFonts w:cs="Times New Roman"/>
        </w:rPr>
        <w:t xml:space="preserve"> view </w:t>
      </w:r>
      <w:r w:rsidR="00BF0DFE">
        <w:rPr>
          <w:rFonts w:cs="Times New Roman"/>
        </w:rPr>
        <w:t xml:space="preserve">is </w:t>
      </w:r>
      <w:r w:rsidRPr="00411505">
        <w:rPr>
          <w:rFonts w:cs="Times New Roman"/>
        </w:rPr>
        <w:t>that allowing an operator total discretion over how it passes through such charges works directly against achieving pricing transparency and can result in an operator’s charges distorting decisions on trade, transformation and termination.</w:t>
      </w:r>
      <w:r w:rsidR="00565AF5">
        <w:rPr>
          <w:rStyle w:val="FootnoteReference"/>
          <w:rFonts w:cs="Times New Roman"/>
        </w:rPr>
        <w:footnoteReference w:id="640"/>
      </w:r>
      <w:r w:rsidRPr="00411505">
        <w:rPr>
          <w:rFonts w:cs="Times New Roman"/>
        </w:rPr>
        <w:t xml:space="preserve"> The ACCC considers that where</w:t>
      </w:r>
      <w:r>
        <w:rPr>
          <w:rFonts w:cs="Times New Roman"/>
        </w:rPr>
        <w:t xml:space="preserve"> the cost of</w:t>
      </w:r>
      <w:r w:rsidRPr="00411505">
        <w:rPr>
          <w:rFonts w:cs="Times New Roman"/>
        </w:rPr>
        <w:t xml:space="preserve"> planning and management charges or infrastructure charges are passed through to customers </w:t>
      </w:r>
      <w:r>
        <w:rPr>
          <w:rFonts w:cs="Times New Roman"/>
        </w:rPr>
        <w:t>by an</w:t>
      </w:r>
      <w:r w:rsidRPr="00411505">
        <w:rPr>
          <w:rFonts w:cs="Times New Roman"/>
        </w:rPr>
        <w:t xml:space="preserve"> infrastructure operator, </w:t>
      </w:r>
      <w:r>
        <w:rPr>
          <w:rFonts w:cs="Times New Roman"/>
        </w:rPr>
        <w:t xml:space="preserve">charging </w:t>
      </w:r>
      <w:r w:rsidRPr="00411505">
        <w:rPr>
          <w:rFonts w:cs="Times New Roman"/>
        </w:rPr>
        <w:t>arrangements must provide sufficient traceability to ensure that the customer ultimately paying the charges can clearly understand the origin</w:t>
      </w:r>
      <w:r>
        <w:rPr>
          <w:rFonts w:cs="Times New Roman"/>
        </w:rPr>
        <w:t xml:space="preserve"> of these charges and how they were determined</w:t>
      </w:r>
      <w:r w:rsidRPr="00411505">
        <w:rPr>
          <w:rFonts w:cs="Times New Roman"/>
        </w:rPr>
        <w:t>.</w:t>
      </w:r>
    </w:p>
    <w:p w:rsidR="00067769" w:rsidRPr="002C1190" w:rsidRDefault="00067769" w:rsidP="00067769">
      <w:pPr>
        <w:rPr>
          <w:rFonts w:cs="Times New Roman"/>
        </w:rPr>
      </w:pPr>
      <w:r w:rsidRPr="00411505">
        <w:rPr>
          <w:rFonts w:cs="Times New Roman"/>
        </w:rPr>
        <w:t xml:space="preserve">Moreover, the ACCC is concerned about infrastructure operators specifying their own charges in a way that could potentially mislead customers about what </w:t>
      </w:r>
      <w:r>
        <w:rPr>
          <w:rFonts w:cs="Times New Roman"/>
        </w:rPr>
        <w:t xml:space="preserve">the </w:t>
      </w:r>
      <w:r w:rsidRPr="00411505">
        <w:rPr>
          <w:rFonts w:cs="Times New Roman"/>
        </w:rPr>
        <w:t xml:space="preserve">charges relate to. For example, the ACCC is aware of instances of operators combining several charges it is required to pay to different entities (for example, an infrastructure charge payable to an infrastructure operator for on-river infrastructure services, and a planning and management charge payable to a </w:t>
      </w:r>
      <w:r>
        <w:rPr>
          <w:rFonts w:cs="Times New Roman"/>
        </w:rPr>
        <w:t xml:space="preserve">Basin </w:t>
      </w:r>
      <w:r w:rsidRPr="00411505">
        <w:rPr>
          <w:rFonts w:cs="Times New Roman"/>
        </w:rPr>
        <w:t xml:space="preserve">State </w:t>
      </w:r>
      <w:r>
        <w:rPr>
          <w:rFonts w:cs="Times New Roman"/>
        </w:rPr>
        <w:t>department</w:t>
      </w:r>
      <w:r w:rsidRPr="00411505">
        <w:rPr>
          <w:rFonts w:cs="Times New Roman"/>
        </w:rPr>
        <w:t xml:space="preserve">) into a single ‘government charge’ payable by customers. In these instances, the operator is under no obligation to show customers how the amount payable under the ‘government charge’ relates to the actual charges incurred by the operator. Furthermore, the operator may impose its ‘government charge’ on a different basis, for example by applying a tiered tariff structure, which would result in these costs being recovered disproportionally from some customers. Such practices may distort customers’ </w:t>
      </w:r>
      <w:r w:rsidRPr="002C1190">
        <w:rPr>
          <w:rFonts w:cs="Times New Roman"/>
        </w:rPr>
        <w:t>understanding of the relative costs of services they (or their operator on their behalf) are receiving, which may distort their decision-making.</w:t>
      </w:r>
    </w:p>
    <w:p w:rsidR="00067769" w:rsidRPr="002C1190" w:rsidRDefault="00067769" w:rsidP="00E81EB4">
      <w:pPr>
        <w:spacing w:after="120"/>
        <w:contextualSpacing/>
        <w:rPr>
          <w:rFonts w:cs="Times New Roman"/>
        </w:rPr>
      </w:pPr>
      <w:r w:rsidRPr="002C1190">
        <w:rPr>
          <w:rFonts w:cs="Times New Roman"/>
        </w:rPr>
        <w:t>The ACCC</w:t>
      </w:r>
      <w:r>
        <w:rPr>
          <w:rFonts w:cs="Times New Roman"/>
        </w:rPr>
        <w:t>’s Draft Advice proposed</w:t>
      </w:r>
      <w:r w:rsidRPr="002C1190">
        <w:rPr>
          <w:rFonts w:cs="Times New Roman"/>
        </w:rPr>
        <w:t xml:space="preserve"> that the water charge rules should:</w:t>
      </w:r>
    </w:p>
    <w:p w:rsidR="00067769" w:rsidRPr="002C1190" w:rsidRDefault="00067769" w:rsidP="00A82DE6">
      <w:pPr>
        <w:pStyle w:val="Lvl1Bulletpoint"/>
      </w:pPr>
      <w:r w:rsidRPr="002C1190">
        <w:t>regulate through new ‘pass through rules’ how certain infrastructure charges and planning and management charges should be passed through to customers, in a way that balances operators’ discretion with customers’ needs (draft rule advice 5-Y)</w:t>
      </w:r>
    </w:p>
    <w:p w:rsidR="00067769" w:rsidRDefault="00067769" w:rsidP="00A82DE6">
      <w:pPr>
        <w:pStyle w:val="Lvl1Bulletpoint"/>
      </w:pPr>
      <w:r w:rsidRPr="002C1190">
        <w:t>require infrastructure operators who pass through those charges or collect charges on behalf of another entity, to publish certain information relating to pass through charges on their Schedule of Charges (draft rule advice 5-E(g))</w:t>
      </w:r>
    </w:p>
    <w:p w:rsidR="00067769" w:rsidRPr="002C1190" w:rsidRDefault="00067769" w:rsidP="00A82DE6">
      <w:pPr>
        <w:pStyle w:val="Lvl1Bulletpoint"/>
      </w:pPr>
      <w:r>
        <w:t>r</w:t>
      </w:r>
      <w:r w:rsidRPr="002C1190">
        <w:t>ecognize and account for the relationship between the proposed pass through rules and calculation of termination fees (draft rule advice 5-Z).</w:t>
      </w:r>
      <w:r w:rsidRPr="002C1190">
        <w:rPr>
          <w:rStyle w:val="FootnoteReference"/>
          <w:rFonts w:cs="Times New Roman"/>
        </w:rPr>
        <w:footnoteReference w:id="641"/>
      </w:r>
      <w:r w:rsidRPr="002C1190">
        <w:t xml:space="preserve"> </w:t>
      </w:r>
    </w:p>
    <w:p w:rsidR="00067769" w:rsidRPr="00411505" w:rsidRDefault="00067769" w:rsidP="00DF129E">
      <w:pPr>
        <w:pStyle w:val="Heading3Un-numbered"/>
      </w:pPr>
      <w:r w:rsidRPr="00411505">
        <w:t>Stakeholder feedback</w:t>
      </w:r>
    </w:p>
    <w:p w:rsidR="00067769" w:rsidRDefault="00067769" w:rsidP="00067769">
      <w:pPr>
        <w:rPr>
          <w:rFonts w:cs="Times New Roman"/>
        </w:rPr>
      </w:pPr>
      <w:r w:rsidRPr="00F56834">
        <w:rPr>
          <w:rFonts w:cs="Times New Roman"/>
        </w:rPr>
        <w:t xml:space="preserve">A number of submissions to the </w:t>
      </w:r>
      <w:r w:rsidR="00653139" w:rsidRPr="00653139">
        <w:rPr>
          <w:rFonts w:cs="Times New Roman"/>
          <w:i/>
        </w:rPr>
        <w:t xml:space="preserve">Water </w:t>
      </w:r>
      <w:r w:rsidRPr="00653139">
        <w:rPr>
          <w:rFonts w:cs="Times New Roman"/>
          <w:i/>
        </w:rPr>
        <w:t>Act</w:t>
      </w:r>
      <w:r w:rsidR="00653139" w:rsidRPr="00653139">
        <w:rPr>
          <w:rFonts w:cs="Times New Roman"/>
          <w:i/>
        </w:rPr>
        <w:t xml:space="preserve"> 2007</w:t>
      </w:r>
      <w:r w:rsidR="00653139">
        <w:rPr>
          <w:rFonts w:cs="Times New Roman"/>
        </w:rPr>
        <w:t xml:space="preserve"> (the Act)</w:t>
      </w:r>
      <w:r>
        <w:rPr>
          <w:rFonts w:cs="Times New Roman"/>
        </w:rPr>
        <w:t xml:space="preserve"> Review</w:t>
      </w:r>
      <w:r w:rsidRPr="00F56834">
        <w:rPr>
          <w:rFonts w:cs="Times New Roman"/>
        </w:rPr>
        <w:t xml:space="preserve"> raised concerns over pricing, cost recovery and transparency for ‘government charges’, both generally and specifically in relation to open and transparent determination of Murray-Darling Basin Authority (MDBA) </w:t>
      </w:r>
      <w:r w:rsidR="001B19ED">
        <w:rPr>
          <w:rFonts w:cs="Times New Roman"/>
        </w:rPr>
        <w:t>R</w:t>
      </w:r>
      <w:r w:rsidRPr="00F56834">
        <w:rPr>
          <w:rFonts w:cs="Times New Roman"/>
        </w:rPr>
        <w:t xml:space="preserve">iver </w:t>
      </w:r>
      <w:r w:rsidR="001B19ED">
        <w:rPr>
          <w:rFonts w:cs="Times New Roman"/>
        </w:rPr>
        <w:t>Murray O</w:t>
      </w:r>
      <w:r w:rsidRPr="00F56834">
        <w:rPr>
          <w:rFonts w:cs="Times New Roman"/>
        </w:rPr>
        <w:t>peration</w:t>
      </w:r>
      <w:r w:rsidR="001B19ED">
        <w:rPr>
          <w:rFonts w:cs="Times New Roman"/>
        </w:rPr>
        <w:t>s (RMO)</w:t>
      </w:r>
      <w:r w:rsidRPr="00F56834">
        <w:rPr>
          <w:rFonts w:cs="Times New Roman"/>
        </w:rPr>
        <w:t xml:space="preserve"> charges.</w:t>
      </w:r>
      <w:r w:rsidRPr="00F56834">
        <w:rPr>
          <w:rStyle w:val="FootnoteReference"/>
          <w:rFonts w:cs="Times New Roman"/>
        </w:rPr>
        <w:footnoteReference w:id="642"/>
      </w:r>
      <w:r w:rsidRPr="00F56834">
        <w:rPr>
          <w:rFonts w:cs="Times New Roman"/>
        </w:rPr>
        <w:t xml:space="preserve"> Both the NSW Department of Primary Industries</w:t>
      </w:r>
      <w:r>
        <w:rPr>
          <w:rFonts w:cs="Times New Roman"/>
        </w:rPr>
        <w:t>—</w:t>
      </w:r>
      <w:r w:rsidRPr="00F56834">
        <w:rPr>
          <w:rFonts w:cs="Times New Roman"/>
        </w:rPr>
        <w:t>Water (</w:t>
      </w:r>
      <w:r w:rsidR="00836844">
        <w:rPr>
          <w:rFonts w:cs="Times New Roman"/>
        </w:rPr>
        <w:t xml:space="preserve">DPI Water, </w:t>
      </w:r>
      <w:r w:rsidRPr="00F56834">
        <w:rPr>
          <w:rFonts w:cs="Times New Roman"/>
        </w:rPr>
        <w:t xml:space="preserve">formerly NSW Office of Water) and </w:t>
      </w:r>
      <w:r>
        <w:rPr>
          <w:rFonts w:cs="Times New Roman"/>
        </w:rPr>
        <w:t>WaterNSW (formerly State</w:t>
      </w:r>
      <w:r w:rsidR="00C3317D">
        <w:rPr>
          <w:rFonts w:cs="Times New Roman"/>
        </w:rPr>
        <w:t xml:space="preserve"> </w:t>
      </w:r>
      <w:r>
        <w:rPr>
          <w:rFonts w:cs="Times New Roman"/>
        </w:rPr>
        <w:t>Water</w:t>
      </w:r>
      <w:r w:rsidRPr="00F56834">
        <w:rPr>
          <w:rFonts w:cs="Times New Roman"/>
        </w:rPr>
        <w:t xml:space="preserve">) recover </w:t>
      </w:r>
      <w:r>
        <w:rPr>
          <w:rFonts w:cs="Times New Roman"/>
        </w:rPr>
        <w:t xml:space="preserve">a portion of the NSW Government’s contributions to the </w:t>
      </w:r>
      <w:r w:rsidRPr="00F56834">
        <w:rPr>
          <w:rFonts w:cs="Times New Roman"/>
        </w:rPr>
        <w:t xml:space="preserve">MDBA through charges on water users. Other Basin States recover the cost of contributions to the MDBA through other, less direct methods. </w:t>
      </w:r>
    </w:p>
    <w:p w:rsidR="00067769" w:rsidRPr="00F56834" w:rsidRDefault="00067769" w:rsidP="00067769">
      <w:pPr>
        <w:rPr>
          <w:rFonts w:cs="Times New Roman"/>
        </w:rPr>
      </w:pPr>
      <w:r w:rsidRPr="00F56834">
        <w:rPr>
          <w:rFonts w:cs="Times New Roman"/>
        </w:rPr>
        <w:t xml:space="preserve">Further, submissions </w:t>
      </w:r>
      <w:r>
        <w:rPr>
          <w:rFonts w:cs="Times New Roman"/>
        </w:rPr>
        <w:t xml:space="preserve">to the Act Review </w:t>
      </w:r>
      <w:r w:rsidRPr="00F56834">
        <w:rPr>
          <w:rFonts w:cs="Times New Roman"/>
        </w:rPr>
        <w:t>argued that MDBA costs are not subject to the same level of scrutiny as the other costs of Part 6 operators</w:t>
      </w:r>
      <w:r>
        <w:rPr>
          <w:rFonts w:cs="Times New Roman"/>
        </w:rPr>
        <w:t>, and</w:t>
      </w:r>
      <w:r w:rsidRPr="00F56834">
        <w:rPr>
          <w:rFonts w:cs="Times New Roman"/>
        </w:rPr>
        <w:t xml:space="preserve"> recommended that the MDBA undergo an open and transparent price determination process to ensure Governments, and through them irrigators, are only paying prudent and efficient costs. The scrutiny of MDBA costs is considered further in section </w:t>
      </w:r>
      <w:r>
        <w:rPr>
          <w:rFonts w:cs="Times New Roman"/>
        </w:rPr>
        <w:t>5.12</w:t>
      </w:r>
      <w:r w:rsidRPr="00F56834">
        <w:rPr>
          <w:rFonts w:cs="Times New Roman"/>
        </w:rPr>
        <w:t>.</w:t>
      </w:r>
    </w:p>
    <w:p w:rsidR="00067769" w:rsidRPr="005310B3" w:rsidRDefault="00067769" w:rsidP="00067769">
      <w:pPr>
        <w:rPr>
          <w:rFonts w:cs="Times New Roman"/>
        </w:rPr>
      </w:pPr>
      <w:r w:rsidRPr="005310B3">
        <w:rPr>
          <w:rFonts w:cs="Times New Roman"/>
        </w:rPr>
        <w:t>Submissions to the ACCC’s Issues Paper from several infrastructure operators did not support additional regulation relating to how they pass-through charges and expressed a clear preference for maintaining their discretion as to how they choose to pass through charges.</w:t>
      </w:r>
      <w:r w:rsidRPr="0031575E">
        <w:rPr>
          <w:rStyle w:val="FootnoteReference"/>
          <w:rFonts w:cs="Times New Roman"/>
        </w:rPr>
        <w:footnoteReference w:id="643"/>
      </w:r>
      <w:r w:rsidRPr="005310B3">
        <w:rPr>
          <w:rFonts w:cs="Times New Roman"/>
        </w:rPr>
        <w:t xml:space="preserve"> </w:t>
      </w:r>
    </w:p>
    <w:p w:rsidR="00067769" w:rsidRPr="005310B3" w:rsidRDefault="00067769" w:rsidP="00067769">
      <w:pPr>
        <w:rPr>
          <w:rFonts w:cs="Times New Roman"/>
        </w:rPr>
      </w:pPr>
      <w:r w:rsidRPr="005310B3">
        <w:rPr>
          <w:rFonts w:cs="Times New Roman"/>
        </w:rPr>
        <w:t>In contrast, other stakeholders raised concerns about the lack of transparency of “government charges” and planning and management charges. Moreover, several stakeholders showed confusion on what certain charges related to or considered pricing arrangements to be far more complicated than necessary, which is indicative of a lack of clear and transparent information about charging arrangements. For example, stakeholders attending the Deniliquin public forum questioned Murrumbidgee Irrigation Limited (MI) about its charging structure and MI discussed how it incorporates government charges into its declining block tariff tiered pricing structure.</w:t>
      </w:r>
      <w:r w:rsidRPr="005310B3">
        <w:rPr>
          <w:rStyle w:val="FootnoteReference"/>
          <w:rFonts w:cs="Times New Roman"/>
        </w:rPr>
        <w:footnoteReference w:id="644"/>
      </w:r>
      <w:r w:rsidRPr="005310B3">
        <w:rPr>
          <w:rFonts w:cs="Times New Roman"/>
        </w:rPr>
        <w:t xml:space="preserve"> Under this charging arrangement, customers are not able to clearly see how the ‘government charges’ are reflected in charges they pay. Irrigators at the Shepparton public forum raised concerns about the complexity and transparency of </w:t>
      </w:r>
      <w:r w:rsidR="00CD0E51">
        <w:rPr>
          <w:rFonts w:cs="Times New Roman"/>
        </w:rPr>
        <w:t>Goulburn-Murray Water’s (</w:t>
      </w:r>
      <w:r>
        <w:rPr>
          <w:rFonts w:cs="Times New Roman"/>
        </w:rPr>
        <w:t>GMW’s</w:t>
      </w:r>
      <w:r w:rsidR="00CD0E51">
        <w:rPr>
          <w:rFonts w:cs="Times New Roman"/>
        </w:rPr>
        <w:t>)</w:t>
      </w:r>
      <w:r>
        <w:rPr>
          <w:rFonts w:cs="Times New Roman"/>
        </w:rPr>
        <w:t xml:space="preserve"> </w:t>
      </w:r>
      <w:r w:rsidRPr="005310B3">
        <w:rPr>
          <w:rFonts w:cs="Times New Roman"/>
        </w:rPr>
        <w:t>pricing system as a whole, and supported having a greater degree of pricing transparency in relation to GMW’s charging structure.</w:t>
      </w:r>
      <w:r w:rsidRPr="005310B3">
        <w:rPr>
          <w:rFonts w:cs="Times New Roman"/>
          <w:vertAlign w:val="superscript"/>
        </w:rPr>
        <w:footnoteReference w:id="645"/>
      </w:r>
      <w:r w:rsidRPr="005310B3">
        <w:rPr>
          <w:rFonts w:cs="Times New Roman"/>
        </w:rPr>
        <w:t xml:space="preserve"> </w:t>
      </w:r>
    </w:p>
    <w:p w:rsidR="00067769" w:rsidRDefault="00067769" w:rsidP="00067769">
      <w:r>
        <w:t>The ACCC received substantial feedback on the amendments related to the transparency of cost pass-throughs proposed in the Draft Advice.</w:t>
      </w:r>
    </w:p>
    <w:p w:rsidR="00067769" w:rsidRDefault="00067769" w:rsidP="00067769">
      <w:r>
        <w:t>Two stakeholders explicitly supported the proposed amendments. GMW submitted that it supports the ACCC’s proposed amendments and the intent to improve pricing transparency.</w:t>
      </w:r>
      <w:r w:rsidRPr="00597AD0">
        <w:rPr>
          <w:rStyle w:val="FootnoteReference"/>
          <w:rFonts w:cs="Times New Roman"/>
          <w:sz w:val="20"/>
          <w:szCs w:val="20"/>
        </w:rPr>
        <w:footnoteReference w:id="646"/>
      </w:r>
      <w:r>
        <w:t xml:space="preserve"> The Commonwealth Environmental Water Holder</w:t>
      </w:r>
      <w:r w:rsidR="00D61D6B">
        <w:t xml:space="preserve"> (CEWH)</w:t>
      </w:r>
      <w:r>
        <w:t xml:space="preserve"> stated that ‘the schedule of charges should clearly identify whether tariffs include a pass-through charge component</w:t>
      </w:r>
      <w:r w:rsidDel="00CF4A9F">
        <w:t xml:space="preserve"> </w:t>
      </w:r>
      <w:r>
        <w:t xml:space="preserve">to fund state or Commonwealth activities such as the MDBA </w:t>
      </w:r>
      <w:r w:rsidR="005C7AC5">
        <w:t>RMO</w:t>
      </w:r>
      <w:r>
        <w:t>, or the Dumaresq-Barwon Border Rivers Commission’.</w:t>
      </w:r>
      <w:r w:rsidRPr="00F00765">
        <w:rPr>
          <w:rStyle w:val="FootnoteReference"/>
          <w:rFonts w:cs="Times New Roman"/>
          <w:sz w:val="20"/>
          <w:szCs w:val="20"/>
        </w:rPr>
        <w:footnoteReference w:id="647"/>
      </w:r>
      <w:r>
        <w:t xml:space="preserve"> </w:t>
      </w:r>
    </w:p>
    <w:p w:rsidR="00067769" w:rsidRDefault="00067769" w:rsidP="00067769">
      <w:r>
        <w:t>The Queensland Farmers’ Federation</w:t>
      </w:r>
      <w:r w:rsidR="008E524B">
        <w:t xml:space="preserve"> (QFF)</w:t>
      </w:r>
      <w:r>
        <w:t xml:space="preserve"> noted that in response to the proposed amendments it was concerned about maintaining a consistent state-wide regulatory process in Queensland (given that the proposed rules would only apply in the Queensland M</w:t>
      </w:r>
      <w:r w:rsidR="00875AE7">
        <w:t>urray-</w:t>
      </w:r>
      <w:r>
        <w:t>D</w:t>
      </w:r>
      <w:r w:rsidR="00875AE7">
        <w:t xml:space="preserve">arling </w:t>
      </w:r>
      <w:r>
        <w:t>B</w:t>
      </w:r>
      <w:r w:rsidR="00875AE7">
        <w:t>asin (MDB)</w:t>
      </w:r>
      <w:r>
        <w:t>).</w:t>
      </w:r>
      <w:r w:rsidRPr="009F6571">
        <w:rPr>
          <w:rStyle w:val="FootnoteReference"/>
          <w:rFonts w:cs="Times New Roman"/>
          <w:sz w:val="20"/>
          <w:szCs w:val="20"/>
        </w:rPr>
        <w:footnoteReference w:id="648"/>
      </w:r>
      <w:r>
        <w:t xml:space="preserve"> </w:t>
      </w:r>
    </w:p>
    <w:p w:rsidR="00067769" w:rsidRDefault="00067769" w:rsidP="00E81EB4">
      <w:pPr>
        <w:spacing w:after="120"/>
      </w:pPr>
      <w:r>
        <w:t>The National Irrigators’ Council (NIC), Western Murray Irrigation (WMI) and Lower</w:t>
      </w:r>
      <w:r w:rsidR="0076282A">
        <w:t xml:space="preserve"> </w:t>
      </w:r>
      <w:r>
        <w:t>Murray Water (LMW) did not support the proposed amendments. The feedback from these stakeholders relates to three main areas, discussed in turn below:</w:t>
      </w:r>
    </w:p>
    <w:p w:rsidR="00067769" w:rsidRDefault="00067769" w:rsidP="00A82DE6">
      <w:pPr>
        <w:pStyle w:val="Lvl1Bulletpoint"/>
      </w:pPr>
      <w:r>
        <w:t>rationale for proposed pass-through rules</w:t>
      </w:r>
    </w:p>
    <w:p w:rsidR="00067769" w:rsidRDefault="00067769" w:rsidP="00A82DE6">
      <w:pPr>
        <w:pStyle w:val="Lvl1Bulletpoint"/>
      </w:pPr>
      <w:r>
        <w:t>application and regulatory burden</w:t>
      </w:r>
    </w:p>
    <w:p w:rsidR="00067769" w:rsidRDefault="00067769" w:rsidP="00A82DE6">
      <w:pPr>
        <w:pStyle w:val="Lvl1Bulletpoint"/>
      </w:pPr>
      <w:r>
        <w:t>penalty for non-compliance</w:t>
      </w:r>
      <w:r w:rsidR="005C6FF6">
        <w:t>.</w:t>
      </w:r>
      <w:r>
        <w:t xml:space="preserve"> </w:t>
      </w:r>
    </w:p>
    <w:p w:rsidR="00067769" w:rsidRDefault="00067769" w:rsidP="00E83E5D">
      <w:pPr>
        <w:pStyle w:val="Heading4-Un-numberedsubheading-Lvl5"/>
      </w:pPr>
      <w:r>
        <w:t>Rationale for proposed pass-through rules</w:t>
      </w:r>
    </w:p>
    <w:p w:rsidR="00067769" w:rsidRDefault="00067769" w:rsidP="00E81EB4">
      <w:pPr>
        <w:autoSpaceDE w:val="0"/>
        <w:autoSpaceDN w:val="0"/>
        <w:adjustRightInd w:val="0"/>
        <w:spacing w:after="120"/>
      </w:pPr>
      <w:r>
        <w:t>The NIC questioned the need for the proposed changes.</w:t>
      </w:r>
      <w:r w:rsidRPr="009F6571">
        <w:rPr>
          <w:rStyle w:val="FootnoteReference"/>
          <w:rFonts w:cs="Times New Roman"/>
          <w:sz w:val="20"/>
          <w:szCs w:val="20"/>
        </w:rPr>
        <w:footnoteReference w:id="649"/>
      </w:r>
      <w:r>
        <w:t xml:space="preserve"> In particular, the NIC noted: </w:t>
      </w:r>
    </w:p>
    <w:p w:rsidR="00067769" w:rsidRDefault="00067769" w:rsidP="00A82DE6">
      <w:pPr>
        <w:pStyle w:val="Lvl1Bulletpoint"/>
      </w:pPr>
      <w:r>
        <w:t xml:space="preserve">the </w:t>
      </w:r>
      <w:r w:rsidR="00B0225F">
        <w:t>Australian Bureau of Agricultural and Resource Economics and Sciences (</w:t>
      </w:r>
      <w:r>
        <w:t>ABARES</w:t>
      </w:r>
      <w:r w:rsidR="00B0225F">
        <w:t>)</w:t>
      </w:r>
      <w:r>
        <w:t xml:space="preserve"> survey of irrigators, where 80 per cent of customers responded that their current </w:t>
      </w:r>
      <w:r w:rsidR="00AD6514">
        <w:t>S</w:t>
      </w:r>
      <w:r>
        <w:t xml:space="preserve">chedule of </w:t>
      </w:r>
      <w:r w:rsidR="00AD6514">
        <w:t>C</w:t>
      </w:r>
      <w:r>
        <w:t>harges clearly set out the difference between charges payable for access to the operator’s infrastructure, and charges incurred by the operator and passed on to the customer.</w:t>
      </w:r>
    </w:p>
    <w:p w:rsidR="00067769" w:rsidRDefault="00067769" w:rsidP="00A82DE6">
      <w:pPr>
        <w:pStyle w:val="Lvl1Bulletpoint"/>
      </w:pPr>
      <w:r>
        <w:t>feedback from irrigators on page 75 of the Draft Advice that charging regimes are too complex.</w:t>
      </w:r>
    </w:p>
    <w:p w:rsidR="00067769" w:rsidRDefault="00067769" w:rsidP="00067769">
      <w:pPr>
        <w:autoSpaceDE w:val="0"/>
        <w:autoSpaceDN w:val="0"/>
        <w:adjustRightInd w:val="0"/>
      </w:pPr>
      <w:r>
        <w:t>WMI commented generally that, in its view “[t]he only feedback received by the ACCC was against increased regulation” and therefore it was “absurd” for the ACCC to propose increased regulation “in the name of ‘competition’”.</w:t>
      </w:r>
      <w:r w:rsidRPr="009F6571">
        <w:rPr>
          <w:rStyle w:val="FootnoteReference"/>
          <w:rFonts w:cs="Times New Roman"/>
          <w:sz w:val="20"/>
          <w:szCs w:val="20"/>
        </w:rPr>
        <w:footnoteReference w:id="650"/>
      </w:r>
    </w:p>
    <w:p w:rsidR="00067769" w:rsidRDefault="00067769" w:rsidP="00E83E5D">
      <w:pPr>
        <w:pStyle w:val="Heading4-Un-numberedsubheading-Lvl5"/>
      </w:pPr>
      <w:r>
        <w:t>Application and regulatory burden</w:t>
      </w:r>
    </w:p>
    <w:p w:rsidR="00067769" w:rsidRDefault="00067769" w:rsidP="00067769">
      <w:r>
        <w:t xml:space="preserve">The NIC and WMI submitted that the proposed amendments would increase the complexity of the </w:t>
      </w:r>
      <w:r w:rsidR="00AD6514">
        <w:t>S</w:t>
      </w:r>
      <w:r>
        <w:t xml:space="preserve">chedule of </w:t>
      </w:r>
      <w:r w:rsidR="00AD6514">
        <w:t>C</w:t>
      </w:r>
      <w:r>
        <w:t>harges and represent a “considerable undertaking”.</w:t>
      </w:r>
      <w:r w:rsidRPr="009F6571">
        <w:rPr>
          <w:rStyle w:val="FootnoteReference"/>
          <w:rFonts w:cs="Times New Roman"/>
          <w:sz w:val="20"/>
          <w:szCs w:val="20"/>
        </w:rPr>
        <w:footnoteReference w:id="651"/>
      </w:r>
      <w:r>
        <w:t xml:space="preserve"> The NIC noted in particular that the separate charges proposed in the Draft Advice would make it “more complicated for a customer to determine their liability in respect of any particular period” and would increase regulatory burden.</w:t>
      </w:r>
      <w:r w:rsidRPr="009F6571">
        <w:rPr>
          <w:rStyle w:val="FootnoteReference"/>
          <w:rFonts w:cs="Times New Roman"/>
          <w:sz w:val="20"/>
          <w:szCs w:val="20"/>
        </w:rPr>
        <w:footnoteReference w:id="652"/>
      </w:r>
      <w:r>
        <w:t xml:space="preserve"> </w:t>
      </w:r>
    </w:p>
    <w:p w:rsidR="00067769" w:rsidRDefault="00067769" w:rsidP="00067769">
      <w:r>
        <w:t>LMW and the NIC commented on the extent to which the water charge rules should specify the way in which operators design their tariff structures. LMW argued that the rules should not specify charging structures and that the structure “should reflect what the infrastructure operator and customer consider appropriate”.</w:t>
      </w:r>
      <w:r w:rsidRPr="009F6571">
        <w:rPr>
          <w:rStyle w:val="FootnoteReference"/>
          <w:rFonts w:cs="Times New Roman"/>
          <w:sz w:val="20"/>
          <w:szCs w:val="20"/>
        </w:rPr>
        <w:footnoteReference w:id="653"/>
      </w:r>
      <w:r>
        <w:t xml:space="preserve"> LMW noted that the rules, as proposed, would be inconsistent with a current stakeholder direction and that the detail on their </w:t>
      </w:r>
      <w:r w:rsidR="00AD6514">
        <w:t>S</w:t>
      </w:r>
      <w:r>
        <w:t xml:space="preserve">chedule of </w:t>
      </w:r>
      <w:r w:rsidR="00AD6514">
        <w:t>C</w:t>
      </w:r>
      <w:r>
        <w:t>harges reflects consultation with customer committees. The NIC noted that the proposed amendments would “stifle pricing innovation” and reduce the ability for infrastructure operators to differentiate themselves based on their charges.</w:t>
      </w:r>
      <w:r w:rsidRPr="009F6571">
        <w:rPr>
          <w:rStyle w:val="FootnoteReference"/>
          <w:rFonts w:cs="Times New Roman"/>
          <w:sz w:val="20"/>
          <w:szCs w:val="20"/>
        </w:rPr>
        <w:footnoteReference w:id="654"/>
      </w:r>
      <w:r>
        <w:t xml:space="preserve"> </w:t>
      </w:r>
    </w:p>
    <w:p w:rsidR="00067769" w:rsidRPr="00356D2D" w:rsidRDefault="00067769" w:rsidP="0094375E">
      <w:pPr>
        <w:spacing w:after="120"/>
      </w:pPr>
      <w:r>
        <w:t>The NIC laid out in detail its view on what each operator will need to do to comply with the requirements:</w:t>
      </w:r>
    </w:p>
    <w:p w:rsidR="00067769" w:rsidRPr="00FC4F37" w:rsidRDefault="00067769" w:rsidP="00E81EB4">
      <w:pPr>
        <w:pStyle w:val="Default"/>
        <w:spacing w:before="100" w:beforeAutospacing="1" w:after="120"/>
        <w:ind w:firstLine="340"/>
        <w:rPr>
          <w:rFonts w:ascii="Times New Roman" w:hAnsi="Times New Roman" w:cs="Times New Roman"/>
          <w:i/>
          <w:color w:val="auto"/>
          <w:sz w:val="20"/>
          <w:szCs w:val="22"/>
        </w:rPr>
      </w:pPr>
      <w:r w:rsidRPr="00FC4F37">
        <w:rPr>
          <w:rFonts w:ascii="Times New Roman" w:hAnsi="Times New Roman" w:cs="Times New Roman"/>
          <w:i/>
          <w:color w:val="auto"/>
          <w:sz w:val="20"/>
          <w:szCs w:val="22"/>
        </w:rPr>
        <w:t xml:space="preserve">The new rule 9A will require every operator of any size to: </w:t>
      </w:r>
    </w:p>
    <w:p w:rsidR="00067769" w:rsidRPr="00FC4F37" w:rsidRDefault="00067769" w:rsidP="00F43856">
      <w:pPr>
        <w:pStyle w:val="ListParagraph"/>
        <w:numPr>
          <w:ilvl w:val="0"/>
          <w:numId w:val="62"/>
        </w:numPr>
        <w:tabs>
          <w:tab w:val="left" w:pos="340"/>
        </w:tabs>
        <w:autoSpaceDE w:val="0"/>
        <w:autoSpaceDN w:val="0"/>
        <w:adjustRightInd w:val="0"/>
        <w:spacing w:after="120" w:line="240" w:lineRule="auto"/>
        <w:ind w:left="709" w:hanging="357"/>
        <w:contextualSpacing w:val="0"/>
        <w:rPr>
          <w:rFonts w:cs="Times New Roman"/>
          <w:i/>
          <w:sz w:val="20"/>
        </w:rPr>
      </w:pPr>
      <w:r w:rsidRPr="00FC4F37">
        <w:rPr>
          <w:rFonts w:cs="Times New Roman"/>
          <w:i/>
          <w:sz w:val="20"/>
        </w:rPr>
        <w:t xml:space="preserve">first, review every charge that the operator pays to another operator or to a State Agency, and consider whether that charge is an “infrastructure charge” or a “planning and management charge”, or neither; </w:t>
      </w:r>
    </w:p>
    <w:p w:rsidR="00067769" w:rsidRPr="00FC4F37" w:rsidRDefault="00067769" w:rsidP="00F43856">
      <w:pPr>
        <w:pStyle w:val="ListParagraph"/>
        <w:numPr>
          <w:ilvl w:val="0"/>
          <w:numId w:val="62"/>
        </w:numPr>
        <w:tabs>
          <w:tab w:val="left" w:pos="340"/>
        </w:tabs>
        <w:autoSpaceDE w:val="0"/>
        <w:autoSpaceDN w:val="0"/>
        <w:adjustRightInd w:val="0"/>
        <w:spacing w:before="100" w:beforeAutospacing="1" w:after="120" w:line="240" w:lineRule="auto"/>
        <w:ind w:left="709"/>
        <w:contextualSpacing w:val="0"/>
        <w:rPr>
          <w:rFonts w:cs="Times New Roman"/>
          <w:i/>
          <w:sz w:val="20"/>
        </w:rPr>
      </w:pPr>
      <w:r w:rsidRPr="00FC4F37">
        <w:rPr>
          <w:rFonts w:cs="Times New Roman"/>
          <w:i/>
          <w:sz w:val="20"/>
        </w:rPr>
        <w:t xml:space="preserve">second, classify every infrastructure charge and planning and management charge as either a “directly attributable charge”, “distribution loss shared charge” or “shared charge”, all of which are newly-defined terms in rule 9A, for a total of up to six categories of charge; </w:t>
      </w:r>
    </w:p>
    <w:p w:rsidR="00067769" w:rsidRPr="00FC4F37" w:rsidRDefault="00067769" w:rsidP="00F43856">
      <w:pPr>
        <w:pStyle w:val="ListParagraph"/>
        <w:numPr>
          <w:ilvl w:val="0"/>
          <w:numId w:val="62"/>
        </w:numPr>
        <w:tabs>
          <w:tab w:val="left" w:pos="340"/>
        </w:tabs>
        <w:autoSpaceDE w:val="0"/>
        <w:autoSpaceDN w:val="0"/>
        <w:adjustRightInd w:val="0"/>
        <w:spacing w:before="100" w:beforeAutospacing="1" w:after="120" w:line="240" w:lineRule="auto"/>
        <w:ind w:left="709"/>
        <w:contextualSpacing w:val="0"/>
        <w:rPr>
          <w:rFonts w:cs="Times New Roman"/>
          <w:i/>
          <w:sz w:val="20"/>
        </w:rPr>
      </w:pPr>
      <w:r w:rsidRPr="00FC4F37">
        <w:rPr>
          <w:rFonts w:cs="Times New Roman"/>
          <w:i/>
          <w:sz w:val="20"/>
        </w:rPr>
        <w:t xml:space="preserve">third, restructure its charging arrangements so that each of the six categories of charge is passed through to customers in the way mandated by rule 9A, which, in some cases, may involve amending the operator’s contract with its customers and going through the applicable contractual processes for doing so; and </w:t>
      </w:r>
    </w:p>
    <w:p w:rsidR="00067769" w:rsidRPr="00FC4F37" w:rsidRDefault="00067769" w:rsidP="00F43856">
      <w:pPr>
        <w:pStyle w:val="ListParagraph"/>
        <w:numPr>
          <w:ilvl w:val="0"/>
          <w:numId w:val="62"/>
        </w:numPr>
        <w:tabs>
          <w:tab w:val="left" w:pos="340"/>
        </w:tabs>
        <w:autoSpaceDE w:val="0"/>
        <w:autoSpaceDN w:val="0"/>
        <w:adjustRightInd w:val="0"/>
        <w:spacing w:before="100" w:beforeAutospacing="1" w:line="240" w:lineRule="auto"/>
        <w:ind w:left="709" w:hanging="357"/>
        <w:contextualSpacing w:val="0"/>
        <w:rPr>
          <w:rFonts w:cs="Times New Roman"/>
          <w:sz w:val="20"/>
        </w:rPr>
      </w:pPr>
      <w:r w:rsidRPr="00FC4F37">
        <w:rPr>
          <w:rFonts w:cs="Times New Roman"/>
          <w:i/>
          <w:sz w:val="20"/>
        </w:rPr>
        <w:t>finally, changing its schedule of charges to reflect the updated charging structure and comply with the regulatory processes for changing the schedule of charges.</w:t>
      </w:r>
      <w:r w:rsidRPr="00FC4F37">
        <w:rPr>
          <w:rStyle w:val="FootnoteReference"/>
          <w:rFonts w:cs="Times New Roman"/>
          <w:sz w:val="20"/>
        </w:rPr>
        <w:footnoteReference w:id="655"/>
      </w:r>
    </w:p>
    <w:p w:rsidR="00067769" w:rsidRDefault="00067769" w:rsidP="00E81EB4">
      <w:pPr>
        <w:spacing w:after="120"/>
      </w:pPr>
      <w:r>
        <w:t>Both the NIC and WMI submitted that the proposed amendments are “confusing, ambiguous and difficult to apply in practice”.</w:t>
      </w:r>
      <w:r w:rsidRPr="008B4850">
        <w:rPr>
          <w:rStyle w:val="FootnoteReference"/>
          <w:rFonts w:asciiTheme="minorHAnsi" w:hAnsiTheme="minorHAnsi" w:cstheme="minorHAnsi"/>
          <w:sz w:val="20"/>
          <w:szCs w:val="20"/>
        </w:rPr>
        <w:footnoteReference w:id="656"/>
      </w:r>
      <w:r>
        <w:t xml:space="preserve"> The NIC furnished some examples of where it considers this to be the case:</w:t>
      </w:r>
    </w:p>
    <w:p w:rsidR="00067769" w:rsidRDefault="00067769" w:rsidP="00E81EB4">
      <w:pPr>
        <w:pStyle w:val="Lvl1Bulletpoint"/>
        <w:spacing w:after="0"/>
        <w:ind w:left="568" w:hanging="284"/>
      </w:pPr>
      <w:r>
        <w:t>In relation to the definition of ‘directly attributable charge’, the NIC questioned how an infrastructure operator can incur a charge “as a direct consequence of a customer holding an irrigation right” because:</w:t>
      </w:r>
    </w:p>
    <w:p w:rsidR="00067769" w:rsidRDefault="00067769" w:rsidP="009B6ED8">
      <w:pPr>
        <w:pStyle w:val="Lvl2Bulletpoint"/>
      </w:pPr>
      <w:r>
        <w:t>the charge is levied on the operator’s water access right and the operator would incur the charge regardless of whether a customer holds an irrigation right.</w:t>
      </w:r>
    </w:p>
    <w:p w:rsidR="00067769" w:rsidRDefault="00067769" w:rsidP="00E81EB4">
      <w:pPr>
        <w:pStyle w:val="Lvl2Bulletpoint"/>
        <w:spacing w:after="120"/>
      </w:pPr>
      <w:r>
        <w:t>there are many irrigation rights and there is often no relationship between an irrigation right and a particular category of water access right held by the operator.</w:t>
      </w:r>
    </w:p>
    <w:p w:rsidR="00067769" w:rsidRDefault="00067769" w:rsidP="00A82DE6">
      <w:pPr>
        <w:pStyle w:val="Lvl1Bulletpoint"/>
      </w:pPr>
      <w:r>
        <w:t>In relation to the definition of a ‘distribution loss shared charge’, the NIC noted that the definition depends on the operator being able to prove that water was actually lost during distribution whereas actual losses vary significantly as circumstances change during the water year. The NIC added that the proposed amendments would complicate periodic invoicing.</w:t>
      </w:r>
    </w:p>
    <w:p w:rsidR="00067769" w:rsidRDefault="00067769" w:rsidP="00067769">
      <w:r>
        <w:t>On the application of the proposed amendments, WMI noted that some costs (e.g. electricity) are unknown until they are incurred, which is also a problem that is unaddressed in other sections of the water charge rules (although WMI did not indicate which other sections this concern related to).</w:t>
      </w:r>
      <w:r w:rsidRPr="009F6571">
        <w:rPr>
          <w:rStyle w:val="FootnoteReference"/>
          <w:rFonts w:cs="Times New Roman"/>
          <w:sz w:val="20"/>
          <w:szCs w:val="20"/>
        </w:rPr>
        <w:footnoteReference w:id="657"/>
      </w:r>
      <w:r w:rsidR="00C6733C">
        <w:t xml:space="preserve"> </w:t>
      </w:r>
    </w:p>
    <w:p w:rsidR="00067769" w:rsidRDefault="00067769" w:rsidP="00067769">
      <w:r>
        <w:t>Both LMW and NIC questioned the need to separately list ‘distribution loss shared charges’. NIC stated that there was “no convincing explanation”</w:t>
      </w:r>
      <w:r w:rsidR="00BF0DFE">
        <w:t xml:space="preserve"> of why this should be the case</w:t>
      </w:r>
      <w:r>
        <w:t>.</w:t>
      </w:r>
      <w:r w:rsidRPr="009F6571">
        <w:rPr>
          <w:rStyle w:val="FootnoteReference"/>
          <w:rFonts w:cs="Times New Roman"/>
          <w:sz w:val="20"/>
          <w:szCs w:val="20"/>
        </w:rPr>
        <w:footnoteReference w:id="658"/>
      </w:r>
      <w:r>
        <w:t xml:space="preserve"> LMW argued that the proposed rule amendment (</w:t>
      </w:r>
      <w:r w:rsidR="00A52AF4">
        <w:t>sub</w:t>
      </w:r>
      <w:r>
        <w:t>rule 9A(3)) is impractical and does not provide benefits to customers.</w:t>
      </w:r>
      <w:r w:rsidRPr="00241692">
        <w:rPr>
          <w:rStyle w:val="FootnoteReference"/>
          <w:rFonts w:cs="Times New Roman"/>
          <w:sz w:val="20"/>
          <w:szCs w:val="20"/>
        </w:rPr>
        <w:footnoteReference w:id="659"/>
      </w:r>
      <w:r>
        <w:t xml:space="preserve"> LMW added that it already tells its customers about cost pass-throughs where LMW considers this is appropriate and meaningful. LMW considered that it is unwarranted to detail “many varied small charge tariffs” and there is no benefit to doing so for “small inconsequential infrastructure charge[s]” such as ‘distribution loss shared charges’. LMW noted that distribution losses for Red Cliffs represented less than one per cent (approximately $3.80 per delivery share) of a customer’s bill.</w:t>
      </w:r>
      <w:r w:rsidR="00C6733C">
        <w:t xml:space="preserve"> </w:t>
      </w:r>
    </w:p>
    <w:p w:rsidR="00067769" w:rsidRDefault="00067769" w:rsidP="00E83E5D">
      <w:pPr>
        <w:pStyle w:val="Heading4-Un-numberedsubheading-Lvl5"/>
      </w:pPr>
      <w:r>
        <w:t>Penalty for non-compliance</w:t>
      </w:r>
    </w:p>
    <w:p w:rsidR="00067769" w:rsidRDefault="00067769" w:rsidP="00E81EB4">
      <w:pPr>
        <w:spacing w:after="120"/>
      </w:pPr>
      <w:r>
        <w:t>The NIC and LMW commented on the proposed penalties for non-compliance with the proposed pass-through rules, which were two-fold:</w:t>
      </w:r>
    </w:p>
    <w:p w:rsidR="00067769" w:rsidRDefault="00067769" w:rsidP="00A82DE6">
      <w:pPr>
        <w:pStyle w:val="Lvl1Bulletpoint"/>
      </w:pPr>
      <w:r>
        <w:t>As per draft rule advice 5-Y, a failure to comply with the pass through rules could attract a civil penalty; and</w:t>
      </w:r>
    </w:p>
    <w:p w:rsidR="00067769" w:rsidRDefault="00067769" w:rsidP="00A82DE6">
      <w:pPr>
        <w:pStyle w:val="Lvl1Bulletpoint"/>
      </w:pPr>
      <w:r>
        <w:t xml:space="preserve">as per draft rule advice 5-Z, an operator who did not comply with the pass-through rules would be required to calculate termination fees using a termination fee multiple of 1x instead of 10x. </w:t>
      </w:r>
    </w:p>
    <w:p w:rsidR="00067769" w:rsidRDefault="00067769" w:rsidP="00067769">
      <w:r>
        <w:t>The NIC labelled the civil penalties as “excessive”,</w:t>
      </w:r>
      <w:r w:rsidRPr="009F6571">
        <w:rPr>
          <w:rStyle w:val="FootnoteReference"/>
          <w:rFonts w:cs="Times New Roman"/>
          <w:sz w:val="20"/>
          <w:szCs w:val="20"/>
        </w:rPr>
        <w:footnoteReference w:id="660"/>
      </w:r>
      <w:r>
        <w:t xml:space="preserve"> and that the penalty that caps the termination fee at a multiple of one is “extreme” and “bears no relationship to the nature or gravity of non-compliance, particularly given the potential complexity of achieving compliance”. The NIC added that it would affect “blameless” customers who do not terminate because they will incur increased fixed costs. </w:t>
      </w:r>
    </w:p>
    <w:p w:rsidR="00067769" w:rsidRDefault="00067769" w:rsidP="00E81EB4">
      <w:pPr>
        <w:spacing w:after="120"/>
      </w:pPr>
      <w:r>
        <w:t xml:space="preserve">LMW similarly argued that the penalty relating to the termination fee is potentially a “major issue” for LMW, reiterating its views </w:t>
      </w:r>
      <w:r w:rsidR="00BF0DFE">
        <w:t>regarding</w:t>
      </w:r>
      <w:r>
        <w:t xml:space="preserve"> the </w:t>
      </w:r>
      <w:r w:rsidR="00BF0DFE">
        <w:t>rationale for the requirement to</w:t>
      </w:r>
      <w:r>
        <w:t xml:space="preserve"> separately list ‘distribution loss shared charges’.</w:t>
      </w:r>
      <w:r w:rsidRPr="00241692">
        <w:rPr>
          <w:rStyle w:val="FootnoteReference"/>
          <w:rFonts w:cs="Times New Roman"/>
          <w:sz w:val="20"/>
          <w:szCs w:val="20"/>
        </w:rPr>
        <w:footnoteReference w:id="661"/>
      </w:r>
      <w:r>
        <w:t xml:space="preserve"> In particular, LMW questioned why the charge needed to be listed separately to be included in the termination fee because:</w:t>
      </w:r>
    </w:p>
    <w:p w:rsidR="00067769" w:rsidRDefault="00067769" w:rsidP="00A82DE6">
      <w:pPr>
        <w:pStyle w:val="Lvl1Bulletpoint"/>
      </w:pPr>
      <w:r>
        <w:t>when a customer terminates all of their water delivery rights, LMW still incurs the same distribution losses until or unless it changes its distribution system</w:t>
      </w:r>
    </w:p>
    <w:p w:rsidR="00067769" w:rsidRDefault="00067769" w:rsidP="00A82DE6">
      <w:pPr>
        <w:pStyle w:val="Lvl1Bulletpoint"/>
      </w:pPr>
      <w:r>
        <w:t>when a customer does not terminate all of their water delivery rights, LMW is still delivering water.</w:t>
      </w:r>
    </w:p>
    <w:p w:rsidR="00067769" w:rsidRPr="00D714FC" w:rsidRDefault="00067769" w:rsidP="00DF129E">
      <w:pPr>
        <w:pStyle w:val="Heading3Un-numbered"/>
      </w:pPr>
      <w:r>
        <w:t>ACCC assessment</w:t>
      </w:r>
    </w:p>
    <w:p w:rsidR="00067769" w:rsidRDefault="00067769" w:rsidP="00E83E5D">
      <w:pPr>
        <w:pStyle w:val="Heading4-Un-numberedsubheading-Lvl5"/>
      </w:pPr>
      <w:r>
        <w:t>Rationale for proposed pass-through rules</w:t>
      </w:r>
    </w:p>
    <w:p w:rsidR="00067769" w:rsidRDefault="00067769" w:rsidP="00E81EB4">
      <w:pPr>
        <w:spacing w:after="120"/>
      </w:pPr>
      <w:r>
        <w:t xml:space="preserve">The proposals in the Draft Advice sought to address stakeholder concerns about the transparency of ‘government charges’ or other regulated charges incurred by off-river infrastructure operators and passed onto their customers. In particular, the proposals recognised that a failure to pass through the cost of these charges on the same basis as they are incurred by an infrastructure operator (or as close as possible) could lead to various distortions on customer decision-making. Examples of such distortions are: </w:t>
      </w:r>
    </w:p>
    <w:p w:rsidR="00067769" w:rsidRPr="00067769" w:rsidRDefault="00067769" w:rsidP="00A82DE6">
      <w:pPr>
        <w:pStyle w:val="Lvl1Bulletpoint"/>
      </w:pPr>
      <w:r w:rsidRPr="00067769">
        <w:t xml:space="preserve">If charges are passed through onto customers’ water delivery rights, customers who transform could face the possibility of paying these charges twice (once via the </w:t>
      </w:r>
      <w:r w:rsidR="00EA4062">
        <w:t>water delivery right</w:t>
      </w:r>
      <w:r w:rsidR="00EA4062" w:rsidRPr="00067769">
        <w:t xml:space="preserve"> </w:t>
      </w:r>
      <w:r w:rsidRPr="00067769">
        <w:t xml:space="preserve">they hold against the off-river </w:t>
      </w:r>
      <w:r w:rsidR="00EA4062">
        <w:t>infrastructure operat</w:t>
      </w:r>
      <w:r w:rsidR="00071047">
        <w:t>o</w:t>
      </w:r>
      <w:r w:rsidR="00EA4062">
        <w:t>r</w:t>
      </w:r>
      <w:r w:rsidRPr="00067769">
        <w:t xml:space="preserve">, and again directly to the on-river operator or Basin State via their transformed </w:t>
      </w:r>
      <w:r w:rsidR="005C776C">
        <w:t>WAE</w:t>
      </w:r>
      <w:r w:rsidRPr="00067769">
        <w:t xml:space="preserve">). </w:t>
      </w:r>
    </w:p>
    <w:p w:rsidR="00067769" w:rsidRPr="00067769" w:rsidRDefault="00067769" w:rsidP="00A82DE6">
      <w:pPr>
        <w:pStyle w:val="Lvl1Bulletpoint"/>
      </w:pPr>
      <w:r w:rsidRPr="00067769">
        <w:t xml:space="preserve">If charges are passed through as fixed charges levied on </w:t>
      </w:r>
      <w:r w:rsidR="00496BA3">
        <w:t xml:space="preserve">a </w:t>
      </w:r>
      <w:r w:rsidRPr="00067769">
        <w:t>customer</w:t>
      </w:r>
      <w:r w:rsidR="00496BA3">
        <w:t>’</w:t>
      </w:r>
      <w:r w:rsidRPr="00067769">
        <w:t xml:space="preserve">s </w:t>
      </w:r>
      <w:r w:rsidR="00EA4062">
        <w:t>water delivery right</w:t>
      </w:r>
      <w:r w:rsidRPr="00067769">
        <w:t xml:space="preserve">, a customer (and the ACCC) could not be certain that they weren’t included in the basis for calculating termination fees (as it would be difficult to determine whether a requirement to ‘net out’ such charges from fixed </w:t>
      </w:r>
      <w:r w:rsidR="00EA4062">
        <w:t>water delivery right</w:t>
      </w:r>
      <w:r w:rsidR="00EA4062" w:rsidRPr="00067769">
        <w:t xml:space="preserve"> </w:t>
      </w:r>
      <w:r w:rsidRPr="00067769">
        <w:t xml:space="preserve">charges was complied with). </w:t>
      </w:r>
    </w:p>
    <w:p w:rsidR="00067769" w:rsidRPr="00067769" w:rsidRDefault="00067769" w:rsidP="00A82DE6">
      <w:pPr>
        <w:pStyle w:val="Lvl1Bulletpoint"/>
      </w:pPr>
      <w:r w:rsidRPr="00067769">
        <w:t>If charges are passed through by including them together with charges recovering the operator’s own infrastructure costs (i.e. no charges are separated out), customers do not face clear price signals about on-river versus off-river infrastructure services, and there is the potential that customers may be misled about the reason for changes in charge levels.</w:t>
      </w:r>
    </w:p>
    <w:p w:rsidR="00067769" w:rsidRPr="00067769" w:rsidRDefault="00B71736" w:rsidP="00A82DE6">
      <w:pPr>
        <w:pStyle w:val="Lvl1Bulletpoint"/>
      </w:pPr>
      <w:r w:rsidRPr="00067769">
        <w:t xml:space="preserve">If </w:t>
      </w:r>
      <w:r>
        <w:t xml:space="preserve">the operator aggregates charges levied by different entities together </w:t>
      </w:r>
      <w:r w:rsidRPr="00067769">
        <w:t>(e.g. planning and management charges levied by a Basin State are aggregated with on-river infrastructure charges)</w:t>
      </w:r>
      <w:r>
        <w:t xml:space="preserve"> and passes them through to customers without explaining</w:t>
      </w:r>
      <w:r w:rsidR="00067769" w:rsidRPr="00067769">
        <w:t xml:space="preserve"> how this is done, customers </w:t>
      </w:r>
      <w:r>
        <w:t xml:space="preserve">will </w:t>
      </w:r>
      <w:r w:rsidR="00067769" w:rsidRPr="00067769">
        <w:t xml:space="preserve">not face accurate price signals about the costs of various services and planning </w:t>
      </w:r>
      <w:r w:rsidR="00CA78BC">
        <w:t>and</w:t>
      </w:r>
      <w:r w:rsidR="00067769" w:rsidRPr="00067769">
        <w:t xml:space="preserve"> management </w:t>
      </w:r>
      <w:r w:rsidR="00CA78BC">
        <w:t xml:space="preserve">(WPM) </w:t>
      </w:r>
      <w:r w:rsidR="00067769" w:rsidRPr="00067769">
        <w:t>activities.</w:t>
      </w:r>
    </w:p>
    <w:p w:rsidR="00067769" w:rsidRPr="00067769" w:rsidRDefault="00067769" w:rsidP="00A82DE6">
      <w:pPr>
        <w:pStyle w:val="Lvl1Bulletpoint"/>
      </w:pPr>
      <w:r w:rsidRPr="00067769">
        <w:t xml:space="preserve">If the operator does specify separate charges (e.g. ‘government charges’), but the amounts of these charges are higher than those incurred by the operator, there is the potential for customers to be misled about the relative costs of different infrastructure services and </w:t>
      </w:r>
      <w:r w:rsidR="002A58F8">
        <w:t xml:space="preserve">WPM </w:t>
      </w:r>
      <w:r w:rsidRPr="00067769">
        <w:t>activities.</w:t>
      </w:r>
    </w:p>
    <w:p w:rsidR="00067769" w:rsidRPr="00067769" w:rsidRDefault="00067769" w:rsidP="00A82DE6">
      <w:pPr>
        <w:pStyle w:val="Lvl1Bulletpoint"/>
      </w:pPr>
      <w:r w:rsidRPr="00067769">
        <w:t xml:space="preserve">In some cases, charges incurred by an operator are directly attributable to a particular customer, but if an off-river infrastructure operator chooses to ‘socialise’ these charges across all customers rather than passing them through to the relevant customer, then price signals will be muted and there may be material cross-subsidies between customers. </w:t>
      </w:r>
    </w:p>
    <w:p w:rsidR="00067769" w:rsidRDefault="00067769" w:rsidP="00067769">
      <w:r>
        <w:t xml:space="preserve">An analysis of operators’ 2015-16 </w:t>
      </w:r>
      <w:r w:rsidR="00AD6514">
        <w:t>S</w:t>
      </w:r>
      <w:r>
        <w:t xml:space="preserve">chedules of </w:t>
      </w:r>
      <w:r w:rsidR="00AD6514">
        <w:t>C</w:t>
      </w:r>
      <w:r>
        <w:t xml:space="preserve">harges indicates that many operators currently pass through charges in a way that gives rise to the possibility </w:t>
      </w:r>
      <w:r w:rsidR="00496BA3">
        <w:t xml:space="preserve">of </w:t>
      </w:r>
      <w:r>
        <w:t xml:space="preserve">one or more of the negative impacts described above. However, there are several operators who clearly separate out both planning and management </w:t>
      </w:r>
      <w:r w:rsidR="002A58F8">
        <w:t xml:space="preserve">charges </w:t>
      </w:r>
      <w:r>
        <w:t>and on-river infrastructure charges (both fixed and variable) from their own charges—it is expected that these operators would already comply with the proposed pass-through rules.</w:t>
      </w:r>
      <w:r>
        <w:rPr>
          <w:rStyle w:val="FootnoteReference"/>
        </w:rPr>
        <w:footnoteReference w:id="662"/>
      </w:r>
      <w:r>
        <w:t xml:space="preserve"> Table 5.</w:t>
      </w:r>
      <w:r w:rsidR="00CD15E3">
        <w:t>9</w:t>
      </w:r>
      <w:r>
        <w:t xml:space="preserve"> provides a summary.</w:t>
      </w:r>
    </w:p>
    <w:p w:rsidR="00067769" w:rsidRDefault="00067769" w:rsidP="00E560FF">
      <w:pPr>
        <w:pStyle w:val="Tabletitle"/>
      </w:pPr>
      <w:r>
        <w:t>Table 5.</w:t>
      </w:r>
      <w:r w:rsidR="00CD15E3">
        <w:t>9</w:t>
      </w:r>
      <w:r>
        <w:t xml:space="preserve">: Off-river operators: current methodologies for passing through fixed and variable volumetric on-river infrastructure charges </w:t>
      </w:r>
      <w:r w:rsidR="00CA78BC">
        <w:t xml:space="preserve">(ICs) </w:t>
      </w:r>
      <w:r>
        <w:t xml:space="preserve">and planning </w:t>
      </w:r>
      <w:r w:rsidR="00CA78BC">
        <w:t>and</w:t>
      </w:r>
      <w:r>
        <w:t xml:space="preserve"> management charges</w:t>
      </w:r>
    </w:p>
    <w:tbl>
      <w:tblPr>
        <w:tblStyle w:val="TableGrid"/>
        <w:tblW w:w="0" w:type="auto"/>
        <w:tblLook w:val="04A0" w:firstRow="1" w:lastRow="0" w:firstColumn="1" w:lastColumn="0" w:noHBand="0" w:noVBand="1"/>
      </w:tblPr>
      <w:tblGrid>
        <w:gridCol w:w="3936"/>
        <w:gridCol w:w="1701"/>
        <w:gridCol w:w="1701"/>
        <w:gridCol w:w="1905"/>
      </w:tblGrid>
      <w:tr w:rsidR="0013120E" w:rsidTr="0013120E">
        <w:trPr>
          <w:tblHeader/>
        </w:trPr>
        <w:tc>
          <w:tcPr>
            <w:tcW w:w="3936" w:type="dxa"/>
            <w:tcBorders>
              <w:bottom w:val="single" w:sz="4" w:space="0" w:color="auto"/>
            </w:tcBorders>
            <w:shd w:val="clear" w:color="auto" w:fill="D9D9D9" w:themeFill="background1" w:themeFillShade="D9"/>
          </w:tcPr>
          <w:p w:rsidR="0013120E" w:rsidRPr="00F43856" w:rsidRDefault="0013120E" w:rsidP="00C06B07">
            <w:pPr>
              <w:pStyle w:val="tabletext"/>
              <w:rPr>
                <w:b/>
              </w:rPr>
            </w:pPr>
            <w:r w:rsidRPr="00F43856">
              <w:rPr>
                <w:b/>
              </w:rPr>
              <w:t>Operator</w:t>
            </w:r>
          </w:p>
        </w:tc>
        <w:tc>
          <w:tcPr>
            <w:tcW w:w="1701" w:type="dxa"/>
            <w:tcBorders>
              <w:bottom w:val="single" w:sz="4" w:space="0" w:color="auto"/>
            </w:tcBorders>
            <w:shd w:val="clear" w:color="auto" w:fill="D9D9D9" w:themeFill="background1" w:themeFillShade="D9"/>
          </w:tcPr>
          <w:p w:rsidR="0013120E" w:rsidRPr="00F43856" w:rsidRDefault="0013120E" w:rsidP="00C06B07">
            <w:pPr>
              <w:pStyle w:val="tabletext"/>
              <w:rPr>
                <w:b/>
              </w:rPr>
            </w:pPr>
            <w:r w:rsidRPr="00F43856">
              <w:rPr>
                <w:b/>
              </w:rPr>
              <w:t>Fixed on-river ICs / planning &amp; management charges separated out from operator’s own charges?</w:t>
            </w:r>
          </w:p>
        </w:tc>
        <w:tc>
          <w:tcPr>
            <w:tcW w:w="1701" w:type="dxa"/>
            <w:tcBorders>
              <w:bottom w:val="single" w:sz="4" w:space="0" w:color="auto"/>
            </w:tcBorders>
            <w:shd w:val="clear" w:color="auto" w:fill="D9D9D9" w:themeFill="background1" w:themeFillShade="D9"/>
          </w:tcPr>
          <w:p w:rsidR="0013120E" w:rsidRPr="00F43856" w:rsidRDefault="0013120E" w:rsidP="00C06B07">
            <w:pPr>
              <w:pStyle w:val="tabletext"/>
              <w:rPr>
                <w:b/>
              </w:rPr>
            </w:pPr>
            <w:r w:rsidRPr="00F43856">
              <w:rPr>
                <w:b/>
              </w:rPr>
              <w:t>Variable on-river ICs / planning &amp; management charges separated out from operator’s own charges?</w:t>
            </w:r>
          </w:p>
        </w:tc>
        <w:tc>
          <w:tcPr>
            <w:tcW w:w="1905" w:type="dxa"/>
            <w:tcBorders>
              <w:bottom w:val="single" w:sz="4" w:space="0" w:color="auto"/>
            </w:tcBorders>
            <w:shd w:val="clear" w:color="auto" w:fill="D9D9D9" w:themeFill="background1" w:themeFillShade="D9"/>
          </w:tcPr>
          <w:p w:rsidR="0013120E" w:rsidRPr="00F43856" w:rsidRDefault="0013120E" w:rsidP="00C06B07">
            <w:pPr>
              <w:pStyle w:val="tabletext"/>
              <w:rPr>
                <w:b/>
              </w:rPr>
            </w:pPr>
            <w:r w:rsidRPr="00F43856">
              <w:rPr>
                <w:b/>
              </w:rPr>
              <w:t>Schedule of charges distinguishes between charges levied to recover on-river ICs versus planning &amp; management charges?</w:t>
            </w:r>
            <w:r w:rsidRPr="00F43856">
              <w:rPr>
                <w:rStyle w:val="FootnoteReference"/>
                <w:b/>
              </w:rPr>
              <w:footnoteReference w:id="663"/>
            </w:r>
          </w:p>
        </w:tc>
      </w:tr>
      <w:tr w:rsidR="0013120E" w:rsidTr="0013120E">
        <w:tc>
          <w:tcPr>
            <w:tcW w:w="3936"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r w:rsidRPr="00C52AEB">
              <w:rPr>
                <w:i/>
                <w:shd w:val="clear" w:color="auto" w:fill="D9D9D9" w:themeFill="background1" w:themeFillShade="D9"/>
              </w:rPr>
              <w:t>Off-river IO, member owned, &lt;10 GL</w:t>
            </w:r>
            <w:r w:rsidRPr="00C52AEB">
              <w:rPr>
                <w:i/>
                <w:shd w:val="clear" w:color="auto" w:fill="D9D9D9" w:themeFill="background1" w:themeFillShade="D9"/>
                <w:vertAlign w:val="superscript"/>
              </w:rPr>
              <w:t>†</w:t>
            </w: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p>
        </w:tc>
        <w:tc>
          <w:tcPr>
            <w:tcW w:w="19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3120E" w:rsidRPr="00861AC9" w:rsidRDefault="0013120E" w:rsidP="00C06B07">
            <w:pPr>
              <w:pStyle w:val="tabletext"/>
              <w:spacing w:before="120" w:after="120"/>
              <w:rPr>
                <w:i/>
              </w:rPr>
            </w:pPr>
          </w:p>
        </w:tc>
      </w:tr>
      <w:tr w:rsidR="0013120E" w:rsidTr="0013120E">
        <w:tc>
          <w:tcPr>
            <w:tcW w:w="3936" w:type="dxa"/>
            <w:tcBorders>
              <w:top w:val="single" w:sz="4" w:space="0" w:color="auto"/>
            </w:tcBorders>
            <w:vAlign w:val="center"/>
          </w:tcPr>
          <w:p w:rsidR="0013120E" w:rsidRPr="002509C8" w:rsidRDefault="0013120E" w:rsidP="00C06B07">
            <w:pPr>
              <w:pStyle w:val="tabletext"/>
            </w:pPr>
            <w:r w:rsidRPr="002509C8">
              <w:t>Bringan Irrigation Trust</w:t>
            </w:r>
          </w:p>
        </w:tc>
        <w:tc>
          <w:tcPr>
            <w:tcW w:w="1701" w:type="dxa"/>
            <w:tcBorders>
              <w:top w:val="single" w:sz="4" w:space="0" w:color="auto"/>
            </w:tcBorders>
            <w:vAlign w:val="center"/>
          </w:tcPr>
          <w:p w:rsidR="0013120E" w:rsidRPr="002509C8" w:rsidRDefault="0013120E" w:rsidP="00C06B07">
            <w:pPr>
              <w:pStyle w:val="tabletext"/>
            </w:pPr>
            <w:r w:rsidRPr="002509C8">
              <w:sym w:font="Wingdings" w:char="F0FB"/>
            </w:r>
          </w:p>
        </w:tc>
        <w:tc>
          <w:tcPr>
            <w:tcW w:w="1701" w:type="dxa"/>
            <w:tcBorders>
              <w:top w:val="single" w:sz="4" w:space="0" w:color="auto"/>
            </w:tcBorders>
            <w:vAlign w:val="center"/>
          </w:tcPr>
          <w:p w:rsidR="0013120E" w:rsidRPr="002509C8" w:rsidRDefault="0013120E" w:rsidP="00C06B07">
            <w:pPr>
              <w:pStyle w:val="tabletext"/>
            </w:pPr>
            <w:r w:rsidRPr="002509C8">
              <w:sym w:font="Wingdings" w:char="F0FB"/>
            </w:r>
          </w:p>
        </w:tc>
        <w:tc>
          <w:tcPr>
            <w:tcW w:w="1905" w:type="dxa"/>
            <w:tcBorders>
              <w:top w:val="single" w:sz="4" w:space="0" w:color="auto"/>
            </w:tcBorders>
            <w:vAlign w:val="center"/>
          </w:tcPr>
          <w:p w:rsidR="0013120E" w:rsidRPr="002509C8" w:rsidRDefault="0013120E" w:rsidP="00C06B07">
            <w:pPr>
              <w:pStyle w:val="tabletext"/>
            </w:pPr>
            <w:r w:rsidRPr="002509C8">
              <w:sym w:font="Wingdings" w:char="F0FC"/>
            </w:r>
          </w:p>
        </w:tc>
      </w:tr>
      <w:tr w:rsidR="0013120E" w:rsidTr="0013120E">
        <w:tc>
          <w:tcPr>
            <w:tcW w:w="3936" w:type="dxa"/>
            <w:vAlign w:val="center"/>
          </w:tcPr>
          <w:p w:rsidR="0013120E" w:rsidRPr="002509C8" w:rsidRDefault="0013120E" w:rsidP="00C06B07">
            <w:pPr>
              <w:pStyle w:val="tabletext"/>
            </w:pPr>
            <w:r w:rsidRPr="002509C8">
              <w:t xml:space="preserve">Bullatale </w:t>
            </w:r>
          </w:p>
        </w:tc>
        <w:tc>
          <w:tcPr>
            <w:tcW w:w="1701" w:type="dxa"/>
            <w:vAlign w:val="center"/>
          </w:tcPr>
          <w:p w:rsidR="0013120E" w:rsidRPr="002509C8" w:rsidRDefault="0013120E" w:rsidP="00C06B07">
            <w:pPr>
              <w:pStyle w:val="tabletext"/>
            </w:pPr>
            <w:r w:rsidRPr="002509C8">
              <w:sym w:font="Wingdings" w:char="F0FC"/>
            </w:r>
          </w:p>
        </w:tc>
        <w:tc>
          <w:tcPr>
            <w:tcW w:w="1701" w:type="dxa"/>
            <w:vAlign w:val="center"/>
          </w:tcPr>
          <w:p w:rsidR="0013120E" w:rsidRPr="002509C8" w:rsidRDefault="0013120E" w:rsidP="00C06B07">
            <w:pPr>
              <w:pStyle w:val="tabletext"/>
            </w:pPr>
            <w:r w:rsidRPr="002509C8">
              <w:sym w:font="Wingdings" w:char="F0FC"/>
            </w:r>
          </w:p>
        </w:tc>
        <w:tc>
          <w:tcPr>
            <w:tcW w:w="1905" w:type="dxa"/>
            <w:vAlign w:val="center"/>
          </w:tcPr>
          <w:p w:rsidR="0013120E" w:rsidRPr="002509C8" w:rsidRDefault="0013120E" w:rsidP="00C06B07">
            <w:pPr>
              <w:pStyle w:val="tabletext"/>
            </w:pPr>
            <w:r w:rsidRPr="002509C8">
              <w:sym w:font="Wingdings" w:char="F0FB"/>
            </w:r>
          </w:p>
        </w:tc>
      </w:tr>
      <w:tr w:rsidR="0013120E" w:rsidTr="0013120E">
        <w:tc>
          <w:tcPr>
            <w:tcW w:w="3936" w:type="dxa"/>
            <w:vAlign w:val="center"/>
          </w:tcPr>
          <w:p w:rsidR="0013120E" w:rsidRPr="002509C8" w:rsidRDefault="0013120E" w:rsidP="00C06B07">
            <w:pPr>
              <w:pStyle w:val="tabletext"/>
            </w:pPr>
            <w:r w:rsidRPr="002509C8">
              <w:t>Bungunyah-Koraleigh Irrigation Trust</w:t>
            </w:r>
          </w:p>
        </w:tc>
        <w:tc>
          <w:tcPr>
            <w:tcW w:w="1701" w:type="dxa"/>
            <w:vAlign w:val="center"/>
          </w:tcPr>
          <w:p w:rsidR="0013120E" w:rsidRPr="002509C8" w:rsidRDefault="0013120E" w:rsidP="00C06B07">
            <w:pPr>
              <w:pStyle w:val="tabletext"/>
            </w:pPr>
            <w:r w:rsidRPr="002509C8">
              <w:sym w:font="Wingdings" w:char="F0FC"/>
            </w:r>
          </w:p>
        </w:tc>
        <w:tc>
          <w:tcPr>
            <w:tcW w:w="1701" w:type="dxa"/>
            <w:vAlign w:val="center"/>
          </w:tcPr>
          <w:p w:rsidR="0013120E" w:rsidRPr="002509C8" w:rsidRDefault="0013120E" w:rsidP="00C06B07">
            <w:pPr>
              <w:pStyle w:val="tabletext"/>
            </w:pPr>
            <w:r w:rsidRPr="002509C8">
              <w:sym w:font="Wingdings" w:char="F0FC"/>
            </w:r>
          </w:p>
        </w:tc>
        <w:tc>
          <w:tcPr>
            <w:tcW w:w="1905" w:type="dxa"/>
            <w:vAlign w:val="center"/>
          </w:tcPr>
          <w:p w:rsidR="0013120E" w:rsidRPr="002509C8" w:rsidRDefault="0013120E" w:rsidP="00C06B07">
            <w:pPr>
              <w:pStyle w:val="tabletext"/>
            </w:pPr>
            <w:r w:rsidRPr="002509C8">
              <w:sym w:font="Wingdings" w:char="F0FB"/>
            </w:r>
          </w:p>
        </w:tc>
      </w:tr>
      <w:tr w:rsidR="0013120E" w:rsidTr="0013120E">
        <w:tc>
          <w:tcPr>
            <w:tcW w:w="3936" w:type="dxa"/>
            <w:vAlign w:val="center"/>
          </w:tcPr>
          <w:p w:rsidR="0013120E" w:rsidRPr="002509C8" w:rsidRDefault="0013120E" w:rsidP="00C06B07">
            <w:pPr>
              <w:pStyle w:val="tabletext"/>
            </w:pPr>
            <w:r w:rsidRPr="002509C8">
              <w:t>Glenview Irrigation Trust</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C"/>
            </w:r>
          </w:p>
        </w:tc>
      </w:tr>
      <w:tr w:rsidR="0013120E" w:rsidTr="0013120E">
        <w:tc>
          <w:tcPr>
            <w:tcW w:w="3936" w:type="dxa"/>
            <w:vAlign w:val="center"/>
          </w:tcPr>
          <w:p w:rsidR="0013120E" w:rsidRPr="002509C8" w:rsidRDefault="0013120E" w:rsidP="00C06B07">
            <w:pPr>
              <w:pStyle w:val="tabletext"/>
            </w:pPr>
            <w:r w:rsidRPr="002509C8">
              <w:t>Goodnight Irrigation Trust</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B"/>
            </w:r>
            <w:r w:rsidRPr="002509C8">
              <w:rPr>
                <w:vertAlign w:val="superscript"/>
              </w:rPr>
              <w:t>**</w:t>
            </w:r>
          </w:p>
        </w:tc>
      </w:tr>
      <w:tr w:rsidR="0013120E" w:rsidTr="0013120E">
        <w:tc>
          <w:tcPr>
            <w:tcW w:w="3936" w:type="dxa"/>
            <w:vAlign w:val="center"/>
          </w:tcPr>
          <w:p w:rsidR="0013120E" w:rsidRPr="002509C8" w:rsidRDefault="0013120E" w:rsidP="00C06B07">
            <w:pPr>
              <w:pStyle w:val="tabletext"/>
            </w:pPr>
            <w:r w:rsidRPr="002509C8">
              <w:t>Pomona Water</w:t>
            </w:r>
          </w:p>
        </w:tc>
        <w:tc>
          <w:tcPr>
            <w:tcW w:w="1701" w:type="dxa"/>
            <w:vAlign w:val="center"/>
          </w:tcPr>
          <w:p w:rsidR="0013120E" w:rsidRPr="002509C8" w:rsidRDefault="0013120E" w:rsidP="00C06B07">
            <w:pPr>
              <w:pStyle w:val="tabletext"/>
            </w:pPr>
            <w:r w:rsidRPr="002509C8">
              <w:sym w:font="Wingdings" w:char="F0FC"/>
            </w:r>
          </w:p>
        </w:tc>
        <w:tc>
          <w:tcPr>
            <w:tcW w:w="1701" w:type="dxa"/>
            <w:vAlign w:val="center"/>
          </w:tcPr>
          <w:p w:rsidR="0013120E" w:rsidRPr="002509C8" w:rsidRDefault="0013120E" w:rsidP="00C06B07">
            <w:pPr>
              <w:pStyle w:val="tabletext"/>
            </w:pPr>
            <w:r w:rsidRPr="002509C8">
              <w:sym w:font="Wingdings" w:char="F0FC"/>
            </w:r>
          </w:p>
        </w:tc>
        <w:tc>
          <w:tcPr>
            <w:tcW w:w="1905" w:type="dxa"/>
            <w:vAlign w:val="center"/>
          </w:tcPr>
          <w:p w:rsidR="0013120E" w:rsidRPr="002509C8" w:rsidRDefault="0013120E" w:rsidP="00C06B07">
            <w:pPr>
              <w:pStyle w:val="tabletext"/>
            </w:pPr>
            <w:r w:rsidRPr="002509C8">
              <w:sym w:font="Wingdings" w:char="F0FB"/>
            </w:r>
          </w:p>
        </w:tc>
      </w:tr>
      <w:tr w:rsidR="0013120E" w:rsidTr="0013120E">
        <w:tc>
          <w:tcPr>
            <w:tcW w:w="3936" w:type="dxa"/>
            <w:vAlign w:val="center"/>
          </w:tcPr>
          <w:p w:rsidR="0013120E" w:rsidRPr="002509C8" w:rsidRDefault="0013120E" w:rsidP="00C06B07">
            <w:pPr>
              <w:pStyle w:val="tabletext"/>
            </w:pPr>
            <w:r w:rsidRPr="002509C8">
              <w:t>West Cadell Irrigation Trust</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B"/>
            </w:r>
            <w:r w:rsidRPr="002509C8">
              <w:rPr>
                <w:vertAlign w:val="superscript"/>
              </w:rPr>
              <w:t>*</w:t>
            </w:r>
          </w:p>
        </w:tc>
      </w:tr>
      <w:tr w:rsidR="0013120E" w:rsidTr="0013120E">
        <w:tc>
          <w:tcPr>
            <w:tcW w:w="3936" w:type="dxa"/>
            <w:shd w:val="clear" w:color="auto" w:fill="D9D9D9" w:themeFill="background1" w:themeFillShade="D9"/>
            <w:vAlign w:val="center"/>
          </w:tcPr>
          <w:p w:rsidR="0013120E" w:rsidRPr="00861AC9" w:rsidRDefault="0013120E" w:rsidP="00C06B07">
            <w:pPr>
              <w:pStyle w:val="tabletext"/>
              <w:spacing w:before="120" w:after="120"/>
              <w:rPr>
                <w:i/>
              </w:rPr>
            </w:pPr>
            <w:r w:rsidRPr="00C52AEB">
              <w:rPr>
                <w:i/>
                <w:shd w:val="clear" w:color="auto" w:fill="D9D9D9" w:themeFill="background1" w:themeFillShade="D9"/>
              </w:rPr>
              <w:t>Off-river IO, member owned, 10 GL – 125 GL</w:t>
            </w:r>
          </w:p>
        </w:tc>
        <w:tc>
          <w:tcPr>
            <w:tcW w:w="1701" w:type="dxa"/>
            <w:shd w:val="clear" w:color="auto" w:fill="D9D9D9" w:themeFill="background1" w:themeFillShade="D9"/>
            <w:vAlign w:val="center"/>
          </w:tcPr>
          <w:p w:rsidR="0013120E" w:rsidRPr="00861AC9" w:rsidRDefault="0013120E" w:rsidP="00C06B07">
            <w:pPr>
              <w:pStyle w:val="tabletext"/>
              <w:spacing w:before="120" w:after="120"/>
              <w:rPr>
                <w:i/>
              </w:rPr>
            </w:pPr>
          </w:p>
        </w:tc>
        <w:tc>
          <w:tcPr>
            <w:tcW w:w="1701" w:type="dxa"/>
            <w:shd w:val="clear" w:color="auto" w:fill="D9D9D9" w:themeFill="background1" w:themeFillShade="D9"/>
            <w:vAlign w:val="center"/>
          </w:tcPr>
          <w:p w:rsidR="0013120E" w:rsidRPr="00861AC9" w:rsidRDefault="0013120E" w:rsidP="00C06B07">
            <w:pPr>
              <w:pStyle w:val="tabletext"/>
              <w:spacing w:before="120" w:after="120"/>
              <w:rPr>
                <w:i/>
              </w:rPr>
            </w:pPr>
          </w:p>
        </w:tc>
        <w:tc>
          <w:tcPr>
            <w:tcW w:w="1905" w:type="dxa"/>
            <w:shd w:val="clear" w:color="auto" w:fill="D9D9D9" w:themeFill="background1" w:themeFillShade="D9"/>
            <w:vAlign w:val="center"/>
          </w:tcPr>
          <w:p w:rsidR="0013120E" w:rsidRPr="00861AC9" w:rsidRDefault="0013120E" w:rsidP="00C06B07">
            <w:pPr>
              <w:pStyle w:val="tabletext"/>
              <w:spacing w:before="120" w:after="120"/>
              <w:rPr>
                <w:i/>
              </w:rPr>
            </w:pPr>
          </w:p>
        </w:tc>
      </w:tr>
      <w:tr w:rsidR="0013120E" w:rsidTr="0013120E">
        <w:tc>
          <w:tcPr>
            <w:tcW w:w="3936" w:type="dxa"/>
            <w:vAlign w:val="center"/>
          </w:tcPr>
          <w:p w:rsidR="0013120E" w:rsidRPr="002509C8" w:rsidRDefault="0013120E" w:rsidP="00C06B07">
            <w:pPr>
              <w:pStyle w:val="tabletext"/>
            </w:pPr>
            <w:r w:rsidRPr="002509C8">
              <w:t>Buddah Lake Irrigators’ Association</w:t>
            </w:r>
            <w:r>
              <w:t xml:space="preserve"> </w:t>
            </w:r>
          </w:p>
        </w:tc>
        <w:tc>
          <w:tcPr>
            <w:tcW w:w="1701" w:type="dxa"/>
            <w:vAlign w:val="center"/>
          </w:tcPr>
          <w:p w:rsidR="0013120E" w:rsidRPr="002509C8" w:rsidRDefault="0013120E" w:rsidP="00C06B07">
            <w:pPr>
              <w:pStyle w:val="tabletext"/>
            </w:pPr>
            <w:r w:rsidRPr="002509C8">
              <w:sym w:font="Wingdings" w:char="F0FC"/>
            </w:r>
          </w:p>
        </w:tc>
        <w:tc>
          <w:tcPr>
            <w:tcW w:w="1701" w:type="dxa"/>
            <w:vAlign w:val="center"/>
          </w:tcPr>
          <w:p w:rsidR="0013120E" w:rsidRPr="002509C8" w:rsidRDefault="0013120E" w:rsidP="00C06B07">
            <w:pPr>
              <w:pStyle w:val="tabletext"/>
            </w:pPr>
            <w:r w:rsidRPr="002509C8">
              <w:sym w:font="Wingdings" w:char="F0FC"/>
            </w:r>
          </w:p>
        </w:tc>
        <w:tc>
          <w:tcPr>
            <w:tcW w:w="1905" w:type="dxa"/>
            <w:vAlign w:val="center"/>
          </w:tcPr>
          <w:p w:rsidR="0013120E" w:rsidRPr="002509C8" w:rsidRDefault="0013120E" w:rsidP="00C06B07">
            <w:pPr>
              <w:pStyle w:val="tabletext"/>
            </w:pPr>
            <w:r w:rsidRPr="002509C8">
              <w:sym w:font="Wingdings" w:char="F0FB"/>
            </w:r>
          </w:p>
        </w:tc>
      </w:tr>
      <w:tr w:rsidR="0013120E" w:rsidTr="0013120E">
        <w:tc>
          <w:tcPr>
            <w:tcW w:w="3936" w:type="dxa"/>
            <w:vAlign w:val="center"/>
          </w:tcPr>
          <w:p w:rsidR="0013120E" w:rsidRPr="002509C8" w:rsidRDefault="0013120E" w:rsidP="00C06B07">
            <w:pPr>
              <w:pStyle w:val="tabletext"/>
            </w:pPr>
            <w:r w:rsidRPr="002509C8">
              <w:t>Eagle Creek Pumping Syndicate</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B"/>
            </w:r>
            <w:r w:rsidRPr="002509C8">
              <w:rPr>
                <w:vertAlign w:val="superscript"/>
              </w:rPr>
              <w:t>**</w:t>
            </w:r>
          </w:p>
        </w:tc>
      </w:tr>
      <w:tr w:rsidR="0013120E" w:rsidTr="0013120E">
        <w:tc>
          <w:tcPr>
            <w:tcW w:w="3936" w:type="dxa"/>
            <w:vAlign w:val="center"/>
          </w:tcPr>
          <w:p w:rsidR="0013120E" w:rsidRPr="002509C8" w:rsidRDefault="0013120E" w:rsidP="00C06B07">
            <w:pPr>
              <w:pStyle w:val="tabletext"/>
            </w:pPr>
            <w:r w:rsidRPr="002509C8">
              <w:t>Hay Private Irrigation District</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C"/>
            </w:r>
          </w:p>
        </w:tc>
        <w:tc>
          <w:tcPr>
            <w:tcW w:w="1905" w:type="dxa"/>
            <w:vAlign w:val="center"/>
          </w:tcPr>
          <w:p w:rsidR="0013120E" w:rsidRPr="002509C8" w:rsidRDefault="0013120E" w:rsidP="00C06B07">
            <w:pPr>
              <w:pStyle w:val="tabletext"/>
            </w:pPr>
            <w:r w:rsidRPr="002509C8">
              <w:sym w:font="Wingdings" w:char="F0FC"/>
            </w:r>
            <w:r w:rsidRPr="002509C8">
              <w:t xml:space="preserve"> (for fixed charges only)</w:t>
            </w:r>
          </w:p>
        </w:tc>
      </w:tr>
      <w:tr w:rsidR="0013120E" w:rsidTr="0013120E">
        <w:tc>
          <w:tcPr>
            <w:tcW w:w="3936" w:type="dxa"/>
            <w:vAlign w:val="center"/>
          </w:tcPr>
          <w:p w:rsidR="0013120E" w:rsidRPr="002509C8" w:rsidRDefault="0013120E" w:rsidP="00C06B07">
            <w:pPr>
              <w:pStyle w:val="tabletext"/>
            </w:pPr>
            <w:r w:rsidRPr="002509C8">
              <w:t>Jemalong Irrigation Limited</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B"/>
            </w:r>
            <w:r w:rsidRPr="002509C8">
              <w:rPr>
                <w:vertAlign w:val="superscript"/>
              </w:rPr>
              <w:t>**</w:t>
            </w:r>
          </w:p>
        </w:tc>
      </w:tr>
      <w:tr w:rsidR="0013120E" w:rsidTr="0013120E">
        <w:tc>
          <w:tcPr>
            <w:tcW w:w="3936" w:type="dxa"/>
            <w:vAlign w:val="center"/>
          </w:tcPr>
          <w:p w:rsidR="0013120E" w:rsidRPr="002509C8" w:rsidRDefault="0013120E" w:rsidP="00C06B07">
            <w:pPr>
              <w:pStyle w:val="tabletext"/>
            </w:pPr>
            <w:r w:rsidRPr="002509C8">
              <w:t>Marthaguy Irrigation Scheme</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C"/>
            </w:r>
          </w:p>
        </w:tc>
        <w:tc>
          <w:tcPr>
            <w:tcW w:w="1905" w:type="dxa"/>
            <w:vAlign w:val="center"/>
          </w:tcPr>
          <w:p w:rsidR="0013120E" w:rsidRPr="002509C8" w:rsidRDefault="0013120E" w:rsidP="00C06B07">
            <w:pPr>
              <w:pStyle w:val="tabletext"/>
            </w:pPr>
            <w:r w:rsidRPr="002509C8">
              <w:sym w:font="Wingdings" w:char="F0FC"/>
            </w:r>
            <w:r w:rsidRPr="002509C8">
              <w:t xml:space="preserve"> (for fixed charges only)</w:t>
            </w:r>
          </w:p>
        </w:tc>
      </w:tr>
      <w:tr w:rsidR="0013120E" w:rsidTr="0013120E">
        <w:tc>
          <w:tcPr>
            <w:tcW w:w="3936" w:type="dxa"/>
            <w:vAlign w:val="center"/>
          </w:tcPr>
          <w:p w:rsidR="0013120E" w:rsidRPr="002509C8" w:rsidRDefault="0013120E" w:rsidP="00C06B07">
            <w:pPr>
              <w:pStyle w:val="tabletext"/>
            </w:pPr>
            <w:r w:rsidRPr="002509C8">
              <w:t>Moira Private Irrigation District</w:t>
            </w:r>
          </w:p>
        </w:tc>
        <w:tc>
          <w:tcPr>
            <w:tcW w:w="1701" w:type="dxa"/>
            <w:vAlign w:val="center"/>
          </w:tcPr>
          <w:p w:rsidR="0013120E" w:rsidRPr="002509C8" w:rsidRDefault="0013120E" w:rsidP="00C06B07">
            <w:pPr>
              <w:pStyle w:val="tabletext"/>
            </w:pPr>
            <w:r w:rsidRPr="002509C8">
              <w:sym w:font="Wingdings" w:char="F0FC"/>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B"/>
            </w:r>
            <w:r w:rsidRPr="002509C8">
              <w:rPr>
                <w:vertAlign w:val="superscript"/>
              </w:rPr>
              <w:t>***</w:t>
            </w:r>
          </w:p>
          <w:p w:rsidR="0013120E" w:rsidRPr="002509C8" w:rsidRDefault="0013120E" w:rsidP="00C06B07">
            <w:pPr>
              <w:pStyle w:val="tabletext"/>
            </w:pPr>
          </w:p>
        </w:tc>
      </w:tr>
      <w:tr w:rsidR="0013120E" w:rsidTr="0013120E">
        <w:tc>
          <w:tcPr>
            <w:tcW w:w="3936" w:type="dxa"/>
            <w:vAlign w:val="center"/>
          </w:tcPr>
          <w:p w:rsidR="0013120E" w:rsidRPr="002509C8" w:rsidRDefault="0013120E" w:rsidP="00C06B07">
            <w:pPr>
              <w:pStyle w:val="tabletext"/>
            </w:pPr>
            <w:r w:rsidRPr="002509C8">
              <w:t>Narromine Irrigation Board of Management</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C"/>
            </w:r>
            <w:r w:rsidRPr="002509C8">
              <w:rPr>
                <w:vertAlign w:val="superscript"/>
              </w:rPr>
              <w:t>***</w:t>
            </w:r>
            <w:r w:rsidRPr="002509C8">
              <w:rPr>
                <w:rStyle w:val="FootnoteReference"/>
              </w:rPr>
              <w:footnoteReference w:id="664"/>
            </w:r>
          </w:p>
        </w:tc>
      </w:tr>
      <w:tr w:rsidR="0013120E" w:rsidTr="0013120E">
        <w:tc>
          <w:tcPr>
            <w:tcW w:w="3936" w:type="dxa"/>
            <w:vAlign w:val="center"/>
          </w:tcPr>
          <w:p w:rsidR="0013120E" w:rsidRPr="002509C8" w:rsidRDefault="0013120E" w:rsidP="00C06B07">
            <w:pPr>
              <w:pStyle w:val="tabletext"/>
            </w:pPr>
            <w:r w:rsidRPr="002509C8">
              <w:t>Renmark Irrigation Trust</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t>n/a</w:t>
            </w:r>
          </w:p>
        </w:tc>
        <w:tc>
          <w:tcPr>
            <w:tcW w:w="1905" w:type="dxa"/>
            <w:vAlign w:val="center"/>
          </w:tcPr>
          <w:p w:rsidR="0013120E" w:rsidRPr="002509C8" w:rsidRDefault="0013120E" w:rsidP="00C06B07">
            <w:pPr>
              <w:pStyle w:val="tabletext"/>
            </w:pPr>
            <w:r w:rsidRPr="002509C8">
              <w:sym w:font="Wingdings" w:char="F0FC"/>
            </w:r>
          </w:p>
        </w:tc>
      </w:tr>
      <w:tr w:rsidR="0013120E" w:rsidTr="0013120E">
        <w:tc>
          <w:tcPr>
            <w:tcW w:w="3936" w:type="dxa"/>
            <w:vAlign w:val="center"/>
          </w:tcPr>
          <w:p w:rsidR="0013120E" w:rsidRPr="002509C8" w:rsidRDefault="0013120E" w:rsidP="00C06B07">
            <w:pPr>
              <w:pStyle w:val="tabletext"/>
            </w:pPr>
            <w:r w:rsidRPr="002509C8">
              <w:t>Tenandra Irrigation Scheme</w:t>
            </w:r>
          </w:p>
        </w:tc>
        <w:tc>
          <w:tcPr>
            <w:tcW w:w="1701" w:type="dxa"/>
            <w:vAlign w:val="center"/>
          </w:tcPr>
          <w:p w:rsidR="0013120E" w:rsidRPr="002509C8" w:rsidRDefault="0013120E" w:rsidP="00C06B07">
            <w:pPr>
              <w:pStyle w:val="tabletext"/>
            </w:pPr>
            <w:r w:rsidRPr="002509C8">
              <w:sym w:font="Wingdings" w:char="F0FC"/>
            </w:r>
          </w:p>
        </w:tc>
        <w:tc>
          <w:tcPr>
            <w:tcW w:w="1701" w:type="dxa"/>
            <w:vAlign w:val="center"/>
          </w:tcPr>
          <w:p w:rsidR="0013120E" w:rsidRPr="002509C8" w:rsidRDefault="0013120E" w:rsidP="00C06B07">
            <w:pPr>
              <w:pStyle w:val="tabletext"/>
            </w:pPr>
            <w:r w:rsidRPr="002509C8">
              <w:sym w:font="Wingdings" w:char="F0FC"/>
            </w:r>
          </w:p>
        </w:tc>
        <w:tc>
          <w:tcPr>
            <w:tcW w:w="1905" w:type="dxa"/>
            <w:vAlign w:val="center"/>
          </w:tcPr>
          <w:p w:rsidR="0013120E" w:rsidRPr="002509C8" w:rsidRDefault="0013120E" w:rsidP="00C06B07">
            <w:pPr>
              <w:pStyle w:val="tabletext"/>
            </w:pPr>
            <w:r w:rsidRPr="002509C8">
              <w:sym w:font="Wingdings" w:char="F0FB"/>
            </w:r>
          </w:p>
        </w:tc>
      </w:tr>
      <w:tr w:rsidR="0013120E" w:rsidTr="0013120E">
        <w:tc>
          <w:tcPr>
            <w:tcW w:w="3936" w:type="dxa"/>
            <w:vAlign w:val="center"/>
          </w:tcPr>
          <w:p w:rsidR="0013120E" w:rsidRPr="002509C8" w:rsidRDefault="0013120E" w:rsidP="00C06B07">
            <w:pPr>
              <w:pStyle w:val="tabletext"/>
            </w:pPr>
            <w:r w:rsidRPr="002509C8">
              <w:t>Trangie-Nevertire Irrigation Scheme</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B"/>
            </w:r>
            <w:r w:rsidRPr="002509C8">
              <w:rPr>
                <w:vertAlign w:val="superscript"/>
              </w:rPr>
              <w:t>*</w:t>
            </w:r>
          </w:p>
        </w:tc>
      </w:tr>
      <w:tr w:rsidR="0013120E" w:rsidTr="0013120E">
        <w:tc>
          <w:tcPr>
            <w:tcW w:w="3936" w:type="dxa"/>
            <w:vAlign w:val="center"/>
          </w:tcPr>
          <w:p w:rsidR="0013120E" w:rsidRPr="002509C8" w:rsidRDefault="0013120E" w:rsidP="00C06B07">
            <w:pPr>
              <w:pStyle w:val="tabletext"/>
            </w:pPr>
            <w:r w:rsidRPr="002509C8">
              <w:t>West Corurgan Private Irrigation District</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C"/>
            </w:r>
          </w:p>
        </w:tc>
        <w:tc>
          <w:tcPr>
            <w:tcW w:w="1905" w:type="dxa"/>
            <w:vAlign w:val="center"/>
          </w:tcPr>
          <w:p w:rsidR="0013120E" w:rsidRPr="002509C8" w:rsidRDefault="0013120E" w:rsidP="00C06B07">
            <w:pPr>
              <w:pStyle w:val="tabletext"/>
            </w:pPr>
            <w:r w:rsidRPr="002509C8">
              <w:sym w:font="Wingdings" w:char="F0FB"/>
            </w:r>
            <w:r w:rsidRPr="002509C8">
              <w:rPr>
                <w:vertAlign w:val="superscript"/>
              </w:rPr>
              <w:t>***</w:t>
            </w:r>
          </w:p>
        </w:tc>
      </w:tr>
      <w:tr w:rsidR="0013120E" w:rsidTr="0013120E">
        <w:tc>
          <w:tcPr>
            <w:tcW w:w="3936" w:type="dxa"/>
            <w:tcBorders>
              <w:bottom w:val="single" w:sz="4" w:space="0" w:color="auto"/>
            </w:tcBorders>
            <w:vAlign w:val="center"/>
          </w:tcPr>
          <w:p w:rsidR="0013120E" w:rsidRPr="002509C8" w:rsidRDefault="0013120E" w:rsidP="00C06B07">
            <w:pPr>
              <w:pStyle w:val="tabletext"/>
            </w:pPr>
            <w:r w:rsidRPr="002509C8">
              <w:t>Western Murray Irrigation Limited</w:t>
            </w:r>
            <w:r>
              <w:t xml:space="preserve"> </w:t>
            </w:r>
          </w:p>
        </w:tc>
        <w:tc>
          <w:tcPr>
            <w:tcW w:w="1701" w:type="dxa"/>
            <w:tcBorders>
              <w:bottom w:val="single" w:sz="4" w:space="0" w:color="auto"/>
            </w:tcBorders>
            <w:vAlign w:val="center"/>
          </w:tcPr>
          <w:p w:rsidR="0013120E" w:rsidRPr="002509C8" w:rsidRDefault="0013120E" w:rsidP="00C06B07">
            <w:pPr>
              <w:pStyle w:val="tabletext"/>
            </w:pPr>
            <w:r w:rsidRPr="002509C8">
              <w:sym w:font="Wingdings" w:char="F0FB"/>
            </w:r>
          </w:p>
        </w:tc>
        <w:tc>
          <w:tcPr>
            <w:tcW w:w="1701" w:type="dxa"/>
            <w:tcBorders>
              <w:bottom w:val="single" w:sz="4" w:space="0" w:color="auto"/>
            </w:tcBorders>
            <w:vAlign w:val="center"/>
          </w:tcPr>
          <w:p w:rsidR="0013120E" w:rsidRPr="002509C8" w:rsidRDefault="0013120E" w:rsidP="00C06B07">
            <w:pPr>
              <w:pStyle w:val="tabletext"/>
            </w:pPr>
            <w:r w:rsidRPr="002509C8">
              <w:sym w:font="Wingdings" w:char="F0FB"/>
            </w:r>
          </w:p>
        </w:tc>
        <w:tc>
          <w:tcPr>
            <w:tcW w:w="1905" w:type="dxa"/>
            <w:tcBorders>
              <w:bottom w:val="single" w:sz="4" w:space="0" w:color="auto"/>
            </w:tcBorders>
            <w:vAlign w:val="center"/>
          </w:tcPr>
          <w:p w:rsidR="0013120E" w:rsidRPr="002509C8" w:rsidRDefault="0013120E" w:rsidP="00C06B07">
            <w:pPr>
              <w:pStyle w:val="tabletext"/>
            </w:pPr>
            <w:r w:rsidRPr="002509C8">
              <w:sym w:font="Wingdings" w:char="F0FB"/>
            </w:r>
            <w:r w:rsidRPr="002509C8">
              <w:rPr>
                <w:vertAlign w:val="superscript"/>
              </w:rPr>
              <w:t>*</w:t>
            </w:r>
            <w:r w:rsidRPr="002509C8">
              <w:rPr>
                <w:rStyle w:val="FootnoteReference"/>
              </w:rPr>
              <w:footnoteReference w:id="665"/>
            </w:r>
          </w:p>
        </w:tc>
      </w:tr>
      <w:tr w:rsidR="0013120E" w:rsidTr="0013120E">
        <w:tc>
          <w:tcPr>
            <w:tcW w:w="3936"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r w:rsidRPr="00C52AEB">
              <w:rPr>
                <w:i/>
                <w:shd w:val="clear" w:color="auto" w:fill="D9D9D9" w:themeFill="background1" w:themeFillShade="D9"/>
              </w:rPr>
              <w:t>Off-river IO, member owned, &gt; 125 GL</w:t>
            </w: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p>
        </w:tc>
        <w:tc>
          <w:tcPr>
            <w:tcW w:w="19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3120E" w:rsidRPr="00861AC9" w:rsidRDefault="0013120E" w:rsidP="00C06B07">
            <w:pPr>
              <w:pStyle w:val="tabletext"/>
              <w:spacing w:before="120" w:after="120"/>
              <w:rPr>
                <w:i/>
              </w:rPr>
            </w:pPr>
          </w:p>
        </w:tc>
      </w:tr>
      <w:tr w:rsidR="0013120E" w:rsidTr="0013120E">
        <w:tc>
          <w:tcPr>
            <w:tcW w:w="3936" w:type="dxa"/>
            <w:tcBorders>
              <w:top w:val="single" w:sz="4" w:space="0" w:color="auto"/>
            </w:tcBorders>
            <w:vAlign w:val="center"/>
          </w:tcPr>
          <w:p w:rsidR="0013120E" w:rsidRPr="002509C8" w:rsidRDefault="0013120E" w:rsidP="00C06B07">
            <w:pPr>
              <w:pStyle w:val="tabletext"/>
            </w:pPr>
            <w:r w:rsidRPr="002509C8">
              <w:t>Central Irrigation Trust</w:t>
            </w:r>
            <w:r>
              <w:t xml:space="preserve"> </w:t>
            </w:r>
          </w:p>
        </w:tc>
        <w:tc>
          <w:tcPr>
            <w:tcW w:w="1701" w:type="dxa"/>
            <w:tcBorders>
              <w:top w:val="single" w:sz="4" w:space="0" w:color="auto"/>
            </w:tcBorders>
            <w:vAlign w:val="center"/>
          </w:tcPr>
          <w:p w:rsidR="0013120E" w:rsidRPr="002509C8" w:rsidRDefault="0013120E" w:rsidP="00C06B07">
            <w:pPr>
              <w:pStyle w:val="tabletext"/>
            </w:pPr>
            <w:r w:rsidRPr="002509C8">
              <w:sym w:font="Wingdings" w:char="F0FB"/>
            </w:r>
          </w:p>
        </w:tc>
        <w:tc>
          <w:tcPr>
            <w:tcW w:w="1701" w:type="dxa"/>
            <w:tcBorders>
              <w:top w:val="single" w:sz="4" w:space="0" w:color="auto"/>
            </w:tcBorders>
            <w:vAlign w:val="center"/>
          </w:tcPr>
          <w:p w:rsidR="0013120E" w:rsidRPr="002509C8" w:rsidRDefault="0013120E" w:rsidP="00C06B07">
            <w:pPr>
              <w:pStyle w:val="tabletext"/>
            </w:pPr>
            <w:r w:rsidRPr="002509C8">
              <w:t>n/a</w:t>
            </w:r>
          </w:p>
        </w:tc>
        <w:tc>
          <w:tcPr>
            <w:tcW w:w="1905" w:type="dxa"/>
            <w:tcBorders>
              <w:top w:val="single" w:sz="4" w:space="0" w:color="auto"/>
            </w:tcBorders>
            <w:vAlign w:val="center"/>
          </w:tcPr>
          <w:p w:rsidR="0013120E" w:rsidRPr="002509C8" w:rsidRDefault="0013120E" w:rsidP="00C06B07">
            <w:pPr>
              <w:pStyle w:val="tabletext"/>
            </w:pPr>
            <w:r w:rsidRPr="002509C8">
              <w:sym w:font="Wingdings" w:char="F0FC"/>
            </w:r>
          </w:p>
        </w:tc>
      </w:tr>
      <w:tr w:rsidR="0013120E" w:rsidTr="0013120E">
        <w:tc>
          <w:tcPr>
            <w:tcW w:w="3936" w:type="dxa"/>
            <w:vAlign w:val="center"/>
          </w:tcPr>
          <w:p w:rsidR="0013120E" w:rsidRPr="002509C8" w:rsidRDefault="0013120E" w:rsidP="00C06B07">
            <w:pPr>
              <w:pStyle w:val="tabletext"/>
            </w:pPr>
            <w:r w:rsidRPr="002509C8">
              <w:t>Coleambally Irrigation Co-Operative Limited</w:t>
            </w:r>
            <w:r>
              <w:t xml:space="preserve"> (CICL)</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B"/>
            </w:r>
            <w:r w:rsidRPr="002509C8">
              <w:rPr>
                <w:vertAlign w:val="superscript"/>
              </w:rPr>
              <w:t>*</w:t>
            </w:r>
          </w:p>
          <w:p w:rsidR="0013120E" w:rsidRPr="002509C8" w:rsidRDefault="0013120E" w:rsidP="00C06B07">
            <w:pPr>
              <w:pStyle w:val="tabletext"/>
            </w:pPr>
          </w:p>
        </w:tc>
      </w:tr>
      <w:tr w:rsidR="0013120E" w:rsidTr="0013120E">
        <w:tc>
          <w:tcPr>
            <w:tcW w:w="3936" w:type="dxa"/>
            <w:vAlign w:val="center"/>
          </w:tcPr>
          <w:p w:rsidR="0013120E" w:rsidRPr="002509C8" w:rsidRDefault="0013120E" w:rsidP="00C06B07">
            <w:pPr>
              <w:pStyle w:val="tabletext"/>
            </w:pPr>
            <w:r w:rsidRPr="002509C8">
              <w:t>Murray Irrigation Limited</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B"/>
            </w:r>
            <w:r w:rsidRPr="002509C8">
              <w:rPr>
                <w:rStyle w:val="FootnoteReference"/>
              </w:rPr>
              <w:footnoteReference w:id="666"/>
            </w:r>
          </w:p>
        </w:tc>
      </w:tr>
      <w:tr w:rsidR="0013120E" w:rsidTr="0013120E">
        <w:tc>
          <w:tcPr>
            <w:tcW w:w="3936" w:type="dxa"/>
            <w:tcBorders>
              <w:bottom w:val="single" w:sz="4" w:space="0" w:color="auto"/>
            </w:tcBorders>
            <w:vAlign w:val="center"/>
          </w:tcPr>
          <w:p w:rsidR="0013120E" w:rsidRPr="002509C8" w:rsidRDefault="0013120E" w:rsidP="00C06B07">
            <w:pPr>
              <w:pStyle w:val="tabletext"/>
            </w:pPr>
            <w:r w:rsidRPr="002509C8">
              <w:t>Murrumbidgee Irrigation</w:t>
            </w:r>
            <w:r>
              <w:t xml:space="preserve"> </w:t>
            </w:r>
          </w:p>
        </w:tc>
        <w:tc>
          <w:tcPr>
            <w:tcW w:w="1701" w:type="dxa"/>
            <w:tcBorders>
              <w:bottom w:val="single" w:sz="4" w:space="0" w:color="auto"/>
            </w:tcBorders>
            <w:vAlign w:val="center"/>
          </w:tcPr>
          <w:p w:rsidR="0013120E" w:rsidRPr="002509C8" w:rsidRDefault="0013120E" w:rsidP="00C06B07">
            <w:pPr>
              <w:pStyle w:val="tabletext"/>
            </w:pPr>
            <w:r w:rsidRPr="002509C8">
              <w:sym w:font="Wingdings" w:char="F0FB"/>
            </w:r>
          </w:p>
        </w:tc>
        <w:tc>
          <w:tcPr>
            <w:tcW w:w="1701" w:type="dxa"/>
            <w:tcBorders>
              <w:bottom w:val="single" w:sz="4" w:space="0" w:color="auto"/>
            </w:tcBorders>
            <w:vAlign w:val="center"/>
          </w:tcPr>
          <w:p w:rsidR="0013120E" w:rsidRPr="002509C8" w:rsidRDefault="0013120E" w:rsidP="00C06B07">
            <w:pPr>
              <w:pStyle w:val="tabletext"/>
            </w:pPr>
            <w:r w:rsidRPr="002509C8">
              <w:sym w:font="Wingdings" w:char="F0FB"/>
            </w:r>
          </w:p>
        </w:tc>
        <w:tc>
          <w:tcPr>
            <w:tcW w:w="1905" w:type="dxa"/>
            <w:tcBorders>
              <w:bottom w:val="single" w:sz="4" w:space="0" w:color="auto"/>
            </w:tcBorders>
            <w:vAlign w:val="center"/>
          </w:tcPr>
          <w:p w:rsidR="0013120E" w:rsidRPr="002509C8" w:rsidRDefault="0013120E" w:rsidP="00C06B07">
            <w:pPr>
              <w:pStyle w:val="tabletext"/>
            </w:pPr>
            <w:r w:rsidRPr="002509C8">
              <w:sym w:font="Wingdings" w:char="F0FB"/>
            </w:r>
            <w:r w:rsidRPr="002509C8">
              <w:rPr>
                <w:vertAlign w:val="superscript"/>
              </w:rPr>
              <w:t>***</w:t>
            </w:r>
            <w:r w:rsidRPr="002509C8">
              <w:t xml:space="preserve"> </w:t>
            </w:r>
            <w:r w:rsidRPr="002509C8">
              <w:rPr>
                <w:rStyle w:val="FootnoteReference"/>
              </w:rPr>
              <w:footnoteReference w:id="667"/>
            </w:r>
          </w:p>
        </w:tc>
      </w:tr>
      <w:tr w:rsidR="0013120E" w:rsidTr="0013120E">
        <w:tc>
          <w:tcPr>
            <w:tcW w:w="3936" w:type="dxa"/>
            <w:tcBorders>
              <w:top w:val="single" w:sz="4" w:space="0" w:color="auto"/>
              <w:left w:val="single" w:sz="4" w:space="0" w:color="auto"/>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r w:rsidRPr="00861AC9">
              <w:rPr>
                <w:i/>
              </w:rPr>
              <w:t xml:space="preserve">On-river </w:t>
            </w:r>
            <w:r w:rsidRPr="00C52AEB">
              <w:rPr>
                <w:i/>
                <w:shd w:val="clear" w:color="auto" w:fill="D9D9D9" w:themeFill="background1" w:themeFillShade="D9"/>
              </w:rPr>
              <w:t>&amp; off-river IO, non-member owned</w:t>
            </w: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p>
        </w:tc>
        <w:tc>
          <w:tcPr>
            <w:tcW w:w="1701" w:type="dxa"/>
            <w:tcBorders>
              <w:top w:val="single" w:sz="4" w:space="0" w:color="auto"/>
              <w:left w:val="nil"/>
              <w:bottom w:val="single" w:sz="4" w:space="0" w:color="auto"/>
              <w:right w:val="nil"/>
            </w:tcBorders>
            <w:shd w:val="clear" w:color="auto" w:fill="D9D9D9" w:themeFill="background1" w:themeFillShade="D9"/>
            <w:vAlign w:val="center"/>
          </w:tcPr>
          <w:p w:rsidR="0013120E" w:rsidRPr="00861AC9" w:rsidRDefault="0013120E" w:rsidP="00C06B07">
            <w:pPr>
              <w:pStyle w:val="tabletext"/>
              <w:spacing w:before="120" w:after="120"/>
              <w:rPr>
                <w:i/>
              </w:rPr>
            </w:pPr>
          </w:p>
        </w:tc>
        <w:tc>
          <w:tcPr>
            <w:tcW w:w="19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3120E" w:rsidRPr="00861AC9" w:rsidRDefault="0013120E" w:rsidP="00C06B07">
            <w:pPr>
              <w:pStyle w:val="tabletext"/>
              <w:spacing w:before="120" w:after="120"/>
              <w:rPr>
                <w:i/>
              </w:rPr>
            </w:pPr>
          </w:p>
        </w:tc>
      </w:tr>
      <w:tr w:rsidR="0013120E" w:rsidTr="0013120E">
        <w:tc>
          <w:tcPr>
            <w:tcW w:w="3936" w:type="dxa"/>
            <w:tcBorders>
              <w:top w:val="single" w:sz="4" w:space="0" w:color="auto"/>
            </w:tcBorders>
            <w:vAlign w:val="center"/>
          </w:tcPr>
          <w:p w:rsidR="0013120E" w:rsidRPr="002509C8" w:rsidRDefault="0013120E" w:rsidP="00C06B07">
            <w:pPr>
              <w:pStyle w:val="tabletext"/>
            </w:pPr>
            <w:r w:rsidRPr="002509C8">
              <w:t>SunWater</w:t>
            </w:r>
          </w:p>
        </w:tc>
        <w:tc>
          <w:tcPr>
            <w:tcW w:w="1701" w:type="dxa"/>
            <w:tcBorders>
              <w:top w:val="single" w:sz="4" w:space="0" w:color="auto"/>
            </w:tcBorders>
            <w:vAlign w:val="center"/>
          </w:tcPr>
          <w:p w:rsidR="0013120E" w:rsidRPr="002509C8" w:rsidRDefault="0013120E" w:rsidP="00C06B07">
            <w:pPr>
              <w:pStyle w:val="tabletext"/>
            </w:pPr>
            <w:r w:rsidRPr="002509C8">
              <w:sym w:font="Wingdings" w:char="F0FB"/>
            </w:r>
          </w:p>
        </w:tc>
        <w:tc>
          <w:tcPr>
            <w:tcW w:w="1701" w:type="dxa"/>
            <w:tcBorders>
              <w:top w:val="single" w:sz="4" w:space="0" w:color="auto"/>
            </w:tcBorders>
            <w:vAlign w:val="center"/>
          </w:tcPr>
          <w:p w:rsidR="0013120E" w:rsidRPr="002509C8" w:rsidRDefault="0013120E" w:rsidP="00C06B07">
            <w:pPr>
              <w:pStyle w:val="tabletext"/>
            </w:pPr>
            <w:r w:rsidRPr="002509C8">
              <w:sym w:font="Wingdings" w:char="F0FB"/>
            </w:r>
          </w:p>
        </w:tc>
        <w:tc>
          <w:tcPr>
            <w:tcW w:w="1905" w:type="dxa"/>
            <w:tcBorders>
              <w:top w:val="single" w:sz="4" w:space="0" w:color="auto"/>
            </w:tcBorders>
            <w:vAlign w:val="center"/>
          </w:tcPr>
          <w:p w:rsidR="0013120E" w:rsidRPr="002509C8" w:rsidRDefault="0013120E" w:rsidP="00C06B07">
            <w:pPr>
              <w:pStyle w:val="tabletext"/>
            </w:pPr>
            <w:r w:rsidRPr="002509C8">
              <w:sym w:font="Wingdings" w:char="F0FC"/>
            </w:r>
          </w:p>
        </w:tc>
      </w:tr>
      <w:tr w:rsidR="0013120E" w:rsidTr="0013120E">
        <w:tc>
          <w:tcPr>
            <w:tcW w:w="3936" w:type="dxa"/>
            <w:vAlign w:val="center"/>
          </w:tcPr>
          <w:p w:rsidR="0013120E" w:rsidRPr="002509C8" w:rsidRDefault="0013120E" w:rsidP="00C06B07">
            <w:pPr>
              <w:pStyle w:val="tabletext"/>
            </w:pPr>
            <w:r w:rsidRPr="002509C8">
              <w:t>Lower Murray Water</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C"/>
            </w:r>
          </w:p>
        </w:tc>
      </w:tr>
      <w:tr w:rsidR="0013120E" w:rsidTr="0013120E">
        <w:tc>
          <w:tcPr>
            <w:tcW w:w="3936" w:type="dxa"/>
            <w:vAlign w:val="center"/>
          </w:tcPr>
          <w:p w:rsidR="0013120E" w:rsidRPr="002509C8" w:rsidRDefault="0013120E" w:rsidP="00C06B07">
            <w:pPr>
              <w:pStyle w:val="tabletext"/>
            </w:pPr>
            <w:r w:rsidRPr="002509C8">
              <w:t>Goulburn Murray Water</w:t>
            </w:r>
            <w:r>
              <w:t xml:space="preserve"> </w:t>
            </w:r>
          </w:p>
        </w:tc>
        <w:tc>
          <w:tcPr>
            <w:tcW w:w="1701" w:type="dxa"/>
            <w:vAlign w:val="center"/>
          </w:tcPr>
          <w:p w:rsidR="0013120E" w:rsidRPr="002509C8" w:rsidRDefault="0013120E" w:rsidP="00C06B07">
            <w:pPr>
              <w:pStyle w:val="tabletext"/>
            </w:pPr>
            <w:r w:rsidRPr="002509C8">
              <w:sym w:font="Wingdings" w:char="F0FB"/>
            </w:r>
          </w:p>
        </w:tc>
        <w:tc>
          <w:tcPr>
            <w:tcW w:w="1701" w:type="dxa"/>
            <w:vAlign w:val="center"/>
          </w:tcPr>
          <w:p w:rsidR="0013120E" w:rsidRPr="002509C8" w:rsidRDefault="0013120E" w:rsidP="00C06B07">
            <w:pPr>
              <w:pStyle w:val="tabletext"/>
            </w:pPr>
            <w:r w:rsidRPr="002509C8">
              <w:sym w:font="Wingdings" w:char="F0FB"/>
            </w:r>
          </w:p>
        </w:tc>
        <w:tc>
          <w:tcPr>
            <w:tcW w:w="1905" w:type="dxa"/>
            <w:vAlign w:val="center"/>
          </w:tcPr>
          <w:p w:rsidR="0013120E" w:rsidRPr="002509C8" w:rsidRDefault="0013120E" w:rsidP="00C06B07">
            <w:pPr>
              <w:pStyle w:val="tabletext"/>
            </w:pPr>
            <w:r w:rsidRPr="002509C8">
              <w:sym w:font="Wingdings" w:char="F0FC"/>
            </w:r>
          </w:p>
        </w:tc>
      </w:tr>
      <w:tr w:rsidR="0013120E" w:rsidTr="0013120E">
        <w:tc>
          <w:tcPr>
            <w:tcW w:w="3936" w:type="dxa"/>
            <w:vAlign w:val="center"/>
          </w:tcPr>
          <w:p w:rsidR="0013120E" w:rsidRPr="002509C8" w:rsidRDefault="0013120E" w:rsidP="00C06B07">
            <w:pPr>
              <w:pStyle w:val="tabletext"/>
            </w:pPr>
            <w:r w:rsidRPr="002509C8">
              <w:t>WaterNSW</w:t>
            </w:r>
          </w:p>
        </w:tc>
        <w:tc>
          <w:tcPr>
            <w:tcW w:w="1701" w:type="dxa"/>
            <w:vAlign w:val="center"/>
          </w:tcPr>
          <w:p w:rsidR="0013120E" w:rsidRPr="002509C8" w:rsidRDefault="0013120E" w:rsidP="00C06B07">
            <w:pPr>
              <w:pStyle w:val="tabletext"/>
            </w:pPr>
            <w:r w:rsidRPr="002509C8">
              <w:t>n/a</w:t>
            </w:r>
          </w:p>
        </w:tc>
        <w:tc>
          <w:tcPr>
            <w:tcW w:w="1701" w:type="dxa"/>
            <w:vAlign w:val="center"/>
          </w:tcPr>
          <w:p w:rsidR="0013120E" w:rsidRPr="002509C8" w:rsidRDefault="0013120E" w:rsidP="00C06B07">
            <w:pPr>
              <w:pStyle w:val="tabletext"/>
            </w:pPr>
            <w:r w:rsidRPr="002509C8">
              <w:t>n/a</w:t>
            </w:r>
          </w:p>
        </w:tc>
        <w:tc>
          <w:tcPr>
            <w:tcW w:w="1905" w:type="dxa"/>
            <w:vAlign w:val="center"/>
          </w:tcPr>
          <w:p w:rsidR="0013120E" w:rsidRPr="002509C8" w:rsidRDefault="0013120E" w:rsidP="00C06B07">
            <w:pPr>
              <w:pStyle w:val="tabletext"/>
            </w:pPr>
            <w:r w:rsidRPr="002509C8">
              <w:t>n/a</w:t>
            </w:r>
          </w:p>
        </w:tc>
      </w:tr>
    </w:tbl>
    <w:p w:rsidR="000864B4" w:rsidRDefault="00067769" w:rsidP="000864B4">
      <w:pPr>
        <w:pStyle w:val="tabletext"/>
      </w:pPr>
      <w:r w:rsidRPr="00BD3BFF">
        <w:t>Notes:</w:t>
      </w:r>
      <w:r w:rsidRPr="00AD6514">
        <w:t xml:space="preserve"> † 2014-15 </w:t>
      </w:r>
      <w:r w:rsidR="00AD6514" w:rsidRPr="00AD6514">
        <w:t>S</w:t>
      </w:r>
      <w:r w:rsidRPr="00AD6514">
        <w:t xml:space="preserve">chedule of </w:t>
      </w:r>
      <w:r w:rsidR="00AD6514" w:rsidRPr="00AD6514">
        <w:t>C</w:t>
      </w:r>
      <w:r w:rsidRPr="00AD6514">
        <w:t>harges used for analysis.</w:t>
      </w:r>
      <w:r w:rsidRPr="00BD3BFF">
        <w:t xml:space="preserve"> </w:t>
      </w:r>
    </w:p>
    <w:p w:rsidR="000864B4" w:rsidRDefault="00067769" w:rsidP="000864B4">
      <w:pPr>
        <w:pStyle w:val="tabletext"/>
      </w:pPr>
      <w:r w:rsidRPr="008E49B9">
        <w:rPr>
          <w:vertAlign w:val="superscript"/>
        </w:rPr>
        <w:t>*</w:t>
      </w:r>
      <w:r w:rsidRPr="00BD3BFF">
        <w:t xml:space="preserve">Combined ‘government’ charge </w:t>
      </w:r>
      <w:r w:rsidRPr="00BD3BFF">
        <w:rPr>
          <w:i/>
        </w:rPr>
        <w:t>equals</w:t>
      </w:r>
      <w:r w:rsidRPr="00BD3BFF">
        <w:t xml:space="preserve"> the sum of </w:t>
      </w:r>
      <w:r>
        <w:t xml:space="preserve">corresponding </w:t>
      </w:r>
      <w:r w:rsidRPr="00BD3BFF">
        <w:t xml:space="preserve">WaterNSW on-river infrastructure charges and DPI </w:t>
      </w:r>
      <w:r w:rsidR="00836844">
        <w:t xml:space="preserve">Water’s </w:t>
      </w:r>
      <w:r w:rsidRPr="00BD3BFF">
        <w:t xml:space="preserve">planning and management charges (on a per ML basis). </w:t>
      </w:r>
    </w:p>
    <w:p w:rsidR="000864B4" w:rsidRDefault="00067769" w:rsidP="000864B4">
      <w:pPr>
        <w:pStyle w:val="tabletext"/>
      </w:pPr>
      <w:r w:rsidRPr="0064794C">
        <w:rPr>
          <w:vertAlign w:val="superscript"/>
        </w:rPr>
        <w:t>**</w:t>
      </w:r>
      <w:r w:rsidRPr="00BD3BFF">
        <w:t xml:space="preserve"> Combined ‘government’ charge is </w:t>
      </w:r>
      <w:r w:rsidRPr="00BD3BFF">
        <w:rPr>
          <w:i/>
        </w:rPr>
        <w:t>less</w:t>
      </w:r>
      <w:r w:rsidRPr="00BD3BFF">
        <w:t xml:space="preserve"> than the sum of </w:t>
      </w:r>
      <w:r>
        <w:t xml:space="preserve">corresponding </w:t>
      </w:r>
      <w:r w:rsidRPr="00BD3BFF">
        <w:t xml:space="preserve">WaterNSW and NSW DPI charges (on a per ML basis), likely reflecting WaterNSW ICD rebate. </w:t>
      </w:r>
    </w:p>
    <w:p w:rsidR="00067769" w:rsidRDefault="00067769" w:rsidP="000864B4">
      <w:pPr>
        <w:pStyle w:val="tabletext"/>
      </w:pPr>
      <w:r w:rsidRPr="0064794C">
        <w:rPr>
          <w:vertAlign w:val="superscript"/>
        </w:rPr>
        <w:t xml:space="preserve">*** </w:t>
      </w:r>
      <w:r w:rsidRPr="00BD3BFF">
        <w:t xml:space="preserve">Combined ‘government’ charge is </w:t>
      </w:r>
      <w:r w:rsidRPr="00BD3BFF">
        <w:rPr>
          <w:i/>
        </w:rPr>
        <w:t>greater</w:t>
      </w:r>
      <w:r w:rsidRPr="00BD3BFF">
        <w:t xml:space="preserve"> than the sum of </w:t>
      </w:r>
      <w:r>
        <w:t xml:space="preserve">corresponding </w:t>
      </w:r>
      <w:r w:rsidRPr="00BD3BFF">
        <w:t xml:space="preserve">WaterNSW and DPI </w:t>
      </w:r>
      <w:r w:rsidR="00836844">
        <w:t xml:space="preserve">Water </w:t>
      </w:r>
      <w:r w:rsidRPr="00BD3BFF">
        <w:t>charges (on a per ML basis)</w:t>
      </w:r>
      <w:r>
        <w:t>.</w:t>
      </w:r>
    </w:p>
    <w:p w:rsidR="000864B4" w:rsidRPr="00BD3BFF" w:rsidRDefault="000864B4" w:rsidP="000864B4">
      <w:pPr>
        <w:pStyle w:val="tabletext"/>
      </w:pPr>
    </w:p>
    <w:p w:rsidR="00067769" w:rsidRDefault="00067769" w:rsidP="003E793F">
      <w:r>
        <w:t xml:space="preserve">Given this assessment, the ACCC considers that the rationales for the proposed pass-through rules—to improve pricing transparency and </w:t>
      </w:r>
      <w:r w:rsidR="00B71736">
        <w:t>to reduce</w:t>
      </w:r>
      <w:r>
        <w:t xml:space="preserve"> the scope for passing through charges in a distortionary manner—remain sound.</w:t>
      </w:r>
    </w:p>
    <w:p w:rsidR="00067769" w:rsidRDefault="00067769" w:rsidP="003E793F">
      <w:pPr>
        <w:rPr>
          <w:b/>
        </w:rPr>
      </w:pPr>
      <w:r>
        <w:t xml:space="preserve">At the same time, the Draft Advice acknowledged that some pass-through charges incurred by an operator related to water held / used by the operator for distributions losses, and that such charges </w:t>
      </w:r>
      <w:r w:rsidRPr="005D6F33">
        <w:rPr>
          <w:i/>
        </w:rPr>
        <w:t>should</w:t>
      </w:r>
      <w:r>
        <w:t xml:space="preserve"> be able to be reflected in </w:t>
      </w:r>
      <w:r w:rsidR="001D63CE">
        <w:t xml:space="preserve">the </w:t>
      </w:r>
      <w:r>
        <w:t>calculation of termination fees (whereas other pass-through charges should not). Therefore, the Draft Advice proposed detailed rules about how the cost of certain categories of charges (directly attributable charges, distribution loss shared charges, other shared charges) must be recovered.</w:t>
      </w:r>
    </w:p>
    <w:p w:rsidR="00067769" w:rsidRDefault="00067769" w:rsidP="00001CBF">
      <w:pPr>
        <w:spacing w:after="120"/>
      </w:pPr>
      <w:r>
        <w:t>Although member-owned infrastructure operators and LMW have stated that they do not believe customers value the transparency that the proposed pass-through rules would produce, the ACCC considers that evidence from other stakeholders suggests otherwise:</w:t>
      </w:r>
    </w:p>
    <w:p w:rsidR="00067769" w:rsidRDefault="00067769" w:rsidP="00A82DE6">
      <w:pPr>
        <w:pStyle w:val="Lvl1Bulletpoint"/>
      </w:pPr>
      <w:r w:rsidRPr="007800D7">
        <w:t>A number of submissions to the Act Review, including submissions from the NIC and Murray Irrigation Limited</w:t>
      </w:r>
      <w:r w:rsidR="008621D4">
        <w:t xml:space="preserve"> (MIL)</w:t>
      </w:r>
      <w:r w:rsidRPr="007800D7">
        <w:t>, raised concerns over pricing, cost recovery and transparency for ‘government charges’, both generally and specifically in relation to MDBA</w:t>
      </w:r>
      <w:r w:rsidR="00774B9E">
        <w:t>’s</w:t>
      </w:r>
      <w:r w:rsidRPr="007800D7">
        <w:t xml:space="preserve"> </w:t>
      </w:r>
      <w:r w:rsidR="005C6FF6">
        <w:t>RMO</w:t>
      </w:r>
      <w:r w:rsidRPr="007800D7">
        <w:t>.</w:t>
      </w:r>
      <w:r>
        <w:rPr>
          <w:rStyle w:val="FootnoteReference"/>
          <w:rFonts w:cs="Times New Roman"/>
        </w:rPr>
        <w:footnoteReference w:id="668"/>
      </w:r>
    </w:p>
    <w:p w:rsidR="00067769" w:rsidRPr="007800D7" w:rsidRDefault="00067769" w:rsidP="00A82DE6">
      <w:pPr>
        <w:pStyle w:val="Lvl1Bulletpoint"/>
      </w:pPr>
      <w:r>
        <w:t>Irrigators attending the ACCC’s public forums expressed confusion over what their operator’s charges related to, and questioned how ‘government’ charges were incorporated into tariffs</w:t>
      </w:r>
      <w:r>
        <w:rPr>
          <w:rStyle w:val="FootnoteReference"/>
          <w:rFonts w:cs="Times New Roman"/>
        </w:rPr>
        <w:footnoteReference w:id="669"/>
      </w:r>
    </w:p>
    <w:p w:rsidR="00067769" w:rsidRDefault="00067769" w:rsidP="00A82DE6">
      <w:pPr>
        <w:pStyle w:val="Lvl1Bulletpoint"/>
      </w:pPr>
      <w:r>
        <w:t>GMW’s and the CEWH’s submission to the Draft Advice explicitly supported the draft rule advice.</w:t>
      </w:r>
    </w:p>
    <w:p w:rsidR="00067769" w:rsidRDefault="00067769" w:rsidP="00001CBF">
      <w:pPr>
        <w:pStyle w:val="Lvl1Bulletpoint"/>
        <w:spacing w:after="0"/>
        <w:ind w:left="568" w:hanging="284"/>
      </w:pPr>
      <w:r>
        <w:t>Results from the ABARES irrigator survey were that:</w:t>
      </w:r>
    </w:p>
    <w:p w:rsidR="00067769" w:rsidRDefault="00067769" w:rsidP="009B6ED8">
      <w:pPr>
        <w:pStyle w:val="Lvl2Bulletpoint"/>
      </w:pPr>
      <w:r>
        <w:t>on average, an estimated 44 per cent of irrigators across the MDB believe that “[c]</w:t>
      </w:r>
      <w:r w:rsidRPr="00A2467B">
        <w:t>harges that are incurred by the operator and passed on to customers (e</w:t>
      </w:r>
      <w:r>
        <w:t>.</w:t>
      </w:r>
      <w:r w:rsidRPr="00A2467B">
        <w:t>g</w:t>
      </w:r>
      <w:r>
        <w:t>.</w:t>
      </w:r>
      <w:r w:rsidRPr="00A2467B">
        <w:t xml:space="preserve"> bulk water charges, government planning and management charges)</w:t>
      </w:r>
      <w:r>
        <w:t xml:space="preserve">” are “important to show on a schedule of charges”; and </w:t>
      </w:r>
    </w:p>
    <w:p w:rsidR="00067769" w:rsidRDefault="00067769" w:rsidP="009B6ED8">
      <w:pPr>
        <w:pStyle w:val="Lvl2Bulletpoint"/>
      </w:pPr>
      <w:r>
        <w:t xml:space="preserve">while on average across the MDB 82 per cent of irrigators considered that their operator’s </w:t>
      </w:r>
      <w:r w:rsidR="00AD6514">
        <w:t>S</w:t>
      </w:r>
      <w:r>
        <w:t xml:space="preserve">chedule of </w:t>
      </w:r>
      <w:r w:rsidR="00AD6514">
        <w:t>C</w:t>
      </w:r>
      <w:r>
        <w:t>harges “</w:t>
      </w:r>
      <w:r w:rsidRPr="00AD4FB3">
        <w:t xml:space="preserve">clearly set out the difference between charges payable for access to </w:t>
      </w:r>
      <w:r w:rsidR="00774B9E">
        <w:t>[their]</w:t>
      </w:r>
      <w:r w:rsidRPr="00AD4FB3">
        <w:t xml:space="preserve"> operator's infrastructure and charges incurred by </w:t>
      </w:r>
      <w:r w:rsidR="00774B9E">
        <w:t>[their]</w:t>
      </w:r>
      <w:r w:rsidRPr="00AD4FB3">
        <w:t xml:space="preserve"> operator and passed onto </w:t>
      </w:r>
      <w:r>
        <w:t xml:space="preserve">[the irrigator]”, this proportion varied significantly across MDB regions. Also, this question only considered whether operators broadly distinguish between their own charges and other charges, and gives no indication of whether (i) operators distinguish between different types of charges they pass through (e.g. planning </w:t>
      </w:r>
      <w:r w:rsidR="00935F9A">
        <w:t>and</w:t>
      </w:r>
      <w:r>
        <w:t xml:space="preserve"> management charges versus infrastructure charges), or the degree to which the amounts of charges levied by the operator actually reflect the charges they themselves incur.</w:t>
      </w:r>
    </w:p>
    <w:p w:rsidR="00067769" w:rsidRDefault="00067769" w:rsidP="00001CBF">
      <w:pPr>
        <w:pStyle w:val="Lvl1Bulletpoint"/>
        <w:spacing w:after="0"/>
        <w:ind w:left="568" w:hanging="284"/>
      </w:pPr>
      <w:r>
        <w:t>Results from the University of Adelaide irrigator survey for irrigators in the southern MDB were that:</w:t>
      </w:r>
    </w:p>
    <w:p w:rsidR="00067769" w:rsidRPr="00E557BB" w:rsidRDefault="00067769" w:rsidP="009B6ED8">
      <w:pPr>
        <w:pStyle w:val="Lvl2Bulletpoint"/>
      </w:pPr>
      <w:r>
        <w:t xml:space="preserve">an estimated </w:t>
      </w:r>
      <w:r w:rsidRPr="00E557BB">
        <w:t xml:space="preserve">90% of irrigators believe it is very (61%) or somewhat (29%) important for an operator to separate out bulk water charges for access and use of their own network. </w:t>
      </w:r>
    </w:p>
    <w:p w:rsidR="00067769" w:rsidRPr="00E557BB" w:rsidRDefault="00774B9E" w:rsidP="009B6ED8">
      <w:pPr>
        <w:pStyle w:val="Lvl2Bulletpoint"/>
      </w:pPr>
      <w:r>
        <w:t>a</w:t>
      </w:r>
      <w:r w:rsidR="00067769">
        <w:t xml:space="preserve">n estimated </w:t>
      </w:r>
      <w:r w:rsidR="00067769" w:rsidRPr="00E557BB">
        <w:t>79% of irrigators believe it is very (48%) or somewhat (31%) important that water charges incurred by an operator on behalf of one of its customers are passed on directly to that customer, rather than recovered from all customers.</w:t>
      </w:r>
    </w:p>
    <w:p w:rsidR="00067769" w:rsidRDefault="00067769" w:rsidP="003E793F">
      <w:r>
        <w:t xml:space="preserve">As such, the ACCC’s advice is that the rules should be amended to improve transparency and reduce distortions in relation to pass-through of charges incurred by infrastructure operators. However, the ACCC also considers that the policy intent can be achieved via simpler, less prescriptive rules than those proposed in the Draft Advice. </w:t>
      </w:r>
    </w:p>
    <w:p w:rsidR="00067769" w:rsidRDefault="00067769" w:rsidP="003E793F">
      <w:r>
        <w:t xml:space="preserve">The ACCC accepts stakeholders concerns that the level of detail in the proposed rules could have the potential to introduce significant compliance costs for some operators. Also, the ACCC accepts that, due to the variety of arrangements operators have for specifying irrigation rights, it might not always be clear exactly how a particular charge would be required to be passed through. A key example of this issue, identified by the NIC, is the case where an operator holds a portfolio of </w:t>
      </w:r>
      <w:r w:rsidR="005C776C">
        <w:t>WAE</w:t>
      </w:r>
      <w:r>
        <w:t>s but specifies irrigation rights (IR) in such a way that there is not a clear one-to-one relationship between WAE held and IR held by customers. For example, a hypothetical operator could hold a small volume of high security WAE and a larger volume of general security WAE, but then issue three ‘priority classes’ of IR to customers (e.g. high, medium and low). In this case, there is no single ‘best’ method for how an operator should pass on the charges it incurs relating to its high security WAE versus its general security WAE. The appropriate attribution of these costs would depend on how the operator uses its entitlements to service irrigation right holders.</w:t>
      </w:r>
    </w:p>
    <w:p w:rsidR="00067769" w:rsidRDefault="00067769" w:rsidP="00001CBF">
      <w:pPr>
        <w:spacing w:after="120"/>
      </w:pPr>
      <w:r>
        <w:t xml:space="preserve">In recognition of this issue and operators’ feedback about the regulatory burden of the pass-through rules proposed in the Draft Advice, the ACCC has </w:t>
      </w:r>
      <w:r w:rsidR="00B71736">
        <w:t>modified</w:t>
      </w:r>
      <w:r>
        <w:t xml:space="preserve"> its advice. The ACCC proposes that rather than attempting to classify each charge an operator incurs and mandating how it may be recovered, the broad policy intent can be achieved by: </w:t>
      </w:r>
    </w:p>
    <w:p w:rsidR="00067769" w:rsidRDefault="00067769" w:rsidP="00F43856">
      <w:pPr>
        <w:pStyle w:val="ListParagraph"/>
        <w:numPr>
          <w:ilvl w:val="0"/>
          <w:numId w:val="63"/>
        </w:numPr>
      </w:pPr>
      <w:r>
        <w:t>permitting operators full discretion as to how they recover ‘network operation charges’ (see below);</w:t>
      </w:r>
    </w:p>
    <w:p w:rsidR="00067769" w:rsidRDefault="00067769" w:rsidP="00F43856">
      <w:pPr>
        <w:pStyle w:val="ListParagraph"/>
        <w:numPr>
          <w:ilvl w:val="0"/>
          <w:numId w:val="63"/>
        </w:numPr>
      </w:pPr>
      <w:r>
        <w:t>a general prohibition on passing through ‘ancillary charges’ (i.e. infrastructure charges and planning and management charges incurred by the operator, other than ‘network operation charges’) onto customers’ water delivery rights and a requirement that charges levied by the operator to recover ‘ancillary charges’ be separated from charges levied to recover costs of operating the operator’s infrastructure;</w:t>
      </w:r>
    </w:p>
    <w:p w:rsidR="00067769" w:rsidRDefault="00067769" w:rsidP="00F43856">
      <w:pPr>
        <w:pStyle w:val="ListParagraph"/>
        <w:numPr>
          <w:ilvl w:val="0"/>
          <w:numId w:val="63"/>
        </w:numPr>
      </w:pPr>
      <w:r>
        <w:t>a general requirement that operators recover these costs on the same basis as they are incurred (or otherwise on a reasonably similar basis);</w:t>
      </w:r>
    </w:p>
    <w:p w:rsidR="00067769" w:rsidRPr="00873CF6" w:rsidRDefault="00067769" w:rsidP="00F43856">
      <w:pPr>
        <w:pStyle w:val="ListParagraph"/>
        <w:numPr>
          <w:ilvl w:val="0"/>
          <w:numId w:val="63"/>
        </w:numPr>
      </w:pPr>
      <w:r>
        <w:t xml:space="preserve">a requirement that an operator include information on its </w:t>
      </w:r>
      <w:r w:rsidR="00AD6514">
        <w:t>S</w:t>
      </w:r>
      <w:r>
        <w:t xml:space="preserve">chedule of </w:t>
      </w:r>
      <w:r w:rsidR="00AD6514">
        <w:t>C</w:t>
      </w:r>
      <w:r>
        <w:t>harges detailing its methodology for recovering the cost of infrastructure charges and planning and management charges that it incurs (see also section 5.4.</w:t>
      </w:r>
      <w:r w:rsidR="00AF5079">
        <w:t>1</w:t>
      </w:r>
      <w:r>
        <w:t xml:space="preserve">). </w:t>
      </w:r>
    </w:p>
    <w:p w:rsidR="00067769" w:rsidRDefault="00067769" w:rsidP="003E793F">
      <w:r>
        <w:t>These elements are discussed in turn below.</w:t>
      </w:r>
    </w:p>
    <w:p w:rsidR="00067769" w:rsidRDefault="00067769" w:rsidP="00E83E5D">
      <w:pPr>
        <w:pStyle w:val="Heading4-Un-numberedsubheading-Lvl5"/>
      </w:pPr>
      <w:r>
        <w:t xml:space="preserve">Recovery of </w:t>
      </w:r>
      <w:r w:rsidRPr="008F45F7">
        <w:t>‘</w:t>
      </w:r>
      <w:r>
        <w:t>network operation charge</w:t>
      </w:r>
      <w:r w:rsidRPr="008F45F7">
        <w:t>s’</w:t>
      </w:r>
    </w:p>
    <w:p w:rsidR="00067769" w:rsidRDefault="00067769" w:rsidP="003E793F">
      <w:r>
        <w:t xml:space="preserve">As acknowledged in its Draft Advice, some charges incurred by infrastructure operators should properly be viewed as costs associated with operating </w:t>
      </w:r>
      <w:r w:rsidR="00B71736">
        <w:t xml:space="preserve">the </w:t>
      </w:r>
      <w:r>
        <w:t>infrastructure operator</w:t>
      </w:r>
      <w:r w:rsidR="00B71736">
        <w:t>’s network</w:t>
      </w:r>
      <w:r>
        <w:t xml:space="preserve">. The Draft Advice proposed a category of charges; ‘distribution loss shared charges’ being shared charges (i.e. not directly attributable to particular customers) incurred by the operator relating to water under a water access right that is lost during distribution of water to customers. </w:t>
      </w:r>
    </w:p>
    <w:p w:rsidR="00067769" w:rsidRDefault="00067769" w:rsidP="003E793F">
      <w:r>
        <w:t xml:space="preserve">In its Draft Advice, the ACCC proposed that the only requirement the rules should place on infrastructure charges levied to recover </w:t>
      </w:r>
      <w:r w:rsidRPr="008F45F7">
        <w:t xml:space="preserve">distribution loss </w:t>
      </w:r>
      <w:r w:rsidR="00C87F68">
        <w:t xml:space="preserve">shared </w:t>
      </w:r>
      <w:r w:rsidRPr="008F45F7">
        <w:t>charges</w:t>
      </w:r>
      <w:r>
        <w:t xml:space="preserve"> was that they be separate from the operator’s other charges. </w:t>
      </w:r>
    </w:p>
    <w:p w:rsidR="00067769" w:rsidRDefault="00067769" w:rsidP="003E793F">
      <w:r>
        <w:t xml:space="preserve">The ACCC acknowledges that there may be other types of infrastructure charges and / or planning and management charges incurred by the operator that are associated with the operation of its network, in particular charges levied in relation to the operator’s off-take or discharge works. </w:t>
      </w:r>
    </w:p>
    <w:p w:rsidR="00067769" w:rsidRDefault="00067769" w:rsidP="003E793F">
      <w:r>
        <w:t>These charges are incurred by operators regardless of whether their customers choose to trade, transform or terminate. As such, these charges should be able to form part of the operator’s general cost base, and should be reflected in the calculation of termination fees.</w:t>
      </w:r>
    </w:p>
    <w:p w:rsidR="00067769" w:rsidRDefault="00067769" w:rsidP="003E793F">
      <w:r>
        <w:t xml:space="preserve">Therefore, the ACCC’s </w:t>
      </w:r>
      <w:r w:rsidR="00BA2173">
        <w:t>Final A</w:t>
      </w:r>
      <w:r>
        <w:t xml:space="preserve">dvice proposes that such charges, together with those relating to distribution losses, be categorised as ‘network operation charges’. Operators should be free to recover the cost of these charges however they wish, </w:t>
      </w:r>
      <w:r w:rsidRPr="00B67077">
        <w:t xml:space="preserve">including </w:t>
      </w:r>
      <w:r>
        <w:t>through</w:t>
      </w:r>
      <w:r w:rsidRPr="00B67077">
        <w:t xml:space="preserve"> </w:t>
      </w:r>
      <w:r>
        <w:t>charges per unit of water delivery / drainage right held—</w:t>
      </w:r>
      <w:r w:rsidRPr="00B67077">
        <w:t xml:space="preserve">which would have the effect that these charges </w:t>
      </w:r>
      <w:r>
        <w:t>are able to</w:t>
      </w:r>
      <w:r w:rsidRPr="00B67077">
        <w:t xml:space="preserve"> be included in </w:t>
      </w:r>
      <w:r>
        <w:t xml:space="preserve">the </w:t>
      </w:r>
      <w:r w:rsidRPr="00B67077">
        <w:t>termination fee</w:t>
      </w:r>
      <w:r>
        <w:t xml:space="preserve"> ba</w:t>
      </w:r>
      <w:r w:rsidRPr="00B67077">
        <w:t>s</w:t>
      </w:r>
      <w:r>
        <w:t xml:space="preserve">e. </w:t>
      </w:r>
      <w:r w:rsidR="00BA2173">
        <w:t>The only requirement on infrastructure operators in relation to network operation charges is that any separate charges that the operator levies must not recover more than the total amount of the network operation charges.</w:t>
      </w:r>
    </w:p>
    <w:p w:rsidR="00067769" w:rsidRDefault="00067769" w:rsidP="00E83E5D">
      <w:pPr>
        <w:pStyle w:val="Heading4-Un-numberedsubheading-Lvl5"/>
      </w:pPr>
      <w:r>
        <w:t>Recovery of charges other than ‘network operation charges’</w:t>
      </w:r>
    </w:p>
    <w:p w:rsidR="00067769" w:rsidRDefault="00067769" w:rsidP="003E793F">
      <w:r>
        <w:t>The ACCC advises that charges incurred by an operator that do not meet the definition of ‘network operation charges’ should be considered ‘ancillary charges’. This incorporates the categories of ‘shared charges’ and ‘directly attributable charges’ used in the Draft Advice.</w:t>
      </w:r>
    </w:p>
    <w:p w:rsidR="00067769" w:rsidRDefault="00067769" w:rsidP="00001CBF">
      <w:pPr>
        <w:spacing w:after="120"/>
      </w:pPr>
      <w:r>
        <w:t>Examples of such ‘ancillary charges’ are:</w:t>
      </w:r>
    </w:p>
    <w:p w:rsidR="00067769" w:rsidRDefault="00B71736" w:rsidP="00F43856">
      <w:pPr>
        <w:pStyle w:val="ListParagraph"/>
        <w:numPr>
          <w:ilvl w:val="0"/>
          <w:numId w:val="63"/>
        </w:numPr>
      </w:pPr>
      <w:r>
        <w:t>c</w:t>
      </w:r>
      <w:r w:rsidR="00067769">
        <w:t>harges incurred by the operator in relation to water access rights held by the operator for the purpose of allocating water to irrigation right holders</w:t>
      </w:r>
      <w:r w:rsidR="00067769">
        <w:rPr>
          <w:rStyle w:val="FootnoteReference"/>
        </w:rPr>
        <w:footnoteReference w:id="670"/>
      </w:r>
      <w:r w:rsidR="00067769">
        <w:t xml:space="preserve"> </w:t>
      </w:r>
    </w:p>
    <w:p w:rsidR="00067769" w:rsidRDefault="00B71736" w:rsidP="00F43856">
      <w:pPr>
        <w:pStyle w:val="ListParagraph"/>
        <w:numPr>
          <w:ilvl w:val="0"/>
          <w:numId w:val="63"/>
        </w:numPr>
      </w:pPr>
      <w:r>
        <w:t>t</w:t>
      </w:r>
      <w:r w:rsidR="00067769">
        <w:t>rade-related charges incurred by the operator on behalf of a customer trading a water access right</w:t>
      </w:r>
      <w:r w:rsidR="006F0FB2">
        <w:t>.</w:t>
      </w:r>
      <w:r w:rsidR="00067769">
        <w:rPr>
          <w:rStyle w:val="FootnoteReference"/>
        </w:rPr>
        <w:footnoteReference w:id="671"/>
      </w:r>
    </w:p>
    <w:p w:rsidR="00067769" w:rsidRDefault="00067769" w:rsidP="003E793F">
      <w:r>
        <w:t>The rules should</w:t>
      </w:r>
      <w:r w:rsidR="006F0FB2">
        <w:t xml:space="preserve"> require an operator to recover the cost of ancillary charges by levying one or more separate charges and</w:t>
      </w:r>
      <w:r>
        <w:t xml:space="preserve"> prohibit an operator </w:t>
      </w:r>
      <w:r w:rsidR="006F0FB2">
        <w:t>from</w:t>
      </w:r>
      <w:r>
        <w:t xml:space="preserve"> levying </w:t>
      </w:r>
      <w:r w:rsidR="006F0FB2">
        <w:t xml:space="preserve">such </w:t>
      </w:r>
      <w:r>
        <w:t xml:space="preserve">a charge on customers’ water delivery rights (or water drainage rights). This would preclude the operator’s charges from forming part of the basis for calculating termination fees. It also precludes the possibility of transformed customers paying twice in relation to these charges (once via water delivery / drainage right charges and again via direct payment of charges levied on the customers’ transformed </w:t>
      </w:r>
      <w:r w:rsidR="005C776C">
        <w:t>WAE</w:t>
      </w:r>
      <w:r>
        <w:t>).</w:t>
      </w:r>
      <w:r w:rsidR="00BA2173">
        <w:t xml:space="preserve"> The rules should also require an operator, as far as practicable, to recover the same total amount as the ancillary charges. </w:t>
      </w:r>
    </w:p>
    <w:p w:rsidR="00067769" w:rsidRDefault="00067769" w:rsidP="003E793F">
      <w:r>
        <w:t>The ACCC further advises that when passing through the cost of ancillary charges, an operator should seek to preserve as closely as possible the original basis of the ancillary charge. Some examples are provided below.</w:t>
      </w:r>
    </w:p>
    <w:p w:rsidR="00067769" w:rsidRDefault="00067769" w:rsidP="00001CBF">
      <w:pPr>
        <w:spacing w:after="120"/>
      </w:pPr>
      <w:r>
        <w:t>Example: an operator holds a general security WAE in order to allocate water to holders of general security irrigation right (IR):</w:t>
      </w:r>
    </w:p>
    <w:p w:rsidR="00067769" w:rsidRDefault="00067769" w:rsidP="00A82DE6">
      <w:pPr>
        <w:pStyle w:val="Lvl1Bulletpoint"/>
      </w:pPr>
      <w:r>
        <w:t>If the operator incurs fixed on-river infrastructure charges in relation to this WAE, levied per ML of that WAE, it should pass this on to all IR holders in the form of a charge levied per ML of IR held by each customer. The per ML amount of the charge should reflect the per ML amount of the original charge.</w:t>
      </w:r>
    </w:p>
    <w:p w:rsidR="00067769" w:rsidRDefault="00067769" w:rsidP="00A82DE6">
      <w:pPr>
        <w:pStyle w:val="Lvl1Bulletpoint"/>
      </w:pPr>
      <w:r>
        <w:t>If the operator incurs variable on-river infrastructure charges in relation to this WAE, levied per ML of water allocation from that WAE that is delivered to the operator’s offtake point, it should pass this charge on to IR holders in the form of a charge levied per ML of water used by each IR holders. The per ML amount of the charge should reflect the per ML amount of the original charge.</w:t>
      </w:r>
    </w:p>
    <w:p w:rsidR="00067769" w:rsidRDefault="00067769" w:rsidP="00A82DE6">
      <w:pPr>
        <w:pStyle w:val="Lvl1Bulletpoint"/>
      </w:pPr>
      <w:r>
        <w:t>If an operator incurs a transaction charge in the course of facilitating trade on behalf of a customer, it should be recovered from that customer (see next section).</w:t>
      </w:r>
    </w:p>
    <w:p w:rsidR="00067769" w:rsidRDefault="00067769" w:rsidP="00A82DE6">
      <w:pPr>
        <w:pStyle w:val="Lvl1Bulletpoint"/>
      </w:pPr>
      <w:r>
        <w:t>If an operator has access to carryover, and incurs carryover charges, it should recover the cost of th</w:t>
      </w:r>
      <w:r w:rsidR="00B71736">
        <w:t>ese</w:t>
      </w:r>
      <w:r>
        <w:t xml:space="preserve"> carryover charges from irrigation right holders who participate in carryover arrangements.</w:t>
      </w:r>
      <w:r>
        <w:rPr>
          <w:rStyle w:val="FootnoteReference"/>
        </w:rPr>
        <w:footnoteReference w:id="672"/>
      </w:r>
    </w:p>
    <w:p w:rsidR="00067769" w:rsidRDefault="00067769" w:rsidP="00001CBF">
      <w:pPr>
        <w:spacing w:after="120"/>
      </w:pPr>
      <w:r>
        <w:t>The guiding principle for the recovery of ‘ancillary charges’ from customers should be that:</w:t>
      </w:r>
    </w:p>
    <w:p w:rsidR="00067769" w:rsidRDefault="00B71736" w:rsidP="00A82DE6">
      <w:pPr>
        <w:pStyle w:val="Lvl1Bulletpoint"/>
      </w:pPr>
      <w:r>
        <w:rPr>
          <w:i/>
        </w:rPr>
        <w:t>i</w:t>
      </w:r>
      <w:r w:rsidR="00067769">
        <w:rPr>
          <w:i/>
        </w:rPr>
        <w:t>f possible</w:t>
      </w:r>
      <w:r w:rsidR="00067769">
        <w:t>, the charge levied by the operator should be levied on the same basis as the charge incurred by the operator;</w:t>
      </w:r>
    </w:p>
    <w:p w:rsidR="00067769" w:rsidRDefault="00B71736" w:rsidP="00A82DE6">
      <w:pPr>
        <w:pStyle w:val="Lvl1Bulletpoint"/>
      </w:pPr>
      <w:r>
        <w:rPr>
          <w:i/>
        </w:rPr>
        <w:t>o</w:t>
      </w:r>
      <w:r w:rsidR="00067769">
        <w:rPr>
          <w:i/>
        </w:rPr>
        <w:t>r otherwise</w:t>
      </w:r>
      <w:r w:rsidR="00067769">
        <w:t>, on as similar a basis as possible.</w:t>
      </w:r>
    </w:p>
    <w:p w:rsidR="00067769" w:rsidRDefault="00067769" w:rsidP="003E793F">
      <w:r>
        <w:t xml:space="preserve">In its Draft Advice, the ACCC restricted the application of the rule to regulating pass through of only those charges incurred by the operator that were levied on the basis of water access rights. This restricted application was necessary due to the prescriptive nature of the rules proposed in the Draft Advice. </w:t>
      </w:r>
    </w:p>
    <w:p w:rsidR="00067769" w:rsidRDefault="00067769" w:rsidP="003E793F">
      <w:r>
        <w:t xml:space="preserve">The ACCC considers that, given the simpler rule requirements now proposed, the rules should relate to </w:t>
      </w:r>
      <w:r>
        <w:rPr>
          <w:i/>
        </w:rPr>
        <w:t xml:space="preserve">all </w:t>
      </w:r>
      <w:r>
        <w:t>planning and management charges and infrastructure charges an operator incurs. Noting that the majority of charges incurred by operators are currently levied on the basis of water access rights, the ACCC does not anticipate that this broadening of coverage will significantly increase the regulatory burden. However, it allows for a more comprehensive approach</w:t>
      </w:r>
      <w:r w:rsidR="008D5DE3">
        <w:t>,</w:t>
      </w:r>
      <w:r>
        <w:t xml:space="preserve"> which will be robust to future developments in the water rights framework.</w:t>
      </w:r>
      <w:r>
        <w:rPr>
          <w:rStyle w:val="FootnoteReference"/>
        </w:rPr>
        <w:footnoteReference w:id="673"/>
      </w:r>
      <w:r>
        <w:t xml:space="preserve"> </w:t>
      </w:r>
      <w:r w:rsidR="008D5DE3">
        <w:t>T</w:t>
      </w:r>
      <w:r>
        <w:t>his broadening of coverage still does not capture charges incurred by an operator which are not infrastructure charges or planning and management charges. This is relevant to WMI’s concern that this rule would apply to electricity charges incurred by operators; since electricity charges are not planning and management charge or infrastructure charges, the proposed rules would not regulate how an operator passes through such charges.</w:t>
      </w:r>
    </w:p>
    <w:p w:rsidR="00067769" w:rsidRDefault="00067769" w:rsidP="00E83E5D">
      <w:pPr>
        <w:pStyle w:val="Heading4-Un-numberedsubheading-Lvl5"/>
      </w:pPr>
      <w:r>
        <w:t>Transaction charges</w:t>
      </w:r>
    </w:p>
    <w:p w:rsidR="00067769" w:rsidRDefault="00067769" w:rsidP="00001CBF">
      <w:pPr>
        <w:spacing w:after="120"/>
      </w:pPr>
      <w:r>
        <w:t>The ACCC notes that ‘ancillary charges’ incurred by an infrastructure operator may include a ‘</w:t>
      </w:r>
      <w:r w:rsidRPr="00E40A99">
        <w:t>transaction charge</w:t>
      </w:r>
      <w:r>
        <w:t>’</w:t>
      </w:r>
      <w:r>
        <w:rPr>
          <w:i/>
        </w:rPr>
        <w:t>,</w:t>
      </w:r>
      <w:r>
        <w:t xml:space="preserve"> incurred on behalf of a customer in relation to trade or other dealings undertaken on their behalf. These charges are only incurred (by the operator) in relation to a specific transaction such as:</w:t>
      </w:r>
    </w:p>
    <w:p w:rsidR="00067769" w:rsidRDefault="00067769" w:rsidP="00A82DE6">
      <w:pPr>
        <w:pStyle w:val="Lvl1Bulletpoint"/>
      </w:pPr>
      <w:r>
        <w:t xml:space="preserve">trade of a water access right (or registration of a trade) </w:t>
      </w:r>
    </w:p>
    <w:p w:rsidR="00067769" w:rsidRDefault="00067769" w:rsidP="00A82DE6">
      <w:pPr>
        <w:pStyle w:val="Lvl1Bulletpoint"/>
      </w:pPr>
      <w:r>
        <w:t>amalgamation / division / cancelling / issuing of a water access right</w:t>
      </w:r>
    </w:p>
    <w:p w:rsidR="00067769" w:rsidRDefault="00067769" w:rsidP="00A82DE6">
      <w:pPr>
        <w:pStyle w:val="Lvl1Bulletpoint"/>
      </w:pPr>
      <w:r>
        <w:t>association of a water access right</w:t>
      </w:r>
      <w:r w:rsidR="00997184">
        <w:t>.</w:t>
      </w:r>
      <w:r>
        <w:rPr>
          <w:rStyle w:val="FootnoteReference"/>
        </w:rPr>
        <w:footnoteReference w:id="674"/>
      </w:r>
    </w:p>
    <w:p w:rsidR="00067769" w:rsidRDefault="00067769" w:rsidP="00001CBF">
      <w:pPr>
        <w:spacing w:after="120"/>
      </w:pPr>
      <w:r>
        <w:t>A key attribute of such transaction charges is that the operator only incurs them from time to time, and may not be able to reasonably foresee when it might incur a particular charge.</w:t>
      </w:r>
      <w:r w:rsidRPr="002E29D7" w:rsidDel="002E29D7">
        <w:t xml:space="preserve"> </w:t>
      </w:r>
      <w:r>
        <w:t>This is in contrast to other infrastructure charges or planning and management charges incurred by the operator, which tend to be ongoing, such as:</w:t>
      </w:r>
    </w:p>
    <w:p w:rsidR="00067769" w:rsidRDefault="00067769" w:rsidP="00A82DE6">
      <w:pPr>
        <w:pStyle w:val="Lvl1Bulletpoint"/>
      </w:pPr>
      <w:r>
        <w:t xml:space="preserve">planning and management charges levied on the volume of water access right(s) held or used by the operator </w:t>
      </w:r>
    </w:p>
    <w:p w:rsidR="00067769" w:rsidRDefault="00067769" w:rsidP="00A82DE6">
      <w:pPr>
        <w:pStyle w:val="Lvl1Bulletpoint"/>
      </w:pPr>
      <w:r>
        <w:t>infrastructure charges levied in respect of infrastructure services received by the operator or its customers, such as the storage, delivery or drainage of water, or in relation to the taking or water.</w:t>
      </w:r>
    </w:p>
    <w:p w:rsidR="00067769" w:rsidRDefault="00067769" w:rsidP="003E793F">
      <w:r>
        <w:t>As an example of a ‘</w:t>
      </w:r>
      <w:r w:rsidRPr="00E40A99">
        <w:t>transaction charge</w:t>
      </w:r>
      <w:r>
        <w:t>’, consider</w:t>
      </w:r>
      <w:r w:rsidDel="002E29D7">
        <w:t xml:space="preserve"> a customer of an off-river infrastructure operator, that holds an irrigation right</w:t>
      </w:r>
      <w:r>
        <w:t>. This customer</w:t>
      </w:r>
      <w:r w:rsidDel="002E29D7">
        <w:t xml:space="preserve"> would generally require the operator to facilitate a ‘temporary trade’ into or out of the operator’s irrigation network. This is because the water allocation is either held by the operator (for trades out), or will be held by the operator (for trades in) rather than the customer. In such cases, the operator is likely to incur a trade application charge levied by a trade approval authority. </w:t>
      </w:r>
    </w:p>
    <w:p w:rsidR="00067769" w:rsidRDefault="00067769" w:rsidP="003E793F">
      <w:r>
        <w:t xml:space="preserve">The ACCC considers it is reasonable and desirable for the operator to recover the cost of such a transaction charge directly from the customer responsible for it being incurred. Where an infrastructure operator passes through a transaction charge to the customer without modification, the ACCC considers the proposed pass-through rule will have been satisfied. </w:t>
      </w:r>
    </w:p>
    <w:p w:rsidR="00067769" w:rsidRDefault="00067769" w:rsidP="003E793F">
      <w:r>
        <w:t xml:space="preserve">However, the ACCC also recognises that there may be a large number of different transaction charges that could be incurred by an infrastructure operator on behalf of their customers, depending upon the trade / dealing decisions of their customers. The proposed pass through rules would require an infrastructure operator to pass on the cost of each of these different transaction charges directly to the customer(s) responsible for them being incurred, through a corresponding infrastructure charge. Section 5.4.3 discusses the proposed exemption for infrastructure operators from the obligation include details of infrastructure charges passing through the cost of a </w:t>
      </w:r>
      <w:r w:rsidRPr="00AD7F86">
        <w:rPr>
          <w:i/>
        </w:rPr>
        <w:t>transaction charge</w:t>
      </w:r>
      <w:r>
        <w:t xml:space="preserve"> in their </w:t>
      </w:r>
      <w:r w:rsidR="00AD6514">
        <w:t>S</w:t>
      </w:r>
      <w:r>
        <w:t xml:space="preserve">chedule of </w:t>
      </w:r>
      <w:r w:rsidR="00AD6514">
        <w:t>C</w:t>
      </w:r>
      <w:r>
        <w:t>harges.</w:t>
      </w:r>
      <w:r w:rsidR="00C6733C">
        <w:t xml:space="preserve"> </w:t>
      </w:r>
      <w:r>
        <w:t xml:space="preserve">Importantly, the proposed exemption set out in section 5.4.3 would not </w:t>
      </w:r>
      <w:r w:rsidR="00572AB2">
        <w:t xml:space="preserve">generally </w:t>
      </w:r>
      <w:r>
        <w:t>extend to any administration fee or charge that the infrastructure operator itself determines.</w:t>
      </w:r>
      <w:r w:rsidRPr="008743BA">
        <w:t xml:space="preserve"> </w:t>
      </w:r>
    </w:p>
    <w:p w:rsidR="00067769" w:rsidRDefault="00067769" w:rsidP="00E83E5D">
      <w:pPr>
        <w:pStyle w:val="Heading4-Un-numberedsubheading-Lvl5"/>
      </w:pPr>
      <w:r>
        <w:t>Information to be provided on methodology for passing through charges</w:t>
      </w:r>
    </w:p>
    <w:p w:rsidR="00067769" w:rsidRDefault="00067769" w:rsidP="00001CBF">
      <w:pPr>
        <w:spacing w:after="120"/>
      </w:pPr>
      <w:r>
        <w:t>The ACCC advises that, in lieu of prescriptive requirements detailing exactly how an operator must pass through charges it incurs, an operator should notify customers of its general methodology for such pass throughs. In particular, an operator should describe its methodology using an “in-out” approach, such that a customer has sufficient information to ascertain:</w:t>
      </w:r>
    </w:p>
    <w:p w:rsidR="00067769" w:rsidRDefault="00997184" w:rsidP="00A82DE6">
      <w:pPr>
        <w:pStyle w:val="Lvl1Bulletpoint"/>
      </w:pPr>
      <w:r>
        <w:t>w</w:t>
      </w:r>
      <w:r w:rsidR="00067769">
        <w:t>hat infrastructure charges and / or planning and management charges an operator incurs (including the amounts of such charges and the bases on which they are levied)</w:t>
      </w:r>
      <w:r w:rsidR="00B71736">
        <w:t>.</w:t>
      </w:r>
      <w:r w:rsidR="00067769">
        <w:t xml:space="preserve"> </w:t>
      </w:r>
    </w:p>
    <w:p w:rsidR="00067769" w:rsidRDefault="00997184" w:rsidP="00A82DE6">
      <w:pPr>
        <w:pStyle w:val="Lvl1Bulletpoint"/>
      </w:pPr>
      <w:r>
        <w:t>w</w:t>
      </w:r>
      <w:r w:rsidR="00067769">
        <w:t>hat infrastructure charges an operator levies to recover the costs of the charges it incurs</w:t>
      </w:r>
      <w:r w:rsidR="00B71736">
        <w:t>.</w:t>
      </w:r>
    </w:p>
    <w:p w:rsidR="00067769" w:rsidRPr="004F71BC" w:rsidRDefault="00997184" w:rsidP="00A82DE6">
      <w:pPr>
        <w:pStyle w:val="Lvl1Bulletpoint"/>
      </w:pPr>
      <w:r>
        <w:t>w</w:t>
      </w:r>
      <w:r w:rsidR="00067769">
        <w:t>hat the relationship is between the charges incurred by, and levied by, the operator.</w:t>
      </w:r>
    </w:p>
    <w:p w:rsidR="00067769" w:rsidRDefault="00067769" w:rsidP="00067769">
      <w:r>
        <w:t xml:space="preserve">The ACCC considers that this information forms a crucial component of achieving pricing transparency for the pass-through of charges. This statement should be included on the operator’s </w:t>
      </w:r>
      <w:r w:rsidR="00AD6514">
        <w:t>S</w:t>
      </w:r>
      <w:r>
        <w:t xml:space="preserve">chedule of </w:t>
      </w:r>
      <w:r w:rsidR="00AD6514">
        <w:t>C</w:t>
      </w:r>
      <w:r>
        <w:t>harges. For further information (including the rule advice that gives effect to this intent) see also section 5.4.1, (rule advice 5-E).</w:t>
      </w:r>
    </w:p>
    <w:p w:rsidR="00067769" w:rsidRDefault="00067769" w:rsidP="00E83E5D">
      <w:pPr>
        <w:pStyle w:val="Heading4-Un-numberedsubheading-Lvl5"/>
      </w:pPr>
      <w:r>
        <w:t>Timing requirements</w:t>
      </w:r>
    </w:p>
    <w:p w:rsidR="00067769" w:rsidRDefault="00067769" w:rsidP="00067769">
      <w:r>
        <w:t xml:space="preserve">The ACCC recognises that operators have little control over the timing of when they incur infrastructure charges and / or planning and management charges levied by other entities. As such, the ACCC has provided appropriate flexibility in its proposed amendments to the </w:t>
      </w:r>
      <w:r w:rsidR="00AD6514">
        <w:t>S</w:t>
      </w:r>
      <w:r>
        <w:t xml:space="preserve">chedule of </w:t>
      </w:r>
      <w:r w:rsidR="00AD6514">
        <w:t>C</w:t>
      </w:r>
      <w:r>
        <w:t>harge rules. These matters are discussed in section 5.4.</w:t>
      </w:r>
      <w:r w:rsidR="00AF5079">
        <w:t>2</w:t>
      </w:r>
      <w:r>
        <w:t xml:space="preserve"> (rule advice 5-</w:t>
      </w:r>
      <w:r w:rsidR="00AF5079">
        <w:t>I</w:t>
      </w:r>
      <w:r>
        <w:t xml:space="preserve">). </w:t>
      </w:r>
    </w:p>
    <w:p w:rsidR="00067769" w:rsidRDefault="00067769" w:rsidP="00067769">
      <w:r>
        <w:t xml:space="preserve">As a complement to the flexibility provided in the </w:t>
      </w:r>
      <w:r w:rsidR="00AD6514">
        <w:t>S</w:t>
      </w:r>
      <w:r>
        <w:t xml:space="preserve">chedule of </w:t>
      </w:r>
      <w:r w:rsidR="00AD6514">
        <w:t>C</w:t>
      </w:r>
      <w:r>
        <w:t xml:space="preserve">harge requirements, the ACCC also </w:t>
      </w:r>
      <w:r w:rsidR="00B71736">
        <w:t>advises</w:t>
      </w:r>
      <w:r>
        <w:t xml:space="preserve"> that an operator </w:t>
      </w:r>
      <w:r w:rsidR="00B71736">
        <w:t xml:space="preserve">should </w:t>
      </w:r>
      <w:r>
        <w:t>be allowed a ‘grace period’ for compliance with the proposed pass-through rule</w:t>
      </w:r>
      <w:r w:rsidR="00AD6514">
        <w:t xml:space="preserve">. This will enable </w:t>
      </w:r>
      <w:r>
        <w:t xml:space="preserve">the operator to be better </w:t>
      </w:r>
      <w:r w:rsidR="00AD6514">
        <w:t xml:space="preserve">able to </w:t>
      </w:r>
      <w:r>
        <w:t xml:space="preserve">align when it updates charges levied in accordance with this rule with more general changes to its </w:t>
      </w:r>
      <w:r w:rsidR="00AD6514">
        <w:t>S</w:t>
      </w:r>
      <w:r>
        <w:t xml:space="preserve">chedule of </w:t>
      </w:r>
      <w:r w:rsidR="00AD6514">
        <w:t>C</w:t>
      </w:r>
      <w:r>
        <w:t xml:space="preserve">harges. </w:t>
      </w:r>
    </w:p>
    <w:p w:rsidR="00067769" w:rsidRPr="00E50874" w:rsidRDefault="00067769" w:rsidP="00067769">
      <w:r>
        <w:t xml:space="preserve">The ACCC’s advice is that an operator </w:t>
      </w:r>
      <w:r w:rsidRPr="00B85E91">
        <w:rPr>
          <w:i/>
          <w:u w:val="single"/>
        </w:rPr>
        <w:t>may</w:t>
      </w:r>
      <w:r>
        <w:t xml:space="preserve"> (but is not required to) defer updating any infrastructure charge(s) that it levies to recover the cost of </w:t>
      </w:r>
      <w:r>
        <w:rPr>
          <w:i/>
        </w:rPr>
        <w:t xml:space="preserve">network operation charges </w:t>
      </w:r>
      <w:r w:rsidRPr="00A43FAC">
        <w:t>or</w:t>
      </w:r>
      <w:r>
        <w:t xml:space="preserve"> </w:t>
      </w:r>
      <w:r>
        <w:rPr>
          <w:i/>
        </w:rPr>
        <w:t xml:space="preserve">ancillary charges </w:t>
      </w:r>
      <w:r w:rsidRPr="00B85E91">
        <w:t xml:space="preserve">(i.e. charges levied under </w:t>
      </w:r>
      <w:r>
        <w:t xml:space="preserve">proposed </w:t>
      </w:r>
      <w:r w:rsidRPr="00B85E91">
        <w:t xml:space="preserve">rule 9A) </w:t>
      </w:r>
      <w:r w:rsidRPr="00A43FAC">
        <w:t>for up to</w:t>
      </w:r>
      <w:r>
        <w:t xml:space="preserve"> three months after the charge(s) it incurs are changed. An operator will not be taken to have breached the proposed pass-through rule if it simply continues to levy charges according to its </w:t>
      </w:r>
      <w:r w:rsidR="00251FE7">
        <w:t xml:space="preserve">current </w:t>
      </w:r>
      <w:r w:rsidR="00AD6514">
        <w:t>S</w:t>
      </w:r>
      <w:r>
        <w:t xml:space="preserve">chedule of </w:t>
      </w:r>
      <w:r w:rsidR="00AD6514">
        <w:t>C</w:t>
      </w:r>
      <w:r>
        <w:t xml:space="preserve">harges in the interim (assuming that </w:t>
      </w:r>
      <w:r w:rsidR="00251FE7">
        <w:t xml:space="preserve">the current </w:t>
      </w:r>
      <w:r w:rsidR="00AD6514">
        <w:t>S</w:t>
      </w:r>
      <w:r>
        <w:t xml:space="preserve">chedule </w:t>
      </w:r>
      <w:r w:rsidR="00251FE7">
        <w:t xml:space="preserve">is </w:t>
      </w:r>
      <w:r>
        <w:t>consistent with the rules).</w:t>
      </w:r>
    </w:p>
    <w:p w:rsidR="00067769" w:rsidRDefault="00067769" w:rsidP="00E83E5D">
      <w:pPr>
        <w:pStyle w:val="Heading4-Un-numberedsubheading-Lvl5"/>
      </w:pPr>
      <w:r>
        <w:t>Penalty for non-compliance</w:t>
      </w:r>
    </w:p>
    <w:p w:rsidR="00067769" w:rsidRPr="00434473" w:rsidRDefault="00067769" w:rsidP="00067769">
      <w:pPr>
        <w:rPr>
          <w:rFonts w:cs="Arial"/>
          <w:b/>
        </w:rPr>
      </w:pPr>
      <w:r>
        <w:t xml:space="preserve">The ACCC acknowledges stakeholder concerns about its draft rule advice that sought to connect an operator’s ability to levy termination fees using a 10x multiple with compliance with the proposed pass-through rule. The intent of this draft proposal was to recognise that inappropriate inflation of termination fees is one of the key consequences of a failure to appropriately separate out charges that do not relate to the costs of maintaining the operator’s network when calculating termination fees. However, upon consideration, the ACCC considers that this approach may be overly onerous given that the pass-through rule would be a civil penalty provision in its own right (see also section 6.2.1). Accordingly, the ACCC has removed draft rule advice </w:t>
      </w:r>
      <w:r w:rsidRPr="00D32F8C">
        <w:rPr>
          <w:rFonts w:cs="Arial"/>
        </w:rPr>
        <w:t>5-Z</w:t>
      </w:r>
      <w:r w:rsidRPr="00434473">
        <w:rPr>
          <w:rFonts w:cs="Arial"/>
        </w:rPr>
        <w:t xml:space="preserve"> </w:t>
      </w:r>
      <w:r>
        <w:rPr>
          <w:rFonts w:cs="Arial"/>
        </w:rPr>
        <w:t>(</w:t>
      </w:r>
      <w:r w:rsidRPr="00434473">
        <w:rPr>
          <w:rFonts w:cs="Arial"/>
        </w:rPr>
        <w:t xml:space="preserve">and </w:t>
      </w:r>
      <w:r>
        <w:rPr>
          <w:rFonts w:cs="Arial"/>
        </w:rPr>
        <w:t>proposed sub</w:t>
      </w:r>
      <w:r w:rsidRPr="00434473">
        <w:rPr>
          <w:rFonts w:cs="Arial"/>
        </w:rPr>
        <w:t>rule 72(2)(a)(ii)</w:t>
      </w:r>
      <w:r>
        <w:rPr>
          <w:rFonts w:cs="Arial"/>
        </w:rPr>
        <w:t xml:space="preserve"> which gave effect to the draft rule advice—see also section 6.2.1)</w:t>
      </w:r>
      <w:r w:rsidRPr="00434473">
        <w:rPr>
          <w:rFonts w:cs="Arial"/>
        </w:rPr>
        <w:t>.</w:t>
      </w:r>
    </w:p>
    <w:p w:rsidR="00067769" w:rsidRPr="00067769" w:rsidRDefault="00067769" w:rsidP="00067769">
      <w:r>
        <w:rPr>
          <w:rFonts w:cs="Arial"/>
        </w:rPr>
        <w:t>The ACCC maintains its advice that non-compliance with the proposed pass-through rules should attract a civil penalty provision</w:t>
      </w:r>
      <w:r w:rsidRPr="00434473">
        <w:rPr>
          <w:rFonts w:cs="Arial"/>
        </w:rPr>
        <w:t>.</w:t>
      </w:r>
      <w:r>
        <w:rPr>
          <w:rFonts w:cs="Arial"/>
        </w:rPr>
        <w:t xml:space="preserve"> In response to the NIC’s view that the amount of the civil penalty is “excessive”, the ACCC notes that the amount is set by the Act and is not the only enforcement response available to the ACCC (see also section 4.5 regarding the ACCC’s approach to compliance and enforcement, and the ACCC’s response to similar NIC concerns detailed in section 5.3.1).</w:t>
      </w:r>
      <w:r w:rsidRPr="00434473" w:rsidDel="005A0245">
        <w:rPr>
          <w:rFonts w:cs="Arial"/>
          <w:b/>
        </w:rPr>
        <w:t xml:space="preserve"> </w:t>
      </w:r>
    </w:p>
    <w:p w:rsidR="00F9576C" w:rsidRDefault="00F9576C" w:rsidP="00067769">
      <w:pPr>
        <w:pStyle w:val="Heading1"/>
      </w:pPr>
      <w:bookmarkStart w:id="1204" w:name="_Toc436122317"/>
      <w:bookmarkStart w:id="1205" w:name="_Toc436122812"/>
      <w:bookmarkStart w:id="1206" w:name="_Toc436124167"/>
      <w:bookmarkStart w:id="1207" w:name="_Toc456785824"/>
      <w:bookmarkStart w:id="1208" w:name="_Toc461630735"/>
      <w:r w:rsidRPr="00D714FC">
        <w:t>Water Charge (Termination Fees) Rules 2009</w:t>
      </w:r>
      <w:bookmarkEnd w:id="1204"/>
      <w:bookmarkEnd w:id="1205"/>
      <w:bookmarkEnd w:id="1206"/>
      <w:bookmarkEnd w:id="1207"/>
      <w:bookmarkEnd w:id="1208"/>
      <w:r w:rsidRPr="00D714FC">
        <w:tab/>
      </w:r>
    </w:p>
    <w:p w:rsidR="00937887" w:rsidRDefault="00937887" w:rsidP="005000E5">
      <w:pPr>
        <w:spacing w:before="240" w:after="120"/>
        <w:rPr>
          <w:rFonts w:eastAsia="Calibri"/>
        </w:rPr>
      </w:pPr>
      <w:r w:rsidRPr="00D714FC">
        <w:rPr>
          <w:rFonts w:eastAsia="Calibri"/>
        </w:rPr>
        <w:t xml:space="preserve">The </w:t>
      </w:r>
      <w:r>
        <w:rPr>
          <w:rFonts w:eastAsia="Calibri"/>
        </w:rPr>
        <w:t xml:space="preserve">current </w:t>
      </w:r>
      <w:r w:rsidRPr="00524D9F">
        <w:rPr>
          <w:rFonts w:cs="Times New Roman"/>
        </w:rPr>
        <w:t>Water Charge (Termination Fee</w:t>
      </w:r>
      <w:r>
        <w:rPr>
          <w:rFonts w:cs="Times New Roman"/>
        </w:rPr>
        <w:t>s</w:t>
      </w:r>
      <w:r w:rsidRPr="00524D9F">
        <w:rPr>
          <w:rFonts w:cs="Times New Roman"/>
        </w:rPr>
        <w:t>) Rules 2009</w:t>
      </w:r>
      <w:r>
        <w:rPr>
          <w:rFonts w:cs="Times New Roman"/>
        </w:rPr>
        <w:t xml:space="preserve"> (</w:t>
      </w:r>
      <w:r w:rsidRPr="00D714FC">
        <w:rPr>
          <w:rFonts w:eastAsia="Calibri"/>
        </w:rPr>
        <w:t>WCTFR</w:t>
      </w:r>
      <w:r>
        <w:rPr>
          <w:rFonts w:eastAsia="Calibri"/>
        </w:rPr>
        <w:t>)</w:t>
      </w:r>
      <w:r w:rsidRPr="00D714FC">
        <w:rPr>
          <w:rFonts w:eastAsia="Calibri"/>
        </w:rPr>
        <w:t xml:space="preserve"> </w:t>
      </w:r>
      <w:r>
        <w:rPr>
          <w:rFonts w:eastAsia="Calibri"/>
        </w:rPr>
        <w:t xml:space="preserve">provide for two different types of </w:t>
      </w:r>
      <w:r w:rsidRPr="0035144B">
        <w:rPr>
          <w:rFonts w:eastAsia="Calibri"/>
          <w:b/>
          <w:i/>
        </w:rPr>
        <w:t>termination fee</w:t>
      </w:r>
      <w:r>
        <w:rPr>
          <w:rFonts w:eastAsia="Calibri"/>
        </w:rPr>
        <w:t>:</w:t>
      </w:r>
    </w:p>
    <w:p w:rsidR="00937887" w:rsidRDefault="00937887" w:rsidP="00A82DE6">
      <w:pPr>
        <w:pStyle w:val="Lvl1Bulletpoint"/>
        <w:rPr>
          <w:rFonts w:eastAsia="Calibri"/>
        </w:rPr>
      </w:pPr>
      <w:r>
        <w:rPr>
          <w:rFonts w:eastAsia="Calibri"/>
        </w:rPr>
        <w:t xml:space="preserve">a </w:t>
      </w:r>
      <w:r w:rsidRPr="00A5156E">
        <w:rPr>
          <w:rFonts w:eastAsia="Calibri"/>
        </w:rPr>
        <w:t>general</w:t>
      </w:r>
      <w:r>
        <w:rPr>
          <w:rFonts w:eastAsia="Calibri"/>
          <w:b/>
          <w:i/>
        </w:rPr>
        <w:t xml:space="preserve"> </w:t>
      </w:r>
      <w:r w:rsidRPr="00A5156E">
        <w:rPr>
          <w:rFonts w:eastAsia="Calibri"/>
        </w:rPr>
        <w:t>termination fee</w:t>
      </w:r>
      <w:r>
        <w:rPr>
          <w:rFonts w:eastAsia="Calibri"/>
        </w:rPr>
        <w:t>—</w:t>
      </w:r>
      <w:r w:rsidRPr="0035144B">
        <w:rPr>
          <w:rFonts w:eastAsia="Calibri"/>
        </w:rPr>
        <w:t>the</w:t>
      </w:r>
      <w:r>
        <w:rPr>
          <w:rFonts w:eastAsia="Calibri"/>
        </w:rPr>
        <w:t xml:space="preserve"> WCTFR caps </w:t>
      </w:r>
      <w:r w:rsidRPr="0035144B">
        <w:rPr>
          <w:rFonts w:eastAsia="Calibri"/>
        </w:rPr>
        <w:t xml:space="preserve">the maximum applicable termination fee by </w:t>
      </w:r>
      <w:r>
        <w:rPr>
          <w:rFonts w:eastAsia="Calibri"/>
        </w:rPr>
        <w:t xml:space="preserve">applying a termination fee multiple (currently 10x) </w:t>
      </w:r>
      <w:r w:rsidRPr="0035144B">
        <w:rPr>
          <w:rFonts w:eastAsia="Calibri"/>
        </w:rPr>
        <w:t>to the ‘total network access charge’ (TNAC)</w:t>
      </w:r>
      <w:r w:rsidR="00A5156E">
        <w:rPr>
          <w:rFonts w:eastAsia="Calibri"/>
        </w:rPr>
        <w:t xml:space="preserve"> (referred to throughout this chapter and the proposed water charge rules as a </w:t>
      </w:r>
      <w:r w:rsidR="00A5156E">
        <w:rPr>
          <w:rFonts w:eastAsia="Calibri"/>
          <w:b/>
          <w:i/>
        </w:rPr>
        <w:t>general termination fee</w:t>
      </w:r>
      <w:r w:rsidR="00A5156E">
        <w:rPr>
          <w:rFonts w:eastAsia="Calibri"/>
        </w:rPr>
        <w:t>);</w:t>
      </w:r>
    </w:p>
    <w:p w:rsidR="00937887" w:rsidRPr="0035144B" w:rsidRDefault="00937887" w:rsidP="00A82DE6">
      <w:pPr>
        <w:pStyle w:val="Lvl1Bulletpoint"/>
        <w:rPr>
          <w:rFonts w:eastAsia="Calibri"/>
        </w:rPr>
      </w:pPr>
      <w:r>
        <w:rPr>
          <w:rFonts w:eastAsia="Calibri"/>
        </w:rPr>
        <w:t xml:space="preserve">an </w:t>
      </w:r>
      <w:r w:rsidRPr="00A5156E">
        <w:rPr>
          <w:rFonts w:eastAsia="Calibri"/>
        </w:rPr>
        <w:t>additional</w:t>
      </w:r>
      <w:r>
        <w:rPr>
          <w:rFonts w:eastAsia="Calibri"/>
          <w:b/>
          <w:i/>
        </w:rPr>
        <w:t xml:space="preserve"> </w:t>
      </w:r>
      <w:r w:rsidRPr="00A5156E">
        <w:rPr>
          <w:rFonts w:eastAsia="Calibri"/>
        </w:rPr>
        <w:t>termination fee</w:t>
      </w:r>
      <w:r>
        <w:rPr>
          <w:rFonts w:eastAsia="Calibri"/>
        </w:rPr>
        <w:t>—t</w:t>
      </w:r>
      <w:r w:rsidRPr="0035144B">
        <w:rPr>
          <w:rFonts w:eastAsia="Calibri"/>
        </w:rPr>
        <w:t>he WCTFR also allow operators to impose a</w:t>
      </w:r>
      <w:r>
        <w:rPr>
          <w:rFonts w:eastAsia="Calibri"/>
        </w:rPr>
        <w:t xml:space="preserve"> fee in addition to any general termination fee</w:t>
      </w:r>
      <w:r w:rsidRPr="0035144B">
        <w:rPr>
          <w:rFonts w:eastAsia="Calibri"/>
        </w:rPr>
        <w:t xml:space="preserve"> where this is set out under a contract between an operator and </w:t>
      </w:r>
      <w:r>
        <w:rPr>
          <w:rFonts w:eastAsia="Calibri"/>
        </w:rPr>
        <w:t xml:space="preserve">the terminating </w:t>
      </w:r>
      <w:r w:rsidRPr="0035144B">
        <w:rPr>
          <w:rFonts w:eastAsia="Calibri"/>
        </w:rPr>
        <w:t>customer</w:t>
      </w:r>
      <w:r>
        <w:rPr>
          <w:rFonts w:eastAsia="Calibri"/>
        </w:rPr>
        <w:t>,</w:t>
      </w:r>
      <w:r w:rsidRPr="0035144B">
        <w:rPr>
          <w:rFonts w:eastAsia="Calibri"/>
        </w:rPr>
        <w:t xml:space="preserve"> and</w:t>
      </w:r>
      <w:r w:rsidRPr="0035144B" w:rsidDel="00C823F3">
        <w:rPr>
          <w:rFonts w:eastAsia="Calibri"/>
        </w:rPr>
        <w:t xml:space="preserve"> the ACCC has approved </w:t>
      </w:r>
      <w:r w:rsidRPr="0035144B">
        <w:rPr>
          <w:rFonts w:eastAsia="Calibri"/>
        </w:rPr>
        <w:t>the</w:t>
      </w:r>
      <w:r w:rsidRPr="0035144B" w:rsidDel="00C823F3">
        <w:rPr>
          <w:rFonts w:eastAsia="Calibri"/>
        </w:rPr>
        <w:t xml:space="preserve"> fee</w:t>
      </w:r>
      <w:r w:rsidR="00A5156E">
        <w:rPr>
          <w:rFonts w:eastAsia="Calibri"/>
        </w:rPr>
        <w:t xml:space="preserve"> (referred to throughout this chapter and the proposed water charge rules as an </w:t>
      </w:r>
      <w:r w:rsidR="00A5156E">
        <w:rPr>
          <w:rFonts w:eastAsia="Calibri"/>
          <w:b/>
          <w:i/>
        </w:rPr>
        <w:t>additional termination fee</w:t>
      </w:r>
      <w:r w:rsidR="00A5156E">
        <w:rPr>
          <w:rFonts w:eastAsia="Calibri"/>
        </w:rPr>
        <w:t>)</w:t>
      </w:r>
      <w:r w:rsidRPr="0035144B" w:rsidDel="00C823F3">
        <w:rPr>
          <w:rFonts w:eastAsia="Calibri"/>
        </w:rPr>
        <w:t xml:space="preserve">. </w:t>
      </w:r>
    </w:p>
    <w:p w:rsidR="00937887" w:rsidRDefault="00937887" w:rsidP="00937887">
      <w:pPr>
        <w:rPr>
          <w:rFonts w:eastAsia="Calibri"/>
        </w:rPr>
      </w:pPr>
      <w:r>
        <w:rPr>
          <w:rFonts w:eastAsia="Calibri"/>
        </w:rPr>
        <w:t>Section 6.1 considers which infrastructure operators should be subject to the application of the WCTFR.</w:t>
      </w:r>
    </w:p>
    <w:p w:rsidR="00937887" w:rsidRDefault="00937887" w:rsidP="00937887">
      <w:pPr>
        <w:rPr>
          <w:rFonts w:eastAsia="Calibri"/>
        </w:rPr>
      </w:pPr>
      <w:r>
        <w:rPr>
          <w:rFonts w:eastAsia="Calibri"/>
        </w:rPr>
        <w:t xml:space="preserve">Section 6.2 relates to the method of calculating the maximum </w:t>
      </w:r>
      <w:r w:rsidRPr="0035144B">
        <w:rPr>
          <w:rFonts w:eastAsia="Calibri"/>
          <w:i/>
        </w:rPr>
        <w:t>general termination fee</w:t>
      </w:r>
      <w:r>
        <w:rPr>
          <w:rFonts w:eastAsia="Calibri"/>
        </w:rPr>
        <w:t xml:space="preserve">. </w:t>
      </w:r>
    </w:p>
    <w:p w:rsidR="00937887" w:rsidRDefault="00937887" w:rsidP="00937887">
      <w:pPr>
        <w:rPr>
          <w:rFonts w:eastAsia="Calibri"/>
        </w:rPr>
      </w:pPr>
      <w:r>
        <w:rPr>
          <w:rFonts w:eastAsia="Calibri"/>
        </w:rPr>
        <w:t xml:space="preserve">Section 6.3 relates to the circumstances where termination fees (both general termination fees and additional termination fees) can be levied. </w:t>
      </w:r>
    </w:p>
    <w:p w:rsidR="00937887" w:rsidRDefault="00937887" w:rsidP="00937887">
      <w:pPr>
        <w:rPr>
          <w:rFonts w:eastAsia="Calibri"/>
        </w:rPr>
      </w:pPr>
      <w:r>
        <w:rPr>
          <w:rFonts w:eastAsia="Calibri"/>
        </w:rPr>
        <w:t xml:space="preserve">Section 6.4 relates to how the rules regulate </w:t>
      </w:r>
      <w:r w:rsidRPr="00937887">
        <w:rPr>
          <w:rFonts w:eastAsia="Calibri"/>
          <w:i/>
        </w:rPr>
        <w:t>additional termination fees</w:t>
      </w:r>
      <w:r>
        <w:rPr>
          <w:rFonts w:eastAsia="Calibri"/>
        </w:rPr>
        <w:t xml:space="preserve">. </w:t>
      </w:r>
    </w:p>
    <w:p w:rsidR="00937887" w:rsidRDefault="00937887" w:rsidP="00937887">
      <w:pPr>
        <w:rPr>
          <w:rFonts w:eastAsia="Calibri"/>
        </w:rPr>
      </w:pPr>
      <w:r>
        <w:rPr>
          <w:rFonts w:eastAsia="Calibri"/>
        </w:rPr>
        <w:t>Section 6.5 provides a summary drawing together the ACCC’s advice in relation to termination fees.</w:t>
      </w:r>
    </w:p>
    <w:p w:rsidR="00F9576C" w:rsidRPr="00D714FC" w:rsidRDefault="006246A8" w:rsidP="00616672">
      <w:pPr>
        <w:pStyle w:val="Heading2"/>
      </w:pPr>
      <w:bookmarkStart w:id="1209" w:name="_Toc456785825"/>
      <w:bookmarkStart w:id="1210" w:name="_Toc461630736"/>
      <w:r>
        <w:t>Application of the WCTFR</w:t>
      </w:r>
      <w:bookmarkEnd w:id="1209"/>
      <w:bookmarkEnd w:id="1210"/>
      <w:r w:rsidR="00F9576C" w:rsidRPr="00D714FC">
        <w:tab/>
      </w:r>
    </w:p>
    <w:p w:rsidR="00F9576C" w:rsidRPr="00DF129E" w:rsidRDefault="00D07E1E" w:rsidP="00DF129E">
      <w:pPr>
        <w:pStyle w:val="Heading3Un-numbered"/>
        <w:spacing w:before="0" w:after="0"/>
        <w:rPr>
          <w:color w:val="FFFFFF" w:themeColor="background1"/>
          <w:sz w:val="12"/>
          <w:szCs w:val="12"/>
        </w:rPr>
      </w:pPr>
      <w:r w:rsidRPr="00DF129E">
        <w:rPr>
          <w:color w:val="FFFFFF" w:themeColor="background1"/>
          <w:sz w:val="12"/>
          <w:szCs w:val="12"/>
        </w:rPr>
        <w:fldChar w:fldCharType="begin"/>
      </w:r>
      <w:r w:rsidRPr="00DF129E">
        <w:rPr>
          <w:color w:val="FFFFFF" w:themeColor="background1"/>
          <w:sz w:val="12"/>
          <w:szCs w:val="12"/>
        </w:rPr>
        <w:instrText xml:space="preserve"> REF _Ref434840359 \h  \* MERGEFORMAT </w:instrText>
      </w:r>
      <w:r w:rsidRPr="00DF129E">
        <w:rPr>
          <w:color w:val="FFFFFF" w:themeColor="background1"/>
          <w:sz w:val="12"/>
          <w:szCs w:val="12"/>
        </w:rPr>
      </w:r>
      <w:r w:rsidRPr="00DF129E">
        <w:rPr>
          <w:color w:val="FFFFFF" w:themeColor="background1"/>
          <w:sz w:val="12"/>
          <w:szCs w:val="12"/>
        </w:rPr>
        <w:fldChar w:fldCharType="separate"/>
      </w:r>
      <w:r w:rsidR="00BD218B" w:rsidRPr="00BD218B">
        <w:rPr>
          <w:color w:val="FFFFFF" w:themeColor="background1"/>
          <w:sz w:val="12"/>
          <w:szCs w:val="12"/>
        </w:rPr>
        <w:t>Rule advice</w:t>
      </w:r>
      <w:r w:rsidRPr="00DF129E">
        <w:rPr>
          <w:color w:val="FFFFFF" w:themeColor="background1"/>
          <w:sz w:val="12"/>
          <w:szCs w:val="12"/>
        </w:rPr>
        <w:fldChar w:fldCharType="end"/>
      </w:r>
      <w:r w:rsidR="00C21C88" w:rsidRPr="00DF129E">
        <w:rPr>
          <w:color w:val="FFFFFF" w:themeColor="background1"/>
          <w:sz w:val="12"/>
          <w:szCs w:val="12"/>
        </w:rPr>
        <w:t xml:space="preserve"> </w:t>
      </w:r>
    </w:p>
    <w:tbl>
      <w:tblPr>
        <w:tblStyle w:val="TableGrid"/>
        <w:tblW w:w="0" w:type="auto"/>
        <w:tblLook w:val="04A0" w:firstRow="1" w:lastRow="0" w:firstColumn="1" w:lastColumn="0" w:noHBand="0" w:noVBand="1"/>
      </w:tblPr>
      <w:tblGrid>
        <w:gridCol w:w="9242"/>
      </w:tblGrid>
      <w:tr w:rsidR="00171683" w:rsidTr="00171683">
        <w:tc>
          <w:tcPr>
            <w:tcW w:w="9242" w:type="dxa"/>
            <w:tcBorders>
              <w:top w:val="nil"/>
              <w:left w:val="nil"/>
              <w:bottom w:val="nil"/>
              <w:right w:val="nil"/>
            </w:tcBorders>
            <w:shd w:val="clear" w:color="auto" w:fill="D9D9D9" w:themeFill="background1" w:themeFillShade="D9"/>
          </w:tcPr>
          <w:p w:rsidR="00ED342F" w:rsidRPr="00D714FC" w:rsidRDefault="00ED342F" w:rsidP="00AF7032">
            <w:pPr>
              <w:pStyle w:val="Caption"/>
              <w:rPr>
                <w:rFonts w:eastAsia="Arial"/>
              </w:rPr>
            </w:pPr>
            <w:bookmarkStart w:id="1211" w:name="_Toc456784136"/>
            <w:bookmarkStart w:id="1212" w:name="_Toc433975424"/>
            <w:r w:rsidRPr="00D714FC">
              <w:t xml:space="preserve">Rule advice </w:t>
            </w:r>
            <w:r w:rsidR="007F659D">
              <w:rPr>
                <w:noProof/>
              </w:rPr>
              <w:t>6</w:t>
            </w:r>
            <w:r>
              <w:noBreakHyphen/>
            </w:r>
            <w:r w:rsidR="007F659D">
              <w:rPr>
                <w:noProof/>
              </w:rPr>
              <w:t>A</w:t>
            </w:r>
            <w:bookmarkEnd w:id="1211"/>
          </w:p>
          <w:p w:rsidR="00171683" w:rsidRDefault="00171683" w:rsidP="00BD2FB8">
            <w:pPr>
              <w:pStyle w:val="Heading8"/>
              <w:outlineLvl w:val="7"/>
            </w:pPr>
            <w:bookmarkStart w:id="1213" w:name="_Toc433975425"/>
            <w:bookmarkStart w:id="1214" w:name="_Toc436123454"/>
            <w:bookmarkStart w:id="1215" w:name="_Toc456784137"/>
            <w:bookmarkStart w:id="1216" w:name="Rule_Advice_6A"/>
            <w:r w:rsidRPr="00D714FC">
              <w:t>The rules should be amended to regulate termination fees levied by all infrastructure operators, not only irrigation infrastructure operators.</w:t>
            </w:r>
            <w:bookmarkEnd w:id="1213"/>
            <w:bookmarkEnd w:id="1214"/>
            <w:bookmarkEnd w:id="1215"/>
            <w:r>
              <w:t xml:space="preserve"> </w:t>
            </w:r>
          </w:p>
          <w:p w:rsidR="00C95B36" w:rsidRPr="002835C6" w:rsidRDefault="00C95B36" w:rsidP="00222D0D">
            <w:pPr>
              <w:pStyle w:val="Heading8"/>
              <w:outlineLvl w:val="7"/>
              <w:rPr>
                <w:rFonts w:ascii="Times New Roman" w:hAnsi="Times New Roman"/>
              </w:rPr>
            </w:pPr>
            <w:bookmarkStart w:id="1217" w:name="_Toc456784138"/>
            <w:r w:rsidRPr="002835C6">
              <w:rPr>
                <w:rFonts w:ascii="Times New Roman" w:hAnsi="Times New Roman"/>
              </w:rPr>
              <w:t xml:space="preserve">This rule advice is implemented in Part 10 of the </w:t>
            </w:r>
            <w:r w:rsidR="00841CD3" w:rsidRPr="002835C6">
              <w:rPr>
                <w:rFonts w:ascii="Times New Roman" w:hAnsi="Times New Roman"/>
              </w:rPr>
              <w:t xml:space="preserve">proposed </w:t>
            </w:r>
            <w:r w:rsidR="00222D0D">
              <w:rPr>
                <w:rFonts w:ascii="Times New Roman" w:hAnsi="Times New Roman"/>
              </w:rPr>
              <w:t>W</w:t>
            </w:r>
            <w:r w:rsidR="00841CD3" w:rsidRPr="002835C6">
              <w:rPr>
                <w:rFonts w:ascii="Times New Roman" w:hAnsi="Times New Roman"/>
              </w:rPr>
              <w:t xml:space="preserve">ater </w:t>
            </w:r>
            <w:r w:rsidR="00222D0D">
              <w:rPr>
                <w:rFonts w:ascii="Times New Roman" w:hAnsi="Times New Roman"/>
              </w:rPr>
              <w:t>C</w:t>
            </w:r>
            <w:r w:rsidR="00841CD3" w:rsidRPr="002835C6">
              <w:rPr>
                <w:rFonts w:ascii="Times New Roman" w:hAnsi="Times New Roman"/>
              </w:rPr>
              <w:t xml:space="preserve">harge </w:t>
            </w:r>
            <w:r w:rsidR="00222D0D">
              <w:rPr>
                <w:rFonts w:ascii="Times New Roman" w:hAnsi="Times New Roman"/>
              </w:rPr>
              <w:t>R</w:t>
            </w:r>
            <w:r w:rsidR="00841CD3" w:rsidRPr="002835C6">
              <w:rPr>
                <w:rFonts w:ascii="Times New Roman" w:hAnsi="Times New Roman"/>
              </w:rPr>
              <w:t>ules</w:t>
            </w:r>
            <w:r w:rsidRPr="002835C6">
              <w:rPr>
                <w:rFonts w:ascii="Times New Roman" w:hAnsi="Times New Roman"/>
              </w:rPr>
              <w:t>.</w:t>
            </w:r>
            <w:bookmarkEnd w:id="1216"/>
            <w:bookmarkEnd w:id="1217"/>
          </w:p>
        </w:tc>
      </w:tr>
    </w:tbl>
    <w:p w:rsidR="00D1733B" w:rsidRPr="006246A8" w:rsidRDefault="00D1733B" w:rsidP="00DF129E">
      <w:pPr>
        <w:pStyle w:val="Heading3Un-numbered"/>
      </w:pPr>
      <w:bookmarkStart w:id="1218" w:name="_Ref435114674"/>
      <w:bookmarkStart w:id="1219" w:name="_Toc436122319"/>
      <w:bookmarkStart w:id="1220" w:name="_Toc436122814"/>
      <w:bookmarkStart w:id="1221" w:name="_Toc436124169"/>
      <w:bookmarkEnd w:id="1212"/>
      <w:r>
        <w:t>Background</w:t>
      </w:r>
    </w:p>
    <w:p w:rsidR="00D1733B" w:rsidRDefault="00D1733B" w:rsidP="00D1733B">
      <w:pPr>
        <w:rPr>
          <w:rFonts w:eastAsia="Calibri"/>
        </w:rPr>
      </w:pPr>
      <w:r>
        <w:rPr>
          <w:rFonts w:eastAsia="Calibri"/>
        </w:rPr>
        <w:t>‘</w:t>
      </w:r>
      <w:r w:rsidRPr="00D714FC">
        <w:rPr>
          <w:rFonts w:eastAsia="Calibri"/>
        </w:rPr>
        <w:t>Termination fees</w:t>
      </w:r>
      <w:r>
        <w:rPr>
          <w:rFonts w:eastAsia="Calibri"/>
        </w:rPr>
        <w:t>’</w:t>
      </w:r>
      <w:r w:rsidRPr="00D714FC">
        <w:rPr>
          <w:rFonts w:eastAsia="Calibri"/>
        </w:rPr>
        <w:t xml:space="preserve"> </w:t>
      </w:r>
      <w:r>
        <w:rPr>
          <w:rFonts w:eastAsia="Calibri"/>
        </w:rPr>
        <w:t xml:space="preserve">are </w:t>
      </w:r>
      <w:r w:rsidRPr="00D714FC">
        <w:rPr>
          <w:rFonts w:eastAsia="Calibri"/>
        </w:rPr>
        <w:t xml:space="preserve">fees payable to an infrastructure operator by an irrigator </w:t>
      </w:r>
      <w:r>
        <w:rPr>
          <w:rFonts w:eastAsia="Calibri"/>
        </w:rPr>
        <w:t xml:space="preserve">who </w:t>
      </w:r>
      <w:r w:rsidRPr="00D714FC">
        <w:rPr>
          <w:rFonts w:eastAsia="Calibri"/>
        </w:rPr>
        <w:t>terminate</w:t>
      </w:r>
      <w:r>
        <w:rPr>
          <w:rFonts w:eastAsia="Calibri"/>
        </w:rPr>
        <w:t>s</w:t>
      </w:r>
      <w:r w:rsidRPr="00D714FC">
        <w:rPr>
          <w:rFonts w:eastAsia="Calibri"/>
        </w:rPr>
        <w:t xml:space="preserve"> or surrender</w:t>
      </w:r>
      <w:r>
        <w:rPr>
          <w:rFonts w:eastAsia="Calibri"/>
        </w:rPr>
        <w:t>s</w:t>
      </w:r>
      <w:r w:rsidRPr="00D714FC">
        <w:rPr>
          <w:rFonts w:eastAsia="Calibri"/>
        </w:rPr>
        <w:t xml:space="preserve"> the whole or part of a right of access to the operator’s water service infrastructure. The </w:t>
      </w:r>
      <w:r w:rsidRPr="00524D9F">
        <w:rPr>
          <w:rFonts w:eastAsia="Calibri"/>
        </w:rPr>
        <w:t>Water Charge (Termination Fees) Rules 2009</w:t>
      </w:r>
      <w:r w:rsidRPr="00D714FC">
        <w:rPr>
          <w:rFonts w:eastAsia="Calibri"/>
        </w:rPr>
        <w:t xml:space="preserve"> (WCTFR) regula</w:t>
      </w:r>
      <w:r>
        <w:rPr>
          <w:rFonts w:eastAsia="Calibri"/>
        </w:rPr>
        <w:t>te</w:t>
      </w:r>
      <w:r w:rsidRPr="00D714FC">
        <w:rPr>
          <w:rFonts w:eastAsia="Calibri"/>
        </w:rPr>
        <w:t xml:space="preserve"> the circumstances in which </w:t>
      </w:r>
      <w:r w:rsidR="00AF7983">
        <w:rPr>
          <w:rFonts w:eastAsia="Calibri"/>
        </w:rPr>
        <w:t>irrigation infrastructure operators (</w:t>
      </w:r>
      <w:r w:rsidRPr="00D714FC">
        <w:rPr>
          <w:rFonts w:eastAsia="Calibri"/>
        </w:rPr>
        <w:t>IIOs</w:t>
      </w:r>
      <w:r w:rsidR="00AF7983">
        <w:rPr>
          <w:rFonts w:eastAsia="Calibri"/>
        </w:rPr>
        <w:t>)</w:t>
      </w:r>
      <w:r w:rsidRPr="00D714FC">
        <w:rPr>
          <w:rFonts w:eastAsia="Calibri"/>
        </w:rPr>
        <w:t xml:space="preserve"> c</w:t>
      </w:r>
      <w:r>
        <w:rPr>
          <w:rFonts w:eastAsia="Calibri"/>
        </w:rPr>
        <w:t>an</w:t>
      </w:r>
      <w:r w:rsidRPr="00D714FC">
        <w:rPr>
          <w:rFonts w:eastAsia="Calibri"/>
        </w:rPr>
        <w:t xml:space="preserve"> charge termination fees and cap the maximum termination fee payable. The WCTFR do not </w:t>
      </w:r>
      <w:r w:rsidRPr="00D714FC">
        <w:rPr>
          <w:rFonts w:eastAsia="Calibri"/>
          <w:i/>
        </w:rPr>
        <w:t>require</w:t>
      </w:r>
      <w:r w:rsidRPr="00D714FC">
        <w:rPr>
          <w:rFonts w:eastAsia="Calibri"/>
        </w:rPr>
        <w:t xml:space="preserve"> the imposition of a termination fee, and currently only apply</w:t>
      </w:r>
      <w:r>
        <w:rPr>
          <w:rFonts w:eastAsia="Calibri"/>
        </w:rPr>
        <w:t xml:space="preserve"> to termination fees imposed by </w:t>
      </w:r>
      <w:r w:rsidRPr="00D714FC">
        <w:rPr>
          <w:rFonts w:eastAsia="Calibri"/>
        </w:rPr>
        <w:t>IIOs.</w:t>
      </w:r>
    </w:p>
    <w:p w:rsidR="00D1733B" w:rsidRDefault="00D1733B" w:rsidP="00D1733B">
      <w:pPr>
        <w:rPr>
          <w:rFonts w:eastAsia="Calibri"/>
        </w:rPr>
      </w:pPr>
      <w:r w:rsidRPr="00DE5193">
        <w:t xml:space="preserve">The </w:t>
      </w:r>
      <w:r>
        <w:t xml:space="preserve">WCTFR </w:t>
      </w:r>
      <w:r w:rsidRPr="00DE5193">
        <w:t xml:space="preserve">acknowledge </w:t>
      </w:r>
      <w:r w:rsidRPr="00DE5193">
        <w:rPr>
          <w:rFonts w:eastAsia="Calibri"/>
        </w:rPr>
        <w:t xml:space="preserve">that there are several sometimes competing interests to account for when considering issues relating to termination fees, such as those of the operator, terminating irrigators, prospective new customers to the operator’s network, and remaining or other customers. </w:t>
      </w:r>
      <w:r w:rsidRPr="00D714FC">
        <w:rPr>
          <w:rFonts w:eastAsia="Calibri"/>
        </w:rPr>
        <w:t xml:space="preserve">If termination fees </w:t>
      </w:r>
      <w:r>
        <w:rPr>
          <w:rFonts w:eastAsia="Calibri"/>
        </w:rPr>
        <w:t>a</w:t>
      </w:r>
      <w:r w:rsidRPr="00D714FC">
        <w:rPr>
          <w:rFonts w:eastAsia="Calibri"/>
        </w:rPr>
        <w:t>re set too high, irrigators would remain connected to the network even if it was otherwise more efficient for them to trade water and terminate access.</w:t>
      </w:r>
    </w:p>
    <w:p w:rsidR="00D1733B" w:rsidRDefault="00D1733B" w:rsidP="00D1733B">
      <w:r w:rsidRPr="00D714FC">
        <w:rPr>
          <w:rFonts w:eastAsia="Calibri"/>
        </w:rPr>
        <w:t>On the other hand, prohibiting termination fees altogether or setting maximum termination fees too low risk</w:t>
      </w:r>
      <w:r>
        <w:rPr>
          <w:rFonts w:eastAsia="Calibri"/>
        </w:rPr>
        <w:t>s</w:t>
      </w:r>
      <w:r w:rsidRPr="00D714FC">
        <w:rPr>
          <w:rFonts w:eastAsia="Calibri"/>
        </w:rPr>
        <w:t xml:space="preserve"> leaving IIOs with insufficient revenue to provide services to remaining customers, undermining investment in water infrastructure. IIOs have made significant investments in their networks and face ongoing costs to maintain the infrastructure, many of which </w:t>
      </w:r>
      <w:r>
        <w:rPr>
          <w:rFonts w:eastAsia="Calibri"/>
        </w:rPr>
        <w:t xml:space="preserve">costs </w:t>
      </w:r>
      <w:r w:rsidRPr="00D714FC">
        <w:rPr>
          <w:rFonts w:eastAsia="Calibri"/>
        </w:rPr>
        <w:t xml:space="preserve">are fixed and are incurred by the operator whether or not an irrigator chooses to terminate access. Allowing </w:t>
      </w:r>
      <w:r w:rsidRPr="00DE5193">
        <w:rPr>
          <w:rFonts w:eastAsia="Calibri"/>
        </w:rPr>
        <w:t xml:space="preserve">operators to impose termination fees permits them to recover these </w:t>
      </w:r>
      <w:r>
        <w:rPr>
          <w:rFonts w:eastAsia="Calibri"/>
        </w:rPr>
        <w:t xml:space="preserve">unavoidable </w:t>
      </w:r>
      <w:r w:rsidRPr="00DE5193">
        <w:rPr>
          <w:rFonts w:eastAsia="Calibri"/>
        </w:rPr>
        <w:t>fixed costs.</w:t>
      </w:r>
      <w:r w:rsidRPr="00DE5193">
        <w:t xml:space="preserve"> </w:t>
      </w:r>
    </w:p>
    <w:p w:rsidR="00D1733B" w:rsidRPr="00DE5193" w:rsidRDefault="00D1733B" w:rsidP="00D1733B">
      <w:pPr>
        <w:rPr>
          <w:rFonts w:eastAsia="Calibri"/>
        </w:rPr>
      </w:pPr>
      <w:r w:rsidRPr="00DE5193">
        <w:rPr>
          <w:rFonts w:eastAsia="Calibri"/>
        </w:rPr>
        <w:t xml:space="preserve">In </w:t>
      </w:r>
      <w:r>
        <w:rPr>
          <w:rFonts w:eastAsia="Calibri"/>
        </w:rPr>
        <w:t>forming its Draft Advice</w:t>
      </w:r>
      <w:r w:rsidRPr="00DE5193">
        <w:rPr>
          <w:rFonts w:eastAsia="Calibri"/>
        </w:rPr>
        <w:t>, the</w:t>
      </w:r>
      <w:r w:rsidR="00EA0DF1">
        <w:rPr>
          <w:rFonts w:eastAsia="Calibri"/>
        </w:rPr>
        <w:t xml:space="preserve"> </w:t>
      </w:r>
      <w:r w:rsidRPr="00DE5193">
        <w:rPr>
          <w:rFonts w:eastAsia="Calibri"/>
        </w:rPr>
        <w:t>ACCC had regard to the specific context of considerable change that has occurred across the Murray-Darling Basin (MDB) in recent years. In particular, the ACCC note</w:t>
      </w:r>
      <w:r>
        <w:rPr>
          <w:rFonts w:eastAsia="Calibri"/>
        </w:rPr>
        <w:t>d</w:t>
      </w:r>
      <w:r w:rsidRPr="00DE5193">
        <w:rPr>
          <w:rFonts w:eastAsia="Calibri"/>
        </w:rPr>
        <w:t xml:space="preserve"> that there has been a period of significant structural adjustment across the MDB, often involving network rationalisation</w:t>
      </w:r>
      <w:r>
        <w:rPr>
          <w:rFonts w:eastAsia="Calibri"/>
        </w:rPr>
        <w:t>.</w:t>
      </w:r>
      <w:r w:rsidRPr="00DE5193">
        <w:rPr>
          <w:rFonts w:eastAsia="Calibri"/>
        </w:rPr>
        <w:t xml:space="preserve"> These changes have affected many operators, irrigators and other water users, many of whom have faced significant costs and challenges to adapt.</w:t>
      </w:r>
    </w:p>
    <w:p w:rsidR="00D1733B" w:rsidRPr="00DE5193" w:rsidRDefault="00D1733B" w:rsidP="00D1733B">
      <w:pPr>
        <w:rPr>
          <w:rFonts w:eastAsia="Calibri"/>
        </w:rPr>
      </w:pPr>
      <w:r w:rsidRPr="00DE5193">
        <w:rPr>
          <w:rFonts w:eastAsia="Calibri"/>
        </w:rPr>
        <w:t xml:space="preserve">One important aspect of these developments is that an operator which currently meets the definition of ‘IIO’ as defined in the </w:t>
      </w:r>
      <w:r w:rsidR="00653139" w:rsidRPr="00653139">
        <w:rPr>
          <w:rFonts w:eastAsia="Calibri"/>
          <w:i/>
        </w:rPr>
        <w:t xml:space="preserve">Water </w:t>
      </w:r>
      <w:r w:rsidRPr="00653139">
        <w:rPr>
          <w:rFonts w:eastAsia="Calibri"/>
          <w:i/>
        </w:rPr>
        <w:t>Act</w:t>
      </w:r>
      <w:r w:rsidR="00653139" w:rsidRPr="00653139">
        <w:rPr>
          <w:rFonts w:eastAsia="Calibri"/>
          <w:i/>
        </w:rPr>
        <w:t xml:space="preserve"> 2007</w:t>
      </w:r>
      <w:r w:rsidR="00653139">
        <w:rPr>
          <w:rFonts w:eastAsia="Calibri"/>
        </w:rPr>
        <w:t xml:space="preserve"> (the Act)</w:t>
      </w:r>
      <w:r w:rsidR="00046669" w:rsidRPr="00DE5193">
        <w:rPr>
          <w:rStyle w:val="FootnoteReference"/>
          <w:rFonts w:eastAsia="Calibri"/>
        </w:rPr>
        <w:footnoteReference w:id="675"/>
      </w:r>
      <w:r w:rsidRPr="00DE5193">
        <w:rPr>
          <w:rFonts w:eastAsia="Calibri"/>
        </w:rPr>
        <w:t xml:space="preserve"> may cease to meet that definition at some time in the future. This could occur, for example, for an operator who provides a significant level of services to customers other than irrigators, such as urban and environmental water users. Further, there may be operators who </w:t>
      </w:r>
      <w:r w:rsidR="007E6F96">
        <w:rPr>
          <w:rFonts w:eastAsia="Calibri"/>
        </w:rPr>
        <w:t>may not</w:t>
      </w:r>
      <w:r w:rsidRPr="00DE5193">
        <w:rPr>
          <w:rFonts w:eastAsia="Calibri"/>
        </w:rPr>
        <w:t xml:space="preserve"> met the definition of ‘IIO’ but who nevertheless may be entitled </w:t>
      </w:r>
      <w:r w:rsidR="007E6F96">
        <w:rPr>
          <w:rFonts w:eastAsia="Calibri"/>
        </w:rPr>
        <w:t xml:space="preserve">(now or in the future) </w:t>
      </w:r>
      <w:r w:rsidRPr="00DE5193">
        <w:rPr>
          <w:rFonts w:eastAsia="Calibri"/>
        </w:rPr>
        <w:t>to charge a termination fee.</w:t>
      </w:r>
      <w:r w:rsidRPr="00DE5193">
        <w:rPr>
          <w:rStyle w:val="FootnoteReference"/>
          <w:rFonts w:eastAsia="Calibri"/>
        </w:rPr>
        <w:footnoteReference w:id="676"/>
      </w:r>
      <w:r>
        <w:rPr>
          <w:rFonts w:eastAsia="Calibri"/>
        </w:rPr>
        <w:t xml:space="preserve"> In view of this issue, t</w:t>
      </w:r>
      <w:r w:rsidRPr="00DE5193">
        <w:rPr>
          <w:rFonts w:eastAsia="Calibri"/>
        </w:rPr>
        <w:t>he ACCC</w:t>
      </w:r>
      <w:r>
        <w:rPr>
          <w:rFonts w:eastAsia="Calibri"/>
        </w:rPr>
        <w:t xml:space="preserve">’s Draft Advice argued </w:t>
      </w:r>
      <w:r w:rsidRPr="00DE5193">
        <w:rPr>
          <w:rFonts w:eastAsia="Calibri"/>
        </w:rPr>
        <w:t xml:space="preserve">that the </w:t>
      </w:r>
      <w:r>
        <w:rPr>
          <w:rFonts w:eastAsia="Calibri"/>
        </w:rPr>
        <w:t>rules</w:t>
      </w:r>
      <w:r w:rsidRPr="00DE5193">
        <w:rPr>
          <w:rFonts w:eastAsia="Calibri"/>
        </w:rPr>
        <w:t xml:space="preserve"> should regulate termination fees </w:t>
      </w:r>
      <w:r>
        <w:rPr>
          <w:rFonts w:eastAsia="Calibri"/>
        </w:rPr>
        <w:t xml:space="preserve">of </w:t>
      </w:r>
      <w:r w:rsidRPr="00DE5193">
        <w:rPr>
          <w:rFonts w:eastAsia="Calibri"/>
        </w:rPr>
        <w:t xml:space="preserve">by </w:t>
      </w:r>
      <w:r w:rsidRPr="00E57697">
        <w:rPr>
          <w:rFonts w:eastAsia="Calibri"/>
          <w:i/>
        </w:rPr>
        <w:t>all</w:t>
      </w:r>
      <w:r w:rsidRPr="00DE5193">
        <w:rPr>
          <w:rFonts w:eastAsia="Calibri"/>
        </w:rPr>
        <w:t xml:space="preserve"> infrastructure operators who are entitled to charge them, rather than the subset of infrastructure operators who meet the definition of ‘IIO’</w:t>
      </w:r>
      <w:r>
        <w:rPr>
          <w:rFonts w:eastAsia="Calibri"/>
        </w:rPr>
        <w:t xml:space="preserve"> (draft rule advice 6-A)</w:t>
      </w:r>
      <w:r w:rsidRPr="00DE5193">
        <w:rPr>
          <w:rFonts w:eastAsia="Calibri"/>
        </w:rPr>
        <w:t>. This will ensure that customers (both the terminating customer and the remaining customers) of all operators are afforded the same protections when terminations occur</w:t>
      </w:r>
      <w:r>
        <w:rPr>
          <w:rFonts w:eastAsia="Calibri"/>
        </w:rPr>
        <w:t xml:space="preserve">, and </w:t>
      </w:r>
      <w:r w:rsidRPr="00DE5193">
        <w:rPr>
          <w:rFonts w:eastAsia="Calibri"/>
        </w:rPr>
        <w:t>will help ensure a ‘level playing field’ between different types of operators.</w:t>
      </w:r>
    </w:p>
    <w:p w:rsidR="00D1733B" w:rsidRPr="00D1733B" w:rsidRDefault="00D1733B" w:rsidP="00D1733B">
      <w:pPr>
        <w:rPr>
          <w:rFonts w:eastAsia="Calibri"/>
          <w:highlight w:val="lightGray"/>
        </w:rPr>
      </w:pPr>
      <w:r>
        <w:rPr>
          <w:rFonts w:eastAsia="Calibri"/>
        </w:rPr>
        <w:t xml:space="preserve">The remainder of this section discusses stakeholder feedback on draft rule advice 6-A and other matters relating to the general operation of the water charge rules in relation to termination fees. </w:t>
      </w:r>
      <w:r w:rsidRPr="00DE5193">
        <w:rPr>
          <w:rFonts w:eastAsia="Calibri"/>
        </w:rPr>
        <w:t xml:space="preserve">Specific aspects of the </w:t>
      </w:r>
      <w:r>
        <w:rPr>
          <w:rFonts w:eastAsia="Calibri"/>
        </w:rPr>
        <w:t>rules</w:t>
      </w:r>
      <w:r w:rsidRPr="00DE5193">
        <w:rPr>
          <w:rFonts w:eastAsia="Calibri"/>
        </w:rPr>
        <w:t xml:space="preserve"> are considered in </w:t>
      </w:r>
      <w:r w:rsidR="00CB6A7C">
        <w:rPr>
          <w:rFonts w:eastAsia="Calibri"/>
        </w:rPr>
        <w:t>later</w:t>
      </w:r>
      <w:r w:rsidRPr="00DE5193">
        <w:rPr>
          <w:rFonts w:eastAsia="Calibri"/>
        </w:rPr>
        <w:t xml:space="preserve"> sections, as follows: the method of calculating termination fees (section </w:t>
      </w:r>
      <w:r w:rsidR="00510C65">
        <w:rPr>
          <w:rFonts w:eastAsia="Calibri"/>
        </w:rPr>
        <w:t>6.2</w:t>
      </w:r>
      <w:r w:rsidRPr="00DE5193">
        <w:rPr>
          <w:rFonts w:eastAsia="Calibri"/>
        </w:rPr>
        <w:t xml:space="preserve">), circumstances when a termination fee may be imposed (section </w:t>
      </w:r>
      <w:r>
        <w:rPr>
          <w:rFonts w:eastAsia="Calibri"/>
        </w:rPr>
        <w:t>6.3</w:t>
      </w:r>
      <w:r w:rsidRPr="00DE5193">
        <w:rPr>
          <w:rFonts w:eastAsia="Calibri"/>
        </w:rPr>
        <w:t xml:space="preserve">), and approval of additional termination fees (section </w:t>
      </w:r>
      <w:r w:rsidR="00BB297F">
        <w:rPr>
          <w:rFonts w:eastAsia="Calibri"/>
        </w:rPr>
        <w:t>6.4</w:t>
      </w:r>
      <w:r w:rsidRPr="00DE5193">
        <w:rPr>
          <w:rFonts w:eastAsia="Calibri"/>
        </w:rPr>
        <w:t>).</w:t>
      </w:r>
    </w:p>
    <w:p w:rsidR="00D1733B" w:rsidRPr="00502F10" w:rsidRDefault="00D1733B" w:rsidP="00DF129E">
      <w:pPr>
        <w:pStyle w:val="Heading3Un-numbered"/>
      </w:pPr>
      <w:r>
        <w:t>S</w:t>
      </w:r>
      <w:r w:rsidRPr="00502F10">
        <w:t>takeholder feedback</w:t>
      </w:r>
    </w:p>
    <w:p w:rsidR="00D1733B" w:rsidRPr="00502F10" w:rsidRDefault="00D1733B" w:rsidP="00D1733B">
      <w:pPr>
        <w:rPr>
          <w:rFonts w:eastAsia="Calibri"/>
        </w:rPr>
      </w:pPr>
      <w:r w:rsidRPr="00502F10">
        <w:rPr>
          <w:rFonts w:eastAsia="Calibri"/>
        </w:rPr>
        <w:t>Submissions to the ACCC’s Issues Paper were generally supportive of the provisions currently forming the WCTFR.</w:t>
      </w:r>
      <w:r w:rsidRPr="00502F10">
        <w:rPr>
          <w:rStyle w:val="FootnoteReference"/>
          <w:rFonts w:eastAsia="Calibri"/>
        </w:rPr>
        <w:footnoteReference w:id="677"/>
      </w:r>
      <w:r w:rsidRPr="00502F10">
        <w:rPr>
          <w:rFonts w:eastAsia="Calibri"/>
        </w:rPr>
        <w:t xml:space="preserve"> </w:t>
      </w:r>
      <w:r>
        <w:rPr>
          <w:rFonts w:eastAsia="Calibri"/>
        </w:rPr>
        <w:t xml:space="preserve">Three stakeholders </w:t>
      </w:r>
      <w:r w:rsidRPr="00502F10">
        <w:rPr>
          <w:rFonts w:eastAsia="Calibri"/>
        </w:rPr>
        <w:t>noted that there does not appear to be evidence that the current WCTFR are impeding the operation of markets.</w:t>
      </w:r>
      <w:r w:rsidRPr="00502F10">
        <w:rPr>
          <w:rStyle w:val="FootnoteReference"/>
          <w:rFonts w:eastAsia="Calibri"/>
        </w:rPr>
        <w:footnoteReference w:id="678"/>
      </w:r>
      <w:r>
        <w:rPr>
          <w:rFonts w:eastAsia="Calibri"/>
        </w:rPr>
        <w:t xml:space="preserve"> Also, s</w:t>
      </w:r>
      <w:r w:rsidRPr="00502F10">
        <w:rPr>
          <w:rFonts w:eastAsia="Calibri"/>
        </w:rPr>
        <w:t>everal submissions noted the benefits of the WCTFR to the IIO and other irrigators who remain connected to the irrigation network</w:t>
      </w:r>
      <w:r>
        <w:rPr>
          <w:rFonts w:eastAsia="Calibri"/>
        </w:rPr>
        <w:t>.</w:t>
      </w:r>
      <w:r w:rsidRPr="00502F10">
        <w:rPr>
          <w:rStyle w:val="FootnoteReference"/>
          <w:rFonts w:eastAsia="Calibri"/>
        </w:rPr>
        <w:footnoteReference w:id="679"/>
      </w:r>
      <w:r w:rsidRPr="00502F10">
        <w:rPr>
          <w:rFonts w:eastAsia="Calibri"/>
        </w:rPr>
        <w:t xml:space="preserve"> </w:t>
      </w:r>
    </w:p>
    <w:p w:rsidR="00D1733B" w:rsidRDefault="00D1733B" w:rsidP="00D1733B">
      <w:pPr>
        <w:rPr>
          <w:rFonts w:eastAsia="Calibri"/>
        </w:rPr>
      </w:pPr>
      <w:r w:rsidRPr="00502F10">
        <w:rPr>
          <w:rFonts w:eastAsia="Calibri"/>
        </w:rPr>
        <w:t>However, some</w:t>
      </w:r>
      <w:r>
        <w:rPr>
          <w:rFonts w:eastAsia="Calibri"/>
        </w:rPr>
        <w:t xml:space="preserve"> stakeholders who made</w:t>
      </w:r>
      <w:r w:rsidRPr="00502F10">
        <w:rPr>
          <w:rFonts w:eastAsia="Calibri"/>
        </w:rPr>
        <w:t xml:space="preserve"> submissions to the Issues Paper cited certain instances where, in their view, the WCTFR fail to provide appropriate protections for the customers of IIOs.</w:t>
      </w:r>
      <w:r>
        <w:rPr>
          <w:rStyle w:val="FootnoteReference"/>
          <w:rFonts w:eastAsia="Calibri"/>
        </w:rPr>
        <w:footnoteReference w:id="680"/>
      </w:r>
      <w:r w:rsidRPr="00502F10">
        <w:rPr>
          <w:rFonts w:eastAsia="Calibri"/>
        </w:rPr>
        <w:t xml:space="preserve"> </w:t>
      </w:r>
      <w:r>
        <w:rPr>
          <w:rFonts w:eastAsia="Calibri"/>
        </w:rPr>
        <w:t>On the one hand</w:t>
      </w:r>
      <w:r w:rsidRPr="00502F10">
        <w:rPr>
          <w:rFonts w:eastAsia="Calibri"/>
        </w:rPr>
        <w:t xml:space="preserve">, </w:t>
      </w:r>
      <w:r>
        <w:rPr>
          <w:rFonts w:eastAsia="Calibri"/>
        </w:rPr>
        <w:t xml:space="preserve">some stakeholders were </w:t>
      </w:r>
      <w:r w:rsidRPr="00502F10">
        <w:rPr>
          <w:rFonts w:eastAsia="Calibri"/>
        </w:rPr>
        <w:t xml:space="preserve">concerned with the interests of irrigators who wish to terminate. On the other hand, some </w:t>
      </w:r>
      <w:r>
        <w:rPr>
          <w:rFonts w:eastAsia="Calibri"/>
        </w:rPr>
        <w:t xml:space="preserve">stakeholders </w:t>
      </w:r>
      <w:r w:rsidRPr="00502F10">
        <w:rPr>
          <w:rFonts w:eastAsia="Calibri"/>
        </w:rPr>
        <w:t>were concerned more with the interests of remaining irrigators after another customer has terminated, or with the interests of other customers generally in circumstances where an operator has entered into a contract with a specific prospective customer that involves a discounted or waived termination fee clause.</w:t>
      </w:r>
      <w:r>
        <w:rPr>
          <w:rStyle w:val="FootnoteReference"/>
          <w:rFonts w:eastAsia="Calibri"/>
        </w:rPr>
        <w:footnoteReference w:id="681"/>
      </w:r>
    </w:p>
    <w:p w:rsidR="00D1733B" w:rsidRDefault="00D1733B" w:rsidP="00D1733B">
      <w:pPr>
        <w:rPr>
          <w:rFonts w:eastAsia="Calibri"/>
        </w:rPr>
      </w:pPr>
      <w:r>
        <w:rPr>
          <w:rFonts w:eastAsia="Calibri"/>
        </w:rPr>
        <w:t>Further, some stakeholders appear to consider that the WCTFR do not adequately insulate operators from the effects of termination. In particular, t</w:t>
      </w:r>
      <w:r w:rsidRPr="00502F10">
        <w:rPr>
          <w:rFonts w:eastAsia="Calibri"/>
        </w:rPr>
        <w:t xml:space="preserve">hree </w:t>
      </w:r>
      <w:r>
        <w:rPr>
          <w:rFonts w:eastAsia="Calibri"/>
        </w:rPr>
        <w:t xml:space="preserve">submissions to the Issues Paper </w:t>
      </w:r>
      <w:r w:rsidRPr="00502F10">
        <w:rPr>
          <w:rFonts w:eastAsia="Calibri"/>
        </w:rPr>
        <w:t>noted that the possibility of ‘stranded assets’ continues to be an ongoing risk for IIOs.</w:t>
      </w:r>
      <w:r w:rsidRPr="00502F10">
        <w:rPr>
          <w:rStyle w:val="FootnoteReference"/>
          <w:rFonts w:eastAsia="Calibri"/>
        </w:rPr>
        <w:footnoteReference w:id="682"/>
      </w:r>
    </w:p>
    <w:p w:rsidR="00D1733B" w:rsidRPr="00502F10" w:rsidRDefault="00D1733B" w:rsidP="00D1733B">
      <w:pPr>
        <w:rPr>
          <w:rFonts w:eastAsia="Calibri"/>
        </w:rPr>
      </w:pPr>
      <w:r w:rsidRPr="00502F10">
        <w:t xml:space="preserve">Two submissions to the Issues Paper </w:t>
      </w:r>
      <w:r w:rsidRPr="00502F10">
        <w:rPr>
          <w:rFonts w:eastAsia="Calibri"/>
        </w:rPr>
        <w:t>also noted that termination is not the only option available to an irrigator who seeks to discontinue access to their irrigation networks</w:t>
      </w:r>
      <w:r>
        <w:rPr>
          <w:rFonts w:eastAsia="Calibri"/>
        </w:rPr>
        <w:t>;</w:t>
      </w:r>
      <w:r w:rsidRPr="00502F10">
        <w:rPr>
          <w:rFonts w:eastAsia="Calibri"/>
        </w:rPr>
        <w:t xml:space="preserve"> </w:t>
      </w:r>
      <w:r>
        <w:rPr>
          <w:rFonts w:eastAsia="Calibri"/>
        </w:rPr>
        <w:t xml:space="preserve">in particular, </w:t>
      </w:r>
      <w:r w:rsidRPr="00502F10">
        <w:rPr>
          <w:rFonts w:eastAsia="Calibri"/>
        </w:rPr>
        <w:t>an irrigator may be able to trade rights of access such as water delivery rights to existing or new customers of the IIO.</w:t>
      </w:r>
      <w:r w:rsidRPr="00502F10">
        <w:rPr>
          <w:rStyle w:val="FootnoteReference"/>
          <w:rFonts w:eastAsia="Calibri"/>
        </w:rPr>
        <w:footnoteReference w:id="683"/>
      </w:r>
    </w:p>
    <w:p w:rsidR="00D1733B" w:rsidRDefault="00D1733B" w:rsidP="00D1733B">
      <w:pPr>
        <w:rPr>
          <w:rFonts w:eastAsia="Calibri"/>
        </w:rPr>
      </w:pPr>
      <w:r w:rsidRPr="00502F10">
        <w:rPr>
          <w:rFonts w:eastAsia="Calibri"/>
        </w:rPr>
        <w:t xml:space="preserve">The ACCC also heard during several of its public forums about cases where irrigators were facing difficulties with paying termination fees after having participated in government buyback programs or otherwise sold their water access entitlement. These issues are discussed in section </w:t>
      </w:r>
      <w:r>
        <w:rPr>
          <w:rFonts w:eastAsia="Calibri"/>
        </w:rPr>
        <w:t>8.2.2</w:t>
      </w:r>
      <w:r w:rsidRPr="00502F10">
        <w:rPr>
          <w:rFonts w:eastAsia="Calibri"/>
        </w:rPr>
        <w:t>.</w:t>
      </w:r>
    </w:p>
    <w:p w:rsidR="00D1733B" w:rsidRDefault="00D1733B" w:rsidP="00D1733B">
      <w:pPr>
        <w:rPr>
          <w:rFonts w:eastAsia="Calibri"/>
        </w:rPr>
      </w:pPr>
      <w:r>
        <w:rPr>
          <w:rFonts w:eastAsia="Calibri"/>
        </w:rPr>
        <w:t>The ACCC received varied feedback on its Draft Advice in relation to the WCTFR. Stakeholder feedback on draft rule advice 6-A and general comments on the rules as a whole are summarised below; comments on specific matters are addressed in the following sections.</w:t>
      </w:r>
    </w:p>
    <w:p w:rsidR="00D1733B" w:rsidRDefault="00D1733B" w:rsidP="00D1733B">
      <w:r>
        <w:t>The Victorian Farmers’ Federation (VFF)</w:t>
      </w:r>
      <w:r w:rsidRPr="00567276">
        <w:rPr>
          <w:rStyle w:val="FootnoteReference"/>
          <w:sz w:val="20"/>
          <w:szCs w:val="20"/>
        </w:rPr>
        <w:footnoteReference w:id="684"/>
      </w:r>
      <w:r>
        <w:t xml:space="preserve"> supported </w:t>
      </w:r>
      <w:r w:rsidR="00A52AF4">
        <w:t>r</w:t>
      </w:r>
      <w:r>
        <w:t xml:space="preserve">ule </w:t>
      </w:r>
      <w:r w:rsidR="00A52AF4">
        <w:t>a</w:t>
      </w:r>
      <w:r>
        <w:t xml:space="preserve">dvice 6-A. The VFF further identified that there are both advantages and disadvantages of allowing infrastructure operators to charge termination fees. In terms of advantages, the VFF noted that termination fees remove the revenue risk for an infrastructure operator that is associated with termination. However, the VFF also noted that while termination fees encourage irrigators to retain their water within the district, they also inhibit irrigator and water mobility. The VFF concluded that the overall impact of termination fees depends on various factors such as whether modernisation is occurring and the specific situation of the operator. For example, in relation to the </w:t>
      </w:r>
      <w:r w:rsidR="00A4272E">
        <w:t>Goulburn-Murray Water (</w:t>
      </w:r>
      <w:r>
        <w:t>GMW</w:t>
      </w:r>
      <w:r w:rsidR="00A4272E">
        <w:t>)</w:t>
      </w:r>
      <w:r>
        <w:t xml:space="preserve"> Connections Project, the VFF argued that termination fees have acted as a barrier to network rationalisation by deterring exits which may have benefited the progression of the project. </w:t>
      </w:r>
    </w:p>
    <w:p w:rsidR="00D1733B" w:rsidRDefault="00D1733B" w:rsidP="00D1733B">
      <w:r>
        <w:t>Lower</w:t>
      </w:r>
      <w:r w:rsidR="0076282A">
        <w:t xml:space="preserve"> </w:t>
      </w:r>
      <w:r>
        <w:t>Murray Water (LMW) submitted its support for the current WCTFR and the continuing need for termination fees.</w:t>
      </w:r>
      <w:r w:rsidRPr="00567276">
        <w:rPr>
          <w:rStyle w:val="FootnoteReference"/>
          <w:sz w:val="20"/>
          <w:szCs w:val="20"/>
        </w:rPr>
        <w:footnoteReference w:id="685"/>
      </w:r>
      <w:r>
        <w:t xml:space="preserve"> LMW noted that the termination fee is a “fair mechanism” for terminating customers, remaining customers and the infrastructure operator. LMW also noted the continuing risk of stranded assets and operators’ need for time to adjust to terminations to ensure remaining customers do not bear additional costs. </w:t>
      </w:r>
    </w:p>
    <w:p w:rsidR="00D1733B" w:rsidRDefault="00D1733B" w:rsidP="00D1733B">
      <w:r>
        <w:t xml:space="preserve">The National Irrigators’ Council (NIC) did not comment specifically on the draft rule advice (6-A) to extend the operation of the WCTFR to apply to all infrastructure operators, but generally opposed amendments to the WCTFR on grounds of increased burden to member-owned operators. Additional NIC views related to termination fees are summarised in subsequent sections. </w:t>
      </w:r>
    </w:p>
    <w:p w:rsidR="00D1733B" w:rsidRDefault="00D1733B" w:rsidP="00DF129E">
      <w:pPr>
        <w:pStyle w:val="Heading3Un-numbered"/>
      </w:pPr>
      <w:r w:rsidRPr="00B738A8">
        <w:t>ACCC assessment</w:t>
      </w:r>
    </w:p>
    <w:p w:rsidR="00D1733B" w:rsidRPr="00CF0D74" w:rsidRDefault="00D1733B" w:rsidP="00001CBF">
      <w:pPr>
        <w:keepLines/>
        <w:spacing w:after="120"/>
        <w:rPr>
          <w:b/>
        </w:rPr>
      </w:pPr>
      <w:r>
        <w:rPr>
          <w:rFonts w:eastAsia="Arial"/>
        </w:rPr>
        <w:t xml:space="preserve">The ACCC notes that the VFF explicitly supported, and no stakeholder opposed, its draft rule advice to extend the application of the WCFTR to apply to all infrastructure operators, not only to </w:t>
      </w:r>
      <w:r w:rsidR="004B070D">
        <w:rPr>
          <w:rFonts w:eastAsia="Arial"/>
        </w:rPr>
        <w:t>IIO</w:t>
      </w:r>
      <w:r>
        <w:rPr>
          <w:rFonts w:eastAsia="Arial"/>
        </w:rPr>
        <w:t xml:space="preserve">s. The ACCC therefore </w:t>
      </w:r>
      <w:r>
        <w:t xml:space="preserve">maintains its advice, together with its position that this rule amendment is required so that the </w:t>
      </w:r>
      <w:r w:rsidRPr="00CF0D74">
        <w:t xml:space="preserve">application of the rules regulating termination fees: </w:t>
      </w:r>
    </w:p>
    <w:p w:rsidR="00D1733B" w:rsidRPr="00CF0D74" w:rsidRDefault="00CB6A7C" w:rsidP="00A82DE6">
      <w:pPr>
        <w:pStyle w:val="Lvl1Bulletpoint"/>
        <w:rPr>
          <w:b/>
        </w:rPr>
      </w:pPr>
      <w:r>
        <w:t xml:space="preserve">does not depend on </w:t>
      </w:r>
      <w:r w:rsidR="00D1733B" w:rsidRPr="00CF0D74">
        <w:t xml:space="preserve">factors such as an infrastructure operator’s customer base or demand profile </w:t>
      </w:r>
      <w:r>
        <w:t>which can change over time</w:t>
      </w:r>
      <w:r w:rsidR="00D1733B" w:rsidRPr="00CF0D74">
        <w:t xml:space="preserve"> or </w:t>
      </w:r>
    </w:p>
    <w:p w:rsidR="00D84690" w:rsidRDefault="00CB6A7C" w:rsidP="00A82DE6">
      <w:pPr>
        <w:pStyle w:val="Lvl1Bulletpoint"/>
      </w:pPr>
      <w:r>
        <w:t xml:space="preserve">extend to other </w:t>
      </w:r>
      <w:r w:rsidR="00D1733B" w:rsidRPr="00CF0D74">
        <w:t>infrastructure operator</w:t>
      </w:r>
      <w:r>
        <w:t>s</w:t>
      </w:r>
      <w:r w:rsidR="00D1733B" w:rsidRPr="00CF0D74">
        <w:t xml:space="preserve"> </w:t>
      </w:r>
      <w:r>
        <w:t>which may not meet the definition of an IIO, but which may neverthe</w:t>
      </w:r>
      <w:r w:rsidR="007A3031">
        <w:t>le</w:t>
      </w:r>
      <w:r>
        <w:t xml:space="preserve">ss seek to </w:t>
      </w:r>
      <w:r w:rsidR="00D1733B" w:rsidRPr="00CF0D74">
        <w:t>lev</w:t>
      </w:r>
      <w:r>
        <w:t>y</w:t>
      </w:r>
      <w:r w:rsidR="00D1733B" w:rsidRPr="00CF0D74">
        <w:t xml:space="preserve"> terminations fees</w:t>
      </w:r>
      <w:r w:rsidR="007E6F96">
        <w:t xml:space="preserve"> (now or in the future)</w:t>
      </w:r>
      <w:r w:rsidR="00D1733B" w:rsidRPr="00CF0D74">
        <w:t xml:space="preserve">. </w:t>
      </w:r>
    </w:p>
    <w:p w:rsidR="00F9576C" w:rsidRPr="00D714FC" w:rsidRDefault="00D1733B" w:rsidP="00616672">
      <w:pPr>
        <w:pStyle w:val="Heading2"/>
      </w:pPr>
      <w:bookmarkStart w:id="1222" w:name="_Toc456785826"/>
      <w:bookmarkStart w:id="1223" w:name="_Toc461630737"/>
      <w:r>
        <w:t>M</w:t>
      </w:r>
      <w:r w:rsidR="00F9576C" w:rsidRPr="00D714FC">
        <w:t xml:space="preserve">ethod of calculating </w:t>
      </w:r>
      <w:r w:rsidR="00541AFA">
        <w:t xml:space="preserve">general </w:t>
      </w:r>
      <w:r w:rsidR="00F9576C" w:rsidRPr="00D714FC">
        <w:t>termination fees</w:t>
      </w:r>
      <w:bookmarkEnd w:id="1218"/>
      <w:bookmarkEnd w:id="1219"/>
      <w:bookmarkEnd w:id="1220"/>
      <w:bookmarkEnd w:id="1221"/>
      <w:bookmarkEnd w:id="1222"/>
      <w:bookmarkEnd w:id="1223"/>
    </w:p>
    <w:p w:rsidR="00D1733B" w:rsidRPr="006246A8" w:rsidRDefault="00D1733B" w:rsidP="00DF129E">
      <w:pPr>
        <w:pStyle w:val="Heading3Un-numbered"/>
      </w:pPr>
      <w:r>
        <w:t>Background</w:t>
      </w:r>
    </w:p>
    <w:p w:rsidR="00D1733B" w:rsidRDefault="0035144B" w:rsidP="00D1733B">
      <w:pPr>
        <w:rPr>
          <w:b/>
          <w:i/>
          <w:sz w:val="16"/>
          <w:szCs w:val="16"/>
        </w:rPr>
      </w:pPr>
      <w:r>
        <w:rPr>
          <w:rFonts w:eastAsia="Calibri"/>
        </w:rPr>
        <w:t xml:space="preserve">As noted at the beginning of section 6.1, the WCTFR </w:t>
      </w:r>
      <w:r w:rsidRPr="00524D9F">
        <w:rPr>
          <w:rFonts w:cs="Times New Roman"/>
        </w:rPr>
        <w:t>Water Charge (Termination Fee</w:t>
      </w:r>
      <w:r>
        <w:rPr>
          <w:rFonts w:cs="Times New Roman"/>
        </w:rPr>
        <w:t>s</w:t>
      </w:r>
      <w:r w:rsidRPr="00524D9F">
        <w:rPr>
          <w:rFonts w:cs="Times New Roman"/>
        </w:rPr>
        <w:t>) Rules 2009</w:t>
      </w:r>
      <w:r>
        <w:rPr>
          <w:rFonts w:cs="Times New Roman"/>
        </w:rPr>
        <w:t xml:space="preserve"> (</w:t>
      </w:r>
      <w:r w:rsidRPr="00D714FC">
        <w:rPr>
          <w:rFonts w:eastAsia="Calibri"/>
        </w:rPr>
        <w:t>WCTFR</w:t>
      </w:r>
      <w:r>
        <w:rPr>
          <w:rFonts w:eastAsia="Calibri"/>
        </w:rPr>
        <w:t>)</w:t>
      </w:r>
      <w:r w:rsidRPr="00D714FC">
        <w:rPr>
          <w:rFonts w:eastAsia="Calibri"/>
        </w:rPr>
        <w:t xml:space="preserve"> </w:t>
      </w:r>
      <w:r w:rsidR="00937887">
        <w:rPr>
          <w:rFonts w:eastAsia="Calibri"/>
        </w:rPr>
        <w:t>cap the amount an operator may levy for a general termination fee with reference to the ‘total network access charge’ (TNAC).</w:t>
      </w:r>
      <w:r w:rsidR="000C7E84">
        <w:rPr>
          <w:rFonts w:eastAsia="Calibri"/>
        </w:rPr>
        <w:t xml:space="preserve"> The existing WCTFR define </w:t>
      </w:r>
      <w:r w:rsidR="00D1733B" w:rsidRPr="00D714FC">
        <w:rPr>
          <w:rFonts w:eastAsia="Calibri"/>
        </w:rPr>
        <w:t xml:space="preserve">TNAC </w:t>
      </w:r>
      <w:r w:rsidR="00D1733B">
        <w:rPr>
          <w:rFonts w:eastAsia="Calibri"/>
        </w:rPr>
        <w:t>as follows:</w:t>
      </w:r>
      <w:r w:rsidR="007A0FBF">
        <w:rPr>
          <w:rStyle w:val="FootnoteReference"/>
        </w:rPr>
        <w:footnoteReference w:id="686"/>
      </w:r>
      <w:r w:rsidR="00D1733B" w:rsidRPr="00C823F3">
        <w:rPr>
          <w:b/>
          <w:i/>
          <w:sz w:val="16"/>
          <w:szCs w:val="16"/>
        </w:rPr>
        <w:t xml:space="preserve"> </w:t>
      </w:r>
    </w:p>
    <w:p w:rsidR="00D1733B" w:rsidRPr="000C7E84" w:rsidRDefault="00D1733B" w:rsidP="005000E5">
      <w:pPr>
        <w:spacing w:after="120"/>
        <w:rPr>
          <w:i/>
        </w:rPr>
      </w:pPr>
      <w:r w:rsidRPr="000C7E84">
        <w:rPr>
          <w:b/>
          <w:i/>
        </w:rPr>
        <w:t>Total network access charge</w:t>
      </w:r>
      <w:r w:rsidRPr="000C7E84">
        <w:rPr>
          <w:i/>
        </w:rPr>
        <w:t xml:space="preserve">, for the purposes of the calculation of a fee under rule 7 in respect of the termination or surrender of a right of access to an </w:t>
      </w:r>
      <w:r w:rsidR="00AF7983" w:rsidRPr="000C7E84">
        <w:rPr>
          <w:i/>
        </w:rPr>
        <w:t>irrigation infrastructure operator’s (</w:t>
      </w:r>
      <w:r w:rsidRPr="000C7E84">
        <w:rPr>
          <w:i/>
        </w:rPr>
        <w:t>IIO’s</w:t>
      </w:r>
      <w:r w:rsidR="00AF7983" w:rsidRPr="000C7E84">
        <w:rPr>
          <w:i/>
        </w:rPr>
        <w:t>)</w:t>
      </w:r>
      <w:r w:rsidRPr="000C7E84">
        <w:rPr>
          <w:i/>
        </w:rPr>
        <w:t xml:space="preserve"> irrigation network, means the total amount that would have been payable to the operator in respect of a full financial year by a terminating irrigator, if termination or surrender had not occurred, including amounts payable in respect of the recovery of expenditure on capital works, but does not include:</w:t>
      </w:r>
    </w:p>
    <w:p w:rsidR="00D1733B" w:rsidRPr="000C7E84" w:rsidRDefault="00D1733B" w:rsidP="00F43856">
      <w:pPr>
        <w:pStyle w:val="Lvl1Bulletpoint"/>
        <w:numPr>
          <w:ilvl w:val="0"/>
          <w:numId w:val="57"/>
        </w:numPr>
        <w:rPr>
          <w:i/>
        </w:rPr>
      </w:pPr>
      <w:r w:rsidRPr="000C7E84">
        <w:rPr>
          <w:i/>
        </w:rPr>
        <w:t>Any amount calculated by reference to the number of units or volume of water actually delivered to the terminating irrigator; or</w:t>
      </w:r>
    </w:p>
    <w:p w:rsidR="00D1733B" w:rsidRPr="000C7E84" w:rsidRDefault="00D1733B" w:rsidP="00F43856">
      <w:pPr>
        <w:pStyle w:val="Lvl1Bulletpoint"/>
        <w:numPr>
          <w:ilvl w:val="0"/>
          <w:numId w:val="57"/>
        </w:numPr>
        <w:rPr>
          <w:i/>
        </w:rPr>
      </w:pPr>
      <w:r w:rsidRPr="000C7E84">
        <w:rPr>
          <w:i/>
        </w:rPr>
        <w:t>If a service for the storage of water is provided in addition to the service for the delivery of water, any amount in respect of the service for the storage of water; or</w:t>
      </w:r>
    </w:p>
    <w:p w:rsidR="00D1733B" w:rsidRPr="000C7E84" w:rsidRDefault="00D1733B" w:rsidP="00F43856">
      <w:pPr>
        <w:pStyle w:val="Lvl1Bulletpoint"/>
        <w:numPr>
          <w:ilvl w:val="0"/>
          <w:numId w:val="57"/>
        </w:numPr>
        <w:rPr>
          <w:i/>
        </w:rPr>
      </w:pPr>
      <w:r w:rsidRPr="000C7E84">
        <w:rPr>
          <w:i/>
        </w:rPr>
        <w:t>Any amount imposed as a fee in respect of the costs of connecting, or disconnecting, the terminating irrigator to the operator’s irrigation network; or</w:t>
      </w:r>
    </w:p>
    <w:p w:rsidR="00D1733B" w:rsidRPr="000C7E84" w:rsidRDefault="00D1733B" w:rsidP="00F43856">
      <w:pPr>
        <w:pStyle w:val="Lvl1Bulletpoint"/>
        <w:numPr>
          <w:ilvl w:val="0"/>
          <w:numId w:val="57"/>
        </w:numPr>
        <w:rPr>
          <w:i/>
        </w:rPr>
      </w:pPr>
      <w:r w:rsidRPr="000C7E84">
        <w:rPr>
          <w:i/>
        </w:rPr>
        <w:t>Any amount that exceeds an amount based on the recovery of the costs (whether recurrent or capital) incurred by the operator in relation to the provision of the right of access or services provided in relation to that right; or</w:t>
      </w:r>
    </w:p>
    <w:p w:rsidR="00D1733B" w:rsidRPr="000C7E84" w:rsidRDefault="00D1733B" w:rsidP="00F43856">
      <w:pPr>
        <w:pStyle w:val="Lvl1Bulletpoint"/>
        <w:numPr>
          <w:ilvl w:val="0"/>
          <w:numId w:val="57"/>
        </w:numPr>
        <w:rPr>
          <w:i/>
        </w:rPr>
      </w:pPr>
      <w:r w:rsidRPr="000C7E84">
        <w:rPr>
          <w:i/>
        </w:rPr>
        <w:t xml:space="preserve">If a fee payable under a contract is approved under rule 8, any amount payable under the contract in respect of the recovery of expenditure on capital works relating to the operator’s irrigation network carried out, or to be carried out, within 5 years after the contract was entered into; or </w:t>
      </w:r>
    </w:p>
    <w:p w:rsidR="00D1733B" w:rsidRPr="000C7E84" w:rsidRDefault="00D1733B" w:rsidP="00F43856">
      <w:pPr>
        <w:pStyle w:val="Lvl1Bulletpoint"/>
        <w:numPr>
          <w:ilvl w:val="0"/>
          <w:numId w:val="57"/>
        </w:numPr>
        <w:rPr>
          <w:i/>
        </w:rPr>
      </w:pPr>
      <w:r w:rsidRPr="000C7E84">
        <w:rPr>
          <w:i/>
        </w:rPr>
        <w:t>Any amount of GST.</w:t>
      </w:r>
    </w:p>
    <w:p w:rsidR="00D67628" w:rsidRDefault="00D1733B" w:rsidP="00D1733B">
      <w:pPr>
        <w:rPr>
          <w:rFonts w:eastAsia="Calibri"/>
        </w:rPr>
      </w:pPr>
      <w:r w:rsidRPr="00D714FC" w:rsidDel="00C823F3">
        <w:rPr>
          <w:rFonts w:eastAsia="Calibri"/>
        </w:rPr>
        <w:t>The WCTFR</w:t>
      </w:r>
      <w:r w:rsidDel="00C823F3">
        <w:rPr>
          <w:rFonts w:eastAsia="Calibri"/>
        </w:rPr>
        <w:t xml:space="preserve"> currently</w:t>
      </w:r>
      <w:r w:rsidRPr="00D714FC" w:rsidDel="00C823F3">
        <w:rPr>
          <w:rFonts w:eastAsia="Calibri"/>
        </w:rPr>
        <w:t xml:space="preserve"> cap the </w:t>
      </w:r>
      <w:r w:rsidR="00D67628">
        <w:rPr>
          <w:rFonts w:eastAsia="Calibri"/>
        </w:rPr>
        <w:t xml:space="preserve">level of general </w:t>
      </w:r>
      <w:r w:rsidRPr="00D714FC" w:rsidDel="00C823F3">
        <w:rPr>
          <w:rFonts w:eastAsia="Calibri"/>
        </w:rPr>
        <w:t>termination fee</w:t>
      </w:r>
      <w:r w:rsidR="00D67628">
        <w:rPr>
          <w:rFonts w:eastAsia="Calibri"/>
        </w:rPr>
        <w:t>s</w:t>
      </w:r>
      <w:r w:rsidRPr="00D714FC" w:rsidDel="00C823F3">
        <w:rPr>
          <w:rFonts w:eastAsia="Calibri"/>
        </w:rPr>
        <w:t xml:space="preserve"> at 10 times the relevant TNAC unless a lesser sum is provided for in a contract or arrangement between the IIO and the irrigator (in which case, the lesser fee applies)</w:t>
      </w:r>
      <w:r w:rsidR="00D67628">
        <w:rPr>
          <w:rFonts w:eastAsia="Calibri"/>
        </w:rPr>
        <w:t>.</w:t>
      </w:r>
    </w:p>
    <w:p w:rsidR="00D1733B" w:rsidRDefault="00D1733B" w:rsidP="00D1733B">
      <w:pPr>
        <w:rPr>
          <w:rFonts w:eastAsia="Calibri"/>
        </w:rPr>
      </w:pPr>
      <w:r w:rsidRPr="00D714FC" w:rsidDel="00C823F3">
        <w:rPr>
          <w:rFonts w:eastAsia="Calibri"/>
        </w:rPr>
        <w:t>Where the irrigator terminates only part of their right of access, the</w:t>
      </w:r>
      <w:r w:rsidR="00D67628">
        <w:rPr>
          <w:rFonts w:eastAsia="Calibri"/>
        </w:rPr>
        <w:t xml:space="preserve"> general</w:t>
      </w:r>
      <w:r w:rsidRPr="00D714FC" w:rsidDel="00C823F3">
        <w:rPr>
          <w:rFonts w:eastAsia="Calibri"/>
        </w:rPr>
        <w:t xml:space="preserve"> termination fee payable is calculated by reference to the proportion of the access right that is terminated.</w:t>
      </w:r>
    </w:p>
    <w:p w:rsidR="00F151AC" w:rsidRDefault="00F151AC" w:rsidP="00F151AC">
      <w:pPr>
        <w:pStyle w:val="Heading3"/>
        <w:keepLines/>
      </w:pPr>
      <w:bookmarkStart w:id="1224" w:name="_Ref435117231"/>
      <w:bookmarkStart w:id="1225" w:name="_Ref435117233"/>
      <w:bookmarkStart w:id="1226" w:name="_Toc436122320"/>
      <w:bookmarkStart w:id="1227" w:name="_Toc436122815"/>
      <w:bookmarkStart w:id="1228" w:name="_Toc436124170"/>
      <w:bookmarkStart w:id="1229" w:name="_Toc456785827"/>
      <w:bookmarkStart w:id="1230" w:name="_Toc461630738"/>
      <w:r w:rsidRPr="00D714FC">
        <w:t xml:space="preserve">Total </w:t>
      </w:r>
      <w:r w:rsidR="008F3121">
        <w:t>n</w:t>
      </w:r>
      <w:r w:rsidRPr="00D714FC">
        <w:t xml:space="preserve">etwork </w:t>
      </w:r>
      <w:r w:rsidR="008F3121">
        <w:t>a</w:t>
      </w:r>
      <w:r w:rsidRPr="00D714FC">
        <w:t xml:space="preserve">ccess </w:t>
      </w:r>
      <w:r w:rsidR="008F3121">
        <w:t>c</w:t>
      </w:r>
      <w:r w:rsidRPr="00D714FC">
        <w:t>harge and calculation of the termination fee</w:t>
      </w:r>
      <w:bookmarkEnd w:id="1224"/>
      <w:bookmarkEnd w:id="1225"/>
      <w:bookmarkEnd w:id="1226"/>
      <w:bookmarkEnd w:id="1227"/>
      <w:bookmarkEnd w:id="1228"/>
      <w:bookmarkEnd w:id="1229"/>
      <w:bookmarkEnd w:id="1230"/>
    </w:p>
    <w:p w:rsidR="00FF770C" w:rsidRPr="00FF770C" w:rsidRDefault="00D07E1E" w:rsidP="00D07E1E">
      <w:pPr>
        <w:pStyle w:val="Heading4"/>
        <w:spacing w:before="0" w:after="0"/>
        <w:rPr>
          <w:rFonts w:ascii="Times New Roman" w:hAnsi="Times New Roman" w:cs="Times New Roman"/>
          <w:color w:val="FFFFFF" w:themeColor="background1"/>
          <w:sz w:val="8"/>
        </w:rPr>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r>
        <w:rPr>
          <w:rFonts w:asciiTheme="minorHAnsi" w:hAnsiTheme="minorHAnsi"/>
          <w:color w:val="FFFFFF" w:themeColor="background1"/>
          <w:sz w:val="18"/>
          <w:szCs w:val="18"/>
        </w:rPr>
        <w:t xml:space="preserve"> </w:t>
      </w:r>
      <w:r w:rsidR="00FF770C" w:rsidRPr="00FF770C">
        <w:rPr>
          <w:rStyle w:val="Hyperlink"/>
          <w:rFonts w:asciiTheme="minorHAnsi" w:hAnsiTheme="minorHAnsi"/>
          <w:color w:val="FFFFFF" w:themeColor="background1"/>
          <w:sz w:val="18"/>
          <w:u w:val="none"/>
        </w:rPr>
        <w:fldChar w:fldCharType="begin"/>
      </w:r>
      <w:r w:rsidR="00FF770C" w:rsidRPr="00FF770C">
        <w:rPr>
          <w:rFonts w:ascii="Times New Roman" w:hAnsi="Times New Roman" w:cs="Times New Roman"/>
          <w:color w:val="FFFFFF" w:themeColor="background1"/>
          <w:sz w:val="8"/>
        </w:rPr>
        <w:instrText xml:space="preserve"> REF _Ref456942933 \h </w:instrText>
      </w:r>
      <w:r w:rsidR="00FF770C" w:rsidRPr="00FF770C">
        <w:rPr>
          <w:rStyle w:val="Hyperlink"/>
          <w:rFonts w:asciiTheme="minorHAnsi" w:hAnsiTheme="minorHAnsi"/>
          <w:color w:val="FFFFFF" w:themeColor="background1"/>
          <w:sz w:val="18"/>
          <w:u w:val="none"/>
        </w:rPr>
        <w:instrText xml:space="preserve"> \* MERGEFORMAT </w:instrText>
      </w:r>
      <w:r w:rsidR="00FF770C" w:rsidRPr="00FF770C">
        <w:rPr>
          <w:rStyle w:val="Hyperlink"/>
          <w:rFonts w:asciiTheme="minorHAnsi" w:hAnsiTheme="minorHAnsi"/>
          <w:color w:val="FFFFFF" w:themeColor="background1"/>
          <w:sz w:val="18"/>
          <w:u w:val="none"/>
        </w:rPr>
      </w:r>
      <w:r w:rsidR="00FF770C" w:rsidRPr="00FF770C">
        <w:rPr>
          <w:rStyle w:val="Hyperlink"/>
          <w:rFonts w:asciiTheme="minorHAnsi" w:hAnsiTheme="minorHAnsi"/>
          <w:color w:val="FFFFFF" w:themeColor="background1"/>
          <w:sz w:val="18"/>
          <w:u w:val="none"/>
        </w:rPr>
        <w:fldChar w:fldCharType="separate"/>
      </w:r>
      <w:r w:rsidR="00BD218B" w:rsidRPr="00BD218B">
        <w:rPr>
          <w:rStyle w:val="Hyperlink"/>
          <w:rFonts w:asciiTheme="minorHAnsi" w:hAnsiTheme="minorHAnsi"/>
          <w:color w:val="FFFFFF" w:themeColor="background1"/>
          <w:sz w:val="20"/>
          <w:u w:val="none"/>
        </w:rPr>
        <w:t xml:space="preserve">ACCC </w:t>
      </w:r>
      <w:r w:rsidR="00BD218B" w:rsidRPr="00BD218B">
        <w:rPr>
          <w:rFonts w:asciiTheme="minorHAnsi" w:hAnsiTheme="minorHAnsi"/>
          <w:color w:val="FFFFFF" w:themeColor="background1"/>
          <w:sz w:val="20"/>
        </w:rPr>
        <w:t>Recommendations</w:t>
      </w:r>
      <w:r w:rsidR="00FF770C" w:rsidRPr="00FF770C">
        <w:rPr>
          <w:rStyle w:val="Hyperlink"/>
          <w:rFonts w:asciiTheme="minorHAnsi" w:hAnsiTheme="minorHAnsi"/>
          <w:color w:val="FFFFFF" w:themeColor="background1"/>
          <w:sz w:val="18"/>
          <w:u w:val="none"/>
        </w:rPr>
        <w:fldChar w:fldCharType="end"/>
      </w:r>
    </w:p>
    <w:tbl>
      <w:tblPr>
        <w:tblStyle w:val="TableGrid"/>
        <w:tblW w:w="0" w:type="auto"/>
        <w:tblLook w:val="04A0" w:firstRow="1" w:lastRow="0" w:firstColumn="1" w:lastColumn="0" w:noHBand="0" w:noVBand="1"/>
      </w:tblPr>
      <w:tblGrid>
        <w:gridCol w:w="9242"/>
      </w:tblGrid>
      <w:tr w:rsidR="001F142A" w:rsidTr="001F142A">
        <w:tc>
          <w:tcPr>
            <w:tcW w:w="9242" w:type="dxa"/>
            <w:tcBorders>
              <w:top w:val="nil"/>
              <w:left w:val="nil"/>
              <w:bottom w:val="nil"/>
              <w:right w:val="nil"/>
            </w:tcBorders>
            <w:shd w:val="clear" w:color="auto" w:fill="F2F2F2" w:themeFill="background1" w:themeFillShade="F2"/>
          </w:tcPr>
          <w:p w:rsidR="001F142A" w:rsidRPr="00AF7032" w:rsidRDefault="001F142A" w:rsidP="00DC15E2">
            <w:pPr>
              <w:pStyle w:val="Recommendationheading"/>
              <w:keepNext w:val="0"/>
              <w:keepLines w:val="0"/>
            </w:pPr>
            <w:bookmarkStart w:id="1231" w:name="_Toc435177747"/>
            <w:bookmarkStart w:id="1232" w:name="_Toc456784201"/>
            <w:bookmarkStart w:id="1233" w:name="_Ref435531866"/>
            <w:r w:rsidRPr="00AF7032">
              <w:t xml:space="preserve">Recommendation </w:t>
            </w:r>
            <w:r w:rsidRPr="00AF7032">
              <w:rPr>
                <w:noProof/>
              </w:rPr>
              <w:t>6</w:t>
            </w:r>
            <w:r w:rsidRPr="00AF7032">
              <w:noBreakHyphen/>
            </w:r>
            <w:r w:rsidRPr="00AF7032">
              <w:rPr>
                <w:noProof/>
              </w:rPr>
              <w:t>A</w:t>
            </w:r>
            <w:bookmarkEnd w:id="1231"/>
            <w:bookmarkEnd w:id="1232"/>
            <w:bookmarkEnd w:id="1233"/>
            <w:r w:rsidRPr="00AF7032">
              <w:t xml:space="preserve"> </w:t>
            </w:r>
          </w:p>
          <w:p w:rsidR="001F142A" w:rsidRPr="001F142A" w:rsidRDefault="001F142A" w:rsidP="00DC15E2">
            <w:pPr>
              <w:pStyle w:val="Heading7"/>
              <w:outlineLvl w:val="6"/>
            </w:pPr>
            <w:bookmarkStart w:id="1234" w:name="_Toc433975427"/>
            <w:bookmarkStart w:id="1235" w:name="_Toc435177748"/>
            <w:bookmarkStart w:id="1236" w:name="_Toc456784202"/>
            <w:bookmarkStart w:id="1237" w:name="Recommendation_6A"/>
            <w:r w:rsidRPr="001F142A">
              <w:t>Infrastructure operators should provide information to their customers on how they have used and intend to use revenue from termination fees.</w:t>
            </w:r>
            <w:bookmarkEnd w:id="1234"/>
            <w:bookmarkEnd w:id="1235"/>
            <w:bookmarkEnd w:id="1236"/>
          </w:p>
          <w:p w:rsidR="001F142A" w:rsidRPr="009822DA" w:rsidRDefault="001F142A" w:rsidP="00DC15E2">
            <w:pPr>
              <w:rPr>
                <w:rFonts w:ascii="Verdana" w:hAnsi="Verdana"/>
                <w:i/>
                <w:sz w:val="20"/>
                <w:szCs w:val="20"/>
              </w:rPr>
            </w:pPr>
            <w:r w:rsidRPr="009822DA">
              <w:rPr>
                <w:rFonts w:ascii="Verdana" w:hAnsi="Verdana"/>
                <w:i/>
                <w:sz w:val="20"/>
                <w:szCs w:val="20"/>
              </w:rPr>
              <w:t xml:space="preserve">See also rule advice 5-E. </w:t>
            </w:r>
            <w:bookmarkEnd w:id="1237"/>
          </w:p>
        </w:tc>
      </w:tr>
      <w:tr w:rsidR="00F151AC" w:rsidTr="00297F52">
        <w:tc>
          <w:tcPr>
            <w:tcW w:w="9242" w:type="dxa"/>
            <w:tcBorders>
              <w:top w:val="nil"/>
              <w:left w:val="nil"/>
              <w:bottom w:val="nil"/>
              <w:right w:val="nil"/>
            </w:tcBorders>
            <w:shd w:val="clear" w:color="auto" w:fill="D9D9D9" w:themeFill="background1" w:themeFillShade="D9"/>
          </w:tcPr>
          <w:p w:rsidR="00F151AC" w:rsidRPr="00AF7032" w:rsidRDefault="00F151AC" w:rsidP="00DC15E2">
            <w:pPr>
              <w:pStyle w:val="Caption"/>
              <w:keepNext w:val="0"/>
              <w:keepLines w:val="0"/>
            </w:pPr>
            <w:bookmarkStart w:id="1238" w:name="_Toc436123455"/>
            <w:bookmarkStart w:id="1239" w:name="_Toc456784139"/>
            <w:bookmarkStart w:id="1240" w:name="_Toc435179078"/>
            <w:bookmarkStart w:id="1241" w:name="_Toc433975428"/>
            <w:bookmarkStart w:id="1242" w:name="_Ref433877927"/>
            <w:bookmarkStart w:id="1243" w:name="_Toc433975426"/>
            <w:bookmarkStart w:id="1244" w:name="_Ref433877766"/>
            <w:r w:rsidRPr="00AF7032">
              <w:t xml:space="preserve">Rule advice </w:t>
            </w:r>
            <w:r w:rsidR="007F659D" w:rsidRPr="00AF7032">
              <w:rPr>
                <w:noProof/>
              </w:rPr>
              <w:t>6</w:t>
            </w:r>
            <w:r w:rsidRPr="00AF7032">
              <w:noBreakHyphen/>
            </w:r>
            <w:r w:rsidR="007F659D" w:rsidRPr="00AF7032">
              <w:rPr>
                <w:noProof/>
              </w:rPr>
              <w:t>B</w:t>
            </w:r>
            <w:bookmarkEnd w:id="1238"/>
            <w:bookmarkEnd w:id="1239"/>
            <w:bookmarkEnd w:id="1240"/>
            <w:r w:rsidRPr="00AF7032">
              <w:t xml:space="preserve"> </w:t>
            </w:r>
            <w:bookmarkEnd w:id="1241"/>
            <w:bookmarkEnd w:id="1242"/>
          </w:p>
          <w:p w:rsidR="00F151AC" w:rsidRPr="00D714FC" w:rsidRDefault="00F151AC" w:rsidP="00DC15E2">
            <w:pPr>
              <w:pStyle w:val="Heading8"/>
              <w:outlineLvl w:val="7"/>
            </w:pPr>
            <w:bookmarkStart w:id="1245" w:name="_Toc433975429"/>
            <w:bookmarkStart w:id="1246" w:name="_Toc435179079"/>
            <w:bookmarkStart w:id="1247" w:name="_Toc436123456"/>
            <w:bookmarkStart w:id="1248" w:name="_Toc456784140"/>
            <w:bookmarkStart w:id="1249" w:name="Rule_Advice_6B"/>
            <w:r w:rsidRPr="00D714FC">
              <w:t>The rules should be amended such that</w:t>
            </w:r>
            <w:r>
              <w:t xml:space="preserve"> the calculation of the maximum </w:t>
            </w:r>
            <w:r w:rsidR="00251C4E">
              <w:t xml:space="preserve">general </w:t>
            </w:r>
            <w:r>
              <w:t>termination fee</w:t>
            </w:r>
            <w:r w:rsidRPr="00D714FC">
              <w:t xml:space="preserve"> should only include fixed volumetric infrastructure charges imposed:</w:t>
            </w:r>
            <w:bookmarkEnd w:id="1245"/>
            <w:bookmarkEnd w:id="1246"/>
            <w:bookmarkEnd w:id="1247"/>
            <w:bookmarkEnd w:id="1248"/>
          </w:p>
          <w:p w:rsidR="00F151AC" w:rsidRPr="00D714FC" w:rsidRDefault="00F151AC" w:rsidP="00F43856">
            <w:pPr>
              <w:pStyle w:val="Heading8"/>
              <w:numPr>
                <w:ilvl w:val="0"/>
                <w:numId w:val="86"/>
              </w:numPr>
              <w:outlineLvl w:val="7"/>
            </w:pPr>
            <w:bookmarkStart w:id="1250" w:name="_Toc435179080"/>
            <w:bookmarkStart w:id="1251" w:name="_Toc436123457"/>
            <w:bookmarkStart w:id="1252" w:name="_Toc456784141"/>
            <w:r w:rsidRPr="00D714FC">
              <w:t>per unit of water delivery right; or</w:t>
            </w:r>
            <w:bookmarkEnd w:id="1250"/>
            <w:bookmarkEnd w:id="1251"/>
            <w:bookmarkEnd w:id="1252"/>
            <w:r w:rsidRPr="00D714FC">
              <w:t xml:space="preserve"> </w:t>
            </w:r>
          </w:p>
          <w:p w:rsidR="00F151AC" w:rsidRPr="00D714FC" w:rsidRDefault="00F151AC" w:rsidP="00F43856">
            <w:pPr>
              <w:pStyle w:val="Heading8"/>
              <w:numPr>
                <w:ilvl w:val="0"/>
                <w:numId w:val="86"/>
              </w:numPr>
              <w:outlineLvl w:val="7"/>
            </w:pPr>
            <w:bookmarkStart w:id="1253" w:name="_Toc435179081"/>
            <w:bookmarkStart w:id="1254" w:name="_Toc436123458"/>
            <w:bookmarkStart w:id="1255" w:name="_Toc456784142"/>
            <w:r w:rsidRPr="00D714FC">
              <w:t>per unit water drainage right (where this is separate from the water delivery right);</w:t>
            </w:r>
            <w:bookmarkEnd w:id="1253"/>
            <w:bookmarkEnd w:id="1254"/>
            <w:bookmarkEnd w:id="1255"/>
          </w:p>
          <w:p w:rsidR="00F151AC" w:rsidRPr="00D714FC" w:rsidRDefault="00F151AC" w:rsidP="00DC15E2">
            <w:pPr>
              <w:pStyle w:val="Heading8"/>
              <w:ind w:left="709"/>
              <w:outlineLvl w:val="7"/>
            </w:pPr>
            <w:bookmarkStart w:id="1256" w:name="_Toc433975430"/>
            <w:bookmarkStart w:id="1257" w:name="_Toc435179082"/>
            <w:bookmarkStart w:id="1258" w:name="_Toc436123459"/>
            <w:bookmarkStart w:id="1259" w:name="_Toc456784143"/>
            <w:r w:rsidRPr="00D714FC">
              <w:t>to the extent that these aspects of a customer’s right of access are being terminated.</w:t>
            </w:r>
            <w:bookmarkEnd w:id="1256"/>
            <w:bookmarkEnd w:id="1257"/>
            <w:bookmarkEnd w:id="1258"/>
            <w:bookmarkEnd w:id="1259"/>
          </w:p>
          <w:p w:rsidR="00F151AC" w:rsidRDefault="005F25EE" w:rsidP="00DC15E2">
            <w:pPr>
              <w:pStyle w:val="Heading8"/>
              <w:outlineLvl w:val="7"/>
              <w:rPr>
                <w:i/>
              </w:rPr>
            </w:pPr>
            <w:bookmarkStart w:id="1260" w:name="_Toc433975431"/>
            <w:bookmarkStart w:id="1261" w:name="_Toc435179083"/>
            <w:bookmarkStart w:id="1262" w:name="_Toc436123460"/>
            <w:bookmarkStart w:id="1263" w:name="_Toc456784144"/>
            <w:r>
              <w:t>However, t</w:t>
            </w:r>
            <w:r w:rsidR="00F151AC" w:rsidRPr="00D714FC">
              <w:t xml:space="preserve">he maximum </w:t>
            </w:r>
            <w:r w:rsidR="00251C4E">
              <w:t xml:space="preserve">general </w:t>
            </w:r>
            <w:r w:rsidR="00F151AC" w:rsidRPr="00D714FC">
              <w:t xml:space="preserve">termination </w:t>
            </w:r>
            <w:r w:rsidR="00F151AC">
              <w:t xml:space="preserve">fee </w:t>
            </w:r>
            <w:r w:rsidR="00F151AC" w:rsidRPr="00D714FC">
              <w:t xml:space="preserve">may </w:t>
            </w:r>
            <w:r w:rsidR="00F151AC">
              <w:t>also include an amount</w:t>
            </w:r>
            <w:r w:rsidR="00F151AC" w:rsidRPr="00D714FC">
              <w:t xml:space="preserve"> to account for </w:t>
            </w:r>
            <w:r w:rsidR="00F151AC" w:rsidRPr="00714685">
              <w:t>charges</w:t>
            </w:r>
            <w:r w:rsidR="00F151AC" w:rsidRPr="00D714FC">
              <w:rPr>
                <w:i/>
              </w:rPr>
              <w:t xml:space="preserve"> </w:t>
            </w:r>
            <w:r w:rsidR="00F151AC">
              <w:t xml:space="preserve">dealt with under </w:t>
            </w:r>
            <w:r w:rsidR="00071047">
              <w:t>r</w:t>
            </w:r>
            <w:r w:rsidR="007F659D" w:rsidRPr="00D714FC">
              <w:t xml:space="preserve">ule advice </w:t>
            </w:r>
            <w:r w:rsidR="007F659D">
              <w:rPr>
                <w:noProof/>
              </w:rPr>
              <w:t>6</w:t>
            </w:r>
            <w:r w:rsidR="007F659D">
              <w:rPr>
                <w:noProof/>
              </w:rPr>
              <w:noBreakHyphen/>
              <w:t>C</w:t>
            </w:r>
            <w:r w:rsidR="00F151AC" w:rsidRPr="00D714FC">
              <w:rPr>
                <w:i/>
              </w:rPr>
              <w:t>.</w:t>
            </w:r>
            <w:bookmarkEnd w:id="1260"/>
            <w:bookmarkEnd w:id="1261"/>
            <w:bookmarkEnd w:id="1262"/>
            <w:bookmarkEnd w:id="1263"/>
          </w:p>
          <w:p w:rsidR="00F151AC" w:rsidRPr="00964376" w:rsidRDefault="00F151AC" w:rsidP="00DC15E2">
            <w:pPr>
              <w:pStyle w:val="Heading8"/>
              <w:outlineLvl w:val="7"/>
              <w:rPr>
                <w:sz w:val="18"/>
              </w:rPr>
            </w:pPr>
            <w:bookmarkStart w:id="1264" w:name="_Toc456784145"/>
            <w:r w:rsidRPr="00964376">
              <w:rPr>
                <w:i/>
                <w:sz w:val="18"/>
              </w:rPr>
              <w:t>Note</w:t>
            </w:r>
            <w:r w:rsidRPr="00964376">
              <w:rPr>
                <w:sz w:val="18"/>
              </w:rPr>
              <w:t>: an infrastructure operator may impose a termination fee that is less than the maximum amount, or waive a termination fee.</w:t>
            </w:r>
            <w:bookmarkEnd w:id="1264"/>
          </w:p>
          <w:p w:rsidR="00F151AC" w:rsidRPr="004A065E" w:rsidRDefault="005F238E" w:rsidP="00DC15E2">
            <w:pPr>
              <w:rPr>
                <w:sz w:val="20"/>
              </w:rPr>
            </w:pPr>
            <w:r w:rsidRPr="004A065E">
              <w:rPr>
                <w:rFonts w:ascii="Verdana" w:hAnsi="Verdana"/>
                <w:i/>
                <w:sz w:val="18"/>
                <w:szCs w:val="20"/>
              </w:rPr>
              <w:t>See also rule advices 6-C, 6-D and 6-E.</w:t>
            </w:r>
          </w:p>
          <w:p w:rsidR="00A039CE" w:rsidRDefault="00F151AC" w:rsidP="00DC15E2">
            <w:pPr>
              <w:pStyle w:val="Heading8"/>
              <w:spacing w:before="120"/>
              <w:outlineLvl w:val="7"/>
            </w:pPr>
            <w:bookmarkStart w:id="1265" w:name="_Toc436123461"/>
            <w:bookmarkStart w:id="1266" w:name="_Toc456784146"/>
            <w:r w:rsidRPr="00474B72">
              <w:rPr>
                <w:rFonts w:ascii="Times New Roman" w:hAnsi="Times New Roman"/>
              </w:rPr>
              <w:t xml:space="preserve">This rule advice is implemented in </w:t>
            </w:r>
            <w:r w:rsidR="00A52AF4" w:rsidRPr="00474B72">
              <w:rPr>
                <w:rFonts w:ascii="Times New Roman" w:hAnsi="Times New Roman"/>
              </w:rPr>
              <w:t>r</w:t>
            </w:r>
            <w:r w:rsidRPr="00474B72">
              <w:rPr>
                <w:rFonts w:ascii="Times New Roman" w:hAnsi="Times New Roman"/>
              </w:rPr>
              <w:t xml:space="preserve">ule 72 of the proposed </w:t>
            </w:r>
            <w:r w:rsidR="00222D0D" w:rsidRPr="00474B72">
              <w:rPr>
                <w:rFonts w:ascii="Times New Roman" w:hAnsi="Times New Roman"/>
              </w:rPr>
              <w:t>W</w:t>
            </w:r>
            <w:r w:rsidRPr="00474B72">
              <w:rPr>
                <w:rFonts w:ascii="Times New Roman" w:hAnsi="Times New Roman"/>
              </w:rPr>
              <w:t xml:space="preserve">ater </w:t>
            </w:r>
            <w:r w:rsidR="00222D0D" w:rsidRPr="00474B72">
              <w:rPr>
                <w:rFonts w:ascii="Times New Roman" w:hAnsi="Times New Roman"/>
              </w:rPr>
              <w:t>C</w:t>
            </w:r>
            <w:r w:rsidRPr="00474B72">
              <w:rPr>
                <w:rFonts w:ascii="Times New Roman" w:hAnsi="Times New Roman"/>
              </w:rPr>
              <w:t xml:space="preserve">harge </w:t>
            </w:r>
            <w:r w:rsidR="00222D0D" w:rsidRPr="00474B72">
              <w:rPr>
                <w:rFonts w:ascii="Times New Roman" w:hAnsi="Times New Roman"/>
              </w:rPr>
              <w:t>R</w:t>
            </w:r>
            <w:r w:rsidRPr="00474B72">
              <w:rPr>
                <w:rFonts w:ascii="Times New Roman" w:hAnsi="Times New Roman"/>
              </w:rPr>
              <w:t>ules.</w:t>
            </w:r>
            <w:bookmarkStart w:id="1267" w:name="_Toc436123462"/>
            <w:bookmarkStart w:id="1268" w:name="_Toc456784147"/>
            <w:bookmarkStart w:id="1269" w:name="_Toc435179084"/>
            <w:bookmarkStart w:id="1270" w:name="_Toc433975432"/>
            <w:bookmarkStart w:id="1271" w:name="_Ref433877493"/>
            <w:bookmarkEnd w:id="1249"/>
            <w:bookmarkEnd w:id="1265"/>
            <w:bookmarkEnd w:id="1266"/>
          </w:p>
          <w:p w:rsidR="00665D32" w:rsidRPr="00665D32" w:rsidRDefault="00665D32" w:rsidP="00DC15E2"/>
          <w:p w:rsidR="00F151AC" w:rsidRPr="00D714FC" w:rsidRDefault="00F151AC" w:rsidP="00DC15E2">
            <w:pPr>
              <w:pStyle w:val="Caption"/>
              <w:keepNext w:val="0"/>
              <w:keepLines w:val="0"/>
            </w:pPr>
            <w:r w:rsidRPr="00D714FC">
              <w:t xml:space="preserve">Rule advice </w:t>
            </w:r>
            <w:r w:rsidR="007F659D">
              <w:rPr>
                <w:noProof/>
              </w:rPr>
              <w:t>6</w:t>
            </w:r>
            <w:r>
              <w:noBreakHyphen/>
            </w:r>
            <w:r w:rsidR="007F659D">
              <w:rPr>
                <w:noProof/>
              </w:rPr>
              <w:t>C</w:t>
            </w:r>
            <w:bookmarkEnd w:id="1267"/>
            <w:bookmarkEnd w:id="1268"/>
            <w:bookmarkEnd w:id="1269"/>
            <w:r w:rsidRPr="00D714FC">
              <w:t xml:space="preserve"> </w:t>
            </w:r>
            <w:bookmarkEnd w:id="1270"/>
            <w:bookmarkEnd w:id="1271"/>
          </w:p>
          <w:p w:rsidR="00F151AC" w:rsidRPr="00AF7032" w:rsidRDefault="00F151AC" w:rsidP="00DC15E2">
            <w:pPr>
              <w:pStyle w:val="Ruleadvicesubheading"/>
            </w:pPr>
            <w:bookmarkStart w:id="1272" w:name="_Toc433975433"/>
            <w:bookmarkStart w:id="1273" w:name="_Toc435179085"/>
            <w:bookmarkStart w:id="1274" w:name="_Toc436123463"/>
            <w:bookmarkStart w:id="1275" w:name="_Toc456784148"/>
            <w:bookmarkStart w:id="1276" w:name="Rule_Advice_6C"/>
            <w:r w:rsidRPr="00AF7032">
              <w:t>Separate charges for infrastructure that is dedicated for the exclusive use of the terminating customer</w:t>
            </w:r>
            <w:bookmarkEnd w:id="1272"/>
            <w:bookmarkEnd w:id="1273"/>
            <w:bookmarkEnd w:id="1274"/>
            <w:bookmarkEnd w:id="1275"/>
          </w:p>
          <w:p w:rsidR="00F151AC" w:rsidRPr="00D714FC" w:rsidRDefault="00F151AC" w:rsidP="00DC15E2">
            <w:pPr>
              <w:pStyle w:val="Heading8"/>
              <w:outlineLvl w:val="7"/>
              <w:rPr>
                <w:rFonts w:eastAsia="Calibri"/>
              </w:rPr>
            </w:pPr>
            <w:bookmarkStart w:id="1277" w:name="_Toc433975434"/>
            <w:bookmarkStart w:id="1278" w:name="_Toc435179086"/>
            <w:bookmarkStart w:id="1279" w:name="_Toc436123464"/>
            <w:bookmarkStart w:id="1280" w:name="_Toc456784149"/>
            <w:r w:rsidRPr="00D714FC">
              <w:t>The rules should be amended to provide that, if a separate charge is imposed in respect of infrastructure that is dedicated to the exclusive use of the terminating customer, the maximum</w:t>
            </w:r>
            <w:r w:rsidR="00F97663">
              <w:t xml:space="preserve"> general</w:t>
            </w:r>
            <w:r w:rsidRPr="00D714FC">
              <w:t xml:space="preserve"> termination fee that the infrastructure operator </w:t>
            </w:r>
            <w:r w:rsidR="002E26E8">
              <w:t xml:space="preserve">may </w:t>
            </w:r>
            <w:r w:rsidRPr="00D714FC">
              <w:t>impose can include an amount</w:t>
            </w:r>
            <w:r>
              <w:t>,</w:t>
            </w:r>
            <w:r w:rsidRPr="00D714FC">
              <w:t xml:space="preserve"> </w:t>
            </w:r>
            <w:r>
              <w:t xml:space="preserve">which is </w:t>
            </w:r>
            <w:r w:rsidRPr="00D714FC">
              <w:t>the lesser of:</w:t>
            </w:r>
            <w:bookmarkEnd w:id="1277"/>
            <w:bookmarkEnd w:id="1278"/>
            <w:bookmarkEnd w:id="1279"/>
            <w:bookmarkEnd w:id="1280"/>
          </w:p>
          <w:p w:rsidR="00F151AC" w:rsidRPr="00D714FC" w:rsidRDefault="00F151AC" w:rsidP="00F43856">
            <w:pPr>
              <w:pStyle w:val="Heading8"/>
              <w:numPr>
                <w:ilvl w:val="0"/>
                <w:numId w:val="87"/>
              </w:numPr>
              <w:outlineLvl w:val="7"/>
            </w:pPr>
            <w:bookmarkStart w:id="1281" w:name="_Toc435179087"/>
            <w:bookmarkStart w:id="1282" w:name="_Toc436123465"/>
            <w:bookmarkStart w:id="1283" w:name="_Toc456784150"/>
            <w:r>
              <w:t xml:space="preserve">a reasonable estimate of the cost of </w:t>
            </w:r>
            <w:r w:rsidRPr="00D714FC">
              <w:t xml:space="preserve">the dedicated infrastructure, </w:t>
            </w:r>
            <w:r>
              <w:t>net of a reasonable estimate of any contribution towards that cost made by the terminating customer, whether via direct contribution (e.g. lump sum payment) or via the payment of the separate infrastructure charge</w:t>
            </w:r>
            <w:r w:rsidRPr="00D714FC">
              <w:t xml:space="preserve">; </w:t>
            </w:r>
            <w:bookmarkEnd w:id="1281"/>
            <w:bookmarkEnd w:id="1282"/>
            <w:r>
              <w:t>or</w:t>
            </w:r>
            <w:bookmarkEnd w:id="1283"/>
          </w:p>
          <w:p w:rsidR="00F151AC" w:rsidRPr="00D714FC" w:rsidRDefault="00F151AC" w:rsidP="00F43856">
            <w:pPr>
              <w:pStyle w:val="Heading8"/>
              <w:numPr>
                <w:ilvl w:val="0"/>
                <w:numId w:val="87"/>
              </w:numPr>
              <w:outlineLvl w:val="7"/>
            </w:pPr>
            <w:bookmarkStart w:id="1284" w:name="_Toc435179088"/>
            <w:bookmarkStart w:id="1285" w:name="_Toc436123466"/>
            <w:bookmarkStart w:id="1286" w:name="_Toc456784151"/>
            <w:r w:rsidRPr="00D714FC">
              <w:t xml:space="preserve">10x the amount of the </w:t>
            </w:r>
            <w:r w:rsidR="005E2079">
              <w:t xml:space="preserve">annual </w:t>
            </w:r>
            <w:r w:rsidRPr="00D714FC">
              <w:t>relevant infrastructure charge (i.e. the separate charge that relates to the specific infrastructure).</w:t>
            </w:r>
            <w:bookmarkEnd w:id="1284"/>
            <w:bookmarkEnd w:id="1285"/>
            <w:bookmarkEnd w:id="1286"/>
          </w:p>
          <w:p w:rsidR="00A039CE" w:rsidRDefault="00F151AC" w:rsidP="00DC15E2">
            <w:pPr>
              <w:pStyle w:val="Heading8"/>
              <w:outlineLvl w:val="7"/>
            </w:pPr>
            <w:bookmarkStart w:id="1287" w:name="_Toc436123468"/>
            <w:bookmarkStart w:id="1288" w:name="_Toc456784152"/>
            <w:r w:rsidRPr="00474B72">
              <w:rPr>
                <w:rFonts w:ascii="Times New Roman" w:hAnsi="Times New Roman"/>
              </w:rPr>
              <w:t xml:space="preserve">This rule advice is implemented in </w:t>
            </w:r>
            <w:r w:rsidR="00A52AF4" w:rsidRPr="00474B72">
              <w:rPr>
                <w:rFonts w:ascii="Times New Roman" w:hAnsi="Times New Roman"/>
              </w:rPr>
              <w:t>r</w:t>
            </w:r>
            <w:r w:rsidRPr="00474B72">
              <w:rPr>
                <w:rFonts w:ascii="Times New Roman" w:hAnsi="Times New Roman"/>
              </w:rPr>
              <w:t xml:space="preserve">ule 72 of the proposed </w:t>
            </w:r>
            <w:r w:rsidR="00222D0D" w:rsidRPr="00474B72">
              <w:rPr>
                <w:rFonts w:ascii="Times New Roman" w:hAnsi="Times New Roman"/>
              </w:rPr>
              <w:t>W</w:t>
            </w:r>
            <w:r w:rsidRPr="00474B72">
              <w:rPr>
                <w:rFonts w:ascii="Times New Roman" w:hAnsi="Times New Roman"/>
              </w:rPr>
              <w:t xml:space="preserve">ater </w:t>
            </w:r>
            <w:r w:rsidR="00222D0D" w:rsidRPr="00474B72">
              <w:rPr>
                <w:rFonts w:ascii="Times New Roman" w:hAnsi="Times New Roman"/>
              </w:rPr>
              <w:t>C</w:t>
            </w:r>
            <w:r w:rsidRPr="00474B72">
              <w:rPr>
                <w:rFonts w:ascii="Times New Roman" w:hAnsi="Times New Roman"/>
              </w:rPr>
              <w:t xml:space="preserve">harge </w:t>
            </w:r>
            <w:r w:rsidR="00222D0D" w:rsidRPr="00474B72">
              <w:rPr>
                <w:rFonts w:ascii="Times New Roman" w:hAnsi="Times New Roman"/>
              </w:rPr>
              <w:t>R</w:t>
            </w:r>
            <w:r w:rsidRPr="00474B72">
              <w:rPr>
                <w:rFonts w:ascii="Times New Roman" w:hAnsi="Times New Roman"/>
              </w:rPr>
              <w:t>ules</w:t>
            </w:r>
            <w:r>
              <w:t>.</w:t>
            </w:r>
            <w:bookmarkStart w:id="1289" w:name="_Toc436123469"/>
            <w:bookmarkStart w:id="1290" w:name="_Toc456784153"/>
            <w:bookmarkStart w:id="1291" w:name="_Toc435179090"/>
            <w:bookmarkEnd w:id="1276"/>
            <w:bookmarkEnd w:id="1287"/>
            <w:bookmarkEnd w:id="1288"/>
          </w:p>
          <w:p w:rsidR="00665D32" w:rsidRPr="00665D32" w:rsidRDefault="00665D32" w:rsidP="00DC15E2">
            <w:pPr>
              <w:pStyle w:val="Heading8"/>
              <w:outlineLvl w:val="7"/>
            </w:pPr>
          </w:p>
          <w:p w:rsidR="00F151AC" w:rsidRPr="00D714FC" w:rsidRDefault="00F151AC" w:rsidP="00DC15E2">
            <w:pPr>
              <w:pStyle w:val="Caption"/>
              <w:keepNext w:val="0"/>
              <w:keepLines w:val="0"/>
            </w:pPr>
            <w:r w:rsidRPr="00D714FC">
              <w:t xml:space="preserve">Rule advice </w:t>
            </w:r>
            <w:r w:rsidR="007F659D">
              <w:rPr>
                <w:noProof/>
              </w:rPr>
              <w:t>6</w:t>
            </w:r>
            <w:r>
              <w:noBreakHyphen/>
            </w:r>
            <w:r w:rsidR="007F659D">
              <w:rPr>
                <w:noProof/>
              </w:rPr>
              <w:t>D</w:t>
            </w:r>
            <w:bookmarkEnd w:id="1289"/>
            <w:bookmarkEnd w:id="1290"/>
            <w:bookmarkEnd w:id="1291"/>
          </w:p>
          <w:p w:rsidR="00C70985" w:rsidRDefault="00C70985" w:rsidP="00DC15E2">
            <w:pPr>
              <w:pStyle w:val="Heading8"/>
              <w:outlineLvl w:val="7"/>
            </w:pPr>
            <w:bookmarkStart w:id="1292" w:name="_Toc433975437"/>
            <w:bookmarkStart w:id="1293" w:name="_Toc435179091"/>
            <w:bookmarkStart w:id="1294" w:name="_Toc436123470"/>
            <w:bookmarkStart w:id="1295" w:name="_Toc456784154"/>
            <w:bookmarkStart w:id="1296" w:name="Rule_Advice_6D"/>
            <w:r w:rsidRPr="00D714FC">
              <w:t xml:space="preserve">The </w:t>
            </w:r>
            <w:r>
              <w:t xml:space="preserve">rules should be amended to provide more clarity about which infrastructure charges an operator should use when calculating the maximum </w:t>
            </w:r>
            <w:r w:rsidR="00F97663">
              <w:t xml:space="preserve">general </w:t>
            </w:r>
            <w:r>
              <w:t>termination fee.</w:t>
            </w:r>
          </w:p>
          <w:p w:rsidR="00A02613" w:rsidRPr="00A02613" w:rsidRDefault="00A02613" w:rsidP="00DC15E2">
            <w:pPr>
              <w:pStyle w:val="Ruleadvicesubheading"/>
            </w:pPr>
            <w:r>
              <w:t xml:space="preserve">General rule </w:t>
            </w:r>
          </w:p>
          <w:p w:rsidR="00F151AC" w:rsidRPr="00D714FC" w:rsidRDefault="00C70985" w:rsidP="00DC15E2">
            <w:pPr>
              <w:pStyle w:val="Heading8"/>
              <w:outlineLvl w:val="7"/>
            </w:pPr>
            <w:r>
              <w:t>Whe</w:t>
            </w:r>
            <w:r w:rsidR="00757010">
              <w:t>re</w:t>
            </w:r>
            <w:r>
              <w:t xml:space="preserve"> a customer</w:t>
            </w:r>
            <w:r w:rsidR="00757010">
              <w:t xml:space="preserve"> has provided n</w:t>
            </w:r>
            <w:r>
              <w:t>otice of their intention to terminate or other</w:t>
            </w:r>
            <w:r w:rsidR="00757010">
              <w:t>wise made an</w:t>
            </w:r>
            <w:r>
              <w:t xml:space="preserve"> information request</w:t>
            </w:r>
            <w:r w:rsidR="00F151AC" w:rsidRPr="00D714FC">
              <w:t>, the infrastructure operator must use:</w:t>
            </w:r>
            <w:bookmarkEnd w:id="1292"/>
            <w:bookmarkEnd w:id="1293"/>
            <w:bookmarkEnd w:id="1294"/>
            <w:bookmarkEnd w:id="1295"/>
            <w:r w:rsidR="00F151AC" w:rsidRPr="00D714FC">
              <w:t xml:space="preserve"> </w:t>
            </w:r>
          </w:p>
          <w:p w:rsidR="00F151AC" w:rsidRPr="00D714FC" w:rsidRDefault="00F151AC" w:rsidP="00F43856">
            <w:pPr>
              <w:pStyle w:val="Heading8"/>
              <w:numPr>
                <w:ilvl w:val="0"/>
                <w:numId w:val="110"/>
              </w:numPr>
              <w:outlineLvl w:val="7"/>
            </w:pPr>
            <w:bookmarkStart w:id="1297" w:name="_Toc433975438"/>
            <w:bookmarkStart w:id="1298" w:name="_Toc435179092"/>
            <w:bookmarkStart w:id="1299" w:name="_Toc436123471"/>
            <w:bookmarkStart w:id="1300" w:name="_Toc456784155"/>
            <w:r w:rsidRPr="00D714FC">
              <w:t xml:space="preserve">the infrastructure charges </w:t>
            </w:r>
            <w:r>
              <w:t xml:space="preserve">specified </w:t>
            </w:r>
            <w:r w:rsidRPr="00D714FC">
              <w:t xml:space="preserve">in </w:t>
            </w:r>
            <w:r>
              <w:t xml:space="preserve">the </w:t>
            </w:r>
            <w:r w:rsidR="00AD6514">
              <w:t>S</w:t>
            </w:r>
            <w:r>
              <w:t xml:space="preserve">chedule of </w:t>
            </w:r>
            <w:r w:rsidR="00AD6514">
              <w:t>C</w:t>
            </w:r>
            <w:r>
              <w:t xml:space="preserve">harges currently in </w:t>
            </w:r>
            <w:r w:rsidRPr="00D714FC">
              <w:t xml:space="preserve">effect at the time the </w:t>
            </w:r>
            <w:r>
              <w:t xml:space="preserve">customer </w:t>
            </w:r>
            <w:r w:rsidRPr="00D714FC">
              <w:t xml:space="preserve">provides notice </w:t>
            </w:r>
            <w:r w:rsidR="00C70985">
              <w:t>or makes their request</w:t>
            </w:r>
            <w:r>
              <w:t>;</w:t>
            </w:r>
            <w:r w:rsidRPr="00D714FC">
              <w:t xml:space="preserve"> or</w:t>
            </w:r>
            <w:bookmarkEnd w:id="1297"/>
            <w:bookmarkEnd w:id="1298"/>
            <w:bookmarkEnd w:id="1299"/>
            <w:bookmarkEnd w:id="1300"/>
            <w:r w:rsidRPr="00D714FC">
              <w:t xml:space="preserve"> </w:t>
            </w:r>
          </w:p>
          <w:p w:rsidR="00F151AC" w:rsidRPr="00D714FC" w:rsidRDefault="00C70985" w:rsidP="00F43856">
            <w:pPr>
              <w:pStyle w:val="Heading8"/>
              <w:numPr>
                <w:ilvl w:val="0"/>
                <w:numId w:val="110"/>
              </w:numPr>
              <w:outlineLvl w:val="7"/>
            </w:pPr>
            <w:bookmarkStart w:id="1301" w:name="_Toc433975439"/>
            <w:bookmarkStart w:id="1302" w:name="_Toc435179093"/>
            <w:bookmarkStart w:id="1303" w:name="_Toc436123472"/>
            <w:bookmarkStart w:id="1304" w:name="_Toc456784156"/>
            <w:r>
              <w:t xml:space="preserve">if the infrastructure operator has adopted a new </w:t>
            </w:r>
            <w:r w:rsidR="00B1638F">
              <w:t>Schedule of Charges</w:t>
            </w:r>
            <w:r>
              <w:t xml:space="preserve"> within the previous </w:t>
            </w:r>
            <w:r w:rsidR="006A39DD" w:rsidRPr="006A39DD">
              <w:t xml:space="preserve">25 business </w:t>
            </w:r>
            <w:r>
              <w:t>days</w:t>
            </w:r>
            <w:r w:rsidR="006A39DD">
              <w:t>—</w:t>
            </w:r>
            <w:r w:rsidR="00F151AC">
              <w:t xml:space="preserve">the infrastructure charges specified in the </w:t>
            </w:r>
            <w:r>
              <w:t xml:space="preserve">earlier </w:t>
            </w:r>
            <w:r w:rsidR="00AD6514">
              <w:t>S</w:t>
            </w:r>
            <w:r w:rsidR="00F151AC">
              <w:t xml:space="preserve">chedule of </w:t>
            </w:r>
            <w:r w:rsidR="00AD6514">
              <w:t>C</w:t>
            </w:r>
            <w:r w:rsidR="00F151AC">
              <w:t>harges</w:t>
            </w:r>
            <w:bookmarkEnd w:id="1301"/>
            <w:bookmarkEnd w:id="1302"/>
            <w:bookmarkEnd w:id="1303"/>
            <w:bookmarkEnd w:id="1304"/>
            <w:r w:rsidR="00581287">
              <w:t>;</w:t>
            </w:r>
            <w:r w:rsidR="00F151AC" w:rsidRPr="00D714FC">
              <w:t xml:space="preserve"> </w:t>
            </w:r>
          </w:p>
          <w:p w:rsidR="00F151AC" w:rsidRPr="00D714FC" w:rsidRDefault="00F151AC" w:rsidP="00DC15E2">
            <w:pPr>
              <w:pStyle w:val="Heading8"/>
              <w:ind w:left="709"/>
              <w:outlineLvl w:val="7"/>
            </w:pPr>
            <w:bookmarkStart w:id="1305" w:name="_Toc433975440"/>
            <w:bookmarkStart w:id="1306" w:name="_Toc435179094"/>
            <w:bookmarkStart w:id="1307" w:name="_Toc436123473"/>
            <w:bookmarkStart w:id="1308" w:name="_Toc456784157"/>
            <w:r w:rsidRPr="00D714FC">
              <w:t>whichever produces the lower maximum</w:t>
            </w:r>
            <w:r w:rsidR="00F97663">
              <w:t xml:space="preserve"> general</w:t>
            </w:r>
            <w:r w:rsidRPr="00D714FC">
              <w:t xml:space="preserve"> termination fee.</w:t>
            </w:r>
            <w:bookmarkEnd w:id="1305"/>
            <w:bookmarkEnd w:id="1306"/>
            <w:bookmarkEnd w:id="1307"/>
            <w:bookmarkEnd w:id="1308"/>
            <w:r w:rsidRPr="00D714FC">
              <w:t xml:space="preserve"> </w:t>
            </w:r>
          </w:p>
          <w:p w:rsidR="00A02613" w:rsidRPr="00A02613" w:rsidRDefault="00A02613" w:rsidP="00DC15E2">
            <w:pPr>
              <w:pStyle w:val="Ruleadvicesubheading"/>
            </w:pPr>
            <w:r>
              <w:t>Specific rule for when customer specifies future date for termination / surrender</w:t>
            </w:r>
          </w:p>
          <w:p w:rsidR="00D92318" w:rsidRDefault="00D92318" w:rsidP="00DC15E2">
            <w:pPr>
              <w:pStyle w:val="Heading8"/>
              <w:outlineLvl w:val="7"/>
            </w:pPr>
            <w:r>
              <w:t xml:space="preserve">Where a customer terminates / surrenders their right of access by submitting written notice to the operator, but specifies in that notice a future date on which the termination / surrender is to </w:t>
            </w:r>
            <w:r w:rsidR="00C70985">
              <w:t>take effect</w:t>
            </w:r>
            <w:r>
              <w:t xml:space="preserve"> which is more than 6 months after the date of the notice, the </w:t>
            </w:r>
            <w:r w:rsidR="00C70985">
              <w:t xml:space="preserve">infrastructure </w:t>
            </w:r>
            <w:r>
              <w:t xml:space="preserve">operator </w:t>
            </w:r>
            <w:r w:rsidR="00757010">
              <w:t>must</w:t>
            </w:r>
            <w:r>
              <w:t xml:space="preserve"> </w:t>
            </w:r>
            <w:r w:rsidR="00C70985">
              <w:t>use</w:t>
            </w:r>
            <w:r>
              <w:t xml:space="preserve"> the </w:t>
            </w:r>
            <w:r w:rsidR="00A02613">
              <w:t xml:space="preserve">infrastructure charges specified </w:t>
            </w:r>
            <w:r w:rsidR="00757010">
              <w:t xml:space="preserve">in the </w:t>
            </w:r>
            <w:r>
              <w:t>Schedule of Charges in effect at the time of the termination / surrender.</w:t>
            </w:r>
          </w:p>
          <w:p w:rsidR="00A02613" w:rsidRDefault="00A02613" w:rsidP="00DC15E2">
            <w:pPr>
              <w:pStyle w:val="Ruleadvicesubheading"/>
            </w:pPr>
            <w:r>
              <w:t>Specific rule for when operator terminates due to breach of contract</w:t>
            </w:r>
          </w:p>
          <w:p w:rsidR="00A02613" w:rsidRPr="00A02613" w:rsidRDefault="00A02613" w:rsidP="00DC15E2">
            <w:pPr>
              <w:pStyle w:val="Heading8"/>
              <w:outlineLvl w:val="7"/>
            </w:pPr>
            <w:r>
              <w:t xml:space="preserve">Where an operator terminates a customer’s right of access due to a customer’s breach of contract, </w:t>
            </w:r>
            <w:r w:rsidR="00C70985">
              <w:t xml:space="preserve">the infrastructure operator </w:t>
            </w:r>
            <w:r w:rsidR="00757010">
              <w:t xml:space="preserve">must </w:t>
            </w:r>
            <w:r w:rsidR="00C70985">
              <w:t>use</w:t>
            </w:r>
            <w:r>
              <w:t xml:space="preserve"> the infrastructure charges specified </w:t>
            </w:r>
            <w:r w:rsidR="00757010">
              <w:t xml:space="preserve">in the </w:t>
            </w:r>
            <w:r>
              <w:t>Schedule of Charges in effect at the time the operator provides notice of the termination to the customer.</w:t>
            </w:r>
          </w:p>
          <w:p w:rsidR="00F151AC" w:rsidRPr="004A065E" w:rsidRDefault="00F151AC" w:rsidP="00DC15E2">
            <w:pPr>
              <w:rPr>
                <w:rFonts w:ascii="Verdana" w:hAnsi="Verdana"/>
                <w:i/>
                <w:sz w:val="18"/>
                <w:szCs w:val="20"/>
              </w:rPr>
            </w:pPr>
            <w:r w:rsidRPr="004A065E">
              <w:rPr>
                <w:rFonts w:ascii="Verdana" w:hAnsi="Verdana"/>
                <w:i/>
                <w:sz w:val="18"/>
                <w:szCs w:val="20"/>
              </w:rPr>
              <w:t xml:space="preserve">See also </w:t>
            </w:r>
            <w:r w:rsidR="00222D0D" w:rsidRPr="004A065E">
              <w:rPr>
                <w:rFonts w:ascii="Verdana" w:hAnsi="Verdana"/>
                <w:i/>
                <w:sz w:val="18"/>
                <w:szCs w:val="20"/>
              </w:rPr>
              <w:t>r</w:t>
            </w:r>
            <w:r w:rsidRPr="004A065E">
              <w:rPr>
                <w:rFonts w:ascii="Verdana" w:hAnsi="Verdana"/>
                <w:i/>
                <w:sz w:val="18"/>
                <w:szCs w:val="20"/>
              </w:rPr>
              <w:t xml:space="preserve">ule advice 6-F. </w:t>
            </w:r>
          </w:p>
          <w:p w:rsidR="00F151AC" w:rsidRPr="00C95B36" w:rsidRDefault="00F151AC" w:rsidP="00DC15E2">
            <w:pPr>
              <w:pStyle w:val="Heading8"/>
              <w:spacing w:before="120"/>
              <w:outlineLvl w:val="7"/>
            </w:pPr>
            <w:bookmarkStart w:id="1309" w:name="_Toc436123474"/>
            <w:bookmarkStart w:id="1310" w:name="_Toc456784158"/>
            <w:r w:rsidRPr="00474B72">
              <w:rPr>
                <w:rFonts w:ascii="Times New Roman" w:hAnsi="Times New Roman"/>
              </w:rPr>
              <w:t xml:space="preserve">This rule advice is implemented in </w:t>
            </w:r>
            <w:r w:rsidR="00A52AF4" w:rsidRPr="00474B72">
              <w:rPr>
                <w:rFonts w:ascii="Times New Roman" w:hAnsi="Times New Roman"/>
              </w:rPr>
              <w:t>r</w:t>
            </w:r>
            <w:r w:rsidRPr="00474B72">
              <w:rPr>
                <w:rFonts w:ascii="Times New Roman" w:hAnsi="Times New Roman"/>
              </w:rPr>
              <w:t xml:space="preserve">ule </w:t>
            </w:r>
            <w:r w:rsidR="005E2079" w:rsidRPr="00474B72">
              <w:rPr>
                <w:rFonts w:ascii="Times New Roman" w:hAnsi="Times New Roman"/>
              </w:rPr>
              <w:t xml:space="preserve">72 </w:t>
            </w:r>
            <w:r w:rsidRPr="00474B72">
              <w:rPr>
                <w:rFonts w:ascii="Times New Roman" w:hAnsi="Times New Roman"/>
              </w:rPr>
              <w:t xml:space="preserve">of the proposed </w:t>
            </w:r>
            <w:r w:rsidR="00222D0D" w:rsidRPr="00474B72">
              <w:rPr>
                <w:rFonts w:ascii="Times New Roman" w:hAnsi="Times New Roman"/>
              </w:rPr>
              <w:t>W</w:t>
            </w:r>
            <w:r w:rsidRPr="00474B72">
              <w:rPr>
                <w:rFonts w:ascii="Times New Roman" w:hAnsi="Times New Roman"/>
              </w:rPr>
              <w:t xml:space="preserve">ater </w:t>
            </w:r>
            <w:r w:rsidR="00222D0D" w:rsidRPr="00474B72">
              <w:rPr>
                <w:rFonts w:ascii="Times New Roman" w:hAnsi="Times New Roman"/>
              </w:rPr>
              <w:t>C</w:t>
            </w:r>
            <w:r w:rsidRPr="00474B72">
              <w:rPr>
                <w:rFonts w:ascii="Times New Roman" w:hAnsi="Times New Roman"/>
              </w:rPr>
              <w:t xml:space="preserve">harge </w:t>
            </w:r>
            <w:r w:rsidR="00222D0D" w:rsidRPr="00474B72">
              <w:rPr>
                <w:rFonts w:ascii="Times New Roman" w:hAnsi="Times New Roman"/>
              </w:rPr>
              <w:t>R</w:t>
            </w:r>
            <w:r w:rsidRPr="00474B72">
              <w:rPr>
                <w:rFonts w:ascii="Times New Roman" w:hAnsi="Times New Roman"/>
              </w:rPr>
              <w:t>ules</w:t>
            </w:r>
            <w:r>
              <w:t>.</w:t>
            </w:r>
            <w:bookmarkEnd w:id="1296"/>
            <w:bookmarkEnd w:id="1309"/>
            <w:bookmarkEnd w:id="1310"/>
          </w:p>
        </w:tc>
      </w:tr>
    </w:tbl>
    <w:bookmarkEnd w:id="1243"/>
    <w:bookmarkEnd w:id="1244"/>
    <w:p w:rsidR="00F151AC" w:rsidRPr="006246A8" w:rsidRDefault="00F151AC" w:rsidP="00F151AC">
      <w:pPr>
        <w:pStyle w:val="Heading4"/>
      </w:pPr>
      <w:r>
        <w:t>Background</w:t>
      </w:r>
    </w:p>
    <w:p w:rsidR="00F151AC" w:rsidRPr="00D714FC" w:rsidRDefault="00F151AC" w:rsidP="00D17F9C">
      <w:pPr>
        <w:pStyle w:val="Heading5"/>
      </w:pPr>
      <w:r w:rsidRPr="00D714FC">
        <w:t>Capping maximum termination fees: the 10 times multiple</w:t>
      </w:r>
    </w:p>
    <w:p w:rsidR="00F151AC" w:rsidRDefault="00F151AC" w:rsidP="00F151AC">
      <w:r w:rsidRPr="00D714FC">
        <w:rPr>
          <w:rFonts w:eastAsia="Calibri"/>
        </w:rPr>
        <w:t xml:space="preserve">The 10 times multiple </w:t>
      </w:r>
      <w:r>
        <w:rPr>
          <w:rFonts w:eastAsia="Calibri"/>
        </w:rPr>
        <w:t>for the termination fee base (currently referred to as</w:t>
      </w:r>
      <w:r w:rsidR="008F3121">
        <w:rPr>
          <w:rFonts w:eastAsia="Calibri"/>
        </w:rPr>
        <w:t xml:space="preserve"> the ‘total network access charge’</w:t>
      </w:r>
      <w:r>
        <w:rPr>
          <w:rFonts w:eastAsia="Calibri"/>
        </w:rPr>
        <w:t xml:space="preserve"> </w:t>
      </w:r>
      <w:r w:rsidR="008F3121">
        <w:rPr>
          <w:rFonts w:eastAsia="Calibri"/>
        </w:rPr>
        <w:t>(</w:t>
      </w:r>
      <w:r w:rsidR="006814B2">
        <w:rPr>
          <w:rFonts w:eastAsia="Calibri"/>
        </w:rPr>
        <w:t>‘</w:t>
      </w:r>
      <w:r>
        <w:rPr>
          <w:rFonts w:eastAsia="Calibri"/>
        </w:rPr>
        <w:t>TNAC</w:t>
      </w:r>
      <w:r w:rsidR="006814B2">
        <w:rPr>
          <w:rFonts w:eastAsia="Calibri"/>
        </w:rPr>
        <w:t>’</w:t>
      </w:r>
      <w:r w:rsidR="008F3121">
        <w:rPr>
          <w:rFonts w:eastAsia="Calibri"/>
        </w:rPr>
        <w:t>)</w:t>
      </w:r>
      <w:r>
        <w:rPr>
          <w:rFonts w:eastAsia="Calibri"/>
        </w:rPr>
        <w:t xml:space="preserve">) </w:t>
      </w:r>
      <w:r w:rsidRPr="00D714FC">
        <w:rPr>
          <w:rFonts w:eastAsia="Calibri"/>
        </w:rPr>
        <w:t>was chosen as a balance between the interests of terminating and remaining irrigators, and the operator. The ACCC note</w:t>
      </w:r>
      <w:r>
        <w:rPr>
          <w:rFonts w:eastAsia="Calibri"/>
        </w:rPr>
        <w:t xml:space="preserve">d in its Draft Advice </w:t>
      </w:r>
      <w:r w:rsidRPr="00D714FC">
        <w:rPr>
          <w:rFonts w:eastAsia="Calibri"/>
        </w:rPr>
        <w:t>that the 10 times multiple is not intended to equate to ten years’ worth of actual fixed costs incurred by the operator, but rather that this multiple provides an appropriate level of protection for the operator and remaining customers in the medium-term after the termination occurs. It is not appropriate that termination fees afford such protections in perpetuity, as this would preclude the operator from receiving signals about efficient network rationalisations and work against the objective of promoting the efficient and sustainable use of water resources and water infrastructure assets.</w:t>
      </w:r>
      <w:r w:rsidRPr="00D714FC">
        <w:rPr>
          <w:rStyle w:val="FootnoteReference"/>
          <w:rFonts w:eastAsia="Calibri"/>
        </w:rPr>
        <w:footnoteReference w:id="687"/>
      </w:r>
      <w:r w:rsidRPr="00D714FC">
        <w:rPr>
          <w:rFonts w:eastAsia="Calibri"/>
        </w:rPr>
        <w:t xml:space="preserve"> </w:t>
      </w:r>
      <w:r>
        <w:t>T</w:t>
      </w:r>
      <w:r w:rsidRPr="00D714FC">
        <w:t xml:space="preserve">he </w:t>
      </w:r>
      <w:r>
        <w:t xml:space="preserve">ACCC also noted that the </w:t>
      </w:r>
      <w:r w:rsidRPr="00D714FC">
        <w:t xml:space="preserve">10 times multiple is not a required or default setting for </w:t>
      </w:r>
      <w:r w:rsidR="002F467A">
        <w:t>actual</w:t>
      </w:r>
      <w:r w:rsidRPr="00D714FC">
        <w:t xml:space="preserve"> termination fees</w:t>
      </w:r>
      <w:r w:rsidR="006814B2">
        <w:t xml:space="preserve"> levied—</w:t>
      </w:r>
      <w:r w:rsidRPr="00D714FC">
        <w:t>it rather sets a regulatory cap which the termination fees cannot ordinarily exceed</w:t>
      </w:r>
      <w:r>
        <w:t>.</w:t>
      </w:r>
      <w:r w:rsidRPr="00D714FC">
        <w:rPr>
          <w:rStyle w:val="FootnoteReference"/>
        </w:rPr>
        <w:footnoteReference w:id="688"/>
      </w:r>
    </w:p>
    <w:p w:rsidR="00F151AC" w:rsidRPr="00D714FC" w:rsidRDefault="00F151AC" w:rsidP="00F151AC">
      <w:r w:rsidRPr="00D714FC">
        <w:rPr>
          <w:rFonts w:eastAsia="Calibri"/>
        </w:rPr>
        <w:t>The ACCC consider</w:t>
      </w:r>
      <w:r>
        <w:rPr>
          <w:rFonts w:eastAsia="Calibri"/>
        </w:rPr>
        <w:t>ed in its Draft Advice</w:t>
      </w:r>
      <w:r w:rsidRPr="00D714FC">
        <w:rPr>
          <w:rFonts w:eastAsia="Calibri"/>
        </w:rPr>
        <w:t xml:space="preserve"> that there is no strong reason to change the multiple at this time. However, the ACCC will continue to monitor termination fees through its monitoring role, and notes that there may be cause to re-visit the multiple in the future</w:t>
      </w:r>
      <w:r w:rsidRPr="00D714FC">
        <w:t xml:space="preserve">. </w:t>
      </w:r>
    </w:p>
    <w:p w:rsidR="00F151AC" w:rsidRPr="00D714FC" w:rsidRDefault="00F151AC" w:rsidP="00D17F9C">
      <w:pPr>
        <w:pStyle w:val="Heading5"/>
      </w:pPr>
      <w:r w:rsidRPr="00D714FC">
        <w:t xml:space="preserve">Composition of the </w:t>
      </w:r>
      <w:r w:rsidR="008F3121">
        <w:t>t</w:t>
      </w:r>
      <w:r w:rsidRPr="00D714FC">
        <w:t xml:space="preserve">otal </w:t>
      </w:r>
      <w:r w:rsidR="008F3121">
        <w:t>n</w:t>
      </w:r>
      <w:r w:rsidRPr="00D714FC">
        <w:t xml:space="preserve">etwork </w:t>
      </w:r>
      <w:r w:rsidR="008F3121">
        <w:t>a</w:t>
      </w:r>
      <w:r w:rsidRPr="00D714FC">
        <w:t xml:space="preserve">ccess </w:t>
      </w:r>
      <w:r w:rsidR="008F3121">
        <w:t>c</w:t>
      </w:r>
      <w:r w:rsidRPr="00D714FC">
        <w:t>harge (TNAC)</w:t>
      </w:r>
      <w:r w:rsidR="00D20873">
        <w:t xml:space="preserve"> / termination fee base</w:t>
      </w:r>
    </w:p>
    <w:p w:rsidR="00F151AC" w:rsidRPr="00D714FC" w:rsidRDefault="00F151AC" w:rsidP="00F151AC">
      <w:r>
        <w:t>As described above, c</w:t>
      </w:r>
      <w:r w:rsidRPr="00D714FC">
        <w:t>urrently</w:t>
      </w:r>
      <w:r w:rsidR="002F467A">
        <w:t xml:space="preserve"> the</w:t>
      </w:r>
      <w:r w:rsidRPr="00D714FC">
        <w:t xml:space="preserve"> calculation of the maximum allowable termination fee under </w:t>
      </w:r>
      <w:r w:rsidR="00A52AF4">
        <w:t>r</w:t>
      </w:r>
      <w:r w:rsidRPr="00D714FC">
        <w:t xml:space="preserve">ule 7 of the </w:t>
      </w:r>
      <w:r w:rsidR="00DE74BD" w:rsidRPr="00524D9F">
        <w:rPr>
          <w:rFonts w:cs="Times New Roman"/>
        </w:rPr>
        <w:t>Water Charge (Termination Fee</w:t>
      </w:r>
      <w:r w:rsidR="00FE5641">
        <w:rPr>
          <w:rFonts w:cs="Times New Roman"/>
        </w:rPr>
        <w:t>s</w:t>
      </w:r>
      <w:r w:rsidR="00DE74BD" w:rsidRPr="00524D9F">
        <w:rPr>
          <w:rFonts w:cs="Times New Roman"/>
        </w:rPr>
        <w:t>) Rules 2009</w:t>
      </w:r>
      <w:r w:rsidR="00DE74BD">
        <w:rPr>
          <w:rFonts w:cs="Times New Roman"/>
        </w:rPr>
        <w:t xml:space="preserve"> (</w:t>
      </w:r>
      <w:r w:rsidRPr="00D714FC">
        <w:t>WCTFR</w:t>
      </w:r>
      <w:r w:rsidR="00DE74BD">
        <w:t>)</w:t>
      </w:r>
      <w:r w:rsidRPr="00D714FC">
        <w:t xml:space="preserve"> references the concept of the “total network access charge” (TNAC). This definition takes the approach of initially considering all charges payable to the operator, and then excluding certain types of charges or amounts. Particular elements of this definition are discussed in detail below. </w:t>
      </w:r>
    </w:p>
    <w:p w:rsidR="00F151AC" w:rsidRDefault="00F151AC" w:rsidP="00F151AC">
      <w:r w:rsidRPr="002849BA">
        <w:t xml:space="preserve">In its Draft Advice, the ACCC considered that the rules for determining the maximum termination fee can be made more clear by taking an approach that has as its basis only the </w:t>
      </w:r>
      <w:r w:rsidRPr="002F467A">
        <w:t>fixed infrastructure charges that are levied with respect to the volume or unit share of the terminating customer’s right of access to the infrastructure</w:t>
      </w:r>
      <w:r w:rsidR="00BC243C">
        <w:t>;</w:t>
      </w:r>
      <w:r w:rsidRPr="002849BA">
        <w:t xml:space="preserve"> typically their water delivery right, but also a right to drainage where applicable </w:t>
      </w:r>
      <w:r>
        <w:t>(draft rule advice 6-B)</w:t>
      </w:r>
      <w:r w:rsidRPr="002849BA">
        <w:t>.</w:t>
      </w:r>
      <w:r>
        <w:rPr>
          <w:rStyle w:val="FootnoteReference"/>
        </w:rPr>
        <w:footnoteReference w:id="689"/>
      </w:r>
      <w:r w:rsidRPr="002849BA">
        <w:t xml:space="preserve"> </w:t>
      </w:r>
      <w:r>
        <w:t xml:space="preserve">This means that non-volumetric charges (e.g. flat rate charges levied per customer, per outlet, per farm etc.), variable volumetric charges and charges levied on rights other than rights of access to infrastructure (e.g. charges levied per volume of water access entitlement </w:t>
      </w:r>
      <w:r w:rsidR="005C776C">
        <w:t xml:space="preserve">(WAE) </w:t>
      </w:r>
      <w:r>
        <w:t xml:space="preserve">held or per volume of irrigation right held) </w:t>
      </w:r>
      <w:r w:rsidR="00BC243C">
        <w:t xml:space="preserve">would not </w:t>
      </w:r>
      <w:r>
        <w:t>form part of the termination fee base.</w:t>
      </w:r>
      <w:r w:rsidRPr="002849BA">
        <w:t xml:space="preserve"> </w:t>
      </w:r>
    </w:p>
    <w:p w:rsidR="00F151AC" w:rsidRDefault="00BC243C" w:rsidP="005000E5">
      <w:pPr>
        <w:spacing w:after="120"/>
      </w:pPr>
      <w:r>
        <w:t>The ACCC also argued that t</w:t>
      </w:r>
      <w:r w:rsidR="00F151AC">
        <w:t>ermination fee calculations should also continue to exclude (consistently with current rules):</w:t>
      </w:r>
    </w:p>
    <w:p w:rsidR="00F151AC" w:rsidRPr="002849BA" w:rsidRDefault="00F151AC" w:rsidP="00F43856">
      <w:pPr>
        <w:pStyle w:val="Listalphabet"/>
        <w:numPr>
          <w:ilvl w:val="0"/>
          <w:numId w:val="124"/>
        </w:numPr>
      </w:pPr>
      <w:r w:rsidRPr="002849BA">
        <w:t>any amount in respect of a service for the storage of water; and</w:t>
      </w:r>
    </w:p>
    <w:p w:rsidR="00F151AC" w:rsidRPr="002849BA" w:rsidRDefault="00F151AC" w:rsidP="00F43856">
      <w:pPr>
        <w:pStyle w:val="Listalphabet"/>
        <w:numPr>
          <w:ilvl w:val="0"/>
          <w:numId w:val="124"/>
        </w:numPr>
      </w:pPr>
      <w:r w:rsidRPr="002849BA">
        <w:t>any amount of GST; and</w:t>
      </w:r>
    </w:p>
    <w:p w:rsidR="00F151AC" w:rsidRPr="002849BA" w:rsidRDefault="00F151AC" w:rsidP="00F43856">
      <w:pPr>
        <w:pStyle w:val="Listalphabet"/>
        <w:numPr>
          <w:ilvl w:val="0"/>
          <w:numId w:val="124"/>
        </w:numPr>
      </w:pPr>
      <w:r w:rsidRPr="002849BA">
        <w:t>a charge that reflects the costs of physically connect</w:t>
      </w:r>
      <w:r w:rsidR="00BB297F">
        <w:t>i</w:t>
      </w:r>
      <w:r w:rsidRPr="002849BA">
        <w:t>n</w:t>
      </w:r>
      <w:r w:rsidR="00BB297F">
        <w:t>g</w:t>
      </w:r>
      <w:r w:rsidRPr="002849BA">
        <w:t>, or physically disconnecting, the customer from the operator’s water services infrastructure; and</w:t>
      </w:r>
    </w:p>
    <w:p w:rsidR="00F151AC" w:rsidRPr="002849BA" w:rsidRDefault="00F151AC" w:rsidP="00F43856">
      <w:pPr>
        <w:pStyle w:val="Listalphabet"/>
        <w:numPr>
          <w:ilvl w:val="0"/>
          <w:numId w:val="124"/>
        </w:numPr>
      </w:pPr>
      <w:r w:rsidRPr="002849BA">
        <w:t xml:space="preserve">if a fee payable under a contract is approved </w:t>
      </w:r>
      <w:r>
        <w:t>(</w:t>
      </w:r>
      <w:r w:rsidRPr="002849BA">
        <w:t xml:space="preserve">under </w:t>
      </w:r>
      <w:r>
        <w:t xml:space="preserve">proposed </w:t>
      </w:r>
      <w:r w:rsidRPr="002849BA">
        <w:t>rule 73</w:t>
      </w:r>
      <w:r w:rsidR="00BC243C">
        <w:t>)</w:t>
      </w:r>
      <w:r>
        <w:rPr>
          <w:rStyle w:val="FootnoteReference"/>
        </w:rPr>
        <w:footnoteReference w:id="690"/>
      </w:r>
      <w:r w:rsidRPr="002849BA">
        <w:t>—any amount payable under the contract in respect of the recovery of expenditure on capital works relating to the operator’s water services.</w:t>
      </w:r>
    </w:p>
    <w:p w:rsidR="00F151AC" w:rsidRDefault="00F151AC" w:rsidP="00F151AC">
      <w:pPr>
        <w:rPr>
          <w:i/>
        </w:rPr>
      </w:pPr>
      <w:r w:rsidRPr="002849BA">
        <w:t>The maximum termination</w:t>
      </w:r>
      <w:r w:rsidR="00BB297F">
        <w:t xml:space="preserve"> fee</w:t>
      </w:r>
      <w:r w:rsidRPr="002849BA">
        <w:t xml:space="preserve"> may</w:t>
      </w:r>
      <w:r w:rsidR="00BB297F">
        <w:t>, however,</w:t>
      </w:r>
      <w:r w:rsidRPr="002849BA">
        <w:t xml:space="preserve"> include an amount to account for charges</w:t>
      </w:r>
      <w:r w:rsidRPr="002849BA">
        <w:rPr>
          <w:i/>
        </w:rPr>
        <w:t xml:space="preserve"> </w:t>
      </w:r>
      <w:r>
        <w:t>levied in relation to infrastructure used exclusively by the terminating customer (see below)</w:t>
      </w:r>
      <w:r w:rsidRPr="002849BA">
        <w:rPr>
          <w:i/>
        </w:rPr>
        <w:t>.</w:t>
      </w:r>
    </w:p>
    <w:p w:rsidR="00F151AC" w:rsidRPr="00D714FC" w:rsidRDefault="00F151AC" w:rsidP="00D17F9C">
      <w:pPr>
        <w:pStyle w:val="Heading5"/>
      </w:pPr>
      <w:r w:rsidRPr="00D714FC">
        <w:t xml:space="preserve">Treatment of </w:t>
      </w:r>
      <w:r w:rsidR="0047751C">
        <w:t xml:space="preserve">cost </w:t>
      </w:r>
      <w:r w:rsidRPr="00D714FC">
        <w:t xml:space="preserve">pass-throughs in </w:t>
      </w:r>
      <w:r w:rsidRPr="00660D6D">
        <w:t>calculation</w:t>
      </w:r>
      <w:r w:rsidRPr="00D714FC">
        <w:t xml:space="preserve"> of termination fees</w:t>
      </w:r>
    </w:p>
    <w:p w:rsidR="00F151AC" w:rsidRPr="001948BB" w:rsidRDefault="00F151AC" w:rsidP="005000E5">
      <w:pPr>
        <w:spacing w:after="120"/>
      </w:pPr>
      <w:r>
        <w:t>T</w:t>
      </w:r>
      <w:r w:rsidRPr="001948BB">
        <w:t>he ACCC</w:t>
      </w:r>
      <w:r w:rsidR="00BC243C">
        <w:t xml:space="preserve">’s Draft Advice proposed rules to regulate how operators passed through certain charges they incurred through </w:t>
      </w:r>
      <w:r w:rsidRPr="001948BB">
        <w:t>their own infrastructure charges.</w:t>
      </w:r>
      <w:r>
        <w:rPr>
          <w:rStyle w:val="FootnoteReference"/>
        </w:rPr>
        <w:footnoteReference w:id="691"/>
      </w:r>
      <w:r w:rsidRPr="001948BB">
        <w:t xml:space="preserve"> In </w:t>
      </w:r>
      <w:r w:rsidR="00BC243C">
        <w:t xml:space="preserve">the Draft Advice, </w:t>
      </w:r>
      <w:r w:rsidRPr="001948BB">
        <w:t xml:space="preserve">the ACCC </w:t>
      </w:r>
      <w:r w:rsidR="00BC243C">
        <w:t xml:space="preserve">proposed </w:t>
      </w:r>
      <w:r w:rsidRPr="001948BB">
        <w:t xml:space="preserve">that only </w:t>
      </w:r>
      <w:r w:rsidR="00BC243C">
        <w:t xml:space="preserve">certain charges </w:t>
      </w:r>
      <w:r w:rsidRPr="001948BB">
        <w:t xml:space="preserve">relating to </w:t>
      </w:r>
      <w:r w:rsidR="005F5E26">
        <w:t>‘</w:t>
      </w:r>
      <w:r w:rsidRPr="001948BB">
        <w:t xml:space="preserve">distribution </w:t>
      </w:r>
      <w:r w:rsidR="00BC243C">
        <w:t>losses</w:t>
      </w:r>
      <w:r w:rsidR="005F5E26">
        <w:t>’</w:t>
      </w:r>
      <w:r w:rsidR="00BC243C">
        <w:t xml:space="preserve"> </w:t>
      </w:r>
      <w:r w:rsidRPr="001948BB">
        <w:t xml:space="preserve">should be able to be passed through on the basis of water delivery right (or other right of access to the operator’s infrastructure such as a right to drainage) held by a customer. This </w:t>
      </w:r>
      <w:r w:rsidR="005F5E26">
        <w:t>would</w:t>
      </w:r>
      <w:r w:rsidR="005F5E26" w:rsidRPr="001948BB">
        <w:t xml:space="preserve"> </w:t>
      </w:r>
      <w:r w:rsidRPr="001948BB">
        <w:t>have the effect that</w:t>
      </w:r>
      <w:r w:rsidR="00377178">
        <w:t xml:space="preserve"> only such ‘distribution loss shared charges’ could </w:t>
      </w:r>
      <w:r w:rsidRPr="001948BB">
        <w:t>be included in the calculation of the termination fee</w:t>
      </w:r>
      <w:r w:rsidR="00377178">
        <w:t>, as they would be</w:t>
      </w:r>
      <w:r w:rsidRPr="001948BB">
        <w:t>:</w:t>
      </w:r>
    </w:p>
    <w:p w:rsidR="00F151AC" w:rsidRPr="00787580" w:rsidRDefault="00F151AC" w:rsidP="00F43856">
      <w:pPr>
        <w:pStyle w:val="Listalphabet"/>
        <w:numPr>
          <w:ilvl w:val="0"/>
          <w:numId w:val="125"/>
        </w:numPr>
      </w:pPr>
      <w:r w:rsidRPr="00787580">
        <w:t xml:space="preserve">fixed volumetric infrastructure charges; and </w:t>
      </w:r>
    </w:p>
    <w:p w:rsidR="00F151AC" w:rsidRDefault="00F151AC" w:rsidP="00F43856">
      <w:pPr>
        <w:pStyle w:val="Listalphabet"/>
        <w:numPr>
          <w:ilvl w:val="0"/>
          <w:numId w:val="125"/>
        </w:numPr>
      </w:pPr>
      <w:r w:rsidRPr="007B6AE3">
        <w:t xml:space="preserve">levied on the basis of water delivery right (or </w:t>
      </w:r>
      <w:r w:rsidR="00377178">
        <w:t xml:space="preserve">water </w:t>
      </w:r>
      <w:r w:rsidRPr="007B6AE3">
        <w:t>drainage</w:t>
      </w:r>
      <w:r w:rsidR="00377178">
        <w:t xml:space="preserve"> right</w:t>
      </w:r>
      <w:r w:rsidRPr="007B6AE3">
        <w:t xml:space="preserve">) held. </w:t>
      </w:r>
    </w:p>
    <w:p w:rsidR="00F151AC" w:rsidRPr="002849BA" w:rsidRDefault="00F151AC" w:rsidP="00D17F9C">
      <w:pPr>
        <w:pStyle w:val="Heading5"/>
      </w:pPr>
      <w:r>
        <w:t>Accounting for direct contributions from irrigators</w:t>
      </w:r>
    </w:p>
    <w:p w:rsidR="00F151AC" w:rsidRDefault="00F151AC" w:rsidP="00F151AC">
      <w:r w:rsidRPr="002849BA">
        <w:t>The ACCC</w:t>
      </w:r>
      <w:r w:rsidR="00377178">
        <w:t xml:space="preserve">’s Draft Advice also considered situations </w:t>
      </w:r>
      <w:r>
        <w:t xml:space="preserve">where there is a separate </w:t>
      </w:r>
      <w:r w:rsidR="00377178">
        <w:t xml:space="preserve">infrastructure </w:t>
      </w:r>
      <w:r>
        <w:t>charge levied in relation to infrastructure such as meters or outlets that are used exclusively by the terminating customer</w:t>
      </w:r>
      <w:r w:rsidR="00377178">
        <w:t xml:space="preserve">. The ACCC proposed that the </w:t>
      </w:r>
      <w:r>
        <w:t>calculation of the termination fee payable should be required to take account of customer contributions to the operator’s costs, whether those contributions are lump sum / ‘up front’, or are paid via the separate infrastructure charge (draft rule advice 6-C).</w:t>
      </w:r>
      <w:r>
        <w:rPr>
          <w:rStyle w:val="FootnoteReference"/>
        </w:rPr>
        <w:footnoteReference w:id="692"/>
      </w:r>
      <w:r>
        <w:t xml:space="preserve"> </w:t>
      </w:r>
      <w:r w:rsidRPr="00D714FC">
        <w:t>Th</w:t>
      </w:r>
      <w:r>
        <w:t>e intent of this</w:t>
      </w:r>
      <w:r w:rsidRPr="00D714FC">
        <w:t xml:space="preserve"> approach </w:t>
      </w:r>
      <w:r>
        <w:t xml:space="preserve">was to </w:t>
      </w:r>
      <w:r w:rsidRPr="00D714FC">
        <w:t>improve clarity and ensure that the amount paid by the terminating customer more closely reflects the unavoidable fixed costs faced by the operator.</w:t>
      </w:r>
    </w:p>
    <w:p w:rsidR="00F151AC" w:rsidRPr="00D714FC" w:rsidRDefault="00F151AC" w:rsidP="00F151AC">
      <w:r w:rsidRPr="00D714FC">
        <w:t xml:space="preserve">The ACCC </w:t>
      </w:r>
      <w:r>
        <w:t>also noted in its Draft Advice</w:t>
      </w:r>
      <w:r w:rsidRPr="00D714FC">
        <w:t xml:space="preserve"> that nothing in the water charge rules </w:t>
      </w:r>
      <w:r w:rsidRPr="00D714FC">
        <w:rPr>
          <w:i/>
        </w:rPr>
        <w:t>precludes</w:t>
      </w:r>
      <w:r w:rsidRPr="00D714FC">
        <w:t xml:space="preserve"> an operator from taking direct customer contributions into account </w:t>
      </w:r>
      <w:r>
        <w:t xml:space="preserve">more generally </w:t>
      </w:r>
      <w:r w:rsidRPr="00D714FC">
        <w:t>when calculating the amount of the termination fee. However, the ACCC d</w:t>
      </w:r>
      <w:r>
        <w:t>id</w:t>
      </w:r>
      <w:r w:rsidRPr="00D714FC">
        <w:t xml:space="preserve"> not consider it appropriate to </w:t>
      </w:r>
      <w:r>
        <w:t xml:space="preserve">generally </w:t>
      </w:r>
      <w:r w:rsidRPr="00D714FC">
        <w:t>regulate how the operator should take into account direct customer contributions, as the circumstances in which direct contributions occur may vary widely.</w:t>
      </w:r>
    </w:p>
    <w:p w:rsidR="00F151AC" w:rsidRDefault="00F151AC" w:rsidP="00D17F9C">
      <w:pPr>
        <w:pStyle w:val="Heading5"/>
      </w:pPr>
      <w:r w:rsidRPr="00B55AF9">
        <w:t>Shadow access fees</w:t>
      </w:r>
    </w:p>
    <w:p w:rsidR="00F151AC" w:rsidRDefault="00F151AC" w:rsidP="00F151AC">
      <w:r>
        <w:t>In the Draft Advice the ACCC set out its reasons for maintaining its view, formed when giving its advice on the creation of the WCTFR, that ‘shadow access fees’ should not be used when calculating termination fees.</w:t>
      </w:r>
      <w:r>
        <w:rPr>
          <w:rStyle w:val="FootnoteReference"/>
        </w:rPr>
        <w:footnoteReference w:id="693"/>
      </w:r>
      <w:r w:rsidR="003E5D76">
        <w:t xml:space="preserve"> </w:t>
      </w:r>
      <w:r w:rsidR="003E5D76" w:rsidRPr="00D714FC">
        <w:rPr>
          <w:rFonts w:eastAsia="Calibri" w:cs="Times New Roman"/>
        </w:rPr>
        <w:t>A shadow access fee is the fixed access fee that would be charged if fixed access fees were set to recover all fixed costs and no variable costs (i.e. if variable access fees were set at a level to recover all variable costs and no fixed costs) of the operator.</w:t>
      </w:r>
    </w:p>
    <w:p w:rsidR="00F151AC" w:rsidRDefault="00F151AC" w:rsidP="00D17F9C">
      <w:pPr>
        <w:pStyle w:val="Heading5"/>
      </w:pPr>
      <w:r>
        <w:t>Discounting of termination fees and use of termination fee revenue</w:t>
      </w:r>
    </w:p>
    <w:p w:rsidR="00F151AC" w:rsidRPr="00D714FC" w:rsidRDefault="00F151AC" w:rsidP="00F151AC">
      <w:pPr>
        <w:rPr>
          <w:rFonts w:eastAsia="Arial"/>
        </w:rPr>
      </w:pPr>
      <w:r>
        <w:t>In its Draft Advice the ACCC considered that infrastructure operators should be</w:t>
      </w:r>
      <w:r w:rsidRPr="00D714FC" w:rsidDel="00B55AF9">
        <w:rPr>
          <w:rFonts w:eastAsia="Arial"/>
        </w:rPr>
        <w:t xml:space="preserve"> </w:t>
      </w:r>
      <w:r>
        <w:rPr>
          <w:rFonts w:eastAsia="Arial"/>
        </w:rPr>
        <w:t>fr</w:t>
      </w:r>
      <w:r w:rsidRPr="00D714FC">
        <w:rPr>
          <w:rFonts w:eastAsia="Arial"/>
        </w:rPr>
        <w:t>ee to waive or discount the termination fees payable by customers at any time</w:t>
      </w:r>
      <w:r w:rsidRPr="00D714FC">
        <w:rPr>
          <w:color w:val="000000"/>
        </w:rPr>
        <w:t>, including to facilitate or to encourage appropriate network modernisation and rationalisation</w:t>
      </w:r>
      <w:r w:rsidRPr="00D714FC">
        <w:rPr>
          <w:rFonts w:eastAsia="Arial"/>
        </w:rPr>
        <w:t>. Operators can and do use termination fee discounts</w:t>
      </w:r>
      <w:r w:rsidR="00B24C47">
        <w:rPr>
          <w:rFonts w:eastAsia="Arial"/>
        </w:rPr>
        <w:t xml:space="preserve"> </w:t>
      </w:r>
      <w:r w:rsidRPr="00D714FC">
        <w:rPr>
          <w:rFonts w:eastAsia="Arial"/>
        </w:rPr>
        <w:t>/</w:t>
      </w:r>
      <w:r w:rsidR="00B24C47">
        <w:rPr>
          <w:rFonts w:eastAsia="Arial"/>
        </w:rPr>
        <w:t xml:space="preserve"> </w:t>
      </w:r>
      <w:r w:rsidRPr="00D714FC">
        <w:rPr>
          <w:rFonts w:eastAsia="Arial"/>
        </w:rPr>
        <w:t xml:space="preserve">waivers as a strategy to encourage new customers to join the network or, conversely, to encourage disconnection and network rationalisation. </w:t>
      </w:r>
      <w:r>
        <w:rPr>
          <w:rFonts w:eastAsia="Arial"/>
        </w:rPr>
        <w:t>The rules do not require</w:t>
      </w:r>
      <w:r w:rsidRPr="00D714FC">
        <w:rPr>
          <w:rFonts w:eastAsia="Arial"/>
        </w:rPr>
        <w:t xml:space="preserve"> operators to give the same offer to waive</w:t>
      </w:r>
      <w:r w:rsidR="00B24C47">
        <w:rPr>
          <w:rFonts w:eastAsia="Arial"/>
        </w:rPr>
        <w:t xml:space="preserve"> </w:t>
      </w:r>
      <w:r w:rsidRPr="00D714FC">
        <w:rPr>
          <w:rFonts w:eastAsia="Arial"/>
        </w:rPr>
        <w:t>/</w:t>
      </w:r>
      <w:r w:rsidR="00B24C47">
        <w:rPr>
          <w:rFonts w:eastAsia="Arial"/>
        </w:rPr>
        <w:t xml:space="preserve"> </w:t>
      </w:r>
      <w:r w:rsidRPr="00D714FC">
        <w:rPr>
          <w:rFonts w:eastAsia="Arial"/>
        </w:rPr>
        <w:t>discount termination fees to all customers.</w:t>
      </w:r>
    </w:p>
    <w:p w:rsidR="00F151AC" w:rsidRDefault="00F151AC" w:rsidP="00F151AC">
      <w:pPr>
        <w:rPr>
          <w:rFonts w:eastAsia="Calibri"/>
        </w:rPr>
      </w:pPr>
      <w:r w:rsidRPr="00D714FC">
        <w:rPr>
          <w:rFonts w:eastAsia="Calibri"/>
        </w:rPr>
        <w:t xml:space="preserve">Where termination is swiftly followed by “re-issue” and/or issuing of “new” water delivery rights, the ACCC considers it preferable that the water delivery right be traded from the customer who wishes to terminate to the person who wishes to obtain additional water delivery right. </w:t>
      </w:r>
      <w:r>
        <w:rPr>
          <w:rFonts w:eastAsia="Calibri"/>
        </w:rPr>
        <w:t xml:space="preserve">The ACCC made draft rule advices 6-E and 6-F </w:t>
      </w:r>
      <w:r w:rsidRPr="00D714FC">
        <w:rPr>
          <w:rFonts w:eastAsia="Calibri"/>
        </w:rPr>
        <w:t xml:space="preserve">to encourage the development of water delivery right trade. </w:t>
      </w:r>
    </w:p>
    <w:p w:rsidR="00F151AC" w:rsidRPr="00D714FC" w:rsidRDefault="00F151AC" w:rsidP="00F151AC">
      <w:pPr>
        <w:rPr>
          <w:rFonts w:eastAsia="Calibri"/>
        </w:rPr>
      </w:pPr>
      <w:r>
        <w:rPr>
          <w:rFonts w:eastAsia="Calibri"/>
        </w:rPr>
        <w:t xml:space="preserve">Further, the </w:t>
      </w:r>
      <w:r w:rsidRPr="00D714FC">
        <w:rPr>
          <w:rFonts w:eastAsia="Calibri"/>
        </w:rPr>
        <w:t xml:space="preserve">ACCC </w:t>
      </w:r>
      <w:r>
        <w:rPr>
          <w:rFonts w:eastAsia="Calibri"/>
        </w:rPr>
        <w:t xml:space="preserve">considered </w:t>
      </w:r>
      <w:r w:rsidRPr="00D714FC">
        <w:rPr>
          <w:rFonts w:eastAsia="Calibri"/>
        </w:rPr>
        <w:t xml:space="preserve">that it is not appropriate </w:t>
      </w:r>
      <w:r>
        <w:rPr>
          <w:rFonts w:eastAsia="Calibri"/>
        </w:rPr>
        <w:t xml:space="preserve">for the water charge rules </w:t>
      </w:r>
      <w:r w:rsidRPr="00D714FC">
        <w:rPr>
          <w:rFonts w:eastAsia="Calibri"/>
        </w:rPr>
        <w:t>to mandate how an operator uses its termination fees revenues, including whether termination fees can or should be used to fund discounts to new customers. However, the ACCC consider</w:t>
      </w:r>
      <w:r>
        <w:rPr>
          <w:rFonts w:eastAsia="Calibri"/>
        </w:rPr>
        <w:t>ed</w:t>
      </w:r>
      <w:r w:rsidRPr="00D714FC">
        <w:rPr>
          <w:rFonts w:eastAsia="Calibri"/>
        </w:rPr>
        <w:t xml:space="preserve"> it appropriate and beneficial for the operator to be transparent about how it uses termination fees revenues, and made </w:t>
      </w:r>
      <w:r>
        <w:rPr>
          <w:rFonts w:eastAsia="Calibri"/>
        </w:rPr>
        <w:t xml:space="preserve">draft </w:t>
      </w:r>
      <w:r w:rsidRPr="00D714FC">
        <w:rPr>
          <w:rFonts w:eastAsia="Calibri"/>
        </w:rPr>
        <w:t xml:space="preserve">rule advice and recommendations to encourage such transparency. In particular, the ACCC has made </w:t>
      </w:r>
      <w:r w:rsidR="006814B2">
        <w:rPr>
          <w:rFonts w:eastAsia="Calibri"/>
        </w:rPr>
        <w:t>rule advice 5-E</w:t>
      </w:r>
      <w:r w:rsidR="00AD6514">
        <w:rPr>
          <w:rFonts w:eastAsia="Calibri"/>
        </w:rPr>
        <w:t>,</w:t>
      </w:r>
      <w:r w:rsidRPr="00D714FC">
        <w:rPr>
          <w:rFonts w:eastAsia="Calibri"/>
        </w:rPr>
        <w:t xml:space="preserve"> which requires that an </w:t>
      </w:r>
      <w:r w:rsidRPr="003A6CEA">
        <w:rPr>
          <w:rFonts w:eastAsia="Calibri"/>
        </w:rPr>
        <w:t xml:space="preserve">infrastructure </w:t>
      </w:r>
      <w:r>
        <w:rPr>
          <w:rFonts w:eastAsia="Calibri"/>
        </w:rPr>
        <w:t xml:space="preserve">operator must advise its customers </w:t>
      </w:r>
      <w:r w:rsidR="00B24C47">
        <w:rPr>
          <w:rFonts w:eastAsia="Calibri"/>
        </w:rPr>
        <w:t xml:space="preserve">(on its </w:t>
      </w:r>
      <w:r w:rsidR="00AD6514">
        <w:rPr>
          <w:rFonts w:eastAsia="Calibri"/>
        </w:rPr>
        <w:t>S</w:t>
      </w:r>
      <w:r w:rsidR="00B24C47">
        <w:rPr>
          <w:rFonts w:eastAsia="Calibri"/>
        </w:rPr>
        <w:t xml:space="preserve">chedule of </w:t>
      </w:r>
      <w:r w:rsidR="00AD6514">
        <w:rPr>
          <w:rFonts w:eastAsia="Calibri"/>
        </w:rPr>
        <w:t>C</w:t>
      </w:r>
      <w:r w:rsidR="00B24C47">
        <w:rPr>
          <w:rFonts w:eastAsia="Calibri"/>
        </w:rPr>
        <w:t xml:space="preserve">harges) </w:t>
      </w:r>
      <w:r>
        <w:rPr>
          <w:rFonts w:eastAsia="Calibri"/>
        </w:rPr>
        <w:t xml:space="preserve">how they </w:t>
      </w:r>
      <w:r w:rsidRPr="003A6CEA">
        <w:rPr>
          <w:rFonts w:eastAsia="Calibri"/>
        </w:rPr>
        <w:t>can make an enquiry or resolve a dispute with the operator in relation to regulated water charges</w:t>
      </w:r>
      <w:r w:rsidR="00AD6514">
        <w:rPr>
          <w:rFonts w:eastAsia="Calibri"/>
        </w:rPr>
        <w:t>.</w:t>
      </w:r>
      <w:r w:rsidRPr="00D714FC">
        <w:rPr>
          <w:rFonts w:eastAsia="Calibri"/>
        </w:rPr>
        <w:t xml:space="preserve"> </w:t>
      </w:r>
      <w:r w:rsidR="00AD6514">
        <w:rPr>
          <w:rFonts w:eastAsia="Calibri"/>
        </w:rPr>
        <w:t>I</w:t>
      </w:r>
      <w:r w:rsidRPr="00D714FC">
        <w:rPr>
          <w:rFonts w:eastAsia="Calibri"/>
        </w:rPr>
        <w:t>n the ACCC’s view</w:t>
      </w:r>
      <w:r w:rsidR="00AD6514">
        <w:rPr>
          <w:rFonts w:eastAsia="Calibri"/>
        </w:rPr>
        <w:t>, this would</w:t>
      </w:r>
      <w:r w:rsidRPr="00D714FC">
        <w:rPr>
          <w:rFonts w:eastAsia="Calibri"/>
        </w:rPr>
        <w:t xml:space="preserve"> include an inquiry about how termination fee revenues are used. The ACCC </w:t>
      </w:r>
      <w:r>
        <w:rPr>
          <w:rFonts w:eastAsia="Calibri"/>
        </w:rPr>
        <w:t xml:space="preserve">also made a draft recommendation that operators </w:t>
      </w:r>
      <w:r w:rsidRPr="00AB2CAF">
        <w:rPr>
          <w:rFonts w:eastAsia="Calibri"/>
        </w:rPr>
        <w:t>should provide information to their customers on how they have</w:t>
      </w:r>
      <w:r w:rsidR="00A23DAC">
        <w:rPr>
          <w:rFonts w:eastAsia="Calibri"/>
        </w:rPr>
        <w:t xml:space="preserve"> used</w:t>
      </w:r>
      <w:r w:rsidRPr="00AB2CAF">
        <w:rPr>
          <w:rFonts w:eastAsia="Calibri"/>
        </w:rPr>
        <w:t xml:space="preserve"> and intend to use revenue from termination fees</w:t>
      </w:r>
      <w:r>
        <w:rPr>
          <w:rFonts w:eastAsia="Calibri"/>
        </w:rPr>
        <w:t xml:space="preserve"> (draft recommendation 6-A)</w:t>
      </w:r>
      <w:r w:rsidRPr="00D714FC">
        <w:rPr>
          <w:rFonts w:eastAsia="Calibri"/>
        </w:rPr>
        <w:t>.</w:t>
      </w:r>
    </w:p>
    <w:p w:rsidR="00F151AC" w:rsidRPr="00D714FC" w:rsidRDefault="00F151AC" w:rsidP="00D17F9C">
      <w:pPr>
        <w:pStyle w:val="Heading5"/>
      </w:pPr>
      <w:r w:rsidRPr="00D714FC">
        <w:t xml:space="preserve">Which </w:t>
      </w:r>
      <w:r w:rsidR="00AD6514">
        <w:t>S</w:t>
      </w:r>
      <w:r w:rsidR="00071357">
        <w:t xml:space="preserve">chedule of </w:t>
      </w:r>
      <w:r w:rsidR="00AD6514">
        <w:t>C</w:t>
      </w:r>
      <w:r w:rsidRPr="00D714FC">
        <w:t xml:space="preserve">harges </w:t>
      </w:r>
      <w:r w:rsidR="00071357">
        <w:t xml:space="preserve">should </w:t>
      </w:r>
      <w:r w:rsidRPr="00D714FC">
        <w:t>apply when calculating termination fees?</w:t>
      </w:r>
    </w:p>
    <w:p w:rsidR="00F151AC" w:rsidRPr="00C6164F" w:rsidRDefault="00F151AC" w:rsidP="00F151AC">
      <w:r w:rsidRPr="00D714FC">
        <w:t xml:space="preserve">Given the proposed change to the publication requirements for </w:t>
      </w:r>
      <w:r w:rsidR="00AD6514">
        <w:t>S</w:t>
      </w:r>
      <w:r w:rsidRPr="00D714FC">
        <w:t xml:space="preserve">chedules of </w:t>
      </w:r>
      <w:r w:rsidR="00AD6514">
        <w:t>C</w:t>
      </w:r>
      <w:r w:rsidRPr="00D714FC">
        <w:t xml:space="preserve">harges (see section </w:t>
      </w:r>
      <w:r>
        <w:t>5.</w:t>
      </w:r>
      <w:r w:rsidR="00B24C47">
        <w:t>4</w:t>
      </w:r>
      <w:r w:rsidR="00AF5079">
        <w:t>.2</w:t>
      </w:r>
      <w:r w:rsidRPr="00D714FC">
        <w:t xml:space="preserve">), it is possible that some </w:t>
      </w:r>
      <w:r w:rsidR="00B24C47">
        <w:t>customers</w:t>
      </w:r>
      <w:r w:rsidR="00B24C47" w:rsidRPr="00D714FC">
        <w:t xml:space="preserve"> </w:t>
      </w:r>
      <w:r w:rsidRPr="00D714FC">
        <w:t xml:space="preserve">will not receive their Schedule of Charges until after the new charges come into </w:t>
      </w:r>
      <w:r w:rsidRPr="009A35FE">
        <w:t>effect</w:t>
      </w:r>
      <w:r w:rsidRPr="00D714FC">
        <w:t xml:space="preserve">. Under the current arrangements for calculating termination fees, such </w:t>
      </w:r>
      <w:r w:rsidR="00B24C47">
        <w:t>customers</w:t>
      </w:r>
      <w:r w:rsidRPr="00D714FC">
        <w:t xml:space="preserve"> would be unable to terminate (or provide notice of termination) prior to becoming aware of any significant increases in fixed infrastructure charges (and therefore </w:t>
      </w:r>
      <w:r w:rsidR="00B24C47">
        <w:t xml:space="preserve">maximum </w:t>
      </w:r>
      <w:r w:rsidRPr="00D714FC">
        <w:t xml:space="preserve">termination fees). To avoid this outcome, the </w:t>
      </w:r>
      <w:r>
        <w:t xml:space="preserve">ACCC made draft rule advice that </w:t>
      </w:r>
      <w:r w:rsidRPr="00D714FC">
        <w:t xml:space="preserve">the operator should calculate termination fees based on the infrastructure charges in effect at the time the </w:t>
      </w:r>
      <w:r w:rsidR="00B24C47">
        <w:t>customer</w:t>
      </w:r>
      <w:r w:rsidR="00B24C47" w:rsidRPr="00D714FC">
        <w:t xml:space="preserve"> </w:t>
      </w:r>
      <w:r w:rsidRPr="00D714FC">
        <w:t>gives their notice</w:t>
      </w:r>
      <w:r w:rsidR="00B24C47">
        <w:t xml:space="preserve"> of their intention to terminate (or requests information about the termination fee payable)</w:t>
      </w:r>
      <w:r w:rsidRPr="00D714FC">
        <w:t xml:space="preserve">, or </w:t>
      </w:r>
      <w:r w:rsidRPr="006D4408">
        <w:t>30 days</w:t>
      </w:r>
      <w:r w:rsidRPr="00D714FC">
        <w:t xml:space="preserve"> before th</w:t>
      </w:r>
      <w:r w:rsidR="00B24C47">
        <w:t>is tim</w:t>
      </w:r>
      <w:r w:rsidRPr="00D714FC">
        <w:t>e, whichever produces the lower maximum termination fee</w:t>
      </w:r>
      <w:r>
        <w:t xml:space="preserve"> (draft rule advice 6-D)</w:t>
      </w:r>
      <w:r w:rsidRPr="00D714FC">
        <w:t>.</w:t>
      </w:r>
    </w:p>
    <w:p w:rsidR="00F151AC" w:rsidRPr="00D714FC" w:rsidRDefault="00F151AC" w:rsidP="00F151AC">
      <w:pPr>
        <w:pStyle w:val="Heading4"/>
      </w:pPr>
      <w:r w:rsidRPr="00D714FC">
        <w:t>Stakeholder feedback</w:t>
      </w:r>
    </w:p>
    <w:p w:rsidR="00F151AC" w:rsidRPr="006837DC" w:rsidRDefault="00F151AC" w:rsidP="00D17F9C">
      <w:pPr>
        <w:pStyle w:val="Heading5"/>
        <w:rPr>
          <w:rFonts w:eastAsia="Calibri"/>
        </w:rPr>
      </w:pPr>
      <w:r w:rsidRPr="00C26667">
        <w:t>Feedback on the Issues Paper</w:t>
      </w:r>
      <w:r w:rsidRPr="0032040A">
        <w:rPr>
          <w:rStyle w:val="FootnoteReference"/>
          <w:rFonts w:eastAsia="Calibri"/>
          <w:b w:val="0"/>
        </w:rPr>
        <w:footnoteReference w:id="694"/>
      </w:r>
    </w:p>
    <w:p w:rsidR="00F151AC" w:rsidRPr="00620531" w:rsidRDefault="00F151AC" w:rsidP="00F151AC">
      <w:pPr>
        <w:rPr>
          <w:rFonts w:eastAsia="Calibri"/>
        </w:rPr>
      </w:pPr>
      <w:r w:rsidRPr="00620531">
        <w:rPr>
          <w:rFonts w:eastAsia="Calibri"/>
        </w:rPr>
        <w:t xml:space="preserve">Several stakeholders submitted to the Issues Paper that the current definition of TNAC is clear and appropriate and that the need for the rules (e.g. </w:t>
      </w:r>
      <w:r>
        <w:rPr>
          <w:rFonts w:eastAsia="Calibri"/>
        </w:rPr>
        <w:t>providing a ‘buffer’ for operators when customers leave</w:t>
      </w:r>
      <w:r w:rsidRPr="00620531">
        <w:rPr>
          <w:rFonts w:eastAsia="Calibri"/>
        </w:rPr>
        <w:t>) has not changed or diminished.</w:t>
      </w:r>
      <w:r w:rsidRPr="00620531">
        <w:rPr>
          <w:rStyle w:val="FootnoteReference"/>
          <w:rFonts w:eastAsia="Calibri"/>
        </w:rPr>
        <w:footnoteReference w:id="695"/>
      </w:r>
      <w:r w:rsidRPr="00620531">
        <w:rPr>
          <w:rFonts w:eastAsia="Calibri"/>
        </w:rPr>
        <w:t xml:space="preserve"> </w:t>
      </w:r>
    </w:p>
    <w:p w:rsidR="00F151AC" w:rsidRDefault="00F151AC" w:rsidP="00F151AC">
      <w:pPr>
        <w:rPr>
          <w:rFonts w:eastAsia="Calibri"/>
        </w:rPr>
      </w:pPr>
      <w:r w:rsidRPr="00620531">
        <w:rPr>
          <w:rFonts w:eastAsia="Calibri"/>
        </w:rPr>
        <w:t>However, the ACCC received feedback from irrigators across several areas of the Basin that operators have incentives to determine their charges in a way that maximises termination fees payable</w:t>
      </w:r>
      <w:r>
        <w:rPr>
          <w:rFonts w:eastAsia="Calibri"/>
        </w:rPr>
        <w:t>.</w:t>
      </w:r>
      <w:r w:rsidRPr="00620531">
        <w:rPr>
          <w:rFonts w:eastAsia="Calibri"/>
        </w:rPr>
        <w:t xml:space="preserve"> </w:t>
      </w:r>
      <w:r>
        <w:rPr>
          <w:rFonts w:eastAsia="Calibri"/>
        </w:rPr>
        <w:t>I</w:t>
      </w:r>
      <w:r w:rsidRPr="00620531">
        <w:rPr>
          <w:rFonts w:eastAsia="Calibri"/>
        </w:rPr>
        <w:t xml:space="preserve">n the view of customers, operators are not sufficiently taking into account contributions made by customers via methods </w:t>
      </w:r>
      <w:r>
        <w:rPr>
          <w:rFonts w:eastAsia="Calibri"/>
        </w:rPr>
        <w:t xml:space="preserve">other </w:t>
      </w:r>
      <w:r w:rsidRPr="00620531">
        <w:rPr>
          <w:rFonts w:eastAsia="Calibri"/>
        </w:rPr>
        <w:t>than paying infrastructure charges</w:t>
      </w:r>
      <w:r w:rsidR="00B24C47">
        <w:rPr>
          <w:rFonts w:eastAsia="Calibri"/>
        </w:rPr>
        <w:t>—</w:t>
      </w:r>
      <w:r w:rsidRPr="00620531">
        <w:rPr>
          <w:rFonts w:eastAsia="Calibri"/>
        </w:rPr>
        <w:t>for example, via lump-sum contributions.</w:t>
      </w:r>
      <w:r w:rsidRPr="00620531">
        <w:rPr>
          <w:rStyle w:val="FootnoteReference"/>
          <w:rFonts w:eastAsia="Calibri"/>
        </w:rPr>
        <w:footnoteReference w:id="696"/>
      </w:r>
      <w:r w:rsidRPr="00620531">
        <w:rPr>
          <w:rFonts w:eastAsia="Calibri"/>
        </w:rPr>
        <w:t xml:space="preserve"> Also, several irrigators expressed concern about selective discounting of infrastructure charges and termination fees by certain operators.</w:t>
      </w:r>
      <w:r w:rsidRPr="00620531">
        <w:rPr>
          <w:rStyle w:val="FootnoteReference"/>
          <w:rFonts w:eastAsia="Calibri"/>
        </w:rPr>
        <w:footnoteReference w:id="697"/>
      </w:r>
      <w:r w:rsidRPr="00620531">
        <w:rPr>
          <w:rFonts w:eastAsia="Calibri"/>
        </w:rPr>
        <w:t xml:space="preserve"> </w:t>
      </w:r>
    </w:p>
    <w:p w:rsidR="00F151AC" w:rsidRDefault="00F151AC" w:rsidP="00F151AC">
      <w:r>
        <w:t>A number of stakeholder submissions to the Draft Advice provided feedback on the proposed amendments to the calculation of termination fees (draft recommendation 6-A, draft rule advices 6-B, 6-C and 6-D)</w:t>
      </w:r>
      <w:r w:rsidR="00B24C47">
        <w:t>, and this is set out below</w:t>
      </w:r>
      <w:r>
        <w:t xml:space="preserve">. </w:t>
      </w:r>
    </w:p>
    <w:p w:rsidR="00F151AC" w:rsidRPr="00B24C47" w:rsidRDefault="00B24C47" w:rsidP="00D17F9C">
      <w:pPr>
        <w:pStyle w:val="Heading5"/>
      </w:pPr>
      <w:r w:rsidRPr="00B24C47">
        <w:t>D</w:t>
      </w:r>
      <w:r w:rsidR="00F151AC" w:rsidRPr="00B24C47">
        <w:t>raft recommendation 6-A</w:t>
      </w:r>
    </w:p>
    <w:p w:rsidR="00F151AC" w:rsidRDefault="00F151AC" w:rsidP="00F151AC">
      <w:r>
        <w:t>Three stakeholders, Goulburn-Murray Water</w:t>
      </w:r>
      <w:r w:rsidR="00CD0E51">
        <w:t xml:space="preserve"> (GMW)</w:t>
      </w:r>
      <w:r>
        <w:t xml:space="preserve">, the </w:t>
      </w:r>
      <w:r w:rsidR="00874041">
        <w:t>Victorian Farmers’ Federation (</w:t>
      </w:r>
      <w:r>
        <w:t>VFF</w:t>
      </w:r>
      <w:r w:rsidR="00874041">
        <w:t>)</w:t>
      </w:r>
      <w:r>
        <w:t xml:space="preserve"> and the </w:t>
      </w:r>
      <w:r w:rsidR="008E524B">
        <w:t>Queensland Farmers’ Federation (</w:t>
      </w:r>
      <w:r>
        <w:t>QFF</w:t>
      </w:r>
      <w:r w:rsidR="008E524B">
        <w:t>)</w:t>
      </w:r>
      <w:r>
        <w:t>, support</w:t>
      </w:r>
      <w:r w:rsidR="00B24C47">
        <w:t>ed draft r</w:t>
      </w:r>
      <w:r>
        <w:t>ecommendation 6-A for infrastructure operators to provide their customers with information about how they have used, or intend to use, revenue from termination fees.</w:t>
      </w:r>
      <w:r w:rsidRPr="00567276">
        <w:rPr>
          <w:rStyle w:val="FootnoteReference"/>
          <w:sz w:val="20"/>
          <w:szCs w:val="20"/>
        </w:rPr>
        <w:footnoteReference w:id="698"/>
      </w:r>
      <w:r>
        <w:t xml:space="preserve"> GMW and the VFF support</w:t>
      </w:r>
      <w:r w:rsidR="00B24C47">
        <w:t>ed</w:t>
      </w:r>
      <w:r>
        <w:t xml:space="preserve"> transparency about the use of termination fee revenue. The VFF submitted that this is an “appropriate tool” for customers to make an enquiry about the use of termination fee revenue. However, the VFF added that it is not an appropriate safeguard for the calculation of the termination fee because of the “complexity of the Water Charge Rules”. The VFF submitted therefore, that there should be an additional requirement for infrastructure operators to explain the basis of the calculation of the termination fee, including aspects that are customer specific, when the customer is charged a termination fee. In support of this suggestion, the VFF argued that termination fees are a “considerable cost” to customers and a “significant source of revenue for infrastructure operators” and therefore “transaction specific termination fee break downs are a reasonable expectation”.</w:t>
      </w:r>
      <w:r w:rsidRPr="00241692">
        <w:rPr>
          <w:rStyle w:val="FootnoteReference"/>
          <w:sz w:val="20"/>
          <w:szCs w:val="20"/>
        </w:rPr>
        <w:footnoteReference w:id="699"/>
      </w:r>
      <w:r>
        <w:t xml:space="preserve"> </w:t>
      </w:r>
    </w:p>
    <w:p w:rsidR="00F151AC" w:rsidRPr="00B24C47" w:rsidRDefault="00B24C47" w:rsidP="00D17F9C">
      <w:pPr>
        <w:pStyle w:val="Heading5"/>
      </w:pPr>
      <w:r w:rsidRPr="00B24C47">
        <w:t>D</w:t>
      </w:r>
      <w:r w:rsidR="00F151AC" w:rsidRPr="00B24C47">
        <w:t>raft rule advice 6-B</w:t>
      </w:r>
    </w:p>
    <w:p w:rsidR="00F151AC" w:rsidRDefault="00F151AC" w:rsidP="00F151AC">
      <w:r>
        <w:t>Irrigator</w:t>
      </w:r>
      <w:r w:rsidR="00C37B0D">
        <w:t xml:space="preserve"> </w:t>
      </w:r>
      <w:r>
        <w:t>/</w:t>
      </w:r>
      <w:r w:rsidR="00C37B0D">
        <w:t xml:space="preserve"> </w:t>
      </w:r>
      <w:r>
        <w:t>farmer representative groups (VFF and QFF) supported draft rule advice 6-B</w:t>
      </w:r>
      <w:r w:rsidR="00C37B0D">
        <w:t xml:space="preserve"> which would limit the termination fee base to fixed volumetric water delivery right / water drainage right charges</w:t>
      </w:r>
      <w:r>
        <w:t xml:space="preserve">. QFF commented that the principle of this advice “was applied by </w:t>
      </w:r>
      <w:r w:rsidR="00FF5CDF">
        <w:t xml:space="preserve">[the Queensland Competition Authority] </w:t>
      </w:r>
      <w:r>
        <w:t>QCA for the current price paths for distribution schemes managed by SunWater and SEQWater”.</w:t>
      </w:r>
      <w:r>
        <w:rPr>
          <w:rStyle w:val="FootnoteReference"/>
        </w:rPr>
        <w:footnoteReference w:id="700"/>
      </w:r>
      <w:r>
        <w:t xml:space="preserve"> </w:t>
      </w:r>
    </w:p>
    <w:p w:rsidR="00F151AC" w:rsidRDefault="00F151AC" w:rsidP="00F151AC">
      <w:r>
        <w:t xml:space="preserve">In contrast, member-owned infrastructure operators generally opposed draft rule advice 6-B. During meetings held with </w:t>
      </w:r>
      <w:r w:rsidR="00336D15">
        <w:t>National Irrigators’ Council (</w:t>
      </w:r>
      <w:r>
        <w:t>NIC</w:t>
      </w:r>
      <w:r w:rsidR="00336D15">
        <w:t>)</w:t>
      </w:r>
      <w:r>
        <w:t xml:space="preserve"> members in Griffith, stakeholders commented that, whereas previously the concept of TNAC encompassed virtually all fixed charges levied by operators, the proposed amendments focussed on fixed </w:t>
      </w:r>
      <w:r w:rsidRPr="002104FF">
        <w:rPr>
          <w:i/>
        </w:rPr>
        <w:t>volumetric</w:t>
      </w:r>
      <w:r>
        <w:t xml:space="preserve"> charges levied on customers’ water delivery rights and water drainage rights (apart from non-volumetric charges levied in respect of dedicated infrastructure used solely by a terminating customer). Operators noted that non-volumetric fixed charges, such as meter, outlet or landholding charges, are often used to recover a variety of costs such as overheads which are not strictly related to a particular piece of infrastructure. For example, an outlet charge may recover both the costs associated with the outlet and also overheads such as staffing costs. Operators argued that, since in some cases non-volumetric charges can currently be used to recover unavoidable ongoing fixed costs, they should be able to be incorporated into termination fees.</w:t>
      </w:r>
      <w:r>
        <w:rPr>
          <w:rStyle w:val="FootnoteReference"/>
        </w:rPr>
        <w:footnoteReference w:id="701"/>
      </w:r>
    </w:p>
    <w:p w:rsidR="00F151AC" w:rsidRDefault="00F151AC" w:rsidP="00F151AC">
      <w:r w:rsidRPr="009E7F50">
        <w:t xml:space="preserve">The </w:t>
      </w:r>
      <w:r>
        <w:t>NIC submitted its view that many of the proposed amendments relating to termination fees “seem calculated to reduce termination fees”, which will affect remaining customers through higher charges to recover the fixed, ongoing costs left behind by terminating irrigators.</w:t>
      </w:r>
      <w:r w:rsidR="00C6733C">
        <w:t xml:space="preserve"> </w:t>
      </w:r>
      <w:r>
        <w:t xml:space="preserve">The NIC also </w:t>
      </w:r>
      <w:r w:rsidRPr="009E7F50">
        <w:t xml:space="preserve">noted that the Draft Advice </w:t>
      </w:r>
      <w:r>
        <w:t>sta</w:t>
      </w:r>
      <w:r w:rsidRPr="009E7F50">
        <w:t>ted that submissions to the Issues Paper were generally supportive of the current WCTFR requirements, and argued that the ACCC’s Draft Advice does not provide evidence of stakeholder support for “increased regulation” in relation to the WCTFR.</w:t>
      </w:r>
      <w:r w:rsidRPr="009E7F50">
        <w:rPr>
          <w:rStyle w:val="FootnoteReference"/>
          <w:sz w:val="20"/>
          <w:szCs w:val="20"/>
        </w:rPr>
        <w:footnoteReference w:id="702"/>
      </w:r>
      <w:r w:rsidRPr="009E7F50">
        <w:t xml:space="preserve"> </w:t>
      </w:r>
      <w:r>
        <w:t xml:space="preserve">Similarly, in commenting generally on proposed amendments to termination fee rules, </w:t>
      </w:r>
      <w:r w:rsidRPr="009E7F50">
        <w:t>Western Murray Irrigation</w:t>
      </w:r>
      <w:r w:rsidR="006F0423">
        <w:t xml:space="preserve"> (WMI)</w:t>
      </w:r>
      <w:r w:rsidRPr="009E7F50">
        <w:t xml:space="preserve"> submitted that there is “no compelling justification for such a significant change, particularly given the extensive arguments offered at the time the rules were first made, both for and against various models”.</w:t>
      </w:r>
      <w:r w:rsidRPr="009E7F50">
        <w:rPr>
          <w:rStyle w:val="FootnoteReference"/>
          <w:sz w:val="20"/>
          <w:szCs w:val="20"/>
        </w:rPr>
        <w:footnoteReference w:id="703"/>
      </w:r>
      <w:r>
        <w:t xml:space="preserve"> </w:t>
      </w:r>
    </w:p>
    <w:p w:rsidR="00F151AC" w:rsidRDefault="00F151AC" w:rsidP="00F151AC">
      <w:r>
        <w:t xml:space="preserve">Submissions made by non-member owned infrastructure operators (WaterNSW, GMW, </w:t>
      </w:r>
      <w:r w:rsidR="00B71238">
        <w:t>Lower Murray Water (</w:t>
      </w:r>
      <w:r>
        <w:t>LMW</w:t>
      </w:r>
      <w:r w:rsidR="00B71238">
        <w:t>)</w:t>
      </w:r>
      <w:r>
        <w:t xml:space="preserve"> and SunWater) did not address matters relating to draft rule advice 6-B.</w:t>
      </w:r>
    </w:p>
    <w:p w:rsidR="00F00F8C" w:rsidRDefault="00F00F8C" w:rsidP="00001CBF">
      <w:pPr>
        <w:spacing w:after="120"/>
        <w:rPr>
          <w:rFonts w:eastAsia="Calibri"/>
        </w:rPr>
      </w:pPr>
      <w:r>
        <w:rPr>
          <w:rFonts w:eastAsia="Calibri"/>
        </w:rPr>
        <w:t xml:space="preserve">Results </w:t>
      </w:r>
      <w:r w:rsidR="00F151AC">
        <w:rPr>
          <w:rFonts w:eastAsia="Calibri"/>
        </w:rPr>
        <w:t xml:space="preserve">from the University of Adelaide irrigator survey </w:t>
      </w:r>
      <w:r>
        <w:rPr>
          <w:rFonts w:eastAsia="Calibri"/>
        </w:rPr>
        <w:t>indicate that, on average</w:t>
      </w:r>
      <w:r w:rsidR="00375D1B">
        <w:rPr>
          <w:rFonts w:eastAsia="Calibri"/>
        </w:rPr>
        <w:t>,</w:t>
      </w:r>
      <w:r>
        <w:rPr>
          <w:rFonts w:eastAsia="Calibri"/>
        </w:rPr>
        <w:t xml:space="preserve"> for irrigators in the southern </w:t>
      </w:r>
      <w:r w:rsidR="00486FC4">
        <w:rPr>
          <w:rFonts w:eastAsia="Calibri"/>
        </w:rPr>
        <w:t>Murray-Darling Basin (</w:t>
      </w:r>
      <w:r>
        <w:rPr>
          <w:rFonts w:eastAsia="Calibri"/>
        </w:rPr>
        <w:t>MDB</w:t>
      </w:r>
      <w:r w:rsidR="00001CBF">
        <w:rPr>
          <w:rFonts w:eastAsia="Calibri"/>
        </w:rPr>
        <w:t>):</w:t>
      </w:r>
      <w:r>
        <w:rPr>
          <w:rStyle w:val="FootnoteReference"/>
          <w:rFonts w:eastAsia="Calibri"/>
        </w:rPr>
        <w:footnoteReference w:id="704"/>
      </w:r>
    </w:p>
    <w:p w:rsidR="00F00F8C" w:rsidRDefault="00F00F8C" w:rsidP="00A82DE6">
      <w:pPr>
        <w:pStyle w:val="Lvl1Bulletpoint"/>
      </w:pPr>
      <w:r>
        <w:t xml:space="preserve">48 per cent of irrigators who </w:t>
      </w:r>
      <w:r w:rsidRPr="00375D1B">
        <w:rPr>
          <w:i/>
        </w:rPr>
        <w:t>have ever</w:t>
      </w:r>
      <w:r>
        <w:t xml:space="preserve"> terminated or surrendered water delivery right do not support the inclusion of non-volumetric (‘flat rate’) charges in termination fees, 15</w:t>
      </w:r>
      <w:r w:rsidR="00375D1B">
        <w:t> </w:t>
      </w:r>
      <w:r>
        <w:t>per</w:t>
      </w:r>
      <w:r w:rsidR="00375D1B">
        <w:t> </w:t>
      </w:r>
      <w:r>
        <w:t xml:space="preserve">cent are unsure, and 37 per cent </w:t>
      </w:r>
      <w:r w:rsidRPr="00F00F8C">
        <w:rPr>
          <w:i/>
        </w:rPr>
        <w:t>do</w:t>
      </w:r>
      <w:r>
        <w:t xml:space="preserve"> support their inclusion;</w:t>
      </w:r>
    </w:p>
    <w:p w:rsidR="00F00F8C" w:rsidRDefault="00F00F8C" w:rsidP="00A82DE6">
      <w:pPr>
        <w:pStyle w:val="Lvl1Bulletpoint"/>
      </w:pPr>
      <w:r>
        <w:t xml:space="preserve">35 per cent of irrigators who </w:t>
      </w:r>
      <w:r w:rsidRPr="00375D1B">
        <w:rPr>
          <w:i/>
        </w:rPr>
        <w:t>have never</w:t>
      </w:r>
      <w:r>
        <w:t xml:space="preserve"> terminated or surrendered water delivery right do not support the inclusion of non-volumetric (‘flat rate’) charges in termination fees, 20 per cent are unsure, and 45 per cent </w:t>
      </w:r>
      <w:r w:rsidRPr="00F00F8C">
        <w:rPr>
          <w:i/>
        </w:rPr>
        <w:t>do</w:t>
      </w:r>
      <w:r>
        <w:t xml:space="preserve"> support their inclusion.</w:t>
      </w:r>
    </w:p>
    <w:p w:rsidR="0047569B" w:rsidRDefault="00F00F8C" w:rsidP="00F00F8C">
      <w:r>
        <w:t>These results show that irrigators as a group are ambivalent about the benefits of including flat rate charges in termination fees</w:t>
      </w:r>
      <w:r w:rsidR="0047569B">
        <w:t xml:space="preserve">. </w:t>
      </w:r>
    </w:p>
    <w:p w:rsidR="00F00F8C" w:rsidRPr="00F00F8C" w:rsidRDefault="0047569B" w:rsidP="00F00F8C">
      <w:r>
        <w:t>Further, the results show that the lowest level of support for inclusion of non-volumetric charges occurs in Murrumbidgee Irrigation</w:t>
      </w:r>
      <w:r w:rsidR="008621D4">
        <w:t xml:space="preserve"> Limited</w:t>
      </w:r>
      <w:r>
        <w:t xml:space="preserve"> (MI), where 43 per cent of irrigators (regardless of prior termination activity) do not support inclusion of non-volumetric charges in termination fees (23 per cent unsure; 35 per cent support). The ACCC’s analysis shows that the contribution of flat rate charges to</w:t>
      </w:r>
      <w:r w:rsidR="00375D1B">
        <w:t xml:space="preserve"> hypothetical</w:t>
      </w:r>
      <w:r>
        <w:t xml:space="preserve"> bills and to termination fees is highest </w:t>
      </w:r>
      <w:r w:rsidR="00375D1B">
        <w:t>for customers of</w:t>
      </w:r>
      <w:r>
        <w:t xml:space="preserve"> MI.</w:t>
      </w:r>
      <w:r w:rsidR="00A67A15">
        <w:rPr>
          <w:rStyle w:val="FootnoteReference"/>
        </w:rPr>
        <w:footnoteReference w:id="705"/>
      </w:r>
      <w:r>
        <w:t xml:space="preserve"> This data suggests that as the impact of flat rate charges on termination fees increases, irrigators are less likely to support the inclusion </w:t>
      </w:r>
      <w:r w:rsidR="00375D1B">
        <w:t xml:space="preserve">of these charges </w:t>
      </w:r>
      <w:r>
        <w:t xml:space="preserve">in </w:t>
      </w:r>
      <w:r w:rsidR="00375D1B">
        <w:t xml:space="preserve">the calculation of </w:t>
      </w:r>
      <w:r>
        <w:t>termination fees.</w:t>
      </w:r>
    </w:p>
    <w:p w:rsidR="00F151AC" w:rsidRPr="00B24C47" w:rsidRDefault="00B24C47" w:rsidP="00D17F9C">
      <w:pPr>
        <w:pStyle w:val="Heading5"/>
      </w:pPr>
      <w:r w:rsidRPr="00B24C47">
        <w:t>D</w:t>
      </w:r>
      <w:r w:rsidR="00F151AC" w:rsidRPr="00B24C47">
        <w:t>raft rule advice 6-C</w:t>
      </w:r>
    </w:p>
    <w:p w:rsidR="00F151AC" w:rsidRPr="00B62F88" w:rsidRDefault="00F151AC" w:rsidP="00F151AC">
      <w:pPr>
        <w:keepLines/>
      </w:pPr>
      <w:r>
        <w:t xml:space="preserve">The VFF supported draft rule advice 6-C, </w:t>
      </w:r>
      <w:r w:rsidR="00C37B0D">
        <w:t>regarding how termination fees can be adjusted where a separate infrastructure charge is levied on infrastructure used exclusively by the terminating customer. The VFF supported</w:t>
      </w:r>
      <w:r>
        <w:t xml:space="preserve"> this draft rule advice to ensure capital contributions by customers, governments or other parties are not included in the termination fee.</w:t>
      </w:r>
      <w:r>
        <w:rPr>
          <w:rStyle w:val="FootnoteReference"/>
        </w:rPr>
        <w:footnoteReference w:id="706"/>
      </w:r>
      <w:r>
        <w:t xml:space="preserve"> The QFF noted this draft rule advice, and commented that “this case has not been an issue raised in Queensland distribution schemes”.</w:t>
      </w:r>
      <w:r>
        <w:rPr>
          <w:rStyle w:val="FootnoteReference"/>
        </w:rPr>
        <w:footnoteReference w:id="707"/>
      </w:r>
    </w:p>
    <w:p w:rsidR="00F151AC" w:rsidRDefault="00F151AC" w:rsidP="00F151AC">
      <w:r>
        <w:t>In contrast, the NIC, WMI and LMW identified concerns with this draft rule advice.</w:t>
      </w:r>
    </w:p>
    <w:p w:rsidR="00F151AC" w:rsidRDefault="00F151AC" w:rsidP="00F151AC">
      <w:r>
        <w:t>The NIC submitted that the proposed amendments to the calculation of termination fees will increase complexity.</w:t>
      </w:r>
      <w:r w:rsidRPr="00241692">
        <w:rPr>
          <w:rStyle w:val="FootnoteReference"/>
          <w:sz w:val="20"/>
          <w:szCs w:val="20"/>
        </w:rPr>
        <w:footnoteReference w:id="708"/>
      </w:r>
      <w:r>
        <w:t xml:space="preserve"> The NIC identified in particular that the proposed amendments in relation to dedicated infrastructure </w:t>
      </w:r>
      <w:r w:rsidR="007E3277">
        <w:t xml:space="preserve">would </w:t>
      </w:r>
      <w:r>
        <w:t>create an “enormously complicated exercise”, potentially requiring separate calculations for “every single outlet in every single operator’s irrigation network”. WMI echoed the NIC’s concerns, noting that, in its view, WMI would need to create a separate cost centre in its accounts for each of its 500 outlets to meet the new requirements.</w:t>
      </w:r>
      <w:r w:rsidRPr="00241692">
        <w:rPr>
          <w:rStyle w:val="FootnoteReference"/>
          <w:sz w:val="20"/>
          <w:szCs w:val="20"/>
        </w:rPr>
        <w:footnoteReference w:id="709"/>
      </w:r>
      <w:r>
        <w:t xml:space="preserve"> WMI added that the proposed amendments require “unique costing” that is unprecedented in other regulatory environments – for example, in gas and electricity, distributors are not required to “manage their costs to the scale required by the ACCC” under the </w:t>
      </w:r>
      <w:r w:rsidR="007E3277">
        <w:t xml:space="preserve">proposed </w:t>
      </w:r>
      <w:r>
        <w:t xml:space="preserve">water charge rules. </w:t>
      </w:r>
    </w:p>
    <w:p w:rsidR="00F151AC" w:rsidRDefault="00F151AC" w:rsidP="00F151AC">
      <w:r>
        <w:t xml:space="preserve">Similarly, LMW submitted that the proposed rule amendments in </w:t>
      </w:r>
      <w:r w:rsidR="00A52AF4">
        <w:t>r</w:t>
      </w:r>
      <w:r>
        <w:t xml:space="preserve">ule </w:t>
      </w:r>
      <w:r w:rsidR="00A52AF4">
        <w:t>a</w:t>
      </w:r>
      <w:r>
        <w:t>dvice 6-C would create “unnecessary complications”.</w:t>
      </w:r>
      <w:r w:rsidRPr="00241692">
        <w:rPr>
          <w:rStyle w:val="FootnoteReference"/>
          <w:sz w:val="20"/>
          <w:szCs w:val="20"/>
        </w:rPr>
        <w:footnoteReference w:id="710"/>
      </w:r>
      <w:r>
        <w:t xml:space="preserve"> LMW put forward a number of arguments to support this position. </w:t>
      </w:r>
    </w:p>
    <w:p w:rsidR="00F151AC" w:rsidRDefault="00F151AC" w:rsidP="00F151AC">
      <w:r>
        <w:t xml:space="preserve">First, LMW noted that as a result of the proposed amendments, the termination could be different for each customer. This means that each termination fee could not be calculated from the </w:t>
      </w:r>
      <w:r w:rsidR="00AD6514">
        <w:t>S</w:t>
      </w:r>
      <w:r>
        <w:t xml:space="preserve">chedule of </w:t>
      </w:r>
      <w:r w:rsidR="00AD6514">
        <w:t>C</w:t>
      </w:r>
      <w:r>
        <w:t>harges and “in practice”</w:t>
      </w:r>
      <w:r w:rsidR="00AD6514">
        <w:t>, LMW</w:t>
      </w:r>
      <w:r>
        <w:t xml:space="preserve"> could only provide on its </w:t>
      </w:r>
      <w:r w:rsidR="00AD6514">
        <w:t>S</w:t>
      </w:r>
      <w:r>
        <w:t xml:space="preserve">chedule of </w:t>
      </w:r>
      <w:r w:rsidR="00AD6514">
        <w:t>C</w:t>
      </w:r>
      <w:r>
        <w:t xml:space="preserve">harges the method for calculating, but not the amount of, the termination fee. LMW submitted that a customer would need to make an enquiry with LMW to obtain the information necessary to calculate the termination fee, however this information is also not “readily available” to LMW itself. </w:t>
      </w:r>
    </w:p>
    <w:p w:rsidR="00F151AC" w:rsidRDefault="00F151AC" w:rsidP="00F151AC">
      <w:r>
        <w:t xml:space="preserve">Second, LMW submitted that it supports being able to set separate infrastructure charges that recover the sunk costs of dedicated infrastructure, however these charges would generally be set under an individual, legal contracts and therefore, LMW has concerns about how these proposed amendments interact with the requirements to publish a </w:t>
      </w:r>
      <w:r w:rsidR="00AD6514">
        <w:t>S</w:t>
      </w:r>
      <w:r>
        <w:t xml:space="preserve">chedule of </w:t>
      </w:r>
      <w:r w:rsidR="00AD6514">
        <w:t>C</w:t>
      </w:r>
      <w:r>
        <w:t xml:space="preserve">harges. LMW submitted that it does not support having to publish each of these charges on its </w:t>
      </w:r>
      <w:r w:rsidR="00AD6514">
        <w:t>S</w:t>
      </w:r>
      <w:r>
        <w:t xml:space="preserve">chedule of </w:t>
      </w:r>
      <w:r w:rsidR="00AD6514">
        <w:t>C</w:t>
      </w:r>
      <w:r>
        <w:t xml:space="preserve">harges and reiterates its concerns in relation to obtaining an exemption from this requirement (see section 5.4.3 </w:t>
      </w:r>
      <w:r w:rsidR="007E3277">
        <w:t xml:space="preserve">regarding </w:t>
      </w:r>
      <w:r>
        <w:t>th</w:t>
      </w:r>
      <w:r w:rsidR="007E3277">
        <w:t>e</w:t>
      </w:r>
      <w:r>
        <w:t>se concerns).</w:t>
      </w:r>
    </w:p>
    <w:p w:rsidR="00F151AC" w:rsidRPr="00B24C47" w:rsidRDefault="00B24C47" w:rsidP="00D17F9C">
      <w:pPr>
        <w:pStyle w:val="Heading5"/>
      </w:pPr>
      <w:r w:rsidRPr="00B24C47">
        <w:t>D</w:t>
      </w:r>
      <w:r w:rsidR="00F151AC" w:rsidRPr="00B24C47">
        <w:t>raft rule advice 6-D</w:t>
      </w:r>
    </w:p>
    <w:p w:rsidR="00F151AC" w:rsidRDefault="00F151AC" w:rsidP="00F151AC">
      <w:r>
        <w:t>Again, farmer</w:t>
      </w:r>
      <w:r w:rsidR="007E3277">
        <w:t xml:space="preserve"> </w:t>
      </w:r>
      <w:r>
        <w:t>/</w:t>
      </w:r>
      <w:r w:rsidR="007E3277">
        <w:t xml:space="preserve"> </w:t>
      </w:r>
      <w:r>
        <w:t>irrigator groups (VFF and QFF) supported draft rule advice 6-D</w:t>
      </w:r>
      <w:r w:rsidR="007E3277">
        <w:t xml:space="preserve"> regarding which </w:t>
      </w:r>
      <w:r w:rsidR="00AD6514">
        <w:t>S</w:t>
      </w:r>
      <w:r w:rsidR="007E3277">
        <w:t xml:space="preserve">chedule of </w:t>
      </w:r>
      <w:r w:rsidR="00AD6514">
        <w:t>C</w:t>
      </w:r>
      <w:r w:rsidR="007E3277">
        <w:t>harges should be used when calculating termination fees</w:t>
      </w:r>
      <w:r>
        <w:t>.</w:t>
      </w:r>
      <w:r w:rsidDel="00D86012">
        <w:t xml:space="preserve"> </w:t>
      </w:r>
      <w:r>
        <w:t xml:space="preserve">The QFF commented that the “ruling” in draft rule advice 6-D had also already been used by the QCA. </w:t>
      </w:r>
    </w:p>
    <w:p w:rsidR="00F151AC" w:rsidRDefault="00F151AC" w:rsidP="00F151AC">
      <w:r>
        <w:t>Operators attending the ACCC’s meeting with NIC in Mildura commented that the timing requirements associated with draft rule advice 6-D (and corresponding proposed rules 72(5) and 74) would increase regulatory burden on operators.</w:t>
      </w:r>
      <w:r>
        <w:rPr>
          <w:rStyle w:val="FootnoteReference"/>
        </w:rPr>
        <w:footnoteReference w:id="711"/>
      </w:r>
      <w:r>
        <w:t xml:space="preserve"> Further, operators commented that given that the rules as a whole (together with the </w:t>
      </w:r>
      <w:r w:rsidR="009321E5" w:rsidRPr="00524D9F">
        <w:t>W</w:t>
      </w:r>
      <w:r w:rsidRPr="00524D9F">
        <w:t xml:space="preserve">ater </w:t>
      </w:r>
      <w:r w:rsidR="009321E5" w:rsidRPr="00524D9F">
        <w:t>M</w:t>
      </w:r>
      <w:r w:rsidRPr="00524D9F">
        <w:t xml:space="preserve">arket </w:t>
      </w:r>
      <w:r w:rsidR="009321E5" w:rsidRPr="00524D9F">
        <w:t>R</w:t>
      </w:r>
      <w:r w:rsidRPr="00524D9F">
        <w:t>ules</w:t>
      </w:r>
      <w:r w:rsidR="009321E5" w:rsidRPr="00524D9F">
        <w:t xml:space="preserve"> 2009</w:t>
      </w:r>
      <w:r>
        <w:t>) impose several different timing requirements, operators faced increased probability of inadvertent non-compliance through mistakenly applying the wrong timing requirement for a particular situation.</w:t>
      </w:r>
    </w:p>
    <w:p w:rsidR="00335C1E" w:rsidRDefault="00335C1E" w:rsidP="00F151AC">
      <w:r w:rsidRPr="009E0993">
        <w:t xml:space="preserve">The </w:t>
      </w:r>
      <w:r w:rsidRPr="0005537E">
        <w:t>NIC</w:t>
      </w:r>
      <w:r w:rsidRPr="009E0993">
        <w:t xml:space="preserve"> submitted that the drafting of </w:t>
      </w:r>
      <w:r>
        <w:t>sub</w:t>
      </w:r>
      <w:r w:rsidRPr="009E0993">
        <w:t xml:space="preserve">rule 72(5)(a) </w:t>
      </w:r>
      <w:r>
        <w:t xml:space="preserve">(which gives effect to draft rule advice 6-D) </w:t>
      </w:r>
      <w:r w:rsidRPr="009E0993">
        <w:t>“reopens the loophole” that would allow customers to notify the infrastructure operator of their inten</w:t>
      </w:r>
      <w:r>
        <w:t>t</w:t>
      </w:r>
      <w:r w:rsidRPr="009E0993">
        <w:t>ion to terminat</w:t>
      </w:r>
      <w:r>
        <w:t>e</w:t>
      </w:r>
      <w:r w:rsidRPr="009E0993">
        <w:t xml:space="preserve"> some considerable time in advance (e.g. years) and lock-in a termination fee based on current charges.</w:t>
      </w:r>
      <w:r>
        <w:t xml:space="preserve"> </w:t>
      </w:r>
    </w:p>
    <w:p w:rsidR="00F151AC" w:rsidRPr="00B24C47" w:rsidRDefault="00F151AC" w:rsidP="00D17F9C">
      <w:pPr>
        <w:pStyle w:val="Heading5"/>
      </w:pPr>
      <w:r w:rsidRPr="00B24C47">
        <w:t>Feedback on the relationships between termination fee rules and decisions about charging arrangements</w:t>
      </w:r>
    </w:p>
    <w:p w:rsidR="00F151AC" w:rsidRDefault="00F151AC" w:rsidP="00F151AC">
      <w:r>
        <w:t>Mr Don Low, reiterating the Wah Wah Stock and Domestic Water Users’ Association submission to the Issues Paper, submitted his concerns that the introduction of the WCTFR has provided his infrastructure operator with an incentive to increase the proportion and level of fixed charges.</w:t>
      </w:r>
      <w:r w:rsidRPr="00241692">
        <w:rPr>
          <w:rStyle w:val="FootnoteReference"/>
          <w:sz w:val="20"/>
          <w:szCs w:val="20"/>
        </w:rPr>
        <w:footnoteReference w:id="712"/>
      </w:r>
      <w:r>
        <w:t xml:space="preserve"> Mr Low noted that prior to the introduction of the WCTFR, charges in the Wah Wah Stock and Domestic area were mainly usage charges but now they are “95 per cent fixed”, with MI</w:t>
      </w:r>
      <w:r w:rsidR="0032040A">
        <w:t xml:space="preserve"> </w:t>
      </w:r>
      <w:r>
        <w:t>proposing to increase charges by 40 per cent in the next season. Mr Low noted that as a consequence of a higher proportion of fixed charges, there is no incentive to save water.</w:t>
      </w:r>
    </w:p>
    <w:p w:rsidR="00F151AC" w:rsidRDefault="00F151AC" w:rsidP="00001CBF">
      <w:pPr>
        <w:spacing w:after="120"/>
      </w:pPr>
      <w:r>
        <w:t>Mr Low also identified concerns about the basis on which fixed charges are levied in one area of the Wah Wah Stock and Domestic area. Mr Low noted that there are two types of areas – rated and non</w:t>
      </w:r>
      <w:r>
        <w:noBreakHyphen/>
        <w:t>rated. These areas differ based on how allocations are determined and whether or not there is a holding reference number. The holding reference number is only used in the rated area to distinguish between farms. Mr Low explained how it is possible for a customer to acquire a number of holding reference numbers (e.g. a separate holding reference number is provided to a husband and wife if they hold the land in two titles). Mr Low expressed concern that, because the holding reference numbers are used as basis for levying fixed charges, customers face a situation where, in his view, charges do not reflect or have any correlation with:</w:t>
      </w:r>
    </w:p>
    <w:p w:rsidR="00F151AC" w:rsidRDefault="00F151AC" w:rsidP="00A82DE6">
      <w:pPr>
        <w:pStyle w:val="Lvl1Bulletpoint"/>
      </w:pPr>
      <w:r>
        <w:t xml:space="preserve">the number of connections or outlets at the property (e.g. two landholders might share an outlet but both pay the </w:t>
      </w:r>
      <w:r w:rsidR="0094596B">
        <w:t xml:space="preserve">landholding </w:t>
      </w:r>
      <w:r>
        <w:t>charge)</w:t>
      </w:r>
    </w:p>
    <w:p w:rsidR="00F151AC" w:rsidRDefault="00F151AC" w:rsidP="00A82DE6">
      <w:pPr>
        <w:pStyle w:val="Lvl1Bulletpoint"/>
      </w:pPr>
      <w:r>
        <w:t>the size of each individual property</w:t>
      </w:r>
    </w:p>
    <w:p w:rsidR="00F151AC" w:rsidRDefault="00F151AC" w:rsidP="00A82DE6">
      <w:pPr>
        <w:pStyle w:val="Lvl1Bulletpoint"/>
      </w:pPr>
      <w:r>
        <w:t>the volume of water supplied and for how long it has been supplied.</w:t>
      </w:r>
    </w:p>
    <w:p w:rsidR="00F151AC" w:rsidRDefault="00F151AC" w:rsidP="00F151AC">
      <w:r>
        <w:t xml:space="preserve">Mr Low also noted that for the same volume of water delivered, a customer on a rated area can pay more if it has multiple </w:t>
      </w:r>
      <w:r w:rsidR="00121602">
        <w:t>holding reference</w:t>
      </w:r>
      <w:r>
        <w:t xml:space="preserve"> numbers, than someone with only one </w:t>
      </w:r>
      <w:r w:rsidR="00121602">
        <w:t xml:space="preserve">holding reference </w:t>
      </w:r>
      <w:r>
        <w:t>number, and identified that a customer in the rated area will generally pay more than someone in the non-rated area (see also stakeholder feedback in section 5.3</w:t>
      </w:r>
      <w:r w:rsidR="00AF5079">
        <w:t>.1</w:t>
      </w:r>
      <w:r>
        <w:t xml:space="preserve"> for feedback on </w:t>
      </w:r>
      <w:r w:rsidR="007E3277">
        <w:t>charging arrangements</w:t>
      </w:r>
      <w:r>
        <w:t xml:space="preserve"> relating to use of landholdings as a unit for levying charges). </w:t>
      </w:r>
    </w:p>
    <w:p w:rsidR="00F151AC" w:rsidRPr="00B24C47" w:rsidRDefault="00F151AC" w:rsidP="00D17F9C">
      <w:pPr>
        <w:pStyle w:val="Heading5"/>
      </w:pPr>
      <w:r w:rsidRPr="00B24C47">
        <w:t>Ability to discount termination fees</w:t>
      </w:r>
    </w:p>
    <w:p w:rsidR="00F151AC" w:rsidRDefault="00F151AC" w:rsidP="00F151AC">
      <w:r>
        <w:t>Two stakeholders submitted that they support infrastructure operator discretion to waive or discount termination fees. The VFF commented that this discretion is “an important, and appropriate tool”, particularly for modernisation / rationalisation projects.</w:t>
      </w:r>
      <w:r w:rsidRPr="0036049F">
        <w:rPr>
          <w:rStyle w:val="FootnoteReference"/>
          <w:sz w:val="20"/>
          <w:szCs w:val="20"/>
        </w:rPr>
        <w:footnoteReference w:id="713"/>
      </w:r>
      <w:r>
        <w:t xml:space="preserve"> The VFF submitted that it continues to support the water charge rules setting a cap on termination fees from which infrastructure operators can decide to waive or apply a discount. P and B Tomlinson supported operators having discretion to waive termination fees, in the absence of more direct mechanisms to improve the trad</w:t>
      </w:r>
      <w:r w:rsidR="002A04F2">
        <w:t>e</w:t>
      </w:r>
      <w:r>
        <w:t>ability of water delivery rights</w:t>
      </w:r>
      <w:r w:rsidRPr="00221BA6">
        <w:rPr>
          <w:rStyle w:val="FootnoteReference"/>
          <w:sz w:val="20"/>
          <w:szCs w:val="20"/>
        </w:rPr>
        <w:footnoteReference w:id="714"/>
      </w:r>
      <w:r w:rsidRPr="00221BA6">
        <w:t xml:space="preserve"> (see also section 6.2.2).</w:t>
      </w:r>
    </w:p>
    <w:p w:rsidR="00F151AC" w:rsidRDefault="00F151AC" w:rsidP="00F151AC">
      <w:pPr>
        <w:pStyle w:val="Heading4"/>
      </w:pPr>
      <w:r>
        <w:t>ACCC assessment</w:t>
      </w:r>
    </w:p>
    <w:p w:rsidR="00F151AC" w:rsidRPr="00D714FC" w:rsidRDefault="00F151AC" w:rsidP="00D17F9C">
      <w:pPr>
        <w:pStyle w:val="Heading5"/>
      </w:pPr>
      <w:r w:rsidRPr="00D714FC">
        <w:t>Capping maximum termination fees: the 10 times multiple</w:t>
      </w:r>
    </w:p>
    <w:p w:rsidR="00F151AC" w:rsidRPr="00256BF8" w:rsidRDefault="00F151AC" w:rsidP="00F151AC">
      <w:r w:rsidRPr="00256BF8">
        <w:t xml:space="preserve">The ACCC </w:t>
      </w:r>
      <w:r>
        <w:t>notes that no submissions to the Draft Advice advocated a change to the current ten times multiple, and continues to be of the view that it is reasonable to maintain the multiple at 10</w:t>
      </w:r>
      <w:r w:rsidR="0047751C">
        <w:t xml:space="preserve"> times</w:t>
      </w:r>
      <w:r>
        <w:t>. The ACCC reiterates, however, that there may be cause to re-visit this parameter in the future, depending on developments in this sector over time.</w:t>
      </w:r>
    </w:p>
    <w:p w:rsidR="00F151AC" w:rsidRPr="00D714FC" w:rsidRDefault="00F151AC" w:rsidP="00D17F9C">
      <w:pPr>
        <w:pStyle w:val="Heading5"/>
      </w:pPr>
      <w:r w:rsidRPr="00D714FC">
        <w:t xml:space="preserve">Composition of the </w:t>
      </w:r>
      <w:r w:rsidR="008F3121">
        <w:t>t</w:t>
      </w:r>
      <w:r w:rsidRPr="00D714FC">
        <w:t xml:space="preserve">otal </w:t>
      </w:r>
      <w:r w:rsidR="008F3121">
        <w:t>n</w:t>
      </w:r>
      <w:r w:rsidRPr="00D714FC">
        <w:t xml:space="preserve">etwork </w:t>
      </w:r>
      <w:r w:rsidR="008F3121">
        <w:t>a</w:t>
      </w:r>
      <w:r w:rsidRPr="00D714FC">
        <w:t xml:space="preserve">ccess </w:t>
      </w:r>
      <w:r w:rsidR="008F3121">
        <w:t>c</w:t>
      </w:r>
      <w:r w:rsidRPr="00D714FC">
        <w:t>harge (TNAC)</w:t>
      </w:r>
      <w:r w:rsidR="00D20873">
        <w:t xml:space="preserve"> / termination fee base</w:t>
      </w:r>
    </w:p>
    <w:p w:rsidR="00F151AC" w:rsidRDefault="00F151AC" w:rsidP="00F151AC">
      <w:r>
        <w:t xml:space="preserve">The Draft Advice </w:t>
      </w:r>
      <w:r w:rsidR="0047751C">
        <w:t xml:space="preserve">proposed </w:t>
      </w:r>
      <w:r>
        <w:t xml:space="preserve">that the basis for calculating termination fees should be changed from the </w:t>
      </w:r>
      <w:r w:rsidR="008F3121">
        <w:t>TNAC</w:t>
      </w:r>
      <w:r>
        <w:t xml:space="preserve"> approach in the current rules to allowing only volumetric fixed charges levied with respect to customers’ water delivery rights and water drainage rights to form the termination fee base. </w:t>
      </w:r>
      <w:r w:rsidR="00D20873">
        <w:t>The termination fee multiple (10x) would be applied to this base. A</w:t>
      </w:r>
      <w:r>
        <w:t xml:space="preserve">n </w:t>
      </w:r>
      <w:r w:rsidR="00F97663">
        <w:t xml:space="preserve">extra </w:t>
      </w:r>
      <w:r w:rsidR="00D20873">
        <w:t xml:space="preserve">amount </w:t>
      </w:r>
      <w:r>
        <w:t xml:space="preserve">would </w:t>
      </w:r>
      <w:r w:rsidR="00F97663">
        <w:t xml:space="preserve">also </w:t>
      </w:r>
      <w:r>
        <w:t xml:space="preserve">be </w:t>
      </w:r>
      <w:r w:rsidR="00F97663">
        <w:t xml:space="preserve">included in the termination fee </w:t>
      </w:r>
      <w:r>
        <w:t>where there is a separate charge for dedicated infrastructure (such as an outlet or meter) used exclusively by the terminating customer, but an infrastructure operator would be required to take into account prior contributions towards the cost of this dedicated infrastructure</w:t>
      </w:r>
      <w:r w:rsidR="00D20873">
        <w:t xml:space="preserve"> (this is considered below)</w:t>
      </w:r>
      <w:r>
        <w:t>.</w:t>
      </w:r>
    </w:p>
    <w:p w:rsidR="00F151AC" w:rsidRDefault="00F151AC" w:rsidP="00F151AC">
      <w:r>
        <w:t>The ACCC considers that overall this advice is appropriate, but that there are a number of matters raised during consultation for the Draft Advice that warrant further consideration.</w:t>
      </w:r>
    </w:p>
    <w:p w:rsidR="00F151AC" w:rsidRDefault="00F151AC" w:rsidP="00F151AC">
      <w:r>
        <w:t xml:space="preserve">The ACCC does not </w:t>
      </w:r>
      <w:r w:rsidR="002D6B1D">
        <w:t xml:space="preserve">share </w:t>
      </w:r>
      <w:r w:rsidR="002C129A">
        <w:t xml:space="preserve">the </w:t>
      </w:r>
      <w:r>
        <w:t>NIC</w:t>
      </w:r>
      <w:r w:rsidR="002D6B1D">
        <w:t>’s view</w:t>
      </w:r>
      <w:r>
        <w:t xml:space="preserve"> that the intent of the proposed amendments is to reduce termination fees. The intent </w:t>
      </w:r>
      <w:r w:rsidRPr="000F2E7D">
        <w:t>is to ensure the calculation of maximum termination fees is brought back in</w:t>
      </w:r>
      <w:r>
        <w:t>to</w:t>
      </w:r>
      <w:r w:rsidRPr="000F2E7D">
        <w:t xml:space="preserve"> alignment with the original intent, </w:t>
      </w:r>
      <w:r>
        <w:t>which was that termination fees should recoup an amount related to the unavoidable ongoing fixed costs that the operator would incur after a customer terminates.</w:t>
      </w:r>
      <w:r>
        <w:rPr>
          <w:rStyle w:val="FootnoteReference"/>
        </w:rPr>
        <w:footnoteReference w:id="715"/>
      </w:r>
      <w:r>
        <w:t xml:space="preserve"> </w:t>
      </w:r>
    </w:p>
    <w:p w:rsidR="00D20873" w:rsidRDefault="00F151AC" w:rsidP="00F151AC">
      <w:r>
        <w:t>In relation to this intent, the ACCC notes in particular that the current definition of TNAC (subrule (d) in TNAC definition) contemplates operators ‘netting out’ amounts that exceed those associated with cost recovery when calculating termination fees. However, the particular wording of this current rule requirement</w:t>
      </w:r>
      <w:r>
        <w:rPr>
          <w:rStyle w:val="FootnoteReference"/>
        </w:rPr>
        <w:footnoteReference w:id="716"/>
      </w:r>
      <w:r>
        <w:t xml:space="preserve"> means that it is difficult in practice for the regulator to ascertain whether this requirement is complied with. Based on data reported to the ACCC via annual requests for information, operators generally use a simple 10x fixed charges approach to levying termination fees. The extent to which this is fully consistent with the TNAC definition depends on the degree of cost</w:t>
      </w:r>
      <w:r>
        <w:noBreakHyphen/>
        <w:t>reflectiveness of charging arrangements, and as such is inherently difficult to assess</w:t>
      </w:r>
      <w:r w:rsidR="00D20873">
        <w:t xml:space="preserve"> in the absence of more detailed cost data</w:t>
      </w:r>
      <w:r>
        <w:t xml:space="preserve">. </w:t>
      </w:r>
    </w:p>
    <w:p w:rsidR="00F151AC" w:rsidRDefault="00F151AC" w:rsidP="00F151AC">
      <w:r>
        <w:t xml:space="preserve">In cases where operators levy fixed charges that recover </w:t>
      </w:r>
      <w:r w:rsidRPr="001F1AFF">
        <w:rPr>
          <w:i/>
        </w:rPr>
        <w:t>more</w:t>
      </w:r>
      <w:r>
        <w:t xml:space="preserve"> than is needed to cover fixed costs, the current definition requires such ‘netting out’, but where fixed charges cover less than (or equal to) fixed costs, this is not required. The ACCC notes that in practice most operators rely heavily on variable charges, meaning that netting out is unlikely to be required in most cases. However, subrule</w:t>
      </w:r>
      <w:r w:rsidR="002A04F2">
        <w:t> </w:t>
      </w:r>
      <w:r>
        <w:t>(d) remains relevant to operators who rely predominantly on fixed charges. The impracticality of this current requirement to assess the degree to which a charge (or part of a charge) exceeds an amount that could be considered cost-reflective is a key rationale for the ACCC’s recommended changes.</w:t>
      </w:r>
    </w:p>
    <w:p w:rsidR="00F151AC" w:rsidRDefault="00F151AC" w:rsidP="00F151AC">
      <w:r>
        <w:t xml:space="preserve">The ACCC has also identified that item (a) of the current </w:t>
      </w:r>
      <w:r w:rsidR="00D20873">
        <w:t xml:space="preserve">TNAC </w:t>
      </w:r>
      <w:r>
        <w:t>definition may not be robust to future developments in charging arrangements. Item (a) provides that amounts calculated by reference to the number of units or volume of water actually delivered may not be included in termination fees. The ACCC’s broad intent in recommending this provision be included in the original WCTFR was to exclude charges levied to recover variable costs from inclusion in termination fees.</w:t>
      </w:r>
      <w:r>
        <w:rPr>
          <w:rStyle w:val="FootnoteReference"/>
        </w:rPr>
        <w:footnoteReference w:id="717"/>
      </w:r>
      <w:r>
        <w:t xml:space="preserve"> However, t</w:t>
      </w:r>
      <w:r w:rsidRPr="00D714FC">
        <w:t xml:space="preserve">he ACCC </w:t>
      </w:r>
      <w:r>
        <w:t xml:space="preserve">now </w:t>
      </w:r>
      <w:r w:rsidR="00D20873">
        <w:t>considers</w:t>
      </w:r>
      <w:r w:rsidR="00D20873" w:rsidRPr="00D714FC">
        <w:t xml:space="preserve"> </w:t>
      </w:r>
      <w:r w:rsidRPr="00D714FC">
        <w:t xml:space="preserve">that </w:t>
      </w:r>
      <w:r>
        <w:t>‘</w:t>
      </w:r>
      <w:r w:rsidRPr="00D714FC">
        <w:t>variable</w:t>
      </w:r>
      <w:r>
        <w:t>’</w:t>
      </w:r>
      <w:r w:rsidRPr="00D714FC">
        <w:t xml:space="preserve"> infrastructure charges may not always reference the actual amount of water </w:t>
      </w:r>
      <w:r w:rsidRPr="00D714FC">
        <w:rPr>
          <w:i/>
        </w:rPr>
        <w:t xml:space="preserve">delivered </w:t>
      </w:r>
      <w:r w:rsidRPr="00D714FC">
        <w:t xml:space="preserve">to a customer. For example, if a variable infrastructure charge were to be set with reference to the volume of water </w:t>
      </w:r>
      <w:r w:rsidRPr="00D714FC">
        <w:rPr>
          <w:i/>
        </w:rPr>
        <w:t>allocated</w:t>
      </w:r>
      <w:r w:rsidRPr="00D714FC">
        <w:t xml:space="preserve"> to a customer’s account (i.e. allocated against a customer’s water access right or irrigation right for use, trade, carryover, etc.), rather than the volume </w:t>
      </w:r>
      <w:r w:rsidRPr="00D714FC">
        <w:rPr>
          <w:i/>
        </w:rPr>
        <w:t>actually used</w:t>
      </w:r>
      <w:r w:rsidRPr="00D714FC">
        <w:t xml:space="preserve"> by the customer, this charge may not fall within </w:t>
      </w:r>
      <w:r>
        <w:t xml:space="preserve">item </w:t>
      </w:r>
      <w:r w:rsidRPr="00D714FC">
        <w:t xml:space="preserve">(a) of the </w:t>
      </w:r>
      <w:r>
        <w:t xml:space="preserve">current </w:t>
      </w:r>
      <w:r w:rsidRPr="00D714FC">
        <w:t xml:space="preserve">definition, and as such may not be excluded for the purposes of calculating the termination fee. </w:t>
      </w:r>
      <w:r>
        <w:t>This concern provides additional motivation for the recommended change in approach.</w:t>
      </w:r>
    </w:p>
    <w:p w:rsidR="00F151AC" w:rsidRDefault="00F151AC" w:rsidP="00F151AC">
      <w:r>
        <w:t>Beyond these issues with the current TNAC definition, the ACCC has identified that the current practice of including relatively large non</w:t>
      </w:r>
      <w:r>
        <w:noBreakHyphen/>
        <w:t>volumetric charges in termination fees can result in perverse incentives for customers to retain a very small portion of their right of access.</w:t>
      </w:r>
      <w:r w:rsidRPr="00D714FC">
        <w:rPr>
          <w:rStyle w:val="FootnoteReference"/>
        </w:rPr>
        <w:footnoteReference w:id="718"/>
      </w:r>
      <w:r>
        <w:t xml:space="preserve"> Further, as identified by Mr Low, and as acknowledged by operators during consultation meetings, in some cases non</w:t>
      </w:r>
      <w:r>
        <w:noBreakHyphen/>
        <w:t xml:space="preserve">volumetric charges are not clearly linked to service provision or underlying physical realities, with the result that some customers incur significantly higher non-volumetric charges, despite receiving similar levels of service. </w:t>
      </w:r>
    </w:p>
    <w:p w:rsidR="00F151AC" w:rsidRDefault="00F151AC" w:rsidP="00F151AC">
      <w:r>
        <w:t xml:space="preserve">The ACCC accepts that operators currently use non-volumetric charges to recover a range of costs, and agrees that, where these costs are fixed, ongoing and unavoidable after a customer terminates, they should be able to be recovered via termination fees. However, the ACCC challenges the notion that these costs necessarily need to be recovered via non-volumetric charges. The ACCC has made allowance for non-volumetric charges for dedicated infrastructure (e.g. meters and outlets) to be included in termination fees (see below). Beyond this, the ACCC </w:t>
      </w:r>
      <w:r w:rsidR="002D3CB9">
        <w:t xml:space="preserve">notes </w:t>
      </w:r>
      <w:r>
        <w:t>that</w:t>
      </w:r>
      <w:r w:rsidR="002D3CB9">
        <w:t xml:space="preserve"> a </w:t>
      </w:r>
      <w:r>
        <w:t>reli</w:t>
      </w:r>
      <w:r w:rsidR="002D3CB9">
        <w:t>a</w:t>
      </w:r>
      <w:r>
        <w:t>n</w:t>
      </w:r>
      <w:r w:rsidR="002D3CB9">
        <w:t>ce</w:t>
      </w:r>
      <w:r>
        <w:t xml:space="preserve"> on non</w:t>
      </w:r>
      <w:r w:rsidR="00B600F9">
        <w:noBreakHyphen/>
      </w:r>
      <w:r>
        <w:t xml:space="preserve">volumetric </w:t>
      </w:r>
      <w:r w:rsidR="002D3CB9">
        <w:t xml:space="preserve">charges </w:t>
      </w:r>
      <w:r>
        <w:t xml:space="preserve">for </w:t>
      </w:r>
      <w:r w:rsidR="002D3CB9">
        <w:t xml:space="preserve">the recovery of </w:t>
      </w:r>
      <w:r>
        <w:t>general costs such as overheads</w:t>
      </w:r>
      <w:r w:rsidR="002D3CB9">
        <w:t xml:space="preserve"> has a consequence that charges are not proportional to the size of a customer’s right of access. This can distort decision making regarding the level of access and use of water service infrastructure as well as irrigator trading and termination decisions</w:t>
      </w:r>
      <w:r>
        <w:t>.</w:t>
      </w:r>
      <w:r w:rsidR="0094596B">
        <w:rPr>
          <w:rStyle w:val="FootnoteReference"/>
        </w:rPr>
        <w:footnoteReference w:id="719"/>
      </w:r>
      <w:r>
        <w:t xml:space="preserve"> This concern provides motivation for incentivising operators to move away from such charges, and towards volumetric charges levied on customers’ water delivery rights and water drainage rights. The ACCC notes that several operators (see Table 6.</w:t>
      </w:r>
      <w:r w:rsidR="00C35BAF">
        <w:t>1</w:t>
      </w:r>
      <w:r>
        <w:t xml:space="preserve"> below) who currently levy non</w:t>
      </w:r>
      <w:r>
        <w:noBreakHyphen/>
        <w:t xml:space="preserve">volumetric charges already voluntarily do not include these charges in termination fees, and also that operators are free to move away from a reliance on non-volumetric charges. </w:t>
      </w:r>
    </w:p>
    <w:p w:rsidR="00F151AC" w:rsidRDefault="005F3355" w:rsidP="00F151AC">
      <w:pPr>
        <w:pStyle w:val="Tabletitle"/>
      </w:pPr>
      <w:r>
        <w:t>Table 6.1</w:t>
      </w:r>
      <w:r w:rsidR="00F151AC">
        <w:t>: Non-volumetric charges and termination fees</w:t>
      </w:r>
    </w:p>
    <w:tbl>
      <w:tblPr>
        <w:tblW w:w="9235" w:type="dxa"/>
        <w:tblLayout w:type="fixed"/>
        <w:tblCellMar>
          <w:left w:w="0" w:type="dxa"/>
          <w:right w:w="0" w:type="dxa"/>
        </w:tblCellMar>
        <w:tblLook w:val="0000" w:firstRow="0" w:lastRow="0" w:firstColumn="0" w:lastColumn="0" w:noHBand="0" w:noVBand="0"/>
      </w:tblPr>
      <w:tblGrid>
        <w:gridCol w:w="5160"/>
        <w:gridCol w:w="1707"/>
        <w:gridCol w:w="2368"/>
      </w:tblGrid>
      <w:tr w:rsidR="00F151AC" w:rsidRPr="004D193B" w:rsidTr="00AA4C6C">
        <w:trPr>
          <w:cantSplit/>
          <w:trHeight w:val="738"/>
          <w:tblHeader/>
        </w:trPr>
        <w:tc>
          <w:tcPr>
            <w:tcW w:w="5160" w:type="dxa"/>
            <w:tcBorders>
              <w:top w:val="single" w:sz="4" w:space="0" w:color="auto"/>
              <w:left w:val="single" w:sz="4" w:space="0" w:color="auto"/>
              <w:right w:val="single" w:sz="4" w:space="0" w:color="auto"/>
            </w:tcBorders>
            <w:shd w:val="clear" w:color="auto" w:fill="D9D9D9" w:themeFill="background1" w:themeFillShade="D9"/>
            <w:tcMar>
              <w:top w:w="80" w:type="dxa"/>
              <w:left w:w="57" w:type="dxa"/>
              <w:bottom w:w="80" w:type="dxa"/>
              <w:right w:w="0" w:type="dxa"/>
            </w:tcMar>
            <w:vAlign w:val="center"/>
          </w:tcPr>
          <w:p w:rsidR="00F151AC" w:rsidRPr="006D1115" w:rsidRDefault="00F151AC" w:rsidP="00486258">
            <w:pPr>
              <w:pStyle w:val="tabletext"/>
              <w:spacing w:before="0" w:after="0"/>
              <w:rPr>
                <w:b/>
              </w:rPr>
            </w:pPr>
            <w:r w:rsidRPr="006D1115">
              <w:rPr>
                <w:b/>
              </w:rPr>
              <w:t>Reporting IIOs</w:t>
            </w:r>
          </w:p>
        </w:tc>
        <w:tc>
          <w:tcPr>
            <w:tcW w:w="1707" w:type="dxa"/>
            <w:tcBorders>
              <w:top w:val="single" w:sz="8" w:space="0" w:color="000000"/>
              <w:left w:val="single" w:sz="4" w:space="0" w:color="auto"/>
              <w:right w:val="single" w:sz="4" w:space="0" w:color="auto"/>
            </w:tcBorders>
            <w:shd w:val="clear" w:color="auto" w:fill="D9D9D9" w:themeFill="background1" w:themeFillShade="D9"/>
          </w:tcPr>
          <w:p w:rsidR="00F151AC" w:rsidRPr="006D1115" w:rsidRDefault="00F151AC" w:rsidP="00A67A15">
            <w:pPr>
              <w:pStyle w:val="tabletext"/>
              <w:spacing w:before="0" w:after="0"/>
              <w:jc w:val="center"/>
              <w:rPr>
                <w:b/>
              </w:rPr>
            </w:pPr>
            <w:r w:rsidRPr="006D1115">
              <w:rPr>
                <w:b/>
              </w:rPr>
              <w:t>Impose non-volumetric fixed charges?</w:t>
            </w:r>
          </w:p>
        </w:tc>
        <w:tc>
          <w:tcPr>
            <w:tcW w:w="2368" w:type="dxa"/>
            <w:tcBorders>
              <w:top w:val="single" w:sz="8" w:space="0" w:color="000000"/>
              <w:left w:val="single" w:sz="4" w:space="0" w:color="auto"/>
              <w:right w:val="single" w:sz="6" w:space="0" w:color="auto"/>
            </w:tcBorders>
            <w:shd w:val="clear" w:color="auto" w:fill="D9D9D9" w:themeFill="background1" w:themeFillShade="D9"/>
            <w:tcMar>
              <w:top w:w="80" w:type="dxa"/>
              <w:left w:w="57" w:type="dxa"/>
              <w:bottom w:w="80" w:type="dxa"/>
              <w:right w:w="0" w:type="dxa"/>
            </w:tcMar>
          </w:tcPr>
          <w:p w:rsidR="00F151AC" w:rsidRPr="006D1115" w:rsidRDefault="00F151AC" w:rsidP="00486258">
            <w:pPr>
              <w:pStyle w:val="tabletext"/>
              <w:spacing w:before="0" w:after="0"/>
              <w:jc w:val="center"/>
              <w:rPr>
                <w:b/>
              </w:rPr>
            </w:pPr>
            <w:r w:rsidRPr="006D1115">
              <w:rPr>
                <w:b/>
              </w:rPr>
              <w:t xml:space="preserve">Non-volumetric </w:t>
            </w:r>
            <w:r w:rsidR="00486258" w:rsidRPr="006D1115">
              <w:rPr>
                <w:b/>
              </w:rPr>
              <w:t xml:space="preserve">fixed </w:t>
            </w:r>
            <w:r w:rsidRPr="006D1115">
              <w:rPr>
                <w:b/>
              </w:rPr>
              <w:t>charges included in termination fee?</w:t>
            </w:r>
          </w:p>
        </w:tc>
      </w:tr>
      <w:tr w:rsidR="00F151AC" w:rsidRPr="004D193B" w:rsidTr="006D1115">
        <w:trPr>
          <w:trHeight w:val="60"/>
        </w:trPr>
        <w:tc>
          <w:tcPr>
            <w:tcW w:w="5160" w:type="dxa"/>
            <w:tcBorders>
              <w:top w:val="single" w:sz="4" w:space="0" w:color="auto"/>
              <w:left w:val="single" w:sz="4" w:space="0" w:color="auto"/>
              <w:bottom w:val="single" w:sz="4" w:space="0" w:color="auto"/>
              <w:right w:val="single" w:sz="4"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Buddah Lake Irrigators’ Association</w:t>
            </w:r>
            <w:r w:rsidR="00023D1F">
              <w:rPr>
                <w:lang w:val="en-GB"/>
              </w:rPr>
              <w:t xml:space="preserve"> (Buddah Lake)</w:t>
            </w:r>
          </w:p>
        </w:tc>
        <w:tc>
          <w:tcPr>
            <w:tcW w:w="1707" w:type="dxa"/>
            <w:tcBorders>
              <w:top w:val="single" w:sz="2" w:space="0" w:color="000000"/>
              <w:left w:val="single" w:sz="4"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B"/>
            </w:r>
          </w:p>
        </w:tc>
        <w:tc>
          <w:tcPr>
            <w:tcW w:w="2368" w:type="dxa"/>
            <w:tcBorders>
              <w:top w:val="single" w:sz="2" w:space="0" w:color="000000"/>
              <w:left w:val="single" w:sz="4"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4"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Central Irrigation Trust (CIT)</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B"/>
            </w:r>
            <w:r w:rsidRPr="00403FFA">
              <w:rPr>
                <w:vertAlign w:val="superscript"/>
                <w:lang w:val="en-GB"/>
              </w:rPr>
              <w:t>†</w:t>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Coleambally Irrigation Cooperative Limited (CICL)</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C"/>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Eagle Creek Pumping Syndicate</w:t>
            </w:r>
            <w:r w:rsidR="00023D1F">
              <w:rPr>
                <w:lang w:val="en-GB"/>
              </w:rPr>
              <w:t xml:space="preserve"> (Eagle Creek)</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Goulburn-Murray Water (GMW)</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Hay Private Irrigation District</w:t>
            </w:r>
            <w:r w:rsidR="00023D1F">
              <w:rPr>
                <w:lang w:val="en-GB"/>
              </w:rPr>
              <w:t xml:space="preserve"> (Hay)</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C"/>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Jemalong Irrigation Limited</w:t>
            </w:r>
            <w:r w:rsidR="00023D1F">
              <w:rPr>
                <w:lang w:val="en-GB"/>
              </w:rPr>
              <w:t xml:space="preserve"> (Jemalong)</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B"/>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Lower Murray Water (LMW)</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Marthaguy Irrigation Scheme</w:t>
            </w:r>
            <w:r w:rsidR="00023D1F">
              <w:rPr>
                <w:lang w:val="en-GB"/>
              </w:rPr>
              <w:t xml:space="preserve"> (</w:t>
            </w:r>
            <w:r w:rsidR="00BB2073">
              <w:rPr>
                <w:lang w:val="en-GB"/>
              </w:rPr>
              <w:t>Marthaguy</w:t>
            </w:r>
            <w:r w:rsidR="00023D1F">
              <w:rPr>
                <w:lang w:val="en-GB"/>
              </w:rPr>
              <w:t>)</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B"/>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Moira Private Irrigation District (MPID)</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B"/>
            </w:r>
            <w:r w:rsidRPr="00403FFA">
              <w:rPr>
                <w:vertAlign w:val="superscript"/>
                <w:lang w:val="en-GB"/>
              </w:rPr>
              <w:t>†</w:t>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Murray Irrigation Limited (MIL)</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C"/>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Murrumbidgee Irrigation Limited (MI)</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C"/>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Narromine Irrigation Board of Management (NIBM)</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C"/>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Renmark Irrigation Trust (RIT)</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r w:rsidRPr="00403FFA">
              <w:rPr>
                <w:vertAlign w:val="superscript"/>
                <w:lang w:val="en-GB"/>
              </w:rPr>
              <w:t>*</w:t>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C"/>
            </w:r>
            <w:r w:rsidRPr="00403FFA">
              <w:rPr>
                <w:vertAlign w:val="superscript"/>
                <w:lang w:val="en-GB"/>
              </w:rPr>
              <w:t>*</w:t>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SunWater</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t>n/a</w:t>
            </w:r>
            <w:r w:rsidRPr="00403FFA">
              <w:rPr>
                <w:vertAlign w:val="superscript"/>
                <w:lang w:val="en-GB"/>
              </w:rPr>
              <w:t>**</w:t>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9A6AA2">
            <w:pPr>
              <w:pStyle w:val="tabletext"/>
              <w:spacing w:before="0" w:after="0"/>
              <w:rPr>
                <w:lang w:val="en-GB"/>
              </w:rPr>
            </w:pPr>
            <w:r w:rsidRPr="00403FFA">
              <w:rPr>
                <w:lang w:val="en-GB"/>
              </w:rPr>
              <w:t>Tenandra Irrigation Scheme (</w:t>
            </w:r>
            <w:r w:rsidR="009A6AA2" w:rsidRPr="00403FFA">
              <w:rPr>
                <w:lang w:val="en-GB"/>
              </w:rPr>
              <w:t>T</w:t>
            </w:r>
            <w:r w:rsidR="009A6AA2">
              <w:rPr>
                <w:lang w:val="en-GB"/>
              </w:rPr>
              <w:t>enandra</w:t>
            </w:r>
            <w:r w:rsidRPr="00403FFA">
              <w:rPr>
                <w:lang w:val="en-GB"/>
              </w:rPr>
              <w:t>)</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B"/>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8F3121">
            <w:pPr>
              <w:pStyle w:val="tabletext"/>
              <w:spacing w:before="0" w:after="0"/>
              <w:rPr>
                <w:lang w:val="en-GB"/>
              </w:rPr>
            </w:pPr>
            <w:r w:rsidRPr="00403FFA">
              <w:rPr>
                <w:lang w:val="en-GB"/>
              </w:rPr>
              <w:t>Trangie-Nevertire Irrigation Scheme (</w:t>
            </w:r>
            <w:r w:rsidR="008F3121" w:rsidRPr="00403FFA">
              <w:rPr>
                <w:lang w:val="en-GB"/>
              </w:rPr>
              <w:t>T</w:t>
            </w:r>
            <w:r w:rsidR="008F3121">
              <w:rPr>
                <w:lang w:val="en-GB"/>
              </w:rPr>
              <w:t>rangie-Nevertire</w:t>
            </w:r>
            <w:r w:rsidRPr="00403FFA">
              <w:rPr>
                <w:lang w:val="en-GB"/>
              </w:rPr>
              <w:t>)</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B"/>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rPr>
                <w:lang w:val="en-GB"/>
              </w:rPr>
            </w:pPr>
            <w:r w:rsidRPr="00403FFA">
              <w:rPr>
                <w:lang w:val="en-GB"/>
              </w:rPr>
              <w:t>West Corurgan Private Irrigation District (W</w:t>
            </w:r>
            <w:r w:rsidR="008F3121">
              <w:rPr>
                <w:lang w:val="en-GB"/>
              </w:rPr>
              <w:t xml:space="preserve">est </w:t>
            </w:r>
            <w:r w:rsidRPr="00403FFA">
              <w:rPr>
                <w:lang w:val="en-GB"/>
              </w:rPr>
              <w:t>C</w:t>
            </w:r>
            <w:r w:rsidR="008F3121">
              <w:rPr>
                <w:lang w:val="en-GB"/>
              </w:rPr>
              <w:t>orurgan</w:t>
            </w:r>
            <w:r w:rsidRPr="00403FFA">
              <w:rPr>
                <w:lang w:val="en-GB"/>
              </w:rPr>
              <w:t>)</w:t>
            </w:r>
          </w:p>
        </w:tc>
        <w:tc>
          <w:tcPr>
            <w:tcW w:w="1707" w:type="dxa"/>
            <w:tcBorders>
              <w:top w:val="single" w:sz="6" w:space="0" w:color="auto"/>
              <w:left w:val="single" w:sz="6" w:space="0" w:color="auto"/>
              <w:bottom w:val="single" w:sz="6" w:space="0" w:color="auto"/>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C"/>
            </w:r>
          </w:p>
        </w:tc>
        <w:tc>
          <w:tcPr>
            <w:tcW w:w="2368" w:type="dxa"/>
            <w:tcBorders>
              <w:top w:val="single" w:sz="6" w:space="0" w:color="auto"/>
              <w:left w:val="single" w:sz="6" w:space="0" w:color="auto"/>
              <w:bottom w:val="single" w:sz="6" w:space="0" w:color="auto"/>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r w:rsidR="00F151AC" w:rsidRPr="004D193B" w:rsidTr="006D1115">
        <w:trPr>
          <w:trHeight w:val="60"/>
        </w:trPr>
        <w:tc>
          <w:tcPr>
            <w:tcW w:w="5160" w:type="dxa"/>
            <w:tcBorders>
              <w:top w:val="single" w:sz="6" w:space="0" w:color="auto"/>
              <w:left w:val="single" w:sz="6" w:space="0" w:color="auto"/>
              <w:bottom w:val="single" w:sz="8" w:space="0" w:color="000000"/>
              <w:right w:val="single" w:sz="6" w:space="0" w:color="auto"/>
            </w:tcBorders>
            <w:shd w:val="clear" w:color="auto" w:fill="auto"/>
            <w:tcMar>
              <w:top w:w="80" w:type="dxa"/>
              <w:left w:w="57" w:type="dxa"/>
              <w:bottom w:w="80" w:type="dxa"/>
              <w:right w:w="0" w:type="dxa"/>
            </w:tcMar>
            <w:vAlign w:val="center"/>
          </w:tcPr>
          <w:p w:rsidR="00F151AC" w:rsidRPr="00403FFA" w:rsidRDefault="00F151AC" w:rsidP="008621D4">
            <w:pPr>
              <w:pStyle w:val="tabletext"/>
              <w:spacing w:before="0" w:after="0"/>
              <w:rPr>
                <w:lang w:val="en-GB"/>
              </w:rPr>
            </w:pPr>
            <w:r w:rsidRPr="00403FFA">
              <w:rPr>
                <w:lang w:val="en-GB"/>
              </w:rPr>
              <w:t>Western Murray Irrigation (WMI)</w:t>
            </w:r>
          </w:p>
        </w:tc>
        <w:tc>
          <w:tcPr>
            <w:tcW w:w="1707" w:type="dxa"/>
            <w:tcBorders>
              <w:top w:val="single" w:sz="6" w:space="0" w:color="auto"/>
              <w:left w:val="single" w:sz="6" w:space="0" w:color="auto"/>
              <w:bottom w:val="single" w:sz="8" w:space="0" w:color="000000"/>
              <w:right w:val="single" w:sz="6" w:space="0" w:color="auto"/>
            </w:tcBorders>
            <w:shd w:val="clear" w:color="auto" w:fill="auto"/>
            <w:tcMar>
              <w:top w:w="80" w:type="dxa"/>
              <w:left w:w="57" w:type="dxa"/>
              <w:bottom w:w="80" w:type="dxa"/>
              <w:right w:w="0" w:type="dxa"/>
            </w:tcMar>
            <w:vAlign w:val="center"/>
          </w:tcPr>
          <w:p w:rsidR="00F151AC" w:rsidRPr="00403FFA" w:rsidRDefault="00F151AC" w:rsidP="00486258">
            <w:pPr>
              <w:pStyle w:val="tabletext"/>
              <w:spacing w:before="0" w:after="0"/>
              <w:jc w:val="center"/>
              <w:rPr>
                <w:lang w:val="en-GB"/>
              </w:rPr>
            </w:pPr>
            <w:r w:rsidRPr="00403FFA">
              <w:rPr>
                <w:lang w:val="en-GB"/>
              </w:rPr>
              <w:sym w:font="Wingdings" w:char="F0FB"/>
            </w:r>
          </w:p>
        </w:tc>
        <w:tc>
          <w:tcPr>
            <w:tcW w:w="2368" w:type="dxa"/>
            <w:tcBorders>
              <w:top w:val="single" w:sz="6" w:space="0" w:color="auto"/>
              <w:left w:val="single" w:sz="6" w:space="0" w:color="auto"/>
              <w:bottom w:val="single" w:sz="8" w:space="0" w:color="000000"/>
              <w:right w:val="single" w:sz="6" w:space="0" w:color="auto"/>
            </w:tcBorders>
            <w:shd w:val="clear" w:color="auto" w:fill="auto"/>
          </w:tcPr>
          <w:p w:rsidR="00F151AC" w:rsidRPr="00403FFA" w:rsidRDefault="00F151AC" w:rsidP="00486258">
            <w:pPr>
              <w:pStyle w:val="tabletext"/>
              <w:spacing w:before="0" w:after="0"/>
              <w:jc w:val="center"/>
              <w:rPr>
                <w:lang w:val="en-GB"/>
              </w:rPr>
            </w:pPr>
            <w:r w:rsidRPr="00403FFA">
              <w:rPr>
                <w:lang w:val="en-GB"/>
              </w:rPr>
              <w:sym w:font="Wingdings" w:char="F0FB"/>
            </w:r>
          </w:p>
        </w:tc>
      </w:tr>
    </w:tbl>
    <w:p w:rsidR="00F151AC" w:rsidRPr="00486258" w:rsidRDefault="00F151AC" w:rsidP="00486258">
      <w:pPr>
        <w:pStyle w:val="tabletext"/>
        <w:rPr>
          <w:i/>
          <w:sz w:val="16"/>
        </w:rPr>
      </w:pPr>
      <w:r w:rsidRPr="00486258">
        <w:rPr>
          <w:i/>
          <w:sz w:val="16"/>
        </w:rPr>
        <w:t>Source: ACCC analysis from data provided by reporting operators, 2014-15</w:t>
      </w:r>
    </w:p>
    <w:p w:rsidR="00486258" w:rsidRPr="00486258" w:rsidRDefault="00F151AC" w:rsidP="00486258">
      <w:pPr>
        <w:pStyle w:val="tabletext"/>
        <w:rPr>
          <w:sz w:val="16"/>
          <w:szCs w:val="16"/>
          <w:vertAlign w:val="superscript"/>
          <w:lang w:val="en-GB"/>
        </w:rPr>
      </w:pPr>
      <w:r w:rsidRPr="00486258">
        <w:rPr>
          <w:sz w:val="16"/>
          <w:szCs w:val="16"/>
          <w:lang w:val="en-GB"/>
        </w:rPr>
        <w:t>Notes:</w:t>
      </w:r>
      <w:r w:rsidRPr="00486258">
        <w:rPr>
          <w:sz w:val="16"/>
          <w:szCs w:val="16"/>
          <w:vertAlign w:val="superscript"/>
          <w:lang w:val="en-GB"/>
        </w:rPr>
        <w:t xml:space="preserve"> †</w:t>
      </w:r>
      <w:r w:rsidRPr="00486258">
        <w:rPr>
          <w:sz w:val="16"/>
          <w:szCs w:val="16"/>
          <w:lang w:val="en-GB"/>
        </w:rPr>
        <w:t>These operators listed several non-volumetric connection charges on their 2014-15 Schedules of Charges, but these do not appear to be ongoing charges that a customer would pay each year (e.g. they are imposed when a new connection is created).</w:t>
      </w:r>
      <w:r w:rsidRPr="00486258">
        <w:rPr>
          <w:sz w:val="16"/>
          <w:szCs w:val="16"/>
          <w:vertAlign w:val="superscript"/>
          <w:lang w:val="en-GB"/>
        </w:rPr>
        <w:t xml:space="preserve"> </w:t>
      </w:r>
    </w:p>
    <w:p w:rsidR="00486258" w:rsidRPr="00486258" w:rsidRDefault="00F151AC" w:rsidP="00486258">
      <w:pPr>
        <w:pStyle w:val="tabletext"/>
        <w:rPr>
          <w:sz w:val="16"/>
          <w:szCs w:val="16"/>
          <w:lang w:val="en-GB"/>
        </w:rPr>
      </w:pPr>
      <w:r w:rsidRPr="00486258">
        <w:rPr>
          <w:sz w:val="16"/>
          <w:szCs w:val="16"/>
          <w:vertAlign w:val="superscript"/>
          <w:lang w:val="en-GB"/>
        </w:rPr>
        <w:t>*</w:t>
      </w:r>
      <w:r w:rsidRPr="00486258">
        <w:rPr>
          <w:sz w:val="16"/>
          <w:szCs w:val="16"/>
          <w:lang w:val="en-GB"/>
        </w:rPr>
        <w:t>RIT imposes an ‘irrigation access charge’ per ‘rated hectare’. This is a non</w:t>
      </w:r>
      <w:r w:rsidRPr="00486258">
        <w:rPr>
          <w:rFonts w:ascii="MS Mincho" w:eastAsia="MS Mincho" w:hAnsi="MS Mincho" w:cs="MS Mincho"/>
          <w:sz w:val="16"/>
          <w:szCs w:val="16"/>
          <w:lang w:val="en-GB"/>
        </w:rPr>
        <w:t>-</w:t>
      </w:r>
      <w:r w:rsidRPr="00486258">
        <w:rPr>
          <w:sz w:val="16"/>
          <w:szCs w:val="16"/>
          <w:lang w:val="en-GB"/>
        </w:rPr>
        <w:t xml:space="preserve">volumetric charge in that it is not related to a volume of water access right, irrigation right or water delivery right. However, based on information provided by RIT, the ACCC understands that RIT uses a conversion factor of 9.28 hectares per ML in order to convert this charge to a per ML (volumetric) charge. </w:t>
      </w:r>
    </w:p>
    <w:p w:rsidR="00F151AC" w:rsidRPr="00486258" w:rsidRDefault="00F151AC" w:rsidP="00486258">
      <w:pPr>
        <w:pStyle w:val="tabletext"/>
        <w:spacing w:after="200"/>
        <w:rPr>
          <w:sz w:val="16"/>
          <w:szCs w:val="16"/>
        </w:rPr>
      </w:pPr>
      <w:r w:rsidRPr="00486258">
        <w:rPr>
          <w:sz w:val="16"/>
          <w:szCs w:val="16"/>
          <w:vertAlign w:val="superscript"/>
          <w:lang w:val="en-GB"/>
        </w:rPr>
        <w:t>**</w:t>
      </w:r>
      <w:r w:rsidRPr="00486258">
        <w:rPr>
          <w:sz w:val="16"/>
          <w:szCs w:val="16"/>
          <w:lang w:val="en-GB"/>
        </w:rPr>
        <w:t xml:space="preserve">SunWater has not reported any terminations, or indicated that it would levy termination fees in the event a termination occurred (other than in the context of trade out of an off-river system). </w:t>
      </w:r>
    </w:p>
    <w:p w:rsidR="00F151AC" w:rsidRDefault="00F151AC" w:rsidP="00F151AC">
      <w:r>
        <w:t xml:space="preserve">The ACCC acknowledges that its proposed amendments to </w:t>
      </w:r>
      <w:r w:rsidR="00B54A84">
        <w:t xml:space="preserve">general </w:t>
      </w:r>
      <w:r>
        <w:t xml:space="preserve">termination fee calculations will likely incentivise some operators to move towards a greater use of volumetric infrastructure charges levied on the basis of customers’ water delivery rights to recover fixed costs (although the </w:t>
      </w:r>
      <w:r w:rsidR="00486258">
        <w:t xml:space="preserve">proposed </w:t>
      </w:r>
      <w:r>
        <w:t xml:space="preserve">amendments will not </w:t>
      </w:r>
      <w:r>
        <w:rPr>
          <w:i/>
        </w:rPr>
        <w:t xml:space="preserve">require </w:t>
      </w:r>
      <w:r>
        <w:t>this outcome). The ACCC considers that this would be a</w:t>
      </w:r>
      <w:r w:rsidR="00486258">
        <w:t>n appropriate</w:t>
      </w:r>
      <w:r>
        <w:t xml:space="preserve"> outcome. </w:t>
      </w:r>
    </w:p>
    <w:p w:rsidR="00F151AC" w:rsidRDefault="00F151AC" w:rsidP="00D17F9C">
      <w:pPr>
        <w:pStyle w:val="Heading5"/>
      </w:pPr>
      <w:r w:rsidRPr="00D714FC">
        <w:t>Treatment of</w:t>
      </w:r>
      <w:r w:rsidR="0047751C">
        <w:t xml:space="preserve"> cost</w:t>
      </w:r>
      <w:r w:rsidRPr="00D714FC">
        <w:t xml:space="preserve"> pass-throughs in </w:t>
      </w:r>
      <w:r w:rsidRPr="00660D6D">
        <w:t>calculation</w:t>
      </w:r>
      <w:r w:rsidRPr="00D714FC">
        <w:t xml:space="preserve"> of </w:t>
      </w:r>
      <w:r w:rsidR="00B54A84">
        <w:t xml:space="preserve">general </w:t>
      </w:r>
      <w:r w:rsidRPr="00D714FC">
        <w:t>termination fees</w:t>
      </w:r>
    </w:p>
    <w:p w:rsidR="00F151AC" w:rsidRDefault="00F151AC" w:rsidP="00F151AC">
      <w:r>
        <w:t>The ACCC has also identified that there is a need to ensure termination fees are not inflated by the inclusion of on-river infrastructure charges and planning and management charges which the operator</w:t>
      </w:r>
      <w:r w:rsidR="00486258">
        <w:t xml:space="preserve"> incurs</w:t>
      </w:r>
      <w:r w:rsidR="00B600F9">
        <w:t>,</w:t>
      </w:r>
      <w:r>
        <w:t xml:space="preserve"> other than </w:t>
      </w:r>
      <w:r w:rsidR="00486258">
        <w:t xml:space="preserve">certain </w:t>
      </w:r>
      <w:r>
        <w:t xml:space="preserve">charges relating to </w:t>
      </w:r>
      <w:r w:rsidRPr="00AF4566">
        <w:t>distribution losses</w:t>
      </w:r>
      <w:r>
        <w:t xml:space="preserve">. The ACCC considers that its </w:t>
      </w:r>
      <w:r w:rsidR="00486258">
        <w:t xml:space="preserve">proposed </w:t>
      </w:r>
      <w:r>
        <w:t xml:space="preserve">amendments relating to </w:t>
      </w:r>
      <w:r w:rsidR="00486258">
        <w:t xml:space="preserve">cost </w:t>
      </w:r>
      <w:r>
        <w:t>pass-throughs</w:t>
      </w:r>
      <w:r w:rsidR="00486258">
        <w:t xml:space="preserve"> (see section 5.13)</w:t>
      </w:r>
      <w:r>
        <w:t>, together with rule advice 6-B, will achieve this outcome.</w:t>
      </w:r>
    </w:p>
    <w:p w:rsidR="00F151AC" w:rsidRDefault="00F151AC" w:rsidP="00F151AC">
      <w:r>
        <w:t xml:space="preserve">Based on the above considerations, the ACCC maintains its advice that </w:t>
      </w:r>
      <w:r w:rsidR="00B54A84">
        <w:t xml:space="preserve">general </w:t>
      </w:r>
      <w:r>
        <w:t>termination fees should generally be based on a multiple of fixed charges levied per unit of the terminating customer’s water delivery right and</w:t>
      </w:r>
      <w:r w:rsidR="00663933">
        <w:t xml:space="preserve"> </w:t>
      </w:r>
      <w:r>
        <w:t>/</w:t>
      </w:r>
      <w:r w:rsidR="00663933">
        <w:t xml:space="preserve"> </w:t>
      </w:r>
      <w:r>
        <w:t xml:space="preserve">or water drainage right. This advice, together with the </w:t>
      </w:r>
      <w:r w:rsidR="00663933">
        <w:t xml:space="preserve">proposed </w:t>
      </w:r>
      <w:r>
        <w:t>pass</w:t>
      </w:r>
      <w:r w:rsidR="00B600F9">
        <w:noBreakHyphen/>
      </w:r>
      <w:r>
        <w:t>through rules which prohibit operators from passing through certain charges on the basis of customers’ water delivery rights, will help ensure that termination fees only reflect ongoing unavoidable fixed costs</w:t>
      </w:r>
      <w:r w:rsidR="00663933">
        <w:t xml:space="preserve"> faced by the infrastructure operator</w:t>
      </w:r>
      <w:r>
        <w:t xml:space="preserve">. It will also </w:t>
      </w:r>
      <w:r w:rsidR="002D3CB9">
        <w:t xml:space="preserve">help </w:t>
      </w:r>
      <w:r w:rsidR="00663933">
        <w:t>address the disproportionate</w:t>
      </w:r>
      <w:r>
        <w:t xml:space="preserve"> incentives for customers to retain small portions of their right of access, which will improve rationalisation efforts and help preclude a situation occurring where a customer has sold all of their water but has retained a small part of their right of access in order to avoid termination fees associated with non-volumetric charges.</w:t>
      </w:r>
    </w:p>
    <w:p w:rsidR="00F151AC" w:rsidRDefault="00F151AC" w:rsidP="00F151AC">
      <w:r>
        <w:t xml:space="preserve">In recognition of operators’ concerns about the ACCC’s proposal to link the level of the termination fee multiple to compliance with the proposed pass-through rules, the ACCC </w:t>
      </w:r>
      <w:r w:rsidR="00663933">
        <w:t>h</w:t>
      </w:r>
      <w:r>
        <w:t>as rescinded draft rule advice 5-Z and the relevant proposed rule. See section 5.13 for a full discussion.</w:t>
      </w:r>
    </w:p>
    <w:p w:rsidR="00F151AC" w:rsidRDefault="00F151AC" w:rsidP="00D17F9C">
      <w:pPr>
        <w:pStyle w:val="Heading5"/>
      </w:pPr>
      <w:r>
        <w:t>Accounting for direct contributions from irrigators</w:t>
      </w:r>
      <w:r w:rsidR="00757010">
        <w:t>—</w:t>
      </w:r>
      <w:r>
        <w:t>separate charges for dedicated infrastructure</w:t>
      </w:r>
    </w:p>
    <w:p w:rsidR="00F151AC" w:rsidRPr="00D714FC" w:rsidRDefault="00F151AC" w:rsidP="00001CBF">
      <w:pPr>
        <w:spacing w:after="120"/>
      </w:pPr>
      <w:r>
        <w:rPr>
          <w:rFonts w:eastAsia="Calibri"/>
        </w:rPr>
        <w:t xml:space="preserve">Draft rule advice 5-C sought to balance irrigator feedback that terminating customer contributions should be taken into account </w:t>
      </w:r>
      <w:r w:rsidR="00663933">
        <w:rPr>
          <w:rFonts w:eastAsia="Calibri"/>
        </w:rPr>
        <w:t xml:space="preserve">when calculating </w:t>
      </w:r>
      <w:r>
        <w:rPr>
          <w:rFonts w:eastAsia="Calibri"/>
        </w:rPr>
        <w:t xml:space="preserve">termination fees with the impacts on operators and remaining customers such a requirement would produce. This draft advice recognised that requiring operators to fully account for </w:t>
      </w:r>
      <w:r w:rsidRPr="00756C54">
        <w:rPr>
          <w:rFonts w:eastAsia="Calibri"/>
          <w:i/>
        </w:rPr>
        <w:t>all</w:t>
      </w:r>
      <w:r>
        <w:rPr>
          <w:rFonts w:eastAsia="Calibri"/>
        </w:rPr>
        <w:t xml:space="preserve"> terminating customer contributions </w:t>
      </w:r>
      <w:r w:rsidR="0083620C">
        <w:rPr>
          <w:rFonts w:eastAsia="Calibri"/>
        </w:rPr>
        <w:t xml:space="preserve">(including in relation to shared infrastructure) </w:t>
      </w:r>
      <w:r>
        <w:rPr>
          <w:rFonts w:eastAsia="Calibri"/>
        </w:rPr>
        <w:t xml:space="preserve">was not advisable </w:t>
      </w:r>
      <w:r w:rsidRPr="00D714FC">
        <w:t>for several reasons, including</w:t>
      </w:r>
      <w:r w:rsidR="002A04F2">
        <w:t xml:space="preserve"> that</w:t>
      </w:r>
      <w:r w:rsidRPr="00D714FC">
        <w:t>:</w:t>
      </w:r>
    </w:p>
    <w:p w:rsidR="00F151AC" w:rsidRPr="00663933" w:rsidRDefault="00F151AC" w:rsidP="00A82DE6">
      <w:pPr>
        <w:pStyle w:val="Lvl1Bulletpoint"/>
      </w:pPr>
      <w:r w:rsidRPr="00663933">
        <w:t>a terminating customer’s past level of use of shared infrastructure (and corresponding payments of infrastructure charges) should not necessarily be directly linked to their responsibility for the future costs they impose on others when they terminate, as represented by the termination fee;</w:t>
      </w:r>
    </w:p>
    <w:p w:rsidR="00F151AC" w:rsidRPr="00663933" w:rsidRDefault="002A04F2" w:rsidP="00A82DE6">
      <w:pPr>
        <w:pStyle w:val="Lvl1Bulletpoint"/>
      </w:pPr>
      <w:r>
        <w:t>s</w:t>
      </w:r>
      <w:r w:rsidR="00F151AC" w:rsidRPr="00663933">
        <w:t>ignificant additional regulatory burden may be created for the operator in terms of the record keeping required to give effect to such accounting requirements; and</w:t>
      </w:r>
    </w:p>
    <w:p w:rsidR="00F151AC" w:rsidRPr="00663933" w:rsidRDefault="002A04F2" w:rsidP="00A82DE6">
      <w:pPr>
        <w:pStyle w:val="Lvl1Bulletpoint"/>
      </w:pPr>
      <w:r>
        <w:t>t</w:t>
      </w:r>
      <w:r w:rsidR="00F151AC" w:rsidRPr="00663933">
        <w:t xml:space="preserve">he water charge rules regulate the </w:t>
      </w:r>
      <w:r w:rsidR="00F151AC" w:rsidRPr="00663933">
        <w:rPr>
          <w:i/>
        </w:rPr>
        <w:t>maximum</w:t>
      </w:r>
      <w:r w:rsidR="00F151AC" w:rsidRPr="00663933">
        <w:t xml:space="preserve"> termination fee which can be imposed, and the ACCC notes that the operator may take into account past capital contributions. </w:t>
      </w:r>
    </w:p>
    <w:p w:rsidR="00F151AC" w:rsidRDefault="00F151AC" w:rsidP="00F151AC">
      <w:pPr>
        <w:spacing w:before="240"/>
        <w:rPr>
          <w:rFonts w:eastAsia="Calibri"/>
        </w:rPr>
      </w:pPr>
      <w:r>
        <w:rPr>
          <w:rFonts w:eastAsia="Calibri"/>
        </w:rPr>
        <w:t xml:space="preserve">With these considerations in mind, the ACCC made draft rule advice 5-C that operators should be required to take into account terminating customer contributions in the limited circumstance of where an operator </w:t>
      </w:r>
      <w:r w:rsidRPr="00D714FC">
        <w:rPr>
          <w:rFonts w:eastAsia="Calibri"/>
        </w:rPr>
        <w:t>imposes either a separate fixed volumetric or non-volumetric infrastructure charge specifically in relation to infrastructure dedicated to the exclusive use of the terminating customer, such as a charge per meter or per outlet</w:t>
      </w:r>
      <w:r>
        <w:rPr>
          <w:rFonts w:eastAsia="Calibri"/>
        </w:rPr>
        <w:t>.</w:t>
      </w:r>
    </w:p>
    <w:p w:rsidR="00F151AC" w:rsidRPr="00D714FC" w:rsidRDefault="00F151AC" w:rsidP="00001CBF">
      <w:pPr>
        <w:spacing w:before="240" w:after="120"/>
        <w:rPr>
          <w:rFonts w:eastAsia="Calibri"/>
        </w:rPr>
      </w:pPr>
      <w:r w:rsidRPr="00D714FC">
        <w:rPr>
          <w:rFonts w:eastAsia="Calibri"/>
        </w:rPr>
        <w:t>The</w:t>
      </w:r>
      <w:r>
        <w:rPr>
          <w:rFonts w:eastAsia="Calibri"/>
        </w:rPr>
        <w:t xml:space="preserve"> ACCC </w:t>
      </w:r>
      <w:r w:rsidR="0083620C">
        <w:rPr>
          <w:rFonts w:eastAsia="Calibri"/>
        </w:rPr>
        <w:t xml:space="preserve">proposed </w:t>
      </w:r>
      <w:r>
        <w:rPr>
          <w:rFonts w:eastAsia="Calibri"/>
        </w:rPr>
        <w:t>that the</w:t>
      </w:r>
      <w:r w:rsidRPr="00D714FC">
        <w:rPr>
          <w:rFonts w:eastAsia="Calibri"/>
        </w:rPr>
        <w:t xml:space="preserve"> termination fee that the infrastructure operator can impose should be </w:t>
      </w:r>
      <w:r>
        <w:rPr>
          <w:rFonts w:eastAsia="Calibri"/>
        </w:rPr>
        <w:t xml:space="preserve">able to include an amount which is </w:t>
      </w:r>
      <w:r w:rsidRPr="00D714FC">
        <w:rPr>
          <w:rFonts w:eastAsia="Calibri"/>
        </w:rPr>
        <w:t>the lesser of:</w:t>
      </w:r>
    </w:p>
    <w:p w:rsidR="00F151AC" w:rsidRPr="00D00370" w:rsidRDefault="002A04F2" w:rsidP="00A82DE6">
      <w:pPr>
        <w:pStyle w:val="Lvl1Bulletpoint"/>
      </w:pPr>
      <w:r>
        <w:t>a</w:t>
      </w:r>
      <w:r w:rsidR="00F151AC" w:rsidRPr="00D00370">
        <w:t>ny capital cost the infrastructure operator can demonstrate it has incurred (i.e. excluding any capital contribution by the customer, government or other party) in relation to the dedicated infrastructure, minus the cumulative amount paid under the relevant infrastructure charge (or other infrastructure charge previously imposed specifically in relation to the dedicated infrastructure); and</w:t>
      </w:r>
    </w:p>
    <w:p w:rsidR="00F151AC" w:rsidRPr="00D00370" w:rsidRDefault="00F151AC" w:rsidP="00A82DE6">
      <w:pPr>
        <w:pStyle w:val="Lvl1Bulletpoint"/>
      </w:pPr>
      <w:r w:rsidRPr="00D00370">
        <w:t>10x the amount of the relevant infrastructure charge (i.e. the separate charge that relates to the specific infrastructure).</w:t>
      </w:r>
    </w:p>
    <w:p w:rsidR="00F151AC" w:rsidRDefault="00F151AC" w:rsidP="00F151AC">
      <w:pPr>
        <w:rPr>
          <w:rFonts w:eastAsia="Calibri"/>
        </w:rPr>
      </w:pPr>
      <w:r>
        <w:rPr>
          <w:rFonts w:eastAsia="Calibri"/>
        </w:rPr>
        <w:t>The ACCC</w:t>
      </w:r>
      <w:r w:rsidR="0083620C">
        <w:rPr>
          <w:rFonts w:eastAsia="Calibri"/>
        </w:rPr>
        <w:t xml:space="preserve">’s rule advice also set out </w:t>
      </w:r>
      <w:r>
        <w:rPr>
          <w:rFonts w:eastAsia="Calibri"/>
        </w:rPr>
        <w:t xml:space="preserve">how an operator </w:t>
      </w:r>
      <w:r w:rsidRPr="00D714FC">
        <w:rPr>
          <w:rFonts w:eastAsia="Calibri"/>
        </w:rPr>
        <w:t xml:space="preserve">should </w:t>
      </w:r>
      <w:r>
        <w:rPr>
          <w:rFonts w:eastAsia="Calibri"/>
        </w:rPr>
        <w:t xml:space="preserve">calculate the relevant termination fee in a situation </w:t>
      </w:r>
      <w:r w:rsidRPr="00D714FC">
        <w:rPr>
          <w:rFonts w:eastAsia="Calibri"/>
        </w:rPr>
        <w:t>where an infrastructure operator levies a separate infrastructure charge in relation to infrastructure used exclusively by the terminating customer, but has not imposed that charge in each year since the cost was initially incurred</w:t>
      </w:r>
      <w:r>
        <w:rPr>
          <w:rFonts w:eastAsia="Calibri"/>
        </w:rPr>
        <w:t xml:space="preserve">. </w:t>
      </w:r>
    </w:p>
    <w:p w:rsidR="00F151AC" w:rsidRPr="00D714FC" w:rsidRDefault="00F151AC" w:rsidP="00F151AC">
      <w:r w:rsidRPr="00D714FC">
        <w:t>Th</w:t>
      </w:r>
      <w:r>
        <w:t>e ACCC maintains that this</w:t>
      </w:r>
      <w:r w:rsidRPr="00D714FC">
        <w:t xml:space="preserve"> </w:t>
      </w:r>
      <w:r>
        <w:t xml:space="preserve">overall </w:t>
      </w:r>
      <w:r w:rsidRPr="00D714FC">
        <w:t xml:space="preserve">approach </w:t>
      </w:r>
      <w:r>
        <w:t xml:space="preserve">appropriately </w:t>
      </w:r>
      <w:r w:rsidRPr="00D714FC">
        <w:t xml:space="preserve">reflects stakeholders’ calls for past contributions to be directly taken into account, for the case where there is infrastructure that is exclusively used by the terminating customer. In this case, termination of the customer’s access to that exclusively used infrastructure </w:t>
      </w:r>
      <w:r w:rsidR="0083620C">
        <w:t xml:space="preserve">is likely to </w:t>
      </w:r>
      <w:r w:rsidRPr="00D714FC">
        <w:t xml:space="preserve">have a </w:t>
      </w:r>
      <w:r w:rsidR="002A04F2">
        <w:t>much</w:t>
      </w:r>
      <w:r w:rsidRPr="00D714FC">
        <w:t xml:space="preserve"> lower (or zero) cost for remaining irrigators and the operator. For example, in the case of a water meter, the operator will not be required to maintain the meter at the terminating irrigator’s property, and may even be able to relocate or resell the metre for use elsewhere.</w:t>
      </w:r>
    </w:p>
    <w:p w:rsidR="00F151AC" w:rsidRDefault="00F151AC" w:rsidP="00001CBF">
      <w:pPr>
        <w:spacing w:after="120"/>
      </w:pPr>
      <w:r>
        <w:t xml:space="preserve">However, the ACCC accepts concerns from operators that the </w:t>
      </w:r>
      <w:r w:rsidR="0083620C">
        <w:t>proposed water charge rule drafting included in the Draft Advice</w:t>
      </w:r>
      <w:r>
        <w:t xml:space="preserve"> could impose significant regulatory burden on operators in the form of requiring detailed record-keeping </w:t>
      </w:r>
      <w:r w:rsidR="0083620C">
        <w:t xml:space="preserve">if the operator wanted to augment the </w:t>
      </w:r>
      <w:r w:rsidR="00B54A84">
        <w:t xml:space="preserve">general </w:t>
      </w:r>
      <w:r w:rsidR="0083620C">
        <w:t>termination fee to include charges for the dedicated infrastructure</w:t>
      </w:r>
      <w:r>
        <w:t>.</w:t>
      </w:r>
      <w:r w:rsidR="006A39DD">
        <w:t xml:space="preserve"> The ACCC also acknowledges that i</w:t>
      </w:r>
      <w:r w:rsidR="002A04F2">
        <w:t>n</w:t>
      </w:r>
      <w:r w:rsidR="006A39DD">
        <w:t xml:space="preserve"> some cases, government contributions to new infrastructure such as meters may have previously been given as part of a broader package which involved the transfer of water savings from the operator to the government.</w:t>
      </w:r>
      <w:r>
        <w:t xml:space="preserve"> The ACCC has adapted its rule advice in this respect to:</w:t>
      </w:r>
    </w:p>
    <w:p w:rsidR="00F151AC" w:rsidRDefault="00FB0D71" w:rsidP="00A82DE6">
      <w:pPr>
        <w:pStyle w:val="Lvl1Bulletpoint"/>
      </w:pPr>
      <w:r>
        <w:t xml:space="preserve">provide </w:t>
      </w:r>
      <w:r w:rsidR="00F151AC">
        <w:t>that</w:t>
      </w:r>
      <w:r w:rsidR="00F151AC" w:rsidDel="00205CF3">
        <w:t xml:space="preserve"> </w:t>
      </w:r>
      <w:r w:rsidR="00F151AC">
        <w:t>only previous contributions made by the terminating customer (rather than all previous contributions, including government contributions</w:t>
      </w:r>
      <w:r w:rsidR="00787C85">
        <w:t>) need to be taken into account;</w:t>
      </w:r>
      <w:r w:rsidR="00F151AC">
        <w:t xml:space="preserve"> </w:t>
      </w:r>
    </w:p>
    <w:p w:rsidR="00F151AC" w:rsidRDefault="00FB0D71" w:rsidP="00A82DE6">
      <w:pPr>
        <w:pStyle w:val="Lvl1Bulletpoint"/>
      </w:pPr>
      <w:r>
        <w:t xml:space="preserve">provide </w:t>
      </w:r>
      <w:r w:rsidR="00F151AC">
        <w:t>that</w:t>
      </w:r>
      <w:r w:rsidR="00F151AC" w:rsidDel="00205CF3">
        <w:t xml:space="preserve"> </w:t>
      </w:r>
      <w:r w:rsidR="00F151AC">
        <w:t>an operator may use a ‘reasonable estimate’ of the cost of the dedicated infrastructure, rather than a more onerous re</w:t>
      </w:r>
      <w:r w:rsidR="00787C85">
        <w:t>quirement to record exact costs; and</w:t>
      </w:r>
      <w:r w:rsidR="00F151AC">
        <w:t xml:space="preserve"> </w:t>
      </w:r>
    </w:p>
    <w:p w:rsidR="00F151AC" w:rsidRDefault="00F151AC" w:rsidP="00A82DE6">
      <w:pPr>
        <w:pStyle w:val="Lvl1Bulletpoint"/>
      </w:pPr>
      <w:r>
        <w:t xml:space="preserve">remove requirements specifying precisely how an operator must calculate the relevant portion of the </w:t>
      </w:r>
      <w:r w:rsidR="00B54A84">
        <w:t xml:space="preserve">general </w:t>
      </w:r>
      <w:r>
        <w:t xml:space="preserve">termination fee in the situation where the operator currently imposes a separate charge for dedicated infrastructure, but did not previously levy that charge for the entire period since costs relating to that infrastructure were first incurred. </w:t>
      </w:r>
    </w:p>
    <w:p w:rsidR="00F151AC" w:rsidRDefault="00F151AC" w:rsidP="00F151AC">
      <w:r>
        <w:t xml:space="preserve">In relation to the final point above, </w:t>
      </w:r>
      <w:r w:rsidR="00787C85">
        <w:t xml:space="preserve">on balance </w:t>
      </w:r>
      <w:r>
        <w:t xml:space="preserve">the ACCC </w:t>
      </w:r>
      <w:r w:rsidR="00FB0D71">
        <w:t>considers this level of detail is more suitable for guidance material, rather than a detailed rule requirement</w:t>
      </w:r>
      <w:r>
        <w:t xml:space="preserve">. The ACCC intends that the guidance will specify that, where an operator seeks to include an amount based on a separate charge for dedicated infrastructure in the </w:t>
      </w:r>
      <w:r w:rsidR="00B54A84">
        <w:t xml:space="preserve">general </w:t>
      </w:r>
      <w:r>
        <w:t xml:space="preserve">termination fee, but has not levied that charge for the full duration since the relevant costs were incurred, an estimate of the terminating customer’s contribution to the dedicated infrastructure that was based on a calculation which assumed the </w:t>
      </w:r>
      <w:r w:rsidRPr="00FB0D71">
        <w:rPr>
          <w:i/>
        </w:rPr>
        <w:t>current</w:t>
      </w:r>
      <w:r>
        <w:t xml:space="preserve"> charge had been levied each year since the costs were incurred would be seen as reasonable under this rule. This approach acknowledges that, prior to the introduction of the separate charge, the costs would have necessarily been recovered via other more general charges (e.g. charges levied on the customer’s water delivery rights). </w:t>
      </w:r>
    </w:p>
    <w:p w:rsidR="00F151AC" w:rsidRDefault="00F151AC" w:rsidP="00F151AC">
      <w:r>
        <w:t>Box</w:t>
      </w:r>
      <w:r w:rsidR="005F3355">
        <w:t xml:space="preserve"> 6.1</w:t>
      </w:r>
      <w:r>
        <w:t xml:space="preserve"> provides an example of how to calculate a </w:t>
      </w:r>
      <w:r w:rsidR="00B54A84">
        <w:t xml:space="preserve">general </w:t>
      </w:r>
      <w:r>
        <w:t>termination fee in respect of dedicated infrastructure, under the revised rule advice.</w:t>
      </w:r>
    </w:p>
    <w:p w:rsidR="00F151AC" w:rsidRPr="00D714FC" w:rsidRDefault="00F151AC" w:rsidP="00711B0B">
      <w:pPr>
        <w:pStyle w:val="Tabletitle"/>
        <w:tabs>
          <w:tab w:val="left" w:pos="993"/>
        </w:tabs>
        <w:rPr>
          <w:szCs w:val="22"/>
        </w:rPr>
      </w:pPr>
      <w:r w:rsidRPr="00D714FC">
        <w:t xml:space="preserve">Box </w:t>
      </w:r>
      <w:r w:rsidR="007F659D">
        <w:rPr>
          <w:noProof/>
        </w:rPr>
        <w:t>6</w:t>
      </w:r>
      <w:r w:rsidRPr="00D714FC">
        <w:t>.</w:t>
      </w:r>
      <w:r w:rsidR="007F659D">
        <w:rPr>
          <w:noProof/>
        </w:rPr>
        <w:t>1</w:t>
      </w:r>
      <w:r>
        <w:t xml:space="preserve"> </w:t>
      </w:r>
      <w:r w:rsidRPr="00D714FC">
        <w:rPr>
          <w:szCs w:val="22"/>
        </w:rPr>
        <w:tab/>
        <w:t>Case study—</w:t>
      </w:r>
      <w:r w:rsidRPr="00D714FC">
        <w:t xml:space="preserve">how to calculate a </w:t>
      </w:r>
      <w:r w:rsidR="00B54A84">
        <w:t xml:space="preserve">general </w:t>
      </w:r>
      <w:r w:rsidRPr="00D714FC">
        <w:t xml:space="preserve">termination fee relating to a separate charge for </w:t>
      </w:r>
      <w:r>
        <w:t>dedicated</w:t>
      </w:r>
      <w:r w:rsidRPr="00D714FC">
        <w:t xml:space="preserve"> infrastructure</w:t>
      </w:r>
    </w:p>
    <w:tbl>
      <w:tblPr>
        <w:tblStyle w:val="TableGrid"/>
        <w:tblW w:w="9322" w:type="dxa"/>
        <w:tblLook w:val="04A0" w:firstRow="1" w:lastRow="0" w:firstColumn="1" w:lastColumn="0" w:noHBand="0" w:noVBand="1"/>
      </w:tblPr>
      <w:tblGrid>
        <w:gridCol w:w="9322"/>
      </w:tblGrid>
      <w:tr w:rsidR="00F151AC" w:rsidRPr="00D714FC" w:rsidTr="00001CBF">
        <w:tc>
          <w:tcPr>
            <w:tcW w:w="9322" w:type="dxa"/>
            <w:shd w:val="clear" w:color="auto" w:fill="D9D9D9" w:themeFill="background1" w:themeFillShade="D9"/>
          </w:tcPr>
          <w:p w:rsidR="00F151AC" w:rsidRPr="00D714FC" w:rsidRDefault="00F151AC" w:rsidP="0083620C">
            <w:pPr>
              <w:pStyle w:val="tabletext"/>
            </w:pPr>
            <w:r w:rsidRPr="00D714FC">
              <w:t xml:space="preserve">Maddie Blake is a customer of ClearWaters Irrigation (CWI). She has 40 ML of water delivery right and two outlets </w:t>
            </w:r>
            <w:r w:rsidR="003E5D76">
              <w:t xml:space="preserve">and </w:t>
            </w:r>
            <w:r w:rsidRPr="00D714FC">
              <w:t xml:space="preserve">decides to terminate part of her right of access, by terminating 30 ML of her water delivery right and one of her two outlets. CWI has a separate charge levied per outlet (from CWI’s channel to the Maddie’s property) set at $100 per outlet (per annum) which has been imposed for 8 years. The full cost of the outlet was $2000 </w:t>
            </w:r>
            <w:r>
              <w:t>(</w:t>
            </w:r>
            <w:r w:rsidRPr="00D714FC">
              <w:t>of which CWI incurred $1500 of capital cost due to an upfront capital contribution of $500 paid by Maddie</w:t>
            </w:r>
            <w:r>
              <w:t>)</w:t>
            </w:r>
            <w:r w:rsidRPr="00D714FC">
              <w:t xml:space="preserve">. </w:t>
            </w:r>
          </w:p>
          <w:p w:rsidR="00F151AC" w:rsidRPr="00D714FC" w:rsidRDefault="00F151AC" w:rsidP="0083620C">
            <w:pPr>
              <w:pStyle w:val="tabletext"/>
            </w:pPr>
            <w:r w:rsidRPr="00D714FC">
              <w:t xml:space="preserve">CWI also has a fixed charge set at $20 per ML of water delivery right held. </w:t>
            </w:r>
          </w:p>
          <w:p w:rsidR="002A04F2" w:rsidRDefault="00F151AC" w:rsidP="0083620C">
            <w:pPr>
              <w:pStyle w:val="tabletext"/>
            </w:pPr>
            <w:r w:rsidRPr="00D714FC">
              <w:t>The</w:t>
            </w:r>
            <w:r>
              <w:t xml:space="preserve"> termination fee base in relation to the fixed charges levied per ML of Maddie’s right of access </w:t>
            </w:r>
            <w:r w:rsidRPr="00D714FC">
              <w:t>would be equal to 30</w:t>
            </w:r>
            <w:r w:rsidR="009745C1">
              <w:t xml:space="preserve"> </w:t>
            </w:r>
            <w:r w:rsidRPr="00D714FC">
              <w:t xml:space="preserve">ML x $20 = $600 and the maximum </w:t>
            </w:r>
            <w:r w:rsidR="00B54A84">
              <w:t xml:space="preserve">general </w:t>
            </w:r>
            <w:r w:rsidRPr="00D714FC">
              <w:t xml:space="preserve">termination fee in relation to the water delivery right terminated would be $6000 (=10 x$600). </w:t>
            </w:r>
          </w:p>
          <w:p w:rsidR="00F151AC" w:rsidRPr="00D714FC" w:rsidRDefault="00F151AC" w:rsidP="0083620C">
            <w:pPr>
              <w:pStyle w:val="tabletext"/>
            </w:pPr>
            <w:r w:rsidRPr="00D714FC">
              <w:t xml:space="preserve">This </w:t>
            </w:r>
            <w:r>
              <w:t xml:space="preserve">termination fee base </w:t>
            </w:r>
            <w:r w:rsidRPr="00D714FC">
              <w:t xml:space="preserve">could then be increased to account for the </w:t>
            </w:r>
            <w:r w:rsidR="00FB0D71">
              <w:t xml:space="preserve">termination of the outlet (as there is a </w:t>
            </w:r>
            <w:r w:rsidRPr="00D714FC">
              <w:t>separate charge payable</w:t>
            </w:r>
            <w:r w:rsidR="00FB0D71">
              <w:t xml:space="preserve"> for this dedicated infrastructure)</w:t>
            </w:r>
            <w:r w:rsidRPr="00D714FC">
              <w:t>. The amount of the increase is calculated as the lesser of:</w:t>
            </w:r>
          </w:p>
          <w:p w:rsidR="00F151AC" w:rsidRPr="00D714FC" w:rsidRDefault="00F151AC" w:rsidP="0083620C">
            <w:pPr>
              <w:pStyle w:val="tabletextindentbullet"/>
            </w:pPr>
            <w:r w:rsidRPr="00910B50">
              <w:t>a rea</w:t>
            </w:r>
            <w:r>
              <w:t xml:space="preserve">sonable estimate of the cost of </w:t>
            </w:r>
            <w:r w:rsidRPr="00910B50">
              <w:t>the</w:t>
            </w:r>
            <w:r>
              <w:t xml:space="preserve"> dedicated</w:t>
            </w:r>
            <w:r w:rsidRPr="00910B50">
              <w:t xml:space="preserve"> infrastructure</w:t>
            </w:r>
            <w:r>
              <w:t>,</w:t>
            </w:r>
            <w:r w:rsidRPr="00910B50">
              <w:t xml:space="preserve"> net of any contribution towards that cost made by the terminating customer</w:t>
            </w:r>
            <w:r w:rsidRPr="00D714FC">
              <w:t xml:space="preserve"> (</w:t>
            </w:r>
            <w:r>
              <w:t xml:space="preserve">=$2000 minus Maddie’s upfront contribution </w:t>
            </w:r>
            <w:r w:rsidRPr="00D714FC">
              <w:t>minus the cumulative amount paid under the relevant infrastructure charge (8 years x $100 per year = $800)</w:t>
            </w:r>
            <w:r>
              <w:t>)</w:t>
            </w:r>
            <w:r w:rsidRPr="00D714FC">
              <w:t xml:space="preserve"> = </w:t>
            </w:r>
            <w:r>
              <w:t xml:space="preserve">$2000 – $500 – $800 = </w:t>
            </w:r>
            <w:r w:rsidRPr="00D714FC">
              <w:t>$700; and</w:t>
            </w:r>
          </w:p>
          <w:p w:rsidR="00F151AC" w:rsidRPr="00D714FC" w:rsidRDefault="00F151AC" w:rsidP="0083620C">
            <w:pPr>
              <w:pStyle w:val="tabletextindentbullet"/>
            </w:pPr>
            <w:r w:rsidRPr="00D714FC">
              <w:t>10x the amount of the relevant infrastructure charge ($100) = $1000.</w:t>
            </w:r>
          </w:p>
          <w:p w:rsidR="00F151AC" w:rsidRPr="00D714FC" w:rsidRDefault="00F151AC" w:rsidP="00FB0D71">
            <w:pPr>
              <w:pStyle w:val="tabletext"/>
            </w:pPr>
            <w:r w:rsidRPr="00D714FC">
              <w:t>The total maximum</w:t>
            </w:r>
            <w:r w:rsidR="00B54A84">
              <w:t xml:space="preserve"> general</w:t>
            </w:r>
            <w:r w:rsidRPr="00D714FC">
              <w:t xml:space="preserve"> termination fee would therefore equal $6700 ($6000 in relation to the water delivery right plus $700 in relation to the outlet). </w:t>
            </w:r>
          </w:p>
        </w:tc>
      </w:tr>
    </w:tbl>
    <w:p w:rsidR="00F151AC" w:rsidRDefault="00F151AC" w:rsidP="00F151AC">
      <w:pPr>
        <w:spacing w:before="120"/>
      </w:pPr>
      <w:r>
        <w:t xml:space="preserve">The ACCC considers that these revisions maintain the broad intent of the </w:t>
      </w:r>
      <w:r w:rsidR="00BF06E1">
        <w:t>D</w:t>
      </w:r>
      <w:r>
        <w:t xml:space="preserve">raft </w:t>
      </w:r>
      <w:r w:rsidR="00BF06E1">
        <w:t>A</w:t>
      </w:r>
      <w:r>
        <w:t xml:space="preserve">dvice—to provide for terminating customers’ prior contributions to be taken into account in limited circumstances—while </w:t>
      </w:r>
      <w:r w:rsidR="00FB0D71">
        <w:t>addressing concerns regarding regulatory costs</w:t>
      </w:r>
      <w:r>
        <w:t>.</w:t>
      </w:r>
      <w:r w:rsidRPr="005E2ECE">
        <w:t xml:space="preserve"> </w:t>
      </w:r>
      <w:r>
        <w:t xml:space="preserve">Finally, the ACCC notes that nothing in this rule </w:t>
      </w:r>
      <w:r>
        <w:rPr>
          <w:i/>
        </w:rPr>
        <w:t xml:space="preserve">requires </w:t>
      </w:r>
      <w:r>
        <w:t>operators to levy a termination fee in relation to where a separate charge is levied for dedicated infrastructure—operators (e.g. GMW) who currently elect not to include non-volumetric charges in termination fees at all may continue to do so.</w:t>
      </w:r>
    </w:p>
    <w:p w:rsidR="00F151AC" w:rsidRDefault="00F151AC" w:rsidP="00D17F9C">
      <w:pPr>
        <w:pStyle w:val="Heading5"/>
      </w:pPr>
      <w:r>
        <w:t>Shadow access fees and e</w:t>
      </w:r>
      <w:r w:rsidRPr="00BB46A0">
        <w:t>ffect of WCTFR on incentives to levy fixed charges</w:t>
      </w:r>
    </w:p>
    <w:p w:rsidR="00F151AC" w:rsidRDefault="00F151AC" w:rsidP="00F151AC">
      <w:r>
        <w:t xml:space="preserve">The ACCC acknowledges that the restriction of </w:t>
      </w:r>
      <w:r w:rsidR="00B54A84">
        <w:t xml:space="preserve">general </w:t>
      </w:r>
      <w:r>
        <w:t xml:space="preserve">termination fees to being based on </w:t>
      </w:r>
      <w:r w:rsidR="003E5D76">
        <w:t xml:space="preserve">actual </w:t>
      </w:r>
      <w:r>
        <w:t xml:space="preserve">fixed charges only </w:t>
      </w:r>
      <w:r w:rsidR="003E5D76">
        <w:t xml:space="preserve">(and not a ‘shadow access fee’) </w:t>
      </w:r>
      <w:r>
        <w:t xml:space="preserve">may, other things equal, increase incentives for operators to increase the proportion of revenue generated from fixed charges. </w:t>
      </w:r>
      <w:r w:rsidR="004834B0">
        <w:t>However, a</w:t>
      </w:r>
      <w:r>
        <w:t xml:space="preserve">s explained in the Draft Advice, </w:t>
      </w:r>
      <w:r w:rsidR="004834B0">
        <w:t xml:space="preserve">most </w:t>
      </w:r>
      <w:r>
        <w:t xml:space="preserve">operators have historically set fixed charges at a level that is considerably </w:t>
      </w:r>
      <w:r w:rsidRPr="002136FB">
        <w:rPr>
          <w:i/>
        </w:rPr>
        <w:t>lower</w:t>
      </w:r>
      <w:r>
        <w:t xml:space="preserve"> than fixed costs, and as such an increased reliance on fixed charges may be consistent with moving towards cost-reflective charging and full cost recovery.</w:t>
      </w:r>
      <w:r>
        <w:rPr>
          <w:rStyle w:val="FootnoteReference"/>
        </w:rPr>
        <w:footnoteReference w:id="720"/>
      </w:r>
      <w:r>
        <w:t xml:space="preserve"> </w:t>
      </w:r>
    </w:p>
    <w:p w:rsidR="00F151AC" w:rsidRDefault="00F151AC" w:rsidP="00D17F9C">
      <w:pPr>
        <w:pStyle w:val="Heading5"/>
      </w:pPr>
      <w:r>
        <w:t>Discounting of termination fees and use of termination fees revenue</w:t>
      </w:r>
    </w:p>
    <w:p w:rsidR="00F151AC" w:rsidRDefault="00F151AC" w:rsidP="00F151AC">
      <w:r>
        <w:t>The ACCC recognises stakeholder view</w:t>
      </w:r>
      <w:r w:rsidR="005B3B96">
        <w:t>s</w:t>
      </w:r>
      <w:r>
        <w:t xml:space="preserve"> that operators should be preventing from discounting termination f</w:t>
      </w:r>
      <w:r w:rsidR="00731AD9">
        <w:t>ees in a range of circumstances, but also contrasting views held by other</w:t>
      </w:r>
      <w:r>
        <w:t xml:space="preserve"> stakeholders that operators </w:t>
      </w:r>
      <w:r>
        <w:rPr>
          <w:i/>
        </w:rPr>
        <w:t>should</w:t>
      </w:r>
      <w:r>
        <w:t xml:space="preserve"> be able to discount termination fees. The ACCC considers that discounting</w:t>
      </w:r>
      <w:r w:rsidR="00071357">
        <w:t xml:space="preserve"> </w:t>
      </w:r>
      <w:r>
        <w:t>/</w:t>
      </w:r>
      <w:r w:rsidR="00071357">
        <w:t xml:space="preserve"> </w:t>
      </w:r>
      <w:r>
        <w:t>waiving termination fees is a matter best left to for individual operators to decide in consultation with their customers</w:t>
      </w:r>
      <w:r w:rsidR="00071357">
        <w:t xml:space="preserve"> and in light of their particular circumstances</w:t>
      </w:r>
      <w:r>
        <w:t>.</w:t>
      </w:r>
    </w:p>
    <w:p w:rsidR="00F151AC" w:rsidRDefault="00F151AC" w:rsidP="00F151AC">
      <w:r>
        <w:t>The ACCC’s monitoring of termination fees show that many operators do currently discount or waive termination fees. The most common reason cited is that termination fees are discounted</w:t>
      </w:r>
      <w:r w:rsidR="00071357">
        <w:t xml:space="preserve"> </w:t>
      </w:r>
      <w:r>
        <w:t>/</w:t>
      </w:r>
      <w:r w:rsidR="00071357">
        <w:t xml:space="preserve"> </w:t>
      </w:r>
      <w:r>
        <w:t xml:space="preserve">waived in situations where termination occurs as part of network rationalisation. The ACCC supports discounting in such circumstances, as this is consistent with the principle that termination fees should only </w:t>
      </w:r>
      <w:r w:rsidR="00071357">
        <w:t>provide for</w:t>
      </w:r>
      <w:r>
        <w:t xml:space="preserve"> ongoing unavoidable costs incurred by the operator for a finite period after termination occurs. Where rationalisation reduces such costs, it is entirely appropriate that termination fees be discounted</w:t>
      </w:r>
      <w:r w:rsidR="00071357">
        <w:t xml:space="preserve"> </w:t>
      </w:r>
      <w:r>
        <w:t>/</w:t>
      </w:r>
      <w:r w:rsidR="00071357">
        <w:t xml:space="preserve"> </w:t>
      </w:r>
      <w:r>
        <w:t>waived.</w:t>
      </w:r>
    </w:p>
    <w:p w:rsidR="00F151AC" w:rsidRDefault="00F151AC" w:rsidP="00F151AC">
      <w:r>
        <w:t xml:space="preserve">The ACCC reiterates that the rules relate to calculation of a </w:t>
      </w:r>
      <w:r>
        <w:rPr>
          <w:i/>
        </w:rPr>
        <w:t>maximum</w:t>
      </w:r>
      <w:r>
        <w:t xml:space="preserve"> termination fee only, and that operators are free to discount</w:t>
      </w:r>
      <w:r w:rsidR="00071357">
        <w:t xml:space="preserve"> </w:t>
      </w:r>
      <w:r>
        <w:t>/</w:t>
      </w:r>
      <w:r w:rsidR="00071357">
        <w:t xml:space="preserve"> </w:t>
      </w:r>
      <w:r>
        <w:t xml:space="preserve">waive termination fees as </w:t>
      </w:r>
      <w:r w:rsidR="00731AD9">
        <w:t xml:space="preserve">they see </w:t>
      </w:r>
      <w:r>
        <w:t xml:space="preserve">fit. </w:t>
      </w:r>
    </w:p>
    <w:p w:rsidR="00F151AC" w:rsidRPr="0066221E" w:rsidRDefault="00F151AC" w:rsidP="00D17F9C">
      <w:pPr>
        <w:pStyle w:val="Heading5"/>
      </w:pPr>
      <w:r w:rsidRPr="00D714FC">
        <w:t xml:space="preserve">Which </w:t>
      </w:r>
      <w:r w:rsidR="00AD6514">
        <w:t>S</w:t>
      </w:r>
      <w:r w:rsidR="00071357">
        <w:t xml:space="preserve">chedule of </w:t>
      </w:r>
      <w:r w:rsidR="00AD6514">
        <w:t>C</w:t>
      </w:r>
      <w:r w:rsidRPr="00D714FC">
        <w:t xml:space="preserve">harges </w:t>
      </w:r>
      <w:r w:rsidR="00071357">
        <w:t xml:space="preserve">should </w:t>
      </w:r>
      <w:r w:rsidRPr="00D714FC">
        <w:t xml:space="preserve">apply when calculating </w:t>
      </w:r>
      <w:r w:rsidR="00B54A84">
        <w:t xml:space="preserve">general </w:t>
      </w:r>
      <w:r w:rsidRPr="00D714FC">
        <w:t>termination fees?</w:t>
      </w:r>
    </w:p>
    <w:p w:rsidR="00F151AC" w:rsidRDefault="00F151AC" w:rsidP="00001CBF">
      <w:pPr>
        <w:spacing w:after="120"/>
      </w:pPr>
      <w:r>
        <w:t>The ACCC</w:t>
      </w:r>
      <w:r w:rsidR="00071357">
        <w:t xml:space="preserve">’s </w:t>
      </w:r>
      <w:r>
        <w:t xml:space="preserve">draft rule advice 6-D was aimed at: </w:t>
      </w:r>
    </w:p>
    <w:p w:rsidR="00F151AC" w:rsidRDefault="00F151AC" w:rsidP="00F43856">
      <w:pPr>
        <w:pStyle w:val="ListParagraph"/>
        <w:keepNext/>
        <w:numPr>
          <w:ilvl w:val="0"/>
          <w:numId w:val="54"/>
        </w:numPr>
      </w:pPr>
      <w:r>
        <w:t xml:space="preserve">providing clarity about which </w:t>
      </w:r>
      <w:r w:rsidR="00AD6514">
        <w:t>S</w:t>
      </w:r>
      <w:r>
        <w:t xml:space="preserve">chedule of </w:t>
      </w:r>
      <w:r w:rsidR="00AD6514">
        <w:t>C</w:t>
      </w:r>
      <w:r>
        <w:t>harges applies when calculating termination fees; and</w:t>
      </w:r>
    </w:p>
    <w:p w:rsidR="00F151AC" w:rsidRDefault="00F151AC" w:rsidP="00F43856">
      <w:pPr>
        <w:pStyle w:val="ListParagraph"/>
        <w:keepNext/>
        <w:numPr>
          <w:ilvl w:val="0"/>
          <w:numId w:val="54"/>
        </w:numPr>
      </w:pPr>
      <w:r>
        <w:t xml:space="preserve">allowing a customer to be able to respond to a new </w:t>
      </w:r>
      <w:r w:rsidR="00AD6514">
        <w:t>S</w:t>
      </w:r>
      <w:r>
        <w:t xml:space="preserve">chedule of </w:t>
      </w:r>
      <w:r w:rsidR="00AD6514">
        <w:t>C</w:t>
      </w:r>
      <w:r>
        <w:t xml:space="preserve">harges by terminating their right of access, without being forced to pay a termination fee based on that new </w:t>
      </w:r>
      <w:r w:rsidR="00AD6514">
        <w:t>S</w:t>
      </w:r>
      <w:r>
        <w:t xml:space="preserve">chedule (noting that such an avenue would be most desirable in a situation where the new </w:t>
      </w:r>
      <w:r w:rsidR="00AD6514">
        <w:t>S</w:t>
      </w:r>
      <w:r>
        <w:t xml:space="preserve">chedule </w:t>
      </w:r>
      <w:r w:rsidR="00071357">
        <w:t xml:space="preserve">increased or </w:t>
      </w:r>
      <w:r>
        <w:t xml:space="preserve">introduced </w:t>
      </w:r>
      <w:r w:rsidR="00071357">
        <w:t>new</w:t>
      </w:r>
      <w:r>
        <w:t xml:space="preserve"> fixed</w:t>
      </w:r>
      <w:r w:rsidR="00071357">
        <w:t xml:space="preserve"> charges</w:t>
      </w:r>
      <w:r>
        <w:t>).</w:t>
      </w:r>
    </w:p>
    <w:p w:rsidR="00F151AC" w:rsidRDefault="00F151AC" w:rsidP="00F151AC">
      <w:r w:rsidRPr="005E2ECE">
        <w:t>The</w:t>
      </w:r>
      <w:r>
        <w:t xml:space="preserve"> ACCC received no submissions challenging its rationale for this draft rule advice, while the VFF and QFF supported it.</w:t>
      </w:r>
    </w:p>
    <w:p w:rsidR="00F151AC" w:rsidRDefault="00F151AC" w:rsidP="00F151AC">
      <w:r>
        <w:t xml:space="preserve">However, the ACCC acknowledges concerns raised by operators </w:t>
      </w:r>
      <w:r w:rsidR="00314E83">
        <w:t xml:space="preserve">during consultation meetings </w:t>
      </w:r>
      <w:r>
        <w:t>about the implementation of th</w:t>
      </w:r>
      <w:r w:rsidR="00071357">
        <w:t>e proposed rules</w:t>
      </w:r>
      <w:r>
        <w:t xml:space="preserve">. In particular, the ACCC </w:t>
      </w:r>
      <w:r w:rsidR="00071357">
        <w:t xml:space="preserve">acknowledges </w:t>
      </w:r>
      <w:r>
        <w:t>concern</w:t>
      </w:r>
      <w:r w:rsidR="00071357">
        <w:t>s</w:t>
      </w:r>
      <w:r>
        <w:t xml:space="preserve"> that the </w:t>
      </w:r>
      <w:r w:rsidR="00071357">
        <w:t xml:space="preserve">proposed </w:t>
      </w:r>
      <w:r>
        <w:t>rules may introduce scope for inadvertent non-compliance because of the several different timing requirements applying to infrastructure operators. Accordingly, the ACCC has amended its rule advice to</w:t>
      </w:r>
      <w:r w:rsidR="00C6733C">
        <w:t xml:space="preserve"> </w:t>
      </w:r>
      <w:r>
        <w:t xml:space="preserve">provide that, other than the “10 day requirement” for certain operators to provide their </w:t>
      </w:r>
      <w:r w:rsidR="00AD6514">
        <w:t>S</w:t>
      </w:r>
      <w:r>
        <w:t xml:space="preserve">chedule of </w:t>
      </w:r>
      <w:r w:rsidR="00AD6514">
        <w:t>C</w:t>
      </w:r>
      <w:r>
        <w:t xml:space="preserve">harges (see section 5.4.2), </w:t>
      </w:r>
      <w:r w:rsidR="004730C2">
        <w:t xml:space="preserve">specific </w:t>
      </w:r>
      <w:r>
        <w:t>time requirements applying to infrastructure operators outside of Part 6 of the rules (regulatory approvals</w:t>
      </w:r>
      <w:r w:rsidR="00071357">
        <w:t xml:space="preserve"> </w:t>
      </w:r>
      <w:r>
        <w:t>/</w:t>
      </w:r>
      <w:r w:rsidR="00071357">
        <w:t xml:space="preserve"> </w:t>
      </w:r>
      <w:r>
        <w:t xml:space="preserve">determinations) will be harmonised to 25 business days. </w:t>
      </w:r>
    </w:p>
    <w:p w:rsidR="0067543A" w:rsidRDefault="00335C1E" w:rsidP="00F151AC">
      <w:r>
        <w:t>Also</w:t>
      </w:r>
      <w:r w:rsidR="00F151AC">
        <w:t xml:space="preserve">, </w:t>
      </w:r>
      <w:r w:rsidR="005632EF">
        <w:t>a</w:t>
      </w:r>
      <w:r w:rsidR="00F151AC">
        <w:t xml:space="preserve">s discussed in section 6.3, the ACCC considers there is merit in providing for a customer to request information on termination fees independently of a decision to actually terminate. In providing for this, the rules must clearly specify how an operator must calculate the maximum termination fee when this situation occurs. The ACCC has adapted rule advice </w:t>
      </w:r>
      <w:r w:rsidR="002A04F2">
        <w:t>6</w:t>
      </w:r>
      <w:r w:rsidR="00F151AC">
        <w:t>-D and the relevant proposed rules to ensure these matters are dealt with.</w:t>
      </w:r>
      <w:r w:rsidR="00D92318">
        <w:t xml:space="preserve"> </w:t>
      </w:r>
    </w:p>
    <w:p w:rsidR="00A9441A" w:rsidRDefault="00D92318" w:rsidP="00F151AC">
      <w:r>
        <w:t xml:space="preserve">In particular, the ACCC </w:t>
      </w:r>
      <w:r w:rsidR="00AE591A">
        <w:t>advises</w:t>
      </w:r>
      <w:r>
        <w:t xml:space="preserve"> that</w:t>
      </w:r>
      <w:r w:rsidR="00077757">
        <w:t>,</w:t>
      </w:r>
      <w:r>
        <w:t xml:space="preserve"> in general</w:t>
      </w:r>
      <w:r w:rsidR="00077757">
        <w:t>,</w:t>
      </w:r>
      <w:r>
        <w:t xml:space="preserve"> the operator should calculate the maximum </w:t>
      </w:r>
      <w:r w:rsidR="000333C8">
        <w:t xml:space="preserve">general </w:t>
      </w:r>
      <w:r>
        <w:t>termination fee using the Schedule of Charges in effect at the time the</w:t>
      </w:r>
      <w:r w:rsidR="0067543A">
        <w:t xml:space="preserve"> customer gives notice terminating or surrendering their right of access, or otherwise requests information about what termination fee</w:t>
      </w:r>
      <w:r w:rsidR="000333C8">
        <w:t>s</w:t>
      </w:r>
      <w:r w:rsidR="0067543A">
        <w:t xml:space="preserve"> would be payable; unless a different Schedule of Charges was </w:t>
      </w:r>
      <w:r w:rsidR="00AA14ED">
        <w:t xml:space="preserve">in effect 25 </w:t>
      </w:r>
      <w:r w:rsidR="009D2C93">
        <w:t xml:space="preserve">business </w:t>
      </w:r>
      <w:r w:rsidR="00AA14ED">
        <w:t>days previously</w:t>
      </w:r>
      <w:r w:rsidR="0067543A">
        <w:t xml:space="preserve"> and using the infrastructure charges set out in that earlier Schedule of Charges</w:t>
      </w:r>
      <w:r w:rsidR="00AA14ED">
        <w:t xml:space="preserve"> would produce a lower</w:t>
      </w:r>
      <w:r w:rsidR="000333C8">
        <w:t xml:space="preserve"> general</w:t>
      </w:r>
      <w:r w:rsidR="00AA14ED">
        <w:t xml:space="preserve"> termination fee</w:t>
      </w:r>
      <w:r w:rsidR="0067543A">
        <w:t xml:space="preserve">. This approach is necessary given operators will no longer be required to ensure customers have </w:t>
      </w:r>
      <w:r w:rsidR="0067543A" w:rsidRPr="0067543A">
        <w:rPr>
          <w:i/>
        </w:rPr>
        <w:t>received</w:t>
      </w:r>
      <w:r w:rsidR="0067543A">
        <w:t xml:space="preserve"> a new Schedule of Charges before those charges can be levied (see section 5.4.2) </w:t>
      </w:r>
      <w:r w:rsidR="00F42B8D">
        <w:t xml:space="preserve">and customers may </w:t>
      </w:r>
      <w:r w:rsidR="00E9473B">
        <w:t xml:space="preserve">therefore </w:t>
      </w:r>
      <w:r w:rsidR="00F42B8D">
        <w:t>only become aware</w:t>
      </w:r>
      <w:r w:rsidR="0067543A">
        <w:t xml:space="preserve"> of significant increases in infrastructure charges relevant to a termination fee</w:t>
      </w:r>
      <w:r w:rsidR="00F42B8D">
        <w:t xml:space="preserve"> after they take effect.</w:t>
      </w:r>
      <w:r>
        <w:t xml:space="preserve"> </w:t>
      </w:r>
      <w:r w:rsidR="009D2C93">
        <w:t>Beyond this</w:t>
      </w:r>
      <w:r w:rsidR="00F42B8D">
        <w:t xml:space="preserve"> general scenario</w:t>
      </w:r>
      <w:r>
        <w:t>, the ACCC considers that two ‘special cases’ need to be provided for, as follows.</w:t>
      </w:r>
      <w:r w:rsidR="00AA14ED">
        <w:t xml:space="preserve"> </w:t>
      </w:r>
    </w:p>
    <w:p w:rsidR="00D92318" w:rsidRDefault="00A9441A" w:rsidP="00F151AC">
      <w:r>
        <w:t xml:space="preserve">The first </w:t>
      </w:r>
      <w:r w:rsidR="00AA14ED">
        <w:t xml:space="preserve">case </w:t>
      </w:r>
      <w:r>
        <w:t xml:space="preserve">is </w:t>
      </w:r>
      <w:r w:rsidR="00AA14ED">
        <w:t>where the customer terminates / surrenders their right of access by submitting a written notice to the operator</w:t>
      </w:r>
      <w:r>
        <w:t>, and the notice</w:t>
      </w:r>
      <w:r w:rsidR="00F42B8D">
        <w:t xml:space="preserve"> </w:t>
      </w:r>
      <w:r w:rsidR="00AA14ED">
        <w:t xml:space="preserve">specifies a date for the termination / surrender </w:t>
      </w:r>
      <w:r w:rsidR="00F42B8D">
        <w:t xml:space="preserve">to take effect </w:t>
      </w:r>
      <w:r w:rsidR="007919AE">
        <w:t xml:space="preserve">which is </w:t>
      </w:r>
      <w:r w:rsidR="00AA14ED">
        <w:t>more than 6 months</w:t>
      </w:r>
      <w:r w:rsidR="00BC24BF">
        <w:rPr>
          <w:rStyle w:val="FootnoteReference"/>
        </w:rPr>
        <w:footnoteReference w:id="721"/>
      </w:r>
      <w:r w:rsidR="00AA14ED">
        <w:t xml:space="preserve"> after the date they gave </w:t>
      </w:r>
      <w:r w:rsidR="00E9473B">
        <w:t xml:space="preserve">the </w:t>
      </w:r>
      <w:r w:rsidR="00AA14ED">
        <w:t>notice to the operator</w:t>
      </w:r>
      <w:r w:rsidR="00F42B8D">
        <w:t xml:space="preserve">. </w:t>
      </w:r>
      <w:r w:rsidR="00AA14ED">
        <w:t xml:space="preserve">The ACCC notes that in this context, </w:t>
      </w:r>
      <w:r>
        <w:t xml:space="preserve">in making a decision to terminate on a future date, </w:t>
      </w:r>
      <w:r w:rsidR="00AA14ED">
        <w:t xml:space="preserve">the customer </w:t>
      </w:r>
      <w:r>
        <w:t>h</w:t>
      </w:r>
      <w:r w:rsidR="00AA14ED">
        <w:t xml:space="preserve">as </w:t>
      </w:r>
      <w:r>
        <w:t xml:space="preserve">inherently </w:t>
      </w:r>
      <w:r w:rsidR="00AA14ED">
        <w:t xml:space="preserve">already accepted the possibility of a change in the Schedule of Charges. Accordingly, the rationale (described above) for the general requirement for an operator to use a previous recent Schedule of Charges </w:t>
      </w:r>
      <w:r w:rsidR="00F42B8D">
        <w:t>should</w:t>
      </w:r>
      <w:r w:rsidR="00AA14ED">
        <w:t xml:space="preserve"> not apply.</w:t>
      </w:r>
      <w:r w:rsidRPr="00A9441A">
        <w:t xml:space="preserve"> </w:t>
      </w:r>
      <w:r>
        <w:t>Therefore, in this case the operator should simply calculate the general termination fee using the Schedule of Charges in effect at the time of the termination / surrender.</w:t>
      </w:r>
      <w:r>
        <w:rPr>
          <w:rStyle w:val="FootnoteReference"/>
        </w:rPr>
        <w:footnoteReference w:id="722"/>
      </w:r>
    </w:p>
    <w:p w:rsidR="00D9324F" w:rsidRDefault="00D9324F" w:rsidP="00F151AC">
      <w:r>
        <w:t xml:space="preserve">Second, in the case where the </w:t>
      </w:r>
      <w:r>
        <w:rPr>
          <w:i/>
        </w:rPr>
        <w:t>operator</w:t>
      </w:r>
      <w:r>
        <w:t>, rather than the customer, instigates a termination due to a customer’s breach of contract, the operator should calculate the maximum termination fee using the Schedule of Charges in effect at the time when the operator notifies the customer of the termination. In this case, the customer’s consent to the termination is not required</w:t>
      </w:r>
      <w:r w:rsidR="008D4D34">
        <w:t xml:space="preserve">, meaning that there is no customer decision which could be affected by the level of </w:t>
      </w:r>
      <w:r w:rsidR="00F42B8D">
        <w:t xml:space="preserve">infrastructure charges and </w:t>
      </w:r>
      <w:r w:rsidR="008D4D34">
        <w:t xml:space="preserve">the </w:t>
      </w:r>
      <w:r w:rsidR="00F42B8D">
        <w:t xml:space="preserve">resulting maximum </w:t>
      </w:r>
      <w:r w:rsidR="008D4D34">
        <w:t xml:space="preserve">termination fee. Also, the ACCC considers it appropriate given the circumstances that </w:t>
      </w:r>
      <w:r>
        <w:t xml:space="preserve">the operator not be required to use a previous Schedule of Charges (even if that would have produced a lower </w:t>
      </w:r>
      <w:r w:rsidR="000333C8">
        <w:t xml:space="preserve">general </w:t>
      </w:r>
      <w:r>
        <w:t>termination fee).</w:t>
      </w:r>
    </w:p>
    <w:p w:rsidR="00335C1E" w:rsidRDefault="00335C1E" w:rsidP="00335C1E">
      <w:r>
        <w:t>It is important to note that the maximum termination fee calculated is only valid if a termination goes ahead in the subsequent six months (s</w:t>
      </w:r>
      <w:r w:rsidRPr="00335C1E">
        <w:t>ee the subsection titled ‘Timeframe over which information given to a customer is valid’ in section 6.3</w:t>
      </w:r>
      <w:r>
        <w:t xml:space="preserve"> for more detail). This addresses the </w:t>
      </w:r>
      <w:r w:rsidRPr="0005537E">
        <w:t>NIC</w:t>
      </w:r>
      <w:r>
        <w:t xml:space="preserve">’s concern </w:t>
      </w:r>
      <w:r w:rsidRPr="009E0993">
        <w:t xml:space="preserve">that the drafting of </w:t>
      </w:r>
      <w:r>
        <w:t>sub</w:t>
      </w:r>
      <w:r w:rsidRPr="009E0993">
        <w:t xml:space="preserve">rule 72(5)(a) </w:t>
      </w:r>
      <w:r>
        <w:t>(which gave effect to draft rule advice 6-</w:t>
      </w:r>
      <w:r w:rsidR="00191A0D">
        <w:t>D</w:t>
      </w:r>
      <w:r>
        <w:t xml:space="preserve">) </w:t>
      </w:r>
      <w:r w:rsidRPr="009E0993">
        <w:t xml:space="preserve">“reopens the loophole” would allow customers to </w:t>
      </w:r>
      <w:r>
        <w:t>“</w:t>
      </w:r>
      <w:r w:rsidRPr="009E0993">
        <w:t>lock-in</w:t>
      </w:r>
      <w:r>
        <w:t>”</w:t>
      </w:r>
      <w:r w:rsidRPr="009E0993">
        <w:t xml:space="preserve"> a termination fee based on current charges</w:t>
      </w:r>
      <w:r>
        <w:t xml:space="preserve"> years in advance of actual termination. </w:t>
      </w:r>
    </w:p>
    <w:p w:rsidR="00CB6A7C" w:rsidRDefault="00CB6A7C" w:rsidP="00CB6A7C">
      <w:pPr>
        <w:pStyle w:val="Heading3"/>
      </w:pPr>
      <w:bookmarkStart w:id="1311" w:name="_Ref435117232"/>
      <w:bookmarkStart w:id="1312" w:name="_Toc436122321"/>
      <w:bookmarkStart w:id="1313" w:name="_Toc436122816"/>
      <w:bookmarkStart w:id="1314" w:name="_Toc436124171"/>
      <w:bookmarkStart w:id="1315" w:name="_Toc456785828"/>
      <w:bookmarkStart w:id="1316" w:name="_Toc461630739"/>
      <w:r w:rsidRPr="00D714FC">
        <w:t>Effect of the WCTFR on operation of markets for tradeable water rights</w:t>
      </w:r>
      <w:bookmarkEnd w:id="1311"/>
      <w:bookmarkEnd w:id="1312"/>
      <w:bookmarkEnd w:id="1313"/>
      <w:bookmarkEnd w:id="1314"/>
      <w:bookmarkEnd w:id="1315"/>
      <w:bookmarkEnd w:id="1316"/>
    </w:p>
    <w:bookmarkStart w:id="1317" w:name="_Ref434841036"/>
    <w:bookmarkStart w:id="1318" w:name="_Ref434841048"/>
    <w:p w:rsidR="00CB6A7C" w:rsidRPr="00D07E1E" w:rsidRDefault="00D07E1E" w:rsidP="00E40E7A">
      <w:pPr>
        <w:pStyle w:val="Heading4"/>
        <w:spacing w:before="0" w:after="0"/>
      </w:pPr>
      <w:r w:rsidRPr="00D07E1E">
        <w:rPr>
          <w:rFonts w:asciiTheme="minorHAnsi" w:hAnsiTheme="minorHAnsi"/>
          <w:color w:val="FFFFFF" w:themeColor="background1"/>
          <w:sz w:val="18"/>
          <w:szCs w:val="18"/>
        </w:rPr>
        <w:fldChar w:fldCharType="begin"/>
      </w:r>
      <w:r w:rsidRPr="00D07E1E">
        <w:rPr>
          <w:rFonts w:asciiTheme="minorHAnsi" w:hAnsiTheme="minorHAnsi"/>
          <w:color w:val="FFFFFF" w:themeColor="background1"/>
          <w:sz w:val="18"/>
          <w:szCs w:val="18"/>
        </w:rPr>
        <w:instrText xml:space="preserve"> REF _Ref434840359 \h  \* MERGEFORMAT </w:instrText>
      </w:r>
      <w:r w:rsidRPr="00D07E1E">
        <w:rPr>
          <w:rFonts w:asciiTheme="minorHAnsi" w:hAnsiTheme="minorHAnsi"/>
          <w:color w:val="FFFFFF" w:themeColor="background1"/>
          <w:sz w:val="18"/>
          <w:szCs w:val="18"/>
        </w:rPr>
      </w:r>
      <w:r w:rsidRPr="00D07E1E">
        <w:rPr>
          <w:rFonts w:asciiTheme="minorHAnsi" w:hAnsiTheme="minorHAnsi"/>
          <w:color w:val="FFFFFF" w:themeColor="background1"/>
          <w:sz w:val="18"/>
          <w:szCs w:val="18"/>
        </w:rPr>
        <w:fldChar w:fldCharType="separate"/>
      </w:r>
      <w:r w:rsidR="00BD218B" w:rsidRPr="00BD218B">
        <w:rPr>
          <w:rFonts w:asciiTheme="minorHAnsi" w:hAnsiTheme="minorHAnsi"/>
          <w:color w:val="FFFFFF" w:themeColor="background1"/>
          <w:sz w:val="18"/>
          <w:szCs w:val="18"/>
        </w:rPr>
        <w:t>Rule advice</w:t>
      </w:r>
      <w:r w:rsidRPr="00D07E1E">
        <w:rPr>
          <w:rFonts w:asciiTheme="minorHAnsi" w:hAnsiTheme="minorHAnsi"/>
          <w:color w:val="FFFFFF" w:themeColor="background1"/>
          <w:sz w:val="18"/>
          <w:szCs w:val="18"/>
        </w:rPr>
        <w:fldChar w:fldCharType="end"/>
      </w:r>
      <w:r w:rsidR="00C21C88" w:rsidRPr="00D07E1E">
        <w:rPr>
          <w:rFonts w:asciiTheme="minorHAnsi" w:hAnsiTheme="minorHAnsi"/>
          <w:sz w:val="18"/>
        </w:rPr>
        <w:t xml:space="preserve"> </w:t>
      </w:r>
    </w:p>
    <w:tbl>
      <w:tblPr>
        <w:tblStyle w:val="TableGrid"/>
        <w:tblW w:w="0" w:type="auto"/>
        <w:tblLook w:val="04A0" w:firstRow="1" w:lastRow="0" w:firstColumn="1" w:lastColumn="0" w:noHBand="0" w:noVBand="1"/>
      </w:tblPr>
      <w:tblGrid>
        <w:gridCol w:w="9242"/>
      </w:tblGrid>
      <w:tr w:rsidR="00CB6A7C" w:rsidTr="00297F52">
        <w:tc>
          <w:tcPr>
            <w:tcW w:w="9242" w:type="dxa"/>
            <w:tcBorders>
              <w:top w:val="nil"/>
              <w:left w:val="nil"/>
              <w:bottom w:val="nil"/>
              <w:right w:val="nil"/>
            </w:tcBorders>
            <w:shd w:val="clear" w:color="auto" w:fill="D9D9D9" w:themeFill="background1" w:themeFillShade="D9"/>
          </w:tcPr>
          <w:p w:rsidR="00CB6A7C" w:rsidRPr="00D714FC" w:rsidRDefault="00CB6A7C" w:rsidP="00AF7032">
            <w:pPr>
              <w:pStyle w:val="Caption"/>
            </w:pPr>
            <w:bookmarkStart w:id="1319" w:name="_Toc436123475"/>
            <w:bookmarkStart w:id="1320" w:name="_Toc456784159"/>
            <w:bookmarkStart w:id="1321" w:name="_Toc435179095"/>
            <w:bookmarkStart w:id="1322" w:name="_Ref435531434"/>
            <w:bookmarkStart w:id="1323" w:name="_Toc433975441"/>
            <w:bookmarkStart w:id="1324" w:name="_Ref433877568"/>
            <w:r w:rsidRPr="00D714FC">
              <w:t xml:space="preserve">Rule advice </w:t>
            </w:r>
            <w:r w:rsidR="007F659D">
              <w:rPr>
                <w:noProof/>
              </w:rPr>
              <w:t>6</w:t>
            </w:r>
            <w:r>
              <w:noBreakHyphen/>
            </w:r>
            <w:r w:rsidR="007F659D">
              <w:rPr>
                <w:noProof/>
              </w:rPr>
              <w:t>E</w:t>
            </w:r>
            <w:bookmarkEnd w:id="1319"/>
            <w:bookmarkEnd w:id="1320"/>
            <w:bookmarkEnd w:id="1321"/>
            <w:bookmarkEnd w:id="1322"/>
          </w:p>
          <w:p w:rsidR="00CB6A7C" w:rsidRDefault="00CB6A7C" w:rsidP="00297F52">
            <w:pPr>
              <w:pStyle w:val="Heading8"/>
              <w:outlineLvl w:val="7"/>
            </w:pPr>
            <w:bookmarkStart w:id="1325" w:name="_Toc433975442"/>
            <w:bookmarkStart w:id="1326" w:name="_Toc435179096"/>
            <w:bookmarkStart w:id="1327" w:name="_Toc436123476"/>
            <w:bookmarkStart w:id="1328" w:name="_Toc456784160"/>
            <w:bookmarkStart w:id="1329" w:name="Rule_Advice_6E"/>
            <w:r w:rsidRPr="00D714FC">
              <w:t xml:space="preserve">The rules should be amended to provide that, </w:t>
            </w:r>
            <w:r>
              <w:t xml:space="preserve">when calculating the maximum </w:t>
            </w:r>
            <w:r w:rsidR="00F97663">
              <w:t xml:space="preserve">general </w:t>
            </w:r>
            <w:r>
              <w:t>termination fee applicable to a termination</w:t>
            </w:r>
            <w:r w:rsidR="00B417CE">
              <w:t xml:space="preserve"> </w:t>
            </w:r>
            <w:r>
              <w:t>/</w:t>
            </w:r>
            <w:r w:rsidR="00B417CE">
              <w:t xml:space="preserve"> </w:t>
            </w:r>
            <w:r>
              <w:t xml:space="preserve">surrender of a right of access, </w:t>
            </w:r>
            <w:r w:rsidRPr="00D714FC">
              <w:t xml:space="preserve">if an infrastructure operator does not </w:t>
            </w:r>
            <w:r>
              <w:t xml:space="preserve">allow </w:t>
            </w:r>
            <w:r w:rsidRPr="00D714FC">
              <w:t xml:space="preserve">for the trade of water delivery right </w:t>
            </w:r>
            <w:r>
              <w:t xml:space="preserve">(of a kind relevant to the termination) </w:t>
            </w:r>
            <w:r w:rsidRPr="00D714FC">
              <w:t>separately from the trade of a water access right or irrigation right, the multiple applied to the fixed volumetric charge levied per unit of water delivery right or unit of water drainage right should be 1</w:t>
            </w:r>
            <w:r>
              <w:t>x</w:t>
            </w:r>
            <w:r w:rsidRPr="00D714FC">
              <w:t xml:space="preserve"> rather than 10</w:t>
            </w:r>
            <w:r>
              <w:t>x</w:t>
            </w:r>
            <w:r w:rsidRPr="00D714FC">
              <w:t>.</w:t>
            </w:r>
            <w:r w:rsidRPr="0032040A">
              <w:rPr>
                <w:bCs/>
                <w:vertAlign w:val="superscript"/>
              </w:rPr>
              <w:footnoteReference w:id="723"/>
            </w:r>
            <w:bookmarkEnd w:id="1325"/>
            <w:bookmarkEnd w:id="1326"/>
            <w:bookmarkEnd w:id="1327"/>
            <w:bookmarkEnd w:id="1328"/>
          </w:p>
          <w:p w:rsidR="00CB6A7C" w:rsidRPr="00964376" w:rsidRDefault="00CB6A7C" w:rsidP="00297F52">
            <w:pPr>
              <w:pStyle w:val="Heading8"/>
              <w:outlineLvl w:val="7"/>
              <w:rPr>
                <w:sz w:val="18"/>
              </w:rPr>
            </w:pPr>
            <w:bookmarkStart w:id="1330" w:name="_Toc456784161"/>
            <w:r w:rsidRPr="00964376">
              <w:rPr>
                <w:i/>
                <w:sz w:val="18"/>
              </w:rPr>
              <w:t>Note</w:t>
            </w:r>
            <w:r w:rsidRPr="00964376">
              <w:rPr>
                <w:sz w:val="18"/>
              </w:rPr>
              <w:t xml:space="preserve">: </w:t>
            </w:r>
            <w:r w:rsidR="00B417CE" w:rsidRPr="00964376">
              <w:rPr>
                <w:sz w:val="18"/>
              </w:rPr>
              <w:t xml:space="preserve">an operator </w:t>
            </w:r>
            <w:r w:rsidR="005F25EE" w:rsidRPr="00964376">
              <w:rPr>
                <w:sz w:val="18"/>
              </w:rPr>
              <w:t>‘</w:t>
            </w:r>
            <w:r w:rsidR="00B417CE" w:rsidRPr="00964376">
              <w:rPr>
                <w:sz w:val="18"/>
              </w:rPr>
              <w:t>allows for the trade of water delivery right</w:t>
            </w:r>
            <w:r w:rsidR="005F25EE" w:rsidRPr="00964376">
              <w:rPr>
                <w:sz w:val="18"/>
              </w:rPr>
              <w:t>’</w:t>
            </w:r>
            <w:r w:rsidR="00B417CE" w:rsidRPr="00964376">
              <w:rPr>
                <w:sz w:val="18"/>
              </w:rPr>
              <w:t xml:space="preserve"> if </w:t>
            </w:r>
            <w:r w:rsidRPr="00964376">
              <w:rPr>
                <w:sz w:val="18"/>
              </w:rPr>
              <w:t>water delivery right of a kind relevant to the termination is generally permitted to be traded, rather than whether any particular proposed trade of a water delivery right is approved</w:t>
            </w:r>
            <w:r w:rsidR="00B417CE" w:rsidRPr="00964376">
              <w:rPr>
                <w:sz w:val="18"/>
              </w:rPr>
              <w:t xml:space="preserve"> or </w:t>
            </w:r>
            <w:r w:rsidR="00871408" w:rsidRPr="00964376">
              <w:rPr>
                <w:sz w:val="18"/>
              </w:rPr>
              <w:t>not</w:t>
            </w:r>
            <w:r w:rsidRPr="00964376">
              <w:rPr>
                <w:sz w:val="18"/>
              </w:rPr>
              <w:t>.</w:t>
            </w:r>
            <w:bookmarkEnd w:id="1330"/>
          </w:p>
          <w:p w:rsidR="00CB6A7C" w:rsidRPr="004A065E" w:rsidRDefault="00CB6A7C" w:rsidP="00297F52">
            <w:pPr>
              <w:rPr>
                <w:rFonts w:ascii="Verdana" w:eastAsia="Calibri" w:hAnsi="Verdana"/>
                <w:i/>
                <w:sz w:val="18"/>
                <w:szCs w:val="20"/>
              </w:rPr>
            </w:pPr>
            <w:r w:rsidRPr="004A065E">
              <w:rPr>
                <w:rFonts w:ascii="Verdana" w:eastAsia="Calibri" w:hAnsi="Verdana"/>
                <w:i/>
                <w:sz w:val="18"/>
                <w:szCs w:val="20"/>
              </w:rPr>
              <w:t xml:space="preserve">See also </w:t>
            </w:r>
            <w:r w:rsidR="00A52AF4" w:rsidRPr="004A065E">
              <w:rPr>
                <w:rFonts w:ascii="Verdana" w:eastAsia="Calibri" w:hAnsi="Verdana"/>
                <w:i/>
                <w:sz w:val="18"/>
                <w:szCs w:val="20"/>
              </w:rPr>
              <w:t>r</w:t>
            </w:r>
            <w:r w:rsidRPr="004A065E">
              <w:rPr>
                <w:rFonts w:ascii="Verdana" w:eastAsia="Calibri" w:hAnsi="Verdana"/>
                <w:i/>
                <w:sz w:val="18"/>
                <w:szCs w:val="20"/>
              </w:rPr>
              <w:t>ule advice 6-F.</w:t>
            </w:r>
          </w:p>
          <w:p w:rsidR="00CB6A7C" w:rsidRPr="00C644EB" w:rsidRDefault="00CB6A7C" w:rsidP="00C644EB">
            <w:pPr>
              <w:pStyle w:val="Heading8"/>
              <w:spacing w:before="120"/>
              <w:outlineLvl w:val="7"/>
              <w:rPr>
                <w:rFonts w:ascii="Times New Roman" w:hAnsi="Times New Roman"/>
              </w:rPr>
            </w:pPr>
            <w:bookmarkStart w:id="1331" w:name="_Toc436123477"/>
            <w:bookmarkStart w:id="1332" w:name="_Toc456784162"/>
            <w:r w:rsidRPr="00C644EB">
              <w:rPr>
                <w:rFonts w:ascii="Times New Roman" w:hAnsi="Times New Roman"/>
              </w:rPr>
              <w:t xml:space="preserve">This rule advice is implemented in </w:t>
            </w:r>
            <w:r w:rsidR="00A52AF4" w:rsidRPr="00C644EB">
              <w:rPr>
                <w:rFonts w:ascii="Times New Roman" w:hAnsi="Times New Roman"/>
              </w:rPr>
              <w:t>r</w:t>
            </w:r>
            <w:r w:rsidRPr="00C644EB">
              <w:rPr>
                <w:rFonts w:ascii="Times New Roman" w:hAnsi="Times New Roman"/>
              </w:rPr>
              <w:t xml:space="preserve">ule 72 of the proposed </w:t>
            </w:r>
            <w:r w:rsidR="00222D0D" w:rsidRPr="00C644EB">
              <w:rPr>
                <w:rFonts w:ascii="Times New Roman" w:hAnsi="Times New Roman"/>
              </w:rPr>
              <w:t>W</w:t>
            </w:r>
            <w:r w:rsidRPr="00C644EB">
              <w:rPr>
                <w:rFonts w:ascii="Times New Roman" w:hAnsi="Times New Roman"/>
              </w:rPr>
              <w:t xml:space="preserve">ater </w:t>
            </w:r>
            <w:r w:rsidR="00222D0D" w:rsidRPr="00C644EB">
              <w:rPr>
                <w:rFonts w:ascii="Times New Roman" w:hAnsi="Times New Roman"/>
              </w:rPr>
              <w:t>C</w:t>
            </w:r>
            <w:r w:rsidRPr="00C644EB">
              <w:rPr>
                <w:rFonts w:ascii="Times New Roman" w:hAnsi="Times New Roman"/>
              </w:rPr>
              <w:t xml:space="preserve">harge </w:t>
            </w:r>
            <w:r w:rsidR="00222D0D" w:rsidRPr="00C644EB">
              <w:rPr>
                <w:rFonts w:ascii="Times New Roman" w:hAnsi="Times New Roman"/>
              </w:rPr>
              <w:t>R</w:t>
            </w:r>
            <w:r w:rsidRPr="00C644EB">
              <w:rPr>
                <w:rFonts w:ascii="Times New Roman" w:hAnsi="Times New Roman"/>
              </w:rPr>
              <w:t>ules.</w:t>
            </w:r>
            <w:bookmarkEnd w:id="1329"/>
            <w:bookmarkEnd w:id="1331"/>
            <w:bookmarkEnd w:id="1332"/>
          </w:p>
        </w:tc>
      </w:tr>
    </w:tbl>
    <w:bookmarkEnd w:id="1317"/>
    <w:bookmarkEnd w:id="1318"/>
    <w:bookmarkEnd w:id="1323"/>
    <w:bookmarkEnd w:id="1324"/>
    <w:p w:rsidR="00CB6A7C" w:rsidRPr="006246A8" w:rsidRDefault="00CB6A7C" w:rsidP="00077757">
      <w:pPr>
        <w:pStyle w:val="Heading4"/>
      </w:pPr>
      <w:r>
        <w:t>Background</w:t>
      </w:r>
    </w:p>
    <w:p w:rsidR="00CB6A7C" w:rsidRPr="009354C7" w:rsidRDefault="00CB6A7C" w:rsidP="00CB6A7C">
      <w:pPr>
        <w:rPr>
          <w:rFonts w:eastAsia="Calibri"/>
        </w:rPr>
      </w:pPr>
      <w:r w:rsidRPr="009354C7">
        <w:rPr>
          <w:rFonts w:eastAsia="Calibri"/>
        </w:rPr>
        <w:t xml:space="preserve">The ACCC noted in its Draft Advice that termination fees affect supply and demand for tradeable water rights in different ways depending on the right in question. </w:t>
      </w:r>
    </w:p>
    <w:p w:rsidR="00CB6A7C" w:rsidRPr="00E40DB8" w:rsidRDefault="00CB6A7C" w:rsidP="00CB6A7C">
      <w:pPr>
        <w:rPr>
          <w:rFonts w:eastAsia="Calibri"/>
          <w:i/>
        </w:rPr>
      </w:pPr>
      <w:r w:rsidRPr="00E40DB8">
        <w:rPr>
          <w:rFonts w:eastAsia="Calibri"/>
          <w:i/>
        </w:rPr>
        <w:t>Trade of water access rights</w:t>
      </w:r>
    </w:p>
    <w:p w:rsidR="00CB6A7C" w:rsidRPr="00D179B6" w:rsidRDefault="00CB6A7C" w:rsidP="00CB6A7C">
      <w:pPr>
        <w:rPr>
          <w:rFonts w:eastAsia="Calibri"/>
        </w:rPr>
      </w:pPr>
      <w:r>
        <w:rPr>
          <w:rFonts w:eastAsia="Calibri"/>
        </w:rPr>
        <w:t>T</w:t>
      </w:r>
      <w:r w:rsidRPr="00D179B6">
        <w:rPr>
          <w:rFonts w:eastAsia="Calibri"/>
        </w:rPr>
        <w:t xml:space="preserve">he ACCC </w:t>
      </w:r>
      <w:r>
        <w:rPr>
          <w:rFonts w:eastAsia="Calibri"/>
        </w:rPr>
        <w:t xml:space="preserve">considered </w:t>
      </w:r>
      <w:r w:rsidRPr="00D179B6">
        <w:rPr>
          <w:rFonts w:eastAsia="Calibri"/>
        </w:rPr>
        <w:t>that</w:t>
      </w:r>
      <w:r>
        <w:rPr>
          <w:rFonts w:eastAsia="Calibri"/>
        </w:rPr>
        <w:t>,</w:t>
      </w:r>
      <w:r w:rsidRPr="00D179B6">
        <w:rPr>
          <w:rFonts w:eastAsia="Calibri"/>
        </w:rPr>
        <w:t xml:space="preserve"> while the relationship between termination fees and trade of water access rights (including water access entitlements</w:t>
      </w:r>
      <w:r w:rsidR="005C776C">
        <w:rPr>
          <w:rFonts w:eastAsia="Calibri"/>
        </w:rPr>
        <w:t xml:space="preserve"> (WAEs)</w:t>
      </w:r>
      <w:r w:rsidRPr="00D179B6">
        <w:rPr>
          <w:rFonts w:eastAsia="Calibri"/>
        </w:rPr>
        <w:t xml:space="preserve"> and water allocations) is complex, termination fees currently do not amount to a distortion on trade of these rights.</w:t>
      </w:r>
      <w:r w:rsidRPr="00D179B6">
        <w:rPr>
          <w:rStyle w:val="FootnoteReference"/>
          <w:rFonts w:eastAsia="Calibri"/>
        </w:rPr>
        <w:footnoteReference w:id="724"/>
      </w:r>
      <w:r w:rsidRPr="00D179B6">
        <w:rPr>
          <w:rFonts w:eastAsia="Calibri"/>
        </w:rPr>
        <w:t xml:space="preserve"> Given this assessment, the ACCC maintained its view that the </w:t>
      </w:r>
      <w:r>
        <w:rPr>
          <w:rFonts w:eastAsia="Calibri"/>
        </w:rPr>
        <w:t xml:space="preserve">current </w:t>
      </w:r>
      <w:r w:rsidRPr="00D179B6">
        <w:rPr>
          <w:rFonts w:eastAsia="Calibri"/>
        </w:rPr>
        <w:t xml:space="preserve">level of the termination fee multiple should not be altered based on an argument that it produces termination fees which are trade-distorting. </w:t>
      </w:r>
      <w:r>
        <w:rPr>
          <w:rFonts w:eastAsia="Calibri"/>
        </w:rPr>
        <w:t xml:space="preserve">However, </w:t>
      </w:r>
      <w:r w:rsidRPr="00D179B6">
        <w:rPr>
          <w:rFonts w:eastAsia="Calibri"/>
        </w:rPr>
        <w:t>this assessment should not preclude a re-assessment of the level of the termination fee multiple at a future date.</w:t>
      </w:r>
      <w:r>
        <w:rPr>
          <w:rFonts w:eastAsia="Calibri"/>
        </w:rPr>
        <w:t xml:space="preserve"> The ACCC maintains that this assessment is appropriate in its Final Advice.</w:t>
      </w:r>
    </w:p>
    <w:p w:rsidR="00CB6A7C" w:rsidRPr="00E40DB8" w:rsidRDefault="00CB6A7C" w:rsidP="00CB6A7C">
      <w:pPr>
        <w:rPr>
          <w:rFonts w:eastAsia="Calibri"/>
          <w:i/>
        </w:rPr>
      </w:pPr>
      <w:r w:rsidRPr="00E40DB8">
        <w:rPr>
          <w:rFonts w:eastAsia="Calibri"/>
          <w:i/>
        </w:rPr>
        <w:t>Trade of water delivery rights</w:t>
      </w:r>
    </w:p>
    <w:p w:rsidR="00CB6A7C" w:rsidRPr="00D179B6" w:rsidRDefault="00CB6A7C" w:rsidP="00CB6A7C">
      <w:pPr>
        <w:rPr>
          <w:rFonts w:eastAsia="Calibri"/>
        </w:rPr>
      </w:pPr>
      <w:r w:rsidRPr="00D179B6">
        <w:rPr>
          <w:rFonts w:eastAsia="Calibri"/>
        </w:rPr>
        <w:t>The Draft Advice also described in detail the relationship between termination fees and trade of water delivery rights.</w:t>
      </w:r>
      <w:r w:rsidRPr="00D179B6">
        <w:rPr>
          <w:rStyle w:val="FootnoteReference"/>
          <w:rFonts w:eastAsia="Calibri"/>
        </w:rPr>
        <w:footnoteReference w:id="725"/>
      </w:r>
      <w:r w:rsidRPr="00D179B6">
        <w:rPr>
          <w:rFonts w:eastAsia="Calibri"/>
        </w:rPr>
        <w:t xml:space="preserve"> In particular, the ACCC noted that </w:t>
      </w:r>
      <w:r>
        <w:rPr>
          <w:rFonts w:eastAsia="Calibri"/>
        </w:rPr>
        <w:t>t</w:t>
      </w:r>
      <w:r w:rsidRPr="00D179B6">
        <w:rPr>
          <w:rFonts w:eastAsia="Calibri"/>
        </w:rPr>
        <w:t>he ability for a</w:t>
      </w:r>
      <w:r w:rsidR="00CE2B9A">
        <w:rPr>
          <w:rFonts w:eastAsia="Calibri"/>
        </w:rPr>
        <w:t xml:space="preserve"> customer</w:t>
      </w:r>
      <w:r w:rsidRPr="00D179B6">
        <w:rPr>
          <w:rFonts w:eastAsia="Calibri"/>
        </w:rPr>
        <w:t xml:space="preserve"> to trade water delivery right to another irrigator within </w:t>
      </w:r>
      <w:r w:rsidR="00CE2B9A">
        <w:rPr>
          <w:rFonts w:eastAsia="Calibri"/>
        </w:rPr>
        <w:t>an operator</w:t>
      </w:r>
      <w:r w:rsidRPr="00D179B6">
        <w:rPr>
          <w:rFonts w:eastAsia="Calibri"/>
        </w:rPr>
        <w:t>’s network (or to a new entrant) provides</w:t>
      </w:r>
      <w:r w:rsidRPr="00D179B6">
        <w:t xml:space="preserve"> a much less costly alternative to termination for </w:t>
      </w:r>
      <w:r w:rsidR="00CE2B9A">
        <w:t>customers</w:t>
      </w:r>
      <w:r w:rsidR="00CE2B9A" w:rsidRPr="00D179B6">
        <w:t xml:space="preserve"> </w:t>
      </w:r>
      <w:r w:rsidRPr="00D179B6">
        <w:t xml:space="preserve">wishing to reduce their water delivery right holdings. </w:t>
      </w:r>
    </w:p>
    <w:p w:rsidR="00CB6A7C" w:rsidRPr="00D179B6" w:rsidRDefault="00CB6A7C" w:rsidP="00CB6A7C">
      <w:pPr>
        <w:rPr>
          <w:rFonts w:eastAsia="Calibri"/>
        </w:rPr>
      </w:pPr>
      <w:r w:rsidRPr="00D179B6">
        <w:rPr>
          <w:rFonts w:eastAsia="Calibri"/>
        </w:rPr>
        <w:t xml:space="preserve">However, currently markets for water delivery rights are in general not well-developed. The ACCC strongly endorses the development of robust water delivery right markets (within an </w:t>
      </w:r>
      <w:r w:rsidR="00CE2B9A">
        <w:rPr>
          <w:rFonts w:eastAsia="Calibri"/>
        </w:rPr>
        <w:t>operator</w:t>
      </w:r>
      <w:r w:rsidRPr="00D179B6">
        <w:rPr>
          <w:rFonts w:eastAsia="Calibri"/>
        </w:rPr>
        <w:t xml:space="preserve">’s network) to facilitate flexible management of the network, enhance the ability of </w:t>
      </w:r>
      <w:r w:rsidR="00CE2B9A">
        <w:rPr>
          <w:rFonts w:eastAsia="Calibri"/>
        </w:rPr>
        <w:t>customers</w:t>
      </w:r>
      <w:r w:rsidRPr="00D179B6">
        <w:rPr>
          <w:rFonts w:eastAsia="Calibri"/>
        </w:rPr>
        <w:t xml:space="preserve"> to deal flexibly with their tradeable water rights.</w:t>
      </w:r>
    </w:p>
    <w:p w:rsidR="00CB6A7C" w:rsidRDefault="00CB6A7C" w:rsidP="00CB6A7C">
      <w:pPr>
        <w:rPr>
          <w:rFonts w:eastAsia="Calibri"/>
        </w:rPr>
      </w:pPr>
      <w:r w:rsidRPr="00D179B6">
        <w:rPr>
          <w:rFonts w:eastAsia="Calibri"/>
        </w:rPr>
        <w:t xml:space="preserve">The ACCC further noted that the existence of willing buyers and sellers is not necessarily sufficient to ensure that robust water delivery right markets emerge. In particular, an operator has incentive to prevent such trades </w:t>
      </w:r>
      <w:r>
        <w:rPr>
          <w:rFonts w:eastAsia="Calibri"/>
        </w:rPr>
        <w:t xml:space="preserve">(or even disallow trade altogether) </w:t>
      </w:r>
      <w:r w:rsidRPr="00D179B6">
        <w:rPr>
          <w:rFonts w:eastAsia="Calibri"/>
        </w:rPr>
        <w:t>in order to benefit from payment of termination fees by the terminating customer, and then issue “new” water delivery right to those wishing to acquire these rights. The ACCC consider</w:t>
      </w:r>
      <w:r>
        <w:rPr>
          <w:rFonts w:eastAsia="Calibri"/>
        </w:rPr>
        <w:t>ed</w:t>
      </w:r>
      <w:r w:rsidRPr="00D179B6">
        <w:rPr>
          <w:rFonts w:eastAsia="Calibri"/>
        </w:rPr>
        <w:t xml:space="preserve"> that actions by operators to unreasonably restrict, or disallow altogether, trade of water delivery rights cause detriment to the operator’s customers and should be prohibited.</w:t>
      </w:r>
      <w:r w:rsidR="002A04F2" w:rsidRPr="00D179B6">
        <w:rPr>
          <w:rStyle w:val="FootnoteReference"/>
          <w:rFonts w:eastAsia="Calibri"/>
        </w:rPr>
        <w:footnoteReference w:id="726"/>
      </w:r>
      <w:r w:rsidRPr="00D179B6">
        <w:rPr>
          <w:rFonts w:eastAsia="Calibri"/>
        </w:rPr>
        <w:t xml:space="preserve"> </w:t>
      </w:r>
    </w:p>
    <w:p w:rsidR="00CB6A7C" w:rsidRPr="00D179B6" w:rsidRDefault="00CB6A7C" w:rsidP="00CB6A7C">
      <w:pPr>
        <w:rPr>
          <w:rFonts w:eastAsia="Calibri"/>
        </w:rPr>
      </w:pPr>
      <w:r w:rsidRPr="00D179B6">
        <w:rPr>
          <w:rFonts w:eastAsia="Calibri"/>
        </w:rPr>
        <w:t xml:space="preserve">Accordingly, the ACCC </w:t>
      </w:r>
      <w:r>
        <w:rPr>
          <w:rFonts w:eastAsia="Calibri"/>
        </w:rPr>
        <w:t>made draft rule advice 6-E</w:t>
      </w:r>
      <w:r w:rsidRPr="00D179B6">
        <w:rPr>
          <w:rFonts w:eastAsia="Calibri"/>
        </w:rPr>
        <w:t xml:space="preserve"> that operators who do not provide for the trade of water delivery right within their networks should have their maximum termination fee </w:t>
      </w:r>
      <w:r w:rsidR="002A04F2">
        <w:rPr>
          <w:rFonts w:eastAsia="Calibri"/>
        </w:rPr>
        <w:t xml:space="preserve">multiple </w:t>
      </w:r>
      <w:r w:rsidRPr="00D179B6">
        <w:rPr>
          <w:rFonts w:eastAsia="Calibri"/>
        </w:rPr>
        <w:t xml:space="preserve">capped at 1 times (instead of 10 times). Further, </w:t>
      </w:r>
      <w:r>
        <w:rPr>
          <w:rFonts w:eastAsia="Calibri"/>
        </w:rPr>
        <w:t xml:space="preserve">in draft rule advice 6-F (discussed in section 6.3), the ACCC advised that </w:t>
      </w:r>
      <w:r w:rsidRPr="00D179B6">
        <w:rPr>
          <w:rFonts w:eastAsia="Calibri"/>
        </w:rPr>
        <w:t>operators should be required to inform a customer of their policies and opportunities for trade of water delivery right</w:t>
      </w:r>
      <w:r w:rsidR="00CE2B9A">
        <w:rPr>
          <w:rFonts w:eastAsia="Calibri"/>
        </w:rPr>
        <w:t xml:space="preserve"> </w:t>
      </w:r>
      <w:r w:rsidR="00CE2B9A" w:rsidRPr="00D179B6">
        <w:rPr>
          <w:rFonts w:eastAsia="Calibri"/>
        </w:rPr>
        <w:t xml:space="preserve">upon receiving notification of an intention to terminate, </w:t>
      </w:r>
      <w:r w:rsidR="00CE2B9A">
        <w:rPr>
          <w:rFonts w:eastAsia="Calibri"/>
        </w:rPr>
        <w:t>or request for information about the termination fee payable</w:t>
      </w:r>
      <w:r w:rsidRPr="00D179B6">
        <w:rPr>
          <w:rFonts w:eastAsia="Calibri"/>
        </w:rPr>
        <w:t>.</w:t>
      </w:r>
    </w:p>
    <w:p w:rsidR="00CB6A7C" w:rsidRDefault="00CB6A7C" w:rsidP="00CB6A7C">
      <w:r w:rsidRPr="00D179B6">
        <w:t>The ACCC note</w:t>
      </w:r>
      <w:r>
        <w:t>d</w:t>
      </w:r>
      <w:r w:rsidRPr="00D179B6">
        <w:t xml:space="preserve"> that trade of a water delivery right requires that the water delivery right is able to be separated from the water access right or irrigation right. Thus, </w:t>
      </w:r>
      <w:r>
        <w:t xml:space="preserve">draft </w:t>
      </w:r>
      <w:r w:rsidRPr="00D179B6">
        <w:t>rule advice 6-</w:t>
      </w:r>
      <w:r>
        <w:t>E</w:t>
      </w:r>
      <w:r w:rsidRPr="00D179B6">
        <w:t xml:space="preserve"> would not apply to a right of access to water service infrastructure which is implied into a water access right (for example, WAEs generally have an implied right to delivery on-river which cannot </w:t>
      </w:r>
      <w:r w:rsidR="00CE2B9A">
        <w:t xml:space="preserve">currently </w:t>
      </w:r>
      <w:r w:rsidRPr="00D179B6">
        <w:t>be separated from the right to water).</w:t>
      </w:r>
      <w:r w:rsidRPr="00466823">
        <w:rPr>
          <w:rFonts w:eastAsia="Calibri"/>
        </w:rPr>
        <w:t xml:space="preserve"> </w:t>
      </w:r>
    </w:p>
    <w:p w:rsidR="00CB6A7C" w:rsidRPr="00C70133" w:rsidRDefault="00CB6A7C" w:rsidP="00A67A15">
      <w:pPr>
        <w:pStyle w:val="Heading4"/>
      </w:pPr>
      <w:r w:rsidRPr="00C70133">
        <w:t>Stakeholder feedback</w:t>
      </w:r>
    </w:p>
    <w:p w:rsidR="00CB6A7C" w:rsidRPr="00C70133" w:rsidRDefault="00CB6A7C" w:rsidP="00CB6A7C">
      <w:pPr>
        <w:rPr>
          <w:rFonts w:eastAsia="Calibri"/>
        </w:rPr>
      </w:pPr>
      <w:r w:rsidRPr="00C70133">
        <w:rPr>
          <w:rFonts w:eastAsia="Calibri"/>
        </w:rPr>
        <w:t xml:space="preserve">Some submissions </w:t>
      </w:r>
      <w:r>
        <w:rPr>
          <w:rFonts w:eastAsia="Calibri"/>
        </w:rPr>
        <w:t xml:space="preserve">to the Issues Paper </w:t>
      </w:r>
      <w:r w:rsidRPr="00C70133">
        <w:rPr>
          <w:rFonts w:eastAsia="Calibri"/>
        </w:rPr>
        <w:t>stated that there was no evidence that the current approach to termination fees is impeding water markets, and therefore there is no need to change the existing approach.</w:t>
      </w:r>
      <w:r w:rsidRPr="00C70133">
        <w:rPr>
          <w:rStyle w:val="FootnoteReference"/>
          <w:rFonts w:eastAsia="Calibri"/>
        </w:rPr>
        <w:footnoteReference w:id="727"/>
      </w:r>
      <w:r w:rsidR="00C6733C">
        <w:rPr>
          <w:rFonts w:eastAsia="Calibri"/>
        </w:rPr>
        <w:t xml:space="preserve"> </w:t>
      </w:r>
      <w:r w:rsidRPr="00C70133">
        <w:rPr>
          <w:rFonts w:eastAsia="Calibri"/>
        </w:rPr>
        <w:t xml:space="preserve">One submission to the Issues Paper noted that the intent of termination fees is not to facilitate water trade, but rather to reduce the burden on the </w:t>
      </w:r>
      <w:r w:rsidR="00CE2B9A">
        <w:rPr>
          <w:rFonts w:eastAsia="Calibri"/>
        </w:rPr>
        <w:t>operator</w:t>
      </w:r>
      <w:r w:rsidR="00CE2B9A" w:rsidRPr="00C70133">
        <w:rPr>
          <w:rFonts w:eastAsia="Calibri"/>
        </w:rPr>
        <w:t xml:space="preserve"> </w:t>
      </w:r>
      <w:r w:rsidRPr="00C70133">
        <w:rPr>
          <w:rFonts w:eastAsia="Calibri"/>
        </w:rPr>
        <w:t>and remaining customers.</w:t>
      </w:r>
      <w:r w:rsidRPr="00C70133">
        <w:rPr>
          <w:rStyle w:val="FootnoteReference"/>
          <w:rFonts w:eastAsia="Calibri"/>
        </w:rPr>
        <w:footnoteReference w:id="728"/>
      </w:r>
      <w:r w:rsidRPr="00C70133">
        <w:rPr>
          <w:rFonts w:eastAsia="Calibri"/>
        </w:rPr>
        <w:t xml:space="preserve"> </w:t>
      </w:r>
    </w:p>
    <w:p w:rsidR="00CB6A7C" w:rsidRPr="00C70133" w:rsidRDefault="00CB6A7C" w:rsidP="00CB6A7C">
      <w:pPr>
        <w:rPr>
          <w:rFonts w:eastAsia="Calibri"/>
        </w:rPr>
      </w:pPr>
      <w:r w:rsidRPr="00C70133">
        <w:rPr>
          <w:rFonts w:eastAsia="Calibri"/>
        </w:rPr>
        <w:t>One stakeholder noted that termination fees are facilitating the efficient functioning of water markets but called for greater consistency in the units used to define water delivery rights to improve the comparability of termination fees across operators.</w:t>
      </w:r>
      <w:r w:rsidRPr="00C70133">
        <w:rPr>
          <w:rStyle w:val="FootnoteReference"/>
          <w:rFonts w:eastAsia="Calibri"/>
        </w:rPr>
        <w:footnoteReference w:id="729"/>
      </w:r>
      <w:r w:rsidRPr="00C70133">
        <w:rPr>
          <w:rFonts w:eastAsia="Calibri"/>
        </w:rPr>
        <w:t xml:space="preserve"> </w:t>
      </w:r>
    </w:p>
    <w:p w:rsidR="00CB6A7C" w:rsidRDefault="00CB6A7C" w:rsidP="00CB6A7C">
      <w:pPr>
        <w:rPr>
          <w:rFonts w:eastAsia="Calibri"/>
        </w:rPr>
      </w:pPr>
      <w:r w:rsidRPr="00C70133">
        <w:t xml:space="preserve">Two submissions </w:t>
      </w:r>
      <w:r w:rsidRPr="00C70133">
        <w:rPr>
          <w:rFonts w:eastAsia="Calibri"/>
        </w:rPr>
        <w:t>also noted that termination is not the only option available to an irrigator who seeks to discontinue its access to their irrigation networks.</w:t>
      </w:r>
      <w:r w:rsidRPr="00C70133">
        <w:rPr>
          <w:rStyle w:val="FootnoteReference"/>
          <w:rFonts w:eastAsia="Calibri"/>
        </w:rPr>
        <w:footnoteReference w:id="730"/>
      </w:r>
      <w:r w:rsidRPr="00C70133">
        <w:rPr>
          <w:rFonts w:eastAsia="Calibri"/>
        </w:rPr>
        <w:t xml:space="preserve"> One submission to the </w:t>
      </w:r>
      <w:r w:rsidR="000440F3" w:rsidRPr="000440F3">
        <w:rPr>
          <w:rFonts w:eastAsia="Calibri"/>
          <w:i/>
        </w:rPr>
        <w:t xml:space="preserve">Water </w:t>
      </w:r>
      <w:r w:rsidRPr="000440F3">
        <w:rPr>
          <w:rFonts w:eastAsia="Calibri"/>
          <w:i/>
        </w:rPr>
        <w:t xml:space="preserve">Act </w:t>
      </w:r>
      <w:r w:rsidR="000440F3" w:rsidRPr="000440F3">
        <w:rPr>
          <w:rFonts w:eastAsia="Calibri"/>
          <w:i/>
        </w:rPr>
        <w:t>2007</w:t>
      </w:r>
      <w:r w:rsidR="000440F3">
        <w:rPr>
          <w:rFonts w:eastAsia="Calibri"/>
        </w:rPr>
        <w:t xml:space="preserve"> (the Act) </w:t>
      </w:r>
      <w:r w:rsidRPr="00C70133">
        <w:rPr>
          <w:rFonts w:eastAsia="Calibri"/>
        </w:rPr>
        <w:t xml:space="preserve">Review </w:t>
      </w:r>
      <w:r>
        <w:rPr>
          <w:rFonts w:eastAsia="Calibri"/>
        </w:rPr>
        <w:t>commented that</w:t>
      </w:r>
      <w:r w:rsidRPr="00C70133">
        <w:rPr>
          <w:rFonts w:eastAsia="Calibri"/>
        </w:rPr>
        <w:t xml:space="preserve"> “it is not in the interest of </w:t>
      </w:r>
      <w:r w:rsidR="00BC38BA">
        <w:rPr>
          <w:rFonts w:eastAsia="Calibri"/>
        </w:rPr>
        <w:t>irrigation infrastructure operators (</w:t>
      </w:r>
      <w:r w:rsidRPr="00C70133">
        <w:rPr>
          <w:rFonts w:eastAsia="Calibri"/>
        </w:rPr>
        <w:t>IIOs</w:t>
      </w:r>
      <w:r w:rsidR="00BC38BA">
        <w:rPr>
          <w:rFonts w:eastAsia="Calibri"/>
        </w:rPr>
        <w:t>)</w:t>
      </w:r>
      <w:r w:rsidRPr="00C70133">
        <w:rPr>
          <w:rFonts w:eastAsia="Calibri"/>
        </w:rPr>
        <w:t xml:space="preserve"> to limit trade [of water delivery rights] where possible as ongoing income through both delivery rights and water use is preferable to termination”.</w:t>
      </w:r>
      <w:r w:rsidRPr="00C70133">
        <w:rPr>
          <w:rStyle w:val="FootnoteReference"/>
          <w:rFonts w:eastAsia="Calibri"/>
        </w:rPr>
        <w:footnoteReference w:id="731"/>
      </w:r>
    </w:p>
    <w:p w:rsidR="00CB6A7C" w:rsidRDefault="00CB6A7C" w:rsidP="00CB6A7C">
      <w:pPr>
        <w:rPr>
          <w:rFonts w:eastAsia="Calibri"/>
        </w:rPr>
      </w:pPr>
      <w:r>
        <w:rPr>
          <w:rFonts w:eastAsia="Calibri"/>
        </w:rPr>
        <w:t>The Wah Wah Stock and Domestic Water Users Association submitted that termination fees should not be permitted where a customer’s water access rights are not tradeable under state water management law.</w:t>
      </w:r>
      <w:r>
        <w:rPr>
          <w:rStyle w:val="FootnoteReference"/>
          <w:rFonts w:eastAsia="Calibri"/>
        </w:rPr>
        <w:footnoteReference w:id="732"/>
      </w:r>
      <w:r>
        <w:rPr>
          <w:rFonts w:eastAsia="Calibri"/>
        </w:rPr>
        <w:t xml:space="preserve"> The ACCC heard similar feedback during consultation meetings for the Draft Advice.</w:t>
      </w:r>
    </w:p>
    <w:p w:rsidR="00CB6A7C" w:rsidRDefault="00CB6A7C" w:rsidP="00CB6A7C">
      <w:r>
        <w:t>Waterfind</w:t>
      </w:r>
      <w:r w:rsidR="00007DF7" w:rsidRPr="00957552">
        <w:rPr>
          <w:rStyle w:val="FootnoteReference"/>
          <w:sz w:val="20"/>
          <w:szCs w:val="20"/>
        </w:rPr>
        <w:footnoteReference w:id="733"/>
      </w:r>
      <w:r>
        <w:t xml:space="preserve"> submitted that it “fully supports” </w:t>
      </w:r>
      <w:r w:rsidR="00A52AF4">
        <w:t>r</w:t>
      </w:r>
      <w:r>
        <w:t xml:space="preserve">ule </w:t>
      </w:r>
      <w:r w:rsidR="00A52AF4">
        <w:t>a</w:t>
      </w:r>
      <w:r>
        <w:t>dvice 6-E</w:t>
      </w:r>
      <w:r w:rsidR="00CE2B9A">
        <w:t xml:space="preserve"> (limiting the termination fee multiple to 1x where an operator does not provide for the trade of water delivery right)</w:t>
      </w:r>
      <w:r>
        <w:t>. Waterfind added that infrastructure operators could more provide information to customers or new entrants about the trad</w:t>
      </w:r>
      <w:r w:rsidR="002A04F2">
        <w:t>e</w:t>
      </w:r>
      <w:r>
        <w:t>ability of their water delivery rights. To support this suggestion, Waterfind submitted that it has received feedback from clients that “they are often not aware of how delivery rights can be traded, let alone the value of the right (be it a positive or a negative price, depending on the situation)”.</w:t>
      </w:r>
    </w:p>
    <w:p w:rsidR="00CB6A7C" w:rsidRDefault="00CB6A7C" w:rsidP="00CB6A7C">
      <w:r>
        <w:t xml:space="preserve">Waterfind reiterated its positions from its submission to the Issues Paper that in order to facilitate water delivery right trade, the ACCC should additionally consider actions to unify the units that are used to define water delivery rights across states. Waterfind compared Victoria to NSW; in Victoria, water delivery rights are defined in terms of ML/day units whereas in NSW, water delivery rights are typically defined in terms of one delivery right equivalent to the right to have </w:t>
      </w:r>
      <w:r w:rsidR="009745C1">
        <w:t>one</w:t>
      </w:r>
      <w:r>
        <w:t xml:space="preserve"> ML of water delivered. Waterfind put forward its view that the unit used in Victoria is “often hard to interpret and makes comparison and trading of </w:t>
      </w:r>
      <w:r w:rsidR="00CE2B9A">
        <w:t xml:space="preserve">the delivery </w:t>
      </w:r>
      <w:r>
        <w:t xml:space="preserve">rights difficult”. Waterfind added that standardising the units used to define water delivery rights would make it easier to compare termination fees across infrastructure operators, which would be beneficial to new entrants to the water market, who are considering purchasing water delivery rights. </w:t>
      </w:r>
    </w:p>
    <w:p w:rsidR="00CB6A7C" w:rsidRDefault="00CB6A7C" w:rsidP="00CB6A7C">
      <w:r>
        <w:t xml:space="preserve">Some stakeholders commented on </w:t>
      </w:r>
      <w:r w:rsidR="00A52AF4">
        <w:t>r</w:t>
      </w:r>
      <w:r>
        <w:t xml:space="preserve">ule </w:t>
      </w:r>
      <w:r w:rsidR="00A52AF4">
        <w:t>a</w:t>
      </w:r>
      <w:r>
        <w:t>dvice 6-E in relation to state-specific issues. The Queensland Farmers’ Federation (QFF) noted that it is a “complex issue” to consider whether termination fees are adversely affecting the operation of water markets.</w:t>
      </w:r>
      <w:r w:rsidRPr="00957552">
        <w:rPr>
          <w:rStyle w:val="FootnoteReference"/>
          <w:color w:val="000000"/>
          <w:sz w:val="20"/>
          <w:szCs w:val="20"/>
        </w:rPr>
        <w:footnoteReference w:id="734"/>
      </w:r>
      <w:r>
        <w:t xml:space="preserve"> The QFF considered that it is an issue that should be examined on a case-by-case basis for schemes within the Queensland portion of the </w:t>
      </w:r>
      <w:r w:rsidR="0016503C">
        <w:t>Murray-Darling Basin (</w:t>
      </w:r>
      <w:r>
        <w:t>MDB</w:t>
      </w:r>
      <w:r w:rsidR="0016503C">
        <w:t>)</w:t>
      </w:r>
      <w:r>
        <w:t>. The QFF concluded with its view that the trade of water delivery rights is not an issue that is currently relevant to these schemes.</w:t>
      </w:r>
      <w:r>
        <w:rPr>
          <w:rStyle w:val="FootnoteReference"/>
        </w:rPr>
        <w:footnoteReference w:id="735"/>
      </w:r>
    </w:p>
    <w:p w:rsidR="00CB6A7C" w:rsidRDefault="00CB6A7C" w:rsidP="00CB6A7C">
      <w:r>
        <w:t xml:space="preserve">Mr Connolly and P and B Tomlinson submitted their views on factors within </w:t>
      </w:r>
      <w:r w:rsidR="00156CD3">
        <w:t>Goulburn-Murray Water’s (</w:t>
      </w:r>
      <w:r>
        <w:t>GMW’s</w:t>
      </w:r>
      <w:r w:rsidR="00156CD3">
        <w:t>)</w:t>
      </w:r>
      <w:r>
        <w:t xml:space="preserve"> networks that affect the tradability of their water delivery rights. </w:t>
      </w:r>
    </w:p>
    <w:p w:rsidR="006A74BB" w:rsidRDefault="00CB6A7C" w:rsidP="00CB6A7C">
      <w:r>
        <w:t xml:space="preserve">Mr Patrick Connolly submitted that the intent of </w:t>
      </w:r>
      <w:r w:rsidR="00A52AF4">
        <w:t>r</w:t>
      </w:r>
      <w:r>
        <w:t xml:space="preserve">ule </w:t>
      </w:r>
      <w:r w:rsidR="00A52AF4">
        <w:t>a</w:t>
      </w:r>
      <w:r>
        <w:t>dvice 6-E, to cap termination fees at a multiple of 1x for infrastructure operators who do not provide for water delivery right trade, is undermined by allowing casual use of infrastructure.</w:t>
      </w:r>
      <w:r w:rsidRPr="00957552">
        <w:rPr>
          <w:rStyle w:val="FootnoteReference"/>
          <w:sz w:val="20"/>
          <w:szCs w:val="20"/>
        </w:rPr>
        <w:footnoteReference w:id="736"/>
      </w:r>
      <w:r>
        <w:t xml:space="preserve"> </w:t>
      </w:r>
    </w:p>
    <w:p w:rsidR="006A74BB" w:rsidRDefault="006A74BB" w:rsidP="00CB6A7C">
      <w:r>
        <w:t>‘Casual use’ is a general term used to describe a person obtaining infrastructure services from an operator in excess of the volume provided for in that person’s ongoing right of access. This typically involves the delivery of water to a customer in excess of the volume provided for in their water delivery right, or delivery of water to a customer that does not hold any water delivery right.</w:t>
      </w:r>
    </w:p>
    <w:p w:rsidR="00CB6A7C" w:rsidRDefault="00CB6A7C" w:rsidP="00CB6A7C">
      <w:r>
        <w:t>Mr Connolly argued that encouraging casual use in preference to, or with greater flexibility than, trading water delivery rights contradicts the market and ha</w:t>
      </w:r>
      <w:r w:rsidR="002A04F2">
        <w:t>s</w:t>
      </w:r>
      <w:r>
        <w:t xml:space="preserve"> the consequence that the “1x rule will have little consequence in encouraging the trade of delivery shares on the trading platform”.</w:t>
      </w:r>
      <w:r w:rsidRPr="00957552">
        <w:rPr>
          <w:rStyle w:val="FootnoteReference"/>
          <w:sz w:val="20"/>
          <w:szCs w:val="20"/>
        </w:rPr>
        <w:footnoteReference w:id="737"/>
      </w:r>
      <w:r>
        <w:t xml:space="preserve"> This is because customers can choose to pay the casual use charges rather than buying additional water delivery rights (particularly when they have used more water than their own right of access allows), and that as such generous casual usage policies undermine demand for water delivery rights. Mr Connolly noted that in many of GMW’s districts there is a multiple of delivery shares over the volume of water delivered (in 2013-14). Outside of the specific relevance to termination fees, in relation to casual use charges, Mr Connolly argued that these charges are not consistent with the Basin Water Charging Objectives and Principles</w:t>
      </w:r>
      <w:r w:rsidR="00B14931">
        <w:t xml:space="preserve"> (BWCOP)</w:t>
      </w:r>
      <w:r>
        <w:t xml:space="preserve"> to promote the efficient functioning of water markets. Mr Connolly’s other comments on casual use charges and the proposed non-discrimination provisions are discussed in section 5.3. </w:t>
      </w:r>
    </w:p>
    <w:p w:rsidR="00CB6A7C" w:rsidRDefault="00CB6A7C" w:rsidP="00001CBF">
      <w:pPr>
        <w:spacing w:after="120"/>
      </w:pPr>
      <w:r>
        <w:t>P and B Tomlinson</w:t>
      </w:r>
      <w:r w:rsidR="0024558C" w:rsidRPr="00957552">
        <w:rPr>
          <w:rStyle w:val="FootnoteReference"/>
          <w:sz w:val="20"/>
          <w:szCs w:val="20"/>
        </w:rPr>
        <w:footnoteReference w:id="738"/>
      </w:r>
      <w:r>
        <w:t xml:space="preserve"> also commented extensively on factors within GMW’s irrigation networks which have affected the value and tradeability (at a positive price) of water delivery rights and therefore work to “lock” irrigators into paying either the termination fee</w:t>
      </w:r>
      <w:r w:rsidR="00CE2B9A">
        <w:t>,</w:t>
      </w:r>
      <w:r>
        <w:t xml:space="preserve"> or large amounts to have someone take over their delivery shares. P and B Tomlinson identified that the key factor that has affected the tradeability and value of water delivery rights is GMW’s decision to re-value its water delivery rights from 100</w:t>
      </w:r>
      <w:r w:rsidR="009745C1">
        <w:t xml:space="preserve"> </w:t>
      </w:r>
      <w:r>
        <w:t xml:space="preserve">ML per delivery right to 270ML, stating: </w:t>
      </w:r>
    </w:p>
    <w:p w:rsidR="00CB6A7C" w:rsidRPr="007F1A8D" w:rsidRDefault="00CB6A7C" w:rsidP="00CE67EB">
      <w:pPr>
        <w:pStyle w:val="Quote"/>
        <w:rPr>
          <w:rStyle w:val="Emphasis"/>
          <w:i/>
          <w:iCs/>
        </w:rPr>
      </w:pPr>
      <w:r w:rsidRPr="007F1A8D">
        <w:rPr>
          <w:rStyle w:val="Emphasis"/>
          <w:i/>
          <w:iCs/>
        </w:rPr>
        <w:t xml:space="preserve">Delivery shares [i.e. water delivery rights] were now to be the main source of GMW revenue, it was also suggested that they would have a value, be tradable, and they may well have been, had it not been for an act of rare folly committed by GMW when it was decided that each [delivery share] would allow holders access to 270 [ML] </w:t>
      </w:r>
      <w:r w:rsidR="002A04F2">
        <w:rPr>
          <w:rStyle w:val="Emphasis"/>
          <w:i/>
          <w:iCs/>
        </w:rPr>
        <w:t>o</w:t>
      </w:r>
      <w:r w:rsidRPr="007F1A8D">
        <w:rPr>
          <w:rStyle w:val="Emphasis"/>
          <w:i/>
          <w:iCs/>
        </w:rPr>
        <w:t>f water. This one decision killed any extra demand or revenue coming to GMW, also any value [delivery share] may have held…it also mean a termination fee had to be introduced to lock farmers i</w:t>
      </w:r>
      <w:r w:rsidR="003E5D76" w:rsidRPr="007F1A8D">
        <w:rPr>
          <w:rStyle w:val="Emphasis"/>
          <w:i/>
          <w:iCs/>
        </w:rPr>
        <w:t>n</w:t>
      </w:r>
      <w:r w:rsidRPr="007F1A8D">
        <w:rPr>
          <w:rStyle w:val="Emphasis"/>
          <w:i/>
          <w:iCs/>
        </w:rPr>
        <w:t xml:space="preserve"> as they now had the capacity to cancel over half their [delivery shares]…</w:t>
      </w:r>
    </w:p>
    <w:p w:rsidR="00CB6A7C" w:rsidRDefault="00CB6A7C" w:rsidP="00CB6A7C">
      <w:r>
        <w:t>P and B Tomlinson added that an “equally damaging, and perhaps overlooked consequence” is the impact this decision has had on land values.</w:t>
      </w:r>
      <w:r w:rsidR="00C6733C">
        <w:t xml:space="preserve"> </w:t>
      </w:r>
    </w:p>
    <w:p w:rsidR="00CB6A7C" w:rsidRDefault="00CB6A7C" w:rsidP="00001CBF">
      <w:pPr>
        <w:spacing w:after="120"/>
      </w:pPr>
      <w:r>
        <w:t>P and B Tomlinson submitted that land buyers know that they can find other irrigators with unwanted delivery shares who are willing to pay large amounts for other irrigators to take them on (i.e. a negative price) or they have “ample” delivery shares themselves. Therefore, land buyers, of which there are many, are unwilling to buy properties with delivery shares attached; they demand that either the delivery shares are removed or otherwise the sale price of the farm reduces by the amount of the termination fee associated with each water delivery right. Consequently, the termination fee is a “death tax” for older, retiring farmers.</w:t>
      </w:r>
      <w:r w:rsidRPr="00957552">
        <w:rPr>
          <w:rStyle w:val="FootnoteReference"/>
          <w:sz w:val="20"/>
          <w:szCs w:val="20"/>
        </w:rPr>
        <w:footnoteReference w:id="739"/>
      </w:r>
      <w:r>
        <w:t xml:space="preserve"> P and B Tomlinson put forward their suggestions, that for GMW’s water delivery rights to be viably tradeable, the following should occur:</w:t>
      </w:r>
    </w:p>
    <w:p w:rsidR="00CB6A7C" w:rsidRDefault="00CB6A7C" w:rsidP="00A82DE6">
      <w:pPr>
        <w:pStyle w:val="Lvl1Bulletpoint"/>
      </w:pPr>
      <w:r>
        <w:t>decrease the volume of water attached to each water delivery right to 150ML</w:t>
      </w:r>
      <w:r>
        <w:rPr>
          <w:rStyle w:val="FootnoteReference"/>
        </w:rPr>
        <w:footnoteReference w:id="740"/>
      </w:r>
    </w:p>
    <w:p w:rsidR="00CB6A7C" w:rsidRDefault="00CB6A7C" w:rsidP="00A82DE6">
      <w:pPr>
        <w:pStyle w:val="Lvl1Bulletpoint"/>
      </w:pPr>
      <w:r>
        <w:t xml:space="preserve">decrease the annual charge levied on water delivery rights </w:t>
      </w:r>
    </w:p>
    <w:p w:rsidR="00CB6A7C" w:rsidRDefault="00CB6A7C" w:rsidP="00A82DE6">
      <w:pPr>
        <w:pStyle w:val="Lvl1Bulletpoint"/>
      </w:pPr>
      <w:r>
        <w:t>GMW to levy a new charge when it issues new water delivery rights (e.g. the equivalent of one year of annual fees)</w:t>
      </w:r>
    </w:p>
    <w:p w:rsidR="00CB6A7C" w:rsidRDefault="00CB6A7C" w:rsidP="00CB6A7C">
      <w:r>
        <w:t xml:space="preserve">In the absence of these reforms, P and B Tomlinson consider that GMW should use some of the “rationalisation funds”, to waive the termination fee, or grant an exemption, for circumstances where the farmer is exiting the industry due to health or age and the buyer will be taking over. </w:t>
      </w:r>
    </w:p>
    <w:p w:rsidR="00CB6A7C" w:rsidRDefault="00CB6A7C" w:rsidP="00CB6A7C">
      <w:r>
        <w:t>P and B Tomlinson interpreted from the ACCC’s Draft Advice that the ACCC believes that a “robust market in delivery shares would be desirable, which in turn would largely remove the need for the levying of a termination fee”. P and B Tomlinson note that this is a view they have “long held” and that it “fills [them] with hope”.</w:t>
      </w:r>
    </w:p>
    <w:p w:rsidR="00CB6A7C" w:rsidRPr="00D714FC" w:rsidRDefault="00CB6A7C" w:rsidP="00CB6A7C">
      <w:r>
        <w:t>Feedback from the University of Adelaide irrigator survey indicates that o</w:t>
      </w:r>
      <w:r w:rsidRPr="000F2E7D">
        <w:t>n average</w:t>
      </w:r>
      <w:r>
        <w:t xml:space="preserve"> (for irrigators in the southern MDB)</w:t>
      </w:r>
      <w:r w:rsidRPr="000F2E7D">
        <w:t>, 45</w:t>
      </w:r>
      <w:r w:rsidR="00AD544A">
        <w:t xml:space="preserve"> per cent</w:t>
      </w:r>
      <w:r w:rsidRPr="000F2E7D">
        <w:t xml:space="preserve"> of irrigators consider that they do not have the correct amount of water delivery right for their needs; this proportion ranges from 32</w:t>
      </w:r>
      <w:r w:rsidR="00AD544A">
        <w:t xml:space="preserve"> per cent</w:t>
      </w:r>
      <w:r w:rsidRPr="000F2E7D">
        <w:t xml:space="preserve"> in </w:t>
      </w:r>
      <w:r w:rsidR="0037210E">
        <w:t xml:space="preserve">the </w:t>
      </w:r>
      <w:r w:rsidRPr="000F2E7D">
        <w:t>S</w:t>
      </w:r>
      <w:r w:rsidR="0037210E">
        <w:t xml:space="preserve">outh </w:t>
      </w:r>
      <w:r w:rsidRPr="000F2E7D">
        <w:t>A</w:t>
      </w:r>
      <w:r w:rsidR="0037210E">
        <w:t>ustralian</w:t>
      </w:r>
      <w:r w:rsidRPr="000F2E7D">
        <w:t xml:space="preserve"> Murray to 63</w:t>
      </w:r>
      <w:r w:rsidR="00AD544A">
        <w:t xml:space="preserve"> per cent </w:t>
      </w:r>
      <w:r w:rsidRPr="000F2E7D">
        <w:t>for Victorian</w:t>
      </w:r>
      <w:r>
        <w:t xml:space="preserve"> private diverters.</w:t>
      </w:r>
    </w:p>
    <w:p w:rsidR="00CB6A7C" w:rsidRPr="00D714FC" w:rsidRDefault="00CB6A7C" w:rsidP="00CB6A7C">
      <w:pPr>
        <w:pStyle w:val="Heading4"/>
      </w:pPr>
      <w:r>
        <w:t>ACCC assessment</w:t>
      </w:r>
    </w:p>
    <w:p w:rsidR="00CB6A7C" w:rsidRDefault="00CB6A7C" w:rsidP="00CB6A7C">
      <w:pPr>
        <w:rPr>
          <w:b/>
        </w:rPr>
      </w:pPr>
      <w:r w:rsidRPr="00D179B6">
        <w:rPr>
          <w:rFonts w:eastAsia="Calibri"/>
        </w:rPr>
        <w:t>The ACCC considers that it is important to encourage operators to facilitate water delivery right trade, both as an alternative to termination and to facilitate more efficient use of water service infrastructure generally.</w:t>
      </w:r>
      <w:r>
        <w:rPr>
          <w:rFonts w:eastAsia="Calibri"/>
        </w:rPr>
        <w:t xml:space="preserve"> </w:t>
      </w:r>
      <w:r>
        <w:t xml:space="preserve">The Draft Advice proposed to incentivise operators by limiting the multiple that applies to termination fee calculations to a lower amount if an operator does not provide for the trade of water delivery rights separately from the trade of a water access right or irrigation right. </w:t>
      </w:r>
    </w:p>
    <w:p w:rsidR="00CB6A7C" w:rsidRDefault="00CB6A7C" w:rsidP="00CB6A7C">
      <w:r>
        <w:t xml:space="preserve">The ACCC welcomes the feedback from a variety of stakeholders who consider that promotion of water delivery right trade is desirable, and reaffirms the need to promote trade of water delivery right as an alternative to termination. </w:t>
      </w:r>
      <w:r w:rsidR="005C465F">
        <w:t>H</w:t>
      </w:r>
      <w:r>
        <w:t>owever,</w:t>
      </w:r>
      <w:r w:rsidR="005C465F">
        <w:t xml:space="preserve"> the ACCC acknowledges</w:t>
      </w:r>
      <w:r>
        <w:t xml:space="preserve"> that trade is not always a possibility in every case, as it depends on a variety of factors, and in particular on there being demand for water delivery rights from existing or new customers. </w:t>
      </w:r>
    </w:p>
    <w:p w:rsidR="00CB6A7C" w:rsidRDefault="00CB6A7C" w:rsidP="00CB6A7C">
      <w:r>
        <w:t>The ACCC also welcomes suggestions made by operators to improve the operation of th</w:t>
      </w:r>
      <w:r w:rsidR="00215069">
        <w:t>e proposed</w:t>
      </w:r>
      <w:r>
        <w:t xml:space="preserve"> rule.</w:t>
      </w:r>
    </w:p>
    <w:p w:rsidR="00CB6A7C" w:rsidRDefault="00CB6A7C" w:rsidP="00CB6A7C">
      <w:r>
        <w:t xml:space="preserve">In particular, the ACCC has amended its rule advice and proposed rules to make clear that the intent is that the termination fee multiple should be restricted to 1x in cases where the operator does not </w:t>
      </w:r>
      <w:r>
        <w:rPr>
          <w:i/>
        </w:rPr>
        <w:t xml:space="preserve">allow </w:t>
      </w:r>
      <w:r w:rsidRPr="008E6093">
        <w:t>for</w:t>
      </w:r>
      <w:r>
        <w:t xml:space="preserve"> trade of water delivery rights </w:t>
      </w:r>
      <w:r w:rsidRPr="00F92CF0">
        <w:t>of</w:t>
      </w:r>
      <w:r>
        <w:rPr>
          <w:i/>
        </w:rPr>
        <w:t xml:space="preserve"> </w:t>
      </w:r>
      <w:r w:rsidR="00215069">
        <w:t xml:space="preserve">the </w:t>
      </w:r>
      <w:r w:rsidRPr="008E6093">
        <w:t>kind</w:t>
      </w:r>
      <w:r>
        <w:t xml:space="preserve"> relat</w:t>
      </w:r>
      <w:r w:rsidR="00215069">
        <w:t>ed</w:t>
      </w:r>
      <w:r>
        <w:t xml:space="preserve"> to the right of access the customer is considering terminating. This means that, on the one hand, an operator should not be able to impose a</w:t>
      </w:r>
      <w:r w:rsidR="00F97663">
        <w:t xml:space="preserve"> general</w:t>
      </w:r>
      <w:r>
        <w:t xml:space="preserve"> termination fee </w:t>
      </w:r>
      <w:r w:rsidR="00215069">
        <w:t xml:space="preserve">using the 10x multiple </w:t>
      </w:r>
      <w:r>
        <w:t xml:space="preserve">where it restricts the trade of water delivery right of the kind the customer wishes to terminate. On the other hand, the multiple should not be restricted to 1x because the operator has not approved a particular application to trade a water delivery right. Basin Plan </w:t>
      </w:r>
      <w:r w:rsidR="006B1DA2">
        <w:t>w</w:t>
      </w:r>
      <w:r>
        <w:t xml:space="preserve">ater </w:t>
      </w:r>
      <w:r w:rsidR="006B1DA2">
        <w:t>t</w:t>
      </w:r>
      <w:r>
        <w:t xml:space="preserve">rading </w:t>
      </w:r>
      <w:r w:rsidR="006B1DA2">
        <w:t>r</w:t>
      </w:r>
      <w:r>
        <w:t>ule 1</w:t>
      </w:r>
      <w:r w:rsidR="00215069">
        <w:t>2</w:t>
      </w:r>
      <w:r>
        <w:t>.28 provide</w:t>
      </w:r>
      <w:r w:rsidR="007044EF">
        <w:t>s</w:t>
      </w:r>
      <w:r>
        <w:t xml:space="preserve"> that there may be cases where an operator can reasonably restrict the trade of a water delivery right, and the ACCC intends th</w:t>
      </w:r>
      <w:r w:rsidR="008A2B0A">
        <w:t>e proposed</w:t>
      </w:r>
      <w:r>
        <w:t xml:space="preserve"> water charge rule </w:t>
      </w:r>
      <w:r w:rsidR="008A2B0A">
        <w:t xml:space="preserve">provision </w:t>
      </w:r>
      <w:r>
        <w:t xml:space="preserve">to complement </w:t>
      </w:r>
      <w:r w:rsidR="006B1DA2">
        <w:t xml:space="preserve">Basin Plan water trading rule </w:t>
      </w:r>
      <w:r>
        <w:t>1</w:t>
      </w:r>
      <w:r w:rsidR="00215069">
        <w:t>2</w:t>
      </w:r>
      <w:r>
        <w:t xml:space="preserve">.28. As such, the ACCC considers that its revised advice in this matter provides an appropriate level of generality which will promote water delivery right trade in general while still allowing operators the flexibility to </w:t>
      </w:r>
      <w:r w:rsidR="008A2B0A">
        <w:t xml:space="preserve">consider water delivery right </w:t>
      </w:r>
      <w:r>
        <w:t xml:space="preserve">trades on a case-by-case basis. </w:t>
      </w:r>
    </w:p>
    <w:p w:rsidR="00CB6A7C" w:rsidRDefault="00CB6A7C" w:rsidP="00CB6A7C">
      <w:r>
        <w:t>The ACCC has also adopted the suggestion that the rule be specified in terms of whether the operator “allows for” rather than “provides for” the trade of relevant water delivery rights, in order to avoid the misconception that the rules require operators to actively facilitate trade via such activities as maintaining an online water delivery right exchange, or providing for specific types of trade, such as leases or temporary trade. The ACCC encourages development of such arrangements where appropriate, but acknowledges that water delivery right markets are still nascent in many operators’ networks and therefore that it is not appropriate for the rules to mandate what specific types of trading arrangements or trading platforms an operator should have.</w:t>
      </w:r>
    </w:p>
    <w:p w:rsidR="00CB6A7C" w:rsidRDefault="00CB6A7C" w:rsidP="00CB6A7C">
      <w:r>
        <w:t xml:space="preserve">The ACCC considers that the submissions of Mr Connolly and P and B Tomlinson together provide a </w:t>
      </w:r>
      <w:r w:rsidR="006A74BB">
        <w:t xml:space="preserve">detailed </w:t>
      </w:r>
      <w:r>
        <w:t>explanation of the inter-relationships between specification of water delivery rights, termination fees, casual usage arrangements and trade of water delivery rights. In particular, these submissions demonstrate the impacts that decisions about casual usage policies and specification of water delivery rights can have on supply and demand for water delivery rights.</w:t>
      </w:r>
    </w:p>
    <w:p w:rsidR="00CB6A7C" w:rsidRDefault="00CB6A7C" w:rsidP="00CB6A7C">
      <w:r>
        <w:t>While sympathising with Mr Connolly’s concerns about the impacts of casual use arrangements on demand for water delivery rights, the ACCC does not consider that the water charge rules should mandate the level at which casual usage charges should apply across all operators, or restrict operators’ ability to offer access to its infrastructure on a casual basis. Casual use is a legitimate service that an operator may choose to provide to customers. The appropriate amount of casual use and the circumstances in which it is offered must be determined on a case-by-case basis, according to the circumstances unique to each operator. Nevertheless, the ACCC recognise</w:t>
      </w:r>
      <w:r w:rsidR="006A74BB">
        <w:t>s</w:t>
      </w:r>
      <w:r>
        <w:t xml:space="preserve"> the negative impacts overly generous casual usage arrangements (particularly in the context of relatively low casual usage charges) can have on the </w:t>
      </w:r>
      <w:r w:rsidR="003E7E2C">
        <w:t xml:space="preserve">value of and </w:t>
      </w:r>
      <w:r>
        <w:t>demand for water delivery rights and robust water delivery right markets.</w:t>
      </w:r>
    </w:p>
    <w:p w:rsidR="00CB6A7C" w:rsidRDefault="00CB6A7C" w:rsidP="00CB6A7C">
      <w:r>
        <w:t xml:space="preserve">The ACCC similarly considers that the water charge rules are not the appropriate vehicle for making rules governing how an operator should specify its water delivery rights. In the case of GMW’s decision to ‘rebase’ its water delivery rights to allow channel customers to have delivered 270 ML per unit of </w:t>
      </w:r>
      <w:r w:rsidR="00EA4062">
        <w:t xml:space="preserve">water delivery right </w:t>
      </w:r>
      <w:r>
        <w:t xml:space="preserve">held, the ACCC notes that this decision essentially means that users can use a greater amount of water relative to the amount of </w:t>
      </w:r>
      <w:r w:rsidR="00EA4062">
        <w:t xml:space="preserve">water delivery right </w:t>
      </w:r>
      <w:r>
        <w:t xml:space="preserve">held before casual usage charges apply. Thus, decisions about </w:t>
      </w:r>
      <w:r w:rsidR="00EA4062">
        <w:t xml:space="preserve">water delivery right </w:t>
      </w:r>
      <w:r>
        <w:t>are fundamentally linked to casual use arrangements. The ACCC stresses that while the rules can and should promote non-discriminatory pricing outcomes, part of which is achieved by requiring operators not to unreasonably restrict access to services, the rules should not mandate which types of services an infrastructure operator chooses to offer.</w:t>
      </w:r>
    </w:p>
    <w:p w:rsidR="00CB6A7C" w:rsidRDefault="00CB6A7C" w:rsidP="00CB6A7C">
      <w:r>
        <w:t>The ACCC notes requests by stakeholders that the rules prohibit an operator from levying a termination fee when a customer’s water access rights are not tradeable under state water management law. While these stakeholders raise a legitimate concern that the inability to trade a water access right, in addition to termination fees, creates the potential for customers to be ‘locked in’ to current arrangements, the water charge rules cannot require a Basin State to allow a particular type of water access right to be tradeable.</w:t>
      </w:r>
      <w:r>
        <w:rPr>
          <w:rStyle w:val="FootnoteReference"/>
        </w:rPr>
        <w:footnoteReference w:id="741"/>
      </w:r>
      <w:r>
        <w:t xml:space="preserve"> Also, the rules should not preclude an operator from the legitimate recovery of its costs (in accordance with the rules for calculating termination fees) merely because of a state restriction over which the operator has no control. While sympathising with the situation faced by such users, the ACCC is of the view that these concerns cannot be adequately addressed under the water charge rules. </w:t>
      </w:r>
    </w:p>
    <w:p w:rsidR="00CB6A7C" w:rsidRDefault="00CB6A7C" w:rsidP="00F43856">
      <w:pPr>
        <w:pStyle w:val="Heading2"/>
        <w:keepNext w:val="0"/>
        <w:numPr>
          <w:ilvl w:val="1"/>
          <w:numId w:val="55"/>
        </w:numPr>
      </w:pPr>
      <w:bookmarkStart w:id="1333" w:name="_Toc436122322"/>
      <w:bookmarkStart w:id="1334" w:name="_Toc436122817"/>
      <w:bookmarkStart w:id="1335" w:name="_Toc436124172"/>
      <w:bookmarkStart w:id="1336" w:name="_Toc456785829"/>
      <w:bookmarkStart w:id="1337" w:name="_Toc461630740"/>
      <w:r w:rsidRPr="00D714FC">
        <w:t>Circumstances in which a termination fee can be imposed</w:t>
      </w:r>
      <w:bookmarkEnd w:id="1333"/>
      <w:bookmarkEnd w:id="1334"/>
      <w:bookmarkEnd w:id="1335"/>
      <w:bookmarkEnd w:id="1336"/>
      <w:bookmarkEnd w:id="1337"/>
    </w:p>
    <w:p w:rsidR="00CB6A7C" w:rsidRPr="00CE67EB" w:rsidRDefault="00D07E1E" w:rsidP="00CE67EB">
      <w:pPr>
        <w:pStyle w:val="Heading3Un-numbered"/>
        <w:spacing w:before="0"/>
        <w:rPr>
          <w:color w:val="FFFFFF" w:themeColor="background1"/>
          <w:sz w:val="2"/>
        </w:rPr>
      </w:pPr>
      <w:r w:rsidRPr="00CE67EB">
        <w:rPr>
          <w:color w:val="FFFFFF" w:themeColor="background1"/>
          <w:sz w:val="10"/>
        </w:rPr>
        <w:fldChar w:fldCharType="begin"/>
      </w:r>
      <w:r w:rsidRPr="00CE67EB">
        <w:rPr>
          <w:color w:val="FFFFFF" w:themeColor="background1"/>
          <w:sz w:val="10"/>
        </w:rPr>
        <w:instrText xml:space="preserve"> REF _Ref434840359 \h  \* MERGEFORMAT </w:instrText>
      </w:r>
      <w:r w:rsidRPr="00CE67EB">
        <w:rPr>
          <w:color w:val="FFFFFF" w:themeColor="background1"/>
          <w:sz w:val="10"/>
        </w:rPr>
      </w:r>
      <w:r w:rsidRPr="00CE67EB">
        <w:rPr>
          <w:color w:val="FFFFFF" w:themeColor="background1"/>
          <w:sz w:val="10"/>
        </w:rPr>
        <w:fldChar w:fldCharType="separate"/>
      </w:r>
      <w:r w:rsidR="00BD218B" w:rsidRPr="00BD218B">
        <w:rPr>
          <w:color w:val="FFFFFF" w:themeColor="background1"/>
          <w:sz w:val="10"/>
        </w:rPr>
        <w:t>Rule advice</w:t>
      </w:r>
      <w:r w:rsidRPr="00CE67EB">
        <w:rPr>
          <w:color w:val="FFFFFF" w:themeColor="background1"/>
          <w:sz w:val="10"/>
        </w:rPr>
        <w:fldChar w:fldCharType="end"/>
      </w:r>
      <w:r w:rsidR="00C21C88" w:rsidRPr="00CE67EB">
        <w:rPr>
          <w:color w:val="FFFFFF" w:themeColor="background1"/>
          <w:sz w:val="10"/>
        </w:rPr>
        <w:t xml:space="preserve"> </w:t>
      </w:r>
    </w:p>
    <w:tbl>
      <w:tblPr>
        <w:tblStyle w:val="TableGrid"/>
        <w:tblW w:w="0" w:type="auto"/>
        <w:tblLook w:val="04A0" w:firstRow="1" w:lastRow="0" w:firstColumn="1" w:lastColumn="0" w:noHBand="0" w:noVBand="1"/>
      </w:tblPr>
      <w:tblGrid>
        <w:gridCol w:w="9242"/>
      </w:tblGrid>
      <w:tr w:rsidR="00CB6A7C" w:rsidTr="00297F52">
        <w:tc>
          <w:tcPr>
            <w:tcW w:w="9242" w:type="dxa"/>
            <w:tcBorders>
              <w:top w:val="nil"/>
              <w:left w:val="nil"/>
              <w:bottom w:val="nil"/>
              <w:right w:val="nil"/>
            </w:tcBorders>
            <w:shd w:val="clear" w:color="auto" w:fill="D9D9D9" w:themeFill="background1" w:themeFillShade="D9"/>
          </w:tcPr>
          <w:p w:rsidR="00CB6A7C" w:rsidRPr="00994D7E" w:rsidRDefault="00CB6A7C" w:rsidP="00191A0D">
            <w:pPr>
              <w:pStyle w:val="Caption"/>
              <w:keepNext w:val="0"/>
              <w:keepLines w:val="0"/>
            </w:pPr>
            <w:bookmarkStart w:id="1338" w:name="_Toc436123478"/>
            <w:bookmarkStart w:id="1339" w:name="_Toc456784163"/>
            <w:bookmarkStart w:id="1340" w:name="_Ref435531824"/>
            <w:bookmarkStart w:id="1341" w:name="_Toc433975443"/>
            <w:bookmarkStart w:id="1342" w:name="_Ref433877574"/>
            <w:r w:rsidRPr="00D714FC">
              <w:t xml:space="preserve">Rule advice </w:t>
            </w:r>
            <w:r w:rsidR="007F659D">
              <w:rPr>
                <w:noProof/>
              </w:rPr>
              <w:t>6</w:t>
            </w:r>
            <w:r>
              <w:noBreakHyphen/>
            </w:r>
            <w:r w:rsidR="007F659D">
              <w:rPr>
                <w:noProof/>
              </w:rPr>
              <w:t>F</w:t>
            </w:r>
            <w:bookmarkEnd w:id="1338"/>
            <w:bookmarkEnd w:id="1339"/>
            <w:bookmarkEnd w:id="1340"/>
          </w:p>
          <w:p w:rsidR="008A2B0A" w:rsidRDefault="008A2B0A" w:rsidP="00191A0D">
            <w:pPr>
              <w:pStyle w:val="Heading8"/>
              <w:outlineLvl w:val="7"/>
            </w:pPr>
            <w:bookmarkStart w:id="1343" w:name="_Toc433975444"/>
            <w:bookmarkStart w:id="1344" w:name="_Toc436123479"/>
            <w:bookmarkStart w:id="1345" w:name="_Toc456784164"/>
            <w:bookmarkStart w:id="1346" w:name="Rule_Advice_6F"/>
            <w:r w:rsidRPr="00D714FC">
              <w:t xml:space="preserve">The </w:t>
            </w:r>
            <w:r>
              <w:t xml:space="preserve">rules should be amended </w:t>
            </w:r>
            <w:r w:rsidR="00191A0D">
              <w:t xml:space="preserve">as set out below </w:t>
            </w:r>
            <w:r>
              <w:t>to clarify when an operator can levy a termination fee and improve the availability of information to cu</w:t>
            </w:r>
            <w:r w:rsidR="00191A0D">
              <w:t>stomers considering terminating</w:t>
            </w:r>
            <w:r>
              <w:t>.</w:t>
            </w:r>
          </w:p>
          <w:p w:rsidR="00A33363" w:rsidRPr="00A33363" w:rsidRDefault="00A33363" w:rsidP="00191A0D">
            <w:pPr>
              <w:pStyle w:val="Ruleadvicesubheading"/>
            </w:pPr>
            <w:r>
              <w:t>Operator to provide information in response to customer seeking to terminate</w:t>
            </w:r>
          </w:p>
          <w:p w:rsidR="00CB6A7C" w:rsidRPr="00D714FC" w:rsidRDefault="00CB6A7C" w:rsidP="00191A0D">
            <w:pPr>
              <w:pStyle w:val="Heading8"/>
              <w:outlineLvl w:val="7"/>
            </w:pPr>
            <w:r w:rsidRPr="00D714FC">
              <w:t xml:space="preserve">The rules should </w:t>
            </w:r>
            <w:r w:rsidR="00D24967">
              <w:t>continue</w:t>
            </w:r>
            <w:r w:rsidRPr="00D714FC">
              <w:t xml:space="preserve"> to allow for a customer to terminate some or all of their right of access</w:t>
            </w:r>
            <w:r w:rsidR="00D24967" w:rsidRPr="00D714FC">
              <w:t xml:space="preserve"> </w:t>
            </w:r>
            <w:r w:rsidR="00D24967">
              <w:t xml:space="preserve">by submitting </w:t>
            </w:r>
            <w:r w:rsidR="00C8730F">
              <w:t xml:space="preserve">a </w:t>
            </w:r>
            <w:r w:rsidR="00D24967">
              <w:t xml:space="preserve">written </w:t>
            </w:r>
            <w:r w:rsidR="00D24967" w:rsidRPr="00D714FC">
              <w:t>notice to their infrastructure operator</w:t>
            </w:r>
            <w:r w:rsidRPr="00D714FC">
              <w:t>.</w:t>
            </w:r>
            <w:bookmarkEnd w:id="1343"/>
            <w:bookmarkEnd w:id="1344"/>
            <w:bookmarkEnd w:id="1345"/>
          </w:p>
          <w:p w:rsidR="00CB6A7C" w:rsidRPr="00D714FC" w:rsidRDefault="008A2B0A" w:rsidP="00191A0D">
            <w:pPr>
              <w:pStyle w:val="Heading8"/>
              <w:outlineLvl w:val="7"/>
            </w:pPr>
            <w:bookmarkStart w:id="1347" w:name="_Toc433975445"/>
            <w:bookmarkStart w:id="1348" w:name="_Toc436123480"/>
            <w:bookmarkStart w:id="1349" w:name="_Toc456784165"/>
            <w:r>
              <w:t>U</w:t>
            </w:r>
            <w:r w:rsidR="00CB6A7C" w:rsidRPr="00D714FC">
              <w:t>pon receiving such a notice, the infrastructure operator must</w:t>
            </w:r>
            <w:r w:rsidR="00191A0D">
              <w:t>,</w:t>
            </w:r>
            <w:r w:rsidR="006C4E65">
              <w:t xml:space="preserve"> </w:t>
            </w:r>
            <w:r w:rsidR="00D977D1">
              <w:t>within 25 business days</w:t>
            </w:r>
            <w:r w:rsidR="00191A0D">
              <w:t>,</w:t>
            </w:r>
            <w:r w:rsidR="00D977D1">
              <w:t xml:space="preserve"> </w:t>
            </w:r>
            <w:r w:rsidR="006C4E65">
              <w:t>provide</w:t>
            </w:r>
            <w:r w:rsidR="00337234">
              <w:t xml:space="preserve"> the customer with</w:t>
            </w:r>
            <w:r w:rsidR="006C4E65">
              <w:t xml:space="preserve"> a written statement</w:t>
            </w:r>
            <w:r w:rsidR="00340AB9">
              <w:t xml:space="preserve"> (referred to in the proposed water charge rules as a ‘</w:t>
            </w:r>
            <w:r w:rsidR="00340AB9" w:rsidRPr="00340AB9">
              <w:rPr>
                <w:b/>
                <w:i/>
              </w:rPr>
              <w:t>termination information statement</w:t>
            </w:r>
            <w:r w:rsidR="00340AB9">
              <w:t>’)</w:t>
            </w:r>
            <w:r w:rsidR="00CB6A7C" w:rsidRPr="00D714FC">
              <w:t>:</w:t>
            </w:r>
            <w:bookmarkEnd w:id="1347"/>
            <w:bookmarkEnd w:id="1348"/>
            <w:bookmarkEnd w:id="1349"/>
            <w:r w:rsidR="00CB6A7C" w:rsidRPr="00D714FC">
              <w:t xml:space="preserve"> </w:t>
            </w:r>
          </w:p>
          <w:p w:rsidR="00CB6A7C" w:rsidRPr="00D714FC" w:rsidRDefault="00CB6A7C" w:rsidP="00F43856">
            <w:pPr>
              <w:pStyle w:val="Heading8"/>
              <w:numPr>
                <w:ilvl w:val="0"/>
                <w:numId w:val="107"/>
              </w:numPr>
              <w:outlineLvl w:val="7"/>
            </w:pPr>
            <w:bookmarkStart w:id="1350" w:name="_Toc436123481"/>
            <w:bookmarkStart w:id="1351" w:name="_Toc456784166"/>
            <w:r w:rsidRPr="00D714FC">
              <w:t>set</w:t>
            </w:r>
            <w:r w:rsidR="00D24967">
              <w:t>ting</w:t>
            </w:r>
            <w:r w:rsidRPr="00D714FC">
              <w:t xml:space="preserve"> out the value of the </w:t>
            </w:r>
            <w:r w:rsidR="00C859ED">
              <w:t xml:space="preserve">maximum </w:t>
            </w:r>
            <w:r w:rsidR="00251C4E" w:rsidRPr="00251C4E">
              <w:rPr>
                <w:b/>
                <w:i/>
              </w:rPr>
              <w:t xml:space="preserve">general </w:t>
            </w:r>
            <w:r w:rsidRPr="00251C4E">
              <w:rPr>
                <w:b/>
                <w:i/>
              </w:rPr>
              <w:t>termination fee</w:t>
            </w:r>
            <w:r w:rsidRPr="00D714FC">
              <w:t xml:space="preserve"> that would be payable upon termination (binding on the operator </w:t>
            </w:r>
            <w:r>
              <w:t xml:space="preserve">and the customer </w:t>
            </w:r>
            <w:r w:rsidRPr="00D714FC">
              <w:t xml:space="preserve">for </w:t>
            </w:r>
            <w:r w:rsidR="009822DA">
              <w:t>6 months</w:t>
            </w:r>
            <w:r w:rsidR="00C8730F">
              <w:rPr>
                <w:rFonts w:ascii="Calibri" w:hAnsi="Calibri"/>
              </w:rPr>
              <w:t>―</w:t>
            </w:r>
            <w:r w:rsidR="00C8730F">
              <w:t>see below</w:t>
            </w:r>
            <w:r w:rsidRPr="00D714FC">
              <w:t>), and how that fee was calculated;</w:t>
            </w:r>
            <w:bookmarkEnd w:id="1350"/>
            <w:bookmarkEnd w:id="1351"/>
          </w:p>
          <w:p w:rsidR="008314E5" w:rsidRDefault="00CB6A7C" w:rsidP="00F43856">
            <w:pPr>
              <w:pStyle w:val="Heading8"/>
              <w:numPr>
                <w:ilvl w:val="0"/>
                <w:numId w:val="107"/>
              </w:numPr>
              <w:outlineLvl w:val="7"/>
            </w:pPr>
            <w:bookmarkStart w:id="1352" w:name="_Toc436123482"/>
            <w:bookmarkStart w:id="1353" w:name="_Toc456784167"/>
            <w:r w:rsidRPr="00D714FC">
              <w:t>notify</w:t>
            </w:r>
            <w:r w:rsidR="00D24967">
              <w:t>ing</w:t>
            </w:r>
            <w:r w:rsidRPr="00D714FC">
              <w:t xml:space="preserve"> the customer if they are able to trade water delivery right </w:t>
            </w:r>
            <w:r w:rsidR="00D56323">
              <w:t xml:space="preserve">of the kind relevant to the customer’s right of access, </w:t>
            </w:r>
            <w:r w:rsidRPr="00D714FC">
              <w:t>and any rules governing such trade</w:t>
            </w:r>
            <w:r w:rsidR="008314E5">
              <w:t>;</w:t>
            </w:r>
          </w:p>
          <w:p w:rsidR="008314E5" w:rsidRDefault="008314E5" w:rsidP="00F43856">
            <w:pPr>
              <w:pStyle w:val="Heading8"/>
              <w:numPr>
                <w:ilvl w:val="0"/>
                <w:numId w:val="107"/>
              </w:numPr>
              <w:outlineLvl w:val="7"/>
            </w:pPr>
            <w:r>
              <w:t>if applicable</w:t>
            </w:r>
            <w:r>
              <w:rPr>
                <w:rFonts w:ascii="Calibri" w:hAnsi="Calibri"/>
              </w:rPr>
              <w:t>—</w:t>
            </w:r>
            <w:r>
              <w:t>setting out the amount of any disconnection fee that would apply</w:t>
            </w:r>
            <w:r w:rsidR="005C4A87">
              <w:t xml:space="preserve"> under Rule 76</w:t>
            </w:r>
            <w:r>
              <w:t>, or providing information on how a disconnection fee would be calculated;</w:t>
            </w:r>
          </w:p>
          <w:p w:rsidR="00CB6A7C" w:rsidRDefault="008314E5" w:rsidP="00F43856">
            <w:pPr>
              <w:pStyle w:val="Heading8"/>
              <w:numPr>
                <w:ilvl w:val="0"/>
                <w:numId w:val="107"/>
              </w:numPr>
              <w:outlineLvl w:val="7"/>
            </w:pPr>
            <w:r>
              <w:t>if applicable</w:t>
            </w:r>
            <w:bookmarkEnd w:id="1352"/>
            <w:bookmarkEnd w:id="1353"/>
            <w:r w:rsidR="005C4A87" w:rsidRPr="005C4A87">
              <w:t>—setting</w:t>
            </w:r>
            <w:r w:rsidR="005C4A87">
              <w:t xml:space="preserve"> out the amount of any </w:t>
            </w:r>
            <w:r w:rsidR="005C4A87" w:rsidRPr="00251C4E">
              <w:rPr>
                <w:b/>
                <w:i/>
              </w:rPr>
              <w:t xml:space="preserve">additional </w:t>
            </w:r>
            <w:r w:rsidR="00251C4E" w:rsidRPr="00251C4E">
              <w:rPr>
                <w:b/>
                <w:i/>
              </w:rPr>
              <w:t xml:space="preserve">termination </w:t>
            </w:r>
            <w:r w:rsidR="005C4A87" w:rsidRPr="00251C4E">
              <w:rPr>
                <w:b/>
                <w:i/>
              </w:rPr>
              <w:t>fee</w:t>
            </w:r>
            <w:r w:rsidR="005C4A87">
              <w:t xml:space="preserve"> relating to capital works, approved by the ACCC under rule 73.</w:t>
            </w:r>
          </w:p>
          <w:p w:rsidR="007A6416" w:rsidRPr="007A6416" w:rsidRDefault="007A6416" w:rsidP="00191A0D">
            <w:pPr>
              <w:pStyle w:val="Ruleadvicesubheading"/>
            </w:pPr>
            <w:r>
              <w:t xml:space="preserve">Operator to confirm that customer wishes to proceed with termination after providing </w:t>
            </w:r>
            <w:r w:rsidR="00340AB9">
              <w:t>termination information statement</w:t>
            </w:r>
          </w:p>
          <w:p w:rsidR="00A33363" w:rsidRDefault="00A33363" w:rsidP="00191A0D">
            <w:pPr>
              <w:pStyle w:val="Heading8"/>
              <w:outlineLvl w:val="7"/>
            </w:pPr>
            <w:r>
              <w:t xml:space="preserve">After providing the </w:t>
            </w:r>
            <w:r w:rsidR="00340AB9">
              <w:t>termination information</w:t>
            </w:r>
            <w:r>
              <w:t xml:space="preserve"> statement containing the information in (a)–(d) above, the </w:t>
            </w:r>
            <w:r w:rsidR="00337234">
              <w:t>rules should require the</w:t>
            </w:r>
            <w:r>
              <w:t xml:space="preserve"> operator to confirm that the customer wishes to proceed with the termination in order to be able to levy a termination fee.</w:t>
            </w:r>
          </w:p>
          <w:p w:rsidR="007A6416" w:rsidRPr="007A6416" w:rsidRDefault="007A6416" w:rsidP="00191A0D">
            <w:pPr>
              <w:pStyle w:val="Heading8"/>
              <w:outlineLvl w:val="7"/>
            </w:pPr>
            <w:r>
              <w:t xml:space="preserve">In the case where the operator had provided </w:t>
            </w:r>
            <w:r w:rsidR="00DB78A6">
              <w:t>the statement</w:t>
            </w:r>
            <w:r>
              <w:t xml:space="preserve"> to the customer in response to an information request (see below) within the period beginning 6 months before the operator received the customer’s written notice to terminate, the customer’s written notice should be taken as confirmation that they wish to proceed with the termination</w:t>
            </w:r>
            <w:r w:rsidR="00917BDF">
              <w:t xml:space="preserve"> (and the maximum </w:t>
            </w:r>
            <w:r w:rsidR="00251C4E">
              <w:t xml:space="preserve">general </w:t>
            </w:r>
            <w:r w:rsidR="00917BDF">
              <w:t>termination fee would be that previously provided to the customer</w:t>
            </w:r>
            <w:r w:rsidR="00DB78A6">
              <w:t xml:space="preserve"> in the statement</w:t>
            </w:r>
            <w:r w:rsidR="00917BDF">
              <w:t>)</w:t>
            </w:r>
            <w:r>
              <w:t xml:space="preserve">. </w:t>
            </w:r>
          </w:p>
          <w:p w:rsidR="00A33363" w:rsidRPr="00A33363" w:rsidRDefault="00A33363" w:rsidP="00191A0D">
            <w:pPr>
              <w:pStyle w:val="Ruleadvicesubheading"/>
            </w:pPr>
            <w:bookmarkStart w:id="1354" w:name="_Toc436123483"/>
            <w:bookmarkStart w:id="1355" w:name="_Toc456784168"/>
            <w:bookmarkStart w:id="1356" w:name="_Toc433975446"/>
            <w:r>
              <w:t xml:space="preserve">Operator to provide information in response to customer </w:t>
            </w:r>
            <w:r w:rsidR="007A6416">
              <w:t xml:space="preserve">information </w:t>
            </w:r>
            <w:r>
              <w:t>request</w:t>
            </w:r>
          </w:p>
          <w:p w:rsidR="00CB6A7C" w:rsidRDefault="00A33363" w:rsidP="00191A0D">
            <w:pPr>
              <w:pStyle w:val="Heading8"/>
              <w:outlineLvl w:val="7"/>
            </w:pPr>
            <w:r>
              <w:t>A</w:t>
            </w:r>
            <w:r w:rsidR="00CB6A7C" w:rsidRPr="00D714FC">
              <w:t xml:space="preserve">n infrastructure operator </w:t>
            </w:r>
            <w:r w:rsidR="00CB6A7C">
              <w:t xml:space="preserve">should also be required </w:t>
            </w:r>
            <w:r w:rsidR="00CB6A7C" w:rsidRPr="00D714FC">
              <w:t xml:space="preserve">to provide </w:t>
            </w:r>
            <w:r w:rsidR="00DB78A6">
              <w:t xml:space="preserve">a </w:t>
            </w:r>
            <w:r w:rsidR="00340AB9">
              <w:t>termination information</w:t>
            </w:r>
            <w:r w:rsidR="00DB78A6">
              <w:t xml:space="preserve"> statement to a customer </w:t>
            </w:r>
            <w:r w:rsidR="00CB6A7C" w:rsidRPr="00D714FC">
              <w:t>upon receiving a request from a customer for information on the termination fee that would be payable if the customer were to terminate some or all of their right of access</w:t>
            </w:r>
            <w:r w:rsidR="00191A0D">
              <w:t xml:space="preserve"> (an ‘information request’)</w:t>
            </w:r>
            <w:r w:rsidR="00CB6A7C" w:rsidRPr="00D714FC">
              <w:t>.</w:t>
            </w:r>
            <w:bookmarkEnd w:id="1354"/>
            <w:bookmarkEnd w:id="1355"/>
            <w:r w:rsidR="00CB6A7C">
              <w:t xml:space="preserve"> </w:t>
            </w:r>
          </w:p>
          <w:p w:rsidR="00CB6A7C" w:rsidRDefault="00CB6A7C" w:rsidP="00191A0D">
            <w:pPr>
              <w:pStyle w:val="Heading8"/>
              <w:outlineLvl w:val="7"/>
            </w:pPr>
            <w:bookmarkStart w:id="1357" w:name="_Toc456784169"/>
            <w:r>
              <w:t>A</w:t>
            </w:r>
            <w:r w:rsidRPr="00C51C09">
              <w:t xml:space="preserve">n operator </w:t>
            </w:r>
            <w:r w:rsidRPr="00124F30">
              <w:rPr>
                <w:i/>
              </w:rPr>
              <w:t>may</w:t>
            </w:r>
            <w:r w:rsidRPr="00C51C09">
              <w:t xml:space="preserve"> require a</w:t>
            </w:r>
            <w:r w:rsidR="00150BB6">
              <w:t>n</w:t>
            </w:r>
            <w:r w:rsidRPr="00C51C09">
              <w:t xml:space="preserve"> </w:t>
            </w:r>
            <w:r w:rsidR="00150BB6">
              <w:t xml:space="preserve">information </w:t>
            </w:r>
            <w:r w:rsidRPr="00C51C09">
              <w:t xml:space="preserve">request to be submitted in writing, but </w:t>
            </w:r>
            <w:r>
              <w:t xml:space="preserve">if it does so </w:t>
            </w:r>
            <w:r w:rsidRPr="00124F30">
              <w:rPr>
                <w:i/>
              </w:rPr>
              <w:t>must</w:t>
            </w:r>
            <w:r w:rsidRPr="00C51C09">
              <w:t xml:space="preserve"> advise </w:t>
            </w:r>
            <w:r w:rsidR="003151FE">
              <w:t xml:space="preserve">any </w:t>
            </w:r>
            <w:r w:rsidRPr="00C51C09">
              <w:t>customer</w:t>
            </w:r>
            <w:r w:rsidR="003151FE">
              <w:t xml:space="preserve"> </w:t>
            </w:r>
            <w:r w:rsidR="00150BB6">
              <w:t>who submits a non-written information request</w:t>
            </w:r>
            <w:r w:rsidR="003151FE">
              <w:t xml:space="preserve"> of this requirement</w:t>
            </w:r>
            <w:r w:rsidR="00191A0D">
              <w:t xml:space="preserve"> as soon as is practicable</w:t>
            </w:r>
            <w:r w:rsidRPr="00C51C09">
              <w:t xml:space="preserve">. Where an operator has such a policy, the rule requirement </w:t>
            </w:r>
            <w:r w:rsidR="007A6416">
              <w:t xml:space="preserve">for the operator to provide </w:t>
            </w:r>
            <w:r w:rsidR="00340AB9">
              <w:t>a termination information statement</w:t>
            </w:r>
            <w:r w:rsidR="007A6416">
              <w:t xml:space="preserve"> </w:t>
            </w:r>
            <w:r w:rsidRPr="00C51C09">
              <w:t xml:space="preserve">should apply only </w:t>
            </w:r>
            <w:r w:rsidR="007A6416">
              <w:t xml:space="preserve">in relation </w:t>
            </w:r>
            <w:r w:rsidRPr="00C51C09">
              <w:t xml:space="preserve">to </w:t>
            </w:r>
            <w:r w:rsidR="007A6416">
              <w:t xml:space="preserve">written </w:t>
            </w:r>
            <w:r w:rsidR="00150BB6">
              <w:t xml:space="preserve">information </w:t>
            </w:r>
            <w:r w:rsidRPr="00C51C09">
              <w:t xml:space="preserve">requests received </w:t>
            </w:r>
            <w:r w:rsidR="003151FE">
              <w:t>by that operator</w:t>
            </w:r>
            <w:r>
              <w:t>.</w:t>
            </w:r>
            <w:bookmarkEnd w:id="1357"/>
          </w:p>
          <w:p w:rsidR="00A33363" w:rsidRPr="00A33363" w:rsidRDefault="00A33363" w:rsidP="00191A0D">
            <w:pPr>
              <w:pStyle w:val="Ruleadvicesubheading"/>
            </w:pPr>
            <w:r w:rsidRPr="00A33363">
              <w:t xml:space="preserve">Operator only permitted to levy a termination fee </w:t>
            </w:r>
            <w:r w:rsidR="007A6416">
              <w:t xml:space="preserve">when customer terminates </w:t>
            </w:r>
            <w:r w:rsidRPr="00A33363">
              <w:t>if information has been provided within required timeframe</w:t>
            </w:r>
          </w:p>
          <w:p w:rsidR="00251C4E" w:rsidRDefault="000A1352" w:rsidP="00191A0D">
            <w:pPr>
              <w:pStyle w:val="Heading8"/>
              <w:outlineLvl w:val="7"/>
            </w:pPr>
            <w:bookmarkStart w:id="1358" w:name="_Toc456784170"/>
            <w:r>
              <w:t xml:space="preserve">The rules should provide that, </w:t>
            </w:r>
            <w:r w:rsidR="00C8730F">
              <w:t>where</w:t>
            </w:r>
            <w:r>
              <w:t xml:space="preserve"> the customer instigates a termination by submitting written notice to the operator, the operator may not levy a termination fee unless it has already provided the customer with </w:t>
            </w:r>
            <w:r w:rsidR="00DB78A6">
              <w:t xml:space="preserve">a </w:t>
            </w:r>
            <w:r w:rsidR="00340AB9">
              <w:t>termination information</w:t>
            </w:r>
            <w:r w:rsidR="00DB78A6">
              <w:t xml:space="preserve"> statement setting out </w:t>
            </w:r>
            <w:r>
              <w:t>the information in items (a)</w:t>
            </w:r>
            <w:r w:rsidR="00C8730F">
              <w:t>–</w:t>
            </w:r>
            <w:r w:rsidR="007A6416">
              <w:t>(</w:t>
            </w:r>
            <w:r w:rsidR="00C8730F">
              <w:t>d</w:t>
            </w:r>
            <w:r>
              <w:t xml:space="preserve">) above </w:t>
            </w:r>
            <w:r w:rsidR="00620EC8">
              <w:t xml:space="preserve">within the </w:t>
            </w:r>
            <w:r w:rsidR="00DB78A6">
              <w:t>previous</w:t>
            </w:r>
            <w:r w:rsidR="00620EC8">
              <w:t xml:space="preserve"> </w:t>
            </w:r>
            <w:r>
              <w:t>6 months</w:t>
            </w:r>
            <w:r w:rsidR="00DB78A6">
              <w:t>. However</w:t>
            </w:r>
            <w:r w:rsidR="00C8730F">
              <w:t xml:space="preserve">, in the case where the customer specifies a future date on which the termination is to </w:t>
            </w:r>
            <w:r w:rsidR="00917BDF">
              <w:t>take effect</w:t>
            </w:r>
            <w:r w:rsidR="00C8730F">
              <w:t xml:space="preserve">, the </w:t>
            </w:r>
            <w:r w:rsidR="00C34459">
              <w:t xml:space="preserve">termination </w:t>
            </w:r>
            <w:r w:rsidR="00DB78A6">
              <w:t xml:space="preserve">information </w:t>
            </w:r>
            <w:r w:rsidR="00C34459">
              <w:t xml:space="preserve">statement </w:t>
            </w:r>
            <w:r w:rsidR="00DB78A6">
              <w:t xml:space="preserve">must have been given within the </w:t>
            </w:r>
            <w:r w:rsidR="00C8730F">
              <w:t>period beginning 6 months before</w:t>
            </w:r>
            <w:r w:rsidR="000E5718">
              <w:t xml:space="preserve"> </w:t>
            </w:r>
            <w:r w:rsidR="00C8730F">
              <w:t xml:space="preserve">that </w:t>
            </w:r>
            <w:r w:rsidR="000E5718">
              <w:t>future date</w:t>
            </w:r>
            <w:r>
              <w:t>.</w:t>
            </w:r>
            <w:r w:rsidR="00DB78A6">
              <w:t xml:space="preserve"> </w:t>
            </w:r>
          </w:p>
          <w:p w:rsidR="00DB78A6" w:rsidRDefault="00251C4E" w:rsidP="00191A0D">
            <w:pPr>
              <w:pStyle w:val="Heading8"/>
              <w:outlineLvl w:val="7"/>
            </w:pPr>
            <w:r>
              <w:t>If the operator had not previously provided the termination information statement within the relevant time, they must do so after receiving the notice from the customer, and may only levy a termination fee if a customer, having been given the termination information statement, confirms that they wish to proceed with the termination.</w:t>
            </w:r>
          </w:p>
          <w:p w:rsidR="000A1352" w:rsidRPr="00251C4E" w:rsidRDefault="00DB78A6" w:rsidP="00191A0D">
            <w:pPr>
              <w:pStyle w:val="Heading8"/>
              <w:outlineLvl w:val="7"/>
            </w:pPr>
            <w:r>
              <w:t xml:space="preserve">The maximum </w:t>
            </w:r>
            <w:r w:rsidR="00251C4E" w:rsidRPr="00251C4E">
              <w:rPr>
                <w:i/>
              </w:rPr>
              <w:t>general</w:t>
            </w:r>
            <w:r w:rsidR="00251C4E">
              <w:t xml:space="preserve"> </w:t>
            </w:r>
            <w:r>
              <w:t xml:space="preserve">termination fee the operator can levy is that set out in the </w:t>
            </w:r>
            <w:r w:rsidR="00C34459">
              <w:t>termination information</w:t>
            </w:r>
            <w:r>
              <w:t xml:space="preserve"> statement.</w:t>
            </w:r>
            <w:r w:rsidR="00251C4E">
              <w:t xml:space="preserve"> If applicable, the maximum </w:t>
            </w:r>
            <w:r w:rsidR="00251C4E">
              <w:rPr>
                <w:i/>
              </w:rPr>
              <w:t xml:space="preserve">additional </w:t>
            </w:r>
            <w:r w:rsidR="00251C4E">
              <w:t>termination fee is the relevant fee approved by the ACCC under rule 73.</w:t>
            </w:r>
          </w:p>
          <w:bookmarkEnd w:id="1358"/>
          <w:p w:rsidR="000A1352" w:rsidRPr="004A065E" w:rsidRDefault="000A1352" w:rsidP="00191A0D">
            <w:pPr>
              <w:pStyle w:val="Heading8"/>
              <w:outlineLvl w:val="7"/>
              <w:rPr>
                <w:sz w:val="18"/>
              </w:rPr>
            </w:pPr>
            <w:r w:rsidRPr="004A065E">
              <w:rPr>
                <w:i/>
                <w:sz w:val="18"/>
              </w:rPr>
              <w:t xml:space="preserve">Note: </w:t>
            </w:r>
            <w:r w:rsidRPr="004A065E">
              <w:rPr>
                <w:sz w:val="18"/>
              </w:rPr>
              <w:t>If an operator instigates a termination due to a customer’s breach of contract (as is provided for in subrule 71(</w:t>
            </w:r>
            <w:r w:rsidR="00AD270C" w:rsidRPr="004A065E">
              <w:rPr>
                <w:sz w:val="18"/>
              </w:rPr>
              <w:t>3</w:t>
            </w:r>
            <w:r w:rsidRPr="004A065E">
              <w:rPr>
                <w:sz w:val="18"/>
              </w:rPr>
              <w:t>), an operator should not be required</w:t>
            </w:r>
            <w:r w:rsidR="00C34459" w:rsidRPr="004A065E">
              <w:rPr>
                <w:sz w:val="18"/>
              </w:rPr>
              <w:t xml:space="preserve"> to provide a termination information statement</w:t>
            </w:r>
            <w:r w:rsidRPr="004A065E">
              <w:rPr>
                <w:sz w:val="18"/>
              </w:rPr>
              <w:t>.</w:t>
            </w:r>
          </w:p>
          <w:p w:rsidR="00CB6A7C" w:rsidRPr="00D714FC" w:rsidRDefault="00CB6A7C" w:rsidP="00191A0D">
            <w:pPr>
              <w:pStyle w:val="Heading8"/>
              <w:outlineLvl w:val="7"/>
            </w:pPr>
            <w:bookmarkStart w:id="1359" w:name="_Toc436123484"/>
            <w:bookmarkStart w:id="1360" w:name="_Toc456784171"/>
            <w:r w:rsidRPr="00D714FC">
              <w:t>Th</w:t>
            </w:r>
            <w:r w:rsidR="00C34459">
              <w:t>e</w:t>
            </w:r>
            <w:r w:rsidRPr="00D714FC">
              <w:t>s</w:t>
            </w:r>
            <w:r w:rsidR="00C34459">
              <w:t>e</w:t>
            </w:r>
            <w:r w:rsidRPr="00D714FC">
              <w:t xml:space="preserve"> </w:t>
            </w:r>
            <w:r w:rsidR="008A2B0A">
              <w:t>rule</w:t>
            </w:r>
            <w:r w:rsidR="00C34459">
              <w:t>s</w:t>
            </w:r>
            <w:r w:rsidRPr="00D714FC">
              <w:t xml:space="preserve"> should be a civil penalty provision.</w:t>
            </w:r>
            <w:bookmarkEnd w:id="1356"/>
            <w:bookmarkEnd w:id="1359"/>
            <w:bookmarkEnd w:id="1360"/>
            <w:r w:rsidRPr="00D714FC">
              <w:t xml:space="preserve"> </w:t>
            </w:r>
          </w:p>
          <w:p w:rsidR="00CB6A7C" w:rsidRPr="004A065E" w:rsidRDefault="00CB6A7C" w:rsidP="00191A0D">
            <w:pPr>
              <w:rPr>
                <w:rFonts w:ascii="Verdana" w:hAnsi="Verdana"/>
                <w:i/>
                <w:sz w:val="18"/>
                <w:szCs w:val="20"/>
              </w:rPr>
            </w:pPr>
            <w:r w:rsidRPr="004A065E">
              <w:rPr>
                <w:rFonts w:ascii="Verdana" w:hAnsi="Verdana"/>
                <w:i/>
                <w:sz w:val="18"/>
                <w:szCs w:val="20"/>
              </w:rPr>
              <w:t xml:space="preserve">See also </w:t>
            </w:r>
            <w:r w:rsidR="00AD6514" w:rsidRPr="004A065E">
              <w:rPr>
                <w:rFonts w:ascii="Verdana" w:hAnsi="Verdana"/>
                <w:i/>
                <w:sz w:val="18"/>
                <w:szCs w:val="20"/>
              </w:rPr>
              <w:t>r</w:t>
            </w:r>
            <w:r w:rsidR="002835C6" w:rsidRPr="004A065E">
              <w:rPr>
                <w:rFonts w:ascii="Verdana" w:hAnsi="Verdana"/>
                <w:i/>
                <w:sz w:val="18"/>
                <w:szCs w:val="20"/>
              </w:rPr>
              <w:t>ule advice 6-E</w:t>
            </w:r>
            <w:r w:rsidRPr="004A065E">
              <w:rPr>
                <w:rFonts w:ascii="Verdana" w:hAnsi="Verdana"/>
                <w:i/>
                <w:sz w:val="18"/>
                <w:szCs w:val="20"/>
              </w:rPr>
              <w:t>.</w:t>
            </w:r>
          </w:p>
          <w:p w:rsidR="002B6BB2" w:rsidRDefault="00CB6A7C" w:rsidP="00191A0D">
            <w:pPr>
              <w:pStyle w:val="Heading8"/>
              <w:spacing w:before="120"/>
              <w:outlineLvl w:val="7"/>
              <w:rPr>
                <w:rFonts w:ascii="Times New Roman" w:hAnsi="Times New Roman"/>
              </w:rPr>
            </w:pPr>
            <w:bookmarkStart w:id="1361" w:name="_Toc436123485"/>
            <w:bookmarkStart w:id="1362" w:name="_Toc456784172"/>
            <w:r w:rsidRPr="002835C6">
              <w:rPr>
                <w:rFonts w:ascii="Times New Roman" w:hAnsi="Times New Roman"/>
              </w:rPr>
              <w:t xml:space="preserve">This rule advice is implemented in </w:t>
            </w:r>
            <w:r w:rsidR="00A52AF4">
              <w:rPr>
                <w:rFonts w:ascii="Times New Roman" w:hAnsi="Times New Roman"/>
              </w:rPr>
              <w:t>r</w:t>
            </w:r>
            <w:r w:rsidRPr="002835C6">
              <w:rPr>
                <w:rFonts w:ascii="Times New Roman" w:hAnsi="Times New Roman"/>
              </w:rPr>
              <w:t>ule</w:t>
            </w:r>
            <w:r w:rsidR="00B417CE">
              <w:rPr>
                <w:rFonts w:ascii="Times New Roman" w:hAnsi="Times New Roman"/>
              </w:rPr>
              <w:t>s</w:t>
            </w:r>
            <w:r w:rsidRPr="002835C6">
              <w:rPr>
                <w:rFonts w:ascii="Times New Roman" w:hAnsi="Times New Roman"/>
              </w:rPr>
              <w:t xml:space="preserve"> </w:t>
            </w:r>
            <w:r w:rsidR="00150BB6">
              <w:rPr>
                <w:rFonts w:ascii="Times New Roman" w:hAnsi="Times New Roman"/>
              </w:rPr>
              <w:t xml:space="preserve">71 and </w:t>
            </w:r>
            <w:r w:rsidRPr="002835C6">
              <w:rPr>
                <w:rFonts w:ascii="Times New Roman" w:hAnsi="Times New Roman"/>
              </w:rPr>
              <w:t xml:space="preserve">74 of the proposed </w:t>
            </w:r>
            <w:r w:rsidR="00222D0D">
              <w:rPr>
                <w:rFonts w:ascii="Times New Roman" w:hAnsi="Times New Roman"/>
              </w:rPr>
              <w:t>W</w:t>
            </w:r>
            <w:r w:rsidRPr="002835C6">
              <w:rPr>
                <w:rFonts w:ascii="Times New Roman" w:hAnsi="Times New Roman"/>
              </w:rPr>
              <w:t xml:space="preserve">ater </w:t>
            </w:r>
            <w:r w:rsidR="00222D0D">
              <w:rPr>
                <w:rFonts w:ascii="Times New Roman" w:hAnsi="Times New Roman"/>
              </w:rPr>
              <w:t>C</w:t>
            </w:r>
            <w:r w:rsidRPr="002835C6">
              <w:rPr>
                <w:rFonts w:ascii="Times New Roman" w:hAnsi="Times New Roman"/>
              </w:rPr>
              <w:t xml:space="preserve">harge </w:t>
            </w:r>
            <w:r w:rsidR="00222D0D">
              <w:rPr>
                <w:rFonts w:ascii="Times New Roman" w:hAnsi="Times New Roman"/>
              </w:rPr>
              <w:t>R</w:t>
            </w:r>
            <w:r w:rsidRPr="002835C6">
              <w:rPr>
                <w:rFonts w:ascii="Times New Roman" w:hAnsi="Times New Roman"/>
              </w:rPr>
              <w:t>ules.</w:t>
            </w:r>
            <w:bookmarkEnd w:id="1346"/>
            <w:bookmarkEnd w:id="1361"/>
            <w:bookmarkEnd w:id="1362"/>
          </w:p>
          <w:p w:rsidR="00665D32" w:rsidRPr="00665D32" w:rsidRDefault="00665D32" w:rsidP="00191A0D">
            <w:pPr>
              <w:pStyle w:val="Heading8"/>
              <w:outlineLvl w:val="7"/>
            </w:pPr>
          </w:p>
          <w:p w:rsidR="002835C6" w:rsidRPr="00994D7E" w:rsidRDefault="002835C6" w:rsidP="00191A0D">
            <w:pPr>
              <w:pStyle w:val="Caption"/>
              <w:keepNext w:val="0"/>
              <w:keepLines w:val="0"/>
            </w:pPr>
            <w:bookmarkStart w:id="1363" w:name="_Toc456784173"/>
            <w:r w:rsidRPr="00D714FC">
              <w:t xml:space="preserve">Rule advice </w:t>
            </w:r>
            <w:r w:rsidR="007F659D">
              <w:rPr>
                <w:noProof/>
              </w:rPr>
              <w:t>6</w:t>
            </w:r>
            <w:r>
              <w:noBreakHyphen/>
            </w:r>
            <w:r w:rsidR="007F659D">
              <w:rPr>
                <w:noProof/>
              </w:rPr>
              <w:t>G</w:t>
            </w:r>
            <w:bookmarkEnd w:id="1363"/>
          </w:p>
          <w:p w:rsidR="002B6BB2" w:rsidRPr="00D714FC" w:rsidRDefault="002B6BB2" w:rsidP="00191A0D">
            <w:pPr>
              <w:pStyle w:val="Heading8"/>
              <w:outlineLvl w:val="7"/>
            </w:pPr>
            <w:bookmarkStart w:id="1364" w:name="_Toc456784174"/>
            <w:bookmarkStart w:id="1365" w:name="Rule_Advice_6G"/>
            <w:r w:rsidRPr="00D714FC">
              <w:t xml:space="preserve">The rules should be amended to </w:t>
            </w:r>
            <w:r>
              <w:t xml:space="preserve">make clear that the </w:t>
            </w:r>
            <w:r w:rsidR="00DA6CFB">
              <w:t xml:space="preserve">operation of </w:t>
            </w:r>
            <w:r>
              <w:t xml:space="preserve">proposed </w:t>
            </w:r>
            <w:r w:rsidR="00A52AF4">
              <w:t>sub</w:t>
            </w:r>
            <w:r>
              <w:t>rule 71(</w:t>
            </w:r>
            <w:r w:rsidR="00722066">
              <w:t>9</w:t>
            </w:r>
            <w:r>
              <w:t xml:space="preserve">)(b) </w:t>
            </w:r>
            <w:r w:rsidR="00DA6CFB">
              <w:t>(current rule WCTFR 6(2)(b)) should be confined to where an operator provides a service for the storage of water using its own water service infrastructure.</w:t>
            </w:r>
            <w:bookmarkEnd w:id="1364"/>
          </w:p>
          <w:p w:rsidR="002B6BB2" w:rsidRPr="002835C6" w:rsidRDefault="002B6BB2" w:rsidP="00191A0D">
            <w:pPr>
              <w:pStyle w:val="Heading8"/>
              <w:outlineLvl w:val="7"/>
              <w:rPr>
                <w:rFonts w:ascii="Times New Roman" w:hAnsi="Times New Roman"/>
              </w:rPr>
            </w:pPr>
            <w:bookmarkStart w:id="1366" w:name="_Toc456784175"/>
            <w:r w:rsidRPr="002835C6">
              <w:rPr>
                <w:rFonts w:ascii="Times New Roman" w:hAnsi="Times New Roman"/>
              </w:rPr>
              <w:t>This rule advice is implemented in</w:t>
            </w:r>
            <w:r w:rsidR="00A52AF4">
              <w:rPr>
                <w:rFonts w:ascii="Times New Roman" w:hAnsi="Times New Roman"/>
              </w:rPr>
              <w:t xml:space="preserve"> sub</w:t>
            </w:r>
            <w:r w:rsidR="00AD6514">
              <w:rPr>
                <w:rFonts w:ascii="Times New Roman" w:hAnsi="Times New Roman"/>
              </w:rPr>
              <w:t>r</w:t>
            </w:r>
            <w:r w:rsidRPr="002835C6">
              <w:rPr>
                <w:rFonts w:ascii="Times New Roman" w:hAnsi="Times New Roman"/>
              </w:rPr>
              <w:t>ule 71(</w:t>
            </w:r>
            <w:r w:rsidR="00722066">
              <w:rPr>
                <w:rFonts w:ascii="Times New Roman" w:hAnsi="Times New Roman"/>
              </w:rPr>
              <w:t>9</w:t>
            </w:r>
            <w:r w:rsidRPr="002835C6">
              <w:rPr>
                <w:rFonts w:ascii="Times New Roman" w:hAnsi="Times New Roman"/>
              </w:rPr>
              <w:t xml:space="preserve">)(b) of the proposed </w:t>
            </w:r>
            <w:r w:rsidR="00222D0D">
              <w:rPr>
                <w:rFonts w:ascii="Times New Roman" w:hAnsi="Times New Roman"/>
              </w:rPr>
              <w:t>W</w:t>
            </w:r>
            <w:r w:rsidRPr="002835C6">
              <w:rPr>
                <w:rFonts w:ascii="Times New Roman" w:hAnsi="Times New Roman"/>
              </w:rPr>
              <w:t xml:space="preserve">ater </w:t>
            </w:r>
            <w:r w:rsidR="00222D0D">
              <w:rPr>
                <w:rFonts w:ascii="Times New Roman" w:hAnsi="Times New Roman"/>
              </w:rPr>
              <w:t>C</w:t>
            </w:r>
            <w:r w:rsidRPr="002835C6">
              <w:rPr>
                <w:rFonts w:ascii="Times New Roman" w:hAnsi="Times New Roman"/>
              </w:rPr>
              <w:t xml:space="preserve">harge </w:t>
            </w:r>
            <w:r w:rsidR="00222D0D">
              <w:rPr>
                <w:rFonts w:ascii="Times New Roman" w:hAnsi="Times New Roman"/>
              </w:rPr>
              <w:t>R</w:t>
            </w:r>
            <w:r w:rsidRPr="002835C6">
              <w:rPr>
                <w:rFonts w:ascii="Times New Roman" w:hAnsi="Times New Roman"/>
              </w:rPr>
              <w:t>ules</w:t>
            </w:r>
            <w:r w:rsidR="00C644EB">
              <w:rPr>
                <w:rFonts w:ascii="Times New Roman" w:hAnsi="Times New Roman"/>
              </w:rPr>
              <w:t xml:space="preserve">. </w:t>
            </w:r>
            <w:bookmarkEnd w:id="1365"/>
            <w:bookmarkEnd w:id="1366"/>
          </w:p>
        </w:tc>
      </w:tr>
    </w:tbl>
    <w:bookmarkEnd w:id="1341"/>
    <w:bookmarkEnd w:id="1342"/>
    <w:p w:rsidR="00CB6A7C" w:rsidRPr="006246A8" w:rsidRDefault="00CB6A7C" w:rsidP="00CE67EB">
      <w:pPr>
        <w:pStyle w:val="Heading3Un-numbered"/>
      </w:pPr>
      <w:r>
        <w:t>Background</w:t>
      </w:r>
    </w:p>
    <w:p w:rsidR="00CB6A7C" w:rsidRPr="00D714FC" w:rsidRDefault="00CB6A7C" w:rsidP="00CB6A7C">
      <w:pPr>
        <w:rPr>
          <w:rFonts w:eastAsia="Arial"/>
        </w:rPr>
      </w:pPr>
      <w:r w:rsidRPr="00D714FC">
        <w:rPr>
          <w:rFonts w:eastAsia="Arial"/>
        </w:rPr>
        <w:t xml:space="preserve">The </w:t>
      </w:r>
      <w:r w:rsidR="00DE74BD" w:rsidRPr="00524D9F">
        <w:rPr>
          <w:rFonts w:cs="Times New Roman"/>
        </w:rPr>
        <w:t>Water Charge (Termination Fee</w:t>
      </w:r>
      <w:r w:rsidR="00FE5641">
        <w:rPr>
          <w:rFonts w:cs="Times New Roman"/>
        </w:rPr>
        <w:t>s</w:t>
      </w:r>
      <w:r w:rsidR="00DE74BD" w:rsidRPr="00524D9F">
        <w:rPr>
          <w:rFonts w:cs="Times New Roman"/>
        </w:rPr>
        <w:t>) Rules 2009</w:t>
      </w:r>
      <w:r w:rsidR="00DE74BD">
        <w:rPr>
          <w:rFonts w:cs="Times New Roman"/>
        </w:rPr>
        <w:t xml:space="preserve"> (</w:t>
      </w:r>
      <w:r w:rsidRPr="00D714FC">
        <w:rPr>
          <w:rFonts w:eastAsia="Arial"/>
        </w:rPr>
        <w:t>WCTFR</w:t>
      </w:r>
      <w:r w:rsidR="00DE74BD">
        <w:rPr>
          <w:rFonts w:eastAsia="Arial"/>
        </w:rPr>
        <w:t>)</w:t>
      </w:r>
      <w:r w:rsidRPr="00D714FC">
        <w:rPr>
          <w:rFonts w:eastAsia="Arial"/>
        </w:rPr>
        <w:t xml:space="preserve"> prohibit an operator from charging a termination fee except in circumstances authorised by the WCTFR. Where an operator is able to charge a termination fee, the WCTFR regulated the maximum amount that can be imposed. </w:t>
      </w:r>
    </w:p>
    <w:p w:rsidR="00CB6A7C" w:rsidRPr="000C6E30" w:rsidRDefault="00CB6A7C" w:rsidP="00E83E5D">
      <w:pPr>
        <w:pStyle w:val="Heading4-Un-numberedsubheading-Lvl5"/>
      </w:pPr>
      <w:r>
        <w:t>Specific c</w:t>
      </w:r>
      <w:r w:rsidRPr="000C6E30">
        <w:t xml:space="preserve">ircumstances in which an operator may not impose a termination fee </w:t>
      </w:r>
    </w:p>
    <w:p w:rsidR="00CB6A7C" w:rsidRPr="00D714FC" w:rsidRDefault="00CB6A7C" w:rsidP="00001CBF">
      <w:pPr>
        <w:spacing w:after="120"/>
      </w:pPr>
      <w:r w:rsidRPr="00D714FC">
        <w:t xml:space="preserve">Currently, an irrigator may elect to terminate or surrender their right of access to the </w:t>
      </w:r>
      <w:r w:rsidR="00D16913">
        <w:t>irrigation infrastructure operator’s (</w:t>
      </w:r>
      <w:r w:rsidRPr="00D714FC">
        <w:t>IIO’s</w:t>
      </w:r>
      <w:r w:rsidR="00D16913">
        <w:t>)</w:t>
      </w:r>
      <w:r w:rsidRPr="00D714FC">
        <w:t xml:space="preserve"> irrigation network by giving written notice to the operator. An operator may impose a termination fee without written notice from the irrigator only where the operator terminates the irrigator's right of access due to the irrigator breaching their obligations under their contractual right of access. However, an operator is not permitted to impose a termination fee on an irrigator if:</w:t>
      </w:r>
    </w:p>
    <w:p w:rsidR="00CB6A7C" w:rsidRPr="00D714FC" w:rsidRDefault="00CB6A7C" w:rsidP="00A82DE6">
      <w:pPr>
        <w:pStyle w:val="Lvl1Bulletpoint"/>
        <w:numPr>
          <w:ilvl w:val="0"/>
          <w:numId w:val="3"/>
        </w:numPr>
      </w:pPr>
      <w:r w:rsidRPr="00D714FC">
        <w:t>the customer is not liable to pay ongoing access fees and is not liable to pay a termination fee under any contract with the operator;</w:t>
      </w:r>
      <w:r w:rsidRPr="00D714FC">
        <w:rPr>
          <w:rStyle w:val="FootnoteReference"/>
          <w:szCs w:val="24"/>
        </w:rPr>
        <w:footnoteReference w:id="742"/>
      </w:r>
      <w:r w:rsidRPr="00D714FC">
        <w:t xml:space="preserve"> or</w:t>
      </w:r>
    </w:p>
    <w:p w:rsidR="00CB6A7C" w:rsidRPr="00D148B6" w:rsidRDefault="00CB6A7C" w:rsidP="00A82DE6">
      <w:pPr>
        <w:pStyle w:val="Lvl1Bulletpoint"/>
        <w:numPr>
          <w:ilvl w:val="0"/>
          <w:numId w:val="3"/>
        </w:numPr>
        <w:rPr>
          <w:color w:val="000000"/>
        </w:rPr>
      </w:pPr>
      <w:r w:rsidRPr="00D714FC">
        <w:t>the operator does not separate out fees for a service for the storage of water that it provides, from the charges in respect of the customer’s right of access.</w:t>
      </w:r>
      <w:r w:rsidRPr="00D714FC">
        <w:rPr>
          <w:rStyle w:val="FootnoteReference"/>
          <w:szCs w:val="24"/>
        </w:rPr>
        <w:footnoteReference w:id="743"/>
      </w:r>
    </w:p>
    <w:p w:rsidR="00CB6A7C" w:rsidRDefault="00CB6A7C" w:rsidP="00CB6A7C">
      <w:r>
        <w:t>The ACCC considered in its Draft Advice that in these circumstances it remains appropriate that operators be prohibited from imposing termination fees. As such, the ACCC did not propose amendments to these current rule requirements.</w:t>
      </w:r>
    </w:p>
    <w:p w:rsidR="00CB6A7C" w:rsidRPr="00D714FC" w:rsidRDefault="00CB6A7C" w:rsidP="00CB6A7C">
      <w:pPr>
        <w:rPr>
          <w:i/>
        </w:rPr>
      </w:pPr>
      <w:r>
        <w:t>S</w:t>
      </w:r>
      <w:r w:rsidRPr="00D714FC">
        <w:t xml:space="preserve">pecific </w:t>
      </w:r>
      <w:r>
        <w:t xml:space="preserve">additional </w:t>
      </w:r>
      <w:r w:rsidRPr="00D714FC">
        <w:t xml:space="preserve">instances where the WCTFR currently do permit, but, in the view of certain stakeholders, should </w:t>
      </w:r>
      <w:r w:rsidRPr="00D714FC">
        <w:rPr>
          <w:i/>
        </w:rPr>
        <w:t xml:space="preserve">not </w:t>
      </w:r>
      <w:r w:rsidRPr="00D714FC">
        <w:t>permit a termination fee to be imposed</w:t>
      </w:r>
      <w:r>
        <w:t xml:space="preserve"> (or where an operator should be required to discount termination fees)</w:t>
      </w:r>
      <w:r w:rsidRPr="00D714FC">
        <w:t xml:space="preserve">, </w:t>
      </w:r>
      <w:r>
        <w:t>were</w:t>
      </w:r>
      <w:r w:rsidRPr="00D714FC">
        <w:t xml:space="preserve"> discussed in previous sections</w:t>
      </w:r>
      <w:r w:rsidR="00E848C4">
        <w:t xml:space="preserve"> (see 6.2.1 and 6.2.2)</w:t>
      </w:r>
      <w:r>
        <w:t>.</w:t>
      </w:r>
    </w:p>
    <w:p w:rsidR="00CB6A7C" w:rsidRPr="00BB46A0" w:rsidRDefault="00CB6A7C" w:rsidP="00E83E5D">
      <w:pPr>
        <w:pStyle w:val="Heading4-Un-numberedsubheading-Lvl5"/>
      </w:pPr>
      <w:r w:rsidRPr="00BB46A0">
        <w:t>Operation of</w:t>
      </w:r>
      <w:r>
        <w:t xml:space="preserve"> proposed </w:t>
      </w:r>
      <w:r w:rsidR="00A52AF4">
        <w:t>r</w:t>
      </w:r>
      <w:r w:rsidRPr="00BB46A0">
        <w:t>ule 77 (current WCTFR rule 11)</w:t>
      </w:r>
    </w:p>
    <w:p w:rsidR="00CB6A7C" w:rsidRDefault="00CB6A7C" w:rsidP="00CB6A7C">
      <w:r>
        <w:t xml:space="preserve">The current WCTFR contains a provision (rule 11) that, where an infrastructure operator has a right to terminate a right of access (e.g. in an existing contract or arrangement), the WCTFR do not remove that right or preclude the operator from exercising this right. This rule notes, however, that an operator who exercises such a right may only charge a </w:t>
      </w:r>
      <w:r w:rsidR="00BF3D84">
        <w:t xml:space="preserve">fee, charge or payment in respect of such a </w:t>
      </w:r>
      <w:r>
        <w:t xml:space="preserve">termination </w:t>
      </w:r>
      <w:r w:rsidR="00BF3D84">
        <w:t xml:space="preserve">if it is expressly authorised by </w:t>
      </w:r>
      <w:r>
        <w:t>the WCTFR.</w:t>
      </w:r>
    </w:p>
    <w:p w:rsidR="00CB6A7C" w:rsidRPr="00D714FC" w:rsidRDefault="00CB6A7C" w:rsidP="00E83E5D">
      <w:pPr>
        <w:pStyle w:val="Heading4-Un-numberedsubheading-Lvl5"/>
      </w:pPr>
      <w:r w:rsidRPr="00D714FC">
        <w:t>Operator’s responsibilities upon receiving notice of intention to terminate</w:t>
      </w:r>
    </w:p>
    <w:p w:rsidR="00CB6A7C" w:rsidRPr="00D714FC" w:rsidRDefault="00CB6A7C" w:rsidP="00CB6A7C">
      <w:pPr>
        <w:rPr>
          <w:rFonts w:eastAsia="Calibri"/>
        </w:rPr>
      </w:pPr>
      <w:r w:rsidRPr="00D714FC">
        <w:t xml:space="preserve">Although not raised directly by stakeholders, the ACCC considers that the processes for terminations, and in particular the operator’s responsibilities during that process, form an important aspect of an operator’s ability to charge a termination fee. </w:t>
      </w:r>
    </w:p>
    <w:p w:rsidR="00CB6A7C" w:rsidRPr="00D714FC" w:rsidRDefault="00CB6A7C" w:rsidP="00001CBF">
      <w:pPr>
        <w:spacing w:after="120"/>
      </w:pPr>
      <w:r>
        <w:t>The ACCC’s Draft Advice noted that u</w:t>
      </w:r>
      <w:r w:rsidRPr="00D714FC">
        <w:t xml:space="preserve">nder the current </w:t>
      </w:r>
      <w:r>
        <w:t>WCTFR</w:t>
      </w:r>
      <w:r w:rsidRPr="00D714FC">
        <w:t xml:space="preserve">, there is no </w:t>
      </w:r>
      <w:r>
        <w:t>process by which a customer may inquire, and receive notice from the operator, about what termination fee would apply prior to submitting a notice of intention to terminate</w:t>
      </w:r>
      <w:r w:rsidRPr="00D714FC">
        <w:t xml:space="preserve">. </w:t>
      </w:r>
      <w:r>
        <w:t>This means that a</w:t>
      </w:r>
      <w:r w:rsidRPr="00D714FC">
        <w:t>n irrigator will not necessarily know the amount of the termination fee that would be payable until they provide notice that they are in fact terminating their right of access. The rules also do not require the infrastructure operator to set out how they have calculated, or intend to calculate, the termination fee.</w:t>
      </w:r>
    </w:p>
    <w:p w:rsidR="00CB6A7C" w:rsidRDefault="00CB6A7C" w:rsidP="00A82DE6">
      <w:pPr>
        <w:pStyle w:val="Lvl1Bulletpoint"/>
      </w:pPr>
      <w:r w:rsidRPr="00BF3D84">
        <w:t xml:space="preserve">The ACCC noted that a similar mechanism does already exist under the </w:t>
      </w:r>
      <w:r w:rsidRPr="00524D9F">
        <w:t>Water Market Rules</w:t>
      </w:r>
      <w:r w:rsidR="009321E5" w:rsidRPr="00524D9F">
        <w:t xml:space="preserve"> 2009</w:t>
      </w:r>
      <w:r w:rsidR="009321E5">
        <w:t xml:space="preserve"> (WMR)</w:t>
      </w:r>
      <w:r w:rsidRPr="00BF3D84">
        <w:t xml:space="preserve"> in relation to transformations</w:t>
      </w:r>
      <w:r w:rsidR="00BF3D84">
        <w:t>,</w:t>
      </w:r>
      <w:r w:rsidRPr="00BF3D84">
        <w:rPr>
          <w:rStyle w:val="FootnoteReference"/>
        </w:rPr>
        <w:footnoteReference w:id="744"/>
      </w:r>
      <w:r w:rsidRPr="00BF3D84">
        <w:t xml:space="preserve"> </w:t>
      </w:r>
      <w:r>
        <w:t xml:space="preserve">and considered </w:t>
      </w:r>
      <w:r w:rsidRPr="00D714FC">
        <w:t xml:space="preserve">that there would be benefit in providing </w:t>
      </w:r>
      <w:r>
        <w:t xml:space="preserve">such </w:t>
      </w:r>
      <w:r w:rsidRPr="00D714FC">
        <w:t>a mechanism in relation to termination fees</w:t>
      </w:r>
      <w:r>
        <w:t>. Draft rule advice 6-F was made to that effect</w:t>
      </w:r>
      <w:r w:rsidRPr="00D714FC">
        <w:t xml:space="preserve">. </w:t>
      </w:r>
      <w:r>
        <w:t xml:space="preserve">The draft rule advice recommended that the amount of the termination fee specified in a notice provided to a customer should be binding on the operator for </w:t>
      </w:r>
      <w:r w:rsidRPr="00630977">
        <w:t>30 business days</w:t>
      </w:r>
      <w:r>
        <w:t>.</w:t>
      </w:r>
    </w:p>
    <w:p w:rsidR="00CB6A7C" w:rsidRDefault="00CB6A7C" w:rsidP="00001CBF">
      <w:pPr>
        <w:pStyle w:val="Lvl1Bulletpoint"/>
        <w:spacing w:after="0"/>
        <w:ind w:left="568" w:hanging="284"/>
      </w:pPr>
      <w:r>
        <w:t>The ACCC further considered that, when providing notice of what the termination fee would be, an operator should also be required to:</w:t>
      </w:r>
    </w:p>
    <w:p w:rsidR="00CB6A7C" w:rsidRDefault="00CB6A7C" w:rsidP="009B6ED8">
      <w:pPr>
        <w:pStyle w:val="Lvl2Bulletpoint"/>
      </w:pPr>
      <w:r>
        <w:t>set out how that termination fee was calculated; and</w:t>
      </w:r>
    </w:p>
    <w:p w:rsidR="00CB6A7C" w:rsidRDefault="00CB6A7C" w:rsidP="009B6ED8">
      <w:pPr>
        <w:pStyle w:val="Lvl2Bulletpoint"/>
      </w:pPr>
      <w:r>
        <w:t>notify the customer if they are able to trade their water delivery right (as an alternative to termination).</w:t>
      </w:r>
    </w:p>
    <w:p w:rsidR="00CB6A7C" w:rsidRPr="00D714FC" w:rsidRDefault="00CB6A7C" w:rsidP="00CE67EB">
      <w:pPr>
        <w:pStyle w:val="Heading3Un-numbered"/>
      </w:pPr>
      <w:r w:rsidRPr="00D714FC">
        <w:t>Stakeholder feedback</w:t>
      </w:r>
    </w:p>
    <w:p w:rsidR="00CB6A7C" w:rsidRDefault="00CB6A7C" w:rsidP="00E83E5D">
      <w:pPr>
        <w:pStyle w:val="Heading4-Un-numberedsubheading-Lvl5"/>
      </w:pPr>
      <w:r>
        <w:t>Specific c</w:t>
      </w:r>
      <w:r w:rsidRPr="000C6E30">
        <w:t>ircumstances in which an operator may not impose a termination fee</w:t>
      </w:r>
    </w:p>
    <w:p w:rsidR="00CB6A7C" w:rsidRDefault="00CB6A7C" w:rsidP="00CB6A7C">
      <w:r w:rsidRPr="00D714FC">
        <w:t xml:space="preserve">Generally, feedback </w:t>
      </w:r>
      <w:r>
        <w:t xml:space="preserve">received in response to the Issues Paper </w:t>
      </w:r>
      <w:r w:rsidRPr="00D714FC">
        <w:t>from operators was that the circumstances specified in the rules under which a termination fee may be imposed are set appropriately, and that termination fees are not inhibiting operators from making efficient network rationalisations.</w:t>
      </w:r>
      <w:r w:rsidRPr="00D714FC">
        <w:rPr>
          <w:rStyle w:val="FootnoteReference"/>
        </w:rPr>
        <w:footnoteReference w:id="745"/>
      </w:r>
      <w:r>
        <w:t xml:space="preserve"> </w:t>
      </w:r>
    </w:p>
    <w:p w:rsidR="00CB6A7C" w:rsidRPr="003B73DC" w:rsidRDefault="00CB6A7C" w:rsidP="00CB6A7C">
      <w:pPr>
        <w:rPr>
          <w:sz w:val="32"/>
        </w:rPr>
      </w:pPr>
      <w:r>
        <w:t>However</w:t>
      </w:r>
      <w:r w:rsidRPr="00D714FC">
        <w:t>, the ACCC heard feedback from irrigators</w:t>
      </w:r>
      <w:r>
        <w:t xml:space="preserve"> via submissions and during public forums</w:t>
      </w:r>
      <w:r w:rsidRPr="00D714FC">
        <w:t xml:space="preserve"> that they consider the circumstances in which termination fees may be imposed to be too permissive in some cases. </w:t>
      </w:r>
      <w:r>
        <w:t>S</w:t>
      </w:r>
      <w:r w:rsidRPr="003B73DC">
        <w:rPr>
          <w:szCs w:val="16"/>
        </w:rPr>
        <w:t>takeholder</w:t>
      </w:r>
      <w:r>
        <w:rPr>
          <w:szCs w:val="16"/>
        </w:rPr>
        <w:t xml:space="preserve"> views on when an operator should be required to discount</w:t>
      </w:r>
      <w:r w:rsidR="00BF3D84">
        <w:rPr>
          <w:szCs w:val="16"/>
        </w:rPr>
        <w:t xml:space="preserve">, or </w:t>
      </w:r>
      <w:r>
        <w:rPr>
          <w:szCs w:val="16"/>
        </w:rPr>
        <w:t>not levy</w:t>
      </w:r>
      <w:r w:rsidR="00BF3D84">
        <w:rPr>
          <w:szCs w:val="16"/>
        </w:rPr>
        <w:t>,</w:t>
      </w:r>
      <w:r>
        <w:rPr>
          <w:szCs w:val="16"/>
        </w:rPr>
        <w:t xml:space="preserve"> termination fees due to previous customer contributions or alternative means of recovering future capital costs are discussed in section 6.2.1. Views on whether</w:t>
      </w:r>
      <w:r w:rsidR="00BF3D84">
        <w:rPr>
          <w:szCs w:val="16"/>
        </w:rPr>
        <w:t xml:space="preserve"> </w:t>
      </w:r>
      <w:r>
        <w:rPr>
          <w:szCs w:val="16"/>
        </w:rPr>
        <w:t>/</w:t>
      </w:r>
      <w:r w:rsidR="00BF3D84">
        <w:rPr>
          <w:szCs w:val="16"/>
        </w:rPr>
        <w:t xml:space="preserve"> </w:t>
      </w:r>
      <w:r>
        <w:rPr>
          <w:szCs w:val="16"/>
        </w:rPr>
        <w:t xml:space="preserve">how trade of different kinds of water rights should impact on ability to impose a termination fee are discussed in section </w:t>
      </w:r>
      <w:r w:rsidRPr="003B73DC">
        <w:rPr>
          <w:szCs w:val="16"/>
        </w:rPr>
        <w:t>6.2.2.</w:t>
      </w:r>
    </w:p>
    <w:p w:rsidR="00CB6A7C" w:rsidRDefault="00CB6A7C" w:rsidP="00CB6A7C">
      <w:r>
        <w:t xml:space="preserve">In its submission on the Draft Advice, the </w:t>
      </w:r>
      <w:r w:rsidR="00336D15">
        <w:t>National Irrigators’ Council (</w:t>
      </w:r>
      <w:r>
        <w:t>NIC</w:t>
      </w:r>
      <w:r w:rsidR="00336D15">
        <w:t>)</w:t>
      </w:r>
      <w:r>
        <w:t xml:space="preserve"> commented on </w:t>
      </w:r>
      <w:r w:rsidR="00BF3D84">
        <w:t xml:space="preserve">the </w:t>
      </w:r>
      <w:r w:rsidR="00150BB6">
        <w:t xml:space="preserve">draft </w:t>
      </w:r>
      <w:r>
        <w:t xml:space="preserve">rule </w:t>
      </w:r>
      <w:r w:rsidR="00BF3D84">
        <w:t xml:space="preserve">71(2)(b) </w:t>
      </w:r>
      <w:r w:rsidR="00150BB6">
        <w:t>(subrule 71(</w:t>
      </w:r>
      <w:r w:rsidR="002C7227">
        <w:t>9</w:t>
      </w:r>
      <w:r w:rsidR="00150BB6">
        <w:t xml:space="preserve">)(b) in the proposed water charge rules accompanying the Final Advice) </w:t>
      </w:r>
      <w:r w:rsidR="00BF3D84">
        <w:t>which restricts an operator from levying a termination fee if it provides a service of the storage of water (in addition to a service for the delivery / drainage of water) and the charges for the storage service are included in the charges in respect of the right of access</w:t>
      </w:r>
      <w:r>
        <w:t>.</w:t>
      </w:r>
      <w:r w:rsidRPr="00241692">
        <w:rPr>
          <w:rStyle w:val="FootnoteReference"/>
          <w:sz w:val="20"/>
          <w:szCs w:val="20"/>
        </w:rPr>
        <w:footnoteReference w:id="746"/>
      </w:r>
      <w:r>
        <w:t xml:space="preserve"> The NIC questioned whether the drafting of the rule captures infrastructure operators who offer carryover services but do not have a separate storage charge; therefore, they would be unable to levy a termination fee.</w:t>
      </w:r>
      <w:r w:rsidR="00C6733C">
        <w:t xml:space="preserve"> </w:t>
      </w:r>
      <w:r>
        <w:t>The NIC noted that “[t]his is an important point as the consequences could be catastrophic”.</w:t>
      </w:r>
      <w:r w:rsidRPr="00660576">
        <w:t xml:space="preserve"> </w:t>
      </w:r>
      <w:r>
        <w:t xml:space="preserve">The ACCC notes that </w:t>
      </w:r>
      <w:r w:rsidR="00BF3D84">
        <w:t xml:space="preserve">proposed </w:t>
      </w:r>
      <w:r w:rsidR="00150BB6">
        <w:t>sub</w:t>
      </w:r>
      <w:r>
        <w:t xml:space="preserve">rule replicates the current WCTFR </w:t>
      </w:r>
      <w:r w:rsidR="00A52AF4">
        <w:t>r</w:t>
      </w:r>
      <w:r>
        <w:t>ule 6(2)(b)</w:t>
      </w:r>
      <w:r w:rsidR="00A52AF4">
        <w:t>.</w:t>
      </w:r>
      <w:r>
        <w:t xml:space="preserve"> </w:t>
      </w:r>
      <w:r w:rsidR="00A52AF4">
        <w:t>T</w:t>
      </w:r>
      <w:r>
        <w:t>herefore</w:t>
      </w:r>
      <w:r w:rsidR="00A52AF4">
        <w:t>,</w:t>
      </w:r>
      <w:r>
        <w:t xml:space="preserve"> NIC’s submission on this point contrasts with NIC’s earlier submission on the Issues Paper, in which the NIC stated that “</w:t>
      </w:r>
      <w:r w:rsidRPr="00660576">
        <w:t>the current limits on when a termination fee can be imposed under WCTFR, are appropriate and that the WCTFR do not inhibit IIOs from efficient network augmentati</w:t>
      </w:r>
      <w:r>
        <w:t>on or rationalisation decisions.”</w:t>
      </w:r>
      <w:r>
        <w:rPr>
          <w:rStyle w:val="FootnoteReference"/>
        </w:rPr>
        <w:footnoteReference w:id="747"/>
      </w:r>
      <w:r w:rsidRPr="00505489">
        <w:t xml:space="preserve"> </w:t>
      </w:r>
    </w:p>
    <w:p w:rsidR="00CB6A7C" w:rsidRPr="00BB46A0" w:rsidRDefault="00CB6A7C" w:rsidP="00E83E5D">
      <w:pPr>
        <w:pStyle w:val="Heading4-Un-numberedsubheading-Lvl5"/>
      </w:pPr>
      <w:r w:rsidRPr="00BB46A0">
        <w:t>Operation of</w:t>
      </w:r>
      <w:r>
        <w:t xml:space="preserve"> proposed </w:t>
      </w:r>
      <w:r w:rsidR="00A52AF4">
        <w:t>r</w:t>
      </w:r>
      <w:r w:rsidRPr="00BB46A0">
        <w:t>ule 77 (current WCTFR rule 11)</w:t>
      </w:r>
    </w:p>
    <w:p w:rsidR="00CB6A7C" w:rsidRPr="00D714FC" w:rsidRDefault="00CB6A7C" w:rsidP="00CB6A7C">
      <w:r>
        <w:t>The NIC claimed that proposed rule 77</w:t>
      </w:r>
      <w:r w:rsidR="00D56F3D">
        <w:t>—</w:t>
      </w:r>
      <w:r w:rsidR="00BF3D84">
        <w:t>limiting</w:t>
      </w:r>
      <w:r w:rsidR="00D56F3D" w:rsidRPr="00D56F3D">
        <w:t xml:space="preserve"> </w:t>
      </w:r>
      <w:r w:rsidR="00D56F3D">
        <w:t>a fee, charge or payment in respect of a termination by the operator under a contract or arrangement, to those expressly authorised by the WCTFR—</w:t>
      </w:r>
      <w:r>
        <w:t>“tak[es] away an operator’s common law right to claim damages for a breach”.</w:t>
      </w:r>
      <w:r>
        <w:rPr>
          <w:rStyle w:val="FootnoteReference"/>
        </w:rPr>
        <w:footnoteReference w:id="748"/>
      </w:r>
      <w:r>
        <w:t xml:space="preserve"> The NIC further commented that “no justification for this has been offered”.</w:t>
      </w:r>
    </w:p>
    <w:p w:rsidR="00CB6A7C" w:rsidRPr="00D714FC" w:rsidRDefault="00CB6A7C" w:rsidP="00E83E5D">
      <w:pPr>
        <w:pStyle w:val="Heading4-Un-numberedsubheading-Lvl5"/>
      </w:pPr>
      <w:r w:rsidRPr="00D714FC">
        <w:t>Operators</w:t>
      </w:r>
      <w:r>
        <w:t>’</w:t>
      </w:r>
      <w:r w:rsidRPr="00D714FC">
        <w:t xml:space="preserve"> responsibilities upon receiving notice of intention to terminate</w:t>
      </w:r>
    </w:p>
    <w:p w:rsidR="00CB6A7C" w:rsidRDefault="00CB6A7C" w:rsidP="00CB6A7C">
      <w:r>
        <w:t xml:space="preserve">Two stakeholders commented specifically on </w:t>
      </w:r>
      <w:r w:rsidR="00A52AF4">
        <w:t>r</w:t>
      </w:r>
      <w:r>
        <w:t xml:space="preserve">ule </w:t>
      </w:r>
      <w:r w:rsidR="00A52AF4">
        <w:t>a</w:t>
      </w:r>
      <w:r>
        <w:t>dvice 6-F. The Queensland Farmers’ Federation</w:t>
      </w:r>
      <w:r w:rsidR="008E524B">
        <w:t xml:space="preserve"> (QFF)</w:t>
      </w:r>
      <w:r>
        <w:t xml:space="preserve"> submitted that it supports this </w:t>
      </w:r>
      <w:r w:rsidR="00A52AF4">
        <w:t>r</w:t>
      </w:r>
      <w:r>
        <w:t xml:space="preserve">ule </w:t>
      </w:r>
      <w:r w:rsidR="00A52AF4">
        <w:t>a</w:t>
      </w:r>
      <w:r>
        <w:t>dvice.</w:t>
      </w:r>
      <w:r w:rsidRPr="0036049F">
        <w:rPr>
          <w:rStyle w:val="FootnoteReference"/>
          <w:sz w:val="20"/>
          <w:szCs w:val="20"/>
        </w:rPr>
        <w:footnoteReference w:id="749"/>
      </w:r>
      <w:r>
        <w:t xml:space="preserve"> </w:t>
      </w:r>
    </w:p>
    <w:p w:rsidR="00CB6A7C" w:rsidRDefault="00CB6A7C" w:rsidP="00CB6A7C">
      <w:r w:rsidRPr="008D710F">
        <w:t>Operat</w:t>
      </w:r>
      <w:r>
        <w:t>ors attending a discussion in Griffith identified that the drafting of proposed rule 74 uses several different forms of wording, which creates potential for confusion. In particular, subrules (a) and (b) contemplate a customer being able to submit a “written notice…of their intention to terminate” or “request information on the termination fee that would apply”, while the latter part of the rule refers to an operator “…receiving the application…” from the customer.</w:t>
      </w:r>
      <w:r w:rsidRPr="00241692">
        <w:rPr>
          <w:rStyle w:val="FootnoteReference"/>
          <w:sz w:val="20"/>
          <w:szCs w:val="20"/>
        </w:rPr>
        <w:footnoteReference w:id="750"/>
      </w:r>
    </w:p>
    <w:p w:rsidR="00CB6A7C" w:rsidRDefault="00CB6A7C" w:rsidP="00CB6A7C">
      <w:r>
        <w:t>Operators attending a discussion Mildura expressed concern that the rules impose too many different compliance time periods, which would inevitably lead to unintentional non-compliance because operators would be confused about which time periods apply in which cases.</w:t>
      </w:r>
      <w:r>
        <w:rPr>
          <w:rStyle w:val="FootnoteReference"/>
        </w:rPr>
        <w:footnoteReference w:id="751"/>
      </w:r>
      <w:r w:rsidR="00C6733C">
        <w:t xml:space="preserve"> </w:t>
      </w:r>
    </w:p>
    <w:p w:rsidR="00CB6A7C" w:rsidRPr="00D714FC" w:rsidRDefault="00CB6A7C" w:rsidP="00CE67EB">
      <w:pPr>
        <w:pStyle w:val="Heading3Un-numbered"/>
      </w:pPr>
      <w:r>
        <w:t>ACCC assessment</w:t>
      </w:r>
    </w:p>
    <w:p w:rsidR="00CB6A7C" w:rsidRDefault="00CB6A7C" w:rsidP="00E83E5D">
      <w:pPr>
        <w:pStyle w:val="Heading4-Un-numberedsubheading-Lvl5"/>
      </w:pPr>
      <w:r>
        <w:t>Specific c</w:t>
      </w:r>
      <w:r w:rsidRPr="000C6E30">
        <w:t>ircumstances in which an operator may not impose a termination fee</w:t>
      </w:r>
    </w:p>
    <w:p w:rsidR="00CB6A7C" w:rsidRDefault="00CB6A7C" w:rsidP="00CB6A7C">
      <w:r>
        <w:t>This discussion focusses on rules governing an operator’s general ability to impose a termination fee—that is, proposed rules 70, 71 and 77 (current WCTFR 5, 6 and 11). Stakeholder feedback relating to discounting or waiving termination fees, given that the operator is able to impose a fee at all, is addressed above at section 6.2.1. Discussion of whether an operator should be precluded from levying a termination fee where trade is restricted</w:t>
      </w:r>
      <w:r w:rsidR="00D56F3D">
        <w:t xml:space="preserve"> </w:t>
      </w:r>
      <w:r w:rsidR="00064482">
        <w:t xml:space="preserve">or </w:t>
      </w:r>
      <w:r>
        <w:t>not allowed is at section 6.2.2.</w:t>
      </w:r>
      <w:r w:rsidR="00D24967">
        <w:t xml:space="preserve"> Changes to rule</w:t>
      </w:r>
      <w:r w:rsidR="00057869">
        <w:t> </w:t>
      </w:r>
      <w:r w:rsidR="00D24967">
        <w:t>71 relating to requirements to provide information to a terminating customer are discussed below in this section.</w:t>
      </w:r>
    </w:p>
    <w:p w:rsidR="00CB6A7C" w:rsidRDefault="00CB6A7C" w:rsidP="00CB6A7C">
      <w:r>
        <w:t xml:space="preserve">After considering stakeholder feedback on the rules governing termination fees, the ACCC considers there is no need to alter </w:t>
      </w:r>
      <w:r w:rsidR="00D56F3D">
        <w:t xml:space="preserve">its advice in relation to </w:t>
      </w:r>
      <w:r>
        <w:t>proposed rules 70</w:t>
      </w:r>
      <w:r w:rsidR="00B9310F">
        <w:t xml:space="preserve"> </w:t>
      </w:r>
      <w:r>
        <w:t>and 77</w:t>
      </w:r>
      <w:r w:rsidR="00722066">
        <w:t xml:space="preserve">. </w:t>
      </w:r>
      <w:r>
        <w:t xml:space="preserve">These </w:t>
      </w:r>
      <w:r w:rsidR="00D56F3D">
        <w:t xml:space="preserve">proposed </w:t>
      </w:r>
      <w:r>
        <w:t>rules replicate the existing WCTFR rules with only minor wording changes to reflect the amalgamation of rules and the broadening of the rules governing termination fees to apply to all infrastructure operators (as per rule advice 6-A). Generally stakeholders were either comfortable with these provisions, or submitted concerns that more properly relate to circumstances in which an operator should discount termination fees or the inter-relationships between termination fees and trade, which are addressed elsewhere.</w:t>
      </w:r>
      <w:r w:rsidR="00722066" w:rsidRPr="00722066">
        <w:t xml:space="preserve"> </w:t>
      </w:r>
    </w:p>
    <w:p w:rsidR="00CB6A7C" w:rsidRDefault="00CB6A7C" w:rsidP="00CB6A7C">
      <w:r>
        <w:t xml:space="preserve">In relation to the NIC’s concern regarding </w:t>
      </w:r>
      <w:r w:rsidR="00A52AF4">
        <w:t>sub</w:t>
      </w:r>
      <w:r>
        <w:t>rule 71(2)(b)</w:t>
      </w:r>
      <w:r w:rsidR="00150BB6">
        <w:t xml:space="preserve"> (now subrule 71(</w:t>
      </w:r>
      <w:r w:rsidR="009D51E5">
        <w:t>9</w:t>
      </w:r>
      <w:r w:rsidR="00150BB6">
        <w:t>)(b)</w:t>
      </w:r>
      <w:r>
        <w:t>, the ACCC considers that given that</w:t>
      </w:r>
      <w:r w:rsidR="00150BB6">
        <w:t xml:space="preserve"> this</w:t>
      </w:r>
      <w:r>
        <w:t xml:space="preserve"> </w:t>
      </w:r>
      <w:r w:rsidR="00A52AF4">
        <w:t>sub</w:t>
      </w:r>
      <w:r>
        <w:t xml:space="preserve">rule replicates the current WCTFR </w:t>
      </w:r>
      <w:r w:rsidR="00A52AF4">
        <w:t>r</w:t>
      </w:r>
      <w:r>
        <w:t>ule 6(2)(b), and that no stakeholders</w:t>
      </w:r>
      <w:r w:rsidR="00A22F1F">
        <w:t>,</w:t>
      </w:r>
      <w:r>
        <w:t xml:space="preserve"> including the NIC, have raised concerns about this provision in the </w:t>
      </w:r>
      <w:r w:rsidR="00A52AF4">
        <w:t>six</w:t>
      </w:r>
      <w:r>
        <w:t xml:space="preserve"> years that the WCTFR have been in operation, </w:t>
      </w:r>
      <w:r w:rsidR="004E1F99">
        <w:t>it does not appear that</w:t>
      </w:r>
      <w:r>
        <w:t xml:space="preserve"> this provision </w:t>
      </w:r>
      <w:r w:rsidR="004E1F99">
        <w:t xml:space="preserve">would </w:t>
      </w:r>
      <w:r>
        <w:t xml:space="preserve">have “catastrophic” consequences for operators. </w:t>
      </w:r>
    </w:p>
    <w:p w:rsidR="004E1F99" w:rsidRDefault="00CB6A7C" w:rsidP="00CB6A7C">
      <w:r>
        <w:t xml:space="preserve">The ACCC notes that off-river operators generally do not provide carryover services themselves (because they generally do not operate on-river storages), but </w:t>
      </w:r>
      <w:r w:rsidR="004E1F99">
        <w:t xml:space="preserve">rather </w:t>
      </w:r>
      <w:r>
        <w:t xml:space="preserve">facilitate access to another entity providing carryover services. </w:t>
      </w:r>
      <w:r w:rsidR="004E1F99">
        <w:t>Also, the ACCC is not aware of any examples of off-river infrastructure operators levying separate charges in relation to carryover, or at all.</w:t>
      </w:r>
    </w:p>
    <w:p w:rsidR="002B6BB2" w:rsidRDefault="004E1F99" w:rsidP="00CB6A7C">
      <w:r>
        <w:t xml:space="preserve">The ACCC considers that the intent has always been to apply this rule in relation to where an operator provides a service for the storage of water via the use of </w:t>
      </w:r>
      <w:r w:rsidRPr="00375D1B">
        <w:rPr>
          <w:i/>
        </w:rPr>
        <w:t>its own</w:t>
      </w:r>
      <w:r>
        <w:t xml:space="preserve"> water service infrastructure. In particular, the ACCC’s guidance material on the existing provision (current WCTFR </w:t>
      </w:r>
      <w:r w:rsidR="00A22F1F">
        <w:t>subr</w:t>
      </w:r>
      <w:r>
        <w:t xml:space="preserve">ule 6(2)(b)) concentrated on where an operator provides ‘bulk’ (or ‘on-river’) services through ‘bulk storage infrastructure’ in addition to providing </w:t>
      </w:r>
      <w:r w:rsidRPr="004E1F99">
        <w:t xml:space="preserve">delivery and drainage services through their </w:t>
      </w:r>
      <w:r>
        <w:t xml:space="preserve">off-river </w:t>
      </w:r>
      <w:r w:rsidRPr="004E1F99">
        <w:t>network</w:t>
      </w:r>
      <w:r>
        <w:t>.</w:t>
      </w:r>
      <w:r>
        <w:rPr>
          <w:rStyle w:val="FootnoteReference"/>
        </w:rPr>
        <w:footnoteReference w:id="752"/>
      </w:r>
      <w:r>
        <w:t xml:space="preserve"> </w:t>
      </w:r>
      <w:r w:rsidR="002B6BB2">
        <w:t>The ACCC supports the rules continuing to require operators to specify infrastructure charges for such storage services separately from charges levied on customers’ rights of access.</w:t>
      </w:r>
    </w:p>
    <w:p w:rsidR="002B6BB2" w:rsidRPr="002B6BB2" w:rsidRDefault="002B6BB2" w:rsidP="00CB6A7C">
      <w:r>
        <w:t xml:space="preserve">However, the ACCC appreciates that it is not clear that the </w:t>
      </w:r>
      <w:r w:rsidR="00375D1B">
        <w:t>current wording of the rule,</w:t>
      </w:r>
      <w:r>
        <w:t xml:space="preserve"> ‘a service for the storage of water’</w:t>
      </w:r>
      <w:r w:rsidR="00375D1B">
        <w:t>,</w:t>
      </w:r>
      <w:r>
        <w:t xml:space="preserve"> necessarily excludes a service whereby an operator facilitates customers’ access to storage services offered by another entity (e.g. an on-river infrastructure operator who provides ‘bulk’ storage services). Therefore, to avoid all doubt and to address the NIC’s concern, the ACCC’s recommends that rule 71 be amended to refer to ‘a service for the storage of water using the operator’s water service infrastructure’. The ACCC has made rule advice 6-G to this effect.</w:t>
      </w:r>
    </w:p>
    <w:p w:rsidR="00CB6A7C" w:rsidRPr="00BB46A0" w:rsidRDefault="00CB6A7C" w:rsidP="00E83E5D">
      <w:pPr>
        <w:pStyle w:val="Heading4-Un-numberedsubheading-Lvl5"/>
      </w:pPr>
      <w:r w:rsidRPr="00BB46A0">
        <w:t>Operation of</w:t>
      </w:r>
      <w:r>
        <w:t xml:space="preserve"> proposed </w:t>
      </w:r>
      <w:r w:rsidR="00A22F1F">
        <w:t>r</w:t>
      </w:r>
      <w:r w:rsidRPr="00BB46A0">
        <w:t>ule 77 (current WCTFR rule 11)</w:t>
      </w:r>
    </w:p>
    <w:p w:rsidR="00CB6A7C" w:rsidRDefault="00CB6A7C" w:rsidP="00CB6A7C">
      <w:r>
        <w:t>In response to the NIC’s view that rule 77 removes an operator’s common law right to seek damages, the ACCC n</w:t>
      </w:r>
      <w:r w:rsidRPr="00EA6061">
        <w:t>ote</w:t>
      </w:r>
      <w:r>
        <w:t>s</w:t>
      </w:r>
      <w:r w:rsidRPr="00EA6061">
        <w:t xml:space="preserve"> that rule </w:t>
      </w:r>
      <w:r w:rsidRPr="0013670B">
        <w:t xml:space="preserve">77 </w:t>
      </w:r>
      <w:r>
        <w:t>replicates existing rule 11 of the WCTFR (with only minor consequential changes required due to the rules being combined into a single instrument). Nothing in the modification affects the operation of this rule. The general effect of the WCTFR (via Part 2 of the existing rules) is to prevent termination fees except as expressly authorised under Part 3. Thus</w:t>
      </w:r>
      <w:r w:rsidR="00191A0D">
        <w:t>,</w:t>
      </w:r>
      <w:r>
        <w:t xml:space="preserve"> current rule 11 provides that an operator may have an existing right to terminate a customer’s right of access in certain circumstances (which is not affected by the rules), but reiterates that an operator may only levy a </w:t>
      </w:r>
      <w:r w:rsidR="00D56F3D">
        <w:t xml:space="preserve">fee, charge or payment in respect of that </w:t>
      </w:r>
      <w:r>
        <w:t xml:space="preserve">termination </w:t>
      </w:r>
      <w:r w:rsidR="00D56F3D">
        <w:t>if it is expressly authorised by the rules</w:t>
      </w:r>
      <w:r>
        <w:t>.</w:t>
      </w:r>
    </w:p>
    <w:p w:rsidR="00CB6A7C" w:rsidRDefault="00CB6A7C" w:rsidP="00CB6A7C">
      <w:r>
        <w:t xml:space="preserve">This rule was made in the existing WCTFR to ensure that unreasonable grounds for terminating a customer which may exist in such contracts cannot result in a termination fee being payable. For example, pre-existing contracts may require a customer to not trade a water access right, or may enable an operator to terminate a customer’s right of access if they do. This rule precludes an operator from demanding a fee, charge or payment from a customer whose right of access was terminated in such circumstances. </w:t>
      </w:r>
    </w:p>
    <w:p w:rsidR="00CB6A7C" w:rsidRDefault="00CB6A7C" w:rsidP="00CB6A7C">
      <w:r>
        <w:t xml:space="preserve">The ACCC does not </w:t>
      </w:r>
      <w:r w:rsidR="002C129A">
        <w:t>therefore consider</w:t>
      </w:r>
      <w:r>
        <w:t xml:space="preserve"> that th</w:t>
      </w:r>
      <w:r w:rsidR="002C129A">
        <w:t>is</w:t>
      </w:r>
      <w:r>
        <w:t xml:space="preserve"> rule removes an operator’s common law ability to pursue damages, for example, for unpaid charges or damage to the operator’s property, as these are not charges in respect of the termination directly. Reflecting that this rule is the ‘status quo’, </w:t>
      </w:r>
      <w:r w:rsidR="00705F08">
        <w:t>and that no argument has been presented to support allowing the imposition of fees, charges or payments in such circumstances</w:t>
      </w:r>
      <w:r>
        <w:t xml:space="preserve">, the </w:t>
      </w:r>
      <w:r w:rsidR="00705F08">
        <w:t>ACCC does not propose any modification to this provision</w:t>
      </w:r>
      <w:r>
        <w:t>.</w:t>
      </w:r>
    </w:p>
    <w:p w:rsidR="00CB6A7C" w:rsidRPr="00D714FC" w:rsidRDefault="00CB6A7C" w:rsidP="00E83E5D">
      <w:pPr>
        <w:pStyle w:val="Heading4-Un-numberedsubheading-Lvl5"/>
      </w:pPr>
      <w:r w:rsidRPr="00D714FC">
        <w:t>Operator’s responsibilities upon receiving notice of intention to terminate</w:t>
      </w:r>
    </w:p>
    <w:p w:rsidR="00CB6A7C" w:rsidRPr="001E4A02" w:rsidRDefault="00CB6A7C" w:rsidP="00001CBF">
      <w:pPr>
        <w:spacing w:after="120"/>
        <w:rPr>
          <w:b/>
        </w:rPr>
      </w:pPr>
      <w:r w:rsidRPr="001E4A02">
        <w:t xml:space="preserve">The Draft Advice sought to: </w:t>
      </w:r>
    </w:p>
    <w:p w:rsidR="00CB6A7C" w:rsidRPr="001E4A02" w:rsidRDefault="00CB6A7C" w:rsidP="00A82DE6">
      <w:pPr>
        <w:pStyle w:val="Lvl1Bulletpoint"/>
        <w:rPr>
          <w:b/>
        </w:rPr>
      </w:pPr>
      <w:r w:rsidRPr="001E4A02">
        <w:t xml:space="preserve">provide customers with greater certainty about the termination fee payable in the customer’s own circumstances and </w:t>
      </w:r>
    </w:p>
    <w:p w:rsidR="00CB6A7C" w:rsidRPr="001E4A02" w:rsidRDefault="00CB6A7C" w:rsidP="00A82DE6">
      <w:pPr>
        <w:pStyle w:val="Lvl1Bulletpoint"/>
        <w:rPr>
          <w:b/>
        </w:rPr>
      </w:pPr>
      <w:r w:rsidRPr="001E4A02">
        <w:t xml:space="preserve">ensure, where possible, </w:t>
      </w:r>
      <w:r w:rsidR="00057869">
        <w:t xml:space="preserve">that </w:t>
      </w:r>
      <w:r w:rsidRPr="001E4A02">
        <w:t>a customer has all relevant information about the options and associated costs to reduce their right of access, and sufficient time to consider this information before making a decision.</w:t>
      </w:r>
    </w:p>
    <w:p w:rsidR="00CB6A7C" w:rsidRPr="001E4A02" w:rsidRDefault="00CB6A7C" w:rsidP="00CB6A7C">
      <w:pPr>
        <w:rPr>
          <w:b/>
        </w:rPr>
      </w:pPr>
      <w:r w:rsidRPr="001E4A02">
        <w:t xml:space="preserve">The Draft Advice therefore proposed that customers should be able to notify </w:t>
      </w:r>
      <w:r w:rsidR="00FF1DDD">
        <w:t xml:space="preserve">their operator </w:t>
      </w:r>
      <w:r w:rsidRPr="001E4A02">
        <w:t>of their intention to terminate</w:t>
      </w:r>
      <w:r>
        <w:t xml:space="preserve"> or request information about the termination fee that would apply</w:t>
      </w:r>
      <w:r w:rsidRPr="001E4A02">
        <w:t>,</w:t>
      </w:r>
      <w:r>
        <w:t xml:space="preserve"> and that </w:t>
      </w:r>
      <w:r w:rsidRPr="001E4A02">
        <w:t xml:space="preserve">the operator </w:t>
      </w:r>
      <w:r>
        <w:t xml:space="preserve">should be required to provide a response which sets out the applicable termination fee together with </w:t>
      </w:r>
      <w:r w:rsidRPr="001E4A02">
        <w:t xml:space="preserve">all information relevant to the </w:t>
      </w:r>
      <w:r>
        <w:t>customer’s</w:t>
      </w:r>
      <w:r w:rsidRPr="001E4A02">
        <w:t xml:space="preserve"> decision. </w:t>
      </w:r>
      <w:r>
        <w:t xml:space="preserve">In order to ensure that the operator responds to such requests in a timely manner, the draft rule advice recommended that an operator be required to respond within 20 business days of receiving the notice of intention to terminate / request for information. </w:t>
      </w:r>
      <w:r w:rsidRPr="001E4A02">
        <w:t xml:space="preserve">The irrigator should </w:t>
      </w:r>
      <w:r>
        <w:t xml:space="preserve">then </w:t>
      </w:r>
      <w:r w:rsidRPr="00705F08">
        <w:t>have 30 business days to consider this information, before making a decision; that is, the termination fee ‘quote’ provided by the operator should be binding for 30 business days from</w:t>
      </w:r>
      <w:r>
        <w:t xml:space="preserve"> the time the operator provides the notice.</w:t>
      </w:r>
    </w:p>
    <w:p w:rsidR="00CB6A7C" w:rsidRPr="00D413F8" w:rsidRDefault="00CB6A7C" w:rsidP="00CB6A7C">
      <w:r>
        <w:t>T</w:t>
      </w:r>
      <w:r w:rsidRPr="00D413F8">
        <w:t xml:space="preserve">his mechanism </w:t>
      </w:r>
      <w:r w:rsidR="00FA3DF5">
        <w:t>would</w:t>
      </w:r>
      <w:r w:rsidR="00FA3DF5" w:rsidRPr="00D413F8">
        <w:t xml:space="preserve"> </w:t>
      </w:r>
      <w:r w:rsidRPr="00D413F8">
        <w:t xml:space="preserve">provide greater certainty to customers about the termination fee payable in their circumstances. </w:t>
      </w:r>
      <w:r w:rsidR="00FA3DF5">
        <w:t>It would</w:t>
      </w:r>
      <w:r w:rsidRPr="00D413F8">
        <w:t xml:space="preserve"> also ensure that where</w:t>
      </w:r>
      <w:r>
        <w:t>ver</w:t>
      </w:r>
      <w:r w:rsidRPr="00D413F8">
        <w:t xml:space="preserve"> possible, a customer has all relevant information about the </w:t>
      </w:r>
      <w:r>
        <w:t xml:space="preserve">costs of termination and about alternative </w:t>
      </w:r>
      <w:r w:rsidRPr="00D413F8">
        <w:t>options (</w:t>
      </w:r>
      <w:r>
        <w:t xml:space="preserve">in particular, options to </w:t>
      </w:r>
      <w:r w:rsidRPr="00D413F8">
        <w:t>trade water delivery right)</w:t>
      </w:r>
      <w:r>
        <w:t>,</w:t>
      </w:r>
      <w:r w:rsidRPr="00D413F8">
        <w:t xml:space="preserve"> and sufficient time to consider this information before making a decision. The</w:t>
      </w:r>
      <w:r w:rsidR="00FA3DF5">
        <w:t xml:space="preserve"> Draft Advice also noted that such a mechanism would</w:t>
      </w:r>
      <w:r w:rsidRPr="00D413F8">
        <w:t xml:space="preserve"> also support the Basin Plan water trading rule 12.28, which requires that an IIO must not unreasonably restrict the trade of water delivery right. </w:t>
      </w:r>
      <w:r>
        <w:t>Further, the ACCC note</w:t>
      </w:r>
      <w:r w:rsidR="00FA3DF5">
        <w:t>d</w:t>
      </w:r>
      <w:r>
        <w:t xml:space="preserve"> that the inclusion of a similar approach in relation to transformation in the </w:t>
      </w:r>
      <w:r w:rsidRPr="009321E5">
        <w:t>WMR</w:t>
      </w:r>
      <w:r w:rsidR="009321E5">
        <w:t xml:space="preserve"> </w:t>
      </w:r>
      <w:r>
        <w:t>has not appeared to create problems for operators.</w:t>
      </w:r>
    </w:p>
    <w:p w:rsidR="00CB6A7C" w:rsidRDefault="00FA3DF5" w:rsidP="00705F08">
      <w:r w:rsidRPr="001E4A02">
        <w:t xml:space="preserve">The </w:t>
      </w:r>
      <w:r>
        <w:t xml:space="preserve">ACCC maintains that this rule advice is generally appropriate. </w:t>
      </w:r>
      <w:r w:rsidR="00CB6A7C">
        <w:t xml:space="preserve">However, the ACCC acknowledges that several changes can be made to improve the operation of this </w:t>
      </w:r>
      <w:r w:rsidR="00705F08">
        <w:t xml:space="preserve">proposed </w:t>
      </w:r>
      <w:r w:rsidR="00FF1DDD">
        <w:t>mechanism</w:t>
      </w:r>
      <w:r w:rsidR="00CB6A7C">
        <w:t>. These changes are discussed in turn below.</w:t>
      </w:r>
    </w:p>
    <w:p w:rsidR="007D709E" w:rsidRPr="00FC64B5" w:rsidRDefault="007D709E" w:rsidP="0082647F">
      <w:pPr>
        <w:pStyle w:val="Heading5Lvl6"/>
      </w:pPr>
      <w:r w:rsidRPr="00FC64B5">
        <w:t>Information to be provided</w:t>
      </w:r>
    </w:p>
    <w:p w:rsidR="007D709E" w:rsidRDefault="007D709E" w:rsidP="00A60A09">
      <w:pPr>
        <w:spacing w:after="120"/>
      </w:pPr>
      <w:r>
        <w:t>Draft rule advice 6-F proposed that an operator should be required to provide information on:</w:t>
      </w:r>
    </w:p>
    <w:p w:rsidR="007D709E" w:rsidRDefault="007D709E" w:rsidP="00A82DE6">
      <w:pPr>
        <w:pStyle w:val="Lvl1Bulletpoint"/>
      </w:pPr>
      <w:r>
        <w:t>the value of the termination fee that would be payable upon termination, and how that fee was calculated;</w:t>
      </w:r>
      <w:r w:rsidR="00AD6943">
        <w:t xml:space="preserve"> and</w:t>
      </w:r>
    </w:p>
    <w:p w:rsidR="007D709E" w:rsidRDefault="007D709E" w:rsidP="00A82DE6">
      <w:pPr>
        <w:pStyle w:val="Lvl1Bulletpoint"/>
      </w:pPr>
      <w:r>
        <w:t>whether the customer is able to trade their water delivery right, and any rules governing such trade.</w:t>
      </w:r>
    </w:p>
    <w:p w:rsidR="007D709E" w:rsidRDefault="00D230F3" w:rsidP="00A60A09">
      <w:pPr>
        <w:spacing w:after="120"/>
      </w:pPr>
      <w:r>
        <w:t xml:space="preserve">Upon further consideration, the ACCC advises that </w:t>
      </w:r>
      <w:r w:rsidR="00566025">
        <w:t>operators should also be required to include in the information provided to the customer, if applicable:</w:t>
      </w:r>
    </w:p>
    <w:p w:rsidR="00566025" w:rsidRDefault="00566025" w:rsidP="00A82DE6">
      <w:pPr>
        <w:pStyle w:val="Lvl1Bulletpoint"/>
      </w:pPr>
      <w:r>
        <w:t xml:space="preserve">the amount of any disconnection fee levied under Rule 76 </w:t>
      </w:r>
      <w:r w:rsidR="00F06589">
        <w:t>(</w:t>
      </w:r>
      <w:r>
        <w:t xml:space="preserve">or </w:t>
      </w:r>
      <w:r w:rsidR="00F06589">
        <w:t xml:space="preserve">an estimate if the amount of the </w:t>
      </w:r>
      <w:r>
        <w:t xml:space="preserve">fee </w:t>
      </w:r>
      <w:r w:rsidR="00F06589">
        <w:t xml:space="preserve">needs to be </w:t>
      </w:r>
      <w:r>
        <w:t xml:space="preserve">calculated when the termination </w:t>
      </w:r>
      <w:r w:rsidR="00F06589">
        <w:t xml:space="preserve">actually </w:t>
      </w:r>
      <w:r>
        <w:t>occurs</w:t>
      </w:r>
      <w:r w:rsidR="00F06589">
        <w:t>), and how that fee is calculated</w:t>
      </w:r>
      <w:r>
        <w:t>; and</w:t>
      </w:r>
    </w:p>
    <w:p w:rsidR="00F06589" w:rsidRDefault="00566025" w:rsidP="00A82DE6">
      <w:pPr>
        <w:pStyle w:val="Lvl1Bulletpoint"/>
      </w:pPr>
      <w:r>
        <w:t xml:space="preserve">the amount of any </w:t>
      </w:r>
      <w:r w:rsidRPr="00FB0247">
        <w:rPr>
          <w:i/>
        </w:rPr>
        <w:t>additional</w:t>
      </w:r>
      <w:r>
        <w:t xml:space="preserve"> </w:t>
      </w:r>
      <w:r w:rsidRPr="00FB0247">
        <w:rPr>
          <w:i/>
        </w:rPr>
        <w:t>termination fee</w:t>
      </w:r>
      <w:r>
        <w:t xml:space="preserve"> related to capital works which has been approved by the ACCC under Rule 73</w:t>
      </w:r>
      <w:r w:rsidR="00FB0247">
        <w:t xml:space="preserve"> (see section 6.4);</w:t>
      </w:r>
      <w:r>
        <w:t xml:space="preserve"> if the operator has applied to the ACCC but the fee has not yet been approved, the operator should provide an indicative amount.</w:t>
      </w:r>
    </w:p>
    <w:p w:rsidR="00FF1DDD" w:rsidRDefault="00D230F3" w:rsidP="00D230F3">
      <w:r>
        <w:t>These additions more completely give effect to the policy intent of draft rule advice 6-F, which was that that the rules should ensure customers are provided with complete information before making a decision to terminate.</w:t>
      </w:r>
      <w:r w:rsidR="00C34459">
        <w:t xml:space="preserve"> </w:t>
      </w:r>
    </w:p>
    <w:p w:rsidR="00D230F3" w:rsidRDefault="00C34459" w:rsidP="00D230F3">
      <w:r>
        <w:t xml:space="preserve">The proposed water charge rules clarify that this information should be provided in writing, and refers to the statement containing the requirement information as a ‘termination information statement’. </w:t>
      </w:r>
    </w:p>
    <w:p w:rsidR="0004324A" w:rsidRPr="00FC64B5" w:rsidRDefault="0004324A" w:rsidP="0082647F">
      <w:pPr>
        <w:pStyle w:val="Heading5Lvl6"/>
      </w:pPr>
      <w:r w:rsidRPr="00FC64B5">
        <w:t>Timeframe for an operator to give the information</w:t>
      </w:r>
    </w:p>
    <w:p w:rsidR="00D977D1" w:rsidRDefault="00D977D1" w:rsidP="00A82DE6">
      <w:pPr>
        <w:pStyle w:val="Lvl1Bulletpoint"/>
        <w:numPr>
          <w:ilvl w:val="0"/>
          <w:numId w:val="0"/>
        </w:numPr>
        <w:rPr>
          <w:rFonts w:eastAsia="Arial" w:cs="Times New Roman"/>
          <w:b/>
          <w:sz w:val="24"/>
        </w:rPr>
      </w:pPr>
      <w:r>
        <w:t>The ACCC acknowledges that the water charge rules and the WMR together place several timing requirements on operators. Elsewhere in this Final Advice, the ACCC has proposed several amendments which will harmonise and reduce</w:t>
      </w:r>
      <w:r>
        <w:rPr>
          <w:rStyle w:val="FootnoteReference"/>
        </w:rPr>
        <w:footnoteReference w:id="753"/>
      </w:r>
      <w:r>
        <w:t xml:space="preserve"> the number of such requirements on operators. Consistent w</w:t>
      </w:r>
      <w:r w:rsidR="0004324A">
        <w:t>ith th</w:t>
      </w:r>
      <w:r>
        <w:t>is</w:t>
      </w:r>
      <w:r w:rsidR="0004324A">
        <w:t xml:space="preserve"> intent and the proposed additional information to be required in a termination information statement</w:t>
      </w:r>
      <w:r>
        <w:t xml:space="preserve">, the ACCC considers that the timeframe for an operator to </w:t>
      </w:r>
      <w:r w:rsidR="0004324A">
        <w:t xml:space="preserve">provide the statement should be adjusted to 25 business days (from 20 business days). </w:t>
      </w:r>
      <w:r>
        <w:t xml:space="preserve">The ACCC considers that it is important that there rules require timely response, and that timing requirements are an essential tool to ensure such compliance. </w:t>
      </w:r>
      <w:r w:rsidRPr="003151FE">
        <w:t>The ACCC proposes to include in its guidance material a comprehensive explanation of which timing requirements apply when, to assist operators to understand the rules and achieve full compliance (see also section 4.4).</w:t>
      </w:r>
      <w:r>
        <w:t xml:space="preserve"> </w:t>
      </w:r>
    </w:p>
    <w:p w:rsidR="00B532BC" w:rsidRPr="00FC64B5" w:rsidRDefault="00B532BC" w:rsidP="0082647F">
      <w:pPr>
        <w:pStyle w:val="Heading5Lvl6"/>
      </w:pPr>
      <w:r w:rsidRPr="00FC64B5">
        <w:t>Timeframe over which information given to a customer is valid</w:t>
      </w:r>
    </w:p>
    <w:p w:rsidR="00B532BC" w:rsidRDefault="00EF071A" w:rsidP="00B532BC">
      <w:r>
        <w:t>After further consideration, t</w:t>
      </w:r>
      <w:r w:rsidR="00B532BC">
        <w:t xml:space="preserve">he ACCC </w:t>
      </w:r>
      <w:r w:rsidR="00FF1DDD">
        <w:t xml:space="preserve">advises </w:t>
      </w:r>
      <w:r w:rsidR="00B532BC">
        <w:t>that the period for which a general termination fee ‘quote’ is valid</w:t>
      </w:r>
      <w:r w:rsidR="00FF1DDD">
        <w:t xml:space="preserve"> should be 6 months. This period had previously been proposed to be 30 business days</w:t>
      </w:r>
      <w:r w:rsidR="00B532BC">
        <w:t xml:space="preserve"> in the Draft Advice. This change has been made to recognise that, particularly in the case where termination occurs together with sale of water access entitlements (including entitlements resulting from transformation) the sale of irrigation rights, customers may seek information on termination fees prior to participation in water markets or seek information during an irrigation season with an intent to terminate at the end of that season. The ACCC believes the amended </w:t>
      </w:r>
      <w:r w:rsidR="00FF1DDD">
        <w:t xml:space="preserve">6 month </w:t>
      </w:r>
      <w:r w:rsidR="00B532BC">
        <w:t xml:space="preserve">timeframe is necessary to ensure customers can proceed with water market transactions with sufficient certainty about the amount of a termination fee they are liable to pay and will avoid the need for operators to respond to multiple requests for such information over a short period. </w:t>
      </w:r>
    </w:p>
    <w:p w:rsidR="00B532BC" w:rsidRDefault="00B532BC" w:rsidP="00B532BC">
      <w:r>
        <w:t xml:space="preserve">The proposed rules make clear that, although a customer is able to request information on the amount of a termination fee at any time, the ‘quoted’ general termination fee in the termination information statement given by the operator is only binding on the operator if the customer terminates within 6 months. </w:t>
      </w:r>
      <w:r w:rsidR="00EF071A">
        <w:t>Therefore, in the case where a customer has been provided with a termination information statement, but does not proceed with termination / surrender within 6 months, the termination information statement is taken to have lapsed.</w:t>
      </w:r>
    </w:p>
    <w:p w:rsidR="00B532BC" w:rsidRPr="004C7D03" w:rsidRDefault="00EF071A" w:rsidP="00B532BC">
      <w:r>
        <w:t>However, t</w:t>
      </w:r>
      <w:r w:rsidR="00B532BC">
        <w:t xml:space="preserve">he ACCC recognises that in some cases customers </w:t>
      </w:r>
      <w:r w:rsidR="00FF1DDD">
        <w:t xml:space="preserve">terminate / surrender their right of access by </w:t>
      </w:r>
      <w:r w:rsidR="00B532BC">
        <w:t>provid</w:t>
      </w:r>
      <w:r w:rsidR="00FF1DDD">
        <w:t>ing</w:t>
      </w:r>
      <w:r w:rsidR="00B532BC">
        <w:t xml:space="preserve"> notice </w:t>
      </w:r>
      <w:r w:rsidR="00FF1DDD">
        <w:t>to their operator, but specify</w:t>
      </w:r>
      <w:r>
        <w:t xml:space="preserve"> in that notice</w:t>
      </w:r>
      <w:r w:rsidR="00FF1DDD">
        <w:t xml:space="preserve"> </w:t>
      </w:r>
      <w:r w:rsidR="00B532BC">
        <w:t xml:space="preserve">a </w:t>
      </w:r>
      <w:r w:rsidR="00B532BC" w:rsidRPr="00EF071A">
        <w:rPr>
          <w:i/>
        </w:rPr>
        <w:t>future date</w:t>
      </w:r>
      <w:r w:rsidR="00B532BC">
        <w:t xml:space="preserve"> for </w:t>
      </w:r>
      <w:r w:rsidR="00FF1DDD">
        <w:t>the</w:t>
      </w:r>
      <w:r w:rsidR="00B532BC">
        <w:t xml:space="preserve"> termination </w:t>
      </w:r>
      <w:r w:rsidR="00FF1DDD">
        <w:t xml:space="preserve">/ surrender </w:t>
      </w:r>
      <w:r w:rsidR="00B532BC">
        <w:t xml:space="preserve">to take effect. </w:t>
      </w:r>
      <w:r>
        <w:t>In this circumstance</w:t>
      </w:r>
      <w:r w:rsidR="00B532BC">
        <w:t xml:space="preserve">, the ACCC considers that </w:t>
      </w:r>
      <w:r>
        <w:t xml:space="preserve">the operator should give to the customer a </w:t>
      </w:r>
      <w:r w:rsidR="00B532BC">
        <w:t>termination information statement</w:t>
      </w:r>
      <w:r>
        <w:t>, which</w:t>
      </w:r>
      <w:r w:rsidR="00B532BC">
        <w:t xml:space="preserve"> should include the amount of termination fee that the customer would pay if they </w:t>
      </w:r>
      <w:r>
        <w:t xml:space="preserve">were to </w:t>
      </w:r>
      <w:r w:rsidR="00B532BC">
        <w:t xml:space="preserve">terminate within six months. However, if the future date the customer has specified for the termination to take effect is </w:t>
      </w:r>
      <w:r w:rsidR="00B532BC" w:rsidRPr="00EF071A">
        <w:rPr>
          <w:i/>
        </w:rPr>
        <w:t>beyond</w:t>
      </w:r>
      <w:r w:rsidR="00B532BC">
        <w:t xml:space="preserve"> this six month period, the termination information statement should also make clear that—if the customer confirms that they wish to proceed with the termination at that future date—the maximum general termination fee that will be levied will be calculated using the relevant infrastructure charges from the Schedule of Charges in effect at that future date, and may therefore be higher than the dollar amount ‘quoted’ in the statement (</w:t>
      </w:r>
      <w:r>
        <w:t xml:space="preserve">i.e. because the statement </w:t>
      </w:r>
      <w:r w:rsidR="00B532BC">
        <w:t xml:space="preserve">is only </w:t>
      </w:r>
      <w:r w:rsidR="000B5F16">
        <w:t xml:space="preserve">binding </w:t>
      </w:r>
      <w:r w:rsidR="00B532BC">
        <w:t xml:space="preserve">for six months). </w:t>
      </w:r>
    </w:p>
    <w:p w:rsidR="00B532BC" w:rsidRDefault="00B532BC" w:rsidP="00B532BC">
      <w:r>
        <w:t>The ACCC considers that this outcome provides an appropriate balance between customers’ information needs and not ‘locking in’ operators to charging a particular termination fee for an inappropriate length of time.</w:t>
      </w:r>
      <w:r w:rsidRPr="000E1EFB">
        <w:t xml:space="preserve"> </w:t>
      </w:r>
      <w:r>
        <w:t xml:space="preserve">Giving the customer a 6-month maximum general termination fee ‘quote’ in response to their request will give the customer some idea of the likely termination fee that would apply, but the operator would also be able to make clear that termination fees for terminations occurring after the 6-month period are not bound by the ‘quote’. </w:t>
      </w:r>
    </w:p>
    <w:p w:rsidR="00032757" w:rsidRPr="00FC64B5" w:rsidRDefault="00032757" w:rsidP="0082647F">
      <w:pPr>
        <w:pStyle w:val="Heading5Lvl6"/>
      </w:pPr>
      <w:r w:rsidRPr="00FC64B5">
        <w:t xml:space="preserve">Effect of giving </w:t>
      </w:r>
      <w:r w:rsidR="00C34459" w:rsidRPr="00FC64B5">
        <w:t xml:space="preserve">a termination </w:t>
      </w:r>
      <w:r w:rsidRPr="00FC64B5">
        <w:t xml:space="preserve">information </w:t>
      </w:r>
      <w:r w:rsidR="00C34459" w:rsidRPr="00FC64B5">
        <w:t xml:space="preserve">statement </w:t>
      </w:r>
      <w:r w:rsidRPr="00FC64B5">
        <w:t xml:space="preserve">to </w:t>
      </w:r>
      <w:r w:rsidR="00C34459" w:rsidRPr="00FC64B5">
        <w:t xml:space="preserve">a </w:t>
      </w:r>
      <w:r w:rsidRPr="00FC64B5">
        <w:t>customer</w:t>
      </w:r>
    </w:p>
    <w:p w:rsidR="00CB6A7C" w:rsidRPr="00032757" w:rsidRDefault="007B7FB8" w:rsidP="007B7FB8">
      <w:r>
        <w:t>T</w:t>
      </w:r>
      <w:r w:rsidR="00CB6A7C">
        <w:t xml:space="preserve">he ACCC </w:t>
      </w:r>
      <w:r w:rsidR="000E1EFB">
        <w:t xml:space="preserve">has ensured </w:t>
      </w:r>
      <w:r w:rsidR="00CB6A7C">
        <w:t xml:space="preserve">that proposed </w:t>
      </w:r>
      <w:r w:rsidR="00A22F1F">
        <w:t>sub</w:t>
      </w:r>
      <w:r w:rsidR="00CB6A7C">
        <w:t>rule 7</w:t>
      </w:r>
      <w:r>
        <w:t>1(</w:t>
      </w:r>
      <w:r w:rsidR="00F06589">
        <w:t>5</w:t>
      </w:r>
      <w:r>
        <w:t>)</w:t>
      </w:r>
      <w:r w:rsidR="00CB6A7C">
        <w:t xml:space="preserve"> states that where an operator </w:t>
      </w:r>
      <w:r w:rsidR="00ED4DBD">
        <w:t xml:space="preserve">gives </w:t>
      </w:r>
      <w:r w:rsidR="00CB6A7C">
        <w:t xml:space="preserve">a customer a </w:t>
      </w:r>
      <w:r w:rsidR="00C34459">
        <w:t xml:space="preserve">termination information </w:t>
      </w:r>
      <w:r w:rsidR="00CB6A7C">
        <w:t xml:space="preserve">statement </w:t>
      </w:r>
      <w:r w:rsidR="00ED4DBD">
        <w:t xml:space="preserve">setting out </w:t>
      </w:r>
      <w:r w:rsidR="00CB6A7C">
        <w:t xml:space="preserve">the amount of a </w:t>
      </w:r>
      <w:r w:rsidR="00FB0247">
        <w:t xml:space="preserve">general </w:t>
      </w:r>
      <w:r w:rsidR="00CB6A7C">
        <w:t>termination fee</w:t>
      </w:r>
      <w:r w:rsidR="00501239">
        <w:t xml:space="preserve"> that would apply to a particular termination</w:t>
      </w:r>
      <w:r w:rsidR="00CB6A7C">
        <w:t xml:space="preserve"> (whether in response to a request for such information or </w:t>
      </w:r>
      <w:r w:rsidR="00ED4DBD">
        <w:t>because a customer provides a written notice terminating their right of access</w:t>
      </w:r>
      <w:r w:rsidR="00CB6A7C">
        <w:t xml:space="preserve">), </w:t>
      </w:r>
      <w:r w:rsidR="00501239">
        <w:t xml:space="preserve">and </w:t>
      </w:r>
      <w:r w:rsidR="00CB6A7C">
        <w:t>the customer terminate</w:t>
      </w:r>
      <w:r w:rsidR="00501239">
        <w:t>s</w:t>
      </w:r>
      <w:r w:rsidR="00CB6A7C">
        <w:t xml:space="preserve"> </w:t>
      </w:r>
      <w:r w:rsidR="00CB6A7C" w:rsidRPr="00705F08">
        <w:t xml:space="preserve">within </w:t>
      </w:r>
      <w:r>
        <w:t>6 months</w:t>
      </w:r>
      <w:r w:rsidRPr="00705F08">
        <w:t xml:space="preserve"> </w:t>
      </w:r>
      <w:r w:rsidR="00501239">
        <w:t xml:space="preserve">of the operator </w:t>
      </w:r>
      <w:r w:rsidR="005539D1">
        <w:t>giving</w:t>
      </w:r>
      <w:r w:rsidR="00501239">
        <w:t xml:space="preserve"> that information, the operator must not charge a </w:t>
      </w:r>
      <w:r w:rsidR="00FB0247">
        <w:t xml:space="preserve">general </w:t>
      </w:r>
      <w:r w:rsidR="00501239">
        <w:t xml:space="preserve">termination fee for the termination that is </w:t>
      </w:r>
      <w:r w:rsidR="00501239" w:rsidRPr="00BE4473">
        <w:rPr>
          <w:i/>
        </w:rPr>
        <w:t>higher</w:t>
      </w:r>
      <w:r w:rsidR="00501239">
        <w:t xml:space="preserve"> than that specified in the </w:t>
      </w:r>
      <w:r w:rsidR="00F06589">
        <w:t>statement</w:t>
      </w:r>
      <w:r w:rsidR="006D208F">
        <w:t>. However, the operator</w:t>
      </w:r>
      <w:r w:rsidR="00F06589">
        <w:t xml:space="preserve"> </w:t>
      </w:r>
      <w:r w:rsidR="00BE4473">
        <w:t xml:space="preserve">is free to levy a </w:t>
      </w:r>
      <w:r w:rsidR="00BE4473">
        <w:rPr>
          <w:i/>
        </w:rPr>
        <w:t xml:space="preserve">lower </w:t>
      </w:r>
      <w:r w:rsidR="00BE4473">
        <w:t>termination fee if it wishes to do so</w:t>
      </w:r>
      <w:r w:rsidR="00CB6A7C" w:rsidRPr="00FB025D">
        <w:t>.</w:t>
      </w:r>
      <w:r w:rsidR="00501239">
        <w:t xml:space="preserve"> </w:t>
      </w:r>
    </w:p>
    <w:p w:rsidR="00292CE0" w:rsidRDefault="00CB6A7C" w:rsidP="00705F08">
      <w:r w:rsidRPr="00FB025D">
        <w:t xml:space="preserve">Further, the ACCC considers that </w:t>
      </w:r>
      <w:r w:rsidR="00032757">
        <w:t xml:space="preserve">the amount of a </w:t>
      </w:r>
      <w:r w:rsidR="00FB0247">
        <w:t xml:space="preserve">general </w:t>
      </w:r>
      <w:r w:rsidR="00032757">
        <w:t xml:space="preserve">termination fee </w:t>
      </w:r>
      <w:r w:rsidR="00ED4DBD">
        <w:t xml:space="preserve">in a </w:t>
      </w:r>
      <w:r w:rsidR="00C34459">
        <w:t xml:space="preserve">termination information </w:t>
      </w:r>
      <w:r w:rsidR="00ED4DBD">
        <w:t xml:space="preserve">statement </w:t>
      </w:r>
      <w:r w:rsidR="00032757">
        <w:t xml:space="preserve">given to a customer </w:t>
      </w:r>
      <w:r w:rsidRPr="00FB025D">
        <w:t xml:space="preserve">should also be binding on the </w:t>
      </w:r>
      <w:r w:rsidRPr="00FB025D">
        <w:rPr>
          <w:i/>
        </w:rPr>
        <w:t>customer</w:t>
      </w:r>
      <w:r w:rsidRPr="00FB025D">
        <w:t xml:space="preserve"> for </w:t>
      </w:r>
      <w:r w:rsidR="007B7FB8">
        <w:t>6 months</w:t>
      </w:r>
      <w:r w:rsidR="00032757">
        <w:t xml:space="preserve">. This means </w:t>
      </w:r>
      <w:r w:rsidRPr="00FB025D">
        <w:t xml:space="preserve">that an operator need not provide a revised </w:t>
      </w:r>
      <w:r w:rsidR="00ED4DBD">
        <w:t>‘</w:t>
      </w:r>
      <w:r w:rsidRPr="00FB025D">
        <w:t>quote</w:t>
      </w:r>
      <w:r w:rsidR="00ED4DBD">
        <w:t>’</w:t>
      </w:r>
      <w:r w:rsidRPr="00FB025D">
        <w:t xml:space="preserve"> during </w:t>
      </w:r>
      <w:r w:rsidR="006D208F" w:rsidRPr="00FB025D">
        <w:t>th</w:t>
      </w:r>
      <w:r w:rsidR="006D208F">
        <w:t>e 6-month</w:t>
      </w:r>
      <w:r w:rsidR="006D208F" w:rsidRPr="00FB025D">
        <w:t xml:space="preserve"> </w:t>
      </w:r>
      <w:r w:rsidRPr="00FB025D">
        <w:t xml:space="preserve">period, even </w:t>
      </w:r>
      <w:r w:rsidR="00FB0247">
        <w:t>if the</w:t>
      </w:r>
      <w:r w:rsidRPr="00FB025D">
        <w:t xml:space="preserve"> operator </w:t>
      </w:r>
      <w:r w:rsidR="00541AFA">
        <w:t xml:space="preserve">adopts a new </w:t>
      </w:r>
      <w:r w:rsidR="00AD6514">
        <w:t>S</w:t>
      </w:r>
      <w:r w:rsidRPr="00FB025D">
        <w:t xml:space="preserve">chedule of </w:t>
      </w:r>
      <w:r w:rsidR="00AD6514">
        <w:t>C</w:t>
      </w:r>
      <w:r w:rsidRPr="00FB025D">
        <w:t xml:space="preserve">harges during that time. </w:t>
      </w:r>
      <w:r w:rsidR="00541AFA">
        <w:t xml:space="preserve">Similarly, if the customer proceeds to terminate within that 6 month period, the maximum general termination fee the operator is able to levy should be the general termination fee set out in the termination information statement, even if re-calculating the general termination fee using the newly adopted Schedule of Charges would result in a lower general termination fee. </w:t>
      </w:r>
      <w:r w:rsidR="00C859ED">
        <w:t xml:space="preserve">The revised rule advice and drafting give effect to this intent. </w:t>
      </w:r>
    </w:p>
    <w:p w:rsidR="00D36599" w:rsidRDefault="007B6976" w:rsidP="00705F08">
      <w:r>
        <w:t xml:space="preserve">In some cases, a customer may, after receiving the termination information </w:t>
      </w:r>
      <w:r w:rsidR="00C34459">
        <w:t xml:space="preserve">statement </w:t>
      </w:r>
      <w:r>
        <w:t>provided by the operator, change their mind about the amount</w:t>
      </w:r>
      <w:r w:rsidR="00E16137">
        <w:t xml:space="preserve"> and / or aspect</w:t>
      </w:r>
      <w:r>
        <w:t xml:space="preserve"> of their right that they wish to terminate. This could occur, for example, if the termination fee per unit </w:t>
      </w:r>
      <w:r w:rsidR="00E16137">
        <w:t xml:space="preserve">terminated </w:t>
      </w:r>
      <w:r>
        <w:t>is substantially higher or lower than the customer expected</w:t>
      </w:r>
      <w:r w:rsidR="00E16137">
        <w:t>, or if there was a significant difference in the termination fee for “fully” versus “partially” terminating</w:t>
      </w:r>
      <w:r>
        <w:t xml:space="preserve">. In these cases, if the information provided by the operator is easily adaptable to the revised amount to be terminated, the operator should not be required to </w:t>
      </w:r>
      <w:r w:rsidR="00C34459">
        <w:t xml:space="preserve">prepare and </w:t>
      </w:r>
      <w:r>
        <w:t xml:space="preserve">send </w:t>
      </w:r>
      <w:r w:rsidR="00C34459">
        <w:t xml:space="preserve">a new termination </w:t>
      </w:r>
      <w:r>
        <w:t xml:space="preserve">information </w:t>
      </w:r>
      <w:r w:rsidR="00C34459">
        <w:t xml:space="preserve">statement </w:t>
      </w:r>
      <w:r>
        <w:t>to the customer</w:t>
      </w:r>
      <w:r w:rsidR="00E16137">
        <w:t xml:space="preserve"> within 6 months of the date it first provided </w:t>
      </w:r>
      <w:r w:rsidR="00C34459">
        <w:t>a statement to</w:t>
      </w:r>
      <w:r w:rsidR="00E16137">
        <w:t xml:space="preserve"> the customer</w:t>
      </w:r>
      <w:r>
        <w:t xml:space="preserve">. </w:t>
      </w:r>
      <w:r w:rsidR="00B94DB5">
        <w:t xml:space="preserve">An example of this would be where </w:t>
      </w:r>
      <w:r w:rsidR="00C34459">
        <w:t>a</w:t>
      </w:r>
      <w:r w:rsidR="00B94DB5">
        <w:t xml:space="preserve"> termination </w:t>
      </w:r>
      <w:r w:rsidR="00C34459">
        <w:t xml:space="preserve">information statement </w:t>
      </w:r>
      <w:r w:rsidR="00B94DB5">
        <w:t xml:space="preserve">set out an amount of termination fee per unit terminated (e.g. $ per ML of WDR terminated), and the customer decided to change the number of units terminated. </w:t>
      </w:r>
    </w:p>
    <w:p w:rsidR="00D36599" w:rsidRDefault="007B6976" w:rsidP="00705F08">
      <w:r>
        <w:t>However, if the information previously given is not adaptable to the revised amount</w:t>
      </w:r>
      <w:r w:rsidR="00E16137">
        <w:t xml:space="preserve">, </w:t>
      </w:r>
      <w:r>
        <w:t xml:space="preserve">the operator </w:t>
      </w:r>
      <w:r w:rsidR="00E16137">
        <w:t xml:space="preserve">should provide </w:t>
      </w:r>
      <w:r w:rsidR="00C34459">
        <w:t>a revised ‘quote’ in a new termination information statement</w:t>
      </w:r>
      <w:r w:rsidR="00E16137">
        <w:t xml:space="preserve">. A key example of where an operator might need to provide new information is where a customer initially sought to only partially terminate (that is, reduce the volume of their right of access but retain access), but subsequently decides to fully terminate </w:t>
      </w:r>
      <w:r w:rsidR="00ED4DBD">
        <w:t>their right of access</w:t>
      </w:r>
      <w:r w:rsidR="00E16137">
        <w:t>. In this case, the operator may need to include additional amounts relating to fully terminating that were not relevant to the initial ‘quote’ provided</w:t>
      </w:r>
      <w:r w:rsidR="00ED4DBD">
        <w:t xml:space="preserve"> </w:t>
      </w:r>
      <w:r w:rsidR="00C34459">
        <w:t xml:space="preserve">in the first termination information statement. This </w:t>
      </w:r>
      <w:r w:rsidR="009E2330">
        <w:t xml:space="preserve">would be </w:t>
      </w:r>
      <w:r w:rsidR="00ED4DBD">
        <w:t>particular</w:t>
      </w:r>
      <w:r w:rsidR="009E2330">
        <w:t>ly relevant</w:t>
      </w:r>
      <w:r w:rsidR="00ED4DBD">
        <w:t xml:space="preserve"> where an operator has separate infrastructure charges for infrastructure used exclusively by the terminating customer, such as meters or outlets</w:t>
      </w:r>
      <w:r w:rsidR="00E16137">
        <w:t>. The ACCC does not consider that this level of details needs to be specified in the rules</w:t>
      </w:r>
      <w:r w:rsidR="00ED4DBD">
        <w:t xml:space="preserve"> but should be included in future guidelines</w:t>
      </w:r>
      <w:r w:rsidR="00E16137">
        <w:t>.</w:t>
      </w:r>
      <w:r w:rsidR="009E2330">
        <w:t xml:space="preserve"> </w:t>
      </w:r>
    </w:p>
    <w:p w:rsidR="000E1EFB" w:rsidRDefault="00CB6A7C" w:rsidP="00705F08">
      <w:r w:rsidRPr="00FB025D">
        <w:t xml:space="preserve">The ACCC notes that </w:t>
      </w:r>
      <w:r w:rsidR="009E2330">
        <w:t xml:space="preserve">under the proposed approach, </w:t>
      </w:r>
      <w:r w:rsidR="00C859ED">
        <w:t xml:space="preserve">an operator </w:t>
      </w:r>
      <w:r w:rsidR="009E2330">
        <w:t>would be</w:t>
      </w:r>
      <w:r w:rsidR="00C859ED">
        <w:t xml:space="preserve"> required to set out how it calculated the </w:t>
      </w:r>
      <w:r w:rsidR="00541AFA">
        <w:t xml:space="preserve">general </w:t>
      </w:r>
      <w:r w:rsidR="00C859ED">
        <w:t xml:space="preserve">termination fee </w:t>
      </w:r>
      <w:r w:rsidR="00541AFA">
        <w:t xml:space="preserve">(and, if applicable, any additional termination fee) </w:t>
      </w:r>
      <w:r w:rsidR="00C859ED">
        <w:t>it provided to a customer</w:t>
      </w:r>
      <w:r w:rsidR="009E2330">
        <w:t xml:space="preserve"> in the termination information statement.</w:t>
      </w:r>
      <w:r w:rsidR="00032757">
        <w:t xml:space="preserve"> </w:t>
      </w:r>
      <w:r w:rsidR="009E2330">
        <w:t>I</w:t>
      </w:r>
      <w:r w:rsidR="00032757">
        <w:t>n the event that</w:t>
      </w:r>
      <w:r w:rsidRPr="00FB025D">
        <w:t xml:space="preserve"> </w:t>
      </w:r>
      <w:r w:rsidR="00032757" w:rsidRPr="00FB025D">
        <w:t>an operator introduce</w:t>
      </w:r>
      <w:r w:rsidR="00032757">
        <w:t>s</w:t>
      </w:r>
      <w:r w:rsidR="00032757" w:rsidRPr="00FB025D">
        <w:t xml:space="preserve"> a new </w:t>
      </w:r>
      <w:r w:rsidR="00032757">
        <w:t>S</w:t>
      </w:r>
      <w:r w:rsidR="00032757" w:rsidRPr="00FB025D">
        <w:t xml:space="preserve">chedule of </w:t>
      </w:r>
      <w:r w:rsidR="00032757">
        <w:t>C</w:t>
      </w:r>
      <w:r w:rsidR="00032757" w:rsidRPr="00FB025D">
        <w:t>harges</w:t>
      </w:r>
      <w:r w:rsidR="00032757">
        <w:t xml:space="preserve"> within the 6 months period, </w:t>
      </w:r>
      <w:r w:rsidRPr="00FB025D">
        <w:t xml:space="preserve">a customer </w:t>
      </w:r>
      <w:r w:rsidR="00BE4473">
        <w:t>should be able to determine whether a lower termination fee could apply under that Schedule. That is, a customer should be able to see whether individual charges on which the termination fee ‘quote’ was based have changed in the new Schedule of Charges, and if so, how the termination fee calculation would be affected. Given that subrule 71(</w:t>
      </w:r>
      <w:r w:rsidR="00F06589">
        <w:t>5</w:t>
      </w:r>
      <w:r w:rsidR="00BE4473">
        <w:t xml:space="preserve">) only prevents an operator levying a fee that is </w:t>
      </w:r>
      <w:r w:rsidR="00BE4473">
        <w:rPr>
          <w:i/>
        </w:rPr>
        <w:t xml:space="preserve">higher </w:t>
      </w:r>
      <w:r w:rsidR="00BE4473">
        <w:t xml:space="preserve">than the amount specified in the </w:t>
      </w:r>
      <w:r w:rsidR="00292CE0">
        <w:t xml:space="preserve">termination </w:t>
      </w:r>
      <w:r w:rsidR="00BE4473">
        <w:t xml:space="preserve">information given (where termination occurs within the 6 month period), if a new Schedule of Charges is introduced which would have a correspondingly lower termination fee, a customer could negotiate with the operator for the lower termination fee (according to the new Schedule) to apply. In the event that an operator refused to lower the termination fee, the customer </w:t>
      </w:r>
      <w:r w:rsidR="00ED4DBD">
        <w:t>may decide</w:t>
      </w:r>
      <w:r w:rsidR="00705F08">
        <w:t xml:space="preserve"> </w:t>
      </w:r>
      <w:r w:rsidRPr="00FB025D">
        <w:t xml:space="preserve">not </w:t>
      </w:r>
      <w:r w:rsidR="00ED4DBD">
        <w:t xml:space="preserve">to </w:t>
      </w:r>
      <w:r w:rsidRPr="00FB025D">
        <w:t xml:space="preserve">terminate until a later date (i.e. after the </w:t>
      </w:r>
      <w:r w:rsidR="000E1EFB">
        <w:t>6 month</w:t>
      </w:r>
      <w:r w:rsidRPr="00FB025D">
        <w:t xml:space="preserve"> period</w:t>
      </w:r>
      <w:r>
        <w:t xml:space="preserve"> has lapsed). </w:t>
      </w:r>
    </w:p>
    <w:p w:rsidR="00B532BC" w:rsidRPr="00FC64B5" w:rsidRDefault="00B532BC" w:rsidP="0082647F">
      <w:pPr>
        <w:pStyle w:val="Heading5Lvl6"/>
      </w:pPr>
      <w:r w:rsidRPr="00FC64B5">
        <w:t>Clarifying circumstances in which an operator is required to provide information</w:t>
      </w:r>
    </w:p>
    <w:p w:rsidR="00B532BC" w:rsidRDefault="00B532BC" w:rsidP="00B532BC">
      <w:r>
        <w:t xml:space="preserve">The ACCC considers that the amendments proposed in the Draft Advice did not clearly provide that an operator should be </w:t>
      </w:r>
      <w:r>
        <w:rPr>
          <w:i/>
        </w:rPr>
        <w:t>required</w:t>
      </w:r>
      <w:r>
        <w:t xml:space="preserve"> to provide information about the amount of the (maximum) termination fee and opportunities to trade water delivery right </w:t>
      </w:r>
      <w:r>
        <w:rPr>
          <w:i/>
        </w:rPr>
        <w:t>prior to</w:t>
      </w:r>
      <w:r>
        <w:t xml:space="preserve"> a customer terminating their right of access. The ACCC considers that such a requirement is important to ensure that all customers who wish to terminate are provided with the information they need before making a decision. </w:t>
      </w:r>
    </w:p>
    <w:p w:rsidR="00B532BC" w:rsidRDefault="00B532BC" w:rsidP="00A60A09">
      <w:pPr>
        <w:spacing w:after="120"/>
      </w:pPr>
      <w:r>
        <w:t xml:space="preserve">The ACCC has therefore revised its advice and the corresponding proposed rule to make clear that, in the case where a </w:t>
      </w:r>
      <w:r w:rsidRPr="00F7712D">
        <w:rPr>
          <w:i/>
        </w:rPr>
        <w:t>customer</w:t>
      </w:r>
      <w:r>
        <w:t xml:space="preserve"> instigates termination, the operator must always provide the relevant information and confirm the customer’s decision to terminate after the information has been provided. This intent is given effect to by proposed subrule 71(2) which requires that, in the case where the customer instigates the termination, </w:t>
      </w:r>
      <w:r w:rsidR="00761FA3">
        <w:t xml:space="preserve">in order to be able to levy a termination fee </w:t>
      </w:r>
      <w:r>
        <w:t xml:space="preserve">an operator must either: </w:t>
      </w:r>
    </w:p>
    <w:p w:rsidR="00B532BC" w:rsidRDefault="00B532BC" w:rsidP="00F43856">
      <w:pPr>
        <w:pStyle w:val="ListParagraph"/>
        <w:numPr>
          <w:ilvl w:val="0"/>
          <w:numId w:val="102"/>
        </w:numPr>
      </w:pPr>
      <w:r>
        <w:t>have already provided the relevant information within the period beginning 6 months</w:t>
      </w:r>
      <w:r>
        <w:rPr>
          <w:rStyle w:val="FootnoteReference"/>
        </w:rPr>
        <w:footnoteReference w:id="754"/>
      </w:r>
      <w:r>
        <w:t xml:space="preserve"> before receiving the customer’s notice to terminate; or</w:t>
      </w:r>
    </w:p>
    <w:p w:rsidR="00B532BC" w:rsidRDefault="00B532BC" w:rsidP="00F43856">
      <w:pPr>
        <w:pStyle w:val="ListParagraph"/>
        <w:numPr>
          <w:ilvl w:val="0"/>
          <w:numId w:val="102"/>
        </w:numPr>
      </w:pPr>
      <w:r>
        <w:t>otherwise, provide the required information to the customer in response to receiving the customer’s notice, and then confirm that the customer wishes to proceed.</w:t>
      </w:r>
    </w:p>
    <w:p w:rsidR="00B532BC" w:rsidRPr="00687ADA" w:rsidRDefault="00B532BC" w:rsidP="00A60A09">
      <w:pPr>
        <w:pStyle w:val="Lvl1Bulletpoint"/>
        <w:numPr>
          <w:ilvl w:val="0"/>
          <w:numId w:val="0"/>
        </w:numPr>
        <w:spacing w:after="120"/>
      </w:pPr>
      <w:r w:rsidRPr="000E1EFB">
        <w:t xml:space="preserve">The ACCC agrees </w:t>
      </w:r>
      <w:r>
        <w:t xml:space="preserve">with stakeholders </w:t>
      </w:r>
      <w:r w:rsidRPr="000E1EFB">
        <w:t xml:space="preserve">that the wording in proposed rule 74 could be improved by consistently referring to </w:t>
      </w:r>
      <w:r>
        <w:t xml:space="preserve">the operator receiving </w:t>
      </w:r>
      <w:r w:rsidRPr="00687ADA">
        <w:t>an ‘information request’, which could entail either:</w:t>
      </w:r>
    </w:p>
    <w:p w:rsidR="00B532BC" w:rsidRPr="00F43856" w:rsidRDefault="00B532BC" w:rsidP="00F43856">
      <w:pPr>
        <w:pStyle w:val="ListParagraph"/>
        <w:numPr>
          <w:ilvl w:val="0"/>
          <w:numId w:val="123"/>
        </w:numPr>
      </w:pPr>
      <w:r w:rsidRPr="00F43856">
        <w:t>a request from a customer for information on the termination fee that would apply if the customer were to terminate the whole or part of a right of access; or</w:t>
      </w:r>
    </w:p>
    <w:p w:rsidR="00B532BC" w:rsidRPr="00F43856" w:rsidRDefault="00B532BC" w:rsidP="00F43856">
      <w:pPr>
        <w:pStyle w:val="ListParagraph"/>
        <w:numPr>
          <w:ilvl w:val="0"/>
          <w:numId w:val="123"/>
        </w:numPr>
      </w:pPr>
      <w:r w:rsidRPr="00F43856">
        <w:t>a notice submitted by a customer to terminate the whole or part of their</w:t>
      </w:r>
      <w:r w:rsidR="004F6BD0" w:rsidRPr="00F43856">
        <w:t xml:space="preserve"> </w:t>
      </w:r>
      <w:r w:rsidRPr="00F43856">
        <w:t>right of access.</w:t>
      </w:r>
    </w:p>
    <w:p w:rsidR="00B532BC" w:rsidRDefault="00B532BC" w:rsidP="00A82DE6">
      <w:pPr>
        <w:pStyle w:val="Lvl1Bulletpoint"/>
        <w:numPr>
          <w:ilvl w:val="0"/>
          <w:numId w:val="0"/>
        </w:numPr>
      </w:pPr>
      <w:r>
        <w:t xml:space="preserve">The revised proposed rule 74 implements this improvement. </w:t>
      </w:r>
    </w:p>
    <w:p w:rsidR="00B532BC" w:rsidRDefault="00B532BC" w:rsidP="00B532BC">
      <w:r w:rsidRPr="008D43BF">
        <w:t xml:space="preserve">The revised drafting also clarifies that an operator </w:t>
      </w:r>
      <w:r w:rsidRPr="008D43BF">
        <w:rPr>
          <w:i/>
        </w:rPr>
        <w:t>may</w:t>
      </w:r>
      <w:r w:rsidRPr="008D43BF">
        <w:t xml:space="preserve"> require that a</w:t>
      </w:r>
      <w:r>
        <w:t>n information</w:t>
      </w:r>
      <w:r w:rsidRPr="008D43BF">
        <w:t xml:space="preserve"> request be submitted in writing, but must advise customers that this is the case. Where an operator has such a policy, the rule requirement should apply only to </w:t>
      </w:r>
      <w:r>
        <w:t xml:space="preserve">information </w:t>
      </w:r>
      <w:r w:rsidRPr="008D43BF">
        <w:t>requests received in writing.</w:t>
      </w:r>
    </w:p>
    <w:p w:rsidR="00B532BC" w:rsidRDefault="00B532BC" w:rsidP="00B532BC">
      <w:r>
        <w:t xml:space="preserve">In the case where the </w:t>
      </w:r>
      <w:r>
        <w:rPr>
          <w:i/>
        </w:rPr>
        <w:t>operator</w:t>
      </w:r>
      <w:r>
        <w:t xml:space="preserve"> instigates a termination due to a customer’s breaching their contractual obligations (provided for under subrule 71(3)), the ACCC does not consider that the rules should require an operator to provide specific information. Given that the customer’s consent to the termination is not required in this case, the rationale that the operator should be required to provide information because that information is necessary to the customer’s decision-making does not apply. However, the ACCC notes that in practice an operator will still need to inform the customer of the amount of the termination fee being levied (so that the customer is able to pay that amount), and may also wish to provide the customer with details of how that fee was calculated for the purpose of demonstrating that the rules for calculating the fee have been complied with.</w:t>
      </w:r>
      <w:r w:rsidR="004F6BD0">
        <w:t xml:space="preserve"> </w:t>
      </w:r>
    </w:p>
    <w:p w:rsidR="00CB6A7C" w:rsidRPr="00D714FC" w:rsidRDefault="00CB6A7C" w:rsidP="00CB6A7C">
      <w:pPr>
        <w:pStyle w:val="Heading2"/>
      </w:pPr>
      <w:bookmarkStart w:id="1367" w:name="_Ref435114699"/>
      <w:bookmarkStart w:id="1368" w:name="_Toc436122323"/>
      <w:bookmarkStart w:id="1369" w:name="_Toc436122818"/>
      <w:bookmarkStart w:id="1370" w:name="_Toc436124173"/>
      <w:bookmarkStart w:id="1371" w:name="_Toc456785830"/>
      <w:bookmarkStart w:id="1372" w:name="_Toc461630741"/>
      <w:r w:rsidRPr="00D714FC">
        <w:t>Approval of additional termination fees</w:t>
      </w:r>
      <w:bookmarkEnd w:id="1367"/>
      <w:bookmarkEnd w:id="1368"/>
      <w:bookmarkEnd w:id="1369"/>
      <w:bookmarkEnd w:id="1370"/>
      <w:bookmarkEnd w:id="1371"/>
      <w:bookmarkEnd w:id="1372"/>
    </w:p>
    <w:p w:rsidR="00CB6A7C" w:rsidRPr="006246A8" w:rsidRDefault="00CB6A7C" w:rsidP="00CE67EB">
      <w:pPr>
        <w:pStyle w:val="Heading3Un-numbered"/>
      </w:pPr>
      <w:r>
        <w:t>Background</w:t>
      </w:r>
    </w:p>
    <w:p w:rsidR="00CB6A7C" w:rsidRPr="00D714FC" w:rsidRDefault="00CB6A7C" w:rsidP="00CB6A7C">
      <w:pPr>
        <w:rPr>
          <w:rFonts w:eastAsia="Arial"/>
        </w:rPr>
      </w:pPr>
      <w:r w:rsidRPr="00D714FC">
        <w:rPr>
          <w:rFonts w:eastAsia="Arial"/>
        </w:rPr>
        <w:t xml:space="preserve">Rule 8 of the </w:t>
      </w:r>
      <w:r w:rsidR="00DE74BD" w:rsidRPr="00524D9F">
        <w:rPr>
          <w:rFonts w:cs="Times New Roman"/>
        </w:rPr>
        <w:t>Water Charge (Termination Fee</w:t>
      </w:r>
      <w:r w:rsidR="00FE5641">
        <w:rPr>
          <w:rFonts w:cs="Times New Roman"/>
        </w:rPr>
        <w:t>s</w:t>
      </w:r>
      <w:r w:rsidR="00DE74BD" w:rsidRPr="00524D9F">
        <w:rPr>
          <w:rFonts w:cs="Times New Roman"/>
        </w:rPr>
        <w:t>) Rules 2009</w:t>
      </w:r>
      <w:r w:rsidR="00DE74BD">
        <w:rPr>
          <w:rFonts w:cs="Times New Roman"/>
        </w:rPr>
        <w:t xml:space="preserve"> (</w:t>
      </w:r>
      <w:r w:rsidRPr="00D714FC">
        <w:rPr>
          <w:rFonts w:eastAsia="Arial"/>
        </w:rPr>
        <w:t>WCTFR</w:t>
      </w:r>
      <w:r w:rsidR="00DE74BD">
        <w:rPr>
          <w:rFonts w:eastAsia="Arial"/>
        </w:rPr>
        <w:t>)</w:t>
      </w:r>
      <w:r w:rsidRPr="00D714FC">
        <w:rPr>
          <w:rFonts w:eastAsia="Arial"/>
        </w:rPr>
        <w:t xml:space="preserve"> provides for the allowance of termination fees that are in excess of the amount otherwise permitted under the rules in certain circumstances. Specifically, </w:t>
      </w:r>
      <w:r w:rsidR="00A22F1F">
        <w:rPr>
          <w:rFonts w:eastAsia="Arial"/>
        </w:rPr>
        <w:t>r</w:t>
      </w:r>
      <w:r w:rsidRPr="00D714FC">
        <w:rPr>
          <w:rFonts w:eastAsia="Arial"/>
        </w:rPr>
        <w:t xml:space="preserve">ule 8 allows such a termination fee where the fee is specified in an existing or new contract between an operator and a customer and relates to the recovery of capital expenditure that could not be recovered under the termination fee calculated under </w:t>
      </w:r>
      <w:r w:rsidR="00A22F1F">
        <w:rPr>
          <w:rFonts w:eastAsia="Arial"/>
        </w:rPr>
        <w:t>r</w:t>
      </w:r>
      <w:r w:rsidRPr="00D714FC">
        <w:rPr>
          <w:rFonts w:eastAsia="Arial"/>
        </w:rPr>
        <w:t xml:space="preserve">ule 7 of the WCTFR. The ability of operators and customers to negotiate such a clause </w:t>
      </w:r>
      <w:r w:rsidR="00F92CF0">
        <w:rPr>
          <w:rFonts w:eastAsia="Arial"/>
        </w:rPr>
        <w:t>reflects</w:t>
      </w:r>
      <w:r w:rsidRPr="00D714FC">
        <w:rPr>
          <w:rFonts w:eastAsia="Arial"/>
        </w:rPr>
        <w:t xml:space="preserve"> the possibility that some efficient investments may only be viable with cost recovery periods longer than those implied by the maximum termination fees allowed by the rules. </w:t>
      </w:r>
    </w:p>
    <w:p w:rsidR="00CB6A7C" w:rsidRPr="00D714FC" w:rsidRDefault="00CB6A7C" w:rsidP="00A60A09">
      <w:pPr>
        <w:spacing w:after="120"/>
        <w:rPr>
          <w:rFonts w:eastAsia="Arial"/>
        </w:rPr>
      </w:pPr>
      <w:r w:rsidRPr="00D714FC">
        <w:rPr>
          <w:rFonts w:eastAsia="Arial"/>
        </w:rPr>
        <w:t xml:space="preserve">Rule 8 requires the parties to the contract to obtain approval from the ACCC for this termination fee. Before the ACCC decides whether to approve the additional termination fee, a party to the contract must submit to the ACCC: </w:t>
      </w:r>
    </w:p>
    <w:p w:rsidR="00CB6A7C" w:rsidRPr="006576CD" w:rsidRDefault="00CB6A7C" w:rsidP="00A82DE6">
      <w:pPr>
        <w:pStyle w:val="Lvl1Bulletpoint"/>
      </w:pPr>
      <w:r w:rsidRPr="006576CD">
        <w:t xml:space="preserve">a copy of the contract; </w:t>
      </w:r>
    </w:p>
    <w:p w:rsidR="00CB6A7C" w:rsidRPr="006576CD" w:rsidRDefault="00CB6A7C" w:rsidP="00A82DE6">
      <w:pPr>
        <w:pStyle w:val="Lvl1Bulletpoint"/>
      </w:pPr>
      <w:r w:rsidRPr="006576CD">
        <w:t xml:space="preserve">the contact details of the parties; </w:t>
      </w:r>
    </w:p>
    <w:p w:rsidR="00CB6A7C" w:rsidRPr="006576CD" w:rsidRDefault="00CB6A7C" w:rsidP="00A82DE6">
      <w:pPr>
        <w:pStyle w:val="Lvl1Bulletpoint"/>
      </w:pPr>
      <w:r w:rsidRPr="006576CD">
        <w:t xml:space="preserve">details of contracts/arrangements made for the carrying out of capital works which relate to the termination fee; and </w:t>
      </w:r>
    </w:p>
    <w:p w:rsidR="00CB6A7C" w:rsidRPr="006576CD" w:rsidRDefault="00CB6A7C" w:rsidP="00A82DE6">
      <w:pPr>
        <w:pStyle w:val="Lvl1Bulletpoint"/>
      </w:pPr>
      <w:r w:rsidRPr="006576CD">
        <w:t>any further information the ACCC requests.</w:t>
      </w:r>
    </w:p>
    <w:p w:rsidR="00CB6A7C" w:rsidRPr="00D714FC" w:rsidRDefault="00CB6A7C" w:rsidP="00A60A09">
      <w:pPr>
        <w:spacing w:after="120"/>
        <w:rPr>
          <w:rFonts w:eastAsia="Arial"/>
        </w:rPr>
      </w:pPr>
      <w:r w:rsidRPr="00D714FC">
        <w:rPr>
          <w:rFonts w:eastAsia="Arial"/>
        </w:rPr>
        <w:t xml:space="preserve">The ACCC must approve the additional termination fee if: </w:t>
      </w:r>
    </w:p>
    <w:p w:rsidR="00CB6A7C" w:rsidRPr="00D714FC" w:rsidRDefault="00CB6A7C" w:rsidP="00A82DE6">
      <w:pPr>
        <w:pStyle w:val="Lvl1Bulletpoint"/>
        <w:rPr>
          <w:rFonts w:eastAsia="Arial"/>
        </w:rPr>
      </w:pPr>
      <w:r w:rsidRPr="00D714FC">
        <w:rPr>
          <w:rFonts w:eastAsia="Arial"/>
        </w:rPr>
        <w:t xml:space="preserve">it is satisfied that the fee is clearly stated within the contract; </w:t>
      </w:r>
    </w:p>
    <w:p w:rsidR="00CB6A7C" w:rsidRPr="00D714FC" w:rsidRDefault="00CB6A7C" w:rsidP="00A82DE6">
      <w:pPr>
        <w:pStyle w:val="Lvl1Bulletpoint"/>
        <w:rPr>
          <w:rFonts w:eastAsia="Arial"/>
        </w:rPr>
      </w:pPr>
      <w:r w:rsidRPr="00D714FC">
        <w:rPr>
          <w:rFonts w:eastAsia="Arial"/>
        </w:rPr>
        <w:t xml:space="preserve">the fee relates to capital works entered into within the first five years of the contract; and </w:t>
      </w:r>
    </w:p>
    <w:p w:rsidR="00CB6A7C" w:rsidRPr="00D714FC" w:rsidRDefault="00CB6A7C" w:rsidP="00A82DE6">
      <w:pPr>
        <w:pStyle w:val="Lvl1Bulletpoint"/>
        <w:rPr>
          <w:rFonts w:eastAsia="Arial"/>
        </w:rPr>
      </w:pPr>
      <w:r w:rsidRPr="00D714FC">
        <w:rPr>
          <w:rFonts w:eastAsia="Arial"/>
        </w:rPr>
        <w:t>the fee is reasonably related to the recovery of the estimated or actual cost and it was agreed by the parties to the contract in a fair and reasonable negotiation. Further, before approving the fee, the ACCC must have regard to the Basin Water Charging Objectives and Principles</w:t>
      </w:r>
      <w:r w:rsidR="00B14931">
        <w:rPr>
          <w:rFonts w:eastAsia="Arial"/>
        </w:rPr>
        <w:t xml:space="preserve"> (BWCOP)</w:t>
      </w:r>
      <w:r w:rsidRPr="00D714FC">
        <w:rPr>
          <w:rFonts w:eastAsia="Arial"/>
        </w:rPr>
        <w:t>.</w:t>
      </w:r>
      <w:r w:rsidRPr="00D714FC">
        <w:rPr>
          <w:rStyle w:val="FootnoteReference"/>
          <w:rFonts w:eastAsia="Arial"/>
        </w:rPr>
        <w:footnoteReference w:id="755"/>
      </w:r>
    </w:p>
    <w:p w:rsidR="00CB6A7C" w:rsidRDefault="00CB6A7C" w:rsidP="00CB6A7C">
      <w:pPr>
        <w:rPr>
          <w:rFonts w:eastAsia="Arial"/>
        </w:rPr>
      </w:pPr>
      <w:r w:rsidRPr="00D714FC">
        <w:rPr>
          <w:rFonts w:eastAsia="Arial"/>
        </w:rPr>
        <w:t>In the more than six years since the introduction of the WCTFR, the ACCC has received only one application from an</w:t>
      </w:r>
      <w:r w:rsidR="00D16913">
        <w:rPr>
          <w:rFonts w:eastAsia="Arial"/>
        </w:rPr>
        <w:t xml:space="preserve"> irrigation infrastructure operator</w:t>
      </w:r>
      <w:r w:rsidRPr="00D714FC">
        <w:rPr>
          <w:rFonts w:eastAsia="Arial"/>
        </w:rPr>
        <w:t xml:space="preserve"> </w:t>
      </w:r>
      <w:r w:rsidR="00D16913">
        <w:rPr>
          <w:rFonts w:eastAsia="Arial"/>
        </w:rPr>
        <w:t>(</w:t>
      </w:r>
      <w:r w:rsidRPr="00D714FC">
        <w:rPr>
          <w:rFonts w:eastAsia="Arial"/>
        </w:rPr>
        <w:t>IIO</w:t>
      </w:r>
      <w:r w:rsidR="00D16913">
        <w:rPr>
          <w:rFonts w:eastAsia="Arial"/>
        </w:rPr>
        <w:t>)</w:t>
      </w:r>
      <w:r w:rsidRPr="00D714FC">
        <w:rPr>
          <w:rFonts w:eastAsia="Arial"/>
        </w:rPr>
        <w:t xml:space="preserve"> for assessment, and this was assessed to be invalid.</w:t>
      </w:r>
      <w:r w:rsidRPr="00D714FC">
        <w:rPr>
          <w:rStyle w:val="FootnoteReference"/>
          <w:rFonts w:eastAsia="Arial"/>
        </w:rPr>
        <w:footnoteReference w:id="756"/>
      </w:r>
      <w:r w:rsidRPr="00D714FC">
        <w:rPr>
          <w:rFonts w:eastAsia="Arial"/>
        </w:rPr>
        <w:t xml:space="preserve"> Further, the ACCC has only received two customer inquiries relating to additional termination fees and both of those were in 2009. </w:t>
      </w:r>
    </w:p>
    <w:p w:rsidR="00CB6A7C" w:rsidRPr="00C349AD" w:rsidRDefault="00CB6A7C" w:rsidP="00A60A09">
      <w:pPr>
        <w:spacing w:after="120"/>
        <w:rPr>
          <w:rFonts w:eastAsia="Arial"/>
        </w:rPr>
      </w:pPr>
      <w:r w:rsidRPr="00C349AD">
        <w:rPr>
          <w:rFonts w:eastAsia="Arial"/>
        </w:rPr>
        <w:t>In the Draft Advice, the ACCC considered that the reasons for regulatory overview of the additional termination fee process are still valid.</w:t>
      </w:r>
      <w:r w:rsidRPr="00C349AD">
        <w:t xml:space="preserve"> </w:t>
      </w:r>
      <w:r w:rsidRPr="00C349AD">
        <w:rPr>
          <w:rFonts w:eastAsia="Arial"/>
        </w:rPr>
        <w:t>Any amended approach that by-passes ACCC scrutiny requires the customer:</w:t>
      </w:r>
    </w:p>
    <w:p w:rsidR="00CB6A7C" w:rsidRPr="00C349AD" w:rsidRDefault="00CB6A7C" w:rsidP="00A82DE6">
      <w:pPr>
        <w:pStyle w:val="Lvl1Bulletpoint"/>
      </w:pPr>
      <w:r w:rsidRPr="00C349AD">
        <w:t xml:space="preserve">to be able to assess whether the trade-off between a higher termination fee and the building of new infrastructure is in their self-interest; </w:t>
      </w:r>
    </w:p>
    <w:p w:rsidR="00CB6A7C" w:rsidRPr="00C349AD" w:rsidRDefault="00CB6A7C" w:rsidP="00A82DE6">
      <w:pPr>
        <w:pStyle w:val="Lvl1Bulletpoint"/>
      </w:pPr>
      <w:r w:rsidRPr="00C349AD">
        <w:t xml:space="preserve">to have enough knowledge of the </w:t>
      </w:r>
      <w:r w:rsidR="003151FE">
        <w:t>rules</w:t>
      </w:r>
      <w:r w:rsidR="003151FE" w:rsidRPr="00C349AD">
        <w:t xml:space="preserve"> </w:t>
      </w:r>
      <w:r w:rsidRPr="00C349AD">
        <w:t>and sufficient negotiation skills to participate in a fair and reasonable negotiation;</w:t>
      </w:r>
    </w:p>
    <w:p w:rsidR="00CB6A7C" w:rsidRPr="00C349AD" w:rsidRDefault="00CB6A7C" w:rsidP="00A82DE6">
      <w:pPr>
        <w:pStyle w:val="Lvl1Bulletpoint"/>
      </w:pPr>
      <w:r w:rsidRPr="00C349AD">
        <w:t xml:space="preserve">to know of </w:t>
      </w:r>
      <w:r w:rsidR="00F92CF0">
        <w:t xml:space="preserve">their </w:t>
      </w:r>
      <w:r w:rsidRPr="00C349AD">
        <w:t>ability to</w:t>
      </w:r>
      <w:r w:rsidR="00F92CF0">
        <w:t>,</w:t>
      </w:r>
      <w:r w:rsidRPr="00C349AD">
        <w:t xml:space="preserve"> and the circumstances in which</w:t>
      </w:r>
      <w:r w:rsidR="00F92CF0">
        <w:t>,</w:t>
      </w:r>
      <w:r w:rsidRPr="00C349AD">
        <w:t xml:space="preserve"> t</w:t>
      </w:r>
      <w:r w:rsidR="00F92CF0">
        <w:t>hey</w:t>
      </w:r>
      <w:r w:rsidRPr="00C349AD">
        <w:t xml:space="preserve"> can refer a matter to the regulator (the ACCC). </w:t>
      </w:r>
    </w:p>
    <w:p w:rsidR="00CB6A7C" w:rsidRPr="00C349AD" w:rsidRDefault="00CB6A7C" w:rsidP="00CB6A7C">
      <w:pPr>
        <w:rPr>
          <w:rFonts w:eastAsia="Arial"/>
        </w:rPr>
      </w:pPr>
      <w:r w:rsidRPr="00C349AD">
        <w:rPr>
          <w:rFonts w:eastAsia="Arial"/>
        </w:rPr>
        <w:t xml:space="preserve">Whereas some </w:t>
      </w:r>
      <w:r w:rsidR="003151FE">
        <w:rPr>
          <w:rFonts w:eastAsia="Arial"/>
        </w:rPr>
        <w:t>customers</w:t>
      </w:r>
      <w:r w:rsidR="003151FE" w:rsidRPr="00C349AD">
        <w:rPr>
          <w:rFonts w:eastAsia="Arial"/>
        </w:rPr>
        <w:t xml:space="preserve"> </w:t>
      </w:r>
      <w:r w:rsidRPr="00C349AD">
        <w:rPr>
          <w:rFonts w:eastAsia="Arial"/>
        </w:rPr>
        <w:t>would be able to assess such matters, many irrigators may not have the necessary commercial expertise in such contract negotiations, often have limited or no knowledge of the various water charge rules, or have limited resources and may not be able to make this assessment. Customers may also be in a relatively weak bargaining position in relation to an operator for a variety of reasons.</w:t>
      </w:r>
    </w:p>
    <w:p w:rsidR="003151FE" w:rsidRDefault="00CB6A7C" w:rsidP="00CB6A7C">
      <w:r w:rsidRPr="00C349AD">
        <w:t>Accordingly, in the Draft Advice, the ACCC considered that it is appropriate to maintain this rule in its current form.</w:t>
      </w:r>
      <w:r>
        <w:t xml:space="preserve"> </w:t>
      </w:r>
    </w:p>
    <w:p w:rsidR="00CB6A7C" w:rsidRPr="00D714FC" w:rsidRDefault="00CB6A7C" w:rsidP="00DF129E">
      <w:pPr>
        <w:pStyle w:val="Heading3Un-numbered"/>
      </w:pPr>
      <w:r>
        <w:t>Stakeholder</w:t>
      </w:r>
      <w:r w:rsidRPr="00D714FC">
        <w:t xml:space="preserve"> feedback</w:t>
      </w:r>
    </w:p>
    <w:p w:rsidR="00CB6A7C" w:rsidRPr="00D714FC" w:rsidRDefault="00CB6A7C" w:rsidP="00CB6A7C">
      <w:pPr>
        <w:rPr>
          <w:rFonts w:eastAsia="Arial"/>
        </w:rPr>
      </w:pPr>
      <w:r w:rsidRPr="00D714FC">
        <w:rPr>
          <w:rFonts w:eastAsia="Arial"/>
        </w:rPr>
        <w:t xml:space="preserve">The ACCC has received no evidence of support </w:t>
      </w:r>
      <w:r>
        <w:rPr>
          <w:rFonts w:eastAsia="Arial"/>
        </w:rPr>
        <w:t>to</w:t>
      </w:r>
      <w:r w:rsidRPr="00D714FC">
        <w:rPr>
          <w:rFonts w:eastAsia="Arial"/>
        </w:rPr>
        <w:t xml:space="preserve"> change to </w:t>
      </w:r>
      <w:r w:rsidR="00A22F1F">
        <w:rPr>
          <w:rFonts w:eastAsia="Arial"/>
        </w:rPr>
        <w:t>r</w:t>
      </w:r>
      <w:r w:rsidRPr="00D714FC">
        <w:rPr>
          <w:rFonts w:eastAsia="Arial"/>
        </w:rPr>
        <w:t>ule 8. Stakeholders have not made any submissions on the issue of additional termination fees in response to the Issues Paper</w:t>
      </w:r>
      <w:r>
        <w:rPr>
          <w:rFonts w:eastAsia="Arial"/>
        </w:rPr>
        <w:t>, the Draft Advice</w:t>
      </w:r>
      <w:r w:rsidRPr="00D714FC">
        <w:rPr>
          <w:rFonts w:eastAsia="Arial"/>
        </w:rPr>
        <w:t xml:space="preserve"> or otherwise. </w:t>
      </w:r>
    </w:p>
    <w:p w:rsidR="00CB6A7C" w:rsidRDefault="00CB6A7C" w:rsidP="00DF129E">
      <w:pPr>
        <w:pStyle w:val="Heading3Un-numbered"/>
      </w:pPr>
      <w:r>
        <w:t>ACCC assessment</w:t>
      </w:r>
    </w:p>
    <w:p w:rsidR="00CB6A7C" w:rsidRPr="00D714FC" w:rsidRDefault="00CB6A7C" w:rsidP="00CB6A7C">
      <w:r>
        <w:t xml:space="preserve">The ACCC maintains that the rationale set out in the Draft Advice continues to apply, and given the absence of any stakeholder feedback on this position, </w:t>
      </w:r>
      <w:r w:rsidR="003151FE">
        <w:t xml:space="preserve">considers </w:t>
      </w:r>
      <w:r>
        <w:t xml:space="preserve">that </w:t>
      </w:r>
      <w:r w:rsidR="00A22F1F">
        <w:t>r</w:t>
      </w:r>
      <w:r>
        <w:t>ule 8 should be incorporated into the combined water charge rules in its current form.</w:t>
      </w:r>
    </w:p>
    <w:p w:rsidR="003D436A" w:rsidRPr="00D714FC" w:rsidRDefault="003D436A" w:rsidP="003D436A">
      <w:pPr>
        <w:pStyle w:val="Heading2"/>
      </w:pPr>
      <w:bookmarkStart w:id="1373" w:name="_Toc461630742"/>
      <w:r>
        <w:t>Summary of Final Advice on</w:t>
      </w:r>
      <w:r w:rsidRPr="00D714FC">
        <w:t xml:space="preserve"> termination fees</w:t>
      </w:r>
      <w:bookmarkEnd w:id="1373"/>
    </w:p>
    <w:p w:rsidR="003D436A" w:rsidRDefault="003D436A" w:rsidP="003D436A">
      <w:pPr>
        <w:spacing w:before="240"/>
        <w:rPr>
          <w:rFonts w:cs="Times New Roman"/>
        </w:rPr>
      </w:pPr>
      <w:r>
        <w:rPr>
          <w:rFonts w:cs="Times New Roman"/>
        </w:rPr>
        <w:t xml:space="preserve">The ACCC’s advice on changes to rules for termination fees, set out in the sections above, together provide for a new process when a </w:t>
      </w:r>
      <w:r w:rsidR="00340AB9">
        <w:rPr>
          <w:rFonts w:cs="Times New Roman"/>
        </w:rPr>
        <w:t xml:space="preserve">customer </w:t>
      </w:r>
      <w:r>
        <w:t>is considering terminating or surrendering their right of access</w:t>
      </w:r>
      <w:r>
        <w:rPr>
          <w:rFonts w:cs="Times New Roman"/>
        </w:rPr>
        <w:t xml:space="preserve">. A central principle in this advice is that a customer should be able to access information relevant to a decision to terminate, </w:t>
      </w:r>
      <w:r>
        <w:rPr>
          <w:rFonts w:cs="Times New Roman"/>
          <w:i/>
        </w:rPr>
        <w:t>before</w:t>
      </w:r>
      <w:r>
        <w:rPr>
          <w:rFonts w:cs="Times New Roman"/>
        </w:rPr>
        <w:t xml:space="preserve"> making that decision. This includes information about the amount of any termination fee or disconnection fee that the customer would be liable to pay, how those amounts were calculated, and whether alternatives (such as water delivery right trade) are available.</w:t>
      </w:r>
      <w:r w:rsidR="004F6BD0">
        <w:rPr>
          <w:rFonts w:cs="Times New Roman"/>
        </w:rPr>
        <w:t xml:space="preserve"> </w:t>
      </w:r>
      <w:r>
        <w:t>This information should be provided in writing and is referred to in the proposed water charge rules as a ‘termination information statement’ (TIS).</w:t>
      </w:r>
    </w:p>
    <w:p w:rsidR="003D436A" w:rsidRDefault="003D436A" w:rsidP="00A60A09">
      <w:pPr>
        <w:spacing w:before="240" w:after="120"/>
        <w:rPr>
          <w:rFonts w:cs="Times New Roman"/>
        </w:rPr>
      </w:pPr>
      <w:r>
        <w:rPr>
          <w:rFonts w:cs="Times New Roman"/>
        </w:rPr>
        <w:t>The ACCC’s advice also makes changes to the manner in which termination fees are calculated, in order to better promote the efficient use of water service infrastructure. These changes:</w:t>
      </w:r>
    </w:p>
    <w:p w:rsidR="003D436A" w:rsidRDefault="003D436A" w:rsidP="00A82DE6">
      <w:pPr>
        <w:pStyle w:val="Lvl1Bulletpoint"/>
      </w:pPr>
      <w:r>
        <w:t>reduce the potential for termination fees to be levied in a manner which provides an incentive for customers to retain a small portion of their right of access, and</w:t>
      </w:r>
    </w:p>
    <w:p w:rsidR="003D436A" w:rsidRDefault="003D436A" w:rsidP="00A82DE6">
      <w:pPr>
        <w:pStyle w:val="Lvl1Bulletpoint"/>
      </w:pPr>
      <w:r>
        <w:t xml:space="preserve">provide incentives for operators to allow for trade of water delivery rights within their networks. </w:t>
      </w:r>
    </w:p>
    <w:p w:rsidR="003D436A" w:rsidRPr="000548B3" w:rsidRDefault="003D436A" w:rsidP="003D436A">
      <w:pPr>
        <w:rPr>
          <w:rFonts w:cs="Times New Roman"/>
        </w:rPr>
      </w:pPr>
      <w:r w:rsidRPr="000548B3">
        <w:rPr>
          <w:rFonts w:cs="Times New Roman"/>
        </w:rPr>
        <w:t>In order to aid</w:t>
      </w:r>
      <w:r>
        <w:rPr>
          <w:rFonts w:cs="Times New Roman"/>
        </w:rPr>
        <w:t xml:space="preserve"> stakeholders to understand these rule</w:t>
      </w:r>
      <w:r w:rsidRPr="000548B3">
        <w:rPr>
          <w:rFonts w:cs="Times New Roman"/>
        </w:rPr>
        <w:t xml:space="preserve"> advice</w:t>
      </w:r>
      <w:r>
        <w:rPr>
          <w:rFonts w:cs="Times New Roman"/>
        </w:rPr>
        <w:t>s</w:t>
      </w:r>
      <w:r w:rsidRPr="000548B3">
        <w:rPr>
          <w:rFonts w:cs="Times New Roman"/>
        </w:rPr>
        <w:t>, the following flow charts set out the steps for providing information to customers and levying termination fees (Figure 6.</w:t>
      </w:r>
      <w:r>
        <w:rPr>
          <w:rFonts w:cs="Times New Roman"/>
        </w:rPr>
        <w:t>1</w:t>
      </w:r>
      <w:r w:rsidRPr="000548B3">
        <w:rPr>
          <w:rFonts w:cs="Times New Roman"/>
        </w:rPr>
        <w:t>) and the process for calculating termination fees (Figure 6.</w:t>
      </w:r>
      <w:r>
        <w:rPr>
          <w:rFonts w:cs="Times New Roman"/>
        </w:rPr>
        <w:t>2</w:t>
      </w:r>
      <w:r w:rsidRPr="000548B3">
        <w:rPr>
          <w:rFonts w:cs="Times New Roman"/>
        </w:rPr>
        <w:t xml:space="preserve">) which would apply if all of the ACCC’s </w:t>
      </w:r>
      <w:r>
        <w:rPr>
          <w:rFonts w:cs="Times New Roman"/>
        </w:rPr>
        <w:t xml:space="preserve">rule </w:t>
      </w:r>
      <w:r w:rsidRPr="000548B3">
        <w:rPr>
          <w:rFonts w:cs="Times New Roman"/>
        </w:rPr>
        <w:t xml:space="preserve">advice in this Chapter was implemented. </w:t>
      </w:r>
    </w:p>
    <w:p w:rsidR="003D436A" w:rsidRDefault="003D436A" w:rsidP="003D436A"/>
    <w:p w:rsidR="003D436A" w:rsidRDefault="003D436A" w:rsidP="003D436A"/>
    <w:p w:rsidR="003D436A" w:rsidRDefault="003D436A">
      <w:r>
        <w:br w:type="page"/>
      </w:r>
    </w:p>
    <w:p w:rsidR="003D436A" w:rsidRDefault="003D436A" w:rsidP="003D436A">
      <w:pPr>
        <w:sectPr w:rsidR="003D436A" w:rsidSect="00E560FF">
          <w:footerReference w:type="default" r:id="rId20"/>
          <w:pgSz w:w="11907" w:h="16839" w:code="9"/>
          <w:pgMar w:top="1440" w:right="1440" w:bottom="1440" w:left="1440" w:header="709" w:footer="709" w:gutter="0"/>
          <w:cols w:space="708"/>
          <w:titlePg/>
          <w:docGrid w:linePitch="360"/>
        </w:sectPr>
      </w:pPr>
    </w:p>
    <w:p w:rsidR="003D436A" w:rsidRDefault="003D436A" w:rsidP="003D436A">
      <w:r>
        <w:t>Figure 6.1: Process for providing termination information statements and levying termination fees – applicable to all infrastructure operators</w:t>
      </w:r>
    </w:p>
    <w:p w:rsidR="003D436A" w:rsidRDefault="00F23D23">
      <w:r>
        <w:pict>
          <v:group id="Canvas 41" o:spid="_x0000_s1033" editas="canvas" alt="This figure sets out the process for infrastructure operators and customers initiating termination of the customer's rights of access and how the resultant maximum termination fees are caulculated. &#10;&#10;The operator can initiate a termination if the customer breaches a condition of a contract. &#10;&#10;If the customer requests a termination, and the customer does not already have a recent termination information statement, the operator must give the customer a termination information statement within 25 days. This termination information statement will include the applicable termination fee (set according to the water charge rules), which is valid for six months. &#10;&#10;The maximum termination fee an operator can set in either case is calculated accrding to Rule 72 of the water charge rules." style="width:686.3pt;height:407.15pt;mso-position-horizontal-relative:char;mso-position-vertical-relative:line" coordorigin="1470,1964" coordsize="13726,8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470;top:1964;width:13726;height:8143;visibility:visible" o:preferrelative="f" stroked="t" strokecolor="#7f7f7f [1612]">
              <v:fill o:detectmouseclick="t"/>
              <v:path o:connecttype="none"/>
            </v:shape>
            <v:shapetype id="_x0000_t202" coordsize="21600,21600" o:spt="202" path="m,l,21600r21600,l21600,xe">
              <v:stroke joinstyle="miter"/>
              <v:path gradientshapeok="t" o:connecttype="rect"/>
            </v:shapetype>
            <v:shape id="Text Box 4" o:spid="_x0000_s1035" type="#_x0000_t202" style="position:absolute;left:3441;top:2785;width:2348;height:1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Eg8IA&#10;AADaAAAADwAAAGRycy9kb3ducmV2LnhtbESPzYvCMBTE74L/Q3jCXkRTV/zqGkWEBT148IM9P5q3&#10;TdfmpTTRdv97Iwgeh5n5DbNct7YUd6p94VjBaJiAIM6cLjhXcDl/D+YgfEDWWDomBf/kYb3qdpaY&#10;atfwke6nkIsIYZ+iAhNClUrpM0MW/dBVxNH7dbXFEGWdS11jE+G2lJ9JMpUWC44LBivaGsqup5tV&#10;sOCZWezNZTa+JvTX2B896c8PSn302s0XiEBteIdf7Z1WMIHnlX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sSDwgAAANoAAAAPAAAAAAAAAAAAAAAAAJgCAABkcnMvZG93&#10;bnJldi54bWxQSwUGAAAAAAQABAD1AAAAhwMAAAAA&#10;" fillcolor="white [3201]" strokecolor="#f79646 [3209]" strokeweight="2pt">
              <v:textbox style="mso-next-textbox:#Text Box 4" inset="2.59283mm,1.2964mm,2.59283mm,1.2964mm">
                <w:txbxContent>
                  <w:p w:rsidR="00C06B07" w:rsidRDefault="00C06B07" w:rsidP="00FC4A5D">
                    <w:pPr>
                      <w:jc w:val="center"/>
                    </w:pPr>
                    <w:r>
                      <w:rPr>
                        <w:sz w:val="18"/>
                        <w:szCs w:val="16"/>
                      </w:rPr>
                      <w:t xml:space="preserve">Customer makes </w:t>
                    </w:r>
                    <w:r w:rsidRPr="000F45B6">
                      <w:rPr>
                        <w:i/>
                        <w:sz w:val="18"/>
                        <w:szCs w:val="16"/>
                      </w:rPr>
                      <w:t>non-written</w:t>
                    </w:r>
                    <w:r>
                      <w:rPr>
                        <w:sz w:val="18"/>
                        <w:szCs w:val="16"/>
                      </w:rPr>
                      <w:t xml:space="preserve"> request for </w:t>
                    </w:r>
                    <w:r w:rsidRPr="00264403">
                      <w:rPr>
                        <w:sz w:val="18"/>
                        <w:szCs w:val="16"/>
                      </w:rPr>
                      <w:t>information on what termination fee would apply</w:t>
                    </w:r>
                  </w:p>
                </w:txbxContent>
              </v:textbox>
            </v:shape>
            <v:shape id="Text Box 4" o:spid="_x0000_s1036" type="#_x0000_t202" style="position:absolute;left:6748;top:2785;width:2164;height:1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a9MIA&#10;AADaAAAADwAAAGRycy9kb3ducmV2LnhtbESPzYvCMBTE74L/Q3jCXkRTV/zqGkWEBT148IM9P5q3&#10;TdfmpTTRdv97Iwgeh5n5DbNct7YUd6p94VjBaJiAIM6cLjhXcDl/D+YgfEDWWDomBf/kYb3qdpaY&#10;atfwke6nkIsIYZ+iAhNClUrpM0MW/dBVxNH7dbXFEGWdS11jE+G2lJ9JMpUWC44LBivaGsqup5tV&#10;sOCZWezNZTa+JvTX2B896c8PSn302s0XiEBteIdf7Z1WMIXnlX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Fr0wgAAANoAAAAPAAAAAAAAAAAAAAAAAJgCAABkcnMvZG93&#10;bnJldi54bWxQSwUGAAAAAAQABAD1AAAAhwMAAAAA&#10;" fillcolor="white [3201]" strokecolor="#f79646 [3209]" strokeweight="2pt">
              <v:textbox inset="2.59283mm,1.2964mm,2.59283mm,1.2964mm">
                <w:txbxContent>
                  <w:p w:rsidR="00C06B07" w:rsidRPr="00FC4A5D" w:rsidRDefault="00C06B07" w:rsidP="00FC4A5D">
                    <w:pPr>
                      <w:spacing w:after="0"/>
                      <w:jc w:val="center"/>
                      <w:rPr>
                        <w:sz w:val="18"/>
                        <w:szCs w:val="16"/>
                      </w:rPr>
                    </w:pPr>
                    <w:r w:rsidRPr="00264403">
                      <w:rPr>
                        <w:sz w:val="18"/>
                        <w:szCs w:val="16"/>
                      </w:rPr>
                      <w:t xml:space="preserve">Customer </w:t>
                    </w:r>
                    <w:r>
                      <w:rPr>
                        <w:sz w:val="18"/>
                        <w:szCs w:val="16"/>
                      </w:rPr>
                      <w:t>makes</w:t>
                    </w:r>
                    <w:r w:rsidRPr="00264403">
                      <w:rPr>
                        <w:sz w:val="18"/>
                        <w:szCs w:val="16"/>
                      </w:rPr>
                      <w:t xml:space="preserve"> </w:t>
                    </w:r>
                    <w:r w:rsidRPr="00264403">
                      <w:rPr>
                        <w:i/>
                        <w:sz w:val="18"/>
                        <w:szCs w:val="16"/>
                      </w:rPr>
                      <w:t>written</w:t>
                    </w:r>
                    <w:r w:rsidRPr="00264403">
                      <w:rPr>
                        <w:sz w:val="18"/>
                        <w:szCs w:val="16"/>
                      </w:rPr>
                      <w:t xml:space="preserve"> request for information on </w:t>
                    </w:r>
                    <w:r>
                      <w:rPr>
                        <w:sz w:val="18"/>
                        <w:szCs w:val="16"/>
                      </w:rPr>
                      <w:t>what termination fee would apply</w:t>
                    </w:r>
                  </w:p>
                </w:txbxContent>
              </v:textbox>
            </v:shape>
            <v:shape id="Text Box 4" o:spid="_x0000_s1037" type="#_x0000_t202" style="position:absolute;left:9223;top:2785;width:5818;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8MA&#10;AADaAAAADwAAAGRycy9kb3ducmV2LnhtbESPT4vCMBTE7wt+h/AEL4umKmu1GmURBPewB//g+dE8&#10;m2rzUpqsrd/eLCzscZiZ3zCrTWcr8aDGl44VjEcJCOLc6ZILBefTbjgH4QOyxsoxKXiSh82697bC&#10;TLuWD/Q4hkJECPsMFZgQ6kxKnxuy6EeuJo7e1TUWQ5RNIXWDbYTbSk6SZCYtlhwXDNa0NZTfjz9W&#10;wYJTs/gy53R6T+jW2ov+eJ9/KzXod59LEIG68B/+a++1ghR+r8Qb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8MAAADaAAAADwAAAAAAAAAAAAAAAACYAgAAZHJzL2Rv&#10;d25yZXYueG1sUEsFBgAAAAAEAAQA9QAAAIgDAAAAAA==&#10;" fillcolor="white [3201]" strokecolor="#f79646 [3209]" strokeweight="2pt">
              <v:textbox inset="2.59283mm,1.2964mm,2.59283mm,1.2964mm">
                <w:txbxContent>
                  <w:p w:rsidR="00C06B07" w:rsidRPr="00264403" w:rsidRDefault="00C06B07" w:rsidP="003D436A">
                    <w:pPr>
                      <w:pStyle w:val="NormalWeb"/>
                      <w:spacing w:before="0" w:beforeAutospacing="0" w:after="200" w:afterAutospacing="0" w:line="276" w:lineRule="auto"/>
                      <w:jc w:val="center"/>
                      <w:rPr>
                        <w:sz w:val="18"/>
                        <w:szCs w:val="16"/>
                      </w:rPr>
                    </w:pPr>
                    <w:r w:rsidRPr="00264403">
                      <w:rPr>
                        <w:sz w:val="18"/>
                        <w:szCs w:val="16"/>
                      </w:rPr>
                      <w:t>Customer terminates / surrenders right of access by providing written notice to the operator</w:t>
                    </w:r>
                  </w:p>
                </w:txbxContent>
              </v:textbox>
            </v:shape>
            <v:shape id="Text Box 4" o:spid="_x0000_s1038" type="#_x0000_t202" style="position:absolute;left:9272;top:3727;width:2815;height:1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8sMEA&#10;AADaAAAADwAAAGRycy9kb3ducmV2LnhtbERPXWvCMBR9H/gfwh34IppuwiidUYpsTHAIa4fP1+au&#10;LWtuSpLZ9t+bh4GPh/O92Y2mE1dyvrWs4GmVgCCurG65VvBdvi9TED4ga+wsk4KJPOy2s4cNZtoO&#10;/EXXItQihrDPUEETQp9J6auGDPqV7Ykj92OdwRChq6V2OMRw08nnJHmRBluODQ32tG+o+i3+jILP&#10;qb2keZ5eTutw/liUi+MbFUel5o9j/goi0Bju4n/3QSuIW+OVe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DPLDBAAAA2gAAAA8AAAAAAAAAAAAAAAAAmAIAAGRycy9kb3du&#10;cmV2LnhtbFBLBQYAAAAABAAEAPUAAACGAwAAAAA=&#10;" fillcolor="white [3201]" strokecolor="#a5a5a5 [2092]" strokeweight="2pt">
              <v:stroke endcap="round"/>
              <v:textbox inset="2.59283mm,1.2964mm,2.59283mm,1.2964mm">
                <w:txbxContent>
                  <w:p w:rsidR="00C06B07" w:rsidRPr="00264403" w:rsidRDefault="00C06B07" w:rsidP="003D436A">
                    <w:pPr>
                      <w:pStyle w:val="NormalWeb"/>
                      <w:spacing w:before="0" w:beforeAutospacing="0" w:after="200" w:afterAutospacing="0" w:line="276" w:lineRule="auto"/>
                      <w:jc w:val="center"/>
                      <w:rPr>
                        <w:sz w:val="18"/>
                        <w:szCs w:val="16"/>
                      </w:rPr>
                    </w:pPr>
                    <w:r w:rsidRPr="00264403">
                      <w:rPr>
                        <w:sz w:val="18"/>
                        <w:szCs w:val="16"/>
                      </w:rPr>
                      <w:t xml:space="preserve">Operator </w:t>
                    </w:r>
                    <w:r>
                      <w:rPr>
                        <w:sz w:val="18"/>
                        <w:szCs w:val="16"/>
                        <w:u w:val="single"/>
                      </w:rPr>
                      <w:t>has</w:t>
                    </w:r>
                    <w:r>
                      <w:rPr>
                        <w:sz w:val="18"/>
                        <w:szCs w:val="16"/>
                      </w:rPr>
                      <w:t xml:space="preserve"> provided</w:t>
                    </w:r>
                    <w:r w:rsidRPr="00264403">
                      <w:rPr>
                        <w:sz w:val="18"/>
                        <w:szCs w:val="16"/>
                      </w:rPr>
                      <w:t xml:space="preserve"> </w:t>
                    </w:r>
                    <w:r w:rsidRPr="001E5C0B">
                      <w:rPr>
                        <w:b/>
                        <w:sz w:val="18"/>
                        <w:szCs w:val="16"/>
                      </w:rPr>
                      <w:t>TIS</w:t>
                    </w:r>
                    <w:r w:rsidRPr="00264403">
                      <w:rPr>
                        <w:sz w:val="18"/>
                        <w:szCs w:val="16"/>
                      </w:rPr>
                      <w:t xml:space="preserve"> to the customer within the 6 months</w:t>
                    </w:r>
                    <w:r>
                      <w:rPr>
                        <w:sz w:val="18"/>
                        <w:szCs w:val="16"/>
                      </w:rPr>
                      <w:t xml:space="preserve"> prior to the date the customer submitted the notice (or, if the notice specifies a future date for termination, within the 6 months prior to that future date).</w:t>
                    </w:r>
                  </w:p>
                </w:txbxContent>
              </v:textbox>
            </v:shape>
            <v:shape id="Text Box 4" o:spid="_x0000_s1039" type="#_x0000_t202" style="position:absolute;left:6744;top:6152;width:2167;height:18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FsIA&#10;AADaAAAADwAAAGRycy9kb3ducmV2LnhtbESPQYvCMBSE74L/ITzBi6yp6yJuNYoriIInq+z50bxt&#10;is1LbaLWf2+EBY/DzHzDzJetrcSNGl86VjAaJiCIc6dLLhScjpuPKQgfkDVWjknBgzwsF93OHFPt&#10;7nygWxYKESHsU1RgQqhTKX1uyKIfupo4en+usRiibAqpG7xHuK3kZ5JMpMWS44LBmtaG8nN2tQq2&#10;v5vrRK5tuf/62Y/z4+BCZndRqt9rVzMQgdrwDv+3d1rBN7yux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GUWwgAAANoAAAAPAAAAAAAAAAAAAAAAAJgCAABkcnMvZG93&#10;bnJldi54bWxQSwUGAAAAAAQABAD1AAAAhwMAAAAA&#10;" fillcolor="white [3201]" strokecolor="#4f81bd [3204]" strokeweight="2pt">
              <v:textbox inset="2.59283mm,1.2964mm,2.59283mm,1.2964mm">
                <w:txbxContent>
                  <w:p w:rsidR="00C06B07" w:rsidRPr="00264403" w:rsidRDefault="00C06B07" w:rsidP="003D436A">
                    <w:pPr>
                      <w:pStyle w:val="NormalWeb"/>
                      <w:spacing w:before="0" w:beforeAutospacing="0" w:after="0" w:afterAutospacing="0" w:line="276" w:lineRule="auto"/>
                      <w:jc w:val="center"/>
                      <w:rPr>
                        <w:sz w:val="28"/>
                      </w:rPr>
                    </w:pPr>
                    <w:r w:rsidRPr="00264403">
                      <w:rPr>
                        <w:sz w:val="18"/>
                        <w:szCs w:val="16"/>
                      </w:rPr>
                      <w:t xml:space="preserve">Operator provides customer with </w:t>
                    </w:r>
                    <w:r w:rsidRPr="001E5C0B">
                      <w:rPr>
                        <w:b/>
                        <w:sz w:val="18"/>
                        <w:szCs w:val="16"/>
                      </w:rPr>
                      <w:t>Termination Information Statement</w:t>
                    </w:r>
                    <w:r w:rsidRPr="00264403">
                      <w:rPr>
                        <w:sz w:val="18"/>
                        <w:szCs w:val="16"/>
                      </w:rPr>
                      <w:t xml:space="preserve"> (</w:t>
                    </w:r>
                    <w:r w:rsidRPr="00264403">
                      <w:rPr>
                        <w:b/>
                        <w:sz w:val="18"/>
                        <w:szCs w:val="16"/>
                      </w:rPr>
                      <w:t>TIS</w:t>
                    </w:r>
                    <w:r w:rsidRPr="00264403">
                      <w:rPr>
                        <w:sz w:val="18"/>
                        <w:szCs w:val="16"/>
                      </w:rPr>
                      <w:t xml:space="preserve">), within 25 business days of receiving request.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40" type="#_x0000_t34" style="position:absolute;left:4970;top:3778;width:257;height:96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jcUAAADbAAAADwAAAGRycy9kb3ducmV2LnhtbESPQWvCQBCF70L/wzKFXkQ3LdpK6ipF&#10;UEpR0Cieh+w0Cc3OptnVpP++cxC8zfDevPfNfNm7Wl2pDZVnA8/jBBRx7m3FhYHTcT2agQoR2WLt&#10;mQz8UYDl4mEwx9T6jg90zWKhJIRDigbKGJtU65CX5DCMfUMs2rdvHUZZ20LbFjsJd7V+SZJX7bBi&#10;aSixoVVJ+U92cQbeNrjVh6H+PXf12e5300nWf02MeXrsP95BRerj3Xy7/rSCL/Tyiw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yjcUAAADbAAAADwAAAAAAAAAA&#10;AAAAAAChAgAAZHJzL2Rvd25yZXYueG1sUEsFBgAAAAAEAAQA+QAAAJMDAAAAAA==&#10;" adj="9918,92319,-387875" strokecolor="#a5a5a5 [2092]">
              <v:stroke dashstyle="1 1" endarrow="open"/>
            </v:shape>
            <v:shape id="Text Box 4" o:spid="_x0000_s1041" type="#_x0000_t202" style="position:absolute;left:4783;top:4390;width:1598;height:2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EQMQA&#10;AADbAAAADwAAAGRycy9kb3ducmV2LnhtbESPS4vCQBCE7wv+h6EFbzrxvWQdRcTHXjwYhb32Ztok&#10;mOkJmVGjv95ZEPbWTVXXVz1bNKYUN6pdYVlBvxeBIE6tLjhTcDpuup8gnEfWWFomBQ9ysJi3PmYY&#10;a3vnA90Sn4kQwi5GBbn3VSylS3My6Hq2Ig7a2dYGfVjrTOoa7yHclHIQRRNpsOBAyLGiVU7pJbma&#10;wB0ma/2726/k/rncTLfj4eiEP0p12s3yC4Snxv+b39ffOtTvw98vYQ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REDEAAAA2wAAAA8AAAAAAAAAAAAAAAAAmAIAAGRycy9k&#10;b3ducmV2LnhtbFBLBQYAAAAABAAEAPUAAACJAwAAAAA=&#10;" fillcolor="white [3212]" strokecolor="#4f81bd [3204]" strokeweight="1pt">
              <v:stroke dashstyle="1 1"/>
              <v:textbox inset="2.59283mm,1.2964mm,2.59283mm,1.2964mm">
                <w:txbxContent>
                  <w:p w:rsidR="00C06B07" w:rsidRDefault="00C06B07" w:rsidP="003D436A">
                    <w:pPr>
                      <w:pStyle w:val="NormalWeb"/>
                      <w:spacing w:before="0" w:beforeAutospacing="0" w:after="200" w:afterAutospacing="0" w:line="276" w:lineRule="auto"/>
                      <w:jc w:val="center"/>
                    </w:pPr>
                    <w:r>
                      <w:rPr>
                        <w:i/>
                        <w:sz w:val="16"/>
                        <w:szCs w:val="16"/>
                      </w:rPr>
                      <w:t>Optional</w:t>
                    </w:r>
                    <w:r w:rsidRPr="00711432">
                      <w:rPr>
                        <w:sz w:val="16"/>
                        <w:szCs w:val="16"/>
                      </w:rPr>
                      <w:t>:</w:t>
                    </w:r>
                    <w:r>
                      <w:rPr>
                        <w:i/>
                        <w:sz w:val="16"/>
                        <w:szCs w:val="16"/>
                      </w:rPr>
                      <w:t xml:space="preserve"> </w:t>
                    </w:r>
                    <w:r>
                      <w:rPr>
                        <w:sz w:val="16"/>
                        <w:szCs w:val="16"/>
                      </w:rPr>
                      <w:t xml:space="preserve">Operator </w:t>
                    </w:r>
                    <w:r w:rsidRPr="00711432">
                      <w:rPr>
                        <w:sz w:val="16"/>
                        <w:szCs w:val="16"/>
                        <w:u w:val="single"/>
                      </w:rPr>
                      <w:t>may</w:t>
                    </w:r>
                    <w:r>
                      <w:rPr>
                        <w:sz w:val="16"/>
                        <w:szCs w:val="16"/>
                      </w:rPr>
                      <w:t xml:space="preserve"> advise customer that request must be submitted in writing. If operator chooses to do this, must advise customer as soon as practicable after receiving request.</w:t>
                    </w:r>
                  </w:p>
                </w:txbxContent>
              </v:textbox>
            </v:shape>
            <v:shape id="Elbow Connector 12" o:spid="_x0000_s1042" type="#_x0000_t34" style="position:absolute;left:11265;top:2841;width:281;height:145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E5L8AAADbAAAADwAAAGRycy9kb3ducmV2LnhtbERPS4vCMBC+C/6HMII3TdeDLtUoXcXH&#10;VV1WvY3N2BabSWmi1n9vFgRv8/E9ZzJrTCnuVLvCsoKvfgSCOLW64EzB737Z+wbhPLLG0jIpeJKD&#10;2bTdmmCs7YO3dN/5TIQQdjEqyL2vYildmpNB17cVceAutjboA6wzqWt8hHBTykEUDaXBgkNDjhXN&#10;c0qvu5tRkKRnWi0ON07w73TA0fqH58etUt1Ok4xBeGr8R/x2b3SYP4D/X8IBcv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RKE5L8AAADbAAAADwAAAAAAAAAAAAAAAACh&#10;AgAAZHJzL2Rvd25yZXYueG1sUEsFBgAAAAAEAAQA+QAAAI0DAAAAAA==&#10;" adj="10762,-50965,-932567" strokecolor="#a5a5a5 [2092]">
              <v:stroke endarrow="open"/>
            </v:shape>
            <v:shape id="Elbow Connector 13" o:spid="_x0000_s1043" type="#_x0000_t34" style="position:absolute;left:6381;top:3450;width:347;height:216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1WsAAAADbAAAADwAAAGRycy9kb3ducmV2LnhtbERPTWsCMRC9F/wPYQQvUrNVKmVrFFso&#10;7dVtWfA2JNPN4mayJFnd/vtGELzN433OZje6TpwpxNazgqdFAYJYe9Nyo+Dn++PxBURMyAY7z6Tg&#10;jyLstpOHDZbGX/hA5yo1IodwLFGBTakvpYzaksO48D1x5n59cJgyDI00AS853HVyWRRr6bDl3GCx&#10;p3dL+lQNTsFgo9U6DG+ryM+f9bGez+uKlJpNx/0riERjuotv7i+T56/g+ks+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mtVrAAAAA2wAAAA8AAAAAAAAAAAAAAAAA&#10;oQIAAGRycy9kb3ducmV2LnhtbFBLBQYAAAAABAAEAPkAAACOAwAAAAA=&#10;" adj="11391,56100,-397203" strokecolor="#a5a5a5 [2092]">
              <v:stroke dashstyle="1 1" endarrow="open"/>
            </v:shape>
            <v:shapetype id="_x0000_t32" coordsize="21600,21600" o:spt="32" o:oned="t" path="m,l21600,21600e" filled="f">
              <v:path arrowok="t" fillok="f" o:connecttype="none"/>
              <o:lock v:ext="edit" shapetype="t"/>
            </v:shapetype>
            <v:shape id="Elbow Connector 14" o:spid="_x0000_s1044" type="#_x0000_t32" style="position:absolute;left:2356;top:6775;width:4;height:375;flip:x;visibility:visible" o:connectortype="straight" adj="10771,-36585000,-135936" strokecolor="#a5a5a5 [2092]">
              <v:stroke endarrow="open"/>
            </v:shape>
            <v:shape id="Elbow Connector 15" o:spid="_x0000_s1045" type="#_x0000_t32" style="position:absolute;left:1806;top:5100;width:1108;height: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WlMEAAADbAAAADwAAAGRycy9kb3ducmV2LnhtbERPS4vCMBC+C/sfwix4s+mqK9I1igiK&#10;4MW3Hmeb2bbYTEoTtf77jSB4m4/vOaNJY0pxo9oVlhV8RTEI4tTqgjMF+928MwThPLLG0jIpeJCD&#10;yfijNcJE2ztv6Lb1mQgh7BJUkHtfJVK6NCeDLrIVceD+bG3QB1hnUtd4D+GmlN04HkiDBYeGHCua&#10;5ZRetlejoDc7HX9Xg2VXej09F4vDmvubtVLtz2b6A8JT49/il3upw/xveP4SDpDj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FaUwQAAANsAAAAPAAAAAAAAAAAAAAAA&#10;AKECAABkcnMvZG93bnJldi54bWxQSwUGAAAAAAQABAD5AAAAjwMAAAAA&#10;" adj="-46007,-1,-46007" strokecolor="#a5a5a5 [2092]">
              <v:stroke endarrow="open"/>
            </v:shape>
            <v:shape id="Text Box 4" o:spid="_x0000_s1046" type="#_x0000_t202" style="position:absolute;left:9223;top:8418;width:5818;height:1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u1MEA&#10;AADbAAAADwAAAGRycy9kb3ducmV2LnhtbERPS4vCMBC+L/gfwgh7WTRdF0SqUVRYEA8LvnoemmlT&#10;bCalibbrr98sCN7m43vOYtXbWtyp9ZVjBZ/jBARx7nTFpYLz6Xs0A+EDssbaMSn4JQ+r5eBtgal2&#10;HR/ofgyliCHsU1RgQmhSKX1uyKIfu4Y4coVrLYYI21LqFrsYbms5SZKptFhxbDDY0NZQfj3erIJH&#10;Vnz9VHTI7MV8UHdzm6zYb5R6H/brOYhAfXiJn+6djvOn8P9LP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7tTBAAAA2wAAAA8AAAAAAAAAAAAAAAAAmAIAAGRycy9kb3du&#10;cmV2LnhtbFBLBQYAAAAABAAEAPUAAACGAwAAAAA=&#10;" fillcolor="white [3201]" strokecolor="#9bbb59 [3206]" strokeweight="2pt">
              <v:textbox inset="2.59283mm,1.2964mm,2.59283mm,1.2964mm">
                <w:txbxContent>
                  <w:p w:rsidR="00C06B07" w:rsidRDefault="00C06B07" w:rsidP="003D436A">
                    <w:pPr>
                      <w:pStyle w:val="NormalWeb"/>
                      <w:spacing w:before="0" w:beforeAutospacing="0" w:after="0" w:afterAutospacing="0" w:line="276" w:lineRule="auto"/>
                      <w:jc w:val="center"/>
                      <w:rPr>
                        <w:b/>
                        <w:sz w:val="18"/>
                        <w:szCs w:val="16"/>
                      </w:rPr>
                    </w:pPr>
                    <w:r w:rsidRPr="00264403">
                      <w:rPr>
                        <w:b/>
                        <w:sz w:val="18"/>
                        <w:szCs w:val="16"/>
                      </w:rPr>
                      <w:t>Operator may levy a termination fee</w:t>
                    </w:r>
                    <w:r>
                      <w:rPr>
                        <w:b/>
                        <w:sz w:val="18"/>
                        <w:szCs w:val="16"/>
                      </w:rPr>
                      <w:t xml:space="preserve"> under Rule 71(2)</w:t>
                    </w:r>
                    <w:r w:rsidRPr="00264403">
                      <w:rPr>
                        <w:b/>
                        <w:sz w:val="18"/>
                        <w:szCs w:val="16"/>
                      </w:rPr>
                      <w:t xml:space="preserve">. </w:t>
                    </w:r>
                  </w:p>
                  <w:p w:rsidR="00C06B07" w:rsidRDefault="00C06B07" w:rsidP="003D436A">
                    <w:pPr>
                      <w:pStyle w:val="NormalWeb"/>
                      <w:spacing w:before="0" w:beforeAutospacing="0" w:after="200" w:afterAutospacing="0" w:line="276" w:lineRule="auto"/>
                      <w:jc w:val="center"/>
                    </w:pPr>
                    <w:r w:rsidRPr="00DF30D7">
                      <w:rPr>
                        <w:sz w:val="18"/>
                        <w:szCs w:val="16"/>
                      </w:rPr>
                      <w:t>The g</w:t>
                    </w:r>
                    <w:r>
                      <w:rPr>
                        <w:sz w:val="16"/>
                        <w:szCs w:val="16"/>
                      </w:rPr>
                      <w:t>eneral t</w:t>
                    </w:r>
                    <w:r w:rsidRPr="002051E6">
                      <w:rPr>
                        <w:sz w:val="16"/>
                        <w:szCs w:val="16"/>
                      </w:rPr>
                      <w:t xml:space="preserve">ermination fee may not exceed amount specified in </w:t>
                    </w:r>
                    <w:r>
                      <w:rPr>
                        <w:sz w:val="16"/>
                        <w:szCs w:val="16"/>
                      </w:rPr>
                      <w:t>the</w:t>
                    </w:r>
                    <w:r w:rsidRPr="002051E6">
                      <w:rPr>
                        <w:sz w:val="16"/>
                        <w:szCs w:val="16"/>
                      </w:rPr>
                      <w:t xml:space="preserve"> TIS previously provided to the customer</w:t>
                    </w:r>
                    <w:r>
                      <w:rPr>
                        <w:sz w:val="16"/>
                        <w:szCs w:val="16"/>
                      </w:rPr>
                      <w:t xml:space="preserve"> (except where the customer specifies a future date for termination / surrender more than 6 months in the future, in which case the general termination fee may not exceed the maximum calculated in accordance with Rule 72 at that time).</w:t>
                    </w:r>
                  </w:p>
                </w:txbxContent>
              </v:textbox>
            </v:shape>
            <v:shape id="Text Box 4" o:spid="_x0000_s1047" type="#_x0000_t202" style="position:absolute;left:12261;top:3726;width:2780;height:1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QcEA&#10;AADbAAAADwAAAGRycy9kb3ducmV2LnhtbERPS2vCQBC+F/wPywi91Y0efKSuIoLQHFQa9T5kp0kw&#10;MxuyW03767uC0Nt8fM9Zrntu1I06XzsxMB4loEgKZ2spDZxPu7c5KB9QLDZOyMAPeVivBi9LTK27&#10;yyfd8lCqGCI+RQNVCG2qtS8qYvQj15JE7st1jCHCrtS2w3sM50ZPkmSqGWuJDRW2tK2ouObfbOA4&#10;Pswyt693i8v8l7lJsumeM2Neh/3mHVSgPvyLn+4PG+fP4PFLPE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PqEHBAAAA2wAAAA8AAAAAAAAAAAAAAAAAmAIAAGRycy9kb3du&#10;cmV2LnhtbFBLBQYAAAAABAAEAPUAAACGAwAAAAA=&#10;" fillcolor="white [3201]" strokecolor="#a5a5a5 [2092]" strokeweight="2pt">
              <v:textbox inset="2.59283mm,1.2964mm,2.59283mm,1.2964mm">
                <w:txbxContent>
                  <w:p w:rsidR="00C06B07" w:rsidRDefault="00C06B07" w:rsidP="003D436A">
                    <w:pPr>
                      <w:pStyle w:val="NormalWeb"/>
                      <w:spacing w:before="0" w:beforeAutospacing="0" w:after="0" w:afterAutospacing="0" w:line="276" w:lineRule="auto"/>
                      <w:jc w:val="center"/>
                      <w:rPr>
                        <w:sz w:val="18"/>
                        <w:szCs w:val="16"/>
                      </w:rPr>
                    </w:pPr>
                    <w:r w:rsidRPr="00264403">
                      <w:rPr>
                        <w:sz w:val="18"/>
                        <w:szCs w:val="16"/>
                      </w:rPr>
                      <w:t xml:space="preserve">Operator </w:t>
                    </w:r>
                    <w:r>
                      <w:rPr>
                        <w:sz w:val="18"/>
                        <w:szCs w:val="16"/>
                        <w:u w:val="single"/>
                      </w:rPr>
                      <w:t xml:space="preserve">has </w:t>
                    </w:r>
                    <w:r w:rsidRPr="00264403">
                      <w:rPr>
                        <w:sz w:val="18"/>
                        <w:szCs w:val="16"/>
                        <w:u w:val="single"/>
                      </w:rPr>
                      <w:t>not</w:t>
                    </w:r>
                    <w:r w:rsidRPr="00264403">
                      <w:rPr>
                        <w:sz w:val="18"/>
                        <w:szCs w:val="16"/>
                      </w:rPr>
                      <w:t xml:space="preserve"> provided </w:t>
                    </w:r>
                    <w:r w:rsidRPr="001E5C0B">
                      <w:rPr>
                        <w:b/>
                        <w:sz w:val="18"/>
                        <w:szCs w:val="16"/>
                      </w:rPr>
                      <w:t>TIS</w:t>
                    </w:r>
                    <w:r w:rsidRPr="00264403">
                      <w:rPr>
                        <w:sz w:val="18"/>
                        <w:szCs w:val="16"/>
                      </w:rPr>
                      <w:t xml:space="preserve"> to the customer within the </w:t>
                    </w:r>
                    <w:r>
                      <w:rPr>
                        <w:sz w:val="18"/>
                        <w:szCs w:val="16"/>
                      </w:rPr>
                      <w:t>previous</w:t>
                    </w:r>
                    <w:r w:rsidRPr="00264403">
                      <w:rPr>
                        <w:sz w:val="18"/>
                        <w:szCs w:val="16"/>
                      </w:rPr>
                      <w:t xml:space="preserve"> 6 months</w:t>
                    </w:r>
                    <w:r>
                      <w:rPr>
                        <w:sz w:val="18"/>
                        <w:szCs w:val="16"/>
                      </w:rPr>
                      <w:t>.</w:t>
                    </w:r>
                    <w:r w:rsidRPr="00264403">
                      <w:rPr>
                        <w:sz w:val="18"/>
                        <w:szCs w:val="16"/>
                      </w:rPr>
                      <w:t xml:space="preserve"> </w:t>
                    </w:r>
                  </w:p>
                  <w:p w:rsidR="00C06B07" w:rsidRPr="002051E6" w:rsidRDefault="00C06B07" w:rsidP="003D436A">
                    <w:pPr>
                      <w:pStyle w:val="NormalWeb"/>
                      <w:spacing w:before="0" w:beforeAutospacing="0" w:after="200" w:afterAutospacing="0" w:line="276" w:lineRule="auto"/>
                      <w:jc w:val="center"/>
                      <w:rPr>
                        <w:sz w:val="16"/>
                        <w:szCs w:val="16"/>
                      </w:rPr>
                    </w:pPr>
                    <w:r>
                      <w:rPr>
                        <w:sz w:val="16"/>
                        <w:szCs w:val="16"/>
                      </w:rPr>
                      <w:t>(E.g. operator has never provided TIS to that customer, or provided TIS more than 6 months previously).</w:t>
                    </w:r>
                  </w:p>
                  <w:p w:rsidR="00C06B07" w:rsidRDefault="00C06B07" w:rsidP="003D436A">
                    <w:pPr>
                      <w:pStyle w:val="NormalWeb"/>
                      <w:spacing w:before="0" w:beforeAutospacing="0" w:after="200" w:afterAutospacing="0" w:line="276" w:lineRule="auto"/>
                    </w:pPr>
                  </w:p>
                </w:txbxContent>
              </v:textbox>
            </v:shape>
            <v:shape id="Text Box 4" o:spid="_x0000_s1048" type="#_x0000_t202" style="position:absolute;left:12261;top:5544;width:2775;height:9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EbcMA&#10;AADbAAAADwAAAGRycy9kb3ducmV2LnhtbESPQWsCQQyF7wX/wxDBS9FZbRFZHUUFqeCpWnoOO3Fn&#10;cSez7oy6/ffNQfCW8F7e+7JYdb5Wd2pjFdjAeJSBIi6Crbg08HPaDWegYkK2WAcmA38UYbXsvS0w&#10;t+HB33Q/plJJCMccDbiUmlzrWDjyGEehIRbtHFqPSda21LbFh4T7Wk+ybKo9ViwNDhvaOioux5s3&#10;8PW7u0311leHz83hozi9X8ntr8YM+t16DipRl17m5/XeCr7Ayi8y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JEbcMAAADbAAAADwAAAAAAAAAAAAAAAACYAgAAZHJzL2Rv&#10;d25yZXYueG1sUEsFBgAAAAAEAAQA9QAAAIgDAAAAAA==&#10;" fillcolor="white [3201]" strokecolor="#4f81bd [3204]" strokeweight="2pt">
              <v:textbox inset="2.59283mm,1.2964mm,2.59283mm,1.2964mm">
                <w:txbxContent>
                  <w:p w:rsidR="00C06B07" w:rsidRPr="00264403" w:rsidRDefault="00C06B07" w:rsidP="003D436A">
                    <w:pPr>
                      <w:pStyle w:val="NormalWeb"/>
                      <w:spacing w:before="0" w:beforeAutospacing="0" w:after="0" w:afterAutospacing="0" w:line="276" w:lineRule="auto"/>
                      <w:jc w:val="center"/>
                      <w:rPr>
                        <w:sz w:val="28"/>
                      </w:rPr>
                    </w:pPr>
                    <w:r w:rsidRPr="00264403">
                      <w:rPr>
                        <w:sz w:val="18"/>
                        <w:szCs w:val="16"/>
                      </w:rPr>
                      <w:t xml:space="preserve">Operator provides customer with </w:t>
                    </w:r>
                    <w:r w:rsidRPr="00264403">
                      <w:rPr>
                        <w:b/>
                        <w:bCs/>
                        <w:sz w:val="18"/>
                        <w:szCs w:val="16"/>
                      </w:rPr>
                      <w:t>TIS</w:t>
                    </w:r>
                    <w:r w:rsidRPr="001E5C0B">
                      <w:rPr>
                        <w:bCs/>
                        <w:sz w:val="18"/>
                        <w:szCs w:val="16"/>
                      </w:rPr>
                      <w:t>, within 25 business days of receiving notice</w:t>
                    </w:r>
                    <w:r w:rsidRPr="00264403">
                      <w:rPr>
                        <w:sz w:val="18"/>
                        <w:szCs w:val="16"/>
                      </w:rPr>
                      <w:t>.</w:t>
                    </w:r>
                    <w:r>
                      <w:rPr>
                        <w:sz w:val="18"/>
                        <w:szCs w:val="16"/>
                      </w:rPr>
                      <w:t xml:space="preserve"> </w:t>
                    </w:r>
                  </w:p>
                </w:txbxContent>
              </v:textbox>
            </v:shape>
            <v:shape id="Text Box 4" o:spid="_x0000_s1049" type="#_x0000_t202" style="position:absolute;left:12272;top:6890;width:2753;height:1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fI8MA&#10;AADbAAAADwAAAGRycy9kb3ducmV2LnhtbESPQWvCQBCF7wX/wzKCt7rRgzTRTSgtBS9Baj3obchO&#10;k9DMbMyuGv+9Wyj0NsN775s3m2LkTl1p8K0TA4t5AoqkcraV2sDh6+P5BZQPKBY7J2TgTh6KfPK0&#10;wcy6m3zSdR9qFSHiMzTQhNBnWvuqIUY/dz1J1L7dwBjiOtTaDniLcO70MklWmrGVeKHBnt4aqn72&#10;F46UA/v03h3fT8SXdpemJZfn0pjZdHxdgwo0hn/zX3prY/0Ufn+JA+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mfI8MAAADbAAAADwAAAAAAAAAAAAAAAACYAgAAZHJzL2Rv&#10;d25yZXYueG1sUEsFBgAAAAAEAAQA9QAAAIgDAAAAAA==&#10;" fillcolor="white [3201]" strokecolor="#c0504d [3205]" strokeweight="2pt">
              <v:textbox inset="2.59283mm,1.2964mm,2.59283mm,1.2964mm">
                <w:txbxContent>
                  <w:p w:rsidR="00C06B07" w:rsidRPr="00264403" w:rsidRDefault="00C06B07" w:rsidP="003D436A">
                    <w:pPr>
                      <w:pStyle w:val="NormalWeb"/>
                      <w:spacing w:before="0" w:beforeAutospacing="0" w:after="200" w:afterAutospacing="0" w:line="276" w:lineRule="auto"/>
                      <w:jc w:val="center"/>
                      <w:rPr>
                        <w:sz w:val="28"/>
                      </w:rPr>
                    </w:pPr>
                    <w:r w:rsidRPr="00264403">
                      <w:rPr>
                        <w:sz w:val="18"/>
                        <w:szCs w:val="16"/>
                      </w:rPr>
                      <w:t xml:space="preserve">After receiving </w:t>
                    </w:r>
                    <w:r w:rsidRPr="001E5C0B">
                      <w:rPr>
                        <w:b/>
                        <w:sz w:val="18"/>
                        <w:szCs w:val="16"/>
                      </w:rPr>
                      <w:t>TIS</w:t>
                    </w:r>
                    <w:r w:rsidRPr="00264403">
                      <w:rPr>
                        <w:sz w:val="18"/>
                        <w:szCs w:val="16"/>
                      </w:rPr>
                      <w:t>, customer confirms</w:t>
                    </w:r>
                    <w:r>
                      <w:rPr>
                        <w:sz w:val="18"/>
                        <w:szCs w:val="16"/>
                      </w:rPr>
                      <w:t>,</w:t>
                    </w:r>
                    <w:r w:rsidRPr="00264403">
                      <w:rPr>
                        <w:sz w:val="18"/>
                        <w:szCs w:val="16"/>
                      </w:rPr>
                      <w:t xml:space="preserve"> within 6 months </w:t>
                    </w:r>
                    <w:r>
                      <w:rPr>
                        <w:sz w:val="18"/>
                        <w:szCs w:val="16"/>
                      </w:rPr>
                      <w:t xml:space="preserve">of TIS being sent, </w:t>
                    </w:r>
                    <w:r w:rsidRPr="00264403">
                      <w:rPr>
                        <w:sz w:val="18"/>
                        <w:szCs w:val="16"/>
                      </w:rPr>
                      <w:t>that they w</w:t>
                    </w:r>
                    <w:r>
                      <w:rPr>
                        <w:sz w:val="18"/>
                        <w:szCs w:val="16"/>
                      </w:rPr>
                      <w:t>ish to proceed with termination</w:t>
                    </w:r>
                    <w:r w:rsidRPr="00264403">
                      <w:rPr>
                        <w:sz w:val="18"/>
                        <w:szCs w:val="16"/>
                      </w:rPr>
                      <w:t>.</w:t>
                    </w:r>
                  </w:p>
                </w:txbxContent>
              </v:textbox>
            </v:shape>
            <v:shape id="Elbow Connector 20" o:spid="_x0000_s1050" type="#_x0000_t32" style="position:absolute;left:13649;top:5299;width:2;height:225;flip:x;visibility:visible" o:connectortype="straight" adj="10752,-57229200,-1310496" strokecolor="#a5a5a5 [2092]">
              <v:stroke endarrow="open"/>
            </v:shape>
            <v:shape id="Elbow Connector 21" o:spid="_x0000_s1051" type="#_x0000_t32" style="position:absolute;left:13487;top:6708;width:324;height: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LxcQAAADbAAAADwAAAGRycy9kb3ducmV2LnhtbESPQWvCQBSE74X+h+UVequbBCo1uooU&#10;AqHiQePF2yP7TILZt2l2m8R/7wpCj8PMfMOsNpNpxUC9aywriGcRCOLS6oYrBaci+/gC4TyyxtYy&#10;KbiRg8369WWFqbYjH2g4+koECLsUFdTed6mUrqzJoJvZjjh4F9sb9EH2ldQ9jgFuWplE0VwabDgs&#10;1NjRd03l9fhnFGy7zyxPKFrsi59fvWvsubTjWan3t2m7BOFp8v/hZzvXCpIYHl/C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QvFxAAAANsAAAAPAAAAAAAAAAAA&#10;AAAAAKECAABkcnMvZG93bnJldi54bWxQSwUGAAAAAAQABAD5AAAAkgMAAAAA&#10;" adj="-909933,-1,-909933" strokecolor="#a5a5a5 [2092]">
              <v:stroke endarrow="open"/>
            </v:shape>
            <v:shape id="Elbow Connector 22" o:spid="_x0000_s1052" type="#_x0000_t32" style="position:absolute;left:13649;top:8016;width:2;height:352;visibility:visible" o:connectortype="straight" adj=",-114137,-679305" strokecolor="#a5a5a5 [2092]">
              <v:stroke endarrow="open"/>
            </v:shape>
            <v:shape id="Elbow Connector 23" o:spid="_x0000_s1053" type="#_x0000_t32" style="position:absolute;left:7828;top:4134;width:2;height:1998;flip:x;visibility:visible" o:connectortype="straight" adj="10789,-44647200,-84649" strokecolor="#a5a5a5 [2092]">
              <v:stroke endarrow="open"/>
            </v:shape>
            <v:shape id="Elbow Connector 25" o:spid="_x0000_s1055" type="#_x0000_t34" style="position:absolute;left:12752;top:2806;width:280;height:1519;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cKcUAAADbAAAADwAAAGRycy9kb3ducmV2LnhtbESPQWvCQBSE70L/w/IK3symaRWJWUWE&#10;FqEXTVv1+My+JqHZtyG7mvTfuwWhx2FmvmGy1WAacaXO1ZYVPEUxCOLC6ppLBZ8fr5M5COeRNTaW&#10;ScEvOVgtH0YZptr2vKdr7ksRIOxSVFB536ZSuqIigy6yLXHwvm1n0AfZlVJ32Ae4aWQSxzNpsOaw&#10;UGFLm4qKn/xiFDxvjofz+2ybSK/Xp/rta8cv+51S48dhvQDhafD/4Xt7qxUkU/j7En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ycKcUAAADbAAAADwAAAAAAAAAA&#10;AAAAAAChAgAAZHJzL2Rvd25yZXYueG1sUEsFBgAAAAAEAAQA+QAAAJMDAAAAAA==&#10;" adj="10723,48717,-935897" strokecolor="#a5a5a5 [2092]">
              <v:stroke endarrow="open"/>
            </v:shape>
            <v:shape id="Text Box 4" o:spid="_x0000_s1056" type="#_x0000_t202" style="position:absolute;left:1553;top:2785;width:1613;height:1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DKsQA&#10;AADbAAAADwAAAGRycy9kb3ducmV2LnhtbESPzWrDMBCE74G+g9hCL6GR65A/x0oIhUJ6yKFp6Hmx&#10;NpZra2UsxXbfvioUchxm5hsm34+2ET11vnKs4GWWgCAunK64VHD5fHteg/ABWWPjmBT8kIf97mGS&#10;Y6bdwB/Un0MpIoR9hgpMCG0mpS8MWfQz1xJH7+o6iyHKrpS6wyHCbSPTJFlKixXHBYMtvRoq6vPN&#10;KtjwymzezWU1rxP6HuyXXkzXJ6WeHsfDFkSgMdzD/+2jVpAu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QyrEAAAA2wAAAA8AAAAAAAAAAAAAAAAAmAIAAGRycy9k&#10;b3ducmV2LnhtbFBLBQYAAAAABAAEAPUAAACJAwAAAAA=&#10;" fillcolor="white [3201]" strokecolor="#f79646 [3209]" strokeweight="2pt">
              <v:textbox inset="2.59283mm,1.2964mm,2.59283mm,1.2964mm">
                <w:txbxContent>
                  <w:p w:rsidR="00C06B07" w:rsidRPr="00264403" w:rsidRDefault="00C06B07" w:rsidP="003D436A">
                    <w:pPr>
                      <w:pStyle w:val="NormalWeb"/>
                      <w:spacing w:before="0" w:beforeAutospacing="0" w:after="0" w:afterAutospacing="0" w:line="276" w:lineRule="auto"/>
                      <w:jc w:val="center"/>
                      <w:rPr>
                        <w:sz w:val="28"/>
                      </w:rPr>
                    </w:pPr>
                    <w:r w:rsidRPr="00264403">
                      <w:rPr>
                        <w:sz w:val="18"/>
                        <w:szCs w:val="16"/>
                      </w:rPr>
                      <w:t>Customer breaches contract in a manner allowing operator to terminate customer</w:t>
                    </w:r>
                  </w:p>
                </w:txbxContent>
              </v:textbox>
            </v:shape>
            <v:shape id="Text Box 4" o:spid="_x0000_s1057" type="#_x0000_t202" style="position:absolute;left:1553;top:7170;width:1606;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B8sQA&#10;AADbAAAADwAAAGRycy9kb3ducmV2LnhtbESPQWvCQBSE70L/w/KEXqRutGBL6ipVKIgHQW1zfmRf&#10;ssHs25BdTfTXdwXB4zAz3zDzZW9rcaHWV44VTMYJCOLc6YpLBb/Hn7dPED4ga6wdk4IreVguXgZz&#10;TLXreE+XQyhFhLBPUYEJoUml9Lkhi37sGuLoFa61GKJsS6lb7CLc1nKaJDNpseK4YLChtaH8dDhb&#10;BbeseN9VtM/snxlRd3arrNiulHod9t9fIAL14Rl+tDdawfQD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AgfLEAAAA2wAAAA8AAAAAAAAAAAAAAAAAmAIAAGRycy9k&#10;b3ducmV2LnhtbFBLBQYAAAAABAAEAPUAAACJAwAAAAA=&#10;" fillcolor="white [3201]" strokecolor="#9bbb59 [3206]" strokeweight="2pt">
              <v:textbox inset="2.59283mm,1.2964mm,2.59283mm,1.2964mm">
                <w:txbxContent>
                  <w:p w:rsidR="00C06B07" w:rsidRDefault="00C06B07" w:rsidP="003D436A">
                    <w:pPr>
                      <w:pStyle w:val="NormalWeb"/>
                      <w:spacing w:before="0" w:beforeAutospacing="0" w:after="0" w:afterAutospacing="0" w:line="276" w:lineRule="auto"/>
                      <w:jc w:val="center"/>
                      <w:rPr>
                        <w:b/>
                        <w:bCs/>
                        <w:sz w:val="18"/>
                        <w:szCs w:val="16"/>
                      </w:rPr>
                    </w:pPr>
                    <w:r w:rsidRPr="00264403">
                      <w:rPr>
                        <w:b/>
                        <w:bCs/>
                        <w:sz w:val="18"/>
                        <w:szCs w:val="16"/>
                      </w:rPr>
                      <w:t>Operator may levy a termination fee</w:t>
                    </w:r>
                    <w:r>
                      <w:rPr>
                        <w:b/>
                        <w:bCs/>
                        <w:sz w:val="18"/>
                        <w:szCs w:val="16"/>
                      </w:rPr>
                      <w:t xml:space="preserve"> under Rule 71(3)</w:t>
                    </w:r>
                    <w:r w:rsidRPr="00264403">
                      <w:rPr>
                        <w:b/>
                        <w:bCs/>
                        <w:sz w:val="18"/>
                        <w:szCs w:val="16"/>
                      </w:rPr>
                      <w:t xml:space="preserve">. </w:t>
                    </w:r>
                  </w:p>
                  <w:p w:rsidR="00C06B07" w:rsidRDefault="00C06B07" w:rsidP="003D436A">
                    <w:pPr>
                      <w:pStyle w:val="NormalWeb"/>
                      <w:spacing w:before="0" w:beforeAutospacing="0" w:after="200" w:afterAutospacing="0" w:line="276" w:lineRule="auto"/>
                      <w:jc w:val="center"/>
                    </w:pPr>
                    <w:r w:rsidRPr="00DF30D7">
                      <w:rPr>
                        <w:bCs/>
                        <w:sz w:val="18"/>
                        <w:szCs w:val="16"/>
                      </w:rPr>
                      <w:t>The</w:t>
                    </w:r>
                    <w:r>
                      <w:rPr>
                        <w:b/>
                        <w:bCs/>
                        <w:sz w:val="18"/>
                        <w:szCs w:val="16"/>
                      </w:rPr>
                      <w:t xml:space="preserve"> </w:t>
                    </w:r>
                    <w:r>
                      <w:rPr>
                        <w:sz w:val="16"/>
                        <w:szCs w:val="16"/>
                      </w:rPr>
                      <w:t>general termination fee may not exceed maximum amount as calculated under Rule 72.</w:t>
                    </w:r>
                  </w:p>
                </w:txbxContent>
              </v:textbox>
            </v:shape>
            <v:shapetype id="_x0000_t33" coordsize="21600,21600" o:spt="33" o:oned="t" path="m,l21600,r,21600e" filled="f">
              <v:stroke joinstyle="miter"/>
              <v:path arrowok="t" fillok="f" o:connecttype="none"/>
              <o:lock v:ext="edit" shapetype="t"/>
            </v:shapetype>
            <v:shape id="Elbow Connector 28" o:spid="_x0000_s1058" type="#_x0000_t33" style="position:absolute;left:4199;top:4549;width:2941;height:2109;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jobr0AAADbAAAADwAAAGRycy9kb3ducmV2LnhtbERPSwrCMBDdC94hjOBOUwVFqlFE8APi&#10;Qq3gcmjGtthMShNtvb1ZCC4f779YtaYUb6pdYVnBaBiBIE6tLjhTkFy3gxkI55E1lpZJwYccrJbd&#10;zgJjbRs+0/viMxFC2MWoIPe+iqV0aU4G3dBWxIF72NqgD7DOpK6xCeGmlOMomkqDBYeGHCva5JQ+&#10;Ly+jYHLX26SZ3PbH02n3atNneUS6KdXvtes5CE+t/4t/7oNWMA5jw5fwA+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Y6G69AAAA2wAAAA8AAAAAAAAAAAAAAAAAoQIA&#10;AGRycy9kb3ducmV2LnhtbFBLBQYAAAAABAAEAPkAAACLAwAAAAA=&#10;" adj="-33895,42329,-33895" strokecolor="#a5a5a5 [2092]">
              <v:stroke endarrow="open"/>
            </v:shape>
            <v:line id="Straight Connector 29" o:spid="_x0000_s1059" style="position:absolute;visibility:visible" from="3302,2248" to="3302,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vdsIAAADbAAAADwAAAGRycy9kb3ducmV2LnhtbESPQYvCMBSE78L+h/AEb5oqsqxdo8iC&#10;Inhaq3h92zybYvNSkqj13xtB2OMwM98w82VnG3EjH2rHCsajDARx6XTNlYJDsR5+gQgRWWPjmBQ8&#10;KMBy8dGbY67dnX/pto+VSBAOOSowMba5lKE0ZDGMXEucvLPzFmOSvpLa4z3BbSMnWfYpLdacFgy2&#10;9GOovOyvVkFxmu6ys9n8beJUrmZ2e/Tj4qjUoN+tvkFE6uJ/+N3eagWTGby+p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jvdsIAAADbAAAADwAAAAAAAAAAAAAA&#10;AAChAgAAZHJzL2Rvd25yZXYueG1sUEsFBgAAAAAEAAQA+QAAAJADAAAAAA==&#10;" strokecolor="#a5a5a5 [2092]">
              <v:stroke dashstyle="dash"/>
            </v:line>
            <v:line id="Straight Connector 30" o:spid="_x0000_s1060" style="position:absolute;visibility:visible" from="9053,2250" to="9053,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QNsEAAADbAAAADwAAAGRycy9kb3ducmV2LnhtbERPz2vCMBS+C/sfwhN209StDFeNIoNJ&#10;Yae1yq7P5tkUm5eSZLb775fDYMeP7/d2P9le3MmHzrGC1TIDQdw43XGr4FS/L9YgQkTW2DsmBT8U&#10;YL97mG2x0G7kT7pXsRUphEOBCkyMQyFlaAxZDEs3ECfu6rzFmKBvpfY4pnDby6cse5EWO04NBgd6&#10;M9Tcqm+roP7KP7KrOV6OMZeHV1ue/ao+K/U4nw4bEJGm+C/+c5dawXN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9A2wQAAANsAAAAPAAAAAAAAAAAAAAAA&#10;AKECAABkcnMvZG93bnJldi54bWxQSwUGAAAAAAQABAD5AAAAjwMAAAAA&#10;" strokecolor="#a5a5a5 [2092]">
              <v:stroke dashstyle="dash"/>
            </v:line>
            <v:shape id="Text Box 31" o:spid="_x0000_s1061" type="#_x0000_t202" style="position:absolute;left:1470;top:2023;width:1912;height: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LZ8IA&#10;AADbAAAADwAAAGRycy9kb3ducmV2LnhtbESP3YrCMBSE7xd8h3CEvVvTuiBSjeIPghd7odUHODSn&#10;P9iclCbauE+/WRC8HGbmG2a5DqYVD+pdY1lBOklAEBdWN1wpuF4OX3MQziNrbC2Tgic5WK9GH0vM&#10;tB34TI/cVyJC2GWooPa+y6R0RU0G3cR2xNErbW/QR9lXUvc4RLhp5TRJZtJgw3Ghxo52NRW3/G4U&#10;bIvU/dq8pf1w3/9Q6MpTmJZKfY7DZgHCU/Dv8Kt91Aq+U/j/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ctnwgAAANsAAAAPAAAAAAAAAAAAAAAAAJgCAABkcnMvZG93&#10;bnJldi54bWxQSwUGAAAAAAQABAD1AAAAhwMAAAAA&#10;" filled="f" stroked="f" strokeweight=".5pt">
              <v:textbox style="mso-next-textbox:#Text Box 31" inset="0,1.2964mm,2.59283mm,1.2964mm">
                <w:txbxContent>
                  <w:p w:rsidR="00C06B07" w:rsidRPr="00264403" w:rsidRDefault="00C06B07" w:rsidP="003D436A">
                    <w:pPr>
                      <w:spacing w:after="0"/>
                      <w:jc w:val="center"/>
                      <w:rPr>
                        <w:b/>
                        <w:i/>
                        <w:sz w:val="20"/>
                      </w:rPr>
                    </w:pPr>
                    <w:r w:rsidRPr="00264403">
                      <w:rPr>
                        <w:b/>
                        <w:i/>
                        <w:sz w:val="20"/>
                      </w:rPr>
                      <w:t>Operator instigates termination</w:t>
                    </w:r>
                  </w:p>
                </w:txbxContent>
              </v:textbox>
            </v:shape>
            <v:shape id="Text Box 55" o:spid="_x0000_s1062" type="#_x0000_t202" style="position:absolute;left:4293;top:2023;width:3794;height: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UxcYA&#10;AADbAAAADwAAAGRycy9kb3ducmV2LnhtbESPT2sCMRTE7wW/Q3hCbzWrFZXVKKW00FI9+AfB22Pz&#10;3F1NXpYk6rafvhEKPQ4z8xtmtmitEVfyoXasoN/LQBAXTtdcKtht358mIEJE1mgck4JvCrCYdx5m&#10;mGt34zVdN7EUCcIhRwVVjE0uZSgqshh6riFO3tF5izFJX0rt8Zbg1shBlo2kxZrTQoUNvVZUnDcX&#10;q+Ds96vRcvt5MOYyLMeH4ekrvv0o9dhtX6YgIrXxP/zX/tAKngdw/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rUxcYAAADbAAAADwAAAAAAAAAAAAAAAACYAgAAZHJz&#10;L2Rvd25yZXYueG1sUEsFBgAAAAAEAAQA9QAAAIsDAAAAAA==&#10;" filled="f" stroked="f" strokeweight=".5pt">
              <v:textbox style="mso-next-textbox:#Text Box 55" inset="2.59283mm,1.2964mm,2.59283mm,1.2964mm">
                <w:txbxContent>
                  <w:p w:rsidR="00C06B07" w:rsidRDefault="00C06B07" w:rsidP="003D436A">
                    <w:pPr>
                      <w:pStyle w:val="NormalWeb"/>
                      <w:spacing w:before="0" w:beforeAutospacing="0" w:after="0" w:afterAutospacing="0" w:line="276" w:lineRule="auto"/>
                      <w:jc w:val="center"/>
                      <w:rPr>
                        <w:i/>
                        <w:iCs/>
                        <w:sz w:val="20"/>
                        <w:szCs w:val="18"/>
                      </w:rPr>
                    </w:pPr>
                    <w:r w:rsidRPr="00264403">
                      <w:rPr>
                        <w:b/>
                        <w:i/>
                        <w:iCs/>
                        <w:sz w:val="20"/>
                        <w:szCs w:val="18"/>
                      </w:rPr>
                      <w:t>Customer requests information</w:t>
                    </w:r>
                    <w:r w:rsidRPr="00264403">
                      <w:rPr>
                        <w:i/>
                        <w:iCs/>
                        <w:sz w:val="20"/>
                        <w:szCs w:val="18"/>
                      </w:rPr>
                      <w:t xml:space="preserve"> </w:t>
                    </w:r>
                  </w:p>
                  <w:p w:rsidR="00C06B07" w:rsidRPr="00264403" w:rsidRDefault="00C06B07" w:rsidP="003D436A">
                    <w:pPr>
                      <w:pStyle w:val="NormalWeb"/>
                      <w:spacing w:before="0" w:beforeAutospacing="0" w:after="0" w:afterAutospacing="0" w:line="276" w:lineRule="auto"/>
                      <w:jc w:val="center"/>
                      <w:rPr>
                        <w:sz w:val="28"/>
                      </w:rPr>
                    </w:pPr>
                    <w:r w:rsidRPr="00264403">
                      <w:rPr>
                        <w:i/>
                        <w:iCs/>
                        <w:sz w:val="20"/>
                        <w:szCs w:val="18"/>
                      </w:rPr>
                      <w:t>(without instigating termination)</w:t>
                    </w:r>
                  </w:p>
                </w:txbxContent>
              </v:textbox>
            </v:shape>
            <v:shape id="Text Box 55" o:spid="_x0000_s1063" type="#_x0000_t202" style="position:absolute;left:9982;top:2023;width:4451;height: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vAMIA&#10;AADbAAAADwAAAGRycy9kb3ducmV2LnhtbESPUUvDQBCE3wX/w7GCb/aiASuxl1AVsfStqT9gza25&#10;aG4vZM/2/PeeUOjjMDPfMKsm+VEdaJYhsIHbRQGKuAt24N7A+/715gGURGSLY2Ay8EsCTX15scLK&#10;hiPv6NDGXmUIS4UGXIxTpbV0jjzKIkzE2fsMs8eY5dxrO+Mxw/2o74riXnscOC84nOjZUffd/ngD&#10;lNJ2OW5KKd7W7Yc8uZel8Jcx11dp/QgqUorn8Km9sQbKEv6/5B+g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e8AwgAAANsAAAAPAAAAAAAAAAAAAAAAAJgCAABkcnMvZG93&#10;bnJldi54bWxQSwUGAAAAAAQABAD1AAAAhwMAAAAA&#10;" filled="f" stroked="f" strokeweight=".5pt">
              <v:textbox inset="2.59283mm,1.2964mm,2.59283mm,1.2964mm">
                <w:txbxContent>
                  <w:p w:rsidR="00C06B07" w:rsidRPr="00264403" w:rsidRDefault="00C06B07" w:rsidP="003D436A">
                    <w:pPr>
                      <w:pStyle w:val="NormalWeb"/>
                      <w:spacing w:before="0" w:beforeAutospacing="0" w:after="200" w:afterAutospacing="0" w:line="276" w:lineRule="auto"/>
                      <w:jc w:val="center"/>
                      <w:rPr>
                        <w:b/>
                        <w:sz w:val="28"/>
                      </w:rPr>
                    </w:pPr>
                    <w:r w:rsidRPr="00264403">
                      <w:rPr>
                        <w:b/>
                        <w:i/>
                        <w:iCs/>
                        <w:sz w:val="20"/>
                        <w:szCs w:val="18"/>
                      </w:rPr>
                      <w:t xml:space="preserve">Customer instigates termination </w:t>
                    </w:r>
                  </w:p>
                </w:txbxContent>
              </v:textbox>
            </v:shape>
            <v:shape id="Text Box 4" o:spid="_x0000_s1064" type="#_x0000_t202" style="position:absolute;left:1553;top:5674;width:1613;height:1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s3cMA&#10;AADbAAAADwAAAGRycy9kb3ducmV2LnhtbESPQWvCQBSE7wX/w/KE3urGthQTXUUqQi+hVD3o7ZF9&#10;JsG8tzG7avz33ULB4zAz3zCzRc+NulLnaycGxqMEFEnhbC2lgd12/TIB5QOKxcYJGbiTh8V88DTD&#10;zLqb/NB1E0oVIeIzNFCF0GZa+6IiRj9yLUn0jq5jDFF2pbYd3iKcG/2aJB+asZa4UGFLnxUVp82F&#10;I2XHPr03+9WB+FJ/p2nO+Tk35nnYL6egAvXhEf5vf1kDb+/w9yX+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s3cMAAADbAAAADwAAAAAAAAAAAAAAAACYAgAAZHJzL2Rv&#10;d25yZXYueG1sUEsFBgAAAAAEAAQA9QAAAIgDAAAAAA==&#10;" fillcolor="white [3201]" strokecolor="#c0504d [3205]" strokeweight="2pt">
              <v:textbox inset="2.59283mm,1.2964mm,2.59283mm,1.2964mm">
                <w:txbxContent>
                  <w:p w:rsidR="00C06B07" w:rsidRDefault="00C06B07" w:rsidP="003D436A">
                    <w:pPr>
                      <w:pStyle w:val="NormalWeb"/>
                      <w:spacing w:before="0" w:beforeAutospacing="0" w:after="0" w:afterAutospacing="0" w:line="276" w:lineRule="auto"/>
                      <w:jc w:val="center"/>
                    </w:pPr>
                    <w:r>
                      <w:rPr>
                        <w:sz w:val="18"/>
                        <w:szCs w:val="18"/>
                      </w:rPr>
                      <w:t>Operator terminates customer’s right of access</w:t>
                    </w:r>
                  </w:p>
                </w:txbxContent>
              </v:textbox>
            </v:shape>
            <v:shape id="Elbow Connector 35" o:spid="_x0000_s1065" type="#_x0000_t32" style="position:absolute;left:10680;top:5585;width:1;height:2783;visibility:visible" o:connectortype="straight" adj="10796,83083,-80519" strokecolor="#a5a5a5 [2092]">
              <v:stroke endarrow="open"/>
            </v:shape>
            <w10:anchorlock/>
          </v:group>
        </w:pict>
      </w:r>
      <w:r w:rsidR="003D436A">
        <w:br w:type="page"/>
      </w:r>
    </w:p>
    <w:p w:rsidR="003D436A" w:rsidRDefault="003D436A" w:rsidP="003D436A">
      <w:r>
        <w:t>Figure 6.2: Calculating maximum general termination fees</w:t>
      </w:r>
    </w:p>
    <w:p w:rsidR="00FC4A5D" w:rsidRDefault="00F23D23" w:rsidP="008A574E">
      <w:r>
        <w:pict>
          <v:group id="Canvas 42" o:spid="_x0000_s1070" editas="canvas" alt="This figure sets out how to calculate the maximum general termination fee when a customer's access rights are terminated. The termination fee is the sum of the charge levied per unit of water delivery right multiplied by the number of units terminated plus the charge levied per unit of water drainage right multiplied by the number of units terminated, multiplied by the appropriate termination fee multiple, plus the appropriate termination fee for any customer specific infrastructure (if applicable). &#10;&#10;The infrastructure charges the termination fee is based on will be found in the schedule of charges in affect at the time the operator termiantes the contract or the customer requests termination, with some exceptions.   " style="width:704.15pt;height:403.95pt;mso-position-horizontal-relative:char;mso-position-vertical-relative:line" coordorigin="1470,1470" coordsize="14083,8079">
            <v:shape id="_x0000_s1071" type="#_x0000_t75" style="position:absolute;left:1470;top:1470;width:14083;height:8079;visibility:visible;mso-wrap-style:square" o:preferrelative="f" stroked="t" strokecolor="#7f7f7f [1612]">
              <v:fill o:detectmouseclick="t"/>
              <v:stroke joinstyle="round"/>
              <v:path o:connecttype="none"/>
            </v:shape>
            <v:shape id="Text Box 4" o:spid="_x0000_s1072" type="#_x0000_t202" style="position:absolute;left:2249;top:1470;width:13220;height:5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Q88UA&#10;AADbAAAADwAAAGRycy9kb3ducmV2LnhtbESPQWvCQBSE7wX/w/KE3urGiiLRTdBCrT0Iaeylt0f2&#10;mWybfRuyW43/3i0IPQ4z8w2zzgfbijP13jhWMJ0kIIgrpw3XCj6Pr09LED4ga2wdk4Ireciz0cMa&#10;U+0u/EHnMtQiQtinqKAJoUul9FVDFv3EdcTRO7neYoiyr6Xu8RLhtpXPSbKQFg3HhQY7emmo+il/&#10;rYJDWc/Jv++2g9mZoviaFfT9tlHqcTxsViACDeE/fG/vtYLZAv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hDzxQAAANsAAAAPAAAAAAAAAAAAAAAAAJgCAABkcnMv&#10;ZG93bnJldi54bWxQSwUGAAAAAAQABAD1AAAAigMAAAAA&#10;" filled="f" stroked="f" strokeweight="2pt">
              <v:textbox inset="1.3mm,,1.3mm">
                <w:txbxContent>
                  <w:p w:rsidR="00C06B07" w:rsidRPr="00264403" w:rsidRDefault="00C06B07" w:rsidP="00FC4A5D">
                    <w:pPr>
                      <w:rPr>
                        <w:sz w:val="18"/>
                        <w:szCs w:val="16"/>
                      </w:rPr>
                    </w:pPr>
                    <w:r w:rsidRPr="002C3A38">
                      <w:rPr>
                        <w:rFonts w:asciiTheme="minorHAnsi" w:hAnsiTheme="minorHAnsi"/>
                        <w:b/>
                        <w:sz w:val="28"/>
                        <w:szCs w:val="26"/>
                      </w:rPr>
                      <w:t>Maximum general termination fee</w:t>
                    </w:r>
                    <w:r w:rsidRPr="002C3A38">
                      <w:rPr>
                        <w:rFonts w:asciiTheme="minorHAnsi" w:hAnsiTheme="minorHAnsi"/>
                        <w:sz w:val="28"/>
                        <w:szCs w:val="26"/>
                      </w:rPr>
                      <w:t xml:space="preserve"> = </w:t>
                    </w:r>
                    <w:r>
                      <w:rPr>
                        <w:rFonts w:asciiTheme="minorHAnsi" w:hAnsiTheme="minorHAnsi"/>
                        <w:sz w:val="28"/>
                        <w:szCs w:val="26"/>
                      </w:rPr>
                      <w:t>(</w:t>
                    </w:r>
                    <w:r w:rsidRPr="002C3A38">
                      <w:rPr>
                        <w:rFonts w:asciiTheme="minorHAnsi" w:hAnsiTheme="minorHAnsi"/>
                        <w:b/>
                        <w:i/>
                        <w:sz w:val="28"/>
                        <w:szCs w:val="26"/>
                      </w:rPr>
                      <w:t>A</w:t>
                    </w:r>
                    <w:r w:rsidRPr="002C3A38">
                      <w:rPr>
                        <w:rFonts w:asciiTheme="minorHAnsi" w:hAnsiTheme="minorHAnsi"/>
                        <w:sz w:val="28"/>
                        <w:szCs w:val="26"/>
                      </w:rPr>
                      <w:t xml:space="preserve"> × </w:t>
                    </w:r>
                    <w:r w:rsidRPr="002C3A38">
                      <w:rPr>
                        <w:rFonts w:asciiTheme="minorHAnsi" w:hAnsiTheme="minorHAnsi"/>
                        <w:i/>
                        <w:sz w:val="28"/>
                        <w:szCs w:val="26"/>
                      </w:rPr>
                      <w:t>termination fee multiple</w:t>
                    </w:r>
                    <w:r w:rsidRPr="008E5BAF">
                      <w:rPr>
                        <w:rFonts w:asciiTheme="minorHAnsi" w:hAnsiTheme="minorHAnsi"/>
                        <w:sz w:val="28"/>
                        <w:szCs w:val="26"/>
                      </w:rPr>
                      <w:t>)</w:t>
                    </w:r>
                    <w:r w:rsidRPr="002C3A38">
                      <w:rPr>
                        <w:rFonts w:asciiTheme="minorHAnsi" w:hAnsiTheme="minorHAnsi"/>
                        <w:sz w:val="28"/>
                        <w:szCs w:val="26"/>
                      </w:rPr>
                      <w:t xml:space="preserve"> + </w:t>
                    </w:r>
                    <w:r w:rsidRPr="002C3A38">
                      <w:rPr>
                        <w:rFonts w:asciiTheme="minorHAnsi" w:hAnsiTheme="minorHAnsi"/>
                        <w:b/>
                        <w:i/>
                        <w:sz w:val="28"/>
                        <w:szCs w:val="26"/>
                      </w:rPr>
                      <w:t xml:space="preserve">B </w:t>
                    </w:r>
                    <w:r w:rsidRPr="008E5BAF">
                      <w:rPr>
                        <w:rFonts w:asciiTheme="minorHAnsi" w:hAnsiTheme="minorHAnsi"/>
                        <w:i/>
                      </w:rPr>
                      <w:t>(if applicable</w:t>
                    </w:r>
                    <w:r>
                      <w:rPr>
                        <w:rFonts w:asciiTheme="minorHAnsi" w:hAnsiTheme="minorHAnsi"/>
                        <w:i/>
                      </w:rPr>
                      <w:t>)</w:t>
                    </w:r>
                  </w:p>
                </w:txbxContent>
              </v:textbox>
            </v:shape>
            <v:shapetype id="_x0000_t46" coordsize="21600,21600" o:spt="46" adj="23400,24400,25200,21600,25200,4050,23400,4050" path="m@0@1l@2@3@4@5@6@7nfem@6,l@6,21600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Line Callout 3 (Accent Bar) 37" o:spid="_x0000_s1073" type="#_x0000_t46" style="position:absolute;left:6418;top:2425;width:8450;height:238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qsUA&#10;AADbAAAADwAAAGRycy9kb3ducmV2LnhtbESPQWsCMRSE74L/ITyht5qt1VZWo1RB8NCL1pZ6e2ye&#10;u9tuXkISdeuvN0LB4zAz3zDTeWsacSIfassKnvoZCOLC6ppLBbuP1eMYRIjIGhvLpOCPAsxn3c4U&#10;c23PvKHTNpYiQTjkqKCK0eVShqIig6FvHXHyDtYbjEn6UmqP5wQ3jRxk2Ys0WHNaqNDRsqLid3s0&#10;Ci6DYXZcNO77S//g596925HfrZV66LVvExCR2ngP/7fXWsHzK9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6qqxQAAANsAAAAPAAAAAAAAAAAAAAAAAJgCAABkcnMv&#10;ZG93bnJldi54bWxQSwUGAAAAAAQABAD1AAAAigMAAAAA&#10;" adj="20696,-4841,20693,-785,-62,-783,-61,3963" fillcolor="#f2f6ea" strokecolor="#4e6128 [1606]" strokeweight="2pt">
              <v:textbox style="mso-next-textbox:#Line Callout 3 (Accent Bar) 37">
                <w:txbxContent>
                  <w:p w:rsidR="00C06B07" w:rsidRPr="003D436A" w:rsidRDefault="00C06B07" w:rsidP="00FC4A5D">
                    <w:pPr>
                      <w:pStyle w:val="NormalWeb"/>
                      <w:spacing w:before="0" w:beforeAutospacing="0" w:after="120" w:afterAutospacing="0" w:line="276" w:lineRule="auto"/>
                      <w:rPr>
                        <w:rFonts w:asciiTheme="minorHAnsi" w:hAnsiTheme="minorHAnsi"/>
                        <w:color w:val="000000" w:themeColor="text1"/>
                        <w:sz w:val="22"/>
                        <w:szCs w:val="22"/>
                      </w:rPr>
                    </w:pPr>
                    <w:r w:rsidRPr="003D436A">
                      <w:rPr>
                        <w:rFonts w:asciiTheme="minorHAnsi" w:hAnsiTheme="minorHAnsi"/>
                        <w:b/>
                        <w:i/>
                        <w:color w:val="000000" w:themeColor="text1"/>
                        <w:sz w:val="22"/>
                        <w:szCs w:val="22"/>
                      </w:rPr>
                      <w:t>A</w:t>
                    </w:r>
                    <w:r w:rsidRPr="003D436A">
                      <w:rPr>
                        <w:rFonts w:asciiTheme="minorHAnsi" w:hAnsiTheme="minorHAnsi"/>
                        <w:color w:val="000000" w:themeColor="text1"/>
                        <w:sz w:val="22"/>
                        <w:szCs w:val="22"/>
                      </w:rPr>
                      <w:t xml:space="preserve"> is the total of: </w:t>
                    </w:r>
                  </w:p>
                  <w:p w:rsidR="00C06B07" w:rsidRPr="003D436A" w:rsidRDefault="00C06B07" w:rsidP="00FC4A5D">
                    <w:pPr>
                      <w:pStyle w:val="NormalWeb"/>
                      <w:spacing w:before="0" w:beforeAutospacing="0" w:after="120" w:afterAutospacing="0" w:line="276" w:lineRule="auto"/>
                      <w:rPr>
                        <w:rFonts w:asciiTheme="minorHAnsi" w:hAnsiTheme="minorHAnsi"/>
                      </w:rPr>
                    </w:pPr>
                    <w:r w:rsidRPr="003D436A">
                      <w:rPr>
                        <w:rFonts w:asciiTheme="minorHAnsi" w:hAnsiTheme="minorHAnsi"/>
                        <w:color w:val="000000" w:themeColor="text1"/>
                        <w:sz w:val="22"/>
                        <w:szCs w:val="22"/>
                      </w:rPr>
                      <w:t xml:space="preserve">Each charge levied per unit of </w:t>
                    </w:r>
                    <w:r w:rsidRPr="003D436A">
                      <w:rPr>
                        <w:rFonts w:asciiTheme="minorHAnsi" w:hAnsiTheme="minorHAnsi"/>
                        <w:i/>
                        <w:color w:val="000000" w:themeColor="text1"/>
                        <w:sz w:val="22"/>
                        <w:szCs w:val="22"/>
                      </w:rPr>
                      <w:t>water delivery right</w:t>
                    </w:r>
                    <w:r w:rsidRPr="003D436A">
                      <w:rPr>
                        <w:rFonts w:asciiTheme="minorHAnsi" w:hAnsiTheme="minorHAnsi"/>
                        <w:color w:val="000000" w:themeColor="text1"/>
                        <w:sz w:val="22"/>
                        <w:szCs w:val="22"/>
                      </w:rPr>
                      <w:t xml:space="preserve"> to be terminated × number of units terminated </w:t>
                    </w:r>
                  </w:p>
                  <w:p w:rsidR="00C06B07" w:rsidRPr="003D436A" w:rsidRDefault="00C06B07" w:rsidP="00FC4A5D">
                    <w:pPr>
                      <w:pStyle w:val="NormalWeb"/>
                      <w:spacing w:before="0" w:beforeAutospacing="0" w:after="120" w:afterAutospacing="0"/>
                      <w:rPr>
                        <w:rFonts w:asciiTheme="minorHAnsi" w:hAnsiTheme="minorHAnsi"/>
                        <w:i/>
                      </w:rPr>
                    </w:pPr>
                    <w:r w:rsidRPr="003D436A">
                      <w:rPr>
                        <w:rFonts w:asciiTheme="minorHAnsi" w:hAnsiTheme="minorHAnsi"/>
                        <w:i/>
                        <w:color w:val="000000" w:themeColor="text1"/>
                        <w:sz w:val="22"/>
                        <w:szCs w:val="22"/>
                      </w:rPr>
                      <w:t>PLUS</w:t>
                    </w:r>
                  </w:p>
                  <w:p w:rsidR="00C06B07" w:rsidRPr="003D436A" w:rsidRDefault="00C06B07" w:rsidP="00F43856">
                    <w:pPr>
                      <w:pStyle w:val="NormalWeb"/>
                      <w:numPr>
                        <w:ilvl w:val="0"/>
                        <w:numId w:val="103"/>
                      </w:numPr>
                      <w:spacing w:before="0" w:beforeAutospacing="0" w:after="0" w:afterAutospacing="0" w:line="276" w:lineRule="auto"/>
                      <w:ind w:left="0"/>
                    </w:pPr>
                    <w:r w:rsidRPr="003D436A">
                      <w:rPr>
                        <w:rFonts w:asciiTheme="minorHAnsi" w:hAnsiTheme="minorHAnsi"/>
                        <w:color w:val="000000" w:themeColor="text1"/>
                        <w:sz w:val="22"/>
                        <w:szCs w:val="22"/>
                      </w:rPr>
                      <w:t xml:space="preserve">Each charge levied per unit of </w:t>
                    </w:r>
                    <w:r w:rsidRPr="003D436A">
                      <w:rPr>
                        <w:rFonts w:asciiTheme="minorHAnsi" w:hAnsiTheme="minorHAnsi"/>
                        <w:i/>
                        <w:color w:val="000000" w:themeColor="text1"/>
                        <w:sz w:val="22"/>
                        <w:szCs w:val="22"/>
                      </w:rPr>
                      <w:t>water drainage right</w:t>
                    </w:r>
                    <w:r w:rsidRPr="003D436A">
                      <w:rPr>
                        <w:rFonts w:asciiTheme="minorHAnsi" w:hAnsiTheme="minorHAnsi"/>
                        <w:color w:val="000000" w:themeColor="text1"/>
                        <w:sz w:val="22"/>
                        <w:szCs w:val="22"/>
                      </w:rPr>
                      <w:t xml:space="preserve"> to be terminated × number of units terminated </w:t>
                    </w:r>
                  </w:p>
                </w:txbxContent>
              </v:textbox>
              <o:callout v:ext="edit" minusx="t"/>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38" o:spid="_x0000_s1074" type="#_x0000_t44" style="position:absolute;left:377;top:3434;width:7152;height:472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i8IA&#10;AADbAAAADwAAAGRycy9kb3ducmV2LnhtbERPyWrDMBC9B/oPYgq9hFhOm6W4lk0wJPRUyALJcbCm&#10;tqk1MpacOP366lDI8fH2NB9NK67Uu8aygnkUgyAurW64UnA6bmfvIJxH1thaJgV3cpBnT5MUE21v&#10;vKfrwVcihLBLUEHtfZdI6cqaDLrIdsSB+7a9QR9gX0nd4y2Em1a+xvFKGmw4NNTYUVFT+XMYjIJC&#10;S//V/eJ2s1wP8+oyLc+LnVPq5XncfIDwNPqH+N/9qRW8hbHhS/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X6LwgAAANsAAAAPAAAAAAAAAAAAAAAAAJgCAABkcnMvZG93&#10;bnJldi54bWxQSwUGAAAAAAQABAD1AAAAhwMAAAAA&#10;" adj="-857,10721,-186,10722" fillcolor="#f2dbdb [661]" strokecolor="#c0504d [3205]" strokeweight="2pt">
              <v:textbox style="mso-next-textbox:#Line Callout 1 (Accent Bar) 38">
                <w:txbxContent>
                  <w:p w:rsidR="00C06B07" w:rsidRPr="0084632A" w:rsidRDefault="00C06B07" w:rsidP="00FC4A5D">
                    <w:pPr>
                      <w:pStyle w:val="NormalWeb"/>
                      <w:spacing w:before="0" w:beforeAutospacing="0" w:after="120" w:afterAutospacing="0" w:line="276" w:lineRule="auto"/>
                      <w:rPr>
                        <w:rFonts w:asciiTheme="minorHAnsi" w:hAnsiTheme="minorHAnsi"/>
                        <w:b/>
                        <w:sz w:val="22"/>
                        <w:szCs w:val="22"/>
                      </w:rPr>
                    </w:pPr>
                    <w:r w:rsidRPr="0084632A">
                      <w:rPr>
                        <w:rFonts w:asciiTheme="minorHAnsi" w:hAnsiTheme="minorHAnsi"/>
                        <w:b/>
                        <w:sz w:val="22"/>
                        <w:szCs w:val="22"/>
                      </w:rPr>
                      <w:t>Which infrastructure charges should be used when calculating the maximum general termination fee?</w:t>
                    </w:r>
                  </w:p>
                  <w:p w:rsidR="00C06B07" w:rsidRPr="001E3B20" w:rsidRDefault="00C06B07" w:rsidP="00F43856">
                    <w:pPr>
                      <w:pStyle w:val="NormalWeb"/>
                      <w:numPr>
                        <w:ilvl w:val="0"/>
                        <w:numId w:val="104"/>
                      </w:numPr>
                      <w:tabs>
                        <w:tab w:val="left" w:pos="284"/>
                      </w:tabs>
                      <w:spacing w:before="0" w:beforeAutospacing="0" w:after="120" w:afterAutospacing="0" w:line="276" w:lineRule="auto"/>
                      <w:ind w:left="0" w:firstLine="0"/>
                      <w:rPr>
                        <w:rFonts w:asciiTheme="minorHAnsi" w:hAnsiTheme="minorHAnsi"/>
                        <w:sz w:val="20"/>
                        <w:szCs w:val="22"/>
                      </w:rPr>
                    </w:pPr>
                    <w:r w:rsidRPr="001E3B20">
                      <w:rPr>
                        <w:rFonts w:asciiTheme="minorHAnsi" w:hAnsiTheme="minorHAnsi"/>
                        <w:sz w:val="20"/>
                        <w:szCs w:val="22"/>
                      </w:rPr>
                      <w:t xml:space="preserve">When a </w:t>
                    </w:r>
                    <w:r w:rsidRPr="00DF30D7">
                      <w:rPr>
                        <w:rFonts w:asciiTheme="minorHAnsi" w:hAnsiTheme="minorHAnsi"/>
                        <w:b/>
                        <w:sz w:val="20"/>
                        <w:szCs w:val="22"/>
                      </w:rPr>
                      <w:t xml:space="preserve">customer </w:t>
                    </w:r>
                    <w:r w:rsidRPr="001E3B20">
                      <w:rPr>
                        <w:rFonts w:asciiTheme="minorHAnsi" w:hAnsiTheme="minorHAnsi"/>
                        <w:i/>
                        <w:sz w:val="20"/>
                        <w:szCs w:val="22"/>
                      </w:rPr>
                      <w:t>requests information</w:t>
                    </w:r>
                    <w:r w:rsidRPr="001E3B20">
                      <w:rPr>
                        <w:rFonts w:asciiTheme="minorHAnsi" w:hAnsiTheme="minorHAnsi"/>
                        <w:sz w:val="20"/>
                        <w:szCs w:val="22"/>
                      </w:rPr>
                      <w:t xml:space="preserve"> on what termination fee would apply, or </w:t>
                    </w:r>
                    <w:r w:rsidRPr="001E3B20">
                      <w:rPr>
                        <w:rFonts w:asciiTheme="minorHAnsi" w:hAnsiTheme="minorHAnsi"/>
                        <w:i/>
                        <w:sz w:val="20"/>
                        <w:szCs w:val="22"/>
                      </w:rPr>
                      <w:t>terminates by submitting a written notice to the operator</w:t>
                    </w:r>
                    <w:r w:rsidRPr="001E3B20">
                      <w:rPr>
                        <w:rFonts w:asciiTheme="minorHAnsi" w:hAnsiTheme="minorHAnsi"/>
                        <w:sz w:val="20"/>
                        <w:szCs w:val="22"/>
                      </w:rPr>
                      <w:t xml:space="preserve">―use the </w:t>
                    </w:r>
                    <w:r>
                      <w:rPr>
                        <w:rFonts w:asciiTheme="minorHAnsi" w:hAnsiTheme="minorHAnsi"/>
                        <w:sz w:val="20"/>
                        <w:szCs w:val="22"/>
                      </w:rPr>
                      <w:t>infrastructure charges in the Schedule of Charge (</w:t>
                    </w:r>
                    <w:r w:rsidRPr="001E3B20">
                      <w:rPr>
                        <w:rFonts w:asciiTheme="minorHAnsi" w:hAnsiTheme="minorHAnsi"/>
                        <w:sz w:val="20"/>
                        <w:szCs w:val="22"/>
                      </w:rPr>
                      <w:t>SoC</w:t>
                    </w:r>
                    <w:r>
                      <w:rPr>
                        <w:rFonts w:asciiTheme="minorHAnsi" w:hAnsiTheme="minorHAnsi"/>
                        <w:sz w:val="20"/>
                        <w:szCs w:val="22"/>
                      </w:rPr>
                      <w:t>)</w:t>
                    </w:r>
                    <w:r w:rsidRPr="001E3B20">
                      <w:rPr>
                        <w:rFonts w:asciiTheme="minorHAnsi" w:hAnsiTheme="minorHAnsi"/>
                        <w:sz w:val="20"/>
                        <w:szCs w:val="22"/>
                      </w:rPr>
                      <w:t xml:space="preserve"> in effect at the time the request / notice</w:t>
                    </w:r>
                    <w:r>
                      <w:rPr>
                        <w:rFonts w:asciiTheme="minorHAnsi" w:hAnsiTheme="minorHAnsi"/>
                        <w:sz w:val="20"/>
                        <w:szCs w:val="22"/>
                      </w:rPr>
                      <w:t>―</w:t>
                    </w:r>
                    <w:r w:rsidRPr="00DF30D7">
                      <w:rPr>
                        <w:rFonts w:asciiTheme="minorHAnsi" w:hAnsiTheme="minorHAnsi"/>
                        <w:i/>
                        <w:sz w:val="20"/>
                        <w:szCs w:val="22"/>
                      </w:rPr>
                      <w:t>however</w:t>
                    </w:r>
                    <w:r w:rsidRPr="001E3B20">
                      <w:rPr>
                        <w:rFonts w:asciiTheme="minorHAnsi" w:hAnsiTheme="minorHAnsi"/>
                        <w:sz w:val="20"/>
                        <w:szCs w:val="22"/>
                      </w:rPr>
                      <w:t>:</w:t>
                    </w:r>
                  </w:p>
                  <w:p w:rsidR="00C06B07" w:rsidRPr="001E3B20" w:rsidRDefault="00C06B07" w:rsidP="00F43856">
                    <w:pPr>
                      <w:pStyle w:val="NormalWeb"/>
                      <w:numPr>
                        <w:ilvl w:val="1"/>
                        <w:numId w:val="104"/>
                      </w:numPr>
                      <w:tabs>
                        <w:tab w:val="left" w:pos="567"/>
                      </w:tabs>
                      <w:spacing w:before="0" w:beforeAutospacing="0" w:after="120" w:afterAutospacing="0" w:line="276" w:lineRule="auto"/>
                      <w:ind w:left="284" w:firstLine="0"/>
                      <w:rPr>
                        <w:rFonts w:asciiTheme="minorHAnsi" w:hAnsiTheme="minorHAnsi"/>
                        <w:sz w:val="20"/>
                        <w:szCs w:val="22"/>
                      </w:rPr>
                    </w:pPr>
                    <w:r w:rsidRPr="001E3B20">
                      <w:rPr>
                        <w:rFonts w:asciiTheme="minorHAnsi" w:hAnsiTheme="minorHAnsi"/>
                        <w:sz w:val="20"/>
                        <w:szCs w:val="22"/>
                      </w:rPr>
                      <w:t xml:space="preserve">If the </w:t>
                    </w:r>
                    <w:r>
                      <w:rPr>
                        <w:rFonts w:asciiTheme="minorHAnsi" w:hAnsiTheme="minorHAnsi"/>
                        <w:sz w:val="20"/>
                        <w:szCs w:val="22"/>
                      </w:rPr>
                      <w:t xml:space="preserve">operator had a different </w:t>
                    </w:r>
                    <w:r w:rsidRPr="001E3B20">
                      <w:rPr>
                        <w:rFonts w:asciiTheme="minorHAnsi" w:hAnsiTheme="minorHAnsi"/>
                        <w:sz w:val="20"/>
                        <w:szCs w:val="22"/>
                      </w:rPr>
                      <w:t>SoC 25 business days before the request / notice was received, and using the old SoC would produce a lower termination fee―use the old SoC</w:t>
                    </w:r>
                    <w:r>
                      <w:rPr>
                        <w:rFonts w:asciiTheme="minorHAnsi" w:hAnsiTheme="minorHAnsi"/>
                        <w:sz w:val="20"/>
                        <w:szCs w:val="22"/>
                      </w:rPr>
                      <w:t>.</w:t>
                    </w:r>
                  </w:p>
                  <w:p w:rsidR="00C06B07" w:rsidRPr="001E3B20" w:rsidRDefault="00C06B07" w:rsidP="00F43856">
                    <w:pPr>
                      <w:pStyle w:val="NormalWeb"/>
                      <w:numPr>
                        <w:ilvl w:val="1"/>
                        <w:numId w:val="104"/>
                      </w:numPr>
                      <w:tabs>
                        <w:tab w:val="left" w:pos="567"/>
                      </w:tabs>
                      <w:spacing w:before="0" w:beforeAutospacing="0" w:after="120" w:afterAutospacing="0" w:line="276" w:lineRule="auto"/>
                      <w:ind w:left="284" w:firstLine="0"/>
                      <w:rPr>
                        <w:rFonts w:asciiTheme="minorHAnsi" w:hAnsiTheme="minorHAnsi"/>
                        <w:sz w:val="20"/>
                        <w:szCs w:val="22"/>
                      </w:rPr>
                    </w:pPr>
                    <w:r w:rsidRPr="001E3B20">
                      <w:rPr>
                        <w:rFonts w:asciiTheme="minorHAnsi" w:hAnsiTheme="minorHAnsi"/>
                        <w:sz w:val="20"/>
                        <w:szCs w:val="22"/>
                      </w:rPr>
                      <w:t xml:space="preserve">If the customer wants to terminate at a future date which is more than 6 months after they submitted their notice to terminate―use </w:t>
                    </w:r>
                    <w:r>
                      <w:rPr>
                        <w:rFonts w:asciiTheme="minorHAnsi" w:hAnsiTheme="minorHAnsi"/>
                        <w:sz w:val="20"/>
                        <w:szCs w:val="22"/>
                      </w:rPr>
                      <w:t xml:space="preserve">charges specified in the </w:t>
                    </w:r>
                    <w:r w:rsidRPr="001E3B20">
                      <w:rPr>
                        <w:rFonts w:asciiTheme="minorHAnsi" w:hAnsiTheme="minorHAnsi"/>
                        <w:sz w:val="20"/>
                        <w:szCs w:val="22"/>
                      </w:rPr>
                      <w:t>SoC in effect at the time the termination occurs.</w:t>
                    </w:r>
                  </w:p>
                  <w:p w:rsidR="00C06B07" w:rsidRDefault="00C06B07" w:rsidP="00F43856">
                    <w:pPr>
                      <w:pStyle w:val="NormalWeb"/>
                      <w:numPr>
                        <w:ilvl w:val="0"/>
                        <w:numId w:val="104"/>
                      </w:numPr>
                      <w:tabs>
                        <w:tab w:val="left" w:pos="284"/>
                      </w:tabs>
                      <w:spacing w:before="0" w:beforeAutospacing="0" w:after="0" w:afterAutospacing="0" w:line="276" w:lineRule="auto"/>
                      <w:ind w:left="0" w:firstLine="0"/>
                    </w:pPr>
                    <w:r w:rsidRPr="00A43D5C">
                      <w:rPr>
                        <w:rFonts w:asciiTheme="minorHAnsi" w:hAnsiTheme="minorHAnsi"/>
                        <w:sz w:val="20"/>
                        <w:szCs w:val="22"/>
                      </w:rPr>
                      <w:t xml:space="preserve">When an </w:t>
                    </w:r>
                    <w:r w:rsidRPr="00DF30D7">
                      <w:rPr>
                        <w:rFonts w:asciiTheme="minorHAnsi" w:hAnsiTheme="minorHAnsi"/>
                        <w:b/>
                        <w:sz w:val="20"/>
                        <w:szCs w:val="22"/>
                      </w:rPr>
                      <w:t>operator terminates a customer</w:t>
                    </w:r>
                    <w:r w:rsidRPr="00A43D5C">
                      <w:rPr>
                        <w:rFonts w:asciiTheme="minorHAnsi" w:hAnsiTheme="minorHAnsi"/>
                        <w:sz w:val="20"/>
                        <w:szCs w:val="22"/>
                      </w:rPr>
                      <w:t xml:space="preserve"> due to breach of contract―use</w:t>
                    </w:r>
                    <w:r>
                      <w:rPr>
                        <w:rFonts w:asciiTheme="minorHAnsi" w:hAnsiTheme="minorHAnsi"/>
                        <w:sz w:val="20"/>
                        <w:szCs w:val="22"/>
                      </w:rPr>
                      <w:t xml:space="preserve"> charges specified in</w:t>
                    </w:r>
                    <w:r w:rsidRPr="00A43D5C">
                      <w:rPr>
                        <w:rFonts w:asciiTheme="minorHAnsi" w:hAnsiTheme="minorHAnsi"/>
                        <w:sz w:val="20"/>
                        <w:szCs w:val="22"/>
                      </w:rPr>
                      <w:t xml:space="preserve"> the SoC in effect at the time the operator provides notice of the termination to the customer.</w:t>
                    </w:r>
                  </w:p>
                </w:txbxContent>
              </v:textbox>
            </v:shape>
            <v:shape id="Line Callout 3 (Accent Bar) 39" o:spid="_x0000_s1075" type="#_x0000_t46" style="position:absolute;left:6436;top:5982;width:8864;height:3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ZM8AA&#10;AADbAAAADwAAAGRycy9kb3ducmV2LnhtbESPQYvCMBSE7wv+h/AEb2uqQtVqFBEEQViw6v3RPNvS&#10;5qU0sdZ/bxYEj8PMfMOst72pRUetKy0rmIwjEMSZ1SXnCq6Xw+8ChPPIGmvLpOBFDrabwc8aE22f&#10;fKYu9bkIEHYJKii8bxIpXVaQQTe2DXHw7rY16INsc6lbfAa4qeU0imJpsOSwUGBD+4KyKn0YBfHf&#10;/FpVnN9svztFcWnu05Q7pUbDfrcC4an33/CnfdQKZkv4/xJ+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0ZM8AAAADbAAAADwAAAAAAAAAAAAAAAACYAgAAZHJzL2Rvd25y&#10;ZXYueG1sUEsFBgAAAAAEAAQA9QAAAIUDAAAAAA==&#10;" adj="13206,-27012,21897,-26984,21880,-19497,21866,6733" fillcolor="#fde9d9 [665]" strokecolor="#f79646 [3209]" strokeweight="2pt">
              <v:textbox style="mso-next-textbox:#Line Callout 3 (Accent Bar) 39">
                <w:txbxContent>
                  <w:p w:rsidR="00C06B07" w:rsidRDefault="00C06B07" w:rsidP="00FC4A5D">
                    <w:pPr>
                      <w:pStyle w:val="NormalWeb"/>
                      <w:spacing w:before="0" w:beforeAutospacing="0" w:after="120" w:afterAutospacing="0" w:line="276" w:lineRule="auto"/>
                      <w:rPr>
                        <w:rFonts w:asciiTheme="minorHAnsi" w:hAnsiTheme="minorHAnsi"/>
                        <w:sz w:val="22"/>
                        <w:szCs w:val="22"/>
                      </w:rPr>
                    </w:pPr>
                    <w:r>
                      <w:rPr>
                        <w:rFonts w:asciiTheme="minorHAnsi" w:hAnsiTheme="minorHAnsi"/>
                        <w:b/>
                        <w:i/>
                        <w:sz w:val="22"/>
                        <w:szCs w:val="22"/>
                      </w:rPr>
                      <w:t>B</w:t>
                    </w:r>
                    <w:r>
                      <w:rPr>
                        <w:rFonts w:asciiTheme="minorHAnsi" w:hAnsiTheme="minorHAnsi"/>
                        <w:sz w:val="22"/>
                        <w:szCs w:val="22"/>
                      </w:rPr>
                      <w:t xml:space="preserve"> only applies if: </w:t>
                    </w:r>
                  </w:p>
                  <w:p w:rsidR="00C06B07" w:rsidRDefault="00C06B07" w:rsidP="00F43856">
                    <w:pPr>
                      <w:pStyle w:val="NormalWeb"/>
                      <w:numPr>
                        <w:ilvl w:val="0"/>
                        <w:numId w:val="105"/>
                      </w:numPr>
                      <w:spacing w:before="0" w:beforeAutospacing="0" w:after="0" w:afterAutospacing="0" w:line="276" w:lineRule="auto"/>
                      <w:ind w:left="714" w:hanging="357"/>
                      <w:rPr>
                        <w:rFonts w:asciiTheme="minorHAnsi" w:hAnsiTheme="minorHAnsi"/>
                        <w:sz w:val="22"/>
                        <w:szCs w:val="22"/>
                      </w:rPr>
                    </w:pPr>
                    <w:r>
                      <w:rPr>
                        <w:rFonts w:asciiTheme="minorHAnsi" w:hAnsiTheme="minorHAnsi"/>
                        <w:sz w:val="22"/>
                        <w:szCs w:val="22"/>
                      </w:rPr>
                      <w:t xml:space="preserve">the customer is terminating access to infrastructure that they used exclusively (e.g. an outlet or a meter, or a dedicated channel / pipe); </w:t>
                    </w:r>
                    <w:r>
                      <w:rPr>
                        <w:rFonts w:asciiTheme="minorHAnsi" w:hAnsiTheme="minorHAnsi"/>
                        <w:i/>
                        <w:sz w:val="22"/>
                        <w:szCs w:val="22"/>
                      </w:rPr>
                      <w:t>and</w:t>
                    </w:r>
                  </w:p>
                  <w:p w:rsidR="00C06B07" w:rsidRDefault="00C06B07" w:rsidP="00F43856">
                    <w:pPr>
                      <w:pStyle w:val="NormalWeb"/>
                      <w:numPr>
                        <w:ilvl w:val="0"/>
                        <w:numId w:val="105"/>
                      </w:numPr>
                      <w:spacing w:before="0" w:beforeAutospacing="0" w:after="120" w:afterAutospacing="0" w:line="276" w:lineRule="auto"/>
                      <w:rPr>
                        <w:rFonts w:asciiTheme="minorHAnsi" w:hAnsiTheme="minorHAnsi"/>
                        <w:sz w:val="22"/>
                        <w:szCs w:val="22"/>
                      </w:rPr>
                    </w:pPr>
                    <w:r>
                      <w:rPr>
                        <w:rFonts w:asciiTheme="minorHAnsi" w:hAnsiTheme="minorHAnsi"/>
                        <w:sz w:val="22"/>
                        <w:szCs w:val="22"/>
                      </w:rPr>
                      <w:t>the operator levied a separate charge in relation to that infrastructure.</w:t>
                    </w:r>
                  </w:p>
                  <w:p w:rsidR="00C06B07" w:rsidRDefault="00C06B07" w:rsidP="00FC4A5D">
                    <w:pPr>
                      <w:pStyle w:val="NormalWeb"/>
                      <w:spacing w:before="0" w:beforeAutospacing="0" w:after="120" w:afterAutospacing="0" w:line="276" w:lineRule="auto"/>
                      <w:rPr>
                        <w:rFonts w:asciiTheme="minorHAnsi" w:hAnsiTheme="minorHAnsi"/>
                        <w:sz w:val="22"/>
                        <w:szCs w:val="22"/>
                      </w:rPr>
                    </w:pPr>
                    <w:r>
                      <w:rPr>
                        <w:rFonts w:asciiTheme="minorHAnsi" w:hAnsiTheme="minorHAnsi"/>
                        <w:b/>
                        <w:i/>
                        <w:sz w:val="22"/>
                        <w:szCs w:val="22"/>
                      </w:rPr>
                      <w:t>B</w:t>
                    </w:r>
                    <w:r>
                      <w:rPr>
                        <w:rFonts w:asciiTheme="minorHAnsi" w:hAnsiTheme="minorHAnsi"/>
                        <w:sz w:val="22"/>
                        <w:szCs w:val="22"/>
                      </w:rPr>
                      <w:t xml:space="preserve"> is the lesser of: </w:t>
                    </w:r>
                  </w:p>
                  <w:p w:rsidR="00C06B07" w:rsidRDefault="00C06B07" w:rsidP="00F43856">
                    <w:pPr>
                      <w:pStyle w:val="NormalWeb"/>
                      <w:numPr>
                        <w:ilvl w:val="0"/>
                        <w:numId w:val="105"/>
                      </w:numPr>
                      <w:spacing w:before="0" w:beforeAutospacing="0" w:after="0" w:afterAutospacing="0" w:line="276" w:lineRule="auto"/>
                      <w:ind w:left="714" w:hanging="357"/>
                      <w:rPr>
                        <w:rFonts w:asciiTheme="minorHAnsi" w:hAnsiTheme="minorHAnsi"/>
                        <w:sz w:val="22"/>
                        <w:szCs w:val="22"/>
                      </w:rPr>
                    </w:pPr>
                    <w:r>
                      <w:rPr>
                        <w:rFonts w:asciiTheme="minorHAnsi" w:hAnsiTheme="minorHAnsi"/>
                        <w:sz w:val="22"/>
                        <w:szCs w:val="22"/>
                      </w:rPr>
                      <w:t xml:space="preserve">10× the separate charge; </w:t>
                    </w:r>
                    <w:r>
                      <w:rPr>
                        <w:rFonts w:asciiTheme="minorHAnsi" w:hAnsiTheme="minorHAnsi"/>
                        <w:i/>
                        <w:sz w:val="22"/>
                        <w:szCs w:val="22"/>
                      </w:rPr>
                      <w:t>or</w:t>
                    </w:r>
                  </w:p>
                  <w:p w:rsidR="00C06B07" w:rsidRDefault="00C06B07" w:rsidP="00F43856">
                    <w:pPr>
                      <w:pStyle w:val="NormalWeb"/>
                      <w:numPr>
                        <w:ilvl w:val="0"/>
                        <w:numId w:val="105"/>
                      </w:numPr>
                      <w:spacing w:before="0" w:beforeAutospacing="0" w:after="120" w:afterAutospacing="0" w:line="276" w:lineRule="auto"/>
                      <w:rPr>
                        <w:rFonts w:asciiTheme="minorHAnsi" w:hAnsiTheme="minorHAnsi"/>
                        <w:sz w:val="22"/>
                        <w:szCs w:val="22"/>
                      </w:rPr>
                    </w:pPr>
                    <w:r>
                      <w:rPr>
                        <w:rFonts w:asciiTheme="minorHAnsi" w:hAnsiTheme="minorHAnsi"/>
                        <w:sz w:val="22"/>
                        <w:szCs w:val="22"/>
                      </w:rPr>
                      <w:t>a reasonable estimate of the cost of the dedicated infrastructure, net of a reasonable estimate of the customer’s contributions towards that infrastructure.</w:t>
                    </w:r>
                  </w:p>
                  <w:p w:rsidR="00C06B07" w:rsidRDefault="00C06B07" w:rsidP="00FC4A5D">
                    <w:pPr>
                      <w:pStyle w:val="NormalWeb"/>
                      <w:spacing w:before="0" w:beforeAutospacing="0" w:after="200" w:afterAutospacing="0" w:line="276" w:lineRule="auto"/>
                      <w:rPr>
                        <w:rFonts w:asciiTheme="minorHAnsi" w:hAnsiTheme="minorHAnsi"/>
                        <w:sz w:val="22"/>
                        <w:szCs w:val="22"/>
                      </w:rPr>
                    </w:pPr>
                  </w:p>
                  <w:p w:rsidR="00C06B07" w:rsidRPr="001B53C3" w:rsidRDefault="00C06B07" w:rsidP="00FC4A5D">
                    <w:pPr>
                      <w:pStyle w:val="NormalWeb"/>
                      <w:spacing w:before="0" w:beforeAutospacing="0" w:after="200" w:afterAutospacing="0" w:line="276" w:lineRule="auto"/>
                      <w:rPr>
                        <w:rFonts w:asciiTheme="minorHAnsi" w:hAnsiTheme="minorHAnsi"/>
                      </w:rPr>
                    </w:pPr>
                  </w:p>
                </w:txbxContent>
              </v:textbox>
            </v:shape>
            <v:shape id="Line Callout 3 (Accent Bar) 40" o:spid="_x0000_s1076" type="#_x0000_t46" style="position:absolute;left:6424;top:4923;width:8726;height:9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Eor4A&#10;AADbAAAADwAAAGRycy9kb3ducmV2LnhtbERPS4vCMBC+L/gfwgje1nTVlaVrFBEEwZNuFY9DM32w&#10;zaQ0o9Z/bw6Cx4/vvVj1rlE36kLt2cDXOAFFnHtbc2kg+9t+/oAKgmyx8UwGHhRgtRx8LDC1/s4H&#10;uh2lVDGEQ4oGKpE21TrkFTkMY98SR67wnUOJsCu17fAew12jJ0ky1w5rjg0VtrSpKP8/Xp0Bm0tx&#10;athLctgX029PZ51dzsaMhv36F5RQL2/xy72zBmZxffwSf4Be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7BKK+AAAA2wAAAA8AAAAAAAAAAAAAAAAAmAIAAGRycy9kb3ducmV2&#10;LnhtbFBLBQYAAAAABAAEAPUAAACDAwAAAAA=&#10;" adj="16526,-71699,16536,-66039,-13,-66054,-43,4269" fillcolor="#e3ebf5" strokecolor="#4f81bd [3204]" strokeweight="2pt">
              <v:textbox style="mso-next-textbox:#Line Callout 3 (Accent Bar) 40">
                <w:txbxContent>
                  <w:p w:rsidR="00C06B07" w:rsidRPr="008E4A95" w:rsidRDefault="00C06B07" w:rsidP="00FC4A5D">
                    <w:pPr>
                      <w:pStyle w:val="NormalWeb"/>
                      <w:spacing w:before="0" w:beforeAutospacing="0" w:after="0" w:afterAutospacing="0" w:line="276" w:lineRule="auto"/>
                      <w:rPr>
                        <w:rFonts w:asciiTheme="minorHAnsi" w:hAnsiTheme="minorHAnsi"/>
                        <w:sz w:val="28"/>
                      </w:rPr>
                    </w:pPr>
                    <m:oMathPara>
                      <m:oMathParaPr>
                        <m:jc m:val="left"/>
                      </m:oMathParaPr>
                      <m:oMath>
                        <m:r>
                          <m:rPr>
                            <m:nor/>
                          </m:rPr>
                          <w:rPr>
                            <w:rFonts w:asciiTheme="minorHAnsi" w:hAnsiTheme="minorHAnsi"/>
                            <w:sz w:val="22"/>
                          </w:rPr>
                          <m:t>termination fee multiple</m:t>
                        </m:r>
                        <m:r>
                          <m:rPr>
                            <m:nor/>
                          </m:rPr>
                          <w:rPr>
                            <w:rFonts w:ascii="Cambria Math" w:hAnsiTheme="minorHAnsi"/>
                            <w:sz w:val="22"/>
                          </w:rPr>
                          <m:t xml:space="preserve"> </m:t>
                        </m:r>
                        <m:r>
                          <m:rPr>
                            <m:nor/>
                          </m:rPr>
                          <w:rPr>
                            <w:rFonts w:asciiTheme="minorHAnsi" w:hAnsiTheme="minorHAnsi"/>
                            <w:sz w:val="22"/>
                          </w:rPr>
                          <m:t>=</m:t>
                        </m:r>
                        <m:d>
                          <m:dPr>
                            <m:begChr m:val="{"/>
                            <m:endChr m:val=""/>
                            <m:ctrlPr>
                              <w:rPr>
                                <w:rFonts w:ascii="Cambria Math" w:hAnsi="Cambria Math"/>
                                <w:i/>
                                <w:sz w:val="22"/>
                              </w:rPr>
                            </m:ctrlPr>
                          </m:dPr>
                          <m:e>
                            <m:eqArr>
                              <m:eqArrPr>
                                <m:ctrlPr>
                                  <w:rPr>
                                    <w:rFonts w:ascii="Cambria Math" w:hAnsi="Cambria Math"/>
                                    <w:i/>
                                    <w:sz w:val="22"/>
                                  </w:rPr>
                                </m:ctrlPr>
                              </m:eqArrPr>
                              <m:e>
                                <m:r>
                                  <m:rPr>
                                    <m:nor/>
                                  </m:rPr>
                                  <w:rPr>
                                    <w:rFonts w:asciiTheme="minorHAnsi" w:hAnsiTheme="minorHAnsi"/>
                                    <w:sz w:val="22"/>
                                  </w:rPr>
                                  <m:t xml:space="preserve">10×; if operator allows trade of WDR of the kind being terminated; </m:t>
                                </m:r>
                                <m:r>
                                  <m:rPr>
                                    <m:nor/>
                                  </m:rPr>
                                  <w:rPr>
                                    <w:rFonts w:ascii="Cambria Math" w:hAnsiTheme="minorHAnsi"/>
                                    <w:sz w:val="22"/>
                                  </w:rPr>
                                  <m:t xml:space="preserve">  </m:t>
                                </m:r>
                              </m:e>
                              <m:e>
                                <m:r>
                                  <m:rPr>
                                    <m:nor/>
                                  </m:rPr>
                                  <w:rPr>
                                    <w:rFonts w:ascii="Cambria Math" w:hAnsiTheme="minorHAnsi"/>
                                    <w:sz w:val="22"/>
                                  </w:rPr>
                                  <m:t xml:space="preserve"> </m:t>
                                </m:r>
                                <m:r>
                                  <m:rPr>
                                    <m:nor/>
                                  </m:rPr>
                                  <w:rPr>
                                    <w:rFonts w:asciiTheme="minorHAnsi" w:hAnsiTheme="minorHAnsi"/>
                                    <w:sz w:val="22"/>
                                  </w:rPr>
                                  <m:t xml:space="preserve">1×; if operator does not allow for such trade                                  </m:t>
                                </m:r>
                              </m:e>
                            </m:eqArr>
                          </m:e>
                        </m:d>
                      </m:oMath>
                    </m:oMathPara>
                  </w:p>
                </w:txbxContent>
              </v:textbox>
              <o:callout v:ext="edit" minusx="t"/>
            </v:shape>
            <w10:anchorlock/>
          </v:group>
        </w:pict>
      </w:r>
    </w:p>
    <w:p w:rsidR="00FC4A5D" w:rsidRDefault="00FC4A5D" w:rsidP="008A574E">
      <w:pPr>
        <w:rPr>
          <w:rFonts w:cs="Times New Roman"/>
        </w:rPr>
        <w:sectPr w:rsidR="00FC4A5D" w:rsidSect="003D436A">
          <w:pgSz w:w="16839" w:h="11907" w:orient="landscape" w:code="9"/>
          <w:pgMar w:top="1440" w:right="1440" w:bottom="1440" w:left="1440" w:header="709" w:footer="709" w:gutter="0"/>
          <w:cols w:space="708"/>
          <w:titlePg/>
          <w:docGrid w:linePitch="360"/>
        </w:sectPr>
      </w:pPr>
    </w:p>
    <w:p w:rsidR="00B66B6C" w:rsidRDefault="00B66B6C" w:rsidP="00A719F6">
      <w:pPr>
        <w:pStyle w:val="Heading1"/>
        <w:rPr>
          <w:rFonts w:ascii="Times New Roman" w:hAnsi="Times New Roman" w:cs="Times New Roman"/>
        </w:rPr>
      </w:pPr>
      <w:bookmarkStart w:id="1374" w:name="_Toc433370652"/>
      <w:bookmarkStart w:id="1375" w:name="_Toc436122324"/>
      <w:bookmarkStart w:id="1376" w:name="_Toc436122819"/>
      <w:bookmarkStart w:id="1377" w:name="_Toc436124174"/>
      <w:bookmarkStart w:id="1378" w:name="_Toc456785831"/>
      <w:bookmarkStart w:id="1379" w:name="_Toc461630743"/>
      <w:r w:rsidRPr="00D714FC">
        <w:rPr>
          <w:rFonts w:ascii="Times New Roman" w:hAnsi="Times New Roman" w:cs="Times New Roman"/>
        </w:rPr>
        <w:t>Water Charge (Planning and Management Information) Rules 2010</w:t>
      </w:r>
      <w:bookmarkEnd w:id="1374"/>
      <w:bookmarkEnd w:id="1375"/>
      <w:bookmarkEnd w:id="1376"/>
      <w:bookmarkEnd w:id="1377"/>
      <w:bookmarkEnd w:id="1378"/>
      <w:bookmarkEnd w:id="1379"/>
    </w:p>
    <w:p w:rsidR="001604EC" w:rsidRPr="007D0D3D" w:rsidRDefault="001604EC" w:rsidP="00F43856">
      <w:pPr>
        <w:pStyle w:val="Heading2"/>
        <w:spacing w:after="240"/>
      </w:pPr>
      <w:bookmarkStart w:id="1380" w:name="_Toc456785832"/>
      <w:bookmarkStart w:id="1381" w:name="_Toc461630744"/>
      <w:r w:rsidRPr="007D0D3D">
        <w:t>Background</w:t>
      </w:r>
      <w:bookmarkEnd w:id="1380"/>
      <w:bookmarkEnd w:id="1381"/>
    </w:p>
    <w:p w:rsidR="00B66B6C" w:rsidRPr="00D714FC" w:rsidRDefault="00B66B6C" w:rsidP="003B0584">
      <w:pPr>
        <w:rPr>
          <w:rFonts w:cs="Times New Roman"/>
        </w:rPr>
      </w:pPr>
      <w:r w:rsidRPr="00D714FC">
        <w:rPr>
          <w:rFonts w:cs="Times New Roman"/>
        </w:rPr>
        <w:t xml:space="preserve">The </w:t>
      </w:r>
      <w:r w:rsidRPr="00524D9F">
        <w:rPr>
          <w:rFonts w:cs="Times New Roman"/>
        </w:rPr>
        <w:t>Water Charge (Planning and Management Information) Rules 2010</w:t>
      </w:r>
      <w:r w:rsidRPr="00D714FC">
        <w:rPr>
          <w:rFonts w:cs="Times New Roman"/>
        </w:rPr>
        <w:t xml:space="preserve"> (WCPMIR) seek to advance the objective of pricing transparency by requiring persons determining charges for water planning and water management (WPM) activities</w:t>
      </w:r>
      <w:r w:rsidRPr="00D714FC">
        <w:rPr>
          <w:rStyle w:val="FootnoteReference"/>
          <w:rFonts w:cs="Times New Roman"/>
        </w:rPr>
        <w:footnoteReference w:id="757"/>
      </w:r>
      <w:r w:rsidRPr="00D714FC">
        <w:rPr>
          <w:rFonts w:cs="Times New Roman"/>
        </w:rPr>
        <w:t xml:space="preserve"> to publish information about the charges.</w:t>
      </w:r>
      <w:r w:rsidRPr="00D714FC">
        <w:rPr>
          <w:rStyle w:val="FootnoteReference"/>
          <w:rFonts w:cs="Times New Roman"/>
        </w:rPr>
        <w:footnoteReference w:id="758"/>
      </w:r>
    </w:p>
    <w:p w:rsidR="00B66B6C" w:rsidRPr="00D714FC" w:rsidRDefault="00B66B6C" w:rsidP="00B66B6C">
      <w:pPr>
        <w:rPr>
          <w:rFonts w:cs="Times New Roman"/>
        </w:rPr>
      </w:pPr>
      <w:r w:rsidRPr="00D714FC">
        <w:rPr>
          <w:rFonts w:cs="Times New Roman"/>
        </w:rPr>
        <w:t xml:space="preserve">Pricing transparency was one of a number of objectives and principles for water planning and management charges (hereafter, referred to simply as planning and management charges) that States and Territories committed to implementing under the National Water Initiative (NWI). These NWI commitments were incorporated into the Basin </w:t>
      </w:r>
      <w:r w:rsidR="00B14931">
        <w:rPr>
          <w:rFonts w:cs="Times New Roman"/>
        </w:rPr>
        <w:t>W</w:t>
      </w:r>
      <w:r w:rsidRPr="00D714FC">
        <w:rPr>
          <w:rFonts w:cs="Times New Roman"/>
        </w:rPr>
        <w:t xml:space="preserve">ater </w:t>
      </w:r>
      <w:r w:rsidR="00B14931">
        <w:rPr>
          <w:rFonts w:cs="Times New Roman"/>
        </w:rPr>
        <w:t>C</w:t>
      </w:r>
      <w:r w:rsidRPr="00D714FC">
        <w:rPr>
          <w:rFonts w:cs="Times New Roman"/>
        </w:rPr>
        <w:t xml:space="preserve">harging </w:t>
      </w:r>
      <w:r w:rsidR="00B14931">
        <w:rPr>
          <w:rFonts w:cs="Times New Roman"/>
        </w:rPr>
        <w:t>O</w:t>
      </w:r>
      <w:r w:rsidRPr="00D714FC">
        <w:rPr>
          <w:rFonts w:cs="Times New Roman"/>
        </w:rPr>
        <w:t xml:space="preserve">bjectives and </w:t>
      </w:r>
      <w:r w:rsidR="00B14931">
        <w:rPr>
          <w:rFonts w:cs="Times New Roman"/>
        </w:rPr>
        <w:t>P</w:t>
      </w:r>
      <w:r w:rsidRPr="00D714FC">
        <w:rPr>
          <w:rFonts w:cs="Times New Roman"/>
        </w:rPr>
        <w:t xml:space="preserve">rinciples (BWCOP) in Schedule 2 of the </w:t>
      </w:r>
      <w:r w:rsidR="000440F3" w:rsidRPr="000440F3">
        <w:rPr>
          <w:rFonts w:cs="Times New Roman"/>
          <w:i/>
        </w:rPr>
        <w:t xml:space="preserve">Water </w:t>
      </w:r>
      <w:r w:rsidRPr="000440F3">
        <w:rPr>
          <w:rFonts w:cs="Times New Roman"/>
          <w:i/>
        </w:rPr>
        <w:t>Act</w:t>
      </w:r>
      <w:r w:rsidR="000440F3" w:rsidRPr="000440F3">
        <w:rPr>
          <w:rFonts w:cs="Times New Roman"/>
          <w:i/>
        </w:rPr>
        <w:t xml:space="preserve"> 2007</w:t>
      </w:r>
      <w:r w:rsidRPr="00D714FC">
        <w:rPr>
          <w:rFonts w:cs="Times New Roman"/>
        </w:rPr>
        <w:t xml:space="preserve"> (which the water charge rules are required to contribute to achieving). Other BWCOP relevant to cost recovery for planning and management included giving effect to the principles of user pays, identifying and publishing information on the costs of WPM activities and linking charges to the costs of WPM activities or products.</w:t>
      </w:r>
    </w:p>
    <w:p w:rsidR="00B66B6C" w:rsidRPr="00D714FC" w:rsidRDefault="00B66B6C" w:rsidP="00B66B6C">
      <w:pPr>
        <w:rPr>
          <w:rFonts w:cs="Times New Roman"/>
        </w:rPr>
      </w:pPr>
      <w:r w:rsidRPr="00D714FC">
        <w:rPr>
          <w:rFonts w:cs="Times New Roman"/>
        </w:rPr>
        <w:t>Planning and management charges generally represent a small proportion of an irrigators’ total regulated water bill—less than five</w:t>
      </w:r>
      <w:r w:rsidR="0043382C" w:rsidRPr="0043382C">
        <w:rPr>
          <w:rFonts w:cs="Times New Roman"/>
          <w:color w:val="000000"/>
        </w:rPr>
        <w:t xml:space="preserve"> </w:t>
      </w:r>
      <w:r w:rsidR="0043382C">
        <w:rPr>
          <w:rFonts w:cs="Times New Roman"/>
          <w:color w:val="000000"/>
        </w:rPr>
        <w:t>per cent</w:t>
      </w:r>
      <w:r w:rsidR="0043382C" w:rsidRPr="00D714FC">
        <w:rPr>
          <w:rFonts w:cs="Times New Roman"/>
          <w:color w:val="000000"/>
        </w:rPr>
        <w:t xml:space="preserve"> </w:t>
      </w:r>
      <w:r w:rsidRPr="00D714FC">
        <w:rPr>
          <w:rFonts w:cs="Times New Roman"/>
        </w:rPr>
        <w:t>for most irrigators.</w:t>
      </w:r>
      <w:r w:rsidRPr="00D714FC">
        <w:rPr>
          <w:rStyle w:val="FootnoteReference"/>
          <w:rFonts w:cs="Times New Roman"/>
        </w:rPr>
        <w:footnoteReference w:id="759"/>
      </w:r>
      <w:r w:rsidRPr="00D714FC">
        <w:rPr>
          <w:rFonts w:cs="Times New Roman"/>
        </w:rPr>
        <w:t xml:space="preserve"> </w:t>
      </w:r>
    </w:p>
    <w:p w:rsidR="00B66B6C" w:rsidRPr="00D714FC" w:rsidRDefault="00B66B6C" w:rsidP="00616672">
      <w:pPr>
        <w:pStyle w:val="Heading2"/>
      </w:pPr>
      <w:bookmarkStart w:id="1382" w:name="_Toc433370654"/>
      <w:bookmarkStart w:id="1383" w:name="_Ref435180926"/>
      <w:bookmarkStart w:id="1384" w:name="_Ref435180979"/>
      <w:bookmarkStart w:id="1385" w:name="_Ref435440214"/>
      <w:bookmarkStart w:id="1386" w:name="_Toc436122326"/>
      <w:bookmarkStart w:id="1387" w:name="_Toc436122821"/>
      <w:bookmarkStart w:id="1388" w:name="_Toc436124176"/>
      <w:bookmarkStart w:id="1389" w:name="_Toc456785833"/>
      <w:bookmarkStart w:id="1390" w:name="_Toc461630745"/>
      <w:r w:rsidRPr="00D714FC">
        <w:t>The scope of the WCPMIR and the utility of published information</w:t>
      </w:r>
      <w:bookmarkEnd w:id="1382"/>
      <w:bookmarkEnd w:id="1383"/>
      <w:bookmarkEnd w:id="1384"/>
      <w:bookmarkEnd w:id="1385"/>
      <w:bookmarkEnd w:id="1386"/>
      <w:bookmarkEnd w:id="1387"/>
      <w:bookmarkEnd w:id="1388"/>
      <w:bookmarkEnd w:id="1389"/>
      <w:bookmarkEnd w:id="1390"/>
    </w:p>
    <w:p w:rsidR="00FF770C" w:rsidRPr="00DF129E" w:rsidRDefault="00FF770C" w:rsidP="00DF129E">
      <w:pPr>
        <w:pStyle w:val="Heading3Un-numbered"/>
        <w:spacing w:before="0" w:after="0"/>
        <w:rPr>
          <w:rFonts w:ascii="Times New Roman" w:hAnsi="Times New Roman"/>
          <w:color w:val="FFFFFF" w:themeColor="background1"/>
          <w:sz w:val="12"/>
          <w:szCs w:val="12"/>
        </w:rPr>
      </w:pPr>
      <w:r w:rsidRPr="00DF129E">
        <w:rPr>
          <w:rStyle w:val="Hyperlink"/>
          <w:rFonts w:asciiTheme="minorHAnsi" w:hAnsiTheme="minorHAnsi"/>
          <w:color w:val="FFFFFF" w:themeColor="background1"/>
          <w:sz w:val="12"/>
          <w:szCs w:val="12"/>
          <w:u w:val="none"/>
        </w:rPr>
        <w:fldChar w:fldCharType="begin"/>
      </w:r>
      <w:r w:rsidRPr="00DF129E">
        <w:rPr>
          <w:rFonts w:ascii="Times New Roman" w:hAnsi="Times New Roman"/>
          <w:color w:val="FFFFFF" w:themeColor="background1"/>
          <w:sz w:val="12"/>
          <w:szCs w:val="12"/>
        </w:rPr>
        <w:instrText xml:space="preserve"> REF _Ref456942933 \h </w:instrText>
      </w:r>
      <w:r w:rsidRPr="00DF129E">
        <w:rPr>
          <w:rStyle w:val="Hyperlink"/>
          <w:rFonts w:asciiTheme="minorHAnsi" w:hAnsiTheme="minorHAnsi"/>
          <w:color w:val="FFFFFF" w:themeColor="background1"/>
          <w:sz w:val="12"/>
          <w:szCs w:val="12"/>
          <w:u w:val="none"/>
        </w:rPr>
        <w:instrText xml:space="preserve"> \* MERGEFORMAT </w:instrText>
      </w:r>
      <w:r w:rsidRPr="00DF129E">
        <w:rPr>
          <w:rStyle w:val="Hyperlink"/>
          <w:rFonts w:asciiTheme="minorHAnsi" w:hAnsiTheme="minorHAnsi"/>
          <w:color w:val="FFFFFF" w:themeColor="background1"/>
          <w:sz w:val="12"/>
          <w:szCs w:val="12"/>
          <w:u w:val="none"/>
        </w:rPr>
      </w:r>
      <w:r w:rsidRPr="00DF129E">
        <w:rPr>
          <w:rStyle w:val="Hyperlink"/>
          <w:rFonts w:asciiTheme="minorHAnsi" w:hAnsiTheme="minorHAnsi"/>
          <w:color w:val="FFFFFF" w:themeColor="background1"/>
          <w:sz w:val="12"/>
          <w:szCs w:val="12"/>
          <w:u w:val="none"/>
        </w:rPr>
        <w:fldChar w:fldCharType="separate"/>
      </w:r>
      <w:r w:rsidR="00BD218B" w:rsidRPr="00BD218B">
        <w:rPr>
          <w:rStyle w:val="Hyperlink"/>
          <w:rFonts w:asciiTheme="minorHAnsi" w:hAnsiTheme="minorHAnsi"/>
          <w:color w:val="FFFFFF" w:themeColor="background1"/>
          <w:sz w:val="12"/>
          <w:szCs w:val="12"/>
          <w:u w:val="none"/>
        </w:rPr>
        <w:t xml:space="preserve">ACCC </w:t>
      </w:r>
      <w:r w:rsidR="00BD218B" w:rsidRPr="00BD218B">
        <w:rPr>
          <w:color w:val="FFFFFF" w:themeColor="background1"/>
          <w:sz w:val="12"/>
          <w:szCs w:val="12"/>
        </w:rPr>
        <w:t>Recommendations</w:t>
      </w:r>
      <w:r w:rsidRPr="00DF129E">
        <w:rPr>
          <w:rStyle w:val="Hyperlink"/>
          <w:rFonts w:asciiTheme="minorHAnsi" w:hAnsiTheme="minorHAnsi"/>
          <w:color w:val="FFFFFF" w:themeColor="background1"/>
          <w:sz w:val="12"/>
          <w:szCs w:val="12"/>
          <w:u w:val="none"/>
        </w:rPr>
        <w:fldChar w:fldCharType="end"/>
      </w:r>
    </w:p>
    <w:tbl>
      <w:tblPr>
        <w:tblStyle w:val="TableGrid"/>
        <w:tblW w:w="0" w:type="auto"/>
        <w:shd w:val="clear" w:color="auto" w:fill="F2F2F2" w:themeFill="background1" w:themeFillShade="F2"/>
        <w:tblLook w:val="04A0" w:firstRow="1" w:lastRow="0" w:firstColumn="1" w:lastColumn="0" w:noHBand="0" w:noVBand="1"/>
      </w:tblPr>
      <w:tblGrid>
        <w:gridCol w:w="9242"/>
      </w:tblGrid>
      <w:tr w:rsidR="00A8179E" w:rsidTr="005F3355">
        <w:trPr>
          <w:trHeight w:val="1513"/>
        </w:trPr>
        <w:tc>
          <w:tcPr>
            <w:tcW w:w="9242" w:type="dxa"/>
            <w:tcBorders>
              <w:top w:val="nil"/>
              <w:left w:val="nil"/>
              <w:bottom w:val="nil"/>
              <w:right w:val="nil"/>
            </w:tcBorders>
            <w:shd w:val="clear" w:color="auto" w:fill="F2F2F2" w:themeFill="background1" w:themeFillShade="F2"/>
          </w:tcPr>
          <w:p w:rsidR="00A8179E" w:rsidRPr="00D714FC" w:rsidRDefault="00A8179E" w:rsidP="00AF7032">
            <w:pPr>
              <w:pStyle w:val="Recommendationheading"/>
            </w:pPr>
            <w:bookmarkStart w:id="1391" w:name="_Toc456784203"/>
            <w:r w:rsidRPr="00D714FC">
              <w:t xml:space="preserve">Recommendation </w:t>
            </w:r>
            <w:r w:rsidR="007F659D">
              <w:rPr>
                <w:noProof/>
              </w:rPr>
              <w:t>7</w:t>
            </w:r>
            <w:r>
              <w:noBreakHyphen/>
            </w:r>
            <w:r w:rsidR="007F659D">
              <w:rPr>
                <w:noProof/>
              </w:rPr>
              <w:t>A</w:t>
            </w:r>
            <w:bookmarkEnd w:id="1391"/>
          </w:p>
          <w:p w:rsidR="00A8179E" w:rsidRDefault="00A8179E" w:rsidP="00AC6912">
            <w:pPr>
              <w:pStyle w:val="Heading7"/>
              <w:spacing w:after="120"/>
              <w:outlineLvl w:val="6"/>
            </w:pPr>
            <w:bookmarkStart w:id="1392" w:name="_Toc432937679"/>
            <w:bookmarkStart w:id="1393" w:name="_Toc433384454"/>
            <w:bookmarkStart w:id="1394" w:name="_Toc433975448"/>
            <w:bookmarkStart w:id="1395" w:name="_Toc456784204"/>
            <w:bookmarkStart w:id="1396" w:name="Recommendation_7A"/>
            <w:r w:rsidRPr="00D714FC">
              <w:t xml:space="preserve">The ACCC supports the ongoing commitment made by governments to greater cost recovery for </w:t>
            </w:r>
            <w:r w:rsidRPr="00A8179E">
              <w:rPr>
                <w:rStyle w:val="Heading8Char"/>
              </w:rPr>
              <w:t>water</w:t>
            </w:r>
            <w:r w:rsidRPr="00D714FC">
              <w:t xml:space="preserve"> planning and management activities, as part of the National Water Initiative, but recommends that the water charge rules are not an effective policy tool to ensure these commitments are met.</w:t>
            </w:r>
            <w:bookmarkEnd w:id="1392"/>
            <w:bookmarkEnd w:id="1393"/>
            <w:bookmarkEnd w:id="1394"/>
            <w:bookmarkEnd w:id="1395"/>
            <w:bookmarkEnd w:id="1396"/>
          </w:p>
        </w:tc>
      </w:tr>
    </w:tbl>
    <w:p w:rsidR="00D85C19" w:rsidRPr="006246A8" w:rsidRDefault="00D85C19" w:rsidP="00DF129E">
      <w:pPr>
        <w:pStyle w:val="Heading3Un-numbered"/>
      </w:pPr>
      <w:r>
        <w:t>Background</w:t>
      </w:r>
    </w:p>
    <w:p w:rsidR="00B66B6C" w:rsidRPr="007D0D3D" w:rsidRDefault="00B66B6C" w:rsidP="00B66B6C">
      <w:pPr>
        <w:rPr>
          <w:rFonts w:cs="Times New Roman"/>
        </w:rPr>
      </w:pPr>
      <w:r w:rsidRPr="007D0D3D">
        <w:rPr>
          <w:rFonts w:cs="Times New Roman"/>
        </w:rPr>
        <w:t xml:space="preserve">The </w:t>
      </w:r>
      <w:r w:rsidR="008555EC" w:rsidRPr="00524D9F">
        <w:rPr>
          <w:rFonts w:cs="Times New Roman"/>
        </w:rPr>
        <w:t>Water Charge (Planning and Management Information) Rules 2010</w:t>
      </w:r>
      <w:r w:rsidR="008555EC" w:rsidRPr="00D714FC">
        <w:rPr>
          <w:rFonts w:cs="Times New Roman"/>
        </w:rPr>
        <w:t xml:space="preserve"> </w:t>
      </w:r>
      <w:r w:rsidR="008555EC">
        <w:rPr>
          <w:rFonts w:cs="Times New Roman"/>
        </w:rPr>
        <w:t>(</w:t>
      </w:r>
      <w:r w:rsidRPr="007D0D3D">
        <w:rPr>
          <w:rFonts w:cs="Times New Roman"/>
        </w:rPr>
        <w:t>WCPMIR</w:t>
      </w:r>
      <w:r w:rsidR="008555EC">
        <w:rPr>
          <w:rFonts w:cs="Times New Roman"/>
        </w:rPr>
        <w:t>)</w:t>
      </w:r>
      <w:r w:rsidRPr="007D0D3D">
        <w:rPr>
          <w:rFonts w:cs="Times New Roman"/>
        </w:rPr>
        <w:t xml:space="preserve"> aim to improve the consistency, scope and availability of information about planning and management charges across Basin States.</w:t>
      </w:r>
    </w:p>
    <w:p w:rsidR="00B66B6C" w:rsidRPr="007D0D3D" w:rsidRDefault="00B66B6C" w:rsidP="00B66B6C">
      <w:pPr>
        <w:rPr>
          <w:rFonts w:cs="Times New Roman"/>
        </w:rPr>
      </w:pPr>
      <w:r w:rsidRPr="007D0D3D">
        <w:rPr>
          <w:rFonts w:cs="Times New Roman"/>
        </w:rPr>
        <w:t>Different approaches by Basin State governments to cost recover</w:t>
      </w:r>
      <w:r w:rsidR="00D85C19" w:rsidRPr="007D0D3D">
        <w:rPr>
          <w:rFonts w:cs="Times New Roman"/>
        </w:rPr>
        <w:t>y</w:t>
      </w:r>
      <w:r w:rsidRPr="007D0D3D">
        <w:rPr>
          <w:rFonts w:cs="Times New Roman"/>
        </w:rPr>
        <w:t xml:space="preserve"> for </w:t>
      </w:r>
      <w:r w:rsidR="00890B24">
        <w:rPr>
          <w:rFonts w:cs="Times New Roman"/>
        </w:rPr>
        <w:t>water planning and management (</w:t>
      </w:r>
      <w:r w:rsidRPr="007D0D3D">
        <w:rPr>
          <w:rFonts w:cs="Times New Roman"/>
        </w:rPr>
        <w:t>WPM</w:t>
      </w:r>
      <w:r w:rsidR="00890B24">
        <w:rPr>
          <w:rFonts w:cs="Times New Roman"/>
        </w:rPr>
        <w:t>)</w:t>
      </w:r>
      <w:r w:rsidRPr="007D0D3D">
        <w:rPr>
          <w:rFonts w:cs="Times New Roman"/>
        </w:rPr>
        <w:t xml:space="preserve"> activities may, if significant, distort water markets. This can result in inefficient decisions regarding the use of water, water infrastructure and government resources allocated to managing water. This is because water users in some Basin States would not face the full cost of their water-related decisions. The WCPMIR were intended to assist Basin States to adopt more consistent approaches to cost recovery for WPM activities. </w:t>
      </w:r>
    </w:p>
    <w:p w:rsidR="00B66B6C" w:rsidRPr="007D0D3D" w:rsidRDefault="00B66B6C" w:rsidP="00B66B6C">
      <w:pPr>
        <w:rPr>
          <w:rFonts w:cs="Times New Roman"/>
        </w:rPr>
      </w:pPr>
      <w:r w:rsidRPr="007D0D3D">
        <w:rPr>
          <w:rFonts w:cs="Times New Roman"/>
        </w:rPr>
        <w:t xml:space="preserve">At the time the WCPMIR were made, Basin States took different approaches to funding their WPM activities. Sometimes, these activities were funded out of general revenue and at other times by </w:t>
      </w:r>
      <w:r w:rsidR="00D85C19" w:rsidRPr="007D0D3D">
        <w:rPr>
          <w:rFonts w:cs="Times New Roman"/>
        </w:rPr>
        <w:t xml:space="preserve">charges </w:t>
      </w:r>
      <w:r w:rsidRPr="007D0D3D">
        <w:rPr>
          <w:rFonts w:cs="Times New Roman"/>
        </w:rPr>
        <w:t>recover</w:t>
      </w:r>
      <w:r w:rsidR="00D85C19" w:rsidRPr="007D0D3D">
        <w:rPr>
          <w:rFonts w:cs="Times New Roman"/>
        </w:rPr>
        <w:t>ing</w:t>
      </w:r>
      <w:r w:rsidRPr="007D0D3D">
        <w:rPr>
          <w:rFonts w:cs="Times New Roman"/>
        </w:rPr>
        <w:t xml:space="preserve"> costs from water users. Where planning and management charges were applied these took the form of charges ranging from broad-based levies to specific transaction fees. Some charges were subject to formal regulatory price-setting processes but the basis on which other charges were set was often unclear, especially the link between charges and the costs of WPM activities. In other cases, Basin States did not directly charge water users for WPM activities.</w:t>
      </w:r>
    </w:p>
    <w:p w:rsidR="00B66B6C" w:rsidRPr="007D0D3D" w:rsidRDefault="00B66B6C" w:rsidP="00B66B6C">
      <w:pPr>
        <w:rPr>
          <w:rFonts w:cs="Times New Roman"/>
        </w:rPr>
      </w:pPr>
      <w:r w:rsidRPr="007D0D3D">
        <w:rPr>
          <w:rFonts w:cs="Times New Roman"/>
        </w:rPr>
        <w:t>During the policy development stage</w:t>
      </w:r>
      <w:r w:rsidR="00D85C19" w:rsidRPr="007D0D3D">
        <w:rPr>
          <w:rFonts w:cs="Times New Roman"/>
        </w:rPr>
        <w:t xml:space="preserve"> for the WCPMIR</w:t>
      </w:r>
      <w:r w:rsidRPr="007D0D3D">
        <w:rPr>
          <w:rFonts w:cs="Times New Roman"/>
        </w:rPr>
        <w:t xml:space="preserve">, some stakeholders proposed that the Minister make rules to allow the Commonwealth to set the planning and management charges imposed by Basin States. In its advice to the Minister, the ACCC noted there were policy and legal issues </w:t>
      </w:r>
      <w:r w:rsidR="00B71736">
        <w:rPr>
          <w:rFonts w:cs="Times New Roman"/>
        </w:rPr>
        <w:t xml:space="preserve">relating to the </w:t>
      </w:r>
      <w:r w:rsidR="00D77AAB">
        <w:rPr>
          <w:rFonts w:cs="Times New Roman"/>
        </w:rPr>
        <w:t>Australian</w:t>
      </w:r>
      <w:r w:rsidR="00D77AAB" w:rsidRPr="007D0D3D">
        <w:rPr>
          <w:rFonts w:cs="Times New Roman"/>
        </w:rPr>
        <w:t xml:space="preserve"> </w:t>
      </w:r>
      <w:r w:rsidRPr="007D0D3D">
        <w:rPr>
          <w:rFonts w:cs="Times New Roman"/>
        </w:rPr>
        <w:t>Government</w:t>
      </w:r>
      <w:r w:rsidR="00B71736">
        <w:rPr>
          <w:rFonts w:cs="Times New Roman"/>
        </w:rPr>
        <w:t>’s ability</w:t>
      </w:r>
      <w:r w:rsidRPr="007D0D3D">
        <w:rPr>
          <w:rFonts w:cs="Times New Roman"/>
        </w:rPr>
        <w:t xml:space="preserve"> to direct state governments as to costs they should recover from water users through charges. Further, WPM activities were often undertaken by a range of departments and agencies or delegated to government-owned corporations, and the activities could be state-wide, not clearly related or limited to areas within the </w:t>
      </w:r>
      <w:r w:rsidR="008E61D7" w:rsidRPr="007D0D3D">
        <w:rPr>
          <w:rFonts w:cs="Times New Roman"/>
        </w:rPr>
        <w:t>Murray-Darling Basin (MDB)</w:t>
      </w:r>
      <w:r w:rsidRPr="007D0D3D">
        <w:rPr>
          <w:rFonts w:cs="Times New Roman"/>
        </w:rPr>
        <w:t xml:space="preserve">, or relate to urban water supply activities. </w:t>
      </w:r>
    </w:p>
    <w:p w:rsidR="00B66B6C" w:rsidRPr="007D0D3D" w:rsidRDefault="00B66B6C" w:rsidP="00B66B6C">
      <w:pPr>
        <w:rPr>
          <w:rFonts w:cs="Times New Roman"/>
        </w:rPr>
      </w:pPr>
      <w:r w:rsidRPr="007D0D3D">
        <w:rPr>
          <w:rFonts w:cs="Times New Roman"/>
        </w:rPr>
        <w:t>For these reasons, the Minister made the WCPMIR that sought to build the consistency and scope of information available to water users about new and existing planning and management charges imposed by Basin States and the extent to which those charges recovered the costs of WPM activities.</w:t>
      </w:r>
    </w:p>
    <w:p w:rsidR="00C215BE" w:rsidRPr="007D0D3D" w:rsidRDefault="00C215BE" w:rsidP="00DF129E">
      <w:pPr>
        <w:pStyle w:val="Heading4-Un-numberedsubheading-Lvl5"/>
      </w:pPr>
      <w:r w:rsidRPr="007D0D3D">
        <w:t>Basin State compliance with the WCPMIR</w:t>
      </w:r>
    </w:p>
    <w:p w:rsidR="00C215BE" w:rsidRPr="007D0D3D" w:rsidRDefault="00C215BE" w:rsidP="00C215BE">
      <w:pPr>
        <w:rPr>
          <w:rFonts w:cs="Times New Roman"/>
        </w:rPr>
      </w:pPr>
      <w:r w:rsidRPr="007D0D3D">
        <w:rPr>
          <w:rFonts w:cs="Times New Roman"/>
        </w:rPr>
        <w:t>Basin States have generally complied with the requirements to disclose information about planning and management charges. By contrast</w:t>
      </w:r>
      <w:r w:rsidR="005C465F">
        <w:rPr>
          <w:rFonts w:cs="Times New Roman"/>
        </w:rPr>
        <w:t>,</w:t>
      </w:r>
      <w:r w:rsidRPr="007D0D3D">
        <w:rPr>
          <w:rFonts w:cs="Times New Roman"/>
        </w:rPr>
        <w:t xml:space="preserve"> compliance with the requirement to disclose WPM activities and the cost of those activities has been more variable. Where there is non-compliance with the WCPMIR by Basin States, the ACCC has previously adopted an approach of working with Basin States to improve compliance over time. ACCC staff have spent considerable resources assisting Basin States to comply with the rules, although in some cases, this has had limited effect. </w:t>
      </w:r>
    </w:p>
    <w:p w:rsidR="00C215BE" w:rsidRPr="007D0D3D" w:rsidRDefault="00C215BE" w:rsidP="00C215BE">
      <w:pPr>
        <w:rPr>
          <w:rFonts w:cs="Times New Roman"/>
        </w:rPr>
      </w:pPr>
      <w:r w:rsidRPr="007D0D3D">
        <w:rPr>
          <w:rFonts w:cs="Times New Roman"/>
        </w:rPr>
        <w:t>Queensland, in particular, has advised that it does not intend to comply due to the significant resource burden involved in producing the information required by the WCPMIR.</w:t>
      </w:r>
      <w:r w:rsidRPr="007D0D3D">
        <w:rPr>
          <w:rStyle w:val="FootnoteReference"/>
          <w:rFonts w:cs="Times New Roman"/>
        </w:rPr>
        <w:footnoteReference w:id="760"/>
      </w:r>
      <w:r w:rsidRPr="007D0D3D">
        <w:rPr>
          <w:rFonts w:cs="Times New Roman"/>
        </w:rPr>
        <w:t xml:space="preserve"> The ACT has also refused to disclose the activities and costs associated with its key planning and management charge. </w:t>
      </w:r>
    </w:p>
    <w:p w:rsidR="00C215BE" w:rsidRPr="00DF129E" w:rsidRDefault="00C215BE" w:rsidP="00DF129E">
      <w:pPr>
        <w:pStyle w:val="Heading4-Un-numberedsubheading-Lvl5"/>
      </w:pPr>
      <w:r w:rsidRPr="00DF129E">
        <w:t xml:space="preserve">NWI and the BWCOP commitments to disclose </w:t>
      </w:r>
      <w:r w:rsidR="00D85C19" w:rsidRPr="00DF129E">
        <w:t>the cost of planning and management activities</w:t>
      </w:r>
    </w:p>
    <w:p w:rsidR="00C215BE" w:rsidRPr="007D0D3D" w:rsidRDefault="00D85C19" w:rsidP="00C215BE">
      <w:pPr>
        <w:rPr>
          <w:rFonts w:cs="Times New Roman"/>
        </w:rPr>
      </w:pPr>
      <w:r w:rsidRPr="007D0D3D">
        <w:rPr>
          <w:rFonts w:cs="Times New Roman"/>
        </w:rPr>
        <w:t>The ACCC noted in its Draft Advice that a</w:t>
      </w:r>
      <w:r w:rsidR="00C215BE" w:rsidRPr="007D0D3D">
        <w:rPr>
          <w:rFonts w:cs="Times New Roman"/>
        </w:rPr>
        <w:t xml:space="preserve">ll State and Territory Governments, and the </w:t>
      </w:r>
      <w:r w:rsidR="00D77AAB">
        <w:rPr>
          <w:rFonts w:cs="Times New Roman"/>
        </w:rPr>
        <w:t>Australian</w:t>
      </w:r>
      <w:r w:rsidR="00D77AAB" w:rsidRPr="007D0D3D">
        <w:rPr>
          <w:rFonts w:cs="Times New Roman"/>
        </w:rPr>
        <w:t xml:space="preserve"> </w:t>
      </w:r>
      <w:r w:rsidR="00C215BE" w:rsidRPr="007D0D3D">
        <w:rPr>
          <w:rFonts w:cs="Times New Roman"/>
        </w:rPr>
        <w:t>Government, committed to ‘bring into effect consistent approaches to pricing and attributing costs of water planning and management’ through the NWI. They also committed to annual public reporting on cost recovery for WPM activities.</w:t>
      </w:r>
      <w:r w:rsidR="00C215BE" w:rsidRPr="007D0D3D">
        <w:rPr>
          <w:rStyle w:val="FootnoteReference"/>
          <w:rFonts w:cs="Times New Roman"/>
        </w:rPr>
        <w:footnoteReference w:id="761"/>
      </w:r>
      <w:r w:rsidR="00C215BE" w:rsidRPr="007D0D3D">
        <w:rPr>
          <w:rFonts w:cs="Times New Roman"/>
        </w:rPr>
        <w:t xml:space="preserve"> These Governments also followed up the commitments of the NWI by developing a set of pricing principles for the cost recovery of WPM activities in 2010.</w:t>
      </w:r>
    </w:p>
    <w:p w:rsidR="00C215BE" w:rsidRPr="007D0D3D" w:rsidRDefault="00C215BE" w:rsidP="00A60A09">
      <w:pPr>
        <w:spacing w:after="120"/>
        <w:rPr>
          <w:rFonts w:cs="Times New Roman"/>
        </w:rPr>
      </w:pPr>
      <w:r w:rsidRPr="007D0D3D">
        <w:rPr>
          <w:rFonts w:cs="Times New Roman"/>
        </w:rPr>
        <w:t xml:space="preserve">The water charge rules must contribute to the achievement of the BWCOP. The BWCOP are based on the commitments made in the NWI for </w:t>
      </w:r>
      <w:r w:rsidR="00D85C19" w:rsidRPr="007D0D3D">
        <w:rPr>
          <w:rFonts w:cs="Times New Roman"/>
        </w:rPr>
        <w:t xml:space="preserve">planning and management </w:t>
      </w:r>
      <w:r w:rsidRPr="007D0D3D">
        <w:rPr>
          <w:rFonts w:cs="Times New Roman"/>
        </w:rPr>
        <w:t xml:space="preserve">pricing transparency, disclosure and reporting of the cost recovery for </w:t>
      </w:r>
      <w:r w:rsidR="002A58F8">
        <w:rPr>
          <w:rFonts w:cs="Times New Roman"/>
        </w:rPr>
        <w:t>WPM</w:t>
      </w:r>
      <w:r w:rsidRPr="007D0D3D">
        <w:rPr>
          <w:rFonts w:cs="Times New Roman"/>
        </w:rPr>
        <w:t xml:space="preserve"> activities. However, the drafting of the </w:t>
      </w:r>
      <w:r w:rsidR="000440F3" w:rsidRPr="000440F3">
        <w:rPr>
          <w:rFonts w:cs="Times New Roman"/>
          <w:i/>
        </w:rPr>
        <w:t xml:space="preserve">Water </w:t>
      </w:r>
      <w:r w:rsidRPr="000440F3">
        <w:rPr>
          <w:rFonts w:cs="Times New Roman"/>
          <w:i/>
        </w:rPr>
        <w:t>Act</w:t>
      </w:r>
      <w:r w:rsidR="000440F3" w:rsidRPr="000440F3">
        <w:rPr>
          <w:rFonts w:cs="Times New Roman"/>
          <w:i/>
        </w:rPr>
        <w:t xml:space="preserve"> 2007</w:t>
      </w:r>
      <w:r w:rsidR="000440F3">
        <w:rPr>
          <w:rFonts w:cs="Times New Roman"/>
        </w:rPr>
        <w:t xml:space="preserve"> (the Act)</w:t>
      </w:r>
      <w:r w:rsidRPr="007D0D3D">
        <w:rPr>
          <w:rFonts w:cs="Times New Roman"/>
        </w:rPr>
        <w:t xml:space="preserve"> limits the ability of the WCPMIR to achieve the BWCOP:</w:t>
      </w:r>
    </w:p>
    <w:p w:rsidR="00C215BE" w:rsidRPr="007D0D3D" w:rsidRDefault="00C215BE" w:rsidP="00A82DE6">
      <w:pPr>
        <w:pStyle w:val="Lvl1Bulletpoint"/>
      </w:pPr>
      <w:r w:rsidRPr="007D0D3D">
        <w:t xml:space="preserve">the rules can only require the provision of information about </w:t>
      </w:r>
      <w:r w:rsidR="00D85C19" w:rsidRPr="007D0D3D">
        <w:t>planning and management</w:t>
      </w:r>
      <w:r w:rsidRPr="007D0D3D">
        <w:t xml:space="preserve"> charges </w:t>
      </w:r>
      <w:r w:rsidR="00D85C19" w:rsidRPr="007D0D3D">
        <w:t>(</w:t>
      </w:r>
      <w:r w:rsidRPr="007D0D3D">
        <w:t xml:space="preserve">and </w:t>
      </w:r>
      <w:r w:rsidR="00D85C19" w:rsidRPr="007D0D3D">
        <w:t>related</w:t>
      </w:r>
      <w:r w:rsidRPr="007D0D3D">
        <w:t xml:space="preserve"> activities</w:t>
      </w:r>
      <w:r w:rsidR="00D85C19" w:rsidRPr="007D0D3D">
        <w:t>)</w:t>
      </w:r>
      <w:r w:rsidRPr="007D0D3D">
        <w:t xml:space="preserve"> </w:t>
      </w:r>
      <w:r w:rsidR="00D85C19" w:rsidRPr="007D0D3D">
        <w:t>in relation to the MDB, excluding charges in relation to urban water supply activities</w:t>
      </w:r>
      <w:r w:rsidRPr="007D0D3D">
        <w:t xml:space="preserve"> and </w:t>
      </w:r>
    </w:p>
    <w:p w:rsidR="00C215BE" w:rsidRPr="007D0D3D" w:rsidRDefault="00C215BE" w:rsidP="00A82DE6">
      <w:pPr>
        <w:pStyle w:val="Lvl1Bulletpoint"/>
      </w:pPr>
      <w:r w:rsidRPr="007D0D3D">
        <w:t>cannot compel information about the cost of WPM activities for which no charge is levied.</w:t>
      </w:r>
    </w:p>
    <w:p w:rsidR="00C215BE" w:rsidRPr="007D0D3D" w:rsidRDefault="00C215BE" w:rsidP="00E83E5D">
      <w:pPr>
        <w:pStyle w:val="Heading4-Un-numberedsubheading-Lvl5"/>
      </w:pPr>
      <w:r w:rsidRPr="007D0D3D">
        <w:t>The value of planning and management charge and cost disclosure</w:t>
      </w:r>
    </w:p>
    <w:p w:rsidR="00C215BE" w:rsidRPr="007D0D3D" w:rsidRDefault="00D85C19" w:rsidP="00C215BE">
      <w:pPr>
        <w:rPr>
          <w:rFonts w:cs="Times New Roman"/>
        </w:rPr>
      </w:pPr>
      <w:r w:rsidRPr="007D0D3D">
        <w:rPr>
          <w:rFonts w:cs="Times New Roman"/>
        </w:rPr>
        <w:t>The Draft Advice noted that d</w:t>
      </w:r>
      <w:r w:rsidR="00C215BE" w:rsidRPr="007D0D3D">
        <w:rPr>
          <w:rFonts w:cs="Times New Roman"/>
        </w:rPr>
        <w:t xml:space="preserve">isclosure of planning and management </w:t>
      </w:r>
      <w:r w:rsidR="00C215BE" w:rsidRPr="007D0D3D">
        <w:rPr>
          <w:rFonts w:cs="Times New Roman"/>
          <w:i/>
        </w:rPr>
        <w:t>charge</w:t>
      </w:r>
      <w:r w:rsidR="00C215BE" w:rsidRPr="007D0D3D">
        <w:rPr>
          <w:rFonts w:cs="Times New Roman"/>
        </w:rPr>
        <w:t xml:space="preserve"> information is useful to water users, as it informs users of their quantum relative to other water charges. Also, since planning and management charges are usually </w:t>
      </w:r>
      <w:r w:rsidR="00C215BE" w:rsidRPr="007D0D3D">
        <w:rPr>
          <w:rFonts w:cs="Times New Roman"/>
          <w:i/>
        </w:rPr>
        <w:t>unavoidable</w:t>
      </w:r>
      <w:r w:rsidR="00C215BE" w:rsidRPr="007D0D3D">
        <w:rPr>
          <w:rFonts w:cs="Times New Roman"/>
        </w:rPr>
        <w:t xml:space="preserve"> (e.</w:t>
      </w:r>
      <w:r w:rsidRPr="007D0D3D">
        <w:rPr>
          <w:rFonts w:cs="Times New Roman"/>
        </w:rPr>
        <w:t>g.</w:t>
      </w:r>
      <w:r w:rsidR="00C215BE" w:rsidRPr="007D0D3D">
        <w:rPr>
          <w:rFonts w:cs="Times New Roman"/>
        </w:rPr>
        <w:t xml:space="preserve"> in order to gain a license or trade a water allocation you must pay a charge), it is appropriate that there is disclosure. </w:t>
      </w:r>
      <w:r w:rsidRPr="007D0D3D">
        <w:rPr>
          <w:rFonts w:cs="Times New Roman"/>
        </w:rPr>
        <w:t>N</w:t>
      </w:r>
      <w:r w:rsidR="00C215BE" w:rsidRPr="007D0D3D">
        <w:rPr>
          <w:rFonts w:cs="Times New Roman"/>
        </w:rPr>
        <w:t xml:space="preserve">oting that one of the objectives of the water charge rules is to improve pricing transparency, it is appropriate that all regulated water charges imposed on water users, including planning and management charges, be disclosed using a consistent framework across the MDB. </w:t>
      </w:r>
    </w:p>
    <w:p w:rsidR="00C215BE" w:rsidRPr="007D0D3D" w:rsidRDefault="00C215BE" w:rsidP="00C215BE">
      <w:pPr>
        <w:rPr>
          <w:rFonts w:cs="Times New Roman"/>
        </w:rPr>
      </w:pPr>
      <w:r w:rsidRPr="007D0D3D">
        <w:rPr>
          <w:rFonts w:cs="Times New Roman"/>
        </w:rPr>
        <w:t xml:space="preserve">The value regarding disclosure of </w:t>
      </w:r>
      <w:r w:rsidR="00D85C19" w:rsidRPr="007D0D3D">
        <w:rPr>
          <w:rFonts w:cs="Times New Roman"/>
        </w:rPr>
        <w:t>planning and manag</w:t>
      </w:r>
      <w:r w:rsidR="005C465F">
        <w:rPr>
          <w:rFonts w:cs="Times New Roman"/>
        </w:rPr>
        <w:t>e</w:t>
      </w:r>
      <w:r w:rsidR="00D85C19" w:rsidRPr="007D0D3D">
        <w:rPr>
          <w:rFonts w:cs="Times New Roman"/>
        </w:rPr>
        <w:t xml:space="preserve">ment </w:t>
      </w:r>
      <w:r w:rsidRPr="007D0D3D">
        <w:rPr>
          <w:rFonts w:cs="Times New Roman"/>
          <w:i/>
        </w:rPr>
        <w:t>activities</w:t>
      </w:r>
      <w:r w:rsidRPr="007D0D3D">
        <w:rPr>
          <w:rFonts w:cs="Times New Roman"/>
        </w:rPr>
        <w:t xml:space="preserve"> and associated costs appears mixed. </w:t>
      </w:r>
      <w:r w:rsidR="00D85C19" w:rsidRPr="007D0D3D">
        <w:rPr>
          <w:rFonts w:cs="Times New Roman"/>
        </w:rPr>
        <w:t>Such d</w:t>
      </w:r>
      <w:r w:rsidRPr="007D0D3D">
        <w:rPr>
          <w:rFonts w:cs="Times New Roman"/>
        </w:rPr>
        <w:t xml:space="preserve">isclosure allows users to understand what activities a charge pays for, what those activities cost and the degree to which planning and management charges imposed recover the costs incurred. As discussed above, the WCPMIR does not oblige Basin States to disclose information about </w:t>
      </w:r>
      <w:r w:rsidR="002A58F8">
        <w:rPr>
          <w:rFonts w:cs="Times New Roman"/>
        </w:rPr>
        <w:t>WPM</w:t>
      </w:r>
      <w:r w:rsidRPr="007D0D3D">
        <w:rPr>
          <w:rFonts w:cs="Times New Roman"/>
        </w:rPr>
        <w:t xml:space="preserve"> activities for which no charge is levied. </w:t>
      </w:r>
    </w:p>
    <w:p w:rsidR="00C215BE" w:rsidRPr="007D0D3D" w:rsidRDefault="00C215BE" w:rsidP="00A60A09">
      <w:pPr>
        <w:spacing w:after="120"/>
        <w:rPr>
          <w:rFonts w:cs="Times New Roman"/>
        </w:rPr>
      </w:pPr>
      <w:r w:rsidRPr="007D0D3D">
        <w:rPr>
          <w:rFonts w:cs="Times New Roman"/>
        </w:rPr>
        <w:t xml:space="preserve">Basin States have struggled to practically achieve the requirements of the WCPMIR. Planning and management charge disclosure is generally </w:t>
      </w:r>
      <w:r w:rsidRPr="007D0D3D">
        <w:rPr>
          <w:rFonts w:cs="Times New Roman"/>
          <w:i/>
        </w:rPr>
        <w:t>objective</w:t>
      </w:r>
      <w:r w:rsidRPr="007D0D3D">
        <w:rPr>
          <w:rFonts w:cs="Times New Roman"/>
        </w:rPr>
        <w:t xml:space="preserve"> – a specific charge amount is imposed</w:t>
      </w:r>
      <w:r w:rsidR="00FD06FA">
        <w:rPr>
          <w:rFonts w:cs="Times New Roman"/>
        </w:rPr>
        <w:t xml:space="preserve"> and</w:t>
      </w:r>
      <w:r w:rsidRPr="007D0D3D">
        <w:rPr>
          <w:rFonts w:cs="Times New Roman"/>
        </w:rPr>
        <w:t xml:space="preserve"> the charge is imposed on a type of customer in a certain area etc. In collecting and presenting </w:t>
      </w:r>
      <w:r w:rsidR="002A58F8">
        <w:rPr>
          <w:rFonts w:cs="Times New Roman"/>
        </w:rPr>
        <w:t>WPM</w:t>
      </w:r>
      <w:r w:rsidR="00D85C19" w:rsidRPr="007D0D3D">
        <w:rPr>
          <w:rFonts w:cs="Times New Roman"/>
        </w:rPr>
        <w:t xml:space="preserve"> </w:t>
      </w:r>
      <w:r w:rsidR="00D85C19" w:rsidRPr="007D0D3D">
        <w:rPr>
          <w:rFonts w:cs="Times New Roman"/>
          <w:i/>
        </w:rPr>
        <w:t xml:space="preserve">activity </w:t>
      </w:r>
      <w:r w:rsidRPr="007D0D3D">
        <w:rPr>
          <w:rFonts w:cs="Times New Roman"/>
          <w:i/>
        </w:rPr>
        <w:t>cost</w:t>
      </w:r>
      <w:r w:rsidRPr="007D0D3D">
        <w:rPr>
          <w:rFonts w:cs="Times New Roman"/>
        </w:rPr>
        <w:t xml:space="preserve"> information, persons determining a charge have to make assessments on</w:t>
      </w:r>
      <w:r w:rsidR="00FD06FA">
        <w:rPr>
          <w:rFonts w:cs="Times New Roman"/>
        </w:rPr>
        <w:t>:</w:t>
      </w:r>
      <w:r w:rsidRPr="007D0D3D">
        <w:rPr>
          <w:rFonts w:cs="Times New Roman"/>
        </w:rPr>
        <w:t xml:space="preserve"> </w:t>
      </w:r>
    </w:p>
    <w:p w:rsidR="00C215BE" w:rsidRPr="007D0D3D" w:rsidRDefault="00C215BE" w:rsidP="00A82DE6">
      <w:pPr>
        <w:pStyle w:val="Lvl1Bulletpoint"/>
      </w:pPr>
      <w:r w:rsidRPr="007D0D3D">
        <w:t xml:space="preserve">the degree to which </w:t>
      </w:r>
      <w:r w:rsidR="00D85C19" w:rsidRPr="007D0D3D">
        <w:t xml:space="preserve">the </w:t>
      </w:r>
      <w:r w:rsidRPr="007D0D3D">
        <w:t xml:space="preserve">costs identified relate to </w:t>
      </w:r>
      <w:r w:rsidR="002A58F8">
        <w:t>WPM</w:t>
      </w:r>
      <w:r w:rsidR="00D85C19" w:rsidRPr="007D0D3D">
        <w:t xml:space="preserve"> </w:t>
      </w:r>
      <w:r w:rsidRPr="007D0D3D">
        <w:t xml:space="preserve">activities </w:t>
      </w:r>
      <w:r w:rsidRPr="007D0D3D">
        <w:rPr>
          <w:i/>
        </w:rPr>
        <w:t>carried out in the MDB</w:t>
      </w:r>
      <w:r w:rsidRPr="007D0D3D">
        <w:t xml:space="preserve"> and</w:t>
      </w:r>
    </w:p>
    <w:p w:rsidR="00C215BE" w:rsidRPr="007D0D3D" w:rsidRDefault="00C215BE" w:rsidP="00A82DE6">
      <w:pPr>
        <w:pStyle w:val="Lvl1Bulletpoint"/>
      </w:pPr>
      <w:r w:rsidRPr="007D0D3D">
        <w:t xml:space="preserve">the degree to which </w:t>
      </w:r>
      <w:r w:rsidR="00D85C19" w:rsidRPr="007D0D3D">
        <w:t xml:space="preserve">the </w:t>
      </w:r>
      <w:r w:rsidR="002A58F8">
        <w:t>WPM</w:t>
      </w:r>
      <w:r w:rsidR="00D85C19" w:rsidRPr="007D0D3D">
        <w:t xml:space="preserve"> </w:t>
      </w:r>
      <w:r w:rsidRPr="007D0D3D">
        <w:t xml:space="preserve">costs </w:t>
      </w:r>
      <w:r w:rsidRPr="007D0D3D">
        <w:rPr>
          <w:i/>
        </w:rPr>
        <w:t>can be separated from other</w:t>
      </w:r>
      <w:r w:rsidRPr="007D0D3D">
        <w:t xml:space="preserve"> </w:t>
      </w:r>
      <w:r w:rsidRPr="007D0D3D">
        <w:rPr>
          <w:i/>
        </w:rPr>
        <w:t>costs</w:t>
      </w:r>
      <w:r w:rsidRPr="007D0D3D">
        <w:t xml:space="preserve">. </w:t>
      </w:r>
    </w:p>
    <w:p w:rsidR="00C215BE" w:rsidRPr="007D0D3D" w:rsidRDefault="00C215BE" w:rsidP="00C215BE">
      <w:pPr>
        <w:rPr>
          <w:rFonts w:cs="Times New Roman"/>
        </w:rPr>
      </w:pPr>
      <w:r w:rsidRPr="007D0D3D">
        <w:rPr>
          <w:rFonts w:cs="Times New Roman"/>
        </w:rPr>
        <w:t>The majority of compliance issues related to the WCPMIR involve the presentation of cost information.</w:t>
      </w:r>
    </w:p>
    <w:p w:rsidR="00C215BE" w:rsidRPr="007D0D3D" w:rsidRDefault="00C215BE" w:rsidP="00C215BE">
      <w:pPr>
        <w:rPr>
          <w:rFonts w:cs="Times New Roman"/>
        </w:rPr>
      </w:pPr>
      <w:r w:rsidRPr="007D0D3D">
        <w:rPr>
          <w:rFonts w:cs="Times New Roman"/>
        </w:rPr>
        <w:t>The ACCC has previously noted the significant inconsistency in the approach to planning and management charges is unlikely to be sufficiently material to significantly distort water markets.</w:t>
      </w:r>
      <w:r w:rsidRPr="007D0D3D">
        <w:rPr>
          <w:rStyle w:val="FootnoteReference"/>
          <w:rFonts w:cs="Times New Roman"/>
        </w:rPr>
        <w:footnoteReference w:id="762"/>
      </w:r>
      <w:r w:rsidRPr="007D0D3D">
        <w:rPr>
          <w:rFonts w:cs="Times New Roman"/>
        </w:rPr>
        <w:t xml:space="preserve"> </w:t>
      </w:r>
      <w:r w:rsidR="00D85C19" w:rsidRPr="007D0D3D">
        <w:rPr>
          <w:rFonts w:cs="Times New Roman"/>
        </w:rPr>
        <w:t>However, the ACCC also notes that t</w:t>
      </w:r>
      <w:r w:rsidRPr="007D0D3D">
        <w:rPr>
          <w:rFonts w:cs="Times New Roman"/>
        </w:rPr>
        <w:t>his view is based on limited research, disclosed in the 2010-11 and 2013-14 water monitoring reports that show planning and management charges are small relative to charges</w:t>
      </w:r>
      <w:r w:rsidR="00FD06FA">
        <w:rPr>
          <w:rFonts w:cs="Times New Roman"/>
        </w:rPr>
        <w:t xml:space="preserve"> imposed by infrastructure operators</w:t>
      </w:r>
      <w:r w:rsidRPr="007D0D3D">
        <w:rPr>
          <w:rFonts w:cs="Times New Roman"/>
        </w:rPr>
        <w:t>.</w:t>
      </w:r>
      <w:r w:rsidRPr="007D0D3D">
        <w:rPr>
          <w:rStyle w:val="FootnoteReference"/>
          <w:rFonts w:cs="Times New Roman"/>
        </w:rPr>
        <w:footnoteReference w:id="763"/>
      </w:r>
      <w:r w:rsidRPr="007D0D3D">
        <w:rPr>
          <w:rFonts w:cs="Times New Roman"/>
        </w:rPr>
        <w:t xml:space="preserve"> </w:t>
      </w:r>
    </w:p>
    <w:p w:rsidR="00C215BE" w:rsidRPr="007D0D3D" w:rsidRDefault="00D85C19" w:rsidP="00E83E5D">
      <w:pPr>
        <w:pStyle w:val="Heading4-Un-numberedsubheading-Lvl5"/>
      </w:pPr>
      <w:r w:rsidRPr="007D0D3D">
        <w:t>Summary of Draft Advice</w:t>
      </w:r>
    </w:p>
    <w:p w:rsidR="00C215BE" w:rsidRPr="007D0D3D" w:rsidRDefault="00C215BE" w:rsidP="00C215BE">
      <w:pPr>
        <w:rPr>
          <w:rFonts w:cs="Times New Roman"/>
        </w:rPr>
      </w:pPr>
      <w:r w:rsidRPr="007D0D3D">
        <w:rPr>
          <w:rFonts w:cs="Times New Roman"/>
        </w:rPr>
        <w:t>The ACCC</w:t>
      </w:r>
      <w:r w:rsidR="00D85C19" w:rsidRPr="007D0D3D">
        <w:rPr>
          <w:rFonts w:cs="Times New Roman"/>
        </w:rPr>
        <w:t xml:space="preserve">’s Draft Advice </w:t>
      </w:r>
      <w:r w:rsidR="005C465F">
        <w:rPr>
          <w:rFonts w:cs="Times New Roman"/>
        </w:rPr>
        <w:t>considered</w:t>
      </w:r>
      <w:r w:rsidR="005C465F" w:rsidRPr="007D0D3D">
        <w:rPr>
          <w:rFonts w:cs="Times New Roman"/>
        </w:rPr>
        <w:t xml:space="preserve"> </w:t>
      </w:r>
      <w:r w:rsidRPr="007D0D3D">
        <w:rPr>
          <w:rFonts w:cs="Times New Roman"/>
        </w:rPr>
        <w:t xml:space="preserve">that there </w:t>
      </w:r>
      <w:r w:rsidR="00D85C19" w:rsidRPr="007D0D3D">
        <w:rPr>
          <w:rFonts w:cs="Times New Roman"/>
        </w:rPr>
        <w:t>wa</w:t>
      </w:r>
      <w:r w:rsidRPr="007D0D3D">
        <w:rPr>
          <w:rFonts w:cs="Times New Roman"/>
        </w:rPr>
        <w:t xml:space="preserve">s value in continuing to require persons who determine planning and management charges to publish information on these charges. While seeing value in the disclosure of </w:t>
      </w:r>
      <w:r w:rsidR="002A58F8">
        <w:rPr>
          <w:rFonts w:cs="Times New Roman"/>
        </w:rPr>
        <w:t>WPM</w:t>
      </w:r>
      <w:r w:rsidRPr="007D0D3D">
        <w:rPr>
          <w:rFonts w:cs="Times New Roman"/>
        </w:rPr>
        <w:t xml:space="preserve"> activities and costs, the ACCC note</w:t>
      </w:r>
      <w:r w:rsidR="00D85C19" w:rsidRPr="007D0D3D">
        <w:rPr>
          <w:rFonts w:cs="Times New Roman"/>
        </w:rPr>
        <w:t>d</w:t>
      </w:r>
      <w:r w:rsidRPr="007D0D3D">
        <w:rPr>
          <w:rFonts w:cs="Times New Roman"/>
        </w:rPr>
        <w:t xml:space="preserve"> that the limit</w:t>
      </w:r>
      <w:r w:rsidR="00D85C19" w:rsidRPr="007D0D3D">
        <w:rPr>
          <w:rFonts w:cs="Times New Roman"/>
        </w:rPr>
        <w:t xml:space="preserve">ed coverage </w:t>
      </w:r>
      <w:r w:rsidRPr="007D0D3D">
        <w:rPr>
          <w:rFonts w:cs="Times New Roman"/>
        </w:rPr>
        <w:t>of the Act make</w:t>
      </w:r>
      <w:r w:rsidR="00B71736">
        <w:rPr>
          <w:rFonts w:cs="Times New Roman"/>
        </w:rPr>
        <w:t>s</w:t>
      </w:r>
      <w:r w:rsidRPr="007D0D3D">
        <w:rPr>
          <w:rFonts w:cs="Times New Roman"/>
        </w:rPr>
        <w:t xml:space="preserve"> it difficult for Basin States to meet the requirements for disclosure of </w:t>
      </w:r>
      <w:r w:rsidR="002A58F8">
        <w:rPr>
          <w:rFonts w:cs="Times New Roman"/>
        </w:rPr>
        <w:t>WPM</w:t>
      </w:r>
      <w:r w:rsidR="00D85C19" w:rsidRPr="007D0D3D">
        <w:rPr>
          <w:rFonts w:cs="Times New Roman"/>
        </w:rPr>
        <w:t xml:space="preserve"> </w:t>
      </w:r>
      <w:r w:rsidRPr="007D0D3D">
        <w:rPr>
          <w:rFonts w:cs="Times New Roman"/>
        </w:rPr>
        <w:t xml:space="preserve">cost recovery through the WCPMIR alone. Noting the existing NWI framework for identifying and presenting information on cost recovery of </w:t>
      </w:r>
      <w:r w:rsidR="002A58F8">
        <w:rPr>
          <w:rFonts w:cs="Times New Roman"/>
        </w:rPr>
        <w:t>WPM</w:t>
      </w:r>
      <w:r w:rsidR="00D85C19" w:rsidRPr="007D0D3D">
        <w:rPr>
          <w:rFonts w:cs="Times New Roman"/>
        </w:rPr>
        <w:t xml:space="preserve"> </w:t>
      </w:r>
      <w:r w:rsidRPr="007D0D3D">
        <w:rPr>
          <w:rFonts w:cs="Times New Roman"/>
        </w:rPr>
        <w:t>activities, the ACCC propose</w:t>
      </w:r>
      <w:r w:rsidR="00D85C19" w:rsidRPr="007D0D3D">
        <w:rPr>
          <w:rFonts w:cs="Times New Roman"/>
        </w:rPr>
        <w:t>d</w:t>
      </w:r>
      <w:r w:rsidRPr="007D0D3D">
        <w:rPr>
          <w:rFonts w:cs="Times New Roman"/>
        </w:rPr>
        <w:t xml:space="preserve"> that this might be a more effective means to achieve the BWCOP on this issue</w:t>
      </w:r>
      <w:r w:rsidR="00D85C19" w:rsidRPr="007D0D3D">
        <w:rPr>
          <w:rFonts w:cs="Times New Roman"/>
        </w:rPr>
        <w:t xml:space="preserve"> (</w:t>
      </w:r>
      <w:r w:rsidRPr="007D0D3D">
        <w:rPr>
          <w:rFonts w:cs="Times New Roman"/>
        </w:rPr>
        <w:t>recommendation 7-A</w:t>
      </w:r>
      <w:r w:rsidR="00D85C19" w:rsidRPr="007D0D3D">
        <w:rPr>
          <w:rFonts w:cs="Times New Roman"/>
        </w:rPr>
        <w:t>).</w:t>
      </w:r>
    </w:p>
    <w:p w:rsidR="00B66B6C" w:rsidRPr="007D0D3D" w:rsidRDefault="00B66B6C" w:rsidP="00DF129E">
      <w:pPr>
        <w:pStyle w:val="Heading3Un-numbered"/>
      </w:pPr>
      <w:r w:rsidRPr="007D0D3D">
        <w:t>Stakeholder feedback</w:t>
      </w:r>
    </w:p>
    <w:p w:rsidR="00D85C19" w:rsidRPr="005B6286" w:rsidRDefault="00B66B6C" w:rsidP="00A86C13">
      <w:pPr>
        <w:rPr>
          <w:rFonts w:cs="Times New Roman"/>
          <w:bCs/>
          <w:iCs/>
          <w:color w:val="000000"/>
        </w:rPr>
      </w:pPr>
      <w:r w:rsidRPr="007D0D3D">
        <w:rPr>
          <w:rFonts w:cs="Times New Roman"/>
        </w:rPr>
        <w:t>A number of submissions</w:t>
      </w:r>
      <w:r w:rsidR="005B6286" w:rsidRPr="007D0D3D">
        <w:rPr>
          <w:rFonts w:cs="Times New Roman"/>
        </w:rPr>
        <w:t xml:space="preserve"> to the Issues Paper</w:t>
      </w:r>
      <w:r w:rsidR="00A86C13" w:rsidRPr="007D0D3D">
        <w:rPr>
          <w:rStyle w:val="FootnoteReference"/>
          <w:rFonts w:cs="Times New Roman"/>
        </w:rPr>
        <w:footnoteReference w:id="764"/>
      </w:r>
      <w:r w:rsidRPr="007D0D3D">
        <w:rPr>
          <w:rFonts w:cs="Times New Roman"/>
        </w:rPr>
        <w:t xml:space="preserve"> supported the </w:t>
      </w:r>
      <w:r w:rsidR="00C349AD" w:rsidRPr="007D0D3D">
        <w:rPr>
          <w:rFonts w:cs="Times New Roman"/>
        </w:rPr>
        <w:t xml:space="preserve">intent of the WCPMIR and the transparency requirement </w:t>
      </w:r>
      <w:r w:rsidRPr="007D0D3D">
        <w:rPr>
          <w:rFonts w:cs="Times New Roman"/>
        </w:rPr>
        <w:t>for Basin States to disclose information about their planning and</w:t>
      </w:r>
      <w:r w:rsidRPr="005B6286">
        <w:rPr>
          <w:rFonts w:cs="Times New Roman"/>
        </w:rPr>
        <w:t xml:space="preserve"> management charges.</w:t>
      </w:r>
      <w:r w:rsidR="00C349AD" w:rsidRPr="005B6286">
        <w:rPr>
          <w:rStyle w:val="FootnoteReference"/>
          <w:rFonts w:cs="Times New Roman"/>
          <w:bCs/>
          <w:iCs/>
          <w:color w:val="000000"/>
        </w:rPr>
        <w:footnoteReference w:id="765"/>
      </w:r>
      <w:r w:rsidRPr="005B6286">
        <w:rPr>
          <w:rFonts w:cs="Times New Roman"/>
        </w:rPr>
        <w:t xml:space="preserve"> </w:t>
      </w:r>
      <w:r w:rsidR="005B6286" w:rsidRPr="005B6286">
        <w:rPr>
          <w:rFonts w:cs="Times New Roman"/>
          <w:bCs/>
          <w:iCs/>
          <w:color w:val="000000"/>
        </w:rPr>
        <w:t>However, some</w:t>
      </w:r>
      <w:r w:rsidR="00C349AD" w:rsidRPr="005B6286">
        <w:rPr>
          <w:rFonts w:cs="Times New Roman"/>
          <w:bCs/>
          <w:iCs/>
          <w:color w:val="000000"/>
        </w:rPr>
        <w:t xml:space="preserve"> stakeholders questioned</w:t>
      </w:r>
      <w:r w:rsidR="0001188E" w:rsidRPr="005B6286">
        <w:rPr>
          <w:rFonts w:cs="Times New Roman"/>
          <w:bCs/>
          <w:iCs/>
          <w:color w:val="000000"/>
        </w:rPr>
        <w:t xml:space="preserve"> both</w:t>
      </w:r>
      <w:r w:rsidR="00C349AD" w:rsidRPr="005B6286">
        <w:rPr>
          <w:rFonts w:cs="Times New Roman"/>
          <w:bCs/>
          <w:iCs/>
          <w:color w:val="000000"/>
        </w:rPr>
        <w:t xml:space="preserve"> the </w:t>
      </w:r>
      <w:r w:rsidR="00593243" w:rsidRPr="005B6286">
        <w:rPr>
          <w:rFonts w:cs="Times New Roman"/>
          <w:bCs/>
          <w:iCs/>
          <w:color w:val="000000"/>
        </w:rPr>
        <w:t>benefits of</w:t>
      </w:r>
      <w:r w:rsidR="00C349AD" w:rsidRPr="005B6286">
        <w:rPr>
          <w:rFonts w:cs="Times New Roman"/>
          <w:bCs/>
          <w:iCs/>
          <w:color w:val="000000"/>
        </w:rPr>
        <w:t xml:space="preserve"> publish</w:t>
      </w:r>
      <w:r w:rsidR="00593243" w:rsidRPr="005B6286">
        <w:rPr>
          <w:rFonts w:cs="Times New Roman"/>
          <w:bCs/>
          <w:iCs/>
          <w:color w:val="000000"/>
        </w:rPr>
        <w:t>ing</w:t>
      </w:r>
      <w:r w:rsidR="00C349AD" w:rsidRPr="005B6286">
        <w:rPr>
          <w:rFonts w:cs="Times New Roman"/>
          <w:bCs/>
          <w:iCs/>
          <w:color w:val="000000"/>
        </w:rPr>
        <w:t xml:space="preserve"> information about </w:t>
      </w:r>
      <w:r w:rsidR="002A58F8">
        <w:rPr>
          <w:rFonts w:cs="Times New Roman"/>
          <w:bCs/>
          <w:iCs/>
          <w:color w:val="000000"/>
        </w:rPr>
        <w:t>WPM</w:t>
      </w:r>
      <w:r w:rsidR="00C349AD" w:rsidRPr="005B6286">
        <w:rPr>
          <w:rFonts w:cs="Times New Roman"/>
          <w:bCs/>
          <w:iCs/>
          <w:color w:val="000000"/>
        </w:rPr>
        <w:t xml:space="preserve"> costs, particularly when charges do not reflect full-cost recovery</w:t>
      </w:r>
      <w:r w:rsidR="00593243" w:rsidRPr="005B6286">
        <w:rPr>
          <w:rFonts w:cs="Times New Roman"/>
          <w:bCs/>
          <w:iCs/>
          <w:color w:val="000000"/>
        </w:rPr>
        <w:t xml:space="preserve">, and the extent to which the information publication requirements contribute to the </w:t>
      </w:r>
      <w:r w:rsidR="00B14931">
        <w:rPr>
          <w:rFonts w:cs="Times New Roman"/>
          <w:bCs/>
          <w:iCs/>
          <w:color w:val="000000"/>
        </w:rPr>
        <w:t>BWCOP</w:t>
      </w:r>
      <w:r w:rsidR="00593243" w:rsidRPr="005B6286">
        <w:rPr>
          <w:rFonts w:cs="Times New Roman"/>
          <w:bCs/>
          <w:iCs/>
          <w:color w:val="000000"/>
        </w:rPr>
        <w:t>.</w:t>
      </w:r>
      <w:r w:rsidR="00C349AD" w:rsidRPr="005B6286">
        <w:rPr>
          <w:rStyle w:val="FootnoteReference"/>
          <w:rFonts w:cs="Times New Roman"/>
          <w:bCs/>
          <w:iCs/>
          <w:color w:val="000000"/>
        </w:rPr>
        <w:footnoteReference w:id="766"/>
      </w:r>
      <w:r w:rsidR="00C349AD" w:rsidRPr="005B6286">
        <w:rPr>
          <w:rFonts w:cs="Times New Roman"/>
          <w:bCs/>
          <w:iCs/>
          <w:color w:val="000000"/>
        </w:rPr>
        <w:t xml:space="preserve"> </w:t>
      </w:r>
    </w:p>
    <w:p w:rsidR="00A86C13" w:rsidRDefault="00A27908" w:rsidP="00A86C13">
      <w:pPr>
        <w:rPr>
          <w:rFonts w:cs="Times New Roman"/>
        </w:rPr>
      </w:pPr>
      <w:r w:rsidRPr="005B6286">
        <w:rPr>
          <w:rFonts w:cs="Times New Roman"/>
          <w:bCs/>
          <w:iCs/>
          <w:color w:val="000000"/>
        </w:rPr>
        <w:t>Submissions to the Issues Paper provided mixed feedback in relation</w:t>
      </w:r>
      <w:r w:rsidR="0001188E" w:rsidRPr="005B6286">
        <w:rPr>
          <w:rFonts w:cs="Times New Roman"/>
          <w:bCs/>
          <w:iCs/>
          <w:color w:val="000000"/>
        </w:rPr>
        <w:t xml:space="preserve"> to</w:t>
      </w:r>
      <w:r w:rsidRPr="005B6286">
        <w:rPr>
          <w:rFonts w:cs="Times New Roman"/>
          <w:bCs/>
          <w:iCs/>
          <w:color w:val="000000"/>
        </w:rPr>
        <w:t xml:space="preserve"> the usefulness of planning and management charge information</w:t>
      </w:r>
      <w:r w:rsidR="0001188E" w:rsidRPr="005B6286">
        <w:rPr>
          <w:rFonts w:cs="Times New Roman"/>
          <w:bCs/>
          <w:iCs/>
          <w:color w:val="000000"/>
        </w:rPr>
        <w:t>,</w:t>
      </w:r>
      <w:r w:rsidR="0001188E" w:rsidRPr="005B6286">
        <w:rPr>
          <w:rStyle w:val="FootnoteReference"/>
          <w:rFonts w:cs="Times New Roman"/>
          <w:color w:val="000000"/>
        </w:rPr>
        <w:footnoteReference w:id="767"/>
      </w:r>
      <w:r w:rsidR="00D85C19">
        <w:rPr>
          <w:rFonts w:cs="Times New Roman"/>
          <w:bCs/>
          <w:iCs/>
          <w:color w:val="000000"/>
        </w:rPr>
        <w:t xml:space="preserve"> and </w:t>
      </w:r>
      <w:r w:rsidR="00EA5395" w:rsidRPr="005B6286">
        <w:rPr>
          <w:rFonts w:cs="Times New Roman"/>
        </w:rPr>
        <w:t xml:space="preserve">the compliance costs associated with </w:t>
      </w:r>
      <w:r w:rsidR="00B66B6C" w:rsidRPr="005B6286">
        <w:rPr>
          <w:rFonts w:cs="Times New Roman"/>
        </w:rPr>
        <w:t>the current WCPMIR, and associated monitoring requests</w:t>
      </w:r>
      <w:r w:rsidR="00EA5395" w:rsidRPr="005B6286">
        <w:rPr>
          <w:rFonts w:cs="Times New Roman"/>
        </w:rPr>
        <w:t>.</w:t>
      </w:r>
      <w:r w:rsidR="00FC22E5" w:rsidRPr="005B6286">
        <w:rPr>
          <w:rStyle w:val="FootnoteReference"/>
          <w:rFonts w:cs="Times New Roman"/>
        </w:rPr>
        <w:footnoteReference w:id="768"/>
      </w:r>
      <w:r w:rsidR="00C6733C">
        <w:rPr>
          <w:rFonts w:cs="Times New Roman"/>
        </w:rPr>
        <w:t xml:space="preserve"> </w:t>
      </w:r>
    </w:p>
    <w:p w:rsidR="00A86C13" w:rsidRDefault="00A86C13" w:rsidP="00A86C13">
      <w:r>
        <w:t>In response to the Draft Advice, Goulburn-Murray Water</w:t>
      </w:r>
      <w:r w:rsidR="00CD0E51">
        <w:t xml:space="preserve"> (GMW)</w:t>
      </w:r>
      <w:r>
        <w:t xml:space="preserve"> submitted </w:t>
      </w:r>
      <w:r w:rsidR="00B71736">
        <w:t xml:space="preserve">that </w:t>
      </w:r>
      <w:r>
        <w:t>generally it supports the ACCC’s proposed amendments in relation to the WCPMIR and the “intention to improve price transparency”.</w:t>
      </w:r>
      <w:r w:rsidRPr="00597AD0">
        <w:rPr>
          <w:rStyle w:val="FootnoteReference"/>
          <w:rFonts w:cs="Times New Roman"/>
          <w:sz w:val="20"/>
          <w:szCs w:val="20"/>
        </w:rPr>
        <w:footnoteReference w:id="769"/>
      </w:r>
    </w:p>
    <w:p w:rsidR="0088194B" w:rsidRDefault="0088194B" w:rsidP="0088194B">
      <w:r>
        <w:t xml:space="preserve">The Queensland Department of Natural Resources and Mines (DNRM) supported the ACCC’s proposed amendments to repeal the reporting requirements to disclose the costs related to </w:t>
      </w:r>
      <w:r w:rsidR="002A58F8">
        <w:t xml:space="preserve">WPM </w:t>
      </w:r>
      <w:r>
        <w:t>activities</w:t>
      </w:r>
      <w:r w:rsidR="002A58F8">
        <w:t xml:space="preserve"> for which a planning and management charge is levied</w:t>
      </w:r>
      <w:r>
        <w:t>. DNRM submitted that although it was supportive of the National Water Initiative</w:t>
      </w:r>
      <w:r w:rsidR="00A74192">
        <w:t xml:space="preserve"> (NWI)</w:t>
      </w:r>
      <w:r>
        <w:t xml:space="preserve"> pricing principles, it is DNRM's view that the current cost information publication requirements under the rules do not assist in promoting the economically efficient and sustainable use of water resources.”</w:t>
      </w:r>
      <w:r>
        <w:rPr>
          <w:rStyle w:val="FootnoteReference"/>
        </w:rPr>
        <w:footnoteReference w:id="770"/>
      </w:r>
    </w:p>
    <w:p w:rsidR="00A86C13" w:rsidRDefault="00A86C13" w:rsidP="00A86C13">
      <w:r>
        <w:t xml:space="preserve">The Commonwealth Environmental Water Holder (CEWH) commented that there is a need to recognise the efficiency gains in </w:t>
      </w:r>
      <w:r w:rsidR="007B7FC3">
        <w:t>WPM</w:t>
      </w:r>
      <w:r>
        <w:t xml:space="preserve"> costs that have occurred because of water being managed for environmental outcomes, rather than consumptive use.</w:t>
      </w:r>
      <w:r>
        <w:rPr>
          <w:rStyle w:val="FootnoteReference"/>
        </w:rPr>
        <w:footnoteReference w:id="771"/>
      </w:r>
      <w:r>
        <w:t xml:space="preserve"> The CEWH believes that the BWCOP “inherently” provides for the recognition of such gains. The CEWH concluded that, “providing water for environmental outcomes supports the </w:t>
      </w:r>
      <w:r w:rsidR="007B7FC3">
        <w:t>WPM</w:t>
      </w:r>
      <w:r>
        <w:t xml:space="preserve"> activities of promoting sustainability and long term river health”. </w:t>
      </w:r>
    </w:p>
    <w:p w:rsidR="00A86C13" w:rsidRDefault="00A86C13" w:rsidP="00A60A09">
      <w:pPr>
        <w:spacing w:after="120"/>
      </w:pPr>
      <w:r>
        <w:t>The South Australian Murray Irrigators (SAMI) raised a number of specific concerns about the level of, and planning process for, planning and management charges in SA.</w:t>
      </w:r>
      <w:r w:rsidR="00C6733C">
        <w:t xml:space="preserve"> </w:t>
      </w:r>
      <w:r w:rsidR="00874041">
        <w:t xml:space="preserve">The </w:t>
      </w:r>
      <w:r>
        <w:t>SAMI submitted:</w:t>
      </w:r>
    </w:p>
    <w:p w:rsidR="00A86C13" w:rsidRPr="00F33AF9" w:rsidRDefault="00A86C13" w:rsidP="00CE67EB">
      <w:pPr>
        <w:pStyle w:val="Quote"/>
        <w:rPr>
          <w:rStyle w:val="Emphasis"/>
          <w:i/>
          <w:iCs/>
        </w:rPr>
      </w:pPr>
      <w:r w:rsidRPr="00F33AF9">
        <w:rPr>
          <w:rStyle w:val="Emphasis"/>
          <w:i/>
          <w:iCs/>
        </w:rPr>
        <w:t>Paying for open ended and unspecified Water Planning and Management charges is unfair and at times causing detrimental effects on the irrigation business. Over the last 10 years we have seen these fees skyrocket and effect unnecessary planning and little solid resource definitions or trigger point flow values with which to base business decisions and manage the farms assets efficiently.</w:t>
      </w:r>
    </w:p>
    <w:p w:rsidR="00A86C13" w:rsidRDefault="00A86C13" w:rsidP="00A60A09">
      <w:pPr>
        <w:spacing w:after="120"/>
      </w:pPr>
      <w:r>
        <w:t xml:space="preserve">In particular, </w:t>
      </w:r>
      <w:r w:rsidR="00874041">
        <w:t xml:space="preserve">the </w:t>
      </w:r>
      <w:r>
        <w:t>SAMI identified concerns in relation to the following two charges:</w:t>
      </w:r>
    </w:p>
    <w:p w:rsidR="00A86C13" w:rsidRDefault="00A86C13" w:rsidP="00A82DE6">
      <w:pPr>
        <w:pStyle w:val="Lvl1Bulletpoint"/>
      </w:pPr>
      <w:r>
        <w:t xml:space="preserve">The South Australian Government’s processing and transfer fee. </w:t>
      </w:r>
      <w:r w:rsidR="00874041">
        <w:t xml:space="preserve">The </w:t>
      </w:r>
      <w:r>
        <w:t>SAMI labelled this fee as being the “most burdensome” and “unjustifiably inflated” fee.</w:t>
      </w:r>
      <w:r>
        <w:rPr>
          <w:rStyle w:val="FootnoteReference"/>
        </w:rPr>
        <w:footnoteReference w:id="772"/>
      </w:r>
    </w:p>
    <w:p w:rsidR="00A86C13" w:rsidRDefault="00A86C13" w:rsidP="00A82DE6">
      <w:pPr>
        <w:pStyle w:val="Lvl1Bulletpoint"/>
      </w:pPr>
      <w:r>
        <w:t xml:space="preserve">The Natural Resources Management (NRM) Board Levy. </w:t>
      </w:r>
      <w:r w:rsidR="00874041">
        <w:t xml:space="preserve">The </w:t>
      </w:r>
      <w:r>
        <w:t>SAMI accompanied its submission to the Draft Advice with a submission that it made to the N</w:t>
      </w:r>
      <w:r w:rsidR="00071C0C">
        <w:t xml:space="preserve">atural </w:t>
      </w:r>
      <w:r>
        <w:t>R</w:t>
      </w:r>
      <w:r w:rsidR="00071C0C">
        <w:t xml:space="preserve">esources </w:t>
      </w:r>
      <w:r>
        <w:t>M</w:t>
      </w:r>
      <w:r w:rsidR="00071C0C">
        <w:t>anagement</w:t>
      </w:r>
      <w:r>
        <w:t xml:space="preserve"> Board on 15 January 2016 in relation to the Board’s Draft Business Plan. In this submission, </w:t>
      </w:r>
      <w:r w:rsidR="00874041">
        <w:t xml:space="preserve">the </w:t>
      </w:r>
      <w:r>
        <w:t xml:space="preserve">SAMI outline a number of concerns about the Board and Levy. </w:t>
      </w:r>
    </w:p>
    <w:p w:rsidR="00A86C13" w:rsidRDefault="00E60305" w:rsidP="00DF129E">
      <w:pPr>
        <w:pStyle w:val="Heading3Un-numbered"/>
      </w:pPr>
      <w:r>
        <w:t>ACCC assessment</w:t>
      </w:r>
    </w:p>
    <w:p w:rsidR="00A86C13" w:rsidRDefault="00A86C13" w:rsidP="00A86C13">
      <w:r>
        <w:t>The ACCC</w:t>
      </w:r>
      <w:r w:rsidR="00A8179E">
        <w:t>’s Draft A</w:t>
      </w:r>
      <w:r>
        <w:t xml:space="preserve">dvice </w:t>
      </w:r>
      <w:r w:rsidR="005C465F">
        <w:t xml:space="preserve">considered </w:t>
      </w:r>
      <w:r w:rsidR="00A8179E">
        <w:t xml:space="preserve">that </w:t>
      </w:r>
      <w:r>
        <w:t xml:space="preserve">the water charge rules are not an effective policy tool to ensure the objectives of the NWI relating to planning and management cost recovery are met. Stakeholders either supported or did not oppose this view. </w:t>
      </w:r>
    </w:p>
    <w:p w:rsidR="00A86C13" w:rsidRDefault="00A86C13" w:rsidP="00A86C13">
      <w:r>
        <w:t xml:space="preserve">The ACCC accepts that there are potential problems with a lack of transparency about the cost basis for certain WPM charges and their allocation between different stakeholders, as indicated in </w:t>
      </w:r>
      <w:r w:rsidR="00874041">
        <w:t>SAMI’s</w:t>
      </w:r>
      <w:r>
        <w:t xml:space="preserve"> submission. However, there are inherent difficulties in identifying and allocating the costs for relevant activities </w:t>
      </w:r>
      <w:r w:rsidR="00A8179E">
        <w:t>given the current legislative framework limiting the scope of the rules to where certain charges are actually imposed. T</w:t>
      </w:r>
      <w:r>
        <w:t xml:space="preserve">he current WCPMIR publication requirements </w:t>
      </w:r>
      <w:r w:rsidR="00A8179E">
        <w:t xml:space="preserve">in relation to the cost of planning and management activities </w:t>
      </w:r>
      <w:r>
        <w:t xml:space="preserve">have </w:t>
      </w:r>
      <w:r w:rsidR="00A8179E">
        <w:t xml:space="preserve">therefore </w:t>
      </w:r>
      <w:r>
        <w:t>been unable to</w:t>
      </w:r>
      <w:r w:rsidR="00A8179E">
        <w:t xml:space="preserve"> effectively facilitate greater cost recovery in this area</w:t>
      </w:r>
      <w:r>
        <w:t xml:space="preserve">. </w:t>
      </w:r>
    </w:p>
    <w:p w:rsidR="00A8179E" w:rsidRPr="00A8179E" w:rsidRDefault="00A86C13" w:rsidP="00A8179E">
      <w:r>
        <w:t xml:space="preserve">The ACCC’s Final Advice maintains </w:t>
      </w:r>
      <w:r w:rsidR="00A8179E">
        <w:t xml:space="preserve">the position from the </w:t>
      </w:r>
      <w:r>
        <w:t>Draft Advice</w:t>
      </w:r>
      <w:r w:rsidR="00A8179E">
        <w:t xml:space="preserve"> that the water charge rules are not an effective policy tool to ensure governments’ water planning and management commitments under the NWI are met</w:t>
      </w:r>
      <w:r>
        <w:t>. The corresponding advice to remove certain publication requirements is provided in s</w:t>
      </w:r>
      <w:r w:rsidR="005C465F">
        <w:t>ection</w:t>
      </w:r>
      <w:r w:rsidR="00FD06FA">
        <w:t xml:space="preserve"> </w:t>
      </w:r>
      <w:r>
        <w:t>7.3.</w:t>
      </w:r>
      <w:bookmarkStart w:id="1397" w:name="_Toc436122327"/>
      <w:bookmarkStart w:id="1398" w:name="_Toc436122822"/>
      <w:bookmarkStart w:id="1399" w:name="_Toc436124177"/>
      <w:bookmarkStart w:id="1400" w:name="_Ref433113904"/>
      <w:bookmarkStart w:id="1401" w:name="_Toc433370655"/>
    </w:p>
    <w:p w:rsidR="00297F0C" w:rsidRDefault="00B66B6C" w:rsidP="00A60A09">
      <w:pPr>
        <w:pStyle w:val="Heading2"/>
        <w:keepNext w:val="0"/>
      </w:pPr>
      <w:bookmarkStart w:id="1402" w:name="_Toc456785834"/>
      <w:bookmarkStart w:id="1403" w:name="_Toc461630746"/>
      <w:r w:rsidRPr="00D714FC">
        <w:t>Requirements about information to be published</w:t>
      </w:r>
      <w:bookmarkEnd w:id="1397"/>
      <w:bookmarkEnd w:id="1398"/>
      <w:bookmarkEnd w:id="1399"/>
      <w:bookmarkEnd w:id="1402"/>
      <w:bookmarkEnd w:id="1403"/>
    </w:p>
    <w:p w:rsidR="00297F0C" w:rsidRPr="00DF129E" w:rsidRDefault="00D07E1E" w:rsidP="00DF129E">
      <w:pPr>
        <w:pStyle w:val="Heading3Un-numbered"/>
        <w:spacing w:before="0" w:after="0"/>
        <w:rPr>
          <w:rFonts w:ascii="Times New Roman" w:hAnsi="Times New Roman"/>
          <w:color w:val="FFFFFF" w:themeColor="background1"/>
          <w:sz w:val="12"/>
          <w:szCs w:val="12"/>
        </w:rPr>
      </w:pPr>
      <w:r w:rsidRPr="00DF129E">
        <w:rPr>
          <w:color w:val="FFFFFF" w:themeColor="background1"/>
          <w:sz w:val="12"/>
          <w:szCs w:val="12"/>
        </w:rPr>
        <w:fldChar w:fldCharType="begin"/>
      </w:r>
      <w:r w:rsidRPr="00DF129E">
        <w:rPr>
          <w:color w:val="FFFFFF" w:themeColor="background1"/>
          <w:sz w:val="12"/>
          <w:szCs w:val="12"/>
        </w:rPr>
        <w:instrText xml:space="preserve"> REF _Ref434840359 \h  \* MERGEFORMAT </w:instrText>
      </w:r>
      <w:r w:rsidRPr="00DF129E">
        <w:rPr>
          <w:color w:val="FFFFFF" w:themeColor="background1"/>
          <w:sz w:val="12"/>
          <w:szCs w:val="12"/>
        </w:rPr>
      </w:r>
      <w:r w:rsidRPr="00DF129E">
        <w:rPr>
          <w:color w:val="FFFFFF" w:themeColor="background1"/>
          <w:sz w:val="12"/>
          <w:szCs w:val="12"/>
        </w:rPr>
        <w:fldChar w:fldCharType="separate"/>
      </w:r>
      <w:r w:rsidR="00BD218B" w:rsidRPr="00BD218B">
        <w:rPr>
          <w:color w:val="FFFFFF" w:themeColor="background1"/>
          <w:sz w:val="12"/>
          <w:szCs w:val="12"/>
        </w:rPr>
        <w:t>Rule advice</w:t>
      </w:r>
      <w:r w:rsidRPr="00DF129E">
        <w:rPr>
          <w:color w:val="FFFFFF" w:themeColor="background1"/>
          <w:sz w:val="12"/>
          <w:szCs w:val="12"/>
        </w:rPr>
        <w:fldChar w:fldCharType="end"/>
      </w:r>
      <w:r w:rsidR="00C21C88" w:rsidRPr="00DF129E">
        <w:rPr>
          <w:color w:val="FFFFFF" w:themeColor="background1"/>
          <w:sz w:val="12"/>
          <w:szCs w:val="12"/>
        </w:rPr>
        <w:t xml:space="preserve"> </w:t>
      </w:r>
    </w:p>
    <w:tbl>
      <w:tblPr>
        <w:tblStyle w:val="TableGrid"/>
        <w:tblW w:w="0" w:type="auto"/>
        <w:tblLook w:val="04A0" w:firstRow="1" w:lastRow="0" w:firstColumn="1" w:lastColumn="0" w:noHBand="0" w:noVBand="1"/>
      </w:tblPr>
      <w:tblGrid>
        <w:gridCol w:w="9242"/>
      </w:tblGrid>
      <w:tr w:rsidR="00297F0C" w:rsidTr="00CE2B9A">
        <w:tc>
          <w:tcPr>
            <w:tcW w:w="9242" w:type="dxa"/>
            <w:tcBorders>
              <w:top w:val="nil"/>
              <w:left w:val="nil"/>
              <w:bottom w:val="nil"/>
              <w:right w:val="nil"/>
            </w:tcBorders>
            <w:shd w:val="clear" w:color="auto" w:fill="D9D9D9" w:themeFill="background1" w:themeFillShade="D9"/>
          </w:tcPr>
          <w:p w:rsidR="00297F0C" w:rsidRPr="00D714FC" w:rsidRDefault="00297F0C" w:rsidP="00A60A09">
            <w:pPr>
              <w:pStyle w:val="Caption"/>
              <w:keepNext w:val="0"/>
              <w:keepLines w:val="0"/>
            </w:pPr>
            <w:bookmarkStart w:id="1404" w:name="_Toc436123486"/>
            <w:bookmarkStart w:id="1405" w:name="_Toc456784176"/>
            <w:r w:rsidRPr="00D714FC">
              <w:t xml:space="preserve">Rule advice </w:t>
            </w:r>
            <w:r w:rsidR="007F659D">
              <w:rPr>
                <w:noProof/>
              </w:rPr>
              <w:t>7</w:t>
            </w:r>
            <w:r>
              <w:noBreakHyphen/>
            </w:r>
            <w:r w:rsidR="007F659D">
              <w:rPr>
                <w:noProof/>
              </w:rPr>
              <w:t>A</w:t>
            </w:r>
            <w:bookmarkEnd w:id="1404"/>
            <w:bookmarkEnd w:id="1405"/>
          </w:p>
          <w:p w:rsidR="00297F0C" w:rsidRDefault="00297F0C" w:rsidP="00A60A09">
            <w:pPr>
              <w:pStyle w:val="Heading8"/>
              <w:outlineLvl w:val="7"/>
            </w:pPr>
            <w:bookmarkStart w:id="1406" w:name="_Toc432937681"/>
            <w:bookmarkStart w:id="1407" w:name="_Toc433384456"/>
            <w:bookmarkStart w:id="1408" w:name="_Toc433975450"/>
            <w:bookmarkStart w:id="1409" w:name="_Toc436123487"/>
            <w:bookmarkStart w:id="1410" w:name="_Toc456784177"/>
            <w:bookmarkStart w:id="1411" w:name="Rule_Advice_7A"/>
            <w:r w:rsidRPr="00D714FC">
              <w:t xml:space="preserve">The requirement to disclose the nature and cost of </w:t>
            </w:r>
            <w:r>
              <w:t>water planning and management</w:t>
            </w:r>
            <w:r w:rsidRPr="00D714FC">
              <w:t xml:space="preserve"> activities related to planning and management charges (rules 5(2)(d) and 5(2)(j) of the WCPMIR) should be repealed.</w:t>
            </w:r>
            <w:bookmarkEnd w:id="1406"/>
            <w:bookmarkEnd w:id="1407"/>
            <w:bookmarkEnd w:id="1408"/>
            <w:bookmarkEnd w:id="1409"/>
            <w:bookmarkEnd w:id="1410"/>
          </w:p>
          <w:p w:rsidR="00297F0C" w:rsidRDefault="00297F0C" w:rsidP="00A60A09">
            <w:pPr>
              <w:pStyle w:val="Heading8"/>
              <w:outlineLvl w:val="7"/>
              <w:rPr>
                <w:rFonts w:ascii="Times New Roman" w:hAnsi="Times New Roman"/>
              </w:rPr>
            </w:pPr>
            <w:bookmarkStart w:id="1412" w:name="_Toc436123488"/>
            <w:bookmarkStart w:id="1413" w:name="_Toc456784178"/>
            <w:r>
              <w:rPr>
                <w:rFonts w:ascii="Times New Roman" w:hAnsi="Times New Roman"/>
              </w:rPr>
              <w:t>This rule advice is implemented in the proposed repeal of the WCPMIR.</w:t>
            </w:r>
            <w:bookmarkEnd w:id="1411"/>
            <w:bookmarkEnd w:id="1412"/>
            <w:bookmarkEnd w:id="1413"/>
          </w:p>
          <w:p w:rsidR="00665D32" w:rsidRPr="00665D32" w:rsidRDefault="00665D32" w:rsidP="00A60A09">
            <w:pPr>
              <w:pStyle w:val="Heading8"/>
              <w:outlineLvl w:val="7"/>
            </w:pPr>
          </w:p>
          <w:p w:rsidR="00297F0C" w:rsidRPr="00D714FC" w:rsidRDefault="00297F0C" w:rsidP="00A60A09">
            <w:pPr>
              <w:pStyle w:val="Caption"/>
              <w:keepNext w:val="0"/>
              <w:keepLines w:val="0"/>
            </w:pPr>
            <w:bookmarkStart w:id="1414" w:name="_Toc436123489"/>
            <w:bookmarkStart w:id="1415" w:name="_Toc456784179"/>
            <w:r w:rsidRPr="00D714FC">
              <w:t xml:space="preserve">Rule advice </w:t>
            </w:r>
            <w:r w:rsidR="007F659D">
              <w:rPr>
                <w:noProof/>
              </w:rPr>
              <w:t>7</w:t>
            </w:r>
            <w:r>
              <w:noBreakHyphen/>
            </w:r>
            <w:r w:rsidR="007F659D">
              <w:rPr>
                <w:noProof/>
              </w:rPr>
              <w:t>B</w:t>
            </w:r>
            <w:bookmarkEnd w:id="1414"/>
            <w:bookmarkEnd w:id="1415"/>
          </w:p>
          <w:p w:rsidR="00297F0C" w:rsidRDefault="00297F0C" w:rsidP="00A60A09">
            <w:pPr>
              <w:pStyle w:val="Heading8"/>
              <w:outlineLvl w:val="7"/>
            </w:pPr>
            <w:bookmarkStart w:id="1416" w:name="_Toc456784180"/>
            <w:bookmarkStart w:id="1417" w:name="_Toc432937683"/>
            <w:bookmarkStart w:id="1418" w:name="_Toc433384458"/>
            <w:bookmarkStart w:id="1419" w:name="_Toc433975452"/>
            <w:bookmarkStart w:id="1420" w:name="_Toc436123490"/>
            <w:bookmarkStart w:id="1421" w:name="Rule_Advice_7B"/>
            <w:r w:rsidRPr="00D714FC">
              <w:t>The rules should be amended such that remaining requirements in the WCPMIR to disclose information about planning and management charges are retained and harmonised with the general pricing transparency requirements for infrastructure charges</w:t>
            </w:r>
            <w:r>
              <w:t>.</w:t>
            </w:r>
            <w:bookmarkEnd w:id="1416"/>
            <w:r w:rsidRPr="00D714FC">
              <w:t xml:space="preserve"> </w:t>
            </w:r>
            <w:r w:rsidR="00BE523E">
              <w:t>These requirements are set out in rules advices 5-E and 5-F.</w:t>
            </w:r>
          </w:p>
          <w:p w:rsidR="00297F0C" w:rsidRPr="00C95B36" w:rsidRDefault="00297F0C" w:rsidP="00A60A09">
            <w:pPr>
              <w:pStyle w:val="Heading8"/>
              <w:spacing w:before="120"/>
              <w:outlineLvl w:val="7"/>
            </w:pPr>
            <w:bookmarkStart w:id="1422" w:name="_Toc436123491"/>
            <w:bookmarkStart w:id="1423" w:name="_Toc456784181"/>
            <w:bookmarkEnd w:id="1417"/>
            <w:bookmarkEnd w:id="1418"/>
            <w:bookmarkEnd w:id="1419"/>
            <w:bookmarkEnd w:id="1420"/>
            <w:r>
              <w:rPr>
                <w:rFonts w:ascii="Times New Roman" w:hAnsi="Times New Roman"/>
              </w:rPr>
              <w:t xml:space="preserve">This rule advice is implemented in </w:t>
            </w:r>
            <w:r w:rsidR="00A22F1F">
              <w:rPr>
                <w:rFonts w:ascii="Times New Roman" w:hAnsi="Times New Roman"/>
              </w:rPr>
              <w:t>r</w:t>
            </w:r>
            <w:r>
              <w:rPr>
                <w:rFonts w:ascii="Times New Roman" w:hAnsi="Times New Roman"/>
              </w:rPr>
              <w:t xml:space="preserve">ule </w:t>
            </w:r>
            <w:r w:rsidR="00BE523E">
              <w:rPr>
                <w:rFonts w:ascii="Times New Roman" w:hAnsi="Times New Roman"/>
              </w:rPr>
              <w:t xml:space="preserve">11, 12 and </w:t>
            </w:r>
            <w:r>
              <w:rPr>
                <w:rFonts w:ascii="Times New Roman" w:hAnsi="Times New Roman"/>
              </w:rPr>
              <w:t>1</w:t>
            </w:r>
            <w:r w:rsidR="00BE523E">
              <w:rPr>
                <w:rFonts w:ascii="Times New Roman" w:hAnsi="Times New Roman"/>
              </w:rPr>
              <w:t>3</w:t>
            </w:r>
            <w:r>
              <w:rPr>
                <w:rFonts w:ascii="Times New Roman" w:hAnsi="Times New Roman"/>
              </w:rPr>
              <w:t xml:space="preserve"> of the proposed </w:t>
            </w:r>
            <w:r w:rsidR="00222D0D">
              <w:rPr>
                <w:rFonts w:ascii="Times New Roman" w:hAnsi="Times New Roman"/>
              </w:rPr>
              <w:t>W</w:t>
            </w:r>
            <w:r>
              <w:rPr>
                <w:rFonts w:ascii="Times New Roman" w:hAnsi="Times New Roman"/>
              </w:rPr>
              <w:t xml:space="preserve">ater </w:t>
            </w:r>
            <w:r w:rsidR="00222D0D">
              <w:rPr>
                <w:rFonts w:ascii="Times New Roman" w:hAnsi="Times New Roman"/>
              </w:rPr>
              <w:t>C</w:t>
            </w:r>
            <w:r>
              <w:rPr>
                <w:rFonts w:ascii="Times New Roman" w:hAnsi="Times New Roman"/>
              </w:rPr>
              <w:t xml:space="preserve">harge </w:t>
            </w:r>
            <w:r w:rsidR="00222D0D">
              <w:rPr>
                <w:rFonts w:ascii="Times New Roman" w:hAnsi="Times New Roman"/>
              </w:rPr>
              <w:t>R</w:t>
            </w:r>
            <w:r>
              <w:rPr>
                <w:rFonts w:ascii="Times New Roman" w:hAnsi="Times New Roman"/>
              </w:rPr>
              <w:t>ules.</w:t>
            </w:r>
            <w:bookmarkEnd w:id="1421"/>
            <w:bookmarkEnd w:id="1422"/>
            <w:bookmarkEnd w:id="1423"/>
          </w:p>
        </w:tc>
      </w:tr>
    </w:tbl>
    <w:bookmarkEnd w:id="1400"/>
    <w:bookmarkEnd w:id="1401"/>
    <w:p w:rsidR="00297F0C" w:rsidRPr="006246A8" w:rsidRDefault="00297F0C" w:rsidP="00DF129E">
      <w:pPr>
        <w:pStyle w:val="Heading3Un-numbered"/>
      </w:pPr>
      <w:r>
        <w:t>Background</w:t>
      </w:r>
    </w:p>
    <w:p w:rsidR="00B66B6C" w:rsidRPr="00D714FC" w:rsidRDefault="00B66B6C" w:rsidP="00B66B6C">
      <w:pPr>
        <w:rPr>
          <w:rFonts w:cs="Times New Roman"/>
        </w:rPr>
      </w:pPr>
      <w:r w:rsidRPr="00D714FC">
        <w:rPr>
          <w:rFonts w:cs="Times New Roman"/>
        </w:rPr>
        <w:t xml:space="preserve">The </w:t>
      </w:r>
      <w:r w:rsidR="008555EC" w:rsidRPr="00524D9F">
        <w:rPr>
          <w:rFonts w:cs="Times New Roman"/>
        </w:rPr>
        <w:t>Water Charge (Planning and Management Information) Rules 2010</w:t>
      </w:r>
      <w:r w:rsidR="008555EC" w:rsidRPr="00D714FC">
        <w:rPr>
          <w:rFonts w:cs="Times New Roman"/>
        </w:rPr>
        <w:t xml:space="preserve"> </w:t>
      </w:r>
      <w:r w:rsidR="008555EC">
        <w:rPr>
          <w:rFonts w:cs="Times New Roman"/>
        </w:rPr>
        <w:t>(</w:t>
      </w:r>
      <w:r w:rsidRPr="00D714FC">
        <w:rPr>
          <w:rFonts w:cs="Times New Roman"/>
        </w:rPr>
        <w:t>WCPMIR</w:t>
      </w:r>
      <w:r w:rsidR="008555EC">
        <w:rPr>
          <w:rFonts w:cs="Times New Roman"/>
        </w:rPr>
        <w:t>)</w:t>
      </w:r>
      <w:r w:rsidR="0072087A">
        <w:rPr>
          <w:rFonts w:cs="Times New Roman"/>
        </w:rPr>
        <w:t xml:space="preserve"> currently</w:t>
      </w:r>
      <w:r w:rsidRPr="00D714FC">
        <w:rPr>
          <w:rFonts w:cs="Times New Roman"/>
        </w:rPr>
        <w:t xml:space="preserve"> require a person who determines a planning and management charge (usually a Minister or another government executive or a delegate of that person) to publish </w:t>
      </w:r>
      <w:r w:rsidR="0072087A">
        <w:rPr>
          <w:rFonts w:cs="Times New Roman"/>
        </w:rPr>
        <w:t xml:space="preserve">certain </w:t>
      </w:r>
      <w:r w:rsidRPr="00D714FC">
        <w:rPr>
          <w:rFonts w:cs="Times New Roman"/>
        </w:rPr>
        <w:t>information on that charge</w:t>
      </w:r>
      <w:r w:rsidR="00467B4A">
        <w:rPr>
          <w:rFonts w:cs="Times New Roman"/>
        </w:rPr>
        <w:t>.</w:t>
      </w:r>
      <w:r w:rsidRPr="00D714FC">
        <w:rPr>
          <w:rStyle w:val="FootnoteReference"/>
          <w:rFonts w:cs="Times New Roman"/>
        </w:rPr>
        <w:footnoteReference w:id="773"/>
      </w:r>
    </w:p>
    <w:p w:rsidR="00B66B6C" w:rsidRPr="002917E7" w:rsidRDefault="00B66B6C" w:rsidP="00B66B6C">
      <w:pPr>
        <w:rPr>
          <w:rFonts w:cs="Times New Roman"/>
        </w:rPr>
      </w:pPr>
      <w:r w:rsidRPr="00D714FC">
        <w:rPr>
          <w:rFonts w:cs="Times New Roman"/>
        </w:rPr>
        <w:t xml:space="preserve">Planning and management charges may be imposed directly on users or incorporated into other (infrastructure) charges imposed by infrastructure operators as a pass-through charge (see section </w:t>
      </w:r>
      <w:r w:rsidR="003151FE">
        <w:rPr>
          <w:rFonts w:cs="Times New Roman"/>
        </w:rPr>
        <w:t>5.13</w:t>
      </w:r>
      <w:r w:rsidRPr="002917E7">
        <w:rPr>
          <w:rFonts w:cs="Times New Roman"/>
        </w:rPr>
        <w:t xml:space="preserve">). </w:t>
      </w:r>
    </w:p>
    <w:p w:rsidR="00B66B6C" w:rsidRPr="002917E7" w:rsidRDefault="00B66B6C" w:rsidP="00B66B6C">
      <w:pPr>
        <w:rPr>
          <w:rFonts w:cs="Times New Roman"/>
        </w:rPr>
      </w:pPr>
      <w:r w:rsidRPr="002917E7">
        <w:rPr>
          <w:rFonts w:cs="Times New Roman"/>
        </w:rPr>
        <w:t>In its Issues Paper, the ACCC sought stakeholder feedback on whether the level of detail of information required to be published under the WCPMIR about planning and management charges was appropriate, and whether there are specific requirements to publish information in the WCPMIR that are unnecessary, onerous, unreasonable or unduly costly.</w:t>
      </w:r>
    </w:p>
    <w:p w:rsidR="00C215BE" w:rsidRPr="002917E7" w:rsidRDefault="0072087A" w:rsidP="00C215BE">
      <w:pPr>
        <w:rPr>
          <w:rFonts w:cs="Times New Roman"/>
        </w:rPr>
      </w:pPr>
      <w:r w:rsidRPr="002917E7">
        <w:rPr>
          <w:rFonts w:cs="Times New Roman"/>
        </w:rPr>
        <w:t xml:space="preserve">In its Draft Advice, the ACCC noted that the introduction of the </w:t>
      </w:r>
      <w:r w:rsidR="00C215BE" w:rsidRPr="002917E7">
        <w:rPr>
          <w:rFonts w:cs="Times New Roman"/>
        </w:rPr>
        <w:t xml:space="preserve">WCPMIR has </w:t>
      </w:r>
      <w:r w:rsidRPr="002917E7">
        <w:rPr>
          <w:rFonts w:cs="Times New Roman"/>
        </w:rPr>
        <w:t xml:space="preserve">led to an </w:t>
      </w:r>
      <w:r w:rsidR="00C215BE" w:rsidRPr="002917E7">
        <w:rPr>
          <w:rFonts w:cs="Times New Roman"/>
        </w:rPr>
        <w:t xml:space="preserve">increase </w:t>
      </w:r>
      <w:r w:rsidRPr="002917E7">
        <w:rPr>
          <w:rFonts w:cs="Times New Roman"/>
        </w:rPr>
        <w:t xml:space="preserve">in </w:t>
      </w:r>
      <w:r w:rsidR="00C215BE" w:rsidRPr="002917E7">
        <w:rPr>
          <w:rFonts w:cs="Times New Roman"/>
        </w:rPr>
        <w:t xml:space="preserve">disclosure </w:t>
      </w:r>
      <w:r w:rsidRPr="002917E7">
        <w:rPr>
          <w:rFonts w:cs="Times New Roman"/>
        </w:rPr>
        <w:t xml:space="preserve">of information relating to planning and management charges, resulting </w:t>
      </w:r>
      <w:r w:rsidR="00C215BE" w:rsidRPr="002917E7">
        <w:rPr>
          <w:rFonts w:cs="Times New Roman"/>
        </w:rPr>
        <w:t xml:space="preserve">in a clearer understanding that many planning and management charges are imposed by infrastructure operators along with their infrastructure charges. </w:t>
      </w:r>
    </w:p>
    <w:p w:rsidR="00C215BE" w:rsidRPr="002917E7" w:rsidRDefault="00C215BE" w:rsidP="00C215BE">
      <w:pPr>
        <w:rPr>
          <w:rFonts w:cs="Times New Roman"/>
        </w:rPr>
      </w:pPr>
      <w:r w:rsidRPr="002917E7">
        <w:rPr>
          <w:rFonts w:cs="Times New Roman"/>
        </w:rPr>
        <w:t xml:space="preserve">Consistent with the recommendation in section 7.2, the ACCC </w:t>
      </w:r>
      <w:r w:rsidR="00BE523E">
        <w:rPr>
          <w:rFonts w:cs="Times New Roman"/>
        </w:rPr>
        <w:t>proposed</w:t>
      </w:r>
      <w:r w:rsidR="00BE523E" w:rsidRPr="002917E7">
        <w:rPr>
          <w:rFonts w:cs="Times New Roman"/>
        </w:rPr>
        <w:t xml:space="preserve"> </w:t>
      </w:r>
      <w:r w:rsidRPr="002917E7">
        <w:rPr>
          <w:rFonts w:cs="Times New Roman"/>
        </w:rPr>
        <w:t>that the rules should be amended to remove the requirement to publish information on activities that relate to a planning and management charge and the costs associated with those activities.</w:t>
      </w:r>
      <w:r w:rsidRPr="002917E7">
        <w:rPr>
          <w:rStyle w:val="FootnoteReference"/>
          <w:rFonts w:cs="Times New Roman"/>
        </w:rPr>
        <w:footnoteReference w:id="774"/>
      </w:r>
      <w:r w:rsidRPr="002917E7">
        <w:rPr>
          <w:rFonts w:cs="Times New Roman"/>
        </w:rPr>
        <w:t xml:space="preserve"> </w:t>
      </w:r>
    </w:p>
    <w:p w:rsidR="00C215BE" w:rsidRPr="002917E7" w:rsidRDefault="00C215BE" w:rsidP="00C215BE">
      <w:pPr>
        <w:rPr>
          <w:rFonts w:cs="Times New Roman"/>
        </w:rPr>
      </w:pPr>
      <w:r w:rsidRPr="002917E7">
        <w:rPr>
          <w:rFonts w:cs="Times New Roman"/>
        </w:rPr>
        <w:t xml:space="preserve">Rule advice </w:t>
      </w:r>
      <w:r w:rsidR="005C465F">
        <w:rPr>
          <w:rFonts w:cs="Times New Roman"/>
        </w:rPr>
        <w:t xml:space="preserve">4-A </w:t>
      </w:r>
      <w:r w:rsidRPr="002917E7">
        <w:rPr>
          <w:rFonts w:cs="Times New Roman"/>
        </w:rPr>
        <w:t xml:space="preserve">in section 4.3.1 proposed the consolidation of the three current </w:t>
      </w:r>
      <w:r w:rsidR="0001065E">
        <w:rPr>
          <w:rFonts w:cs="Times New Roman"/>
        </w:rPr>
        <w:t>water charge rules</w:t>
      </w:r>
      <w:r w:rsidR="0001065E" w:rsidRPr="002917E7">
        <w:rPr>
          <w:rFonts w:cs="Times New Roman"/>
        </w:rPr>
        <w:t xml:space="preserve"> </w:t>
      </w:r>
      <w:r w:rsidRPr="002917E7">
        <w:rPr>
          <w:rFonts w:cs="Times New Roman"/>
        </w:rPr>
        <w:t xml:space="preserve">into a single instrument. The combined instrument would apply to regulated water charges and a charge captured under the term ‘regulated charge’ in the WCPMIR would be considered a planning and management charge under the combined water charge rules. </w:t>
      </w:r>
    </w:p>
    <w:p w:rsidR="00C215BE" w:rsidRPr="002917E7" w:rsidRDefault="00C215BE" w:rsidP="00C215BE">
      <w:pPr>
        <w:rPr>
          <w:rFonts w:cs="Times New Roman"/>
        </w:rPr>
      </w:pPr>
      <w:r w:rsidRPr="002917E7">
        <w:rPr>
          <w:rFonts w:cs="Times New Roman"/>
        </w:rPr>
        <w:t xml:space="preserve">The </w:t>
      </w:r>
      <w:r w:rsidR="002C2856" w:rsidRPr="00524D9F">
        <w:rPr>
          <w:rFonts w:cs="Times New Roman"/>
        </w:rPr>
        <w:t>Water Charge (Infrastructure) Rules 2010</w:t>
      </w:r>
      <w:r w:rsidR="002C2856">
        <w:rPr>
          <w:rFonts w:cs="Times New Roman"/>
        </w:rPr>
        <w:t xml:space="preserve"> (</w:t>
      </w:r>
      <w:r w:rsidRPr="002917E7">
        <w:rPr>
          <w:rFonts w:cs="Times New Roman"/>
        </w:rPr>
        <w:t>WCIR</w:t>
      </w:r>
      <w:r w:rsidR="002C2856">
        <w:rPr>
          <w:rFonts w:cs="Times New Roman"/>
        </w:rPr>
        <w:t>)</w:t>
      </w:r>
      <w:r w:rsidRPr="002917E7">
        <w:rPr>
          <w:rFonts w:cs="Times New Roman"/>
        </w:rPr>
        <w:t xml:space="preserve"> and WCPMIR currently require the publication of different types of information about charges, at different times, depending on whether the charges are infrastructure charges or planning and management charges; and on whether they are imposed by an infrastructure operator</w:t>
      </w:r>
      <w:r w:rsidR="00BB297F">
        <w:rPr>
          <w:rFonts w:cs="Times New Roman"/>
        </w:rPr>
        <w:t xml:space="preserve"> </w:t>
      </w:r>
      <w:r w:rsidRPr="002917E7">
        <w:rPr>
          <w:rFonts w:cs="Times New Roman"/>
        </w:rPr>
        <w:t xml:space="preserve">or some other entity. All these charges are ultimately payable by irrigators and other water users. The </w:t>
      </w:r>
      <w:r w:rsidR="00BE523E">
        <w:rPr>
          <w:rFonts w:cs="Times New Roman"/>
        </w:rPr>
        <w:t xml:space="preserve">ACCC </w:t>
      </w:r>
      <w:r w:rsidRPr="002917E7">
        <w:rPr>
          <w:rFonts w:cs="Times New Roman"/>
        </w:rPr>
        <w:t>proposed</w:t>
      </w:r>
      <w:r w:rsidR="00BE523E">
        <w:rPr>
          <w:rFonts w:cs="Times New Roman"/>
        </w:rPr>
        <w:t xml:space="preserve"> in the Draft Advice that the</w:t>
      </w:r>
      <w:r w:rsidRPr="002917E7">
        <w:rPr>
          <w:rFonts w:cs="Times New Roman"/>
        </w:rPr>
        <w:t xml:space="preserve"> </w:t>
      </w:r>
      <w:r w:rsidR="009A659D">
        <w:rPr>
          <w:rFonts w:cs="Times New Roman"/>
        </w:rPr>
        <w:t>water charge rules</w:t>
      </w:r>
      <w:r w:rsidR="009A659D" w:rsidRPr="002917E7">
        <w:rPr>
          <w:rFonts w:cs="Times New Roman"/>
        </w:rPr>
        <w:t xml:space="preserve"> </w:t>
      </w:r>
      <w:r w:rsidRPr="002917E7">
        <w:rPr>
          <w:rFonts w:cs="Times New Roman"/>
        </w:rPr>
        <w:t>should, as much as possible, streamline these information requirements to ensure pricing transparency and better informed decisions.</w:t>
      </w:r>
    </w:p>
    <w:p w:rsidR="00C215BE" w:rsidRPr="002917E7" w:rsidRDefault="00BE523E" w:rsidP="00C215BE">
      <w:pPr>
        <w:rPr>
          <w:rFonts w:cs="Times New Roman"/>
        </w:rPr>
      </w:pPr>
      <w:r>
        <w:rPr>
          <w:rFonts w:cs="Times New Roman"/>
        </w:rPr>
        <w:t>Accordingly, t</w:t>
      </w:r>
      <w:r w:rsidR="00706E7F" w:rsidRPr="002917E7">
        <w:rPr>
          <w:rFonts w:cs="Times New Roman"/>
        </w:rPr>
        <w:t>he ACCC made draft r</w:t>
      </w:r>
      <w:r w:rsidR="00C215BE" w:rsidRPr="002917E7">
        <w:rPr>
          <w:rFonts w:cs="Times New Roman"/>
        </w:rPr>
        <w:t xml:space="preserve">ule advice </w:t>
      </w:r>
      <w:r w:rsidR="00706E7F" w:rsidRPr="002917E7">
        <w:rPr>
          <w:rFonts w:cs="Times New Roman"/>
        </w:rPr>
        <w:t xml:space="preserve">to increase </w:t>
      </w:r>
      <w:r w:rsidR="00C215BE" w:rsidRPr="002917E7">
        <w:rPr>
          <w:rFonts w:cs="Times New Roman"/>
        </w:rPr>
        <w:t xml:space="preserve">consistency of disclosure requirements for infrastructure charges and planning and management charges, based on the approach currently taken in </w:t>
      </w:r>
      <w:r w:rsidR="00A22F1F">
        <w:rPr>
          <w:rFonts w:cs="Times New Roman"/>
        </w:rPr>
        <w:t>subr</w:t>
      </w:r>
      <w:r w:rsidR="00C215BE" w:rsidRPr="002917E7">
        <w:rPr>
          <w:rFonts w:cs="Times New Roman"/>
        </w:rPr>
        <w:t>ule 5(2) of the WCPMIR.</w:t>
      </w:r>
    </w:p>
    <w:p w:rsidR="00B66B6C" w:rsidRPr="002917E7" w:rsidRDefault="00B66B6C" w:rsidP="00DF129E">
      <w:pPr>
        <w:pStyle w:val="Heading3Un-numbered"/>
      </w:pPr>
      <w:r w:rsidRPr="002917E7">
        <w:t>Stakeholder feedback</w:t>
      </w:r>
    </w:p>
    <w:p w:rsidR="00B66B6C" w:rsidRPr="002917E7" w:rsidRDefault="00297F0C" w:rsidP="00297F0C">
      <w:pPr>
        <w:rPr>
          <w:rFonts w:cs="Times New Roman"/>
        </w:rPr>
      </w:pPr>
      <w:r w:rsidRPr="002917E7">
        <w:rPr>
          <w:rFonts w:cs="Times New Roman"/>
          <w:color w:val="000000"/>
        </w:rPr>
        <w:t xml:space="preserve">In response to the Issues Paper, </w:t>
      </w:r>
      <w:r w:rsidR="00B66B6C" w:rsidRPr="002917E7">
        <w:rPr>
          <w:rFonts w:cs="Times New Roman"/>
        </w:rPr>
        <w:t xml:space="preserve">Waterfind </w:t>
      </w:r>
      <w:r w:rsidR="00994D7E" w:rsidRPr="002917E7">
        <w:rPr>
          <w:rFonts w:cs="Times New Roman"/>
        </w:rPr>
        <w:t xml:space="preserve">submitted that </w:t>
      </w:r>
      <w:r w:rsidR="00B66B6C" w:rsidRPr="002917E7">
        <w:rPr>
          <w:rFonts w:cs="Times New Roman"/>
        </w:rPr>
        <w:t>it valued planning and management charge information provided under the WCPMIR.</w:t>
      </w:r>
      <w:r w:rsidR="0047191B" w:rsidRPr="002917E7">
        <w:rPr>
          <w:rStyle w:val="FootnoteReference"/>
          <w:rFonts w:cs="Times New Roman"/>
        </w:rPr>
        <w:footnoteReference w:id="775"/>
      </w:r>
      <w:r w:rsidR="00B66B6C" w:rsidRPr="002917E7">
        <w:rPr>
          <w:rFonts w:cs="Times New Roman"/>
        </w:rPr>
        <w:t xml:space="preserve"> </w:t>
      </w:r>
    </w:p>
    <w:p w:rsidR="00B66B6C" w:rsidRPr="002917E7" w:rsidRDefault="00F75324" w:rsidP="00B66B6C">
      <w:pPr>
        <w:rPr>
          <w:rFonts w:eastAsiaTheme="minorHAnsi" w:cs="Times New Roman"/>
          <w:color w:val="000000"/>
        </w:rPr>
      </w:pPr>
      <w:r w:rsidRPr="002917E7">
        <w:rPr>
          <w:rFonts w:cs="Times New Roman"/>
        </w:rPr>
        <w:t xml:space="preserve">The </w:t>
      </w:r>
      <w:r w:rsidR="00B66B6C" w:rsidRPr="002917E7">
        <w:rPr>
          <w:rFonts w:cs="Times New Roman"/>
        </w:rPr>
        <w:t xml:space="preserve">NSW </w:t>
      </w:r>
      <w:r w:rsidRPr="002917E7">
        <w:rPr>
          <w:rFonts w:cs="Times New Roman"/>
        </w:rPr>
        <w:t xml:space="preserve">Government </w:t>
      </w:r>
      <w:r w:rsidR="00B66B6C" w:rsidRPr="002917E7">
        <w:rPr>
          <w:rFonts w:cs="Times New Roman"/>
        </w:rPr>
        <w:t xml:space="preserve">stressed the importance of consistency of information provided. </w:t>
      </w:r>
      <w:r w:rsidRPr="002917E7">
        <w:rPr>
          <w:rFonts w:cs="Times New Roman"/>
        </w:rPr>
        <w:t xml:space="preserve">The </w:t>
      </w:r>
      <w:r w:rsidR="00B66B6C" w:rsidRPr="002917E7">
        <w:rPr>
          <w:rFonts w:cs="Times New Roman"/>
        </w:rPr>
        <w:t>NSW</w:t>
      </w:r>
      <w:r w:rsidRPr="002917E7">
        <w:rPr>
          <w:rFonts w:cs="Times New Roman"/>
        </w:rPr>
        <w:t xml:space="preserve"> Government</w:t>
      </w:r>
      <w:r w:rsidR="00B66B6C" w:rsidRPr="002917E7">
        <w:rPr>
          <w:rFonts w:cs="Times New Roman"/>
        </w:rPr>
        <w:t xml:space="preserve"> prepares </w:t>
      </w:r>
      <w:r w:rsidR="00116C7F" w:rsidRPr="002917E7">
        <w:rPr>
          <w:rFonts w:cs="Times New Roman"/>
        </w:rPr>
        <w:t xml:space="preserve">planning and management </w:t>
      </w:r>
      <w:r w:rsidR="00B66B6C" w:rsidRPr="002917E7">
        <w:rPr>
          <w:rFonts w:cs="Times New Roman"/>
        </w:rPr>
        <w:t>information to meet both Commonwealth and its own reporting requirements</w:t>
      </w:r>
      <w:r w:rsidR="00297F0C" w:rsidRPr="002917E7">
        <w:rPr>
          <w:rFonts w:cs="Times New Roman"/>
        </w:rPr>
        <w:t>, however called for the rule requirements to be consistent with NSW requirements</w:t>
      </w:r>
      <w:r w:rsidRPr="002917E7">
        <w:rPr>
          <w:rFonts w:cs="Times New Roman"/>
        </w:rPr>
        <w:t>.</w:t>
      </w:r>
      <w:r w:rsidR="00F40161" w:rsidRPr="002917E7">
        <w:rPr>
          <w:rStyle w:val="FootnoteReference"/>
          <w:rFonts w:cs="Times New Roman"/>
        </w:rPr>
        <w:footnoteReference w:id="776"/>
      </w:r>
      <w:r w:rsidR="00B66B6C" w:rsidRPr="002917E7">
        <w:rPr>
          <w:rFonts w:cs="Times New Roman"/>
        </w:rPr>
        <w:t xml:space="preserve"> </w:t>
      </w:r>
      <w:r w:rsidR="00297F0C" w:rsidRPr="002917E7">
        <w:rPr>
          <w:rFonts w:cs="Times New Roman"/>
        </w:rPr>
        <w:t>T</w:t>
      </w:r>
      <w:r w:rsidR="00B66B6C" w:rsidRPr="002917E7">
        <w:rPr>
          <w:rFonts w:cs="Times New Roman"/>
          <w:color w:val="000000"/>
        </w:rPr>
        <w:t>he Victorian Farmers</w:t>
      </w:r>
      <w:r w:rsidR="0086223B" w:rsidRPr="002917E7">
        <w:rPr>
          <w:rFonts w:cs="Times New Roman"/>
          <w:color w:val="000000"/>
        </w:rPr>
        <w:t>’</w:t>
      </w:r>
      <w:r w:rsidR="00B66B6C" w:rsidRPr="002917E7">
        <w:rPr>
          <w:rFonts w:cs="Times New Roman"/>
          <w:color w:val="000000"/>
        </w:rPr>
        <w:t xml:space="preserve"> Federation (VFF) submission noted a recommendation from a Victorian Auditor General Office report on the Environmental Contribution Levy</w:t>
      </w:r>
      <w:r w:rsidR="00297F0C" w:rsidRPr="002917E7">
        <w:rPr>
          <w:rFonts w:cs="Times New Roman"/>
          <w:color w:val="000000"/>
        </w:rPr>
        <w:t xml:space="preserve"> that the Department </w:t>
      </w:r>
      <w:r w:rsidR="00B66B6C" w:rsidRPr="002917E7">
        <w:rPr>
          <w:rFonts w:eastAsiaTheme="minorHAnsi" w:cs="Times New Roman"/>
          <w:color w:val="000000"/>
        </w:rPr>
        <w:t>of Environment and Primary Industries enhances public reporting</w:t>
      </w:r>
      <w:r w:rsidR="00C6733C">
        <w:rPr>
          <w:rFonts w:eastAsiaTheme="minorHAnsi" w:cs="Times New Roman"/>
          <w:color w:val="000000"/>
        </w:rPr>
        <w:t xml:space="preserve"> </w:t>
      </w:r>
      <w:r w:rsidR="00297F0C" w:rsidRPr="002917E7">
        <w:rPr>
          <w:rFonts w:eastAsiaTheme="minorHAnsi" w:cs="Times New Roman"/>
          <w:color w:val="000000"/>
        </w:rPr>
        <w:t xml:space="preserve">to … </w:t>
      </w:r>
      <w:r w:rsidR="00B66B6C" w:rsidRPr="002917E7">
        <w:rPr>
          <w:rFonts w:eastAsiaTheme="minorHAnsi" w:cs="Times New Roman"/>
          <w:color w:val="000000"/>
        </w:rPr>
        <w:t xml:space="preserve">clearly describe the purpose, benefits and achievements of the </w:t>
      </w:r>
      <w:r w:rsidR="00D21EC7" w:rsidRPr="002917E7">
        <w:rPr>
          <w:rFonts w:eastAsiaTheme="minorHAnsi" w:cs="Times New Roman"/>
          <w:color w:val="000000"/>
        </w:rPr>
        <w:t xml:space="preserve">Environmental Contribution Levy </w:t>
      </w:r>
      <w:r w:rsidR="00B66B6C" w:rsidRPr="002917E7">
        <w:rPr>
          <w:rFonts w:eastAsiaTheme="minorHAnsi" w:cs="Times New Roman"/>
          <w:color w:val="000000"/>
        </w:rPr>
        <w:t>and its funded projects and/or initiatives</w:t>
      </w:r>
      <w:r w:rsidR="009D6BE9" w:rsidRPr="002917E7">
        <w:rPr>
          <w:rFonts w:eastAsiaTheme="minorHAnsi" w:cs="Times New Roman"/>
          <w:color w:val="000000"/>
        </w:rPr>
        <w:t>”</w:t>
      </w:r>
      <w:r w:rsidR="00B66B6C" w:rsidRPr="002917E7">
        <w:rPr>
          <w:rFonts w:eastAsiaTheme="minorHAnsi" w:cs="Times New Roman"/>
          <w:color w:val="000000"/>
        </w:rPr>
        <w:t>.</w:t>
      </w:r>
      <w:r w:rsidR="00B66B6C" w:rsidRPr="002917E7">
        <w:rPr>
          <w:rStyle w:val="FootnoteReference"/>
          <w:rFonts w:eastAsiaTheme="minorHAnsi" w:cs="Times New Roman"/>
          <w:color w:val="000000"/>
        </w:rPr>
        <w:footnoteReference w:id="777"/>
      </w:r>
      <w:r w:rsidR="00B66B6C" w:rsidRPr="002917E7">
        <w:rPr>
          <w:rFonts w:eastAsiaTheme="minorHAnsi" w:cs="Times New Roman"/>
          <w:color w:val="000000"/>
        </w:rPr>
        <w:t xml:space="preserve"> </w:t>
      </w:r>
    </w:p>
    <w:p w:rsidR="00297F0C" w:rsidRPr="00212018" w:rsidRDefault="00297F0C" w:rsidP="00297F0C">
      <w:pPr>
        <w:rPr>
          <w:b/>
        </w:rPr>
      </w:pPr>
      <w:r w:rsidRPr="002917E7">
        <w:rPr>
          <w:rFonts w:cs="Times New Roman"/>
        </w:rPr>
        <w:t>In response to the Draft Advice, t</w:t>
      </w:r>
      <w:r w:rsidRPr="002917E7">
        <w:t>he Queensland Farmers’ Federation</w:t>
      </w:r>
      <w:r w:rsidR="008E524B">
        <w:t xml:space="preserve"> (QFF)</w:t>
      </w:r>
      <w:r w:rsidRPr="002917E7">
        <w:t xml:space="preserve"> and the Queensland Department of Natural Resources and Mines </w:t>
      </w:r>
      <w:r w:rsidR="00162B38">
        <w:t xml:space="preserve">(DNRM) </w:t>
      </w:r>
      <w:r w:rsidRPr="002917E7">
        <w:t xml:space="preserve">submitted that they supported draft rule advice 7-A to remove the requirements for Basin State governments to publish information about the costs of </w:t>
      </w:r>
      <w:r w:rsidR="007B7FC3">
        <w:t>WPM</w:t>
      </w:r>
      <w:r w:rsidRPr="002917E7">
        <w:t xml:space="preserve"> activities.</w:t>
      </w:r>
      <w:r w:rsidRPr="002917E7">
        <w:rPr>
          <w:rStyle w:val="FootnoteReference"/>
        </w:rPr>
        <w:footnoteReference w:id="778"/>
      </w:r>
    </w:p>
    <w:p w:rsidR="00297F0C" w:rsidRDefault="00297F0C" w:rsidP="00297F0C">
      <w:r>
        <w:t xml:space="preserve">The </w:t>
      </w:r>
      <w:r w:rsidR="008E524B">
        <w:t>QFF</w:t>
      </w:r>
      <w:r>
        <w:t xml:space="preserve"> and Lower</w:t>
      </w:r>
      <w:r w:rsidR="0076282A">
        <w:t xml:space="preserve"> </w:t>
      </w:r>
      <w:r>
        <w:t xml:space="preserve">Murray Water support </w:t>
      </w:r>
      <w:r w:rsidR="00A22F1F">
        <w:t>r</w:t>
      </w:r>
      <w:r>
        <w:t xml:space="preserve">ule </w:t>
      </w:r>
      <w:r w:rsidR="00A22F1F">
        <w:t>a</w:t>
      </w:r>
      <w:r>
        <w:t>dvice 7-B to harmonise the publication requirements for infrastructure, and planning and management charges.</w:t>
      </w:r>
      <w:r>
        <w:rPr>
          <w:rStyle w:val="FootnoteReference"/>
        </w:rPr>
        <w:footnoteReference w:id="779"/>
      </w:r>
    </w:p>
    <w:p w:rsidR="001604EC" w:rsidRDefault="00297F0C" w:rsidP="00B66B6C">
      <w:pPr>
        <w:rPr>
          <w:rFonts w:cs="Times New Roman"/>
        </w:rPr>
      </w:pPr>
      <w:r w:rsidRPr="00212018">
        <w:t>Goulburn-Murray Water</w:t>
      </w:r>
      <w:r w:rsidR="00CD0E51">
        <w:t xml:space="preserve"> (GMW)</w:t>
      </w:r>
      <w:r w:rsidRPr="00212018">
        <w:t xml:space="preserve"> </w:t>
      </w:r>
      <w:r>
        <w:t>supported</w:t>
      </w:r>
      <w:r w:rsidRPr="00212018">
        <w:t xml:space="preserve"> the ACCC’s proposed amendments in relation to the WCPMIR and the “intention to improve price transparency”.</w:t>
      </w:r>
      <w:r w:rsidRPr="00597AD0">
        <w:rPr>
          <w:rStyle w:val="FootnoteReference"/>
          <w:rFonts w:cs="Times New Roman"/>
          <w:sz w:val="20"/>
          <w:szCs w:val="20"/>
        </w:rPr>
        <w:footnoteReference w:id="780"/>
      </w:r>
    </w:p>
    <w:p w:rsidR="001604EC" w:rsidRDefault="00B71736" w:rsidP="001604EC">
      <w:r>
        <w:t xml:space="preserve">The </w:t>
      </w:r>
      <w:r w:rsidR="00D61D6B">
        <w:t>Commonwealth Environmental Water Holder’s (</w:t>
      </w:r>
      <w:r w:rsidR="001604EC">
        <w:t>CEWH</w:t>
      </w:r>
      <w:r w:rsidR="00297F0C">
        <w:t>’s</w:t>
      </w:r>
      <w:r w:rsidR="00D61D6B">
        <w:t>)</w:t>
      </w:r>
      <w:r w:rsidR="00297F0C">
        <w:t xml:space="preserve"> submission</w:t>
      </w:r>
      <w:r w:rsidR="001604EC">
        <w:t xml:space="preserve"> called for an acknowledgment within the water charge rules that infrastructure operators “are obliged to plan and manage their resource for multiple purposes and multiple users”; therefore </w:t>
      </w:r>
      <w:r w:rsidR="007B7FC3">
        <w:t>WPM</w:t>
      </w:r>
      <w:r w:rsidR="001604EC">
        <w:t xml:space="preserve"> costs are incurred by, and apply to, all classes of entitlements, regardless of the purpose of water use.</w:t>
      </w:r>
      <w:r w:rsidR="001604EC" w:rsidRPr="00B53126">
        <w:rPr>
          <w:rStyle w:val="FootnoteReference"/>
          <w:rFonts w:cs="Times New Roman"/>
          <w:sz w:val="20"/>
          <w:szCs w:val="20"/>
        </w:rPr>
        <w:footnoteReference w:id="781"/>
      </w:r>
      <w:r w:rsidR="001604EC" w:rsidRPr="001604EC">
        <w:t xml:space="preserve"> </w:t>
      </w:r>
      <w:r w:rsidR="001604EC">
        <w:t xml:space="preserve">Similarly, the NSW Office of Environment and Heritage </w:t>
      </w:r>
      <w:r w:rsidR="00D93407">
        <w:t xml:space="preserve">(OEH) </w:t>
      </w:r>
      <w:r w:rsidR="001604EC">
        <w:t xml:space="preserve">commented on the benefits of the contribution that it makes to the NSW </w:t>
      </w:r>
      <w:r w:rsidR="007B7FC3">
        <w:t>WPM</w:t>
      </w:r>
      <w:r w:rsidR="001604EC">
        <w:t xml:space="preserve"> costs via the charges that it pays as a licence holder.</w:t>
      </w:r>
      <w:r w:rsidR="00C6733C">
        <w:t xml:space="preserve"> </w:t>
      </w:r>
    </w:p>
    <w:p w:rsidR="001604EC" w:rsidRDefault="00E60305" w:rsidP="00DF129E">
      <w:pPr>
        <w:pStyle w:val="Heading3Un-numbered"/>
      </w:pPr>
      <w:r>
        <w:t>ACCC assessment</w:t>
      </w:r>
    </w:p>
    <w:p w:rsidR="00297F0C" w:rsidRDefault="00297F0C" w:rsidP="00297F0C">
      <w:r>
        <w:t xml:space="preserve">Submissions on this issue generally supported the proposals in the Draft Advice. </w:t>
      </w:r>
    </w:p>
    <w:p w:rsidR="00297F0C" w:rsidRDefault="00297F0C" w:rsidP="00A60A09">
      <w:pPr>
        <w:spacing w:after="120"/>
      </w:pPr>
      <w:r>
        <w:t>The ACCC’s Final Advice maintains rule advices 7-A and 7-B, that is:</w:t>
      </w:r>
    </w:p>
    <w:p w:rsidR="00297F0C" w:rsidRDefault="00297F0C" w:rsidP="00A82DE6">
      <w:pPr>
        <w:pStyle w:val="Lvl1Bulletpoint"/>
      </w:pPr>
      <w:r>
        <w:t xml:space="preserve">The requirement to disclose the nature and cost of </w:t>
      </w:r>
      <w:r w:rsidR="007B7FC3">
        <w:t>WPM</w:t>
      </w:r>
      <w:r>
        <w:t xml:space="preserve"> activities related to planning and management charges (</w:t>
      </w:r>
      <w:r w:rsidR="00A22F1F">
        <w:t>sub</w:t>
      </w:r>
      <w:r>
        <w:t>rules 5(2)(d) and 5(2)(j) of the WCPMIR) should be repealed.</w:t>
      </w:r>
    </w:p>
    <w:p w:rsidR="00297F0C" w:rsidRDefault="00297F0C" w:rsidP="00A82DE6">
      <w:pPr>
        <w:pStyle w:val="Lvl1Bulletpoint"/>
      </w:pPr>
      <w:r>
        <w:t>The rules should be amended such that remaining requirements in the WCPMIR to disclose information about planning and management charges are retained and harmonised with the general pricing transparency requirements for infrastructure charges.</w:t>
      </w:r>
    </w:p>
    <w:p w:rsidR="001604EC" w:rsidRDefault="00297F0C" w:rsidP="001604EC">
      <w:r>
        <w:t xml:space="preserve">This will implement the ACCC’s general advice on the suitability of the rules in relation to reporting on </w:t>
      </w:r>
      <w:r w:rsidR="007B7FC3">
        <w:t>WPM</w:t>
      </w:r>
      <w:r>
        <w:t xml:space="preserve"> costs, set out in section 7.2.</w:t>
      </w:r>
    </w:p>
    <w:p w:rsidR="001604EC" w:rsidRDefault="001604EC" w:rsidP="001604EC">
      <w:r>
        <w:t xml:space="preserve">The ACCC notes the comments of the CEWH and NSW OEH on the benefits for planning and management from using water for environmental outcomes, including through the revenue from infrastructure charges </w:t>
      </w:r>
      <w:r w:rsidR="006D6E7D">
        <w:t xml:space="preserve">relating to </w:t>
      </w:r>
      <w:r>
        <w:t xml:space="preserve">such water. However, </w:t>
      </w:r>
      <w:r w:rsidR="00297F0C">
        <w:t xml:space="preserve">the ACCC does </w:t>
      </w:r>
      <w:r>
        <w:t xml:space="preserve">not consider that </w:t>
      </w:r>
      <w:r w:rsidR="006D6E7D">
        <w:t xml:space="preserve">an express </w:t>
      </w:r>
      <w:r>
        <w:t xml:space="preserve">recognition of this is required in the </w:t>
      </w:r>
      <w:r w:rsidR="002D6B1D">
        <w:t>r</w:t>
      </w:r>
      <w:r>
        <w:t>ules.</w:t>
      </w:r>
      <w:r w:rsidR="00297F0C">
        <w:t xml:space="preserve"> </w:t>
      </w:r>
      <w:r>
        <w:t>Similarly, the ACCC considers it is not necessary for there to be an acknowledgment within the water charge rules that infrastructure operators “are obliged to plan and manage their resource for multiple purposes and multiple users”.</w:t>
      </w:r>
      <w:r w:rsidR="00A82DE6">
        <w:t xml:space="preserve"> </w:t>
      </w:r>
      <w:r w:rsidR="006D6E7D">
        <w:t>The ACCC considers that the range of uses and users of water is already widely understood throughout the MDB.</w:t>
      </w:r>
      <w:r w:rsidR="004F6BD0">
        <w:t xml:space="preserve"> </w:t>
      </w:r>
    </w:p>
    <w:p w:rsidR="00B66B6C" w:rsidRPr="00D714FC" w:rsidRDefault="00B66B6C" w:rsidP="00616672">
      <w:pPr>
        <w:pStyle w:val="Heading2"/>
      </w:pPr>
      <w:bookmarkStart w:id="1424" w:name="_Toc433370656"/>
      <w:bookmarkStart w:id="1425" w:name="_Toc436122328"/>
      <w:bookmarkStart w:id="1426" w:name="_Toc436122823"/>
      <w:bookmarkStart w:id="1427" w:name="_Toc436124178"/>
      <w:bookmarkStart w:id="1428" w:name="_Toc456785835"/>
      <w:bookmarkStart w:id="1429" w:name="_Toc461630747"/>
      <w:r w:rsidRPr="00D714FC">
        <w:t>Requirements as to timing and place of publication</w:t>
      </w:r>
      <w:bookmarkEnd w:id="1424"/>
      <w:bookmarkEnd w:id="1425"/>
      <w:bookmarkEnd w:id="1426"/>
      <w:bookmarkEnd w:id="1427"/>
      <w:bookmarkEnd w:id="1428"/>
      <w:bookmarkEnd w:id="1429"/>
      <w:r w:rsidRPr="00D714FC">
        <w:tab/>
      </w:r>
    </w:p>
    <w:p w:rsidR="002917E7" w:rsidRPr="006246A8" w:rsidRDefault="002917E7" w:rsidP="00DF129E">
      <w:pPr>
        <w:pStyle w:val="Heading3Un-numbered"/>
      </w:pPr>
      <w:r>
        <w:t>Background</w:t>
      </w:r>
    </w:p>
    <w:p w:rsidR="00B66B6C" w:rsidRPr="00D714FC" w:rsidRDefault="00B66B6C" w:rsidP="00B66B6C">
      <w:pPr>
        <w:rPr>
          <w:rFonts w:cs="Times New Roman"/>
        </w:rPr>
      </w:pPr>
      <w:r w:rsidRPr="00D714FC">
        <w:rPr>
          <w:rFonts w:cs="Times New Roman"/>
        </w:rPr>
        <w:t>The introduction of a new planning and management charge or amendment of a material characteristic of an existing planning and management charge currently triggers</w:t>
      </w:r>
      <w:r w:rsidR="0095379E">
        <w:rPr>
          <w:rFonts w:cs="Times New Roman"/>
        </w:rPr>
        <w:t xml:space="preserve"> under the Water Charge (Planning and Management Information) Rules 2010 (WCPMIR)</w:t>
      </w:r>
      <w:r w:rsidRPr="00D714FC">
        <w:rPr>
          <w:rFonts w:cs="Times New Roman"/>
        </w:rPr>
        <w:t xml:space="preserve"> the requirement to publish the information, either on the internet or in the Australian Government Gazette, and to place a notice advising of information being available in a newspaper circulating generally in the area in which persons liable to pay the planning and management charge reside or carry on business. The information must be available before the planning and management charge or the amendment comes into effect and must be provided to any person on request.</w:t>
      </w:r>
      <w:r w:rsidR="007A500C">
        <w:rPr>
          <w:rFonts w:cs="Times New Roman"/>
        </w:rPr>
        <w:t xml:space="preserve"> </w:t>
      </w:r>
    </w:p>
    <w:p w:rsidR="00C215BE" w:rsidRPr="005203DA" w:rsidRDefault="002552DF" w:rsidP="00A82DE6">
      <w:pPr>
        <w:spacing w:after="0"/>
        <w:rPr>
          <w:rFonts w:cs="Times New Roman"/>
          <w:color w:val="000000"/>
        </w:rPr>
      </w:pPr>
      <w:r>
        <w:rPr>
          <w:rFonts w:cs="Times New Roman"/>
        </w:rPr>
        <w:t>The ACCC noted in its Draft Advice that c</w:t>
      </w:r>
      <w:r w:rsidR="000E0F8A" w:rsidRPr="005203DA">
        <w:rPr>
          <w:rFonts w:cs="Times New Roman"/>
        </w:rPr>
        <w:t>urrently u</w:t>
      </w:r>
      <w:r w:rsidR="00C215BE" w:rsidRPr="005203DA">
        <w:rPr>
          <w:rFonts w:cs="Times New Roman"/>
        </w:rPr>
        <w:t xml:space="preserve">nder the WCPMIR and </w:t>
      </w:r>
      <w:r w:rsidR="002C2856" w:rsidRPr="00524D9F">
        <w:rPr>
          <w:rFonts w:cs="Times New Roman"/>
        </w:rPr>
        <w:t xml:space="preserve">Water Charge (Infrastructure) Rules 2010 </w:t>
      </w:r>
      <w:r w:rsidR="002C2856">
        <w:rPr>
          <w:rFonts w:cs="Times New Roman"/>
        </w:rPr>
        <w:t>(</w:t>
      </w:r>
      <w:r w:rsidR="00C215BE" w:rsidRPr="005203DA">
        <w:rPr>
          <w:rFonts w:cs="Times New Roman"/>
        </w:rPr>
        <w:t>WCIR</w:t>
      </w:r>
      <w:r w:rsidR="002C2856">
        <w:rPr>
          <w:rFonts w:cs="Times New Roman"/>
        </w:rPr>
        <w:t>)</w:t>
      </w:r>
      <w:r w:rsidR="00C215BE" w:rsidRPr="005203DA">
        <w:rPr>
          <w:rFonts w:cs="Times New Roman"/>
        </w:rPr>
        <w:t>, i</w:t>
      </w:r>
      <w:r w:rsidR="00C215BE" w:rsidRPr="005203DA">
        <w:rPr>
          <w:rFonts w:cs="Times New Roman"/>
          <w:color w:val="000000"/>
        </w:rPr>
        <w:t xml:space="preserve">nfrastructure operators and individuals who determine planning and management charges </w:t>
      </w:r>
      <w:r w:rsidR="000E0F8A" w:rsidRPr="005203DA">
        <w:rPr>
          <w:rFonts w:cs="Times New Roman"/>
          <w:color w:val="000000"/>
        </w:rPr>
        <w:t>are subject to</w:t>
      </w:r>
      <w:r w:rsidR="00C215BE" w:rsidRPr="005203DA">
        <w:rPr>
          <w:rFonts w:cs="Times New Roman"/>
          <w:color w:val="000000"/>
        </w:rPr>
        <w:t xml:space="preserve"> different requirements relating </w:t>
      </w:r>
      <w:r w:rsidRPr="00D714FC">
        <w:rPr>
          <w:rFonts w:cs="Times New Roman"/>
        </w:rPr>
        <w:t>as to the timing and place of publication of information</w:t>
      </w:r>
      <w:r w:rsidRPr="005203DA">
        <w:rPr>
          <w:rFonts w:cs="Times New Roman"/>
          <w:color w:val="000000"/>
        </w:rPr>
        <w:t xml:space="preserve"> </w:t>
      </w:r>
      <w:r>
        <w:rPr>
          <w:rFonts w:cs="Times New Roman"/>
          <w:color w:val="000000"/>
        </w:rPr>
        <w:t xml:space="preserve">about regulated charges. </w:t>
      </w:r>
      <w:r w:rsidR="000E0F8A" w:rsidRPr="005203DA">
        <w:rPr>
          <w:rFonts w:cs="Times New Roman"/>
          <w:color w:val="000000"/>
        </w:rPr>
        <w:t>The ACCC made draft r</w:t>
      </w:r>
      <w:r w:rsidR="00C215BE" w:rsidRPr="005203DA">
        <w:rPr>
          <w:rFonts w:cs="Times New Roman"/>
          <w:color w:val="000000"/>
        </w:rPr>
        <w:t>ule advice</w:t>
      </w:r>
      <w:r w:rsidR="007A500C">
        <w:rPr>
          <w:rFonts w:cs="Times New Roman"/>
          <w:color w:val="000000"/>
        </w:rPr>
        <w:t xml:space="preserve"> 5-I</w:t>
      </w:r>
      <w:r w:rsidR="00C215BE" w:rsidRPr="005203DA">
        <w:rPr>
          <w:rFonts w:cs="Times New Roman"/>
          <w:color w:val="000000"/>
        </w:rPr>
        <w:t xml:space="preserve"> </w:t>
      </w:r>
      <w:r w:rsidR="000E0F8A" w:rsidRPr="005203DA">
        <w:rPr>
          <w:rFonts w:cs="Times New Roman"/>
          <w:color w:val="000000"/>
        </w:rPr>
        <w:t>to simplify and</w:t>
      </w:r>
      <w:r w:rsidR="002917E7">
        <w:rPr>
          <w:rFonts w:cs="Times New Roman"/>
          <w:color w:val="000000"/>
        </w:rPr>
        <w:t>, where appropriate,</w:t>
      </w:r>
      <w:r w:rsidR="000E0F8A" w:rsidRPr="005203DA">
        <w:rPr>
          <w:rFonts w:cs="Times New Roman"/>
          <w:color w:val="000000"/>
        </w:rPr>
        <w:t xml:space="preserve"> streamline </w:t>
      </w:r>
      <w:r w:rsidR="00C215BE" w:rsidRPr="005203DA">
        <w:rPr>
          <w:rFonts w:cs="Times New Roman"/>
          <w:color w:val="000000"/>
        </w:rPr>
        <w:t>publication requirements.</w:t>
      </w:r>
      <w:r w:rsidR="005203DA">
        <w:rPr>
          <w:rStyle w:val="FootnoteReference"/>
          <w:rFonts w:cs="Times New Roman"/>
          <w:color w:val="000000"/>
        </w:rPr>
        <w:footnoteReference w:id="782"/>
      </w:r>
      <w:r w:rsidR="00C215BE" w:rsidRPr="005203DA">
        <w:rPr>
          <w:rFonts w:cs="Times New Roman"/>
          <w:color w:val="000000"/>
        </w:rPr>
        <w:t xml:space="preserve"> </w:t>
      </w:r>
      <w:r w:rsidR="000E0F8A" w:rsidRPr="005203DA">
        <w:rPr>
          <w:rFonts w:cs="Times New Roman"/>
          <w:color w:val="000000"/>
        </w:rPr>
        <w:t xml:space="preserve">In relation to </w:t>
      </w:r>
      <w:r w:rsidR="00C215BE" w:rsidRPr="005203DA">
        <w:rPr>
          <w:rFonts w:cs="Times New Roman"/>
          <w:color w:val="000000"/>
        </w:rPr>
        <w:t xml:space="preserve">publication </w:t>
      </w:r>
      <w:r w:rsidR="000E0F8A" w:rsidRPr="005203DA">
        <w:rPr>
          <w:rFonts w:cs="Times New Roman"/>
          <w:color w:val="000000"/>
        </w:rPr>
        <w:t xml:space="preserve">requirements for </w:t>
      </w:r>
      <w:r w:rsidR="00C215BE" w:rsidRPr="005203DA">
        <w:rPr>
          <w:rFonts w:cs="Times New Roman"/>
          <w:color w:val="000000"/>
        </w:rPr>
        <w:t>planning and management charges</w:t>
      </w:r>
      <w:r w:rsidR="000E0F8A" w:rsidRPr="005203DA">
        <w:rPr>
          <w:rFonts w:cs="Times New Roman"/>
          <w:color w:val="000000"/>
        </w:rPr>
        <w:t xml:space="preserve">, </w:t>
      </w:r>
      <w:r w:rsidR="006644E3">
        <w:rPr>
          <w:rFonts w:cs="Times New Roman"/>
          <w:color w:val="000000"/>
        </w:rPr>
        <w:t xml:space="preserve">rule advice 5-I in </w:t>
      </w:r>
      <w:r w:rsidR="0048660F">
        <w:rPr>
          <w:rFonts w:cs="Times New Roman"/>
          <w:color w:val="000000"/>
        </w:rPr>
        <w:t>section 5.4.2 of the Draft Advice proposed</w:t>
      </w:r>
      <w:r w:rsidR="00C215BE" w:rsidRPr="005203DA">
        <w:rPr>
          <w:rFonts w:cs="Times New Roman"/>
          <w:color w:val="000000"/>
        </w:rPr>
        <w:t>:</w:t>
      </w:r>
    </w:p>
    <w:p w:rsidR="0022067E" w:rsidRDefault="000E0F8A" w:rsidP="00A82DE6">
      <w:pPr>
        <w:pStyle w:val="Lvl1Bulletpoint"/>
        <w:spacing w:after="0"/>
      </w:pPr>
      <w:r w:rsidRPr="005203DA">
        <w:t>remov</w:t>
      </w:r>
      <w:r w:rsidR="0048660F">
        <w:t>ing</w:t>
      </w:r>
      <w:r w:rsidRPr="005203DA">
        <w:t xml:space="preserve"> </w:t>
      </w:r>
      <w:r w:rsidR="00C215BE" w:rsidRPr="005203DA">
        <w:t xml:space="preserve">the requirement to publish a notice in a local newspaper or in the </w:t>
      </w:r>
      <w:r w:rsidR="00C215BE" w:rsidRPr="005203DA">
        <w:rPr>
          <w:i/>
        </w:rPr>
        <w:t xml:space="preserve">Australian Government Gazette </w:t>
      </w:r>
      <w:r w:rsidR="00C215BE" w:rsidRPr="005203DA">
        <w:t>when a charge is imposed or changed</w:t>
      </w:r>
      <w:r w:rsidRPr="005203DA">
        <w:t xml:space="preserve"> (draft rule advice 5-</w:t>
      </w:r>
      <w:r w:rsidR="005203DA" w:rsidRPr="005203DA">
        <w:t>H)</w:t>
      </w:r>
      <w:r w:rsidR="006644E3">
        <w:rPr>
          <w:i/>
        </w:rPr>
        <w:t>;</w:t>
      </w:r>
      <w:r w:rsidR="00C215BE" w:rsidRPr="005203DA">
        <w:t>amend</w:t>
      </w:r>
      <w:r w:rsidR="0048660F">
        <w:t>ing</w:t>
      </w:r>
      <w:r w:rsidRPr="005203DA">
        <w:t xml:space="preserve"> </w:t>
      </w:r>
      <w:r w:rsidR="00C215BE" w:rsidRPr="005203DA">
        <w:t xml:space="preserve">the timeframe </w:t>
      </w:r>
      <w:r w:rsidR="006644E3">
        <w:t xml:space="preserve">for </w:t>
      </w:r>
      <w:r w:rsidR="00C215BE" w:rsidRPr="005203DA">
        <w:t>when charge information must be published</w:t>
      </w:r>
      <w:r w:rsidR="0022067E">
        <w:t>.</w:t>
      </w:r>
      <w:r w:rsidR="00E36BB4">
        <w:rPr>
          <w:rStyle w:val="FootnoteReference"/>
        </w:rPr>
        <w:footnoteReference w:id="783"/>
      </w:r>
      <w:r w:rsidR="00C215BE" w:rsidRPr="005203DA">
        <w:t xml:space="preserve"> </w:t>
      </w:r>
      <w:r w:rsidR="0022067E">
        <w:t>The ACCC proposed that:</w:t>
      </w:r>
    </w:p>
    <w:p w:rsidR="0022067E" w:rsidRDefault="0022067E" w:rsidP="00A82DE6">
      <w:pPr>
        <w:pStyle w:val="Lvl2Bulletpoint"/>
      </w:pPr>
      <w:r>
        <w:t>a Schedule of Charges should be published</w:t>
      </w:r>
      <w:r w:rsidR="009E49FF">
        <w:t xml:space="preserve"> /</w:t>
      </w:r>
      <w:r w:rsidR="00B532BC">
        <w:t xml:space="preserve"> </w:t>
      </w:r>
      <w:r>
        <w:t xml:space="preserve">sent 25 business days in advance of that Schedule coming into effect by infrastructure operators (whose charges must be approved or determined by the ACCC or a State Agency) and </w:t>
      </w:r>
      <w:r>
        <w:rPr>
          <w:rFonts w:cs="Times New Roman"/>
          <w:color w:val="000000"/>
        </w:rPr>
        <w:t xml:space="preserve">persons, other than infrastructure operators, who determine </w:t>
      </w:r>
      <w:r>
        <w:t>planning and management charges.</w:t>
      </w:r>
    </w:p>
    <w:p w:rsidR="0022067E" w:rsidRDefault="0022067E" w:rsidP="00A82DE6">
      <w:pPr>
        <w:pStyle w:val="Lvl2Bulletpoint"/>
      </w:pPr>
      <w:r>
        <w:t xml:space="preserve">a Schedule of Charges </w:t>
      </w:r>
      <w:r w:rsidR="009E4DCE">
        <w:t>should be published</w:t>
      </w:r>
      <w:r w:rsidR="00496E84">
        <w:t xml:space="preserve"> / </w:t>
      </w:r>
      <w:r w:rsidR="009E4DCE">
        <w:t xml:space="preserve">sent 10 business days in advance </w:t>
      </w:r>
      <w:r w:rsidR="009E49FF">
        <w:t>of that Schedule coming into effect by all other infrastructure operators.</w:t>
      </w:r>
      <w:r w:rsidR="009E49FF">
        <w:rPr>
          <w:rStyle w:val="FootnoteReference"/>
          <w:rFonts w:cs="Times New Roman"/>
        </w:rPr>
        <w:footnoteReference w:id="784"/>
      </w:r>
    </w:p>
    <w:p w:rsidR="00B66B6C" w:rsidRPr="007005F1" w:rsidRDefault="00B66B6C" w:rsidP="00DF129E">
      <w:pPr>
        <w:pStyle w:val="Heading3Un-numbered"/>
      </w:pPr>
      <w:r w:rsidRPr="007005F1">
        <w:t>Stakeholder feedback</w:t>
      </w:r>
    </w:p>
    <w:p w:rsidR="00B66B6C" w:rsidRDefault="00735D46" w:rsidP="00B66B6C">
      <w:pPr>
        <w:rPr>
          <w:rFonts w:cs="Times New Roman"/>
          <w:color w:val="000000"/>
        </w:rPr>
      </w:pPr>
      <w:r>
        <w:rPr>
          <w:rFonts w:cs="Times New Roman"/>
          <w:color w:val="000000"/>
        </w:rPr>
        <w:t xml:space="preserve">Only one submission to the Issues Paper directly addressed the </w:t>
      </w:r>
      <w:r w:rsidR="00B66B6C" w:rsidRPr="00D714FC">
        <w:rPr>
          <w:rFonts w:cs="Times New Roman"/>
          <w:color w:val="000000"/>
        </w:rPr>
        <w:t>issue of timing and location for publishing information</w:t>
      </w:r>
      <w:r>
        <w:rPr>
          <w:rFonts w:cs="Times New Roman"/>
          <w:color w:val="000000"/>
        </w:rPr>
        <w:t xml:space="preserve"> on planning and management charges</w:t>
      </w:r>
      <w:r w:rsidR="00B66B6C" w:rsidRPr="00D714FC">
        <w:rPr>
          <w:rFonts w:cs="Times New Roman"/>
          <w:color w:val="000000"/>
        </w:rPr>
        <w:t xml:space="preserve">. The </w:t>
      </w:r>
      <w:r w:rsidR="00CE0038">
        <w:rPr>
          <w:rFonts w:cs="Times New Roman"/>
          <w:color w:val="000000"/>
        </w:rPr>
        <w:t>NSW</w:t>
      </w:r>
      <w:r w:rsidR="00B66B6C" w:rsidRPr="00D714FC">
        <w:rPr>
          <w:rFonts w:cs="Times New Roman"/>
          <w:color w:val="000000"/>
        </w:rPr>
        <w:t xml:space="preserve"> Government </w:t>
      </w:r>
      <w:r w:rsidR="002917E7">
        <w:rPr>
          <w:rFonts w:cs="Times New Roman"/>
          <w:color w:val="000000"/>
        </w:rPr>
        <w:t xml:space="preserve">suggested that </w:t>
      </w:r>
      <w:r w:rsidR="007B7FC3">
        <w:rPr>
          <w:rFonts w:cs="Times New Roman"/>
          <w:color w:val="000000"/>
        </w:rPr>
        <w:t xml:space="preserve">water </w:t>
      </w:r>
      <w:r w:rsidR="002917E7">
        <w:rPr>
          <w:rFonts w:cs="Times New Roman"/>
          <w:color w:val="000000"/>
        </w:rPr>
        <w:t>planning and management</w:t>
      </w:r>
      <w:r w:rsidR="007B7FC3">
        <w:rPr>
          <w:rFonts w:cs="Times New Roman"/>
          <w:color w:val="000000"/>
        </w:rPr>
        <w:t xml:space="preserve"> (WPM)</w:t>
      </w:r>
      <w:r w:rsidR="002917E7">
        <w:rPr>
          <w:rFonts w:cs="Times New Roman"/>
          <w:color w:val="000000"/>
        </w:rPr>
        <w:t xml:space="preserve"> information could instead be </w:t>
      </w:r>
      <w:r w:rsidRPr="00D714FC">
        <w:rPr>
          <w:rFonts w:cs="Times New Roman"/>
          <w:color w:val="000000"/>
        </w:rPr>
        <w:t>provide</w:t>
      </w:r>
      <w:r w:rsidR="002917E7">
        <w:rPr>
          <w:rFonts w:cs="Times New Roman"/>
          <w:color w:val="000000"/>
        </w:rPr>
        <w:t>d</w:t>
      </w:r>
      <w:r w:rsidRPr="00D714FC">
        <w:rPr>
          <w:rFonts w:cs="Times New Roman"/>
          <w:color w:val="000000"/>
        </w:rPr>
        <w:t xml:space="preserve"> to the ACCC at the same time that it is provided to IPART </w:t>
      </w:r>
      <w:r>
        <w:rPr>
          <w:rFonts w:cs="Times New Roman"/>
          <w:color w:val="000000"/>
        </w:rPr>
        <w:t>(</w:t>
      </w:r>
      <w:r w:rsidRPr="00D714FC">
        <w:rPr>
          <w:rFonts w:cs="Times New Roman"/>
          <w:color w:val="000000"/>
        </w:rPr>
        <w:t>in October</w:t>
      </w:r>
      <w:r>
        <w:rPr>
          <w:rFonts w:cs="Times New Roman"/>
          <w:color w:val="000000"/>
        </w:rPr>
        <w:t>)</w:t>
      </w:r>
      <w:r w:rsidR="00B66B6C" w:rsidRPr="00D714FC">
        <w:rPr>
          <w:rFonts w:cs="Times New Roman"/>
          <w:color w:val="000000"/>
        </w:rPr>
        <w:t>.</w:t>
      </w:r>
      <w:r w:rsidR="0099255E" w:rsidRPr="00D714FC">
        <w:rPr>
          <w:rStyle w:val="FootnoteReference"/>
          <w:rFonts w:cs="Times New Roman"/>
          <w:color w:val="000000"/>
        </w:rPr>
        <w:footnoteReference w:id="785"/>
      </w:r>
      <w:r w:rsidR="00B66B6C" w:rsidRPr="00D714FC">
        <w:rPr>
          <w:rFonts w:cs="Times New Roman"/>
          <w:color w:val="000000"/>
        </w:rPr>
        <w:t xml:space="preserve"> </w:t>
      </w:r>
      <w:r w:rsidR="00455050">
        <w:rPr>
          <w:rFonts w:cs="Times New Roman"/>
          <w:color w:val="000000"/>
        </w:rPr>
        <w:t>The NSW Government</w:t>
      </w:r>
      <w:r w:rsidR="00B66B6C" w:rsidRPr="00D714FC">
        <w:rPr>
          <w:rFonts w:cs="Times New Roman"/>
          <w:color w:val="000000"/>
        </w:rPr>
        <w:t xml:space="preserve"> </w:t>
      </w:r>
      <w:r>
        <w:rPr>
          <w:rFonts w:cs="Times New Roman"/>
          <w:color w:val="000000"/>
        </w:rPr>
        <w:t xml:space="preserve">further </w:t>
      </w:r>
      <w:r w:rsidR="00B66B6C" w:rsidRPr="00D714FC">
        <w:rPr>
          <w:rFonts w:cs="Times New Roman"/>
          <w:color w:val="000000"/>
        </w:rPr>
        <w:t>noted that charges imposed by the Department of Primary Industries</w:t>
      </w:r>
      <w:r w:rsidR="000864B4">
        <w:rPr>
          <w:rFonts w:cs="Times New Roman"/>
          <w:color w:val="000000"/>
        </w:rPr>
        <w:t>—Water</w:t>
      </w:r>
      <w:r w:rsidR="00B66B6C" w:rsidRPr="00D714FC">
        <w:rPr>
          <w:rFonts w:cs="Times New Roman"/>
          <w:color w:val="000000"/>
        </w:rPr>
        <w:t xml:space="preserve"> </w:t>
      </w:r>
      <w:r w:rsidR="00912A0D">
        <w:rPr>
          <w:rFonts w:cs="Times New Roman"/>
          <w:color w:val="000000"/>
        </w:rPr>
        <w:t>(DPI</w:t>
      </w:r>
      <w:r w:rsidR="000864B4">
        <w:rPr>
          <w:rFonts w:cs="Times New Roman"/>
          <w:color w:val="000000"/>
        </w:rPr>
        <w:t xml:space="preserve"> Water</w:t>
      </w:r>
      <w:r w:rsidR="00912A0D">
        <w:rPr>
          <w:rFonts w:cs="Times New Roman"/>
          <w:color w:val="000000"/>
        </w:rPr>
        <w:t xml:space="preserve">) </w:t>
      </w:r>
      <w:r w:rsidR="00B66B6C" w:rsidRPr="00D714FC">
        <w:rPr>
          <w:rFonts w:cs="Times New Roman"/>
          <w:color w:val="000000"/>
        </w:rPr>
        <w:t>are subject to IPART</w:t>
      </w:r>
      <w:r w:rsidR="00455050">
        <w:rPr>
          <w:rFonts w:cs="Times New Roman"/>
          <w:color w:val="000000"/>
        </w:rPr>
        <w:t>’s</w:t>
      </w:r>
      <w:r w:rsidR="00B66B6C" w:rsidRPr="00D714FC">
        <w:rPr>
          <w:rFonts w:cs="Times New Roman"/>
          <w:color w:val="000000"/>
        </w:rPr>
        <w:t xml:space="preserve"> public consultation process when </w:t>
      </w:r>
      <w:r w:rsidR="00455050">
        <w:rPr>
          <w:rFonts w:cs="Times New Roman"/>
          <w:color w:val="000000"/>
        </w:rPr>
        <w:t>IPART</w:t>
      </w:r>
      <w:r w:rsidR="00B66B6C" w:rsidRPr="00D714FC">
        <w:rPr>
          <w:rFonts w:cs="Times New Roman"/>
          <w:color w:val="000000"/>
        </w:rPr>
        <w:t xml:space="preserve"> set</w:t>
      </w:r>
      <w:r w:rsidR="00455050">
        <w:rPr>
          <w:rFonts w:cs="Times New Roman"/>
          <w:color w:val="000000"/>
        </w:rPr>
        <w:t>s</w:t>
      </w:r>
      <w:r w:rsidR="00B66B6C" w:rsidRPr="00D714FC">
        <w:rPr>
          <w:rFonts w:cs="Times New Roman"/>
          <w:color w:val="000000"/>
        </w:rPr>
        <w:t xml:space="preserve"> price paths for their charges</w:t>
      </w:r>
      <w:r w:rsidR="00455050">
        <w:rPr>
          <w:rFonts w:cs="Times New Roman"/>
          <w:color w:val="000000"/>
        </w:rPr>
        <w:t xml:space="preserve"> and the charges are available on the </w:t>
      </w:r>
      <w:r w:rsidR="003E354B">
        <w:rPr>
          <w:rFonts w:cs="Times New Roman"/>
          <w:color w:val="000000"/>
        </w:rPr>
        <w:t>DPI</w:t>
      </w:r>
      <w:r w:rsidR="000864B4">
        <w:rPr>
          <w:rFonts w:cs="Times New Roman"/>
          <w:color w:val="000000"/>
        </w:rPr>
        <w:t xml:space="preserve"> Water</w:t>
      </w:r>
      <w:r w:rsidR="00455050">
        <w:rPr>
          <w:rFonts w:cs="Times New Roman"/>
          <w:color w:val="000000"/>
        </w:rPr>
        <w:t>’s website</w:t>
      </w:r>
      <w:r w:rsidR="00B66B6C" w:rsidRPr="00D714FC">
        <w:rPr>
          <w:rFonts w:cs="Times New Roman"/>
          <w:color w:val="000000"/>
        </w:rPr>
        <w:t>.</w:t>
      </w:r>
    </w:p>
    <w:p w:rsidR="002917E7" w:rsidRDefault="002917E7" w:rsidP="002917E7">
      <w:r>
        <w:rPr>
          <w:rFonts w:cs="Times New Roman"/>
          <w:color w:val="000000"/>
        </w:rPr>
        <w:t xml:space="preserve">In response to the Draft Advice, </w:t>
      </w:r>
      <w:r>
        <w:t>Goulburn-Murray Water</w:t>
      </w:r>
      <w:r w:rsidR="00CD0E51">
        <w:t xml:space="preserve"> (GMW)</w:t>
      </w:r>
      <w:r>
        <w:t xml:space="preserve"> submitted generally that it supports the ACCC’s proposed amendments in relation to the WCPMIR and the “intention to improve price transparency”.</w:t>
      </w:r>
      <w:r w:rsidRPr="00597AD0">
        <w:rPr>
          <w:rStyle w:val="FootnoteReference"/>
          <w:rFonts w:cs="Times New Roman"/>
          <w:sz w:val="20"/>
          <w:szCs w:val="20"/>
        </w:rPr>
        <w:footnoteReference w:id="786"/>
      </w:r>
    </w:p>
    <w:p w:rsidR="002917E7" w:rsidRPr="00D1258C" w:rsidRDefault="002917E7" w:rsidP="002917E7">
      <w:r>
        <w:t>No other submissions commented specifically on this section of the Draft Advice.</w:t>
      </w:r>
    </w:p>
    <w:p w:rsidR="00312E96" w:rsidRDefault="00E60305" w:rsidP="00DF129E">
      <w:pPr>
        <w:pStyle w:val="Heading3Un-numbered"/>
      </w:pPr>
      <w:r>
        <w:t>ACCC assessment</w:t>
      </w:r>
    </w:p>
    <w:p w:rsidR="0048660F" w:rsidRDefault="0048660F" w:rsidP="0048660F">
      <w:r>
        <w:t>The ACCC maintains its advice that the information requirements for infrastructure charges should be harmonised with those for planning and management charges</w:t>
      </w:r>
      <w:r w:rsidR="007D0D3D">
        <w:t xml:space="preserve"> as much as possible</w:t>
      </w:r>
      <w:r>
        <w:t>.</w:t>
      </w:r>
      <w:r w:rsidR="00E36BB4">
        <w:t xml:space="preserve"> The ACCC has generally retained draft rule advice 5-I but has proposed further amendments that will make it easier for persons to comply with the publication requirements relating to planning and management charges, see section 5.4.2 for further discussion. </w:t>
      </w:r>
      <w:r>
        <w:t>.</w:t>
      </w:r>
    </w:p>
    <w:p w:rsidR="00B66B6C" w:rsidRPr="00D714FC" w:rsidRDefault="00B66B6C" w:rsidP="00312E96"/>
    <w:p w:rsidR="005054F9" w:rsidRDefault="005054F9" w:rsidP="005054F9">
      <w:pPr>
        <w:pStyle w:val="Heading1"/>
        <w:rPr>
          <w:rFonts w:ascii="Times New Roman" w:hAnsi="Times New Roman" w:cs="Times New Roman"/>
        </w:rPr>
      </w:pPr>
      <w:bookmarkStart w:id="1430" w:name="_Toc433370657"/>
      <w:bookmarkStart w:id="1431" w:name="_Toc433979642"/>
      <w:bookmarkStart w:id="1432" w:name="_Toc436122329"/>
      <w:bookmarkStart w:id="1433" w:name="_Toc436122824"/>
      <w:bookmarkStart w:id="1434" w:name="_Toc436124179"/>
      <w:bookmarkStart w:id="1435" w:name="_Toc456785836"/>
      <w:bookmarkStart w:id="1436" w:name="_Toc461630748"/>
      <w:r w:rsidRPr="00D714FC">
        <w:rPr>
          <w:rFonts w:ascii="Times New Roman" w:hAnsi="Times New Roman" w:cs="Times New Roman"/>
        </w:rPr>
        <w:t>Other issues of concern</w:t>
      </w:r>
      <w:bookmarkEnd w:id="1430"/>
      <w:bookmarkEnd w:id="1431"/>
      <w:bookmarkEnd w:id="1432"/>
      <w:bookmarkEnd w:id="1433"/>
      <w:bookmarkEnd w:id="1434"/>
      <w:bookmarkEnd w:id="1435"/>
      <w:bookmarkEnd w:id="1436"/>
    </w:p>
    <w:p w:rsidR="009A7B9B" w:rsidRPr="00F308B8" w:rsidRDefault="009A7B9B" w:rsidP="009A7B9B">
      <w:pPr>
        <w:rPr>
          <w:rFonts w:cs="Times New Roman"/>
        </w:rPr>
      </w:pPr>
      <w:r>
        <w:rPr>
          <w:rFonts w:cs="Times New Roman"/>
        </w:rPr>
        <w:t xml:space="preserve">This </w:t>
      </w:r>
      <w:r w:rsidR="00B9494D">
        <w:rPr>
          <w:rFonts w:cs="Times New Roman"/>
        </w:rPr>
        <w:t>c</w:t>
      </w:r>
      <w:r w:rsidRPr="00F308B8">
        <w:rPr>
          <w:rFonts w:cs="Times New Roman"/>
        </w:rPr>
        <w:t xml:space="preserve">hapter briefly discusses several issues which were raised by stakeholders but </w:t>
      </w:r>
      <w:r w:rsidR="00A02B3E">
        <w:rPr>
          <w:rFonts w:cs="Times New Roman"/>
        </w:rPr>
        <w:t xml:space="preserve">which </w:t>
      </w:r>
      <w:r w:rsidRPr="00F308B8">
        <w:rPr>
          <w:rFonts w:cs="Times New Roman"/>
        </w:rPr>
        <w:t xml:space="preserve">cannot be addressed through the water charge rules. Although they are outside the direct scope of this review, the ACCC </w:t>
      </w:r>
      <w:r>
        <w:rPr>
          <w:rFonts w:cs="Times New Roman"/>
        </w:rPr>
        <w:t>has considered these concerns</w:t>
      </w:r>
      <w:r w:rsidRPr="00F308B8">
        <w:rPr>
          <w:rFonts w:cs="Times New Roman"/>
        </w:rPr>
        <w:t xml:space="preserve"> and made several recommendations</w:t>
      </w:r>
      <w:r w:rsidR="00A02B3E">
        <w:rPr>
          <w:rFonts w:cs="Times New Roman"/>
        </w:rPr>
        <w:t xml:space="preserve"> in response</w:t>
      </w:r>
      <w:r w:rsidRPr="00F308B8">
        <w:rPr>
          <w:rFonts w:cs="Times New Roman"/>
        </w:rPr>
        <w:t>.</w:t>
      </w:r>
    </w:p>
    <w:p w:rsidR="009A7B9B" w:rsidRPr="00F308B8" w:rsidRDefault="009A7B9B" w:rsidP="00F43856">
      <w:pPr>
        <w:pStyle w:val="Heading2"/>
        <w:numPr>
          <w:ilvl w:val="1"/>
          <w:numId w:val="64"/>
        </w:numPr>
      </w:pPr>
      <w:bookmarkStart w:id="1437" w:name="_Toc456785837"/>
      <w:bookmarkStart w:id="1438" w:name="_Toc461630749"/>
      <w:r w:rsidRPr="00F308B8">
        <w:t>Water market concerns</w:t>
      </w:r>
      <w:bookmarkEnd w:id="1437"/>
      <w:bookmarkEnd w:id="1438"/>
    </w:p>
    <w:p w:rsidR="009A7B9B" w:rsidRDefault="009A7B9B" w:rsidP="009A7B9B">
      <w:pPr>
        <w:pStyle w:val="Heading3"/>
        <w:ind w:left="862"/>
      </w:pPr>
      <w:bookmarkStart w:id="1439" w:name="_Toc456785838"/>
      <w:bookmarkStart w:id="1440" w:name="_Toc461630750"/>
      <w:r w:rsidRPr="00F308B8">
        <w:t>Transparency in water markets</w:t>
      </w:r>
      <w:bookmarkEnd w:id="1439"/>
      <w:bookmarkEnd w:id="1440"/>
    </w:p>
    <w:p w:rsidR="00FF770C" w:rsidRPr="0082647F" w:rsidRDefault="00FF770C" w:rsidP="0082647F">
      <w:pPr>
        <w:pStyle w:val="Heading4"/>
        <w:spacing w:before="0" w:after="0"/>
        <w:rPr>
          <w:rFonts w:ascii="Times New Roman" w:hAnsi="Times New Roman" w:cs="Times New Roman"/>
          <w:color w:val="FFFFFF" w:themeColor="background1"/>
          <w:sz w:val="12"/>
          <w:szCs w:val="12"/>
        </w:rPr>
      </w:pPr>
      <w:r w:rsidRPr="0082647F">
        <w:rPr>
          <w:rStyle w:val="Hyperlink"/>
          <w:rFonts w:asciiTheme="minorHAnsi" w:hAnsiTheme="minorHAnsi"/>
          <w:color w:val="FFFFFF" w:themeColor="background1"/>
          <w:sz w:val="12"/>
          <w:szCs w:val="12"/>
          <w:u w:val="none"/>
        </w:rPr>
        <w:fldChar w:fldCharType="begin"/>
      </w:r>
      <w:r w:rsidRPr="0082647F">
        <w:rPr>
          <w:rFonts w:ascii="Times New Roman" w:hAnsi="Times New Roman" w:cs="Times New Roman"/>
          <w:color w:val="FFFFFF" w:themeColor="background1"/>
          <w:sz w:val="12"/>
          <w:szCs w:val="12"/>
        </w:rPr>
        <w:instrText xml:space="preserve"> REF _Ref456942933 \h </w:instrText>
      </w:r>
      <w:r w:rsidRPr="0082647F">
        <w:rPr>
          <w:rStyle w:val="Hyperlink"/>
          <w:rFonts w:asciiTheme="minorHAnsi" w:hAnsiTheme="minorHAnsi"/>
          <w:color w:val="FFFFFF" w:themeColor="background1"/>
          <w:sz w:val="12"/>
          <w:szCs w:val="12"/>
          <w:u w:val="none"/>
        </w:rPr>
        <w:instrText xml:space="preserve"> \* MERGEFORMAT </w:instrText>
      </w:r>
      <w:r w:rsidRPr="0082647F">
        <w:rPr>
          <w:rStyle w:val="Hyperlink"/>
          <w:rFonts w:asciiTheme="minorHAnsi" w:hAnsiTheme="minorHAnsi"/>
          <w:color w:val="FFFFFF" w:themeColor="background1"/>
          <w:sz w:val="12"/>
          <w:szCs w:val="12"/>
          <w:u w:val="none"/>
        </w:rPr>
      </w:r>
      <w:r w:rsidRPr="0082647F">
        <w:rPr>
          <w:rStyle w:val="Hyperlink"/>
          <w:rFonts w:asciiTheme="minorHAnsi" w:hAnsiTheme="minorHAnsi"/>
          <w:color w:val="FFFFFF" w:themeColor="background1"/>
          <w:sz w:val="12"/>
          <w:szCs w:val="12"/>
          <w:u w:val="none"/>
        </w:rPr>
        <w:fldChar w:fldCharType="separate"/>
      </w:r>
      <w:r w:rsidR="00BD218B" w:rsidRPr="00BD218B">
        <w:rPr>
          <w:rStyle w:val="Hyperlink"/>
          <w:rFonts w:asciiTheme="minorHAnsi" w:hAnsiTheme="minorHAnsi"/>
          <w:color w:val="FFFFFF" w:themeColor="background1"/>
          <w:sz w:val="12"/>
          <w:szCs w:val="12"/>
          <w:u w:val="none"/>
        </w:rPr>
        <w:t xml:space="preserve">ACCC </w:t>
      </w:r>
      <w:r w:rsidR="00BD218B" w:rsidRPr="00BD218B">
        <w:rPr>
          <w:color w:val="FFFFFF" w:themeColor="background1"/>
          <w:sz w:val="12"/>
          <w:szCs w:val="12"/>
        </w:rPr>
        <w:t>Recommendations</w:t>
      </w:r>
      <w:r w:rsidRPr="0082647F">
        <w:rPr>
          <w:rStyle w:val="Hyperlink"/>
          <w:rFonts w:asciiTheme="minorHAnsi" w:hAnsiTheme="minorHAnsi"/>
          <w:color w:val="FFFFFF" w:themeColor="background1"/>
          <w:sz w:val="12"/>
          <w:szCs w:val="12"/>
          <w:u w:val="none"/>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43"/>
      </w:tblGrid>
      <w:tr w:rsidR="001F142A" w:rsidTr="00623220">
        <w:tc>
          <w:tcPr>
            <w:tcW w:w="9243" w:type="dxa"/>
            <w:shd w:val="clear" w:color="auto" w:fill="F2F2F2" w:themeFill="background1" w:themeFillShade="F2"/>
          </w:tcPr>
          <w:p w:rsidR="001F142A" w:rsidRPr="00564F18" w:rsidRDefault="009A7B9B" w:rsidP="00AF7032">
            <w:pPr>
              <w:pStyle w:val="Recommendationheading"/>
            </w:pPr>
            <w:r w:rsidRPr="00F308B8">
              <w:t xml:space="preserve"> </w:t>
            </w:r>
            <w:bookmarkStart w:id="1441" w:name="_Toc456784205"/>
            <w:r w:rsidR="001F142A" w:rsidRPr="00564F18">
              <w:t>Recommendation 8</w:t>
            </w:r>
            <w:r w:rsidR="001F142A" w:rsidRPr="00564F18">
              <w:noBreakHyphen/>
            </w:r>
            <w:r w:rsidR="001F142A">
              <w:rPr>
                <w:rStyle w:val="xxx"/>
                <w:noProof/>
              </w:rPr>
              <w:t>A</w:t>
            </w:r>
            <w:bookmarkEnd w:id="1441"/>
          </w:p>
          <w:p w:rsidR="001F142A" w:rsidRPr="00AA587E" w:rsidRDefault="001F142A" w:rsidP="00623220">
            <w:pPr>
              <w:pStyle w:val="Heading7"/>
              <w:shd w:val="clear" w:color="auto" w:fill="F2F2F2" w:themeFill="background1" w:themeFillShade="F2"/>
              <w:outlineLvl w:val="6"/>
            </w:pPr>
            <w:bookmarkStart w:id="1442" w:name="_Toc456784206"/>
            <w:bookmarkStart w:id="1443" w:name="Recommendation_8A"/>
            <w:r w:rsidRPr="00AA587E">
              <w:t>The ACCC recommends that the Australian Government work with Basin States to improve the accuracy and consistency of water trade reporting. In particular, water trading price data should be collected on a consistent basis in a way that can allow for the separation of market-based trades from other types of trades.</w:t>
            </w:r>
            <w:bookmarkEnd w:id="1442"/>
            <w:bookmarkEnd w:id="1443"/>
          </w:p>
        </w:tc>
      </w:tr>
    </w:tbl>
    <w:p w:rsidR="009A7B9B" w:rsidRPr="00F308B8" w:rsidRDefault="009A7B9B" w:rsidP="00D17F9C">
      <w:pPr>
        <w:pStyle w:val="Heading5"/>
        <w:rPr>
          <w:rFonts w:eastAsia="Arial"/>
        </w:rPr>
      </w:pPr>
      <w:r w:rsidRPr="00F308B8">
        <w:rPr>
          <w:rFonts w:eastAsia="Arial"/>
        </w:rPr>
        <w:t>Effect of water market intermediaries on market transparency</w:t>
      </w:r>
    </w:p>
    <w:p w:rsidR="009A7B9B" w:rsidRPr="00F308B8" w:rsidRDefault="00187957" w:rsidP="009A7B9B">
      <w:pPr>
        <w:rPr>
          <w:rFonts w:eastAsia="Arial" w:cs="Times New Roman"/>
        </w:rPr>
      </w:pPr>
      <w:r>
        <w:rPr>
          <w:rFonts w:eastAsia="Arial" w:cs="Times New Roman"/>
        </w:rPr>
        <w:t>During the ACCC’s consultation process for the water charge rules review, s</w:t>
      </w:r>
      <w:r w:rsidR="009A7B9B">
        <w:rPr>
          <w:rFonts w:eastAsia="Arial" w:cs="Times New Roman"/>
        </w:rPr>
        <w:t>everal s</w:t>
      </w:r>
      <w:r w:rsidR="009A7B9B" w:rsidRPr="00F308B8">
        <w:rPr>
          <w:rFonts w:eastAsia="Arial" w:cs="Times New Roman"/>
        </w:rPr>
        <w:t>takeholders raised the potential for water market intermediary misconduct and the impacts intermediaries’ actions could potentially have on prices for water access rights. For example, one stakeholder in the Shepparton public forum stated that where water markets are fragmented, intermediaries may (deliberately or otherwise) cause price inflation when providing information to potential market participants. The example given was that of a broker providing advice to a buyer seeking to purchase a large volume of water allocation. In the stakeholder’s view, the broker provided information about prevailing market prices with reference to the price as listed on an exchange where only a very small volume of water allocation was traded. The view was that it was likely that prices in this small market would be higher than for a market where there was a larger number of traders and a greater volume of water allocation being traded. Therefore, in this stakeholder’s view, use of price information obtained from a ‘small’ market as a basis for the formation of willingness-to-pay estimates in other contexts has the effect of putting upward pressure on water allocation prices outside of that reference market.</w:t>
      </w:r>
    </w:p>
    <w:p w:rsidR="009A7B9B" w:rsidRPr="00F308B8" w:rsidRDefault="009A7B9B" w:rsidP="009A7B9B">
      <w:pPr>
        <w:rPr>
          <w:rFonts w:eastAsia="Arial" w:cs="Times New Roman"/>
        </w:rPr>
      </w:pPr>
      <w:r w:rsidRPr="00F308B8">
        <w:rPr>
          <w:rFonts w:eastAsia="Arial" w:cs="Times New Roman"/>
        </w:rPr>
        <w:t>Further, some stakeholders were of the view that brokers deliberately avoided conducting trades through public exchanges in order to conceal information about the identity of particular buyers and / or sellers, or the volume of water allocation traded. The view was that such behaviour amounts to misconduct because the brokers are deliberately obstructing pricing transparency in water markets and encouraging collusion and ‘insider trading’.</w:t>
      </w:r>
    </w:p>
    <w:p w:rsidR="009A7B9B" w:rsidRPr="00F308B8" w:rsidRDefault="009A7B9B" w:rsidP="009A7B9B">
      <w:pPr>
        <w:rPr>
          <w:rFonts w:cs="Times New Roman"/>
        </w:rPr>
      </w:pPr>
      <w:r w:rsidRPr="00F308B8">
        <w:rPr>
          <w:rFonts w:cs="Times New Roman"/>
        </w:rPr>
        <w:t xml:space="preserve">Two submissions to the Draft Advice provided differing views on the preferred level of regulation that should apply to water market intermediaries. Waterfind supported greater regulation of water market intermediaries, managed by the </w:t>
      </w:r>
      <w:r w:rsidR="00D77AAB">
        <w:rPr>
          <w:rFonts w:cs="Times New Roman"/>
        </w:rPr>
        <w:t>Australian</w:t>
      </w:r>
      <w:r w:rsidRPr="00F308B8">
        <w:rPr>
          <w:rFonts w:cs="Times New Roman"/>
        </w:rPr>
        <w:t xml:space="preserve"> Government through a licensing system.</w:t>
      </w:r>
      <w:r w:rsidRPr="00F308B8">
        <w:rPr>
          <w:rStyle w:val="FootnoteReference"/>
          <w:rFonts w:cs="Times New Roman"/>
        </w:rPr>
        <w:footnoteReference w:id="787"/>
      </w:r>
      <w:r w:rsidRPr="00F308B8">
        <w:rPr>
          <w:rFonts w:cs="Times New Roman"/>
        </w:rPr>
        <w:t xml:space="preserve"> The Australian Water Brokers Association (AWBA), on the other hand, did not support more regulation of water market intermediaries.</w:t>
      </w:r>
      <w:r w:rsidRPr="00F308B8">
        <w:rPr>
          <w:rStyle w:val="FootnoteReference"/>
          <w:rFonts w:cs="Times New Roman"/>
        </w:rPr>
        <w:footnoteReference w:id="788"/>
      </w:r>
      <w:r w:rsidRPr="00F308B8">
        <w:rPr>
          <w:rFonts w:cs="Times New Roman"/>
        </w:rPr>
        <w:t xml:space="preserve"> The AWBA consider</w:t>
      </w:r>
      <w:r>
        <w:rPr>
          <w:rFonts w:cs="Times New Roman"/>
        </w:rPr>
        <w:t>ed</w:t>
      </w:r>
      <w:r w:rsidRPr="00F308B8">
        <w:rPr>
          <w:rFonts w:cs="Times New Roman"/>
        </w:rPr>
        <w:t xml:space="preserve"> that </w:t>
      </w:r>
      <w:r>
        <w:rPr>
          <w:rFonts w:cs="Times New Roman"/>
        </w:rPr>
        <w:t>“[p]</w:t>
      </w:r>
      <w:r w:rsidRPr="00F308B8">
        <w:rPr>
          <w:rFonts w:cs="Times New Roman"/>
        </w:rPr>
        <w:t>rofessional water brokers</w:t>
      </w:r>
      <w:r>
        <w:rPr>
          <w:rFonts w:cs="Times New Roman"/>
        </w:rPr>
        <w:t>…</w:t>
      </w:r>
      <w:r w:rsidRPr="00F308B8">
        <w:rPr>
          <w:rFonts w:cs="Times New Roman"/>
        </w:rPr>
        <w:t xml:space="preserve">are eminently qualified to identify issues as they arise, provide feedback and offer solutions”. </w:t>
      </w:r>
      <w:r w:rsidR="00187957">
        <w:rPr>
          <w:rFonts w:cs="Times New Roman"/>
        </w:rPr>
        <w:t>The AWBA</w:t>
      </w:r>
      <w:r>
        <w:rPr>
          <w:rFonts w:cs="Times New Roman"/>
        </w:rPr>
        <w:t xml:space="preserve"> submitted</w:t>
      </w:r>
      <w:r w:rsidRPr="00F308B8">
        <w:rPr>
          <w:rFonts w:cs="Times New Roman"/>
        </w:rPr>
        <w:t xml:space="preserve"> that the </w:t>
      </w:r>
      <w:r w:rsidR="00BC49EE">
        <w:rPr>
          <w:rFonts w:cs="Times New Roman"/>
        </w:rPr>
        <w:t xml:space="preserve">recommendation of the Independent </w:t>
      </w:r>
      <w:r w:rsidRPr="00F308B8">
        <w:rPr>
          <w:rFonts w:cs="Times New Roman"/>
        </w:rPr>
        <w:t>Expert Panel</w:t>
      </w:r>
      <w:r w:rsidR="00BC49EE">
        <w:rPr>
          <w:rFonts w:cs="Times New Roman"/>
        </w:rPr>
        <w:t xml:space="preserve"> (the Panel) reviewing the </w:t>
      </w:r>
      <w:r w:rsidR="00BC49EE" w:rsidRPr="00BC49EE">
        <w:rPr>
          <w:rFonts w:cs="Times New Roman"/>
          <w:i/>
        </w:rPr>
        <w:t>Water Act 2007</w:t>
      </w:r>
      <w:r w:rsidR="00B15F9E">
        <w:rPr>
          <w:rFonts w:cs="Times New Roman"/>
          <w:i/>
        </w:rPr>
        <w:t xml:space="preserve"> </w:t>
      </w:r>
      <w:r w:rsidR="00BC49EE">
        <w:rPr>
          <w:rFonts w:cs="Times New Roman"/>
        </w:rPr>
        <w:t>(the Act)</w:t>
      </w:r>
      <w:r w:rsidRPr="00F308B8">
        <w:rPr>
          <w:rFonts w:cs="Times New Roman"/>
        </w:rPr>
        <w:t xml:space="preserve"> for an industry-led scheme of regulation already exists in the form of its Association.</w:t>
      </w:r>
    </w:p>
    <w:p w:rsidR="009A7B9B" w:rsidRPr="00F308B8" w:rsidRDefault="009A7B9B" w:rsidP="00A60A09">
      <w:pPr>
        <w:spacing w:after="120"/>
        <w:rPr>
          <w:rFonts w:eastAsia="Arial" w:cs="Times New Roman"/>
        </w:rPr>
      </w:pPr>
      <w:r w:rsidRPr="00F308B8">
        <w:rPr>
          <w:rFonts w:eastAsia="Arial" w:cs="Times New Roman"/>
        </w:rPr>
        <w:t xml:space="preserve">The ACCC notes that the </w:t>
      </w:r>
      <w:r w:rsidR="00BC49EE">
        <w:rPr>
          <w:rFonts w:eastAsia="Arial" w:cs="Times New Roman"/>
        </w:rPr>
        <w:t>Australian</w:t>
      </w:r>
      <w:r w:rsidR="00BC49EE" w:rsidRPr="00F308B8">
        <w:rPr>
          <w:rFonts w:eastAsia="Arial" w:cs="Times New Roman"/>
        </w:rPr>
        <w:t xml:space="preserve"> </w:t>
      </w:r>
      <w:r>
        <w:rPr>
          <w:rFonts w:eastAsia="Arial" w:cs="Times New Roman"/>
        </w:rPr>
        <w:t>G</w:t>
      </w:r>
      <w:r w:rsidRPr="00F308B8">
        <w:rPr>
          <w:rFonts w:eastAsia="Arial" w:cs="Times New Roman"/>
        </w:rPr>
        <w:t>overnment released for consultation in 2013 a COAG draft Regulation Impact Statement for the potential regulation of water market intermediaries, but that to date no further action has been taken.</w:t>
      </w:r>
      <w:r w:rsidRPr="00F308B8">
        <w:rPr>
          <w:rStyle w:val="FootnoteReference"/>
          <w:rFonts w:eastAsia="Arial" w:cs="Times New Roman"/>
        </w:rPr>
        <w:footnoteReference w:id="789"/>
      </w:r>
      <w:r w:rsidRPr="00F308B8">
        <w:rPr>
          <w:rFonts w:eastAsia="Arial" w:cs="Times New Roman"/>
        </w:rPr>
        <w:t xml:space="preserve"> Following on from this, the Panel recommended that:</w:t>
      </w:r>
    </w:p>
    <w:p w:rsidR="009A7B9B" w:rsidRPr="00F308B8" w:rsidRDefault="009A7B9B" w:rsidP="00437FC6">
      <w:pPr>
        <w:ind w:left="284" w:right="521"/>
        <w:rPr>
          <w:rFonts w:eastAsia="Arial" w:cs="Times New Roman"/>
        </w:rPr>
      </w:pPr>
      <w:r w:rsidRPr="00A60A09">
        <w:rPr>
          <w:rFonts w:eastAsia="Arial" w:cs="Times New Roman"/>
          <w:i/>
        </w:rPr>
        <w:t>…industry develop, in consultation with the Australian Government, an industry-led scheme of regulation for water market intermediaries. The scheme could include voluntary accreditation, a code of conduct and a defalcation fund. If a scheme is not developed, the Australian Government should regulate water market intermediaries. State referrals would be necessary to give effect to Basin-wide or national regulation</w:t>
      </w:r>
      <w:r w:rsidR="009845D5" w:rsidRPr="00A60A09">
        <w:rPr>
          <w:rFonts w:eastAsia="Arial" w:cs="Times New Roman"/>
          <w:i/>
        </w:rPr>
        <w:t>.</w:t>
      </w:r>
      <w:r w:rsidRPr="009845D5">
        <w:rPr>
          <w:rStyle w:val="FootnoteReference"/>
          <w:rFonts w:eastAsia="Arial" w:cs="Times New Roman"/>
        </w:rPr>
        <w:footnoteReference w:id="790"/>
      </w:r>
    </w:p>
    <w:p w:rsidR="009A7B9B" w:rsidRPr="00F308B8" w:rsidRDefault="009A7B9B" w:rsidP="00A60A09">
      <w:pPr>
        <w:spacing w:after="120"/>
        <w:rPr>
          <w:rFonts w:cs="Times New Roman"/>
        </w:rPr>
      </w:pPr>
      <w:r w:rsidRPr="00F308B8">
        <w:rPr>
          <w:rFonts w:cs="Times New Roman"/>
        </w:rPr>
        <w:t>Since the Draft Advice was published, the Australian Government addressed the issue of water market regulation in its response to the Panel</w:t>
      </w:r>
      <w:r w:rsidR="00BC49EE">
        <w:rPr>
          <w:rFonts w:cs="Times New Roman"/>
        </w:rPr>
        <w:t>’s report</w:t>
      </w:r>
      <w:r w:rsidR="00A02B3E">
        <w:rPr>
          <w:rFonts w:cs="Times New Roman"/>
        </w:rPr>
        <w:t>, released in</w:t>
      </w:r>
      <w:r w:rsidRPr="00F308B8">
        <w:rPr>
          <w:rFonts w:cs="Times New Roman"/>
        </w:rPr>
        <w:t xml:space="preserve"> December 2015. The Government accepted the </w:t>
      </w:r>
      <w:r w:rsidR="00A02B3E">
        <w:rPr>
          <w:rFonts w:cs="Times New Roman"/>
        </w:rPr>
        <w:t xml:space="preserve">Panel’s </w:t>
      </w:r>
      <w:r w:rsidRPr="00F308B8">
        <w:rPr>
          <w:rFonts w:cs="Times New Roman"/>
        </w:rPr>
        <w:t>recommendation to encourag</w:t>
      </w:r>
      <w:r w:rsidR="00A02B3E">
        <w:rPr>
          <w:rFonts w:cs="Times New Roman"/>
        </w:rPr>
        <w:t>e</w:t>
      </w:r>
      <w:r w:rsidRPr="00F308B8">
        <w:rPr>
          <w:rFonts w:cs="Times New Roman"/>
        </w:rPr>
        <w:t xml:space="preserve"> a scheme of industry-led self-regulation of water market intermediaries</w:t>
      </w:r>
      <w:r w:rsidR="00A02B3E">
        <w:rPr>
          <w:rFonts w:cs="Times New Roman"/>
        </w:rPr>
        <w:t>.</w:t>
      </w:r>
      <w:r w:rsidRPr="00F308B8">
        <w:rPr>
          <w:rFonts w:cs="Times New Roman"/>
        </w:rPr>
        <w:t xml:space="preserve"> The response noted that: </w:t>
      </w:r>
    </w:p>
    <w:p w:rsidR="009A7B9B" w:rsidRPr="00F308B8" w:rsidRDefault="009A7B9B" w:rsidP="00437FC6">
      <w:pPr>
        <w:ind w:left="284"/>
        <w:rPr>
          <w:rFonts w:cs="Times New Roman"/>
        </w:rPr>
      </w:pPr>
      <w:r w:rsidRPr="00A60A09">
        <w:rPr>
          <w:rFonts w:cs="Times New Roman"/>
          <w:i/>
        </w:rPr>
        <w:t>…A scheme of industry-led self-regulation is consistent with the Government’s regulatory reform agenda. The Government will also explore options that may improve transparency in the water market. Commonwealth regulation will be considered if evidence emerges that this would alleviate or remove risks in the water market and hence provide an overall net benefit to business, individuals and community organisations</w:t>
      </w:r>
      <w:r w:rsidR="009845D5" w:rsidRPr="00187957">
        <w:rPr>
          <w:rFonts w:cs="Times New Roman"/>
        </w:rPr>
        <w:t>.</w:t>
      </w:r>
      <w:r w:rsidR="009845D5" w:rsidRPr="00F308B8">
        <w:rPr>
          <w:rStyle w:val="FootnoteReference"/>
          <w:rFonts w:cs="Times New Roman"/>
        </w:rPr>
        <w:footnoteReference w:id="791"/>
      </w:r>
    </w:p>
    <w:p w:rsidR="009A7B9B" w:rsidRDefault="009A7B9B" w:rsidP="009A7B9B">
      <w:pPr>
        <w:rPr>
          <w:rFonts w:cs="Times New Roman"/>
        </w:rPr>
      </w:pPr>
      <w:r w:rsidRPr="00F308B8">
        <w:rPr>
          <w:rFonts w:cs="Times New Roman"/>
        </w:rPr>
        <w:t xml:space="preserve">Further, as noted in the Draft Advice, although water market intermediaries (including water brokers) are not currently subject to any industry specific legislation, they must still comply with the provisions in the </w:t>
      </w:r>
      <w:r w:rsidRPr="00F308B8">
        <w:rPr>
          <w:rFonts w:cs="Times New Roman"/>
          <w:i/>
        </w:rPr>
        <w:t>Competition and Consumer Act 2010</w:t>
      </w:r>
      <w:r w:rsidR="00C91F5B">
        <w:rPr>
          <w:rFonts w:cs="Times New Roman"/>
          <w:i/>
        </w:rPr>
        <w:t xml:space="preserve"> </w:t>
      </w:r>
      <w:r w:rsidR="00C91F5B" w:rsidRPr="00C91F5B">
        <w:rPr>
          <w:rFonts w:cs="Times New Roman"/>
        </w:rPr>
        <w:t>(CCA)</w:t>
      </w:r>
      <w:r w:rsidRPr="00F308B8">
        <w:rPr>
          <w:rFonts w:cs="Times New Roman"/>
        </w:rPr>
        <w:t xml:space="preserve"> including the Australian Consumer Law (ACL). The ACL prohibits, among other matters, misleading and deceptive conduct, and false or misleading representations of various kinds.</w:t>
      </w:r>
      <w:r w:rsidR="00C6733C">
        <w:rPr>
          <w:rFonts w:cs="Times New Roman"/>
        </w:rPr>
        <w:t xml:space="preserve"> </w:t>
      </w:r>
      <w:r w:rsidRPr="00F308B8">
        <w:rPr>
          <w:rFonts w:cs="Times New Roman"/>
        </w:rPr>
        <w:t xml:space="preserve">The ACCC enforces the CCA and, together with state and territory fair trading agencies, enforces the ACL. </w:t>
      </w:r>
      <w:r>
        <w:rPr>
          <w:rFonts w:cs="Times New Roman"/>
        </w:rPr>
        <w:t>In the event that voluntary regulation is introduced, this legislation will remain an important foundation on which the industry-led scheme can be built.</w:t>
      </w:r>
      <w:r w:rsidRPr="0073775B">
        <w:rPr>
          <w:rFonts w:cs="Times New Roman"/>
        </w:rPr>
        <w:t xml:space="preserve"> </w:t>
      </w:r>
    </w:p>
    <w:p w:rsidR="009A7B9B" w:rsidRPr="00F308B8" w:rsidRDefault="009A7B9B" w:rsidP="009A7B9B">
      <w:pPr>
        <w:rPr>
          <w:rFonts w:cs="Times New Roman"/>
        </w:rPr>
      </w:pPr>
      <w:r w:rsidRPr="00F308B8">
        <w:rPr>
          <w:rFonts w:cs="Times New Roman"/>
        </w:rPr>
        <w:t xml:space="preserve">The ACCC reiterates its </w:t>
      </w:r>
      <w:r>
        <w:rPr>
          <w:rFonts w:cs="Times New Roman"/>
        </w:rPr>
        <w:t xml:space="preserve">encouragement for </w:t>
      </w:r>
      <w:r w:rsidRPr="00F308B8">
        <w:rPr>
          <w:rFonts w:cs="Times New Roman"/>
        </w:rPr>
        <w:t xml:space="preserve">any stakeholder with specific concerns </w:t>
      </w:r>
      <w:r>
        <w:rPr>
          <w:rFonts w:cs="Times New Roman"/>
        </w:rPr>
        <w:t>or</w:t>
      </w:r>
      <w:r w:rsidRPr="00F308B8">
        <w:rPr>
          <w:rFonts w:cs="Times New Roman"/>
        </w:rPr>
        <w:t xml:space="preserve"> evidence of water market intermediary misconduct to report th</w:t>
      </w:r>
      <w:r>
        <w:rPr>
          <w:rFonts w:cs="Times New Roman"/>
        </w:rPr>
        <w:t>e</w:t>
      </w:r>
      <w:r w:rsidR="00A02B3E">
        <w:rPr>
          <w:rFonts w:cs="Times New Roman"/>
        </w:rPr>
        <w:t xml:space="preserve"> issue</w:t>
      </w:r>
      <w:r w:rsidRPr="00F308B8">
        <w:rPr>
          <w:rFonts w:cs="Times New Roman"/>
        </w:rPr>
        <w:t xml:space="preserve"> to the ACCC. </w:t>
      </w:r>
      <w:r w:rsidR="00A02B3E">
        <w:rPr>
          <w:rFonts w:cs="Times New Roman"/>
        </w:rPr>
        <w:t>T</w:t>
      </w:r>
      <w:r w:rsidRPr="00F308B8">
        <w:rPr>
          <w:rFonts w:cs="Times New Roman"/>
        </w:rPr>
        <w:t xml:space="preserve">his evidence will be important to support any industry-led self-regulation to ensure that the regime is well-designed </w:t>
      </w:r>
      <w:r w:rsidR="00B71736">
        <w:rPr>
          <w:rFonts w:cs="Times New Roman"/>
        </w:rPr>
        <w:t>and</w:t>
      </w:r>
      <w:r w:rsidRPr="00F308B8">
        <w:rPr>
          <w:rFonts w:cs="Times New Roman"/>
        </w:rPr>
        <w:t xml:space="preserve"> able to address the issues that are causing concern or detriment. </w:t>
      </w:r>
    </w:p>
    <w:p w:rsidR="009A7B9B" w:rsidRPr="00F308B8" w:rsidRDefault="009A7B9B" w:rsidP="00D17F9C">
      <w:pPr>
        <w:pStyle w:val="Heading5"/>
      </w:pPr>
      <w:r w:rsidRPr="00F308B8">
        <w:t>Availability of market data</w:t>
      </w:r>
    </w:p>
    <w:p w:rsidR="009A7B9B" w:rsidRPr="00F308B8" w:rsidRDefault="009A7B9B" w:rsidP="009A7B9B">
      <w:pPr>
        <w:rPr>
          <w:rFonts w:cs="Times New Roman"/>
        </w:rPr>
      </w:pPr>
      <w:r w:rsidRPr="00F308B8">
        <w:rPr>
          <w:rFonts w:cs="Times New Roman"/>
        </w:rPr>
        <w:t xml:space="preserve">A number of stakeholders raised concerns </w:t>
      </w:r>
      <w:r>
        <w:rPr>
          <w:rFonts w:cs="Times New Roman"/>
        </w:rPr>
        <w:t xml:space="preserve">via </w:t>
      </w:r>
      <w:r w:rsidRPr="00F308B8">
        <w:rPr>
          <w:rFonts w:cs="Times New Roman"/>
        </w:rPr>
        <w:t xml:space="preserve">submissions to the Issues Paper, </w:t>
      </w:r>
      <w:r>
        <w:rPr>
          <w:rFonts w:cs="Times New Roman"/>
        </w:rPr>
        <w:t xml:space="preserve">the </w:t>
      </w:r>
      <w:r w:rsidRPr="00F308B8">
        <w:rPr>
          <w:rFonts w:cs="Times New Roman"/>
        </w:rPr>
        <w:t xml:space="preserve">Draft Advice and in public forums about the lack of reliable information about water holdings and trades, particularly price information. </w:t>
      </w:r>
    </w:p>
    <w:p w:rsidR="009A7B9B" w:rsidRPr="00F308B8" w:rsidRDefault="009A7B9B" w:rsidP="009A7B9B">
      <w:pPr>
        <w:rPr>
          <w:rFonts w:eastAsiaTheme="majorEastAsia" w:cs="Times New Roman"/>
          <w:b/>
        </w:rPr>
      </w:pPr>
      <w:r w:rsidRPr="00F308B8">
        <w:rPr>
          <w:rFonts w:cs="Times New Roman"/>
        </w:rPr>
        <w:t xml:space="preserve">The ACCC observes that </w:t>
      </w:r>
      <w:r>
        <w:rPr>
          <w:rFonts w:cs="Times New Roman"/>
        </w:rPr>
        <w:t>concerns about</w:t>
      </w:r>
      <w:r w:rsidRPr="00F308B8">
        <w:rPr>
          <w:rFonts w:cs="Times New Roman"/>
        </w:rPr>
        <w:t xml:space="preserve"> water market data reliability and availability have the potential to lead to a lack of confidence in the market in some areas. Irrigators seek readily accessible information as to the volume and price of water trades, and some also seek the identity of sellers and purchasers. These concerns were particularly evident in the Shepparton public forum, and in submissions from irrigators in that area. The ACCC recognises that a well-functioning market requires confidence from its participants and transparency.</w:t>
      </w:r>
    </w:p>
    <w:p w:rsidR="009A7B9B" w:rsidRPr="00F308B8" w:rsidRDefault="009A7B9B" w:rsidP="009A7B9B">
      <w:pPr>
        <w:rPr>
          <w:rFonts w:cs="Times New Roman"/>
        </w:rPr>
      </w:pPr>
      <w:r w:rsidRPr="00F308B8">
        <w:rPr>
          <w:rFonts w:cs="Times New Roman"/>
        </w:rPr>
        <w:t>Some stakeholders provided further commentary on these issues in their submissions to the Draft Advice. The Commonwealth Environmental Water Holder (CEWH) supported improvements to state register reporting mechanisms and the provision of clear and concise information to water rights holders regarding water trading. The CEWH considered that these reforms will assist in addressing the potential for the asymmetric availability of information to market participants.</w:t>
      </w:r>
      <w:r w:rsidRPr="00F308B8">
        <w:rPr>
          <w:rStyle w:val="FootnoteReference"/>
          <w:rFonts w:cs="Times New Roman"/>
        </w:rPr>
        <w:footnoteReference w:id="792"/>
      </w:r>
    </w:p>
    <w:p w:rsidR="009A7B9B" w:rsidRPr="00F308B8" w:rsidRDefault="009A7B9B" w:rsidP="009A7B9B">
      <w:pPr>
        <w:rPr>
          <w:rFonts w:cs="Times New Roman"/>
        </w:rPr>
      </w:pPr>
      <w:r w:rsidRPr="00F308B8">
        <w:rPr>
          <w:rFonts w:cs="Times New Roman"/>
        </w:rPr>
        <w:t>Additionally, Waterfind supported steps to improve the accuracy and consistency of water trade reporting. In particular, it suggest</w:t>
      </w:r>
      <w:r>
        <w:rPr>
          <w:rFonts w:cs="Times New Roman"/>
        </w:rPr>
        <w:t>ed</w:t>
      </w:r>
      <w:r w:rsidRPr="00F308B8">
        <w:rPr>
          <w:rFonts w:cs="Times New Roman"/>
        </w:rPr>
        <w:t xml:space="preserve"> that the authorities approving or registering a trade should be obliged to publicly disclose the trade price, given that the seller is required to report the agreed price to the authority.</w:t>
      </w:r>
      <w:r w:rsidRPr="00F308B8">
        <w:rPr>
          <w:rStyle w:val="FootnoteReference"/>
          <w:rFonts w:cs="Times New Roman"/>
        </w:rPr>
        <w:footnoteReference w:id="793"/>
      </w:r>
      <w:r w:rsidRPr="00F308B8">
        <w:rPr>
          <w:rFonts w:cs="Times New Roman"/>
        </w:rPr>
        <w:t xml:space="preserve"> Waterfind noted that most authorities are already reporting this information to the Bureau of Meteorology (BOM) and </w:t>
      </w:r>
      <w:r>
        <w:rPr>
          <w:rFonts w:cs="Times New Roman"/>
        </w:rPr>
        <w:t xml:space="preserve">that </w:t>
      </w:r>
      <w:r w:rsidRPr="00F308B8">
        <w:rPr>
          <w:rFonts w:cs="Times New Roman"/>
        </w:rPr>
        <w:t xml:space="preserve">therefore it would not represent a significant regulatory burden to report it publicly. </w:t>
      </w:r>
    </w:p>
    <w:p w:rsidR="009A7B9B" w:rsidRPr="00F308B8" w:rsidRDefault="00187957" w:rsidP="009A7B9B">
      <w:pPr>
        <w:rPr>
          <w:rFonts w:cs="Times New Roman"/>
        </w:rPr>
      </w:pPr>
      <w:r>
        <w:rPr>
          <w:rFonts w:cs="Times New Roman"/>
        </w:rPr>
        <w:t>Waterfind also commented on</w:t>
      </w:r>
      <w:r w:rsidR="009A7B9B" w:rsidRPr="00F308B8">
        <w:rPr>
          <w:rFonts w:cs="Times New Roman"/>
        </w:rPr>
        <w:t xml:space="preserve"> the National Water Market System (NWMS) project, which was discontinued in 2014, Waterfind also submitted that the Government should make immediate decisions regarding the legacy of th</w:t>
      </w:r>
      <w:r>
        <w:rPr>
          <w:rFonts w:cs="Times New Roman"/>
        </w:rPr>
        <w:t>is</w:t>
      </w:r>
      <w:r w:rsidR="009A7B9B" w:rsidRPr="00F308B8">
        <w:rPr>
          <w:rFonts w:cs="Times New Roman"/>
        </w:rPr>
        <w:t xml:space="preserve"> project. Waterfind noted its understanding that infrastructure operators are using the </w:t>
      </w:r>
      <w:r w:rsidR="009A7B9B">
        <w:rPr>
          <w:rFonts w:cs="Times New Roman"/>
        </w:rPr>
        <w:t xml:space="preserve">NWMS </w:t>
      </w:r>
      <w:r w:rsidR="009A7B9B" w:rsidRPr="00F308B8">
        <w:rPr>
          <w:rFonts w:cs="Times New Roman"/>
        </w:rPr>
        <w:t xml:space="preserve">information systems to report information to the BOM and called for </w:t>
      </w:r>
      <w:r w:rsidR="009A7B9B">
        <w:rPr>
          <w:rFonts w:cs="Times New Roman"/>
        </w:rPr>
        <w:t>“</w:t>
      </w:r>
      <w:r w:rsidR="009A7B9B" w:rsidRPr="00F308B8">
        <w:rPr>
          <w:rFonts w:cs="Times New Roman"/>
        </w:rPr>
        <w:t xml:space="preserve">someone </w:t>
      </w:r>
      <w:r w:rsidR="009A7B9B">
        <w:rPr>
          <w:rFonts w:cs="Times New Roman"/>
        </w:rPr>
        <w:t>[</w:t>
      </w:r>
      <w:r w:rsidR="009A7B9B" w:rsidRPr="00F308B8">
        <w:rPr>
          <w:rFonts w:cs="Times New Roman"/>
        </w:rPr>
        <w:t>to</w:t>
      </w:r>
      <w:r w:rsidR="009A7B9B">
        <w:rPr>
          <w:rFonts w:cs="Times New Roman"/>
        </w:rPr>
        <w:t>]</w:t>
      </w:r>
      <w:r w:rsidR="009A7B9B" w:rsidRPr="00F308B8">
        <w:rPr>
          <w:rFonts w:cs="Times New Roman"/>
        </w:rPr>
        <w:t xml:space="preserve"> take ownership of the NWMS data, and either improve the existing portal or develop a new one as soon as is practicable in order to provide more efficient water trade information services for market participants.” Waterfind support</w:t>
      </w:r>
      <w:r w:rsidR="009A7B9B">
        <w:rPr>
          <w:rFonts w:cs="Times New Roman"/>
        </w:rPr>
        <w:t>ed</w:t>
      </w:r>
      <w:r w:rsidR="009A7B9B" w:rsidRPr="00F308B8">
        <w:rPr>
          <w:rFonts w:cs="Times New Roman"/>
        </w:rPr>
        <w:t xml:space="preserve"> Federal and State Governments working with the industry to find a sustainable solution.</w:t>
      </w:r>
      <w:r w:rsidR="009A7B9B" w:rsidRPr="00F308B8">
        <w:rPr>
          <w:rStyle w:val="FootnoteReference"/>
          <w:rFonts w:cs="Times New Roman"/>
        </w:rPr>
        <w:footnoteReference w:id="794"/>
      </w:r>
    </w:p>
    <w:p w:rsidR="009A7B9B" w:rsidRPr="00F308B8" w:rsidRDefault="009A7B9B" w:rsidP="009A7B9B">
      <w:pPr>
        <w:rPr>
          <w:rFonts w:cs="Times New Roman"/>
        </w:rPr>
      </w:pPr>
      <w:r w:rsidRPr="00F308B8">
        <w:rPr>
          <w:rFonts w:cs="Times New Roman"/>
        </w:rPr>
        <w:t>The ACCC has previously called for improvements in how water trade prices are reported.</w:t>
      </w:r>
      <w:r w:rsidRPr="00F308B8">
        <w:rPr>
          <w:rStyle w:val="FootnoteReference"/>
          <w:rFonts w:cs="Times New Roman"/>
        </w:rPr>
        <w:footnoteReference w:id="795"/>
      </w:r>
      <w:r w:rsidRPr="00F308B8">
        <w:rPr>
          <w:rFonts w:cs="Times New Roman"/>
        </w:rPr>
        <w:t xml:space="preserve"> In particular, it appears that prices reported for trades are often skewed by other transactions occurring at the same time (for example, the trade of water with land or water delivery right). Furthermore, trade data does not generally distinguish market-based arms-length transactions </w:t>
      </w:r>
      <w:r>
        <w:rPr>
          <w:rFonts w:cs="Times New Roman"/>
        </w:rPr>
        <w:t xml:space="preserve">from </w:t>
      </w:r>
      <w:r w:rsidRPr="00F308B8">
        <w:rPr>
          <w:rFonts w:cs="Times New Roman"/>
        </w:rPr>
        <w:t xml:space="preserve">related-party transactions (for example, where an irrigator trades water from one property to another) or transactions where only the location (and not the ownership) of a water access right is changed. </w:t>
      </w:r>
      <w:r>
        <w:rPr>
          <w:rFonts w:cs="Times New Roman"/>
        </w:rPr>
        <w:t>Such distinctions are particularly important in the context of v</w:t>
      </w:r>
      <w:r w:rsidRPr="00F308B8">
        <w:rPr>
          <w:rFonts w:cs="Times New Roman"/>
        </w:rPr>
        <w:t>ery large trades by environmental water holders</w:t>
      </w:r>
      <w:r>
        <w:rPr>
          <w:rFonts w:cs="Times New Roman"/>
        </w:rPr>
        <w:t xml:space="preserve">. If such trades are not reported separately from ‘arms-length’ transactions, </w:t>
      </w:r>
      <w:r w:rsidRPr="00F308B8">
        <w:rPr>
          <w:rFonts w:cs="Times New Roman"/>
        </w:rPr>
        <w:t>reported trade figures give a misleading impression. For example, an environmental water holder may trade water allocation from one location to another in order to facilitate the delivery of water to a wetland, or trade (gift) a volume of water allocation to a delivery partner such as a catchment management authority</w:t>
      </w:r>
      <w:r>
        <w:rPr>
          <w:rFonts w:cs="Times New Roman"/>
        </w:rPr>
        <w:t>;</w:t>
      </w:r>
      <w:r w:rsidRPr="00F308B8">
        <w:rPr>
          <w:rFonts w:cs="Times New Roman"/>
        </w:rPr>
        <w:t xml:space="preserve"> </w:t>
      </w:r>
      <w:r>
        <w:rPr>
          <w:rFonts w:cs="Times New Roman"/>
        </w:rPr>
        <w:t xml:space="preserve">currently, </w:t>
      </w:r>
      <w:r w:rsidRPr="00F308B8">
        <w:rPr>
          <w:rFonts w:cs="Times New Roman"/>
        </w:rPr>
        <w:t xml:space="preserve">both these trades will be recorded alongside market-based transactions. </w:t>
      </w:r>
    </w:p>
    <w:p w:rsidR="009A7B9B" w:rsidRPr="00F308B8" w:rsidRDefault="009A7B9B" w:rsidP="009A7B9B">
      <w:pPr>
        <w:rPr>
          <w:rFonts w:cs="Times New Roman"/>
        </w:rPr>
      </w:pPr>
      <w:r w:rsidRPr="00F308B8">
        <w:rPr>
          <w:rFonts w:cs="Times New Roman"/>
        </w:rPr>
        <w:t>At present information about water trading is held on individual Basin State water registers, and the accessibility and level of detail of each register varies. In examining the timeliness and accuracy of water market information, the Report of the Panel concluded that:</w:t>
      </w:r>
    </w:p>
    <w:p w:rsidR="009A7B9B" w:rsidRPr="00F308B8" w:rsidRDefault="009A7B9B" w:rsidP="009A7B9B">
      <w:pPr>
        <w:ind w:left="567" w:right="521"/>
        <w:rPr>
          <w:rFonts w:cs="Times New Roman"/>
        </w:rPr>
      </w:pPr>
      <w:r w:rsidRPr="00A60A09">
        <w:rPr>
          <w:rFonts w:cs="Times New Roman"/>
          <w:i/>
        </w:rPr>
        <w:t>Basin State governments should take opportunities to enhance the interoperability of registers, building on the work that has been undertaken through the National Water Markets System program to create more efficient services for users</w:t>
      </w:r>
      <w:r w:rsidR="009845D5" w:rsidRPr="00A60A09">
        <w:rPr>
          <w:rFonts w:cs="Times New Roman"/>
          <w:i/>
        </w:rPr>
        <w:t>.</w:t>
      </w:r>
      <w:r w:rsidRPr="009845D5">
        <w:rPr>
          <w:rStyle w:val="FootnoteReference"/>
          <w:rFonts w:cs="Times New Roman"/>
        </w:rPr>
        <w:footnoteReference w:id="796"/>
      </w:r>
    </w:p>
    <w:p w:rsidR="009A7B9B" w:rsidRPr="00F308B8" w:rsidRDefault="009A7B9B" w:rsidP="009A7B9B">
      <w:pPr>
        <w:rPr>
          <w:rFonts w:cs="Times New Roman"/>
        </w:rPr>
      </w:pPr>
      <w:r w:rsidRPr="00F308B8">
        <w:rPr>
          <w:rFonts w:cs="Times New Roman"/>
        </w:rPr>
        <w:t>In the Draft Advice, the ACCC agreed with the Panel’s conclusion, and recommended (</w:t>
      </w:r>
      <w:r w:rsidR="00D92566">
        <w:rPr>
          <w:rFonts w:cs="Times New Roman"/>
        </w:rPr>
        <w:t>via r</w:t>
      </w:r>
      <w:r w:rsidRPr="00F308B8">
        <w:rPr>
          <w:rFonts w:cs="Times New Roman"/>
        </w:rPr>
        <w:t xml:space="preserve">ecommendation 8-A) that to address these issues the Australian Government should work with the Basin States to improve the accuracy and consistency of water trade reporting across the Basin. A number of stakeholders commented on this recommendation in their submissions to the Draft Advice. The </w:t>
      </w:r>
      <w:r w:rsidR="005255EE">
        <w:rPr>
          <w:rFonts w:cs="Times New Roman"/>
        </w:rPr>
        <w:t>Murray-Darling Basin Authority (</w:t>
      </w:r>
      <w:r w:rsidRPr="00F308B8">
        <w:rPr>
          <w:rFonts w:cs="Times New Roman"/>
        </w:rPr>
        <w:t>MDBA</w:t>
      </w:r>
      <w:r w:rsidR="005255EE">
        <w:rPr>
          <w:rFonts w:cs="Times New Roman"/>
        </w:rPr>
        <w:t>)</w:t>
      </w:r>
      <w:r w:rsidRPr="00F308B8">
        <w:rPr>
          <w:rFonts w:cs="Times New Roman"/>
        </w:rPr>
        <w:t xml:space="preserve"> supported changes to water charge rules that facilitate water markets, and to that end supported the ACCC’s Recommendation 8-A in relation to improving the information about water prices.</w:t>
      </w:r>
      <w:r w:rsidRPr="00F308B8">
        <w:rPr>
          <w:rStyle w:val="FootnoteReference"/>
          <w:rFonts w:cs="Times New Roman"/>
        </w:rPr>
        <w:footnoteReference w:id="797"/>
      </w:r>
      <w:r w:rsidRPr="00F308B8">
        <w:rPr>
          <w:rFonts w:cs="Times New Roman"/>
        </w:rPr>
        <w:t xml:space="preserve"> The Queensland Farmers’ Federation</w:t>
      </w:r>
      <w:r w:rsidR="008E524B">
        <w:rPr>
          <w:rFonts w:cs="Times New Roman"/>
        </w:rPr>
        <w:t xml:space="preserve"> (QFF)</w:t>
      </w:r>
      <w:r w:rsidRPr="00F308B8">
        <w:rPr>
          <w:rFonts w:cs="Times New Roman"/>
        </w:rPr>
        <w:t xml:space="preserve"> also supported Recommendation 8</w:t>
      </w:r>
      <w:r>
        <w:rPr>
          <w:rFonts w:cs="Times New Roman"/>
        </w:rPr>
        <w:t>-</w:t>
      </w:r>
      <w:r w:rsidRPr="00F308B8">
        <w:rPr>
          <w:rFonts w:cs="Times New Roman"/>
        </w:rPr>
        <w:t>A, but considered that “the focus should be on facilitating market based opportunities to achieve this outcome”.</w:t>
      </w:r>
      <w:r w:rsidRPr="00F308B8">
        <w:rPr>
          <w:rStyle w:val="FootnoteReference"/>
          <w:rFonts w:cs="Times New Roman"/>
        </w:rPr>
        <w:footnoteReference w:id="798"/>
      </w:r>
      <w:r w:rsidRPr="00F308B8">
        <w:rPr>
          <w:rFonts w:cs="Times New Roman"/>
        </w:rPr>
        <w:t xml:space="preserve"> </w:t>
      </w:r>
    </w:p>
    <w:p w:rsidR="009A7B9B" w:rsidRPr="00F308B8" w:rsidRDefault="009A7B9B" w:rsidP="009A7B9B">
      <w:pPr>
        <w:rPr>
          <w:rFonts w:cs="Times New Roman"/>
        </w:rPr>
      </w:pPr>
      <w:r w:rsidRPr="00F308B8">
        <w:rPr>
          <w:rFonts w:cs="Times New Roman"/>
        </w:rPr>
        <w:t xml:space="preserve">The ACCC notes that submissions to the Draft Advice broadly supported improved information on water trades, and maintains its position stated in Recommendation 8-A in the Draft Advice. </w:t>
      </w:r>
    </w:p>
    <w:p w:rsidR="009A7B9B" w:rsidRPr="00F308B8" w:rsidRDefault="009A7B9B" w:rsidP="00A60A09">
      <w:pPr>
        <w:spacing w:after="120"/>
        <w:rPr>
          <w:rFonts w:cs="Times New Roman"/>
        </w:rPr>
      </w:pPr>
      <w:r w:rsidRPr="00F308B8">
        <w:rPr>
          <w:rFonts w:cs="Times New Roman"/>
        </w:rPr>
        <w:t>Since the release of the ACCC’s Draft Advice, the Australian Government has provided its response to the Panel</w:t>
      </w:r>
      <w:r w:rsidR="00D3167A">
        <w:rPr>
          <w:rFonts w:cs="Times New Roman"/>
        </w:rPr>
        <w:t>’s</w:t>
      </w:r>
      <w:r w:rsidRPr="00F308B8">
        <w:rPr>
          <w:rFonts w:cs="Times New Roman"/>
        </w:rPr>
        <w:t xml:space="preserve"> Review. The Australian Government acknowledged that</w:t>
      </w:r>
      <w:r>
        <w:rPr>
          <w:rFonts w:cs="Times New Roman"/>
        </w:rPr>
        <w:t xml:space="preserve"> access to timely, high quality</w:t>
      </w:r>
      <w:r w:rsidRPr="00F308B8">
        <w:rPr>
          <w:rFonts w:cs="Times New Roman"/>
        </w:rPr>
        <w:t xml:space="preserve"> water trading data is essential to the functioning of Australian water markets. The Government noted several initiatives being undertaken by Commonwealth agencies to </w:t>
      </w:r>
      <w:r>
        <w:rPr>
          <w:rFonts w:cs="Times New Roman"/>
        </w:rPr>
        <w:t>improve the quality and dissemination of water market information</w:t>
      </w:r>
      <w:r w:rsidRPr="00F308B8">
        <w:rPr>
          <w:rFonts w:cs="Times New Roman"/>
        </w:rPr>
        <w:t xml:space="preserve">, including: </w:t>
      </w:r>
    </w:p>
    <w:p w:rsidR="009A7B9B" w:rsidRPr="00F308B8" w:rsidRDefault="009A7B9B" w:rsidP="00A82DE6">
      <w:pPr>
        <w:pStyle w:val="Lvl1Bulletpoint"/>
      </w:pPr>
      <w:r w:rsidRPr="00F308B8">
        <w:t>the MDBA’s Water Markets Product Information website, which sets out information about different types of water access rights across the Basin</w:t>
      </w:r>
      <w:r w:rsidR="00A02B3E">
        <w:t>.</w:t>
      </w:r>
      <w:r w:rsidRPr="00F308B8">
        <w:t xml:space="preserve"> </w:t>
      </w:r>
    </w:p>
    <w:p w:rsidR="009A7B9B" w:rsidRPr="00F308B8" w:rsidRDefault="009A7B9B" w:rsidP="00A82DE6">
      <w:pPr>
        <w:pStyle w:val="Lvl1Bulletpoint"/>
      </w:pPr>
      <w:r w:rsidRPr="00F308B8">
        <w:t>the B</w:t>
      </w:r>
      <w:r w:rsidR="00A02B3E">
        <w:t xml:space="preserve">ureau of </w:t>
      </w:r>
      <w:r w:rsidRPr="00F308B8">
        <w:t>M</w:t>
      </w:r>
      <w:r w:rsidR="00A02B3E">
        <w:t>eteorology</w:t>
      </w:r>
      <w:r w:rsidRPr="00F308B8">
        <w:t>’s weekly water market reports, which report on volumes and prices for trades of water allocations and entitlements on issue across Australia</w:t>
      </w:r>
      <w:r w:rsidR="00A02B3E">
        <w:t>.</w:t>
      </w:r>
    </w:p>
    <w:p w:rsidR="009A7B9B" w:rsidRPr="00F308B8" w:rsidRDefault="009A7B9B" w:rsidP="00A82DE6">
      <w:pPr>
        <w:pStyle w:val="Lvl1Bulletpoint"/>
      </w:pPr>
      <w:r w:rsidRPr="00F308B8">
        <w:t xml:space="preserve">the </w:t>
      </w:r>
      <w:r w:rsidR="001E5064">
        <w:t>CEWH</w:t>
      </w:r>
      <w:r w:rsidRPr="00F308B8">
        <w:t>’s commitment to making trading information publicly available both prior to and after each trading action.</w:t>
      </w:r>
      <w:r w:rsidRPr="00F308B8">
        <w:rPr>
          <w:rStyle w:val="FootnoteReference"/>
          <w:rFonts w:cs="Times New Roman"/>
        </w:rPr>
        <w:footnoteReference w:id="799"/>
      </w:r>
      <w:r w:rsidRPr="00F308B8">
        <w:t xml:space="preserve"> </w:t>
      </w:r>
    </w:p>
    <w:p w:rsidR="009A7B9B" w:rsidRPr="00F308B8" w:rsidRDefault="009A7B9B" w:rsidP="009A7B9B">
      <w:pPr>
        <w:rPr>
          <w:rFonts w:cs="Times New Roman"/>
        </w:rPr>
      </w:pPr>
      <w:r w:rsidRPr="00F308B8">
        <w:rPr>
          <w:rFonts w:cs="Times New Roman"/>
        </w:rPr>
        <w:t>The Australian Government</w:t>
      </w:r>
      <w:r>
        <w:rPr>
          <w:rFonts w:cs="Times New Roman"/>
        </w:rPr>
        <w:t xml:space="preserve"> stated that i</w:t>
      </w:r>
      <w:r w:rsidR="00B71736">
        <w:rPr>
          <w:rFonts w:cs="Times New Roman"/>
        </w:rPr>
        <w:t>t</w:t>
      </w:r>
      <w:r>
        <w:rPr>
          <w:rFonts w:cs="Times New Roman"/>
        </w:rPr>
        <w:t xml:space="preserve"> “encourages Basin States to look for opportunities to build on the work that has already been undertaken through the NWMS programme”.</w:t>
      </w:r>
      <w:r w:rsidRPr="00F308B8">
        <w:rPr>
          <w:rStyle w:val="FootnoteReference"/>
          <w:rFonts w:cs="Times New Roman"/>
        </w:rPr>
        <w:footnoteReference w:id="800"/>
      </w:r>
      <w:r w:rsidR="00D92566">
        <w:rPr>
          <w:rFonts w:cs="Times New Roman"/>
        </w:rPr>
        <w:t xml:space="preserve"> </w:t>
      </w:r>
      <w:r w:rsidRPr="00F308B8">
        <w:rPr>
          <w:rFonts w:cs="Times New Roman"/>
        </w:rPr>
        <w:t xml:space="preserve">The ACCC </w:t>
      </w:r>
      <w:r>
        <w:rPr>
          <w:rFonts w:cs="Times New Roman"/>
        </w:rPr>
        <w:t>notes that approach is consistent with Recommendation 8-A, and aligns with the recommendations submitted by Waterfind</w:t>
      </w:r>
      <w:r w:rsidRPr="00F308B8">
        <w:rPr>
          <w:rFonts w:cs="Times New Roman"/>
        </w:rPr>
        <w:t xml:space="preserve">. </w:t>
      </w:r>
    </w:p>
    <w:p w:rsidR="009A7B9B" w:rsidRPr="00E74923" w:rsidRDefault="009A7B9B" w:rsidP="009A7B9B">
      <w:r w:rsidRPr="00F308B8">
        <w:t xml:space="preserve">Some stakeholders also raised concerns about the lack of transparency of water access right holdings, particularly by non-irrigators. The ACCC notes that Basin State water registers are generally searchable, </w:t>
      </w:r>
      <w:r>
        <w:t>although</w:t>
      </w:r>
      <w:r w:rsidRPr="00F308B8">
        <w:t xml:space="preserve"> a fee is typically charged for title searches for specific water access entitlements. Also, there does not appear to be any readily available summary of the extent of WAE holdings by non-irrigators, aside from information published by environmental water holders directly.</w:t>
      </w:r>
      <w:r w:rsidRPr="00F308B8">
        <w:rPr>
          <w:rStyle w:val="FootnoteReference"/>
        </w:rPr>
        <w:footnoteReference w:id="801"/>
      </w:r>
      <w:r w:rsidRPr="00F308B8">
        <w:t xml:space="preserve"> Concerns about the participation in the market by non-irrigators are discussed in more detail in section 8.1.3.</w:t>
      </w:r>
      <w:r w:rsidRPr="00F308B8" w:rsidDel="00A714E9">
        <w:t xml:space="preserve"> </w:t>
      </w:r>
    </w:p>
    <w:p w:rsidR="009A7B9B" w:rsidRDefault="009A7B9B" w:rsidP="009A7B9B">
      <w:pPr>
        <w:pStyle w:val="Heading3"/>
        <w:ind w:left="862"/>
      </w:pPr>
      <w:bookmarkStart w:id="1444" w:name="_Toc456785839"/>
      <w:bookmarkStart w:id="1445" w:name="_Toc461630751"/>
      <w:r w:rsidRPr="00F308B8">
        <w:t>Unbundling of water rights</w:t>
      </w:r>
      <w:bookmarkEnd w:id="1444"/>
      <w:bookmarkEnd w:id="1445"/>
    </w:p>
    <w:bookmarkStart w:id="1446" w:name="_Toc456784207"/>
    <w:p w:rsidR="00FF770C" w:rsidRPr="009F09D0" w:rsidRDefault="00FF770C" w:rsidP="00FF770C">
      <w:pPr>
        <w:pStyle w:val="Heading4"/>
        <w:spacing w:before="0" w:after="0" w:line="240" w:lineRule="auto"/>
        <w:rPr>
          <w:rFonts w:ascii="Times New Roman" w:hAnsi="Times New Roman" w:cs="Times New Roman"/>
          <w:color w:val="FFFFFF" w:themeColor="background1"/>
          <w:sz w:val="16"/>
          <w:szCs w:val="16"/>
        </w:rPr>
      </w:pPr>
      <w:r w:rsidRPr="009F09D0">
        <w:rPr>
          <w:rStyle w:val="Hyperlink"/>
          <w:rFonts w:asciiTheme="minorHAnsi" w:hAnsiTheme="minorHAnsi"/>
          <w:color w:val="FFFFFF" w:themeColor="background1"/>
          <w:sz w:val="16"/>
          <w:szCs w:val="16"/>
          <w:u w:val="none"/>
        </w:rPr>
        <w:fldChar w:fldCharType="begin"/>
      </w:r>
      <w:r w:rsidRPr="009F09D0">
        <w:rPr>
          <w:rFonts w:ascii="Times New Roman" w:hAnsi="Times New Roman" w:cs="Times New Roman"/>
          <w:color w:val="FFFFFF" w:themeColor="background1"/>
          <w:sz w:val="16"/>
          <w:szCs w:val="16"/>
        </w:rPr>
        <w:instrText xml:space="preserve"> REF _Ref456942933 \h </w:instrText>
      </w:r>
      <w:r w:rsidRPr="009F09D0">
        <w:rPr>
          <w:rStyle w:val="Hyperlink"/>
          <w:rFonts w:asciiTheme="minorHAnsi" w:hAnsiTheme="minorHAnsi"/>
          <w:color w:val="FFFFFF" w:themeColor="background1"/>
          <w:sz w:val="16"/>
          <w:szCs w:val="16"/>
          <w:u w:val="none"/>
        </w:rPr>
        <w:instrText xml:space="preserve"> \* MERGEFORMAT </w:instrText>
      </w:r>
      <w:r w:rsidRPr="009F09D0">
        <w:rPr>
          <w:rStyle w:val="Hyperlink"/>
          <w:rFonts w:asciiTheme="minorHAnsi" w:hAnsiTheme="minorHAnsi"/>
          <w:color w:val="FFFFFF" w:themeColor="background1"/>
          <w:sz w:val="16"/>
          <w:szCs w:val="16"/>
          <w:u w:val="none"/>
        </w:rPr>
      </w:r>
      <w:r w:rsidRPr="009F09D0">
        <w:rPr>
          <w:rStyle w:val="Hyperlink"/>
          <w:rFonts w:asciiTheme="minorHAnsi" w:hAnsiTheme="minorHAnsi"/>
          <w:color w:val="FFFFFF" w:themeColor="background1"/>
          <w:sz w:val="16"/>
          <w:szCs w:val="16"/>
          <w:u w:val="none"/>
        </w:rPr>
        <w:fldChar w:fldCharType="separate"/>
      </w:r>
      <w:r w:rsidR="00BD218B" w:rsidRPr="00BD218B">
        <w:rPr>
          <w:rStyle w:val="Hyperlink"/>
          <w:rFonts w:asciiTheme="minorHAnsi" w:hAnsiTheme="minorHAnsi"/>
          <w:color w:val="FFFFFF" w:themeColor="background1"/>
          <w:sz w:val="16"/>
          <w:szCs w:val="16"/>
          <w:u w:val="none"/>
        </w:rPr>
        <w:t xml:space="preserve">ACCC </w:t>
      </w:r>
      <w:r w:rsidR="00BD218B" w:rsidRPr="00BD218B">
        <w:rPr>
          <w:rFonts w:asciiTheme="minorHAnsi" w:hAnsiTheme="minorHAnsi"/>
          <w:color w:val="FFFFFF" w:themeColor="background1"/>
          <w:sz w:val="16"/>
          <w:szCs w:val="16"/>
        </w:rPr>
        <w:t>Recommendations</w:t>
      </w:r>
      <w:r w:rsidRPr="009F09D0">
        <w:rPr>
          <w:rStyle w:val="Hyperlink"/>
          <w:rFonts w:asciiTheme="minorHAnsi" w:hAnsiTheme="minorHAnsi"/>
          <w:color w:val="FFFFFF" w:themeColor="background1"/>
          <w:sz w:val="16"/>
          <w:szCs w:val="16"/>
          <w:u w:val="none"/>
        </w:rPr>
        <w:fldChar w:fldCharType="end"/>
      </w:r>
    </w:p>
    <w:p w:rsidR="009A7B9B" w:rsidRPr="00564F18" w:rsidRDefault="009A7B9B" w:rsidP="00AF7032">
      <w:pPr>
        <w:pStyle w:val="Recommendationheading"/>
      </w:pPr>
      <w:r w:rsidRPr="00564F18">
        <w:t xml:space="preserve">Recommendation </w:t>
      </w:r>
      <w:r w:rsidR="007F659D">
        <w:rPr>
          <w:rStyle w:val="xxx"/>
          <w:noProof/>
        </w:rPr>
        <w:t>8</w:t>
      </w:r>
      <w:r w:rsidRPr="00564F18">
        <w:noBreakHyphen/>
      </w:r>
      <w:r w:rsidR="007F659D">
        <w:rPr>
          <w:rStyle w:val="xxx"/>
          <w:noProof/>
        </w:rPr>
        <w:t>B</w:t>
      </w:r>
      <w:bookmarkEnd w:id="1446"/>
    </w:p>
    <w:p w:rsidR="009F09D0" w:rsidRDefault="009A7B9B" w:rsidP="009F09D0">
      <w:pPr>
        <w:pStyle w:val="Heading7"/>
        <w:shd w:val="clear" w:color="auto" w:fill="F2F2F2" w:themeFill="background1" w:themeFillShade="F2"/>
      </w:pPr>
      <w:bookmarkStart w:id="1447" w:name="_Toc456784208"/>
      <w:bookmarkStart w:id="1448" w:name="Recommendation_8B"/>
      <w:r w:rsidRPr="00F308B8">
        <w:t>Basin States, infrastructure operators, the MDBA and the ACCC should make it a priority to better inform rights holders of the benefits and obligations on right holders conferred by each type of tradeable water right, particularly in relation to charges payable and trading options.</w:t>
      </w:r>
      <w:bookmarkEnd w:id="1447"/>
      <w:bookmarkEnd w:id="1448"/>
    </w:p>
    <w:p w:rsidR="009A7B9B" w:rsidRPr="00F308B8" w:rsidRDefault="009A7B9B" w:rsidP="009A7B9B">
      <w:pPr>
        <w:spacing w:after="0"/>
        <w:rPr>
          <w:rFonts w:cs="Times New Roman"/>
        </w:rPr>
      </w:pPr>
      <w:r w:rsidRPr="00F308B8">
        <w:rPr>
          <w:rFonts w:cs="Times New Roman"/>
        </w:rPr>
        <w:t xml:space="preserve">‘Unbundling’ of water rights can </w:t>
      </w:r>
      <w:r>
        <w:rPr>
          <w:rFonts w:cs="Times New Roman"/>
        </w:rPr>
        <w:t>refer to</w:t>
      </w:r>
      <w:r w:rsidRPr="00F308B8">
        <w:rPr>
          <w:rFonts w:cs="Times New Roman"/>
        </w:rPr>
        <w:t>:</w:t>
      </w:r>
    </w:p>
    <w:p w:rsidR="009A7B9B" w:rsidRPr="00A82DE6" w:rsidRDefault="009A7B9B" w:rsidP="00A82DE6">
      <w:pPr>
        <w:pStyle w:val="Lvl1Bulletpoint"/>
      </w:pPr>
      <w:r w:rsidRPr="00A82DE6">
        <w:t>separating a right to water from a right to land</w:t>
      </w:r>
    </w:p>
    <w:p w:rsidR="009A7B9B" w:rsidRPr="00A82DE6" w:rsidRDefault="009A7B9B" w:rsidP="00A82DE6">
      <w:pPr>
        <w:pStyle w:val="Lvl1Bulletpoint"/>
        <w:spacing w:after="0"/>
      </w:pPr>
      <w:r w:rsidRPr="00A82DE6">
        <w:t>further unbundling a water right to create separate rights to:</w:t>
      </w:r>
    </w:p>
    <w:p w:rsidR="009A7B9B" w:rsidRPr="00F308B8" w:rsidRDefault="009A7B9B" w:rsidP="009B6ED8">
      <w:pPr>
        <w:pStyle w:val="Lvl2Bulletpoint"/>
      </w:pPr>
      <w:r w:rsidRPr="00F308B8">
        <w:t>a share of available water resources</w:t>
      </w:r>
    </w:p>
    <w:p w:rsidR="009A7B9B" w:rsidRPr="00F308B8" w:rsidRDefault="009A7B9B" w:rsidP="009B6ED8">
      <w:pPr>
        <w:pStyle w:val="Lvl2Bulletpoint"/>
      </w:pPr>
      <w:r w:rsidRPr="00F308B8">
        <w:t>inflows</w:t>
      </w:r>
    </w:p>
    <w:p w:rsidR="009A7B9B" w:rsidRPr="00F308B8" w:rsidRDefault="009A7B9B" w:rsidP="009B6ED8">
      <w:pPr>
        <w:pStyle w:val="Lvl2Bulletpoint"/>
      </w:pPr>
      <w:r w:rsidRPr="00F308B8">
        <w:t>storage capacity (including access to carryover)</w:t>
      </w:r>
    </w:p>
    <w:p w:rsidR="009A7B9B" w:rsidRPr="00F308B8" w:rsidRDefault="009A7B9B" w:rsidP="009B6ED8">
      <w:pPr>
        <w:pStyle w:val="Lvl2Bulletpoint"/>
      </w:pPr>
      <w:r w:rsidRPr="00F308B8">
        <w:t>delivery of water (on-river / off-river)</w:t>
      </w:r>
    </w:p>
    <w:p w:rsidR="009A7B9B" w:rsidRPr="00F308B8" w:rsidRDefault="009A7B9B" w:rsidP="009B6ED8">
      <w:pPr>
        <w:pStyle w:val="Lvl2Bulletpoint"/>
      </w:pPr>
      <w:r w:rsidRPr="00F308B8">
        <w:t>use water on land</w:t>
      </w:r>
    </w:p>
    <w:p w:rsidR="009A7B9B" w:rsidRPr="00F308B8" w:rsidRDefault="009A7B9B" w:rsidP="009B6ED8">
      <w:pPr>
        <w:pStyle w:val="Lvl2Bulletpoint"/>
      </w:pPr>
      <w:r w:rsidRPr="00F308B8">
        <w:t>operate water-related infrastructure (such as a pump).</w:t>
      </w:r>
    </w:p>
    <w:p w:rsidR="009A7B9B" w:rsidRPr="00F308B8" w:rsidRDefault="009A7B9B" w:rsidP="009A7B9B">
      <w:pPr>
        <w:rPr>
          <w:rFonts w:cs="Times New Roman"/>
        </w:rPr>
      </w:pPr>
      <w:r>
        <w:rPr>
          <w:rFonts w:cs="Times New Roman"/>
        </w:rPr>
        <w:t>Significant u</w:t>
      </w:r>
      <w:r w:rsidRPr="00F308B8">
        <w:rPr>
          <w:rFonts w:cs="Times New Roman"/>
        </w:rPr>
        <w:t xml:space="preserve">nbundling occurred in most Basin States between 2003 and 2007 as required under the National Water Initiative (NWI), to which all Basin States have subscribed. This unbundling typically involved the creation of water access entitlements (WAEs), separate from land, as well as </w:t>
      </w:r>
      <w:r>
        <w:rPr>
          <w:rFonts w:cs="Times New Roman"/>
        </w:rPr>
        <w:t>location-related rights such as rights to use water on land (‘</w:t>
      </w:r>
      <w:r w:rsidRPr="00F308B8">
        <w:rPr>
          <w:rFonts w:cs="Times New Roman"/>
        </w:rPr>
        <w:t xml:space="preserve">water use </w:t>
      </w:r>
      <w:r>
        <w:rPr>
          <w:rFonts w:cs="Times New Roman"/>
        </w:rPr>
        <w:t>approvals’) and</w:t>
      </w:r>
      <w:r w:rsidR="00C6733C">
        <w:rPr>
          <w:rFonts w:cs="Times New Roman"/>
        </w:rPr>
        <w:t xml:space="preserve"> </w:t>
      </w:r>
      <w:r w:rsidRPr="00F308B8">
        <w:rPr>
          <w:rFonts w:cs="Times New Roman"/>
        </w:rPr>
        <w:t xml:space="preserve">rights to operate </w:t>
      </w:r>
      <w:r>
        <w:rPr>
          <w:rFonts w:cs="Times New Roman"/>
        </w:rPr>
        <w:t xml:space="preserve">water-related </w:t>
      </w:r>
      <w:r w:rsidRPr="00F308B8">
        <w:rPr>
          <w:rFonts w:cs="Times New Roman"/>
        </w:rPr>
        <w:t>works</w:t>
      </w:r>
      <w:r>
        <w:rPr>
          <w:rFonts w:cs="Times New Roman"/>
        </w:rPr>
        <w:t xml:space="preserve"> (‘works approvals’)</w:t>
      </w:r>
      <w:r w:rsidRPr="00F308B8">
        <w:rPr>
          <w:rFonts w:cs="Times New Roman"/>
        </w:rPr>
        <w:t>. Infrastructure operators providing off-river infrastructure services have also generally created separate water delivery rights</w:t>
      </w:r>
      <w:r>
        <w:rPr>
          <w:rFonts w:cs="Times New Roman"/>
        </w:rPr>
        <w:t>, which relate to access and use of the operator’s infrastructure</w:t>
      </w:r>
      <w:r w:rsidRPr="00F308B8">
        <w:rPr>
          <w:rFonts w:cs="Times New Roman"/>
        </w:rPr>
        <w:t>.</w:t>
      </w:r>
    </w:p>
    <w:p w:rsidR="009A7B9B" w:rsidRPr="00F308B8" w:rsidRDefault="009A7B9B" w:rsidP="009A7B9B">
      <w:pPr>
        <w:rPr>
          <w:rFonts w:cs="Times New Roman"/>
        </w:rPr>
      </w:pPr>
      <w:r w:rsidRPr="00F308B8">
        <w:rPr>
          <w:rFonts w:cs="Times New Roman"/>
        </w:rPr>
        <w:t xml:space="preserve">In its Final Advice on the </w:t>
      </w:r>
      <w:r w:rsidR="006B1DA2">
        <w:rPr>
          <w:rFonts w:cs="Times New Roman"/>
        </w:rPr>
        <w:t>Basin Plan w</w:t>
      </w:r>
      <w:r w:rsidRPr="00F308B8">
        <w:rPr>
          <w:rFonts w:cs="Times New Roman"/>
        </w:rPr>
        <w:t xml:space="preserve">ater </w:t>
      </w:r>
      <w:r w:rsidR="006B1DA2">
        <w:rPr>
          <w:rFonts w:cs="Times New Roman"/>
        </w:rPr>
        <w:t>t</w:t>
      </w:r>
      <w:r w:rsidRPr="00F308B8">
        <w:rPr>
          <w:rFonts w:cs="Times New Roman"/>
        </w:rPr>
        <w:t xml:space="preserve">rading </w:t>
      </w:r>
      <w:r w:rsidR="006B1DA2">
        <w:rPr>
          <w:rFonts w:cs="Times New Roman"/>
        </w:rPr>
        <w:t>r</w:t>
      </w:r>
      <w:r w:rsidRPr="00F308B8">
        <w:rPr>
          <w:rFonts w:cs="Times New Roman"/>
        </w:rPr>
        <w:t>ules, the ACCC noted that unbundling could increase trading opportunities and thus provide water users with greater flexibility to manage their water access, use, delivery and land-holding needs.</w:t>
      </w:r>
      <w:r>
        <w:rPr>
          <w:rStyle w:val="FootnoteReference"/>
          <w:rFonts w:cs="Times New Roman"/>
        </w:rPr>
        <w:footnoteReference w:id="802"/>
      </w:r>
      <w:r w:rsidRPr="00F308B8">
        <w:rPr>
          <w:rFonts w:cs="Times New Roman"/>
        </w:rPr>
        <w:t xml:space="preserve"> </w:t>
      </w:r>
    </w:p>
    <w:p w:rsidR="009A7B9B" w:rsidRPr="00F308B8" w:rsidRDefault="009A7B9B" w:rsidP="0004723A">
      <w:pPr>
        <w:spacing w:after="0"/>
        <w:rPr>
          <w:rFonts w:cs="Times New Roman"/>
        </w:rPr>
      </w:pPr>
      <w:r w:rsidRPr="00F308B8">
        <w:rPr>
          <w:rFonts w:cs="Times New Roman"/>
        </w:rPr>
        <w:t>Unbundling has several impacts on the value of water rights, particularly in conjunction with the ability to trade these rights:</w:t>
      </w:r>
    </w:p>
    <w:p w:rsidR="009A7B9B" w:rsidRPr="00D9410A" w:rsidRDefault="009A7B9B" w:rsidP="00A82DE6">
      <w:pPr>
        <w:pStyle w:val="Lvl1Bulletpoint"/>
      </w:pPr>
      <w:r w:rsidRPr="00D9410A">
        <w:t>The total net value of a person’s water right holdings, which previously related to a single right, is separated across several rights.</w:t>
      </w:r>
    </w:p>
    <w:p w:rsidR="009A7B9B" w:rsidRPr="00D9410A" w:rsidRDefault="009A7B9B" w:rsidP="00A82DE6">
      <w:pPr>
        <w:pStyle w:val="Lvl1Bulletpoint"/>
      </w:pPr>
      <w:r w:rsidRPr="00D9410A">
        <w:t>Water access rights (including WAEs and water allocation) have positive value because they give the holder certain rights to take and hold water, which has intrinsic value.</w:t>
      </w:r>
    </w:p>
    <w:p w:rsidR="009A7B9B" w:rsidRPr="00D9410A" w:rsidRDefault="009A7B9B" w:rsidP="00A82DE6">
      <w:pPr>
        <w:pStyle w:val="Lvl1Bulletpoint"/>
      </w:pPr>
      <w:r w:rsidRPr="00D9410A">
        <w:t>Generally, where a separate water delivery right is created, this takes on a ‘negative’ value because it forms the basis on which ongoing fixed infrastructure charges (and possibly termination fees) are imposed for off-river infrastructure services (primarily the delivery of water through pipes and channels), which were previously levied on the combined water right.</w:t>
      </w:r>
    </w:p>
    <w:p w:rsidR="009A7B9B" w:rsidRPr="00D9410A" w:rsidRDefault="009A7B9B" w:rsidP="00A82DE6">
      <w:pPr>
        <w:pStyle w:val="Lvl1Bulletpoint"/>
      </w:pPr>
      <w:r w:rsidRPr="00D9410A">
        <w:t>The positive value of a water access right increases when it is made tradeable because more alternative uses are now possible (e.g. use for irrigation in a different valley, environmental use, etc.), and therefore demand for the right increases.</w:t>
      </w:r>
    </w:p>
    <w:p w:rsidR="009A7B9B" w:rsidRDefault="009A7B9B" w:rsidP="00A82DE6">
      <w:pPr>
        <w:pStyle w:val="Lvl1Bulletpoint"/>
      </w:pPr>
      <w:r w:rsidRPr="00D9410A">
        <w:t>The negative value of a water delivery right decreases when it is made tradeable because water delivery rights can more effectively be used to ration network capacity and an irrigator may be able to avoid paying termination fees via water delivery right trade.</w:t>
      </w:r>
    </w:p>
    <w:p w:rsidR="007E3378" w:rsidRDefault="007E3378" w:rsidP="00A82DE6">
      <w:pPr>
        <w:pStyle w:val="Lvl1Bulletpoint"/>
        <w:numPr>
          <w:ilvl w:val="0"/>
          <w:numId w:val="0"/>
        </w:numPr>
      </w:pPr>
    </w:p>
    <w:p w:rsidR="009A7B9B" w:rsidRPr="00F308B8" w:rsidRDefault="009A7B9B" w:rsidP="00F43856">
      <w:r w:rsidRPr="00F308B8">
        <w:t xml:space="preserve">Therefore, the net effect of unbundling and trade facilitation is to increase the value of a person’s holdings of tradeable water rights (their WAEs, water allocations, water delivery rights and irrigation rights), and to allow them to deal more flexibly with the rights they hold. </w:t>
      </w:r>
    </w:p>
    <w:p w:rsidR="009A7B9B" w:rsidRPr="00F308B8" w:rsidRDefault="009A7B9B" w:rsidP="00F43856">
      <w:r w:rsidRPr="00F308B8">
        <w:t>However, many stakeholders at the ACCC’s public forums indicated strong concerns about unbundling and, in particular, the creation of separate water delivery rights, which they regard as a liability. In some cases, irrigators had sold their WAE (often to the Government) separate</w:t>
      </w:r>
      <w:r>
        <w:t>ly</w:t>
      </w:r>
      <w:r w:rsidRPr="00F308B8">
        <w:t xml:space="preserve"> from their water delivery right, and were now facing increased fixed infrastructure charges (levied on the water delivery right which they retained) and could not afford the termination fees payable to terminate their water delivery right. In other cases, there were reports that irrigators had been advised to sell their WAE in order to retire debt, but to retain their water delivery right, and rely on water allocation trade (‘temporary trade’) in order to meet their water needs</w:t>
      </w:r>
      <w:r>
        <w:t xml:space="preserve">. These users </w:t>
      </w:r>
      <w:r w:rsidRPr="00F308B8">
        <w:t>were now facing high water prices which stakeholders stated made their farms unsustainable. Concerns about high water allocation prices are considered in section</w:t>
      </w:r>
      <w:r>
        <w:t xml:space="preserve"> 8.1.3.</w:t>
      </w:r>
      <w:r w:rsidRPr="00F308B8">
        <w:t xml:space="preserve"> </w:t>
      </w:r>
    </w:p>
    <w:p w:rsidR="009A7B9B" w:rsidRPr="00F308B8" w:rsidRDefault="009A7B9B" w:rsidP="00F43856">
      <w:r w:rsidRPr="00F308B8">
        <w:t xml:space="preserve">The ACCC acknowledges that there were significant and complex changes for irrigators during the unbundling </w:t>
      </w:r>
      <w:r>
        <w:t xml:space="preserve">process (primarily </w:t>
      </w:r>
      <w:r w:rsidRPr="00F308B8">
        <w:t>between 2003 and 2007</w:t>
      </w:r>
      <w:r>
        <w:t>)</w:t>
      </w:r>
      <w:r w:rsidRPr="00F308B8">
        <w:t xml:space="preserve">, and that many irrigators during that time faced significant financial pressure given the severe drought conditions. Some irrigators may have made decisions to trade their WAEs, or their water delivery rights, without a complete understanding of the long-term impact of these decisions. It became apparent in the course of this review that some irrigators continue to have concerns about the complexity of water trading markets, and may not fully understand the nature of the unbundled water rights and, in particular, what water charge obligations relate to the unbundled rights. </w:t>
      </w:r>
    </w:p>
    <w:p w:rsidR="009A7B9B" w:rsidRPr="00F308B8" w:rsidRDefault="009A7B9B" w:rsidP="00F43856">
      <w:r w:rsidRPr="00F308B8">
        <w:t>Similarly, charges for on-river infrastructure services are usually levied on the basis of water access right held or used (in the absence of any separate right to storage o</w:t>
      </w:r>
      <w:r>
        <w:t>r</w:t>
      </w:r>
      <w:r w:rsidRPr="00F308B8">
        <w:t xml:space="preserve"> on-river delivery). This </w:t>
      </w:r>
      <w:r w:rsidR="00B203D7">
        <w:t xml:space="preserve">can </w:t>
      </w:r>
      <w:r w:rsidRPr="00F308B8">
        <w:t>lead to a</w:t>
      </w:r>
      <w:r w:rsidR="00B203D7">
        <w:t>n</w:t>
      </w:r>
      <w:r w:rsidRPr="00F308B8">
        <w:t xml:space="preserve"> </w:t>
      </w:r>
      <w:r w:rsidR="00B203D7">
        <w:t xml:space="preserve">understanding </w:t>
      </w:r>
      <w:r w:rsidRPr="00F308B8">
        <w:t xml:space="preserve">that these infrastructure charges are for the </w:t>
      </w:r>
      <w:r>
        <w:t xml:space="preserve">water or </w:t>
      </w:r>
      <w:r w:rsidRPr="00F308B8">
        <w:t>water access right itself (rather than</w:t>
      </w:r>
      <w:r w:rsidR="00B203D7">
        <w:t xml:space="preserve"> for</w:t>
      </w:r>
      <w:r w:rsidRPr="00F308B8">
        <w:t xml:space="preserve"> the infrastructure services relating to the water access right), and there are corresponding concerns </w:t>
      </w:r>
      <w:r w:rsidR="00D92566">
        <w:t>about</w:t>
      </w:r>
      <w:r w:rsidRPr="00F308B8">
        <w:t xml:space="preserve"> pay</w:t>
      </w:r>
      <w:r w:rsidR="00D92566">
        <w:t>ing</w:t>
      </w:r>
      <w:r w:rsidRPr="00F308B8">
        <w:t xml:space="preserve"> these charges in periods of low water availability</w:t>
      </w:r>
      <w:r>
        <w:t xml:space="preserve"> (this issue is also considered in section 5.10.5)</w:t>
      </w:r>
      <w:r w:rsidRPr="00F308B8">
        <w:t>. The ACCC notes that the obligation to pay ongoing infrastructure charges and, where relevant, termination fees, was not created by unbundling.</w:t>
      </w:r>
    </w:p>
    <w:p w:rsidR="009A7B9B" w:rsidRPr="00F308B8" w:rsidRDefault="009A7B9B" w:rsidP="00F43856">
      <w:r w:rsidRPr="00F308B8">
        <w:t xml:space="preserve">While the ACCC remains of the view that unbundling water rights will ultimately </w:t>
      </w:r>
      <w:r>
        <w:t xml:space="preserve">be </w:t>
      </w:r>
      <w:r w:rsidRPr="00F308B8">
        <w:t xml:space="preserve">beneficial for most irrigators as it increases the value of their holdings and increases flexibility, it recognises that some individual irrigators have been significantly impacted to their detriment by the transition. Some stakeholders have suggested that an Ombudsman or other mediation service would be of assistance to individual irrigators when negotiating with monopoly infrastructure operators as to charges, fees and water access in their particular circumstances. The ACCC considers this suggestion further in section 8.3 below. </w:t>
      </w:r>
    </w:p>
    <w:p w:rsidR="009A7B9B" w:rsidRPr="00F308B8" w:rsidRDefault="009A7B9B" w:rsidP="00F43856">
      <w:r w:rsidRPr="00F308B8">
        <w:t xml:space="preserve">The ACCC also recommended in </w:t>
      </w:r>
      <w:r w:rsidR="00B71736">
        <w:t>its</w:t>
      </w:r>
      <w:r w:rsidRPr="00F308B8">
        <w:t xml:space="preserve"> Draft Advice that it is incumbent upon regulators and Government agencies</w:t>
      </w:r>
      <w:r w:rsidR="00B203D7">
        <w:t xml:space="preserve"> working</w:t>
      </w:r>
      <w:r w:rsidRPr="00F308B8">
        <w:t xml:space="preserve"> in this area to more clearly explain and improve water users’ understanding of the nature of the water rights that they hold, the options to trade those rights and the regulated water charges applicable to them. This may go some way towards addressing these issues and assist irrigators and other water users to make better informed trading decisions. </w:t>
      </w:r>
    </w:p>
    <w:p w:rsidR="009A7B9B" w:rsidRPr="00F308B8" w:rsidRDefault="009A7B9B" w:rsidP="009A7B9B">
      <w:pPr>
        <w:rPr>
          <w:rFonts w:cs="Times New Roman"/>
        </w:rPr>
      </w:pPr>
      <w:r w:rsidRPr="00F308B8">
        <w:rPr>
          <w:rFonts w:cs="Times New Roman"/>
        </w:rPr>
        <w:t>The M</w:t>
      </w:r>
      <w:r w:rsidR="005255EE">
        <w:rPr>
          <w:rFonts w:cs="Times New Roman"/>
        </w:rPr>
        <w:t>urray-</w:t>
      </w:r>
      <w:r w:rsidRPr="00F308B8">
        <w:rPr>
          <w:rFonts w:cs="Times New Roman"/>
        </w:rPr>
        <w:t>D</w:t>
      </w:r>
      <w:r w:rsidR="005255EE">
        <w:rPr>
          <w:rFonts w:cs="Times New Roman"/>
        </w:rPr>
        <w:t xml:space="preserve">arling </w:t>
      </w:r>
      <w:r w:rsidRPr="00F308B8">
        <w:rPr>
          <w:rFonts w:cs="Times New Roman"/>
        </w:rPr>
        <w:t>B</w:t>
      </w:r>
      <w:r w:rsidR="005255EE">
        <w:rPr>
          <w:rFonts w:cs="Times New Roman"/>
        </w:rPr>
        <w:t xml:space="preserve">asin </w:t>
      </w:r>
      <w:r w:rsidRPr="00F308B8">
        <w:rPr>
          <w:rFonts w:cs="Times New Roman"/>
        </w:rPr>
        <w:t>A</w:t>
      </w:r>
      <w:r w:rsidR="005255EE">
        <w:rPr>
          <w:rFonts w:cs="Times New Roman"/>
        </w:rPr>
        <w:t>uthority (MDBA)</w:t>
      </w:r>
      <w:r w:rsidRPr="00F308B8">
        <w:rPr>
          <w:rFonts w:cs="Times New Roman"/>
        </w:rPr>
        <w:t xml:space="preserve"> was the only stakeholder to provide feedback on this section of the Draft Advice. The MDBA supported Recommendation 8</w:t>
      </w:r>
      <w:r w:rsidR="00D92566">
        <w:rPr>
          <w:rFonts w:cs="Times New Roman"/>
        </w:rPr>
        <w:t>-</w:t>
      </w:r>
      <w:r w:rsidRPr="00F308B8">
        <w:rPr>
          <w:rFonts w:cs="Times New Roman"/>
        </w:rPr>
        <w:t>B.</w:t>
      </w:r>
      <w:r w:rsidRPr="00F308B8">
        <w:rPr>
          <w:rStyle w:val="FootnoteReference"/>
          <w:rFonts w:cs="Times New Roman"/>
        </w:rPr>
        <w:footnoteReference w:id="803"/>
      </w:r>
      <w:r w:rsidRPr="00F308B8">
        <w:rPr>
          <w:rFonts w:cs="Times New Roman"/>
        </w:rPr>
        <w:t xml:space="preserve"> </w:t>
      </w:r>
    </w:p>
    <w:p w:rsidR="009A7B9B" w:rsidRPr="00F308B8" w:rsidRDefault="009A7B9B" w:rsidP="009A7B9B">
      <w:pPr>
        <w:rPr>
          <w:rFonts w:cs="Times New Roman"/>
        </w:rPr>
      </w:pPr>
      <w:r w:rsidRPr="00F308B8">
        <w:rPr>
          <w:rFonts w:cs="Times New Roman"/>
        </w:rPr>
        <w:t>The ACCC’s Final Advice maintains Recommendation 8-B as in the Draft Advice.</w:t>
      </w:r>
    </w:p>
    <w:p w:rsidR="009A7B9B" w:rsidRPr="00F308B8" w:rsidRDefault="009A7B9B" w:rsidP="00F43856">
      <w:pPr>
        <w:pStyle w:val="Heading3"/>
        <w:spacing w:after="240"/>
        <w:ind w:left="862"/>
        <w:rPr>
          <w:bCs/>
        </w:rPr>
      </w:pPr>
      <w:bookmarkStart w:id="1449" w:name="_Toc456785840"/>
      <w:bookmarkStart w:id="1450" w:name="_Toc461630752"/>
      <w:r w:rsidRPr="00F308B8">
        <w:t>Trade by non-water users and concerns about speculators</w:t>
      </w:r>
      <w:bookmarkEnd w:id="1449"/>
      <w:bookmarkEnd w:id="1450"/>
    </w:p>
    <w:p w:rsidR="009A7B9B" w:rsidRPr="00F308B8" w:rsidRDefault="009A7B9B" w:rsidP="009A7B9B">
      <w:pPr>
        <w:rPr>
          <w:rFonts w:eastAsia="Arial" w:cs="Times New Roman"/>
        </w:rPr>
      </w:pPr>
      <w:r w:rsidRPr="00F308B8">
        <w:rPr>
          <w:rFonts w:eastAsia="Arial" w:cs="Times New Roman"/>
        </w:rPr>
        <w:t>Unbundling and the removal of certain trading restrictions has enabled non-water users to obtain water access rights. For the purpose of this discussion, a non-water user is a person that does not use water for irrigation, environmental purposes or any other consumptive use, but instead primarily holds water access rights for investment purposes.</w:t>
      </w:r>
    </w:p>
    <w:p w:rsidR="009A7B9B" w:rsidRPr="00F308B8" w:rsidRDefault="009A7B9B" w:rsidP="009A7B9B">
      <w:pPr>
        <w:rPr>
          <w:rFonts w:eastAsia="Arial" w:cs="Times New Roman"/>
        </w:rPr>
      </w:pPr>
      <w:r w:rsidRPr="00F308B8">
        <w:rPr>
          <w:rFonts w:eastAsia="Arial" w:cs="Times New Roman"/>
        </w:rPr>
        <w:t>The ACCC has heard concerns from several stakeholders, chiefly via its public forums, about ownership and trade of water access rights by non-water users. In these stakeholders’ views, non-water users who hold water access rights are engaging in ‘speculative’ activity in water markets, and deliberately attempting to drive up water allocation prices in order to maximise their investment returns.</w:t>
      </w:r>
      <w:r w:rsidRPr="00F308B8">
        <w:rPr>
          <w:rStyle w:val="FootnoteReference"/>
          <w:rFonts w:eastAsia="Arial" w:cs="Times New Roman"/>
        </w:rPr>
        <w:footnoteReference w:id="804"/>
      </w:r>
      <w:r w:rsidRPr="00F308B8">
        <w:rPr>
          <w:rFonts w:eastAsia="Arial" w:cs="Times New Roman"/>
        </w:rPr>
        <w:t xml:space="preserve"> These stakeholders </w:t>
      </w:r>
      <w:r w:rsidR="00B203D7">
        <w:rPr>
          <w:rFonts w:eastAsia="Arial" w:cs="Times New Roman"/>
        </w:rPr>
        <w:t>were of the view</w:t>
      </w:r>
      <w:r w:rsidR="00B203D7" w:rsidRPr="00F308B8">
        <w:rPr>
          <w:rFonts w:eastAsia="Arial" w:cs="Times New Roman"/>
        </w:rPr>
        <w:t xml:space="preserve"> </w:t>
      </w:r>
      <w:r w:rsidRPr="00F308B8">
        <w:rPr>
          <w:rFonts w:eastAsia="Arial" w:cs="Times New Roman"/>
        </w:rPr>
        <w:t>that non-water users should be banned or limited in some way from holding water access rights.</w:t>
      </w:r>
    </w:p>
    <w:p w:rsidR="009A7B9B" w:rsidRPr="00F308B8" w:rsidRDefault="009A7B9B" w:rsidP="009A7B9B">
      <w:pPr>
        <w:rPr>
          <w:rFonts w:eastAsia="Arial" w:cs="Times New Roman"/>
        </w:rPr>
      </w:pPr>
      <w:r w:rsidRPr="00F308B8">
        <w:rPr>
          <w:rFonts w:eastAsia="Arial" w:cs="Times New Roman"/>
        </w:rPr>
        <w:t xml:space="preserve">Given the limitations on available information as to the entities involved in water trading (see the discussions at section 8.1.1 above), most of the submissions received by the ACCC on this issue have been necessarily anecdotal. The ACCC also has not </w:t>
      </w:r>
      <w:r>
        <w:rPr>
          <w:rFonts w:eastAsia="Arial" w:cs="Times New Roman"/>
        </w:rPr>
        <w:t>found</w:t>
      </w:r>
      <w:r w:rsidRPr="00F308B8">
        <w:rPr>
          <w:rFonts w:eastAsia="Arial" w:cs="Times New Roman"/>
        </w:rPr>
        <w:t xml:space="preserve"> any firm evidence of water market speculation driving up water prices. Furthermore, the available data appears to indicate an ongoing strong inverse correlation between water allocation prices and general water availability. That is, water allocation prices in water markets generally increase during periods of dry seasonal conditions (and low storage inflows) because less water is available to be allocated for use and / or trade and water demands of crops increase. Conversely, water allocation prices generally decrease during wetter periods when more water is available and demand is lower. Although individuals’ marginal water use and trading actions affect the supply of and demand for water allocation in the market at a particular point in time, fundamentally prices reflect the total amount of water available to be allocated.</w:t>
      </w:r>
      <w:r>
        <w:rPr>
          <w:rStyle w:val="FootnoteReference"/>
          <w:rFonts w:eastAsia="Arial" w:cs="Times New Roman"/>
        </w:rPr>
        <w:footnoteReference w:id="805"/>
      </w:r>
      <w:r w:rsidRPr="00F308B8">
        <w:rPr>
          <w:rFonts w:eastAsia="Arial" w:cs="Times New Roman"/>
        </w:rPr>
        <w:t xml:space="preserve"> </w:t>
      </w:r>
    </w:p>
    <w:p w:rsidR="009A7B9B" w:rsidRPr="00F308B8" w:rsidRDefault="009A7B9B" w:rsidP="009A7B9B">
      <w:pPr>
        <w:rPr>
          <w:rFonts w:eastAsia="Arial" w:cs="Times New Roman"/>
        </w:rPr>
      </w:pPr>
      <w:r w:rsidRPr="00F308B8">
        <w:rPr>
          <w:rFonts w:eastAsia="Arial" w:cs="Times New Roman"/>
        </w:rPr>
        <w:t xml:space="preserve">Having said that, the ACCC acknowledges that the current high water allocation trading prices are a concern for many irrigators. The ACCC also accepts that non-water users will seek to maximise their return on water assets. However, water trading is also of benefit to irrigators. </w:t>
      </w:r>
      <w:r>
        <w:rPr>
          <w:rFonts w:eastAsia="Arial" w:cs="Times New Roman"/>
        </w:rPr>
        <w:t>While i</w:t>
      </w:r>
      <w:r w:rsidRPr="00F308B8">
        <w:rPr>
          <w:rFonts w:eastAsia="Arial" w:cs="Times New Roman"/>
        </w:rPr>
        <w:t>rrigators will ordinarily seek to maximise their return on their water access rights by using the</w:t>
      </w:r>
      <w:r w:rsidR="00C50726">
        <w:rPr>
          <w:rFonts w:eastAsia="Arial" w:cs="Times New Roman"/>
        </w:rPr>
        <w:t>ir</w:t>
      </w:r>
      <w:r w:rsidRPr="00F308B8">
        <w:rPr>
          <w:rFonts w:eastAsia="Arial" w:cs="Times New Roman"/>
        </w:rPr>
        <w:t xml:space="preserve"> water to produce agricultural output</w:t>
      </w:r>
      <w:r>
        <w:rPr>
          <w:rFonts w:eastAsia="Arial" w:cs="Times New Roman"/>
        </w:rPr>
        <w:t xml:space="preserve">, </w:t>
      </w:r>
      <w:r w:rsidRPr="00F308B8">
        <w:rPr>
          <w:rFonts w:eastAsia="Arial" w:cs="Times New Roman"/>
        </w:rPr>
        <w:t>in some circumstances it may be more beneficial to carryover water, or sell water allocation on the market. The availability of flexible water markets provides irrigators this additional financial option.</w:t>
      </w:r>
    </w:p>
    <w:p w:rsidR="009A7B9B" w:rsidRPr="00F308B8" w:rsidRDefault="009A7B9B" w:rsidP="009A7B9B">
      <w:pPr>
        <w:rPr>
          <w:rFonts w:eastAsia="Arial" w:cs="Times New Roman"/>
        </w:rPr>
      </w:pPr>
      <w:r w:rsidRPr="00F308B8">
        <w:rPr>
          <w:rFonts w:cs="Times New Roman"/>
        </w:rPr>
        <w:t>The ACCC further notes that</w:t>
      </w:r>
      <w:r w:rsidR="007069ED">
        <w:rPr>
          <w:rFonts w:cs="Times New Roman"/>
        </w:rPr>
        <w:t>, i</w:t>
      </w:r>
      <w:r>
        <w:rPr>
          <w:rFonts w:cs="Times New Roman"/>
        </w:rPr>
        <w:t xml:space="preserve">n aggregate, </w:t>
      </w:r>
      <w:r w:rsidR="007069ED">
        <w:t xml:space="preserve">despite any trading by non-users </w:t>
      </w:r>
      <w:r>
        <w:rPr>
          <w:rFonts w:cs="Times New Roman"/>
        </w:rPr>
        <w:t>t</w:t>
      </w:r>
      <w:r w:rsidRPr="00F308B8">
        <w:rPr>
          <w:rFonts w:cs="Times New Roman"/>
        </w:rPr>
        <w:t xml:space="preserve">he volume of water </w:t>
      </w:r>
      <w:r>
        <w:rPr>
          <w:rFonts w:cs="Times New Roman"/>
        </w:rPr>
        <w:t xml:space="preserve">access </w:t>
      </w:r>
      <w:r w:rsidRPr="00F308B8">
        <w:rPr>
          <w:rFonts w:cs="Times New Roman"/>
        </w:rPr>
        <w:t>entitlements</w:t>
      </w:r>
      <w:r w:rsidR="00BA4E38">
        <w:rPr>
          <w:rFonts w:cs="Times New Roman"/>
        </w:rPr>
        <w:t xml:space="preserve"> (WAEs)</w:t>
      </w:r>
      <w:r w:rsidRPr="00F308B8">
        <w:rPr>
          <w:rFonts w:cs="Times New Roman"/>
        </w:rPr>
        <w:t xml:space="preserve"> is not altered</w:t>
      </w:r>
      <w:r w:rsidR="007069ED">
        <w:rPr>
          <w:rFonts w:cs="Times New Roman"/>
        </w:rPr>
        <w:t>,</w:t>
      </w:r>
      <w:r w:rsidRPr="00F308B8">
        <w:rPr>
          <w:rFonts w:cs="Times New Roman"/>
        </w:rPr>
        <w:t xml:space="preserve"> and the holdings </w:t>
      </w:r>
      <w:r w:rsidR="007069ED">
        <w:rPr>
          <w:rFonts w:cs="Times New Roman"/>
        </w:rPr>
        <w:t>of</w:t>
      </w:r>
      <w:r w:rsidR="007069ED" w:rsidRPr="00F308B8">
        <w:rPr>
          <w:rFonts w:cs="Times New Roman"/>
        </w:rPr>
        <w:t xml:space="preserve"> </w:t>
      </w:r>
      <w:r w:rsidRPr="00F308B8">
        <w:rPr>
          <w:rFonts w:cs="Times New Roman"/>
        </w:rPr>
        <w:t xml:space="preserve">non-users are unlikely to reduce the volume of water available in the system. </w:t>
      </w:r>
      <w:r w:rsidR="00C50726">
        <w:rPr>
          <w:rFonts w:cs="Times New Roman"/>
        </w:rPr>
        <w:t>In addition</w:t>
      </w:r>
      <w:r>
        <w:rPr>
          <w:rFonts w:cs="Times New Roman"/>
        </w:rPr>
        <w:t xml:space="preserve">, trading activity by </w:t>
      </w:r>
      <w:r w:rsidRPr="00F308B8">
        <w:rPr>
          <w:rFonts w:cs="Times New Roman"/>
        </w:rPr>
        <w:t xml:space="preserve">non-users may </w:t>
      </w:r>
      <w:r>
        <w:rPr>
          <w:rFonts w:cs="Times New Roman"/>
        </w:rPr>
        <w:t xml:space="preserve">result in a ‘smoothing’ of supply and demand for water access rights over time. In particular, non-users may </w:t>
      </w:r>
      <w:r w:rsidRPr="00F308B8">
        <w:rPr>
          <w:rFonts w:cs="Times New Roman"/>
        </w:rPr>
        <w:t xml:space="preserve">buy </w:t>
      </w:r>
      <w:r w:rsidR="00BA4E38">
        <w:rPr>
          <w:rFonts w:cs="Times New Roman"/>
        </w:rPr>
        <w:t>WAE</w:t>
      </w:r>
      <w:r w:rsidRPr="00F308B8">
        <w:rPr>
          <w:rFonts w:cs="Times New Roman"/>
        </w:rPr>
        <w:t xml:space="preserve">s </w:t>
      </w:r>
      <w:r>
        <w:rPr>
          <w:rFonts w:cs="Times New Roman"/>
        </w:rPr>
        <w:t xml:space="preserve">or water allocations </w:t>
      </w:r>
      <w:r w:rsidRPr="00F308B8">
        <w:rPr>
          <w:rFonts w:cs="Times New Roman"/>
        </w:rPr>
        <w:t>in periods of high water availability, when prices are low, offering irrigators a better return from selling their water than using it on-farm. The</w:t>
      </w:r>
      <w:r>
        <w:rPr>
          <w:rFonts w:cs="Times New Roman"/>
        </w:rPr>
        <w:t xml:space="preserve">n, these non-users are likely </w:t>
      </w:r>
      <w:r w:rsidRPr="00F308B8">
        <w:rPr>
          <w:rFonts w:cs="Times New Roman"/>
        </w:rPr>
        <w:t xml:space="preserve">to sell the allocations at times of high demand, providing additional supply when most needed. </w:t>
      </w:r>
      <w:r w:rsidR="008D5DE3">
        <w:rPr>
          <w:rFonts w:cs="Times New Roman"/>
        </w:rPr>
        <w:t>The ACCC notes that</w:t>
      </w:r>
      <w:r>
        <w:rPr>
          <w:rFonts w:cs="Times New Roman"/>
        </w:rPr>
        <w:t xml:space="preserve"> in order to obtain an ongoing income from their investment, non-users ultimately need to sell water allocation. </w:t>
      </w:r>
    </w:p>
    <w:p w:rsidR="009A7B9B" w:rsidRPr="00F308B8" w:rsidRDefault="009A7B9B" w:rsidP="009A7B9B">
      <w:pPr>
        <w:rPr>
          <w:rFonts w:eastAsia="Arial" w:cs="Times New Roman"/>
        </w:rPr>
      </w:pPr>
      <w:r w:rsidRPr="00F308B8">
        <w:rPr>
          <w:rFonts w:eastAsia="Arial" w:cs="Times New Roman"/>
        </w:rPr>
        <w:t xml:space="preserve">The ACCC reiterated in its Draft Advice the view that there should not be any limitations on which entities can buy and sell water in the Basin. </w:t>
      </w:r>
      <w:r w:rsidRPr="00F308B8">
        <w:rPr>
          <w:rFonts w:cs="Times New Roman"/>
        </w:rPr>
        <w:t xml:space="preserve">Waterfind </w:t>
      </w:r>
      <w:r>
        <w:rPr>
          <w:rFonts w:cs="Times New Roman"/>
        </w:rPr>
        <w:t>supported</w:t>
      </w:r>
      <w:r w:rsidRPr="00F308B8">
        <w:rPr>
          <w:rFonts w:cs="Times New Roman"/>
        </w:rPr>
        <w:t xml:space="preserve"> this view.</w:t>
      </w:r>
      <w:r w:rsidRPr="00F308B8">
        <w:rPr>
          <w:rStyle w:val="FootnoteReference"/>
          <w:rFonts w:cs="Times New Roman"/>
        </w:rPr>
        <w:footnoteReference w:id="806"/>
      </w:r>
      <w:r w:rsidRPr="00F308B8">
        <w:rPr>
          <w:rFonts w:cs="Times New Roman"/>
        </w:rPr>
        <w:t xml:space="preserve"> Waterfind submitted that any rules that attempted to decrease market participation would cause temporary disruption to, and increase the volatility of, the market and, “encourage innovative rules work arounds”. Waterfind added, “[i]ncreased volatility would then only serve as additional lure to profit-maximising investors seeking to make profit out of this precious resource”. </w:t>
      </w:r>
    </w:p>
    <w:p w:rsidR="009A7B9B" w:rsidRPr="00F308B8" w:rsidRDefault="009A7B9B" w:rsidP="009A7B9B">
      <w:pPr>
        <w:rPr>
          <w:rFonts w:cs="Times New Roman"/>
        </w:rPr>
      </w:pPr>
      <w:r w:rsidRPr="00F308B8">
        <w:rPr>
          <w:rFonts w:cs="Times New Roman"/>
        </w:rPr>
        <w:t xml:space="preserve">Waterfind stated that the Commonwealth should encourage increased participation in the water market, thereby providing irrigation communities with increased opportunities to grow their irrigated agricultural businesses. Waterfind considered that the amount of water held in the market for non-food / fibre production or industrial use may have increased over the last 10 years, but the eventual application of this water is still for food and fibre production or environmental purposes. It considered that, regardless of who owns the water, no single entity (apart from the </w:t>
      </w:r>
      <w:r w:rsidR="001E5064">
        <w:rPr>
          <w:rFonts w:cs="Times New Roman"/>
        </w:rPr>
        <w:t>Commonwealth Environmental Water Holder (</w:t>
      </w:r>
      <w:r w:rsidRPr="00F308B8">
        <w:rPr>
          <w:rFonts w:cs="Times New Roman"/>
        </w:rPr>
        <w:t>CEWH</w:t>
      </w:r>
      <w:r w:rsidR="001E5064">
        <w:rPr>
          <w:rFonts w:cs="Times New Roman"/>
        </w:rPr>
        <w:t>)</w:t>
      </w:r>
      <w:r w:rsidRPr="00F308B8">
        <w:rPr>
          <w:rFonts w:cs="Times New Roman"/>
        </w:rPr>
        <w:t>) has the capacity to have a dramatic impact on the performance of the market.</w:t>
      </w:r>
    </w:p>
    <w:p w:rsidR="009A7B9B" w:rsidRDefault="009A7B9B" w:rsidP="009A7B9B">
      <w:pPr>
        <w:rPr>
          <w:rFonts w:eastAsia="Arial" w:cs="Times New Roman"/>
        </w:rPr>
      </w:pPr>
      <w:r w:rsidRPr="00F308B8">
        <w:rPr>
          <w:rFonts w:eastAsia="Arial" w:cs="Times New Roman"/>
        </w:rPr>
        <w:t xml:space="preserve">Despite the ACCC’s view that that there should be no limitations on who buys and sells water, the ACCC also recognises that due to information asymmetries there may be conduct by </w:t>
      </w:r>
      <w:r w:rsidR="00D92566">
        <w:rPr>
          <w:rFonts w:eastAsia="Arial" w:cs="Times New Roman"/>
        </w:rPr>
        <w:t xml:space="preserve">market </w:t>
      </w:r>
      <w:r w:rsidRPr="00F308B8">
        <w:rPr>
          <w:rFonts w:eastAsia="Arial" w:cs="Times New Roman"/>
        </w:rPr>
        <w:t>participants that may distort or manipulat</w:t>
      </w:r>
      <w:r w:rsidR="00D92566">
        <w:rPr>
          <w:rFonts w:eastAsia="Arial" w:cs="Times New Roman"/>
        </w:rPr>
        <w:t>e</w:t>
      </w:r>
      <w:r w:rsidRPr="00F308B8">
        <w:rPr>
          <w:rFonts w:eastAsia="Arial" w:cs="Times New Roman"/>
        </w:rPr>
        <w:t xml:space="preserve"> the market to unfairly benefit some entities. It would be cause for concern if any market participant were seeking to manipulate markets through misleading and deceptive conduct or anticompetitive practices. If specific concerns are identified raising such issues, the ACCC can and will investigate them. These issues may also benefit from a broader market study or formal inquiry by the ACCC or another body.</w:t>
      </w:r>
      <w:r w:rsidRPr="00266EFD">
        <w:rPr>
          <w:rFonts w:eastAsia="Arial" w:cs="Times New Roman"/>
        </w:rPr>
        <w:t xml:space="preserve"> </w:t>
      </w:r>
    </w:p>
    <w:p w:rsidR="009A7B9B" w:rsidRPr="00F308B8" w:rsidRDefault="009A7B9B" w:rsidP="009A7B9B">
      <w:pPr>
        <w:rPr>
          <w:rFonts w:eastAsia="Arial" w:cs="Times New Roman"/>
        </w:rPr>
      </w:pPr>
      <w:r w:rsidRPr="00F308B8">
        <w:rPr>
          <w:rFonts w:eastAsia="Arial" w:cs="Times New Roman"/>
        </w:rPr>
        <w:t>While not raised by stakeholders, the ACCC notes that tariff structures (in particular for on-river infrastructure services) featuring lower fixed charges (and higher variable charges) arguably reduce the WAE holding costs for those water market participants seeking to trade (rather than use) the consequential water allocation. Similarly, the lack of any separate charge for those who store water for most or all of a season, or who carryover water into the next season is also beneficial to such traders.</w:t>
      </w:r>
      <w:r>
        <w:rPr>
          <w:rFonts w:eastAsia="Arial" w:cs="Times New Roman"/>
        </w:rPr>
        <w:t xml:space="preserve"> Operators, state regulators and entities determining the bases for planning and management charges should carefully consider market impacts of future decisions about such aspects of charging arrangements. </w:t>
      </w:r>
    </w:p>
    <w:p w:rsidR="009A7B9B" w:rsidRPr="001127C9" w:rsidRDefault="009A7B9B" w:rsidP="009A7B9B">
      <w:pPr>
        <w:pStyle w:val="Heading3"/>
        <w:ind w:left="862"/>
        <w:rPr>
          <w:bCs/>
        </w:rPr>
      </w:pPr>
      <w:bookmarkStart w:id="1451" w:name="_Toc456785841"/>
      <w:bookmarkStart w:id="1452" w:name="_Toc461630753"/>
      <w:r w:rsidRPr="001127C9">
        <w:t>Non-charge barriers to water trade</w:t>
      </w:r>
      <w:bookmarkEnd w:id="1451"/>
      <w:bookmarkEnd w:id="1452"/>
    </w:p>
    <w:p w:rsidR="009A7B9B" w:rsidRPr="00F308B8" w:rsidRDefault="009A7B9B" w:rsidP="009A7B9B">
      <w:pPr>
        <w:spacing w:after="0"/>
        <w:contextualSpacing/>
        <w:rPr>
          <w:rFonts w:cs="Times New Roman"/>
        </w:rPr>
      </w:pPr>
      <w:r w:rsidRPr="00F308B8">
        <w:rPr>
          <w:rFonts w:cs="Times New Roman"/>
        </w:rPr>
        <w:t>Stakeholders identified concerns</w:t>
      </w:r>
      <w:r>
        <w:rPr>
          <w:rFonts w:cs="Times New Roman"/>
        </w:rPr>
        <w:t xml:space="preserve"> and</w:t>
      </w:r>
      <w:r w:rsidRPr="00F308B8">
        <w:rPr>
          <w:rFonts w:cs="Times New Roman"/>
        </w:rPr>
        <w:t xml:space="preserve"> provided feedback to the ACCC in relation to several </w:t>
      </w:r>
      <w:r>
        <w:rPr>
          <w:rFonts w:cs="Times New Roman"/>
        </w:rPr>
        <w:t xml:space="preserve">existing arrangements which </w:t>
      </w:r>
      <w:r w:rsidRPr="00F308B8">
        <w:rPr>
          <w:rFonts w:cs="Times New Roman"/>
        </w:rPr>
        <w:t xml:space="preserve">may </w:t>
      </w:r>
      <w:r>
        <w:rPr>
          <w:rFonts w:cs="Times New Roman"/>
        </w:rPr>
        <w:t xml:space="preserve">(inadvertently) </w:t>
      </w:r>
      <w:r w:rsidRPr="00F308B8">
        <w:rPr>
          <w:rFonts w:cs="Times New Roman"/>
        </w:rPr>
        <w:t>act as barriers to trade, including:</w:t>
      </w:r>
    </w:p>
    <w:p w:rsidR="009A7B9B" w:rsidRPr="00F308B8" w:rsidRDefault="009A7B9B" w:rsidP="00F43856">
      <w:pPr>
        <w:pStyle w:val="ListParagraph"/>
        <w:numPr>
          <w:ilvl w:val="0"/>
          <w:numId w:val="65"/>
        </w:numPr>
        <w:tabs>
          <w:tab w:val="left" w:pos="340"/>
        </w:tabs>
        <w:ind w:left="714" w:hanging="357"/>
        <w:rPr>
          <w:rFonts w:cs="Times New Roman"/>
        </w:rPr>
      </w:pPr>
      <w:r w:rsidRPr="00F308B8">
        <w:rPr>
          <w:rFonts w:cs="Times New Roman"/>
        </w:rPr>
        <w:t>differences in season closing dates for temporary trade</w:t>
      </w:r>
    </w:p>
    <w:p w:rsidR="009A7B9B" w:rsidRPr="00F308B8" w:rsidRDefault="009A7B9B" w:rsidP="00F43856">
      <w:pPr>
        <w:pStyle w:val="ListParagraph"/>
        <w:numPr>
          <w:ilvl w:val="0"/>
          <w:numId w:val="65"/>
        </w:numPr>
        <w:tabs>
          <w:tab w:val="left" w:pos="340"/>
        </w:tabs>
        <w:ind w:left="714" w:hanging="357"/>
        <w:rPr>
          <w:rFonts w:cs="Times New Roman"/>
        </w:rPr>
      </w:pPr>
      <w:r w:rsidRPr="00F308B8">
        <w:rPr>
          <w:rFonts w:cs="Times New Roman"/>
        </w:rPr>
        <w:t>payment of charges when water trades are not completed and</w:t>
      </w:r>
    </w:p>
    <w:p w:rsidR="009A7B9B" w:rsidRPr="00F308B8" w:rsidRDefault="009A7B9B" w:rsidP="00F43856">
      <w:pPr>
        <w:pStyle w:val="ListParagraph"/>
        <w:numPr>
          <w:ilvl w:val="0"/>
          <w:numId w:val="65"/>
        </w:numPr>
        <w:tabs>
          <w:tab w:val="left" w:pos="340"/>
        </w:tabs>
        <w:ind w:left="714" w:hanging="357"/>
        <w:rPr>
          <w:rFonts w:cs="Times New Roman"/>
        </w:rPr>
      </w:pPr>
      <w:r w:rsidRPr="00F308B8">
        <w:rPr>
          <w:rFonts w:cs="Times New Roman"/>
        </w:rPr>
        <w:t>the inability to deliver water at the right time for administrative reasons.</w:t>
      </w:r>
    </w:p>
    <w:p w:rsidR="009A7B9B" w:rsidRDefault="009A7B9B" w:rsidP="009A7B9B">
      <w:pPr>
        <w:rPr>
          <w:rFonts w:cs="Times New Roman"/>
        </w:rPr>
      </w:pPr>
      <w:r w:rsidRPr="00F308B8">
        <w:rPr>
          <w:rFonts w:cs="Times New Roman"/>
        </w:rPr>
        <w:t>Waterfind submitted that it is concerned about the barrier to trade, and an inequity in the ability for irrigators to manage their water assets, because of earlier season closing dates for intra-and-interstate temporary trade in the NSW Murray and Murrumbidgee relative to SA and Victoria.</w:t>
      </w:r>
      <w:r w:rsidRPr="00F308B8">
        <w:rPr>
          <w:rStyle w:val="FootnoteReference"/>
          <w:rFonts w:cs="Times New Roman"/>
        </w:rPr>
        <w:footnoteReference w:id="807"/>
      </w:r>
      <w:r w:rsidRPr="00F308B8">
        <w:rPr>
          <w:rFonts w:cs="Times New Roman"/>
        </w:rPr>
        <w:t xml:space="preserve"> Waterfind questioned the reason for earlier season closing dates in NSW and called for the ACCC to standardise trade-closing dates across the southern (connected) Murray-Darling Basin</w:t>
      </w:r>
      <w:r w:rsidR="003A3D07">
        <w:rPr>
          <w:rFonts w:cs="Times New Roman"/>
        </w:rPr>
        <w:t xml:space="preserve"> (MDB)</w:t>
      </w:r>
      <w:r w:rsidRPr="00F308B8">
        <w:rPr>
          <w:rFonts w:cs="Times New Roman"/>
        </w:rPr>
        <w:t xml:space="preserve">. </w:t>
      </w:r>
    </w:p>
    <w:p w:rsidR="009A7B9B" w:rsidRPr="00F308B8" w:rsidRDefault="009A7B9B" w:rsidP="009A7B9B">
      <w:r w:rsidRPr="00F308B8">
        <w:t>Waterfind</w:t>
      </w:r>
      <w:r>
        <w:t xml:space="preserve"> also stated </w:t>
      </w:r>
      <w:r w:rsidRPr="00F308B8">
        <w:t>that the Basin Plan water trading rules and the ACCC’s proposed amendments to the non-discrimination provisions do not prevent all trade barriers that can arise within the MDB.</w:t>
      </w:r>
      <w:r w:rsidRPr="00F308B8">
        <w:rPr>
          <w:rStyle w:val="FootnoteReference"/>
          <w:rFonts w:cs="Times New Roman"/>
          <w:sz w:val="20"/>
          <w:szCs w:val="20"/>
        </w:rPr>
        <w:footnoteReference w:id="808"/>
      </w:r>
      <w:r w:rsidRPr="00F308B8">
        <w:t xml:space="preserve"> In particular, Waterfind </w:t>
      </w:r>
      <w:r>
        <w:t>was</w:t>
      </w:r>
      <w:r w:rsidRPr="00F308B8">
        <w:t xml:space="preserve"> concerned about irrigators not having “any avenues to appeal” against </w:t>
      </w:r>
      <w:r w:rsidR="004B070D">
        <w:t>IIOs</w:t>
      </w:r>
      <w:r w:rsidRPr="00F308B8">
        <w:t xml:space="preserve"> prohibiting trade out of their irrigation districts. However, Waterfind consider</w:t>
      </w:r>
      <w:r>
        <w:t>ed</w:t>
      </w:r>
      <w:r w:rsidRPr="00F308B8">
        <w:t xml:space="preserve"> that a water ombudsman, as suggested by Recommendation 8-C, could deal with these issues</w:t>
      </w:r>
      <w:r>
        <w:t xml:space="preserve"> (see section 8.3)</w:t>
      </w:r>
      <w:r w:rsidRPr="00F308B8">
        <w:t xml:space="preserve">. </w:t>
      </w:r>
    </w:p>
    <w:p w:rsidR="009A7B9B" w:rsidRPr="00F308B8" w:rsidRDefault="009A7B9B" w:rsidP="009A7B9B">
      <w:pPr>
        <w:rPr>
          <w:rFonts w:cs="Times New Roman"/>
          <w:i/>
        </w:rPr>
      </w:pPr>
      <w:r w:rsidRPr="00F308B8">
        <w:rPr>
          <w:rFonts w:cs="Times New Roman"/>
        </w:rPr>
        <w:t>The South Australian Murray Irrigators (SAMI) commented on what it considers to be inequitable management of trade caps.</w:t>
      </w:r>
      <w:r w:rsidRPr="00F308B8">
        <w:rPr>
          <w:rStyle w:val="FootnoteReference"/>
          <w:rFonts w:cs="Times New Roman"/>
        </w:rPr>
        <w:footnoteReference w:id="809"/>
      </w:r>
      <w:r w:rsidRPr="00F308B8">
        <w:rPr>
          <w:rFonts w:cs="Times New Roman"/>
        </w:rPr>
        <w:t xml:space="preserve"> The SAMI alleges that in some areas where trade caps were reached, “[l]arger bulk trades were given priority within the cap limit”. The SAMI added that where a trade cap was implemented in an “upstream jurisdiction”, buyers who were unable to complete the trade and have the water delivered, were still required to pay the charges in the “upstream jurisdiction”. </w:t>
      </w:r>
    </w:p>
    <w:p w:rsidR="009A7B9B" w:rsidRPr="00F308B8" w:rsidRDefault="009A7B9B" w:rsidP="009A7B9B">
      <w:pPr>
        <w:rPr>
          <w:rFonts w:cs="Times New Roman"/>
        </w:rPr>
      </w:pPr>
      <w:r w:rsidRPr="00F308B8">
        <w:rPr>
          <w:rFonts w:cs="Times New Roman"/>
        </w:rPr>
        <w:t>The SAMI also provided comment on what it considers to be ‘market anomalies’, which should be minimised:</w:t>
      </w:r>
    </w:p>
    <w:p w:rsidR="009A7B9B" w:rsidRPr="00F308B8" w:rsidRDefault="009A7B9B" w:rsidP="00437FC6">
      <w:pPr>
        <w:ind w:left="284" w:firstLine="5"/>
        <w:rPr>
          <w:rFonts w:cs="Times New Roman"/>
          <w:i/>
        </w:rPr>
      </w:pPr>
      <w:r w:rsidRPr="007F3874">
        <w:rPr>
          <w:rFonts w:cs="Times New Roman"/>
          <w:i/>
        </w:rPr>
        <w:t>The distinction between permanent entitlement traded and temporary water trades has brought with it a suite of inconsistencies that will differ depending on the business water portfolio mix and exposure to temporary water. Trade is forced when permanent crops will die without water and the fees are compulsory. Crop yields and quality are compromised when the right amount of water cannot be delivered at the right time due to an administrative reason rather than a system constraint. This type of market anomaly should be minimised.</w:t>
      </w:r>
      <w:r w:rsidRPr="00F308B8">
        <w:rPr>
          <w:rStyle w:val="FootnoteReference"/>
          <w:rFonts w:cs="Times New Roman"/>
        </w:rPr>
        <w:footnoteReference w:id="810"/>
      </w:r>
      <w:r w:rsidR="00C6733C">
        <w:rPr>
          <w:rFonts w:cs="Times New Roman"/>
        </w:rPr>
        <w:t xml:space="preserve"> </w:t>
      </w:r>
    </w:p>
    <w:p w:rsidR="009A7B9B" w:rsidRPr="00F308B8" w:rsidRDefault="009A7B9B" w:rsidP="009A7B9B">
      <w:pPr>
        <w:spacing w:after="0"/>
        <w:rPr>
          <w:rFonts w:cs="Times New Roman"/>
        </w:rPr>
      </w:pPr>
      <w:r w:rsidRPr="00F308B8">
        <w:rPr>
          <w:rFonts w:cs="Times New Roman"/>
        </w:rPr>
        <w:t xml:space="preserve">The ACCC is concerned about trade barriers that may hinder the efficient functioning of the water market. The ACCC’s Final Advice proposes changes to the water charge rules that seek to limit or preclude such barriers (to the extent that they can be addressed by the rules). In particular, the ACCC has proposed amendments that seek to preclude distortions to water markets and promote the efficient functioning of the water market by, for example, ensuring that: </w:t>
      </w:r>
    </w:p>
    <w:p w:rsidR="009A7B9B" w:rsidRPr="00F308B8" w:rsidRDefault="009A7B9B" w:rsidP="00A82DE6">
      <w:pPr>
        <w:pStyle w:val="Lvl1Bulletpoint"/>
      </w:pPr>
      <w:r w:rsidRPr="00F308B8">
        <w:t>an operator</w:t>
      </w:r>
      <w:r>
        <w:t xml:space="preserve"> cannot, by levying unreasonably different charges on different customers, </w:t>
      </w:r>
      <w:r w:rsidRPr="00F308B8">
        <w:t>provide an advantage / disadvantage to</w:t>
      </w:r>
      <w:r w:rsidR="00C6733C">
        <w:t xml:space="preserve"> </w:t>
      </w:r>
      <w:r w:rsidRPr="00F308B8">
        <w:t>certain customers groups that subsequently affect their incentives to participate in water markets (see section 5.3</w:t>
      </w:r>
      <w:r>
        <w:t>.1</w:t>
      </w:r>
      <w:r w:rsidRPr="00F308B8">
        <w:t>)</w:t>
      </w:r>
    </w:p>
    <w:p w:rsidR="009A7B9B" w:rsidRPr="00F308B8" w:rsidRDefault="009A7B9B" w:rsidP="00A82DE6">
      <w:pPr>
        <w:pStyle w:val="Lvl1Bulletpoint"/>
      </w:pPr>
      <w:r w:rsidRPr="00F308B8">
        <w:t>an operator does not unnecessarily levy charges when water is traded (see section 5.3</w:t>
      </w:r>
      <w:r>
        <w:t>.2</w:t>
      </w:r>
      <w:r w:rsidRPr="00F308B8">
        <w:t xml:space="preserve">) </w:t>
      </w:r>
    </w:p>
    <w:p w:rsidR="009A7B9B" w:rsidRPr="00F308B8" w:rsidRDefault="009A7B9B" w:rsidP="00A82DE6">
      <w:pPr>
        <w:pStyle w:val="Lvl1Bulletpoint"/>
      </w:pPr>
      <w:r w:rsidRPr="00F308B8">
        <w:t xml:space="preserve">there is </w:t>
      </w:r>
      <w:r>
        <w:t xml:space="preserve">sufficient </w:t>
      </w:r>
      <w:r w:rsidRPr="00F308B8">
        <w:t>pricing transparency</w:t>
      </w:r>
      <w:r>
        <w:t>,</w:t>
      </w:r>
      <w:r w:rsidRPr="00F308B8">
        <w:t xml:space="preserve"> including that customers are provided with all relevant information about their operator’s charging arrangements and that this information is provided in a timely manner (see section 5.4).</w:t>
      </w:r>
    </w:p>
    <w:p w:rsidR="009A7B9B" w:rsidRPr="00F308B8" w:rsidRDefault="009A7B9B" w:rsidP="009A7B9B">
      <w:pPr>
        <w:rPr>
          <w:rFonts w:cs="Times New Roman"/>
        </w:rPr>
      </w:pPr>
      <w:r w:rsidRPr="00F308B8">
        <w:rPr>
          <w:rFonts w:cs="Times New Roman"/>
        </w:rPr>
        <w:t>The ACCC recognises that there are other factors which have the potential to distort or hamper trade such as the conditions surrounding trade approvals or caps</w:t>
      </w:r>
      <w:r>
        <w:rPr>
          <w:rFonts w:cs="Times New Roman"/>
        </w:rPr>
        <w:t>,</w:t>
      </w:r>
      <w:r w:rsidRPr="00F308B8">
        <w:rPr>
          <w:rFonts w:cs="Times New Roman"/>
        </w:rPr>
        <w:t xml:space="preserve"> but</w:t>
      </w:r>
      <w:r>
        <w:rPr>
          <w:rFonts w:cs="Times New Roman"/>
        </w:rPr>
        <w:t xml:space="preserve"> which</w:t>
      </w:r>
      <w:r w:rsidRPr="00F308B8">
        <w:rPr>
          <w:rFonts w:cs="Times New Roman"/>
        </w:rPr>
        <w:t xml:space="preserve"> are outside the scope of this review. The ACCC supports continuing reforms outside the water charge rules to address trade barriers to ensure that water is able to move to its </w:t>
      </w:r>
      <w:r>
        <w:rPr>
          <w:rFonts w:cs="Times New Roman"/>
        </w:rPr>
        <w:t>most productive</w:t>
      </w:r>
      <w:r w:rsidRPr="00F308B8">
        <w:rPr>
          <w:rFonts w:cs="Times New Roman"/>
        </w:rPr>
        <w:t xml:space="preserve"> use. </w:t>
      </w:r>
    </w:p>
    <w:p w:rsidR="009A7B9B" w:rsidRPr="00F308B8" w:rsidRDefault="009A7B9B" w:rsidP="009A7B9B">
      <w:pPr>
        <w:rPr>
          <w:rFonts w:cs="Times New Roman"/>
        </w:rPr>
      </w:pPr>
      <w:r w:rsidRPr="00F308B8">
        <w:rPr>
          <w:rFonts w:cs="Times New Roman"/>
        </w:rPr>
        <w:t xml:space="preserve">Stakeholders also expressed concern about the hampering of trade resulting from </w:t>
      </w:r>
      <w:r>
        <w:rPr>
          <w:rFonts w:cs="Times New Roman"/>
        </w:rPr>
        <w:t xml:space="preserve">what they regarded as </w:t>
      </w:r>
      <w:r w:rsidRPr="00F308B8">
        <w:rPr>
          <w:rFonts w:cs="Times New Roman"/>
        </w:rPr>
        <w:t>excessive processing times and fees imposed by some Basin State governments, in particular in SA.</w:t>
      </w:r>
      <w:r w:rsidRPr="00F308B8">
        <w:rPr>
          <w:rStyle w:val="FootnoteReference"/>
          <w:rFonts w:cs="Times New Roman"/>
        </w:rPr>
        <w:footnoteReference w:id="811"/>
      </w:r>
      <w:r w:rsidRPr="00F308B8">
        <w:rPr>
          <w:rFonts w:cs="Times New Roman"/>
        </w:rPr>
        <w:t xml:space="preserve"> Government charges for processing water trades are</w:t>
      </w:r>
      <w:r>
        <w:rPr>
          <w:rFonts w:cs="Times New Roman"/>
        </w:rPr>
        <w:t xml:space="preserve"> likely to meet the definition of planning and management </w:t>
      </w:r>
      <w:r w:rsidRPr="00F308B8">
        <w:rPr>
          <w:rFonts w:cs="Times New Roman"/>
        </w:rPr>
        <w:t xml:space="preserve">charges, which are subject to the publication requirements of the water charge rules and have been </w:t>
      </w:r>
      <w:r w:rsidR="00C50726">
        <w:rPr>
          <w:rFonts w:cs="Times New Roman"/>
        </w:rPr>
        <w:t xml:space="preserve">included </w:t>
      </w:r>
      <w:r w:rsidRPr="00F308B8">
        <w:rPr>
          <w:rFonts w:cs="Times New Roman"/>
        </w:rPr>
        <w:t xml:space="preserve">in the ACCC’s annual monitoring reports. The </w:t>
      </w:r>
      <w:r>
        <w:rPr>
          <w:rFonts w:cs="Times New Roman"/>
        </w:rPr>
        <w:t xml:space="preserve">ACCC’s </w:t>
      </w:r>
      <w:r w:rsidRPr="00F308B8">
        <w:rPr>
          <w:rFonts w:cs="Times New Roman"/>
        </w:rPr>
        <w:t>2013-14</w:t>
      </w:r>
      <w:r>
        <w:rPr>
          <w:rFonts w:cs="Times New Roman"/>
        </w:rPr>
        <w:t xml:space="preserve"> and 2014-15 Water</w:t>
      </w:r>
      <w:r w:rsidRPr="00F308B8">
        <w:rPr>
          <w:rFonts w:cs="Times New Roman"/>
        </w:rPr>
        <w:t xml:space="preserve"> </w:t>
      </w:r>
      <w:r>
        <w:rPr>
          <w:rFonts w:cs="Times New Roman"/>
        </w:rPr>
        <w:t>M</w:t>
      </w:r>
      <w:r w:rsidRPr="00F308B8">
        <w:rPr>
          <w:rFonts w:cs="Times New Roman"/>
        </w:rPr>
        <w:t xml:space="preserve">onitoring </w:t>
      </w:r>
      <w:r>
        <w:rPr>
          <w:rFonts w:cs="Times New Roman"/>
        </w:rPr>
        <w:t>R</w:t>
      </w:r>
      <w:r w:rsidRPr="00F308B8">
        <w:rPr>
          <w:rFonts w:cs="Times New Roman"/>
        </w:rPr>
        <w:t>eport</w:t>
      </w:r>
      <w:r>
        <w:rPr>
          <w:rFonts w:cs="Times New Roman"/>
        </w:rPr>
        <w:t>s</w:t>
      </w:r>
      <w:r w:rsidRPr="00F308B8">
        <w:rPr>
          <w:rFonts w:cs="Times New Roman"/>
        </w:rPr>
        <w:t xml:space="preserve"> drew attention to the wide disparities in trade application charges </w:t>
      </w:r>
      <w:r>
        <w:rPr>
          <w:rFonts w:cs="Times New Roman"/>
        </w:rPr>
        <w:t xml:space="preserve">and processing times </w:t>
      </w:r>
      <w:r w:rsidRPr="00F308B8">
        <w:rPr>
          <w:rFonts w:cs="Times New Roman"/>
        </w:rPr>
        <w:t xml:space="preserve">between Basin States. For instance, </w:t>
      </w:r>
      <w:r w:rsidR="00D92566">
        <w:rPr>
          <w:rFonts w:cs="Times New Roman"/>
        </w:rPr>
        <w:t xml:space="preserve">during these years, </w:t>
      </w:r>
      <w:r w:rsidRPr="00F308B8">
        <w:rPr>
          <w:rFonts w:cs="Times New Roman"/>
        </w:rPr>
        <w:t>the charges for an application for water allocation trade in SA were over five times the amount for an online application in Victoria.</w:t>
      </w:r>
      <w:r w:rsidRPr="00F308B8">
        <w:rPr>
          <w:rStyle w:val="FootnoteReference"/>
          <w:rFonts w:cs="Times New Roman"/>
        </w:rPr>
        <w:footnoteReference w:id="812"/>
      </w:r>
      <w:r w:rsidRPr="00F308B8">
        <w:rPr>
          <w:rFonts w:cs="Times New Roman"/>
        </w:rPr>
        <w:t xml:space="preserve"> </w:t>
      </w:r>
    </w:p>
    <w:p w:rsidR="009A7B9B" w:rsidRDefault="009A7B9B" w:rsidP="009A7B9B">
      <w:r w:rsidRPr="00F308B8">
        <w:rPr>
          <w:rFonts w:cs="Times New Roman"/>
        </w:rPr>
        <w:t xml:space="preserve">The ACCC notes that Basin States </w:t>
      </w:r>
      <w:r>
        <w:rPr>
          <w:rFonts w:cs="Times New Roman"/>
        </w:rPr>
        <w:t xml:space="preserve">still </w:t>
      </w:r>
      <w:r w:rsidRPr="00F308B8">
        <w:rPr>
          <w:rFonts w:cs="Times New Roman"/>
        </w:rPr>
        <w:t xml:space="preserve">have </w:t>
      </w:r>
      <w:r>
        <w:rPr>
          <w:rFonts w:cs="Times New Roman"/>
        </w:rPr>
        <w:t xml:space="preserve">significantly </w:t>
      </w:r>
      <w:r w:rsidRPr="00F308B8">
        <w:rPr>
          <w:rFonts w:cs="Times New Roman"/>
        </w:rPr>
        <w:t xml:space="preserve">different processes in place to process trade applications. The ACCC encourages Basin States to </w:t>
      </w:r>
      <w:r>
        <w:rPr>
          <w:rFonts w:cs="Times New Roman"/>
        </w:rPr>
        <w:t xml:space="preserve">pursue </w:t>
      </w:r>
      <w:r w:rsidRPr="00F308B8">
        <w:rPr>
          <w:rFonts w:cs="Times New Roman"/>
        </w:rPr>
        <w:t xml:space="preserve">efficiencies in processing trade applications, to reduce transaction costs (including the trade application fee and the time required to process a trade) and ensure that these processes do not hinder water from moving to its highest value use. The ACCC considers that Basin States are best placed to implement these reforms in consultation with relevant stakeholders including infrastructure operators and their customers. The ACCC’s continuing role to monitor and report on the level and trends of </w:t>
      </w:r>
      <w:r>
        <w:rPr>
          <w:rFonts w:cs="Times New Roman"/>
        </w:rPr>
        <w:t xml:space="preserve">planning and management </w:t>
      </w:r>
      <w:r w:rsidRPr="00F308B8">
        <w:rPr>
          <w:rFonts w:cs="Times New Roman"/>
        </w:rPr>
        <w:t>charges, including making cross-state comparisons, will complement reforms at the Basin State level.</w:t>
      </w:r>
      <w:r w:rsidR="00C6733C">
        <w:rPr>
          <w:rFonts w:cs="Times New Roman"/>
        </w:rPr>
        <w:t xml:space="preserve"> </w:t>
      </w:r>
    </w:p>
    <w:p w:rsidR="009A7B9B" w:rsidRDefault="009A7B9B" w:rsidP="009A7B9B">
      <w:pPr>
        <w:pStyle w:val="Heading3"/>
        <w:ind w:left="862"/>
      </w:pPr>
      <w:bookmarkStart w:id="1453" w:name="_Toc456785842"/>
      <w:bookmarkStart w:id="1454" w:name="_Toc461630754"/>
      <w:r>
        <w:t>Market impacts of water allocation decisions</w:t>
      </w:r>
      <w:bookmarkEnd w:id="1453"/>
      <w:bookmarkEnd w:id="1454"/>
    </w:p>
    <w:p w:rsidR="009A7B9B" w:rsidRDefault="009A7B9B" w:rsidP="009A7B9B">
      <w:r>
        <w:t xml:space="preserve">Several stakeholders raised concerns relating to the potential for decisions taken under established water allocation frameworks to impact on water allocation markets. </w:t>
      </w:r>
    </w:p>
    <w:p w:rsidR="009A7B9B" w:rsidRDefault="009A7B9B" w:rsidP="009A7B9B">
      <w:pPr>
        <w:rPr>
          <w:rFonts w:cs="Times New Roman"/>
        </w:rPr>
      </w:pPr>
      <w:r w:rsidRPr="00F308B8">
        <w:rPr>
          <w:rFonts w:cs="Times New Roman"/>
        </w:rPr>
        <w:t>Patrick Connolly submit</w:t>
      </w:r>
      <w:r>
        <w:rPr>
          <w:rFonts w:cs="Times New Roman"/>
        </w:rPr>
        <w:t>ted</w:t>
      </w:r>
      <w:r w:rsidRPr="00F308B8">
        <w:rPr>
          <w:rFonts w:cs="Times New Roman"/>
        </w:rPr>
        <w:t xml:space="preserve"> that Recommendation 8-A is not worded strongly enough, as it would not deter what he argue</w:t>
      </w:r>
      <w:r>
        <w:rPr>
          <w:rFonts w:cs="Times New Roman"/>
        </w:rPr>
        <w:t>d</w:t>
      </w:r>
      <w:r w:rsidRPr="00F308B8">
        <w:rPr>
          <w:rFonts w:cs="Times New Roman"/>
        </w:rPr>
        <w:t xml:space="preserve"> is unlawful conduct in which authorities have borrowed environmental water from the Barmah Forest Account to ‘kickstart’ allocations for irrigators in the 2015-16 season.</w:t>
      </w:r>
      <w:r w:rsidRPr="00F308B8">
        <w:rPr>
          <w:rStyle w:val="FootnoteReference"/>
          <w:rFonts w:cs="Times New Roman"/>
        </w:rPr>
        <w:footnoteReference w:id="813"/>
      </w:r>
      <w:r w:rsidRPr="00F308B8">
        <w:rPr>
          <w:rFonts w:cs="Times New Roman"/>
        </w:rPr>
        <w:t xml:space="preserve"> Mr Connolly’s concern relates to the impact that the need to repay this water is having on the opening allocation announcements for the 2016-17 season and the consequent effect on the market price of water allocations. </w:t>
      </w:r>
    </w:p>
    <w:p w:rsidR="009A7B9B" w:rsidRPr="004A0A64" w:rsidRDefault="009A7B9B" w:rsidP="009A7B9B">
      <w:pPr>
        <w:rPr>
          <w:rFonts w:cs="Times New Roman"/>
        </w:rPr>
      </w:pPr>
      <w:r>
        <w:rPr>
          <w:rFonts w:cs="Times New Roman"/>
        </w:rPr>
        <w:t xml:space="preserve">In response, the ACCC notes that arrangements for the ‘borrowing’ from the Barmah-Millewa Forest Account are governed by the </w:t>
      </w:r>
      <w:r w:rsidRPr="004A0A64">
        <w:rPr>
          <w:rFonts w:cs="Times New Roman"/>
          <w:i/>
        </w:rPr>
        <w:t>Water Sharing Plan for the New South Wales Murray and Lower Darling Regulated Rivers Water Sources</w:t>
      </w:r>
      <w:r w:rsidRPr="004A0A64">
        <w:rPr>
          <w:rFonts w:cs="Times New Roman"/>
        </w:rPr>
        <w:t xml:space="preserve"> 201</w:t>
      </w:r>
      <w:r>
        <w:rPr>
          <w:rFonts w:cs="Times New Roman"/>
        </w:rPr>
        <w:t>6 (NSW)</w:t>
      </w:r>
      <w:r w:rsidRPr="004A0A64">
        <w:rPr>
          <w:rStyle w:val="FootnoteReference"/>
          <w:rFonts w:cs="Times New Roman"/>
        </w:rPr>
        <w:t xml:space="preserve"> </w:t>
      </w:r>
      <w:r>
        <w:rPr>
          <w:rStyle w:val="FootnoteReference"/>
          <w:rFonts w:cs="Times New Roman"/>
        </w:rPr>
        <w:footnoteReference w:id="814"/>
      </w:r>
      <w:r>
        <w:rPr>
          <w:rFonts w:cs="Times New Roman"/>
        </w:rPr>
        <w:t xml:space="preserve"> and the </w:t>
      </w:r>
      <w:r>
        <w:rPr>
          <w:rFonts w:cs="Times New Roman"/>
          <w:i/>
        </w:rPr>
        <w:t>Bulk Entitlement (River Murray—Goulburn-Murray Water) Conversion Order 1999</w:t>
      </w:r>
      <w:r w:rsidR="00C6733C">
        <w:rPr>
          <w:rFonts w:cs="Times New Roman"/>
          <w:i/>
        </w:rPr>
        <w:t xml:space="preserve"> </w:t>
      </w:r>
      <w:r>
        <w:rPr>
          <w:rFonts w:cs="Times New Roman"/>
        </w:rPr>
        <w:t>(Vic).</w:t>
      </w:r>
      <w:r>
        <w:rPr>
          <w:rStyle w:val="FootnoteReference"/>
          <w:rFonts w:cs="Times New Roman"/>
        </w:rPr>
        <w:footnoteReference w:id="815"/>
      </w:r>
      <w:r>
        <w:rPr>
          <w:rFonts w:cs="Times New Roman"/>
        </w:rPr>
        <w:t xml:space="preserve"> These accounting arrangements should properly be viewed as rules relating to the allocation of available inflows to water users (including environmental accounts and water access entitlement holders), rather than as trade of water access rights.</w:t>
      </w:r>
    </w:p>
    <w:p w:rsidR="009A7B9B" w:rsidRPr="00F308B8" w:rsidRDefault="009A7B9B" w:rsidP="00A60A09">
      <w:pPr>
        <w:spacing w:after="120"/>
        <w:rPr>
          <w:rFonts w:cs="Times New Roman"/>
        </w:rPr>
      </w:pPr>
      <w:r w:rsidRPr="00F308B8">
        <w:rPr>
          <w:rFonts w:cs="Times New Roman"/>
        </w:rPr>
        <w:t xml:space="preserve">Mr Tom Loffler submitted </w:t>
      </w:r>
      <w:r>
        <w:rPr>
          <w:rFonts w:cs="Times New Roman"/>
        </w:rPr>
        <w:t>similar</w:t>
      </w:r>
      <w:r w:rsidRPr="00F308B8">
        <w:rPr>
          <w:rFonts w:cs="Times New Roman"/>
        </w:rPr>
        <w:t xml:space="preserve"> concerns about the management of South Australian entitlements:</w:t>
      </w:r>
    </w:p>
    <w:p w:rsidR="009A7B9B" w:rsidRPr="00F308B8" w:rsidRDefault="009A7B9B" w:rsidP="009A7B9B">
      <w:pPr>
        <w:ind w:left="340" w:firstLine="5"/>
        <w:rPr>
          <w:rFonts w:cs="Times New Roman"/>
          <w:i/>
        </w:rPr>
      </w:pPr>
      <w:r w:rsidRPr="00A60A09">
        <w:rPr>
          <w:rFonts w:cs="Times New Roman"/>
          <w:i/>
        </w:rPr>
        <w:t>The ACCC should also have the authority to ensure an even application of measures such as the availability of carryover water uniform to all states as well as ensuring that in South Australia there are designated trigger points for percentage quantities of water irrigators may access at the varying percentages of water made available to South Australia under the Murray-Darling Basin Agreements when South Australian entitlement is less than 100 per cent.</w:t>
      </w:r>
      <w:r w:rsidRPr="00F308B8">
        <w:rPr>
          <w:rStyle w:val="FootnoteReference"/>
          <w:rFonts w:cs="Times New Roman"/>
        </w:rPr>
        <w:footnoteReference w:id="816"/>
      </w:r>
      <w:r w:rsidRPr="00F308B8">
        <w:rPr>
          <w:rFonts w:cs="Times New Roman"/>
          <w:i/>
        </w:rPr>
        <w:t xml:space="preserve"> </w:t>
      </w:r>
    </w:p>
    <w:p w:rsidR="009A7B9B" w:rsidRPr="00A714E9" w:rsidRDefault="009A7B9B" w:rsidP="009A7B9B">
      <w:r>
        <w:rPr>
          <w:rFonts w:cs="Times New Roman"/>
        </w:rPr>
        <w:t>The ACCC does not consider that it would be necessary or desirable to give the ACCC authority over water allocation frameworks. Assessment of the appropriateness of these arrangements is a matter for Basin States and is beyond the scope of the current review.</w:t>
      </w:r>
    </w:p>
    <w:p w:rsidR="009A7B9B" w:rsidRPr="00F308B8" w:rsidRDefault="009A7B9B" w:rsidP="009A7B9B">
      <w:pPr>
        <w:pStyle w:val="Heading2"/>
      </w:pPr>
      <w:bookmarkStart w:id="1455" w:name="_Toc456785843"/>
      <w:bookmarkStart w:id="1456" w:name="_Toc461630755"/>
      <w:r w:rsidRPr="00F308B8">
        <w:t>Concerns about the Murray</w:t>
      </w:r>
      <w:r w:rsidR="00DE7C18">
        <w:t>-</w:t>
      </w:r>
      <w:r w:rsidRPr="00F308B8">
        <w:t xml:space="preserve">Darling Basin Plan </w:t>
      </w:r>
      <w:r w:rsidR="00935F9A">
        <w:t>and</w:t>
      </w:r>
      <w:r w:rsidRPr="00F308B8">
        <w:t xml:space="preserve"> water recovery</w:t>
      </w:r>
      <w:bookmarkEnd w:id="1455"/>
      <w:bookmarkEnd w:id="1456"/>
    </w:p>
    <w:p w:rsidR="009A7B9B" w:rsidRPr="00F308B8" w:rsidRDefault="009A7B9B" w:rsidP="00E83E5D">
      <w:pPr>
        <w:pStyle w:val="Heading4-Un-numberedsubheading-Lvl5"/>
        <w:rPr>
          <w:bCs/>
        </w:rPr>
      </w:pPr>
      <w:r w:rsidRPr="00F308B8">
        <w:t>Sustainable Diversion Limits</w:t>
      </w:r>
    </w:p>
    <w:p w:rsidR="009A7B9B" w:rsidRPr="00F308B8" w:rsidRDefault="009A7B9B" w:rsidP="009A7B9B">
      <w:pPr>
        <w:shd w:val="clear" w:color="auto" w:fill="FFFFFF"/>
        <w:rPr>
          <w:rFonts w:eastAsia="Times New Roman" w:cs="Times New Roman"/>
          <w:lang w:val="en"/>
        </w:rPr>
      </w:pPr>
      <w:r w:rsidRPr="00F308B8">
        <w:rPr>
          <w:rFonts w:eastAsia="Times New Roman" w:cs="Times New Roman"/>
          <w:lang w:val="en"/>
        </w:rPr>
        <w:t xml:space="preserve">The Basin Plan sets long-term average </w:t>
      </w:r>
      <w:r w:rsidR="009A6AA2">
        <w:rPr>
          <w:rFonts w:eastAsia="Times New Roman" w:cs="Times New Roman"/>
          <w:lang w:val="en"/>
        </w:rPr>
        <w:t>S</w:t>
      </w:r>
      <w:r w:rsidRPr="00F308B8">
        <w:rPr>
          <w:rFonts w:eastAsia="Times New Roman" w:cs="Times New Roman"/>
          <w:lang w:val="en"/>
        </w:rPr>
        <w:t xml:space="preserve">ustainable </w:t>
      </w:r>
      <w:r w:rsidR="009A6AA2">
        <w:rPr>
          <w:rFonts w:eastAsia="Times New Roman" w:cs="Times New Roman"/>
          <w:lang w:val="en"/>
        </w:rPr>
        <w:t>D</w:t>
      </w:r>
      <w:r w:rsidRPr="00F308B8">
        <w:rPr>
          <w:rFonts w:eastAsia="Times New Roman" w:cs="Times New Roman"/>
          <w:lang w:val="en"/>
        </w:rPr>
        <w:t xml:space="preserve">iversion </w:t>
      </w:r>
      <w:r w:rsidR="009A6AA2">
        <w:rPr>
          <w:rFonts w:eastAsia="Times New Roman" w:cs="Times New Roman"/>
          <w:lang w:val="en"/>
        </w:rPr>
        <w:t>L</w:t>
      </w:r>
      <w:r w:rsidRPr="00F308B8">
        <w:rPr>
          <w:rFonts w:eastAsia="Times New Roman" w:cs="Times New Roman"/>
          <w:lang w:val="en"/>
        </w:rPr>
        <w:t>imits (SDLs) that are considered to ‘reflect an environmentally sust</w:t>
      </w:r>
      <w:r>
        <w:rPr>
          <w:rFonts w:eastAsia="Times New Roman" w:cs="Times New Roman"/>
          <w:lang w:val="en"/>
        </w:rPr>
        <w:t>ainable level of water use (or '</w:t>
      </w:r>
      <w:r w:rsidRPr="00F308B8">
        <w:rPr>
          <w:rFonts w:eastAsia="Times New Roman" w:cs="Times New Roman"/>
          <w:lang w:val="en"/>
        </w:rPr>
        <w:t>take')’.</w:t>
      </w:r>
      <w:r w:rsidRPr="00F308B8">
        <w:rPr>
          <w:rStyle w:val="FootnoteReference"/>
          <w:rFonts w:eastAsia="Times New Roman" w:cs="Times New Roman"/>
          <w:lang w:val="en"/>
        </w:rPr>
        <w:footnoteReference w:id="817"/>
      </w:r>
      <w:r w:rsidRPr="00F308B8">
        <w:rPr>
          <w:rFonts w:eastAsia="Times New Roman" w:cs="Times New Roman"/>
          <w:lang w:val="en"/>
        </w:rPr>
        <w:t xml:space="preserve"> An environmentally sustainable level of take is the amount of water that can be taken for different human or ‘consumptive’ uses including town water supplies, industry and agriculture, while ensuring there is enough water to achieve healthy river and groundwater systems.</w:t>
      </w:r>
    </w:p>
    <w:p w:rsidR="009A7B9B" w:rsidRPr="00F308B8" w:rsidRDefault="009A7B9B" w:rsidP="009A7B9B">
      <w:pPr>
        <w:tabs>
          <w:tab w:val="left" w:pos="864"/>
        </w:tabs>
        <w:rPr>
          <w:rFonts w:eastAsia="Times New Roman" w:cs="Times New Roman"/>
          <w:lang w:val="en"/>
        </w:rPr>
      </w:pPr>
      <w:r w:rsidRPr="00F308B8">
        <w:rPr>
          <w:rFonts w:eastAsia="Times New Roman" w:cs="Times New Roman"/>
          <w:lang w:val="en"/>
        </w:rPr>
        <w:t xml:space="preserve">A number of stakeholders (in submissions to the Issues Paper or in public forums) have either implicitly or explicitly questioned the SDL limits, arguing that water set aside for non-consumptive or environmental purposes is water that cannot be used for irrigation. For example, irrigator Ruth Angel stated that “environmental flows are </w:t>
      </w:r>
      <w:r w:rsidRPr="00F308B8">
        <w:rPr>
          <w:rFonts w:eastAsia="Times New Roman" w:cs="Times New Roman"/>
        </w:rPr>
        <w:t>prioritised</w:t>
      </w:r>
      <w:r w:rsidRPr="00F308B8">
        <w:rPr>
          <w:rFonts w:eastAsia="Times New Roman" w:cs="Times New Roman"/>
          <w:lang w:val="en"/>
        </w:rPr>
        <w:t>. They get water when we don’t”.</w:t>
      </w:r>
      <w:r w:rsidRPr="00F308B8">
        <w:rPr>
          <w:rStyle w:val="FootnoteReference"/>
          <w:rFonts w:eastAsia="Times New Roman" w:cs="Times New Roman"/>
          <w:lang w:val="en"/>
        </w:rPr>
        <w:footnoteReference w:id="818"/>
      </w:r>
      <w:r w:rsidRPr="00F308B8">
        <w:rPr>
          <w:rFonts w:eastAsia="Times New Roman" w:cs="Times New Roman"/>
          <w:lang w:val="en"/>
        </w:rPr>
        <w:t xml:space="preserve"> A number of stakeholders at the regional public forums commented that there was too great a priority placed on environmental (non-consumptive) water versus water for irrigation.</w:t>
      </w:r>
      <w:r w:rsidRPr="00F308B8">
        <w:rPr>
          <w:rFonts w:cs="Times New Roman"/>
        </w:rPr>
        <w:t xml:space="preserve"> </w:t>
      </w:r>
      <w:r w:rsidRPr="00F308B8">
        <w:rPr>
          <w:rFonts w:eastAsia="Times New Roman" w:cs="Times New Roman"/>
          <w:lang w:val="en"/>
        </w:rPr>
        <w:t>Some stakeholders also questioned the process for adjusting the SDL as being uncertain in regard to the likely outcome of the process.</w:t>
      </w:r>
    </w:p>
    <w:p w:rsidR="009A7B9B" w:rsidRPr="00F308B8" w:rsidRDefault="009A7B9B" w:rsidP="009A7B9B">
      <w:pPr>
        <w:tabs>
          <w:tab w:val="left" w:pos="864"/>
        </w:tabs>
        <w:rPr>
          <w:rFonts w:eastAsia="Times New Roman" w:cs="Times New Roman"/>
          <w:lang w:val="en"/>
        </w:rPr>
      </w:pPr>
      <w:r w:rsidRPr="00F308B8">
        <w:rPr>
          <w:rFonts w:eastAsia="Times New Roman" w:cs="Times New Roman"/>
          <w:lang w:val="en"/>
        </w:rPr>
        <w:t>Stakeholders also commented on water recovery methods (for environmental purposes) and their impacts. These issues are discussed below.</w:t>
      </w:r>
    </w:p>
    <w:p w:rsidR="009A7B9B" w:rsidRPr="00F308B8" w:rsidRDefault="009A7B9B" w:rsidP="00E83E5D">
      <w:pPr>
        <w:pStyle w:val="Heading4-Un-numberedsubheading-Lvl5"/>
        <w:rPr>
          <w:bCs/>
        </w:rPr>
      </w:pPr>
      <w:r w:rsidRPr="00F308B8">
        <w:t>Water recovery methods and their impacts</w:t>
      </w:r>
    </w:p>
    <w:p w:rsidR="009A7B9B" w:rsidRPr="00F308B8" w:rsidRDefault="009A7B9B" w:rsidP="009A7B9B">
      <w:pPr>
        <w:spacing w:after="0"/>
        <w:rPr>
          <w:rFonts w:cs="Times New Roman"/>
        </w:rPr>
      </w:pPr>
      <w:r w:rsidRPr="00F308B8">
        <w:rPr>
          <w:rFonts w:cs="Times New Roman"/>
        </w:rPr>
        <w:t>There are a number of methods that Basin States and the</w:t>
      </w:r>
      <w:r w:rsidR="00D77AAB" w:rsidRPr="00D77AAB">
        <w:rPr>
          <w:rFonts w:cs="Times New Roman"/>
        </w:rPr>
        <w:t xml:space="preserve"> </w:t>
      </w:r>
      <w:r w:rsidR="00D77AAB">
        <w:rPr>
          <w:rFonts w:cs="Times New Roman"/>
        </w:rPr>
        <w:t>Australian</w:t>
      </w:r>
      <w:r w:rsidR="00D77AAB" w:rsidRPr="007D0D3D">
        <w:rPr>
          <w:rFonts w:cs="Times New Roman"/>
        </w:rPr>
        <w:t xml:space="preserve"> </w:t>
      </w:r>
      <w:r w:rsidRPr="00F308B8">
        <w:rPr>
          <w:rFonts w:cs="Times New Roman"/>
        </w:rPr>
        <w:t>Government can use to recover water for environmental purposes. The two primary methods are:</w:t>
      </w:r>
    </w:p>
    <w:p w:rsidR="009A7B9B" w:rsidRPr="00F308B8" w:rsidRDefault="009A7B9B" w:rsidP="00A82DE6">
      <w:pPr>
        <w:pStyle w:val="Lvl1Bulletpoint"/>
      </w:pPr>
      <w:r w:rsidRPr="00F308B8">
        <w:t>buybacks of water from irrigators and</w:t>
      </w:r>
    </w:p>
    <w:p w:rsidR="009A7B9B" w:rsidRPr="00F308B8" w:rsidRDefault="009A7B9B" w:rsidP="00A82DE6">
      <w:pPr>
        <w:pStyle w:val="Lvl1Bulletpoint"/>
      </w:pPr>
      <w:r w:rsidRPr="00F308B8">
        <w:t>infrastructure projects to increase water efficiency, with a portion of the water savings used for environmental outcomes.</w:t>
      </w:r>
    </w:p>
    <w:p w:rsidR="009A7B9B" w:rsidRPr="00F308B8" w:rsidRDefault="009A7B9B" w:rsidP="009A7B9B">
      <w:pPr>
        <w:rPr>
          <w:rFonts w:cs="Times New Roman"/>
        </w:rPr>
      </w:pPr>
      <w:r w:rsidRPr="00F308B8">
        <w:rPr>
          <w:rFonts w:cs="Times New Roman"/>
        </w:rPr>
        <w:t xml:space="preserve">The overwhelming majority of stakeholders who expressed a view on water recovery methods during the ACCC’s public forums had strong reservations about buybacks. The ACCC notes the </w:t>
      </w:r>
      <w:r w:rsidR="005F28DC">
        <w:rPr>
          <w:rFonts w:cs="Times New Roman"/>
        </w:rPr>
        <w:t xml:space="preserve">Australian </w:t>
      </w:r>
      <w:r w:rsidRPr="00F308B8">
        <w:rPr>
          <w:rFonts w:cs="Times New Roman"/>
        </w:rPr>
        <w:t>Government has (</w:t>
      </w:r>
      <w:r w:rsidR="00496E84">
        <w:rPr>
          <w:rFonts w:cs="Times New Roman"/>
        </w:rPr>
        <w:t xml:space="preserve">in </w:t>
      </w:r>
      <w:r w:rsidRPr="00F308B8">
        <w:rPr>
          <w:rFonts w:cs="Times New Roman"/>
        </w:rPr>
        <w:t>October 2015) moved to cap the volume of water that can be recovered through buy</w:t>
      </w:r>
      <w:r w:rsidR="0027008E">
        <w:rPr>
          <w:rFonts w:cs="Times New Roman"/>
        </w:rPr>
        <w:t xml:space="preserve">backs at 1500 GL and instead </w:t>
      </w:r>
      <w:r w:rsidRPr="00F308B8">
        <w:rPr>
          <w:rFonts w:cs="Times New Roman"/>
        </w:rPr>
        <w:t>prioritise water recovery through infrastructure investment.</w:t>
      </w:r>
      <w:r w:rsidRPr="00F308B8">
        <w:rPr>
          <w:rStyle w:val="FootnoteReference"/>
          <w:rFonts w:cs="Times New Roman"/>
        </w:rPr>
        <w:footnoteReference w:id="819"/>
      </w:r>
    </w:p>
    <w:p w:rsidR="009A7B9B" w:rsidRPr="00F308B8" w:rsidRDefault="009A7B9B" w:rsidP="009A7B9B">
      <w:pPr>
        <w:rPr>
          <w:rFonts w:cs="Times New Roman"/>
        </w:rPr>
      </w:pPr>
      <w:r w:rsidRPr="00F308B8">
        <w:rPr>
          <w:rFonts w:cs="Times New Roman"/>
        </w:rPr>
        <w:t>However, stakeholders also raised concerns in relation to infrastructure projects. In particular, there were concerns from some irrigators about the potential for further efficiency improvements (and government funding) where irrigators had previously self-funded other efficiency measures. Also, although water efficiency projects are often built at no capital cost to infrastructure operators and individual irrigators, this infrastructure can have higher ongoing (“opex”) costs than the infrastructure it replaced; a cost that must ultimately be borne by irrigators. Other stakeholders felt that the volume of water they were required to transfer to the Government in return for infrastructure funding was too high.</w:t>
      </w:r>
      <w:r w:rsidRPr="00F308B8">
        <w:rPr>
          <w:rStyle w:val="FootnoteReference"/>
          <w:rFonts w:cs="Times New Roman"/>
        </w:rPr>
        <w:footnoteReference w:id="820"/>
      </w:r>
      <w:r w:rsidRPr="00F308B8">
        <w:rPr>
          <w:rFonts w:cs="Times New Roman"/>
        </w:rPr>
        <w:t xml:space="preserve"> One submission to the Draft Advice noted specific concerns about tender processes in relation to the </w:t>
      </w:r>
      <w:r w:rsidR="00156CD3">
        <w:rPr>
          <w:rFonts w:cs="Times New Roman"/>
        </w:rPr>
        <w:t>Goulburn-Murray Water (</w:t>
      </w:r>
      <w:r w:rsidRPr="00F308B8">
        <w:rPr>
          <w:rFonts w:cs="Times New Roman"/>
        </w:rPr>
        <w:t>GMW</w:t>
      </w:r>
      <w:r w:rsidR="00156CD3">
        <w:rPr>
          <w:rFonts w:cs="Times New Roman"/>
        </w:rPr>
        <w:t>)</w:t>
      </w:r>
      <w:r w:rsidRPr="00F308B8">
        <w:rPr>
          <w:rFonts w:cs="Times New Roman"/>
        </w:rPr>
        <w:t xml:space="preserve"> Connections Project, labelling the process “obscure and unfair”.</w:t>
      </w:r>
      <w:r w:rsidRPr="00F308B8">
        <w:rPr>
          <w:rStyle w:val="FootnoteReference"/>
          <w:rFonts w:cs="Times New Roman"/>
          <w:sz w:val="20"/>
          <w:szCs w:val="20"/>
        </w:rPr>
        <w:footnoteReference w:id="821"/>
      </w:r>
    </w:p>
    <w:p w:rsidR="009A7B9B" w:rsidRPr="00F308B8" w:rsidRDefault="009A7B9B" w:rsidP="009A7B9B">
      <w:pPr>
        <w:rPr>
          <w:rFonts w:cs="Times New Roman"/>
        </w:rPr>
      </w:pPr>
      <w:r w:rsidRPr="00F308B8">
        <w:rPr>
          <w:rFonts w:cs="Times New Roman"/>
        </w:rPr>
        <w:t>WJ and A Seery Partnership submitted to the Draft Advice that they are concerned about the impact the Water Sharing Plans are having on communities in the upper section of the Barwon, in particular due to the water being taken from this region.</w:t>
      </w:r>
      <w:r w:rsidRPr="00F308B8">
        <w:rPr>
          <w:rStyle w:val="FootnoteReference"/>
          <w:rFonts w:cs="Times New Roman"/>
          <w:sz w:val="20"/>
          <w:szCs w:val="20"/>
        </w:rPr>
        <w:footnoteReference w:id="822"/>
      </w:r>
      <w:r w:rsidRPr="00F308B8">
        <w:rPr>
          <w:rFonts w:cs="Times New Roman"/>
        </w:rPr>
        <w:t xml:space="preserve"> WJ and A Seery stated that communities are suffering and are bearing the brunt of the economic impacts, noting that many people had left the towns, leaving many vacant and unsellable houses and lots. They submit</w:t>
      </w:r>
      <w:r>
        <w:rPr>
          <w:rFonts w:cs="Times New Roman"/>
        </w:rPr>
        <w:t>ted</w:t>
      </w:r>
      <w:r w:rsidRPr="00F308B8">
        <w:rPr>
          <w:rFonts w:cs="Times New Roman"/>
        </w:rPr>
        <w:t xml:space="preserve"> that when deciding on how to share costs, there should be a consideration of who will be economically advantaged and disadvantaged. </w:t>
      </w:r>
    </w:p>
    <w:p w:rsidR="009A7B9B" w:rsidRPr="00F308B8" w:rsidRDefault="009A7B9B" w:rsidP="009A7B9B">
      <w:pPr>
        <w:rPr>
          <w:rFonts w:eastAsia="Times New Roman" w:cs="Times New Roman"/>
          <w:lang w:val="en"/>
        </w:rPr>
      </w:pPr>
      <w:r w:rsidRPr="00F308B8">
        <w:rPr>
          <w:rFonts w:eastAsia="Times New Roman" w:cs="Times New Roman"/>
          <w:lang w:val="en"/>
        </w:rPr>
        <w:t>The ACCC notes these issues and the concerns of irrigators. However, these matters are outside the scope of the ACCC’s review and of the water charge rules and have been discussed in a number of other forums. Accordingly, as in its Draft Advice, the ACCC does not propose to comment further on these issues.</w:t>
      </w:r>
    </w:p>
    <w:p w:rsidR="009A7B9B" w:rsidRDefault="009A7B9B" w:rsidP="009A7B9B">
      <w:pPr>
        <w:pStyle w:val="Heading2"/>
      </w:pPr>
      <w:bookmarkStart w:id="1457" w:name="_Toc456785844"/>
      <w:bookmarkStart w:id="1458" w:name="_Toc461630756"/>
      <w:r w:rsidRPr="00F308B8">
        <w:t>Concerns about dispute resolution mechanisms in the rural water sector</w:t>
      </w:r>
      <w:bookmarkEnd w:id="1457"/>
      <w:bookmarkEnd w:id="1458"/>
    </w:p>
    <w:p w:rsidR="00F837C1" w:rsidRPr="00F837C1" w:rsidRDefault="00FF770C" w:rsidP="00F837C1">
      <w:pPr>
        <w:spacing w:after="0"/>
        <w:rPr>
          <w:rFonts w:eastAsia="Cambria" w:cs="Times New Roman"/>
          <w:sz w:val="16"/>
          <w:szCs w:val="16"/>
        </w:rPr>
      </w:pPr>
      <w:r w:rsidRPr="00F837C1">
        <w:rPr>
          <w:rStyle w:val="Hyperlink"/>
          <w:rFonts w:asciiTheme="minorHAnsi" w:hAnsiTheme="minorHAnsi"/>
          <w:color w:val="FFFFFF" w:themeColor="background1"/>
          <w:sz w:val="16"/>
          <w:szCs w:val="16"/>
          <w:u w:val="none"/>
        </w:rPr>
        <w:fldChar w:fldCharType="begin"/>
      </w:r>
      <w:r w:rsidRPr="00F837C1">
        <w:rPr>
          <w:rFonts w:cs="Times New Roman"/>
          <w:color w:val="FFFFFF" w:themeColor="background1"/>
          <w:sz w:val="16"/>
          <w:szCs w:val="16"/>
        </w:rPr>
        <w:instrText xml:space="preserve"> REF _Ref456942933 \h </w:instrText>
      </w:r>
      <w:r w:rsidRPr="00F837C1">
        <w:rPr>
          <w:rStyle w:val="Hyperlink"/>
          <w:rFonts w:asciiTheme="minorHAnsi" w:hAnsiTheme="minorHAnsi"/>
          <w:color w:val="FFFFFF" w:themeColor="background1"/>
          <w:sz w:val="16"/>
          <w:szCs w:val="16"/>
          <w:u w:val="none"/>
        </w:rPr>
        <w:instrText xml:space="preserve"> \* MERGEFORMAT </w:instrText>
      </w:r>
      <w:r w:rsidRPr="00F837C1">
        <w:rPr>
          <w:rStyle w:val="Hyperlink"/>
          <w:rFonts w:asciiTheme="minorHAnsi" w:hAnsiTheme="minorHAnsi"/>
          <w:color w:val="FFFFFF" w:themeColor="background1"/>
          <w:sz w:val="16"/>
          <w:szCs w:val="16"/>
          <w:u w:val="none"/>
        </w:rPr>
      </w:r>
      <w:r w:rsidRPr="00F837C1">
        <w:rPr>
          <w:rStyle w:val="Hyperlink"/>
          <w:rFonts w:asciiTheme="minorHAnsi" w:hAnsiTheme="minorHAnsi"/>
          <w:color w:val="FFFFFF" w:themeColor="background1"/>
          <w:sz w:val="16"/>
          <w:szCs w:val="16"/>
          <w:u w:val="none"/>
        </w:rPr>
        <w:fldChar w:fldCharType="separate"/>
      </w:r>
      <w:r w:rsidR="00BD218B" w:rsidRPr="00BD218B">
        <w:rPr>
          <w:rStyle w:val="Hyperlink"/>
          <w:rFonts w:asciiTheme="minorHAnsi" w:hAnsiTheme="minorHAnsi"/>
          <w:color w:val="FFFFFF" w:themeColor="background1"/>
          <w:sz w:val="16"/>
          <w:szCs w:val="16"/>
          <w:u w:val="none"/>
        </w:rPr>
        <w:t xml:space="preserve">ACCC </w:t>
      </w:r>
      <w:r w:rsidR="00BD218B" w:rsidRPr="00BD218B">
        <w:rPr>
          <w:rFonts w:asciiTheme="minorHAnsi" w:hAnsiTheme="minorHAnsi"/>
          <w:color w:val="FFFFFF" w:themeColor="background1"/>
          <w:sz w:val="16"/>
          <w:szCs w:val="16"/>
        </w:rPr>
        <w:t>Recommendations</w:t>
      </w:r>
      <w:r w:rsidRPr="00F837C1">
        <w:rPr>
          <w:rStyle w:val="Hyperlink"/>
          <w:rFonts w:asciiTheme="minorHAnsi" w:hAnsiTheme="minorHAnsi"/>
          <w:color w:val="FFFFFF" w:themeColor="background1"/>
          <w:sz w:val="16"/>
          <w:szCs w:val="16"/>
          <w:u w:val="none"/>
        </w:rPr>
        <w:fldChar w:fldCharType="end"/>
      </w:r>
    </w:p>
    <w:tbl>
      <w:tblPr>
        <w:tblStyle w:val="TableGrid"/>
        <w:tblW w:w="0" w:type="auto"/>
        <w:tblLook w:val="04A0" w:firstRow="1" w:lastRow="0" w:firstColumn="1" w:lastColumn="0" w:noHBand="0" w:noVBand="1"/>
      </w:tblPr>
      <w:tblGrid>
        <w:gridCol w:w="9243"/>
      </w:tblGrid>
      <w:tr w:rsidR="00F837C1" w:rsidTr="00F837C1">
        <w:tc>
          <w:tcPr>
            <w:tcW w:w="9243" w:type="dxa"/>
            <w:tcBorders>
              <w:top w:val="nil"/>
              <w:left w:val="nil"/>
              <w:bottom w:val="nil"/>
              <w:right w:val="nil"/>
            </w:tcBorders>
            <w:shd w:val="clear" w:color="auto" w:fill="F2F2F2" w:themeFill="background1" w:themeFillShade="F2"/>
          </w:tcPr>
          <w:p w:rsidR="00F837C1" w:rsidRPr="00564F18" w:rsidRDefault="00F837C1" w:rsidP="00AF7032">
            <w:pPr>
              <w:pStyle w:val="Recommendationheading"/>
            </w:pPr>
            <w:r w:rsidRPr="00564F18">
              <w:t>Recommendation 8</w:t>
            </w:r>
            <w:r w:rsidRPr="00564F18">
              <w:noBreakHyphen/>
            </w:r>
            <w:r>
              <w:rPr>
                <w:rStyle w:val="xxx"/>
                <w:noProof/>
              </w:rPr>
              <w:t>C</w:t>
            </w:r>
            <w:r w:rsidRPr="00564F18">
              <w:t xml:space="preserve"> </w:t>
            </w:r>
          </w:p>
          <w:p w:rsidR="00F837C1" w:rsidRDefault="00F837C1" w:rsidP="00F837C1">
            <w:pPr>
              <w:pStyle w:val="Heading7"/>
              <w:shd w:val="clear" w:color="auto" w:fill="F2F2F2" w:themeFill="background1" w:themeFillShade="F2"/>
              <w:outlineLvl w:val="6"/>
            </w:pPr>
            <w:bookmarkStart w:id="1459" w:name="_Toc456784210"/>
            <w:bookmarkStart w:id="1460" w:name="Recommendation_8C"/>
            <w:r w:rsidRPr="00F308B8">
              <w:t>The ACCC recommends that governments consider the merits of</w:t>
            </w:r>
            <w:r>
              <w:t>:</w:t>
            </w:r>
            <w:r w:rsidRPr="00F308B8">
              <w:t xml:space="preserve"> </w:t>
            </w:r>
          </w:p>
          <w:p w:rsidR="00F837C1" w:rsidRDefault="00F837C1" w:rsidP="00020517">
            <w:pPr>
              <w:pStyle w:val="Ruleadvicebullet"/>
            </w:pPr>
            <w:r w:rsidRPr="00F308B8">
              <w:t>expanding the jurisdiction of existing ombudsm</w:t>
            </w:r>
            <w:r>
              <w:t>e</w:t>
            </w:r>
            <w:r w:rsidRPr="00F308B8">
              <w:t>n schemes or small business commissioners to resolv</w:t>
            </w:r>
            <w:r>
              <w:t>e</w:t>
            </w:r>
            <w:r w:rsidRPr="00F308B8">
              <w:t xml:space="preserve"> disputes between infrastructure operators and their customers</w:t>
            </w:r>
            <w:r>
              <w:t>;</w:t>
            </w:r>
            <w:r w:rsidRPr="00F308B8">
              <w:t xml:space="preserve"> or </w:t>
            </w:r>
          </w:p>
          <w:p w:rsidR="00F837C1" w:rsidRPr="00F837C1" w:rsidRDefault="00F837C1" w:rsidP="00020517">
            <w:pPr>
              <w:pStyle w:val="Ruleadvicebullet"/>
            </w:pPr>
            <w:r w:rsidRPr="00F308B8">
              <w:t>the creation of a new scheme to perform these roles.</w:t>
            </w:r>
            <w:bookmarkEnd w:id="1459"/>
            <w:r w:rsidRPr="00F308B8">
              <w:t xml:space="preserve"> </w:t>
            </w:r>
            <w:bookmarkEnd w:id="1460"/>
          </w:p>
        </w:tc>
      </w:tr>
    </w:tbl>
    <w:p w:rsidR="009A7B9B" w:rsidRPr="00F308B8" w:rsidRDefault="009A7B9B" w:rsidP="005F25EE">
      <w:pPr>
        <w:spacing w:before="120"/>
        <w:rPr>
          <w:rFonts w:eastAsia="Cambria" w:cs="Times New Roman"/>
        </w:rPr>
      </w:pPr>
      <w:r>
        <w:rPr>
          <w:rFonts w:eastAsia="Cambria" w:cs="Times New Roman"/>
        </w:rPr>
        <w:t>S</w:t>
      </w:r>
      <w:r w:rsidRPr="00F308B8">
        <w:rPr>
          <w:rFonts w:eastAsia="Cambria" w:cs="Times New Roman"/>
        </w:rPr>
        <w:t xml:space="preserve">everal stakeholders </w:t>
      </w:r>
      <w:r>
        <w:rPr>
          <w:rFonts w:eastAsia="Cambria" w:cs="Times New Roman"/>
        </w:rPr>
        <w:t xml:space="preserve">advocated for </w:t>
      </w:r>
      <w:r w:rsidRPr="00F308B8">
        <w:rPr>
          <w:rFonts w:eastAsia="Cambria" w:cs="Times New Roman"/>
        </w:rPr>
        <w:t>an Ombudsman or an enhanced dispute resolution mechanism to resolve disputes in the rural water sector.</w:t>
      </w:r>
      <w:r w:rsidRPr="00F308B8">
        <w:rPr>
          <w:rStyle w:val="FootnoteReference"/>
          <w:rFonts w:eastAsia="Cambria" w:cs="Times New Roman"/>
        </w:rPr>
        <w:footnoteReference w:id="823"/>
      </w:r>
      <w:r w:rsidRPr="00F308B8">
        <w:rPr>
          <w:rFonts w:eastAsia="Cambria" w:cs="Times New Roman"/>
        </w:rPr>
        <w:t xml:space="preserve"> </w:t>
      </w:r>
      <w:r>
        <w:rPr>
          <w:rFonts w:eastAsia="Cambria" w:cs="Times New Roman"/>
        </w:rPr>
        <w:t xml:space="preserve">In particular, stakeholders attending the public forum in Griffith called </w:t>
      </w:r>
      <w:r w:rsidRPr="00027401">
        <w:rPr>
          <w:rFonts w:eastAsia="Cambria" w:cs="Times New Roman"/>
        </w:rPr>
        <w:t>for a water ombudsman</w:t>
      </w:r>
      <w:r>
        <w:rPr>
          <w:rFonts w:eastAsia="Cambria" w:cs="Times New Roman"/>
        </w:rPr>
        <w:t>,</w:t>
      </w:r>
      <w:r w:rsidRPr="00027401">
        <w:rPr>
          <w:rFonts w:eastAsia="Cambria" w:cs="Times New Roman"/>
        </w:rPr>
        <w:t xml:space="preserve"> as </w:t>
      </w:r>
      <w:r>
        <w:rPr>
          <w:rFonts w:eastAsia="Cambria" w:cs="Times New Roman"/>
        </w:rPr>
        <w:t xml:space="preserve">in their view </w:t>
      </w:r>
      <w:r w:rsidRPr="00027401">
        <w:rPr>
          <w:rFonts w:eastAsia="Cambria" w:cs="Times New Roman"/>
        </w:rPr>
        <w:t xml:space="preserve">irrigators are currently left with a </w:t>
      </w:r>
      <w:r>
        <w:rPr>
          <w:rFonts w:eastAsia="Cambria" w:cs="Times New Roman"/>
        </w:rPr>
        <w:t>‘</w:t>
      </w:r>
      <w:r w:rsidRPr="00027401">
        <w:rPr>
          <w:rFonts w:eastAsia="Cambria" w:cs="Times New Roman"/>
        </w:rPr>
        <w:t>massive</w:t>
      </w:r>
      <w:r>
        <w:rPr>
          <w:rFonts w:eastAsia="Cambria" w:cs="Times New Roman"/>
        </w:rPr>
        <w:t>’</w:t>
      </w:r>
      <w:r w:rsidRPr="00027401">
        <w:rPr>
          <w:rFonts w:eastAsia="Cambria" w:cs="Times New Roman"/>
        </w:rPr>
        <w:t xml:space="preserve"> burden of proof and legal fees when in a negotiation with Murrumbidgee Irrigation</w:t>
      </w:r>
      <w:r w:rsidR="008621D4">
        <w:rPr>
          <w:rFonts w:eastAsia="Cambria" w:cs="Times New Roman"/>
        </w:rPr>
        <w:t xml:space="preserve"> Limited (MI)</w:t>
      </w:r>
      <w:r w:rsidRPr="00027401">
        <w:rPr>
          <w:rFonts w:eastAsia="Cambria" w:cs="Times New Roman"/>
        </w:rPr>
        <w:t>.</w:t>
      </w:r>
      <w:r>
        <w:rPr>
          <w:rStyle w:val="FootnoteReference"/>
          <w:rFonts w:eastAsia="Cambria" w:cs="Times New Roman"/>
        </w:rPr>
        <w:footnoteReference w:id="824"/>
      </w:r>
      <w:r>
        <w:rPr>
          <w:rFonts w:eastAsia="Cambria" w:cs="Times New Roman"/>
        </w:rPr>
        <w:t xml:space="preserve"> Also, </w:t>
      </w:r>
      <w:r w:rsidRPr="00F308B8">
        <w:rPr>
          <w:rFonts w:eastAsia="Cambria" w:cs="Times New Roman"/>
        </w:rPr>
        <w:t>Waterfind noted that smaller irrigation trusts often set “unjust restrictions to water trading” on their members.</w:t>
      </w:r>
      <w:r w:rsidRPr="00F308B8">
        <w:rPr>
          <w:rFonts w:eastAsia="Cambria" w:cs="Times New Roman"/>
          <w:vertAlign w:val="superscript"/>
        </w:rPr>
        <w:footnoteReference w:id="825"/>
      </w:r>
      <w:r w:rsidRPr="00F308B8">
        <w:rPr>
          <w:rFonts w:eastAsia="Cambria" w:cs="Times New Roman"/>
        </w:rPr>
        <w:t xml:space="preserve"> Waterfind also stated that the trustees “in some cases even benefit monetarily or in other ways due to imposed restrictions and their position”. Waterfind stated that it “believes that the opening for an ombudsman or tribunal type oversight would provide an option for individual trust members to claim their rights to manage their own water assets in problematic situations, as well as provide some pressure to trusts or schemes practicing unjust policies”. </w:t>
      </w:r>
    </w:p>
    <w:p w:rsidR="009A7B9B" w:rsidRPr="00F308B8" w:rsidRDefault="009A7B9B" w:rsidP="00195164">
      <w:pPr>
        <w:rPr>
          <w:rFonts w:eastAsia="Cambria" w:cs="Times New Roman"/>
        </w:rPr>
      </w:pPr>
      <w:r w:rsidRPr="00F308B8">
        <w:rPr>
          <w:rFonts w:eastAsia="Cambria" w:cs="Times New Roman"/>
        </w:rPr>
        <w:t>The National Irrigators’ Council (NIC)</w:t>
      </w:r>
      <w:r w:rsidRPr="00F308B8">
        <w:rPr>
          <w:rFonts w:eastAsia="Cambria" w:cs="Times New Roman"/>
          <w:vertAlign w:val="superscript"/>
        </w:rPr>
        <w:footnoteReference w:id="826"/>
      </w:r>
      <w:r w:rsidRPr="00F308B8">
        <w:rPr>
          <w:rFonts w:eastAsia="Cambria" w:cs="Times New Roman"/>
        </w:rPr>
        <w:t xml:space="preserve"> and Central Irrigation Trust (CIT)</w:t>
      </w:r>
      <w:r w:rsidRPr="00F308B8">
        <w:rPr>
          <w:rFonts w:eastAsia="Cambria" w:cs="Times New Roman"/>
          <w:vertAlign w:val="superscript"/>
        </w:rPr>
        <w:footnoteReference w:id="827"/>
      </w:r>
      <w:r w:rsidRPr="00F308B8">
        <w:rPr>
          <w:rFonts w:eastAsia="Cambria" w:cs="Times New Roman"/>
        </w:rPr>
        <w:t xml:space="preserve"> provided qualified support, stating that they would “support an Ombudsman review process only if [it] covered all aspects of the Water Act, the MDBA Plan [</w:t>
      </w:r>
      <w:r w:rsidRPr="00F308B8">
        <w:rPr>
          <w:rFonts w:eastAsia="Cambria" w:cs="Times New Roman"/>
          <w:i/>
        </w:rPr>
        <w:t>sic</w:t>
      </w:r>
      <w:r w:rsidRPr="00F308B8">
        <w:rPr>
          <w:rFonts w:eastAsia="Cambria" w:cs="Times New Roman"/>
        </w:rPr>
        <w:t xml:space="preserve">] and associated Federal and State government rules, regulations and operations”. Both stakeholders stated that they “would not support such a review process if it was only limited to the 3 [water charge rules] being reviewed”. </w:t>
      </w:r>
    </w:p>
    <w:p w:rsidR="009A7B9B" w:rsidRPr="00F308B8" w:rsidRDefault="009A7B9B" w:rsidP="00195164">
      <w:pPr>
        <w:rPr>
          <w:rFonts w:cs="Times New Roman"/>
        </w:rPr>
      </w:pPr>
      <w:r w:rsidRPr="00F308B8">
        <w:rPr>
          <w:rFonts w:cs="Times New Roman"/>
        </w:rPr>
        <w:t>As stated in its Draft Advice, the ACCC considers broadly that disputes arising between an infrastructure operator and its customer relat</w:t>
      </w:r>
      <w:r w:rsidR="00C50726">
        <w:rPr>
          <w:rFonts w:cs="Times New Roman"/>
        </w:rPr>
        <w:t>ing</w:t>
      </w:r>
      <w:r w:rsidRPr="00F308B8">
        <w:rPr>
          <w:rFonts w:cs="Times New Roman"/>
        </w:rPr>
        <w:t xml:space="preserve"> to a requirement of the water charge rules, or the </w:t>
      </w:r>
      <w:r w:rsidR="00EF0515" w:rsidRPr="00EF0515">
        <w:rPr>
          <w:rFonts w:cs="Times New Roman"/>
          <w:i/>
        </w:rPr>
        <w:t>Competition and Consumer Act 2010</w:t>
      </w:r>
      <w:r w:rsidR="00EF0515">
        <w:rPr>
          <w:rFonts w:cs="Times New Roman"/>
        </w:rPr>
        <w:t xml:space="preserve"> (</w:t>
      </w:r>
      <w:r w:rsidRPr="00F308B8">
        <w:rPr>
          <w:rFonts w:cs="Times New Roman"/>
        </w:rPr>
        <w:t>CCA</w:t>
      </w:r>
      <w:r w:rsidR="00EF0515">
        <w:rPr>
          <w:rFonts w:cs="Times New Roman"/>
        </w:rPr>
        <w:t>)</w:t>
      </w:r>
      <w:r w:rsidRPr="00F308B8">
        <w:rPr>
          <w:rFonts w:cs="Times New Roman"/>
        </w:rPr>
        <w:t xml:space="preserve"> more generally, can and should be raised directly with the ACCC. While the ACCC does not provide a dispute resolution service in relation to the rules, it </w:t>
      </w:r>
      <w:r w:rsidR="00C50726">
        <w:rPr>
          <w:rFonts w:cs="Times New Roman"/>
        </w:rPr>
        <w:t>does</w:t>
      </w:r>
      <w:r w:rsidR="00C50726" w:rsidRPr="00F308B8">
        <w:rPr>
          <w:rFonts w:cs="Times New Roman"/>
        </w:rPr>
        <w:t xml:space="preserve"> </w:t>
      </w:r>
      <w:r w:rsidRPr="00F308B8">
        <w:rPr>
          <w:rFonts w:cs="Times New Roman"/>
        </w:rPr>
        <w:t xml:space="preserve">investigate allegations of a contravention. Where an alleged contravention has had a detrimental impact on a customer, </w:t>
      </w:r>
      <w:r w:rsidR="0027008E">
        <w:rPr>
          <w:rFonts w:cs="Times New Roman"/>
        </w:rPr>
        <w:t>the ACCC will take this</w:t>
      </w:r>
      <w:r w:rsidRPr="00F308B8">
        <w:rPr>
          <w:rFonts w:cs="Times New Roman"/>
        </w:rPr>
        <w:t xml:space="preserve"> into account in deciding how to resolve the matter. Further details on the ACCC’s enforcement and compliance approach are discussed in section 4.5.</w:t>
      </w:r>
    </w:p>
    <w:p w:rsidR="009A7B9B" w:rsidRPr="00F308B8" w:rsidRDefault="009A7B9B" w:rsidP="00195164">
      <w:pPr>
        <w:rPr>
          <w:rFonts w:cs="Times New Roman"/>
        </w:rPr>
      </w:pPr>
      <w:r w:rsidRPr="00F308B8">
        <w:rPr>
          <w:rFonts w:cs="Times New Roman"/>
        </w:rPr>
        <w:t xml:space="preserve">However, the ACCC is </w:t>
      </w:r>
      <w:r w:rsidR="00C50726">
        <w:rPr>
          <w:rFonts w:cs="Times New Roman"/>
        </w:rPr>
        <w:t xml:space="preserve">also </w:t>
      </w:r>
      <w:r w:rsidRPr="00F308B8">
        <w:rPr>
          <w:rFonts w:cs="Times New Roman"/>
        </w:rPr>
        <w:t xml:space="preserve">aware that disputes between infrastructure operators and their customers often involve a range of inter-related issues, potentially including water charge rules issues, matters governed by State </w:t>
      </w:r>
      <w:r w:rsidR="005F28DC">
        <w:rPr>
          <w:rFonts w:cs="Times New Roman"/>
        </w:rPr>
        <w:t>(</w:t>
      </w:r>
      <w:r w:rsidRPr="00F308B8">
        <w:rPr>
          <w:rFonts w:cs="Times New Roman"/>
        </w:rPr>
        <w:t>water management</w:t>
      </w:r>
      <w:r w:rsidR="005F28DC">
        <w:rPr>
          <w:rFonts w:cs="Times New Roman"/>
        </w:rPr>
        <w:t>)</w:t>
      </w:r>
      <w:r w:rsidRPr="00F308B8">
        <w:rPr>
          <w:rFonts w:cs="Times New Roman"/>
        </w:rPr>
        <w:t xml:space="preserve"> law such as water quality issues, and other matters that may form part of an infrastructure operator’s licence conditions. Therefore, the ACCC considers that an ombudsman scheme with jurisdiction over such disputes could be a valuable service for infrastructure operators’ customers.</w:t>
      </w:r>
    </w:p>
    <w:p w:rsidR="009A7B9B" w:rsidRPr="00F308B8" w:rsidRDefault="009A7B9B" w:rsidP="00195164">
      <w:pPr>
        <w:rPr>
          <w:rFonts w:cs="Times New Roman"/>
        </w:rPr>
      </w:pPr>
      <w:r w:rsidRPr="00F308B8">
        <w:rPr>
          <w:rFonts w:eastAsia="Cambria" w:cs="Times New Roman"/>
        </w:rPr>
        <w:t xml:space="preserve">A dedicated new national or </w:t>
      </w:r>
      <w:r w:rsidRPr="00F308B8">
        <w:rPr>
          <w:rFonts w:cs="Times New Roman"/>
        </w:rPr>
        <w:t xml:space="preserve">Basin-wide scheme would be needed to deal with cross-jurisdictional issues and matters that concern both Commonwealth and State issues. This would be consistent with the proposals by NIC and CIT for a comprehensive process covering Commonwealth and State </w:t>
      </w:r>
      <w:r w:rsidR="005F28DC">
        <w:rPr>
          <w:rFonts w:cs="Times New Roman"/>
        </w:rPr>
        <w:t>legislation</w:t>
      </w:r>
      <w:r w:rsidRPr="00F308B8">
        <w:rPr>
          <w:rFonts w:cs="Times New Roman"/>
        </w:rPr>
        <w:t xml:space="preserve">. </w:t>
      </w:r>
    </w:p>
    <w:p w:rsidR="009A7B9B" w:rsidRPr="00F308B8" w:rsidRDefault="009A7B9B" w:rsidP="00195164">
      <w:pPr>
        <w:rPr>
          <w:rFonts w:cs="Times New Roman"/>
        </w:rPr>
      </w:pPr>
      <w:r w:rsidRPr="00F308B8">
        <w:rPr>
          <w:rFonts w:cs="Times New Roman"/>
        </w:rPr>
        <w:t>The Independent</w:t>
      </w:r>
      <w:r w:rsidR="00D3167A">
        <w:rPr>
          <w:rFonts w:cs="Times New Roman"/>
        </w:rPr>
        <w:t xml:space="preserve"> Expert</w:t>
      </w:r>
      <w:r w:rsidRPr="00F308B8">
        <w:rPr>
          <w:rFonts w:cs="Times New Roman"/>
        </w:rPr>
        <w:t xml:space="preserve"> Panel reviewing the </w:t>
      </w:r>
      <w:r w:rsidRPr="000440F3">
        <w:rPr>
          <w:rFonts w:cs="Times New Roman"/>
          <w:i/>
        </w:rPr>
        <w:t>Water Act</w:t>
      </w:r>
      <w:r w:rsidR="000440F3" w:rsidRPr="000440F3">
        <w:rPr>
          <w:rFonts w:cs="Times New Roman"/>
          <w:i/>
        </w:rPr>
        <w:t xml:space="preserve"> 2007</w:t>
      </w:r>
      <w:r w:rsidR="000440F3">
        <w:rPr>
          <w:rFonts w:cs="Times New Roman"/>
        </w:rPr>
        <w:t xml:space="preserve"> (the Act)</w:t>
      </w:r>
      <w:r w:rsidRPr="00F308B8">
        <w:rPr>
          <w:rFonts w:cs="Times New Roman"/>
        </w:rPr>
        <w:t xml:space="preserve"> considered a similar proposal but </w:t>
      </w:r>
      <w:r>
        <w:rPr>
          <w:rFonts w:cs="Times New Roman"/>
        </w:rPr>
        <w:t>found</w:t>
      </w:r>
      <w:r w:rsidRPr="00F308B8">
        <w:rPr>
          <w:rFonts w:cs="Times New Roman"/>
        </w:rPr>
        <w:t xml:space="preserve"> that adding an ombudsman system to the existing regime may result in duplication by providing a second layer of regulation. Further, it would be difficult and complex to achieve a single appeal mechanism given the number of regulators and the different Basin State arrangements.</w:t>
      </w:r>
      <w:r w:rsidRPr="00F308B8">
        <w:rPr>
          <w:rStyle w:val="FootnoteReference"/>
          <w:rFonts w:cs="Times New Roman"/>
        </w:rPr>
        <w:footnoteReference w:id="828"/>
      </w:r>
      <w:r w:rsidRPr="00F308B8">
        <w:rPr>
          <w:rFonts w:cs="Times New Roman"/>
        </w:rPr>
        <w:t xml:space="preserve"> </w:t>
      </w:r>
    </w:p>
    <w:p w:rsidR="009A7B9B" w:rsidRPr="00F308B8" w:rsidRDefault="009A7B9B" w:rsidP="00195164">
      <w:pPr>
        <w:rPr>
          <w:rFonts w:cs="Times New Roman"/>
        </w:rPr>
      </w:pPr>
      <w:r w:rsidRPr="00F308B8">
        <w:rPr>
          <w:rFonts w:cs="Times New Roman"/>
        </w:rPr>
        <w:t xml:space="preserve">The ACCC also notes that a new body would involve additional costs, which </w:t>
      </w:r>
      <w:r>
        <w:rPr>
          <w:rFonts w:cs="Times New Roman"/>
        </w:rPr>
        <w:t>c</w:t>
      </w:r>
      <w:r w:rsidRPr="00F308B8">
        <w:rPr>
          <w:rFonts w:cs="Times New Roman"/>
        </w:rPr>
        <w:t xml:space="preserve">ould ultimately be passed onto </w:t>
      </w:r>
      <w:r>
        <w:rPr>
          <w:rFonts w:cs="Times New Roman"/>
        </w:rPr>
        <w:t>water users</w:t>
      </w:r>
      <w:r w:rsidRPr="00F308B8">
        <w:rPr>
          <w:rFonts w:cs="Times New Roman"/>
        </w:rPr>
        <w:t xml:space="preserve">, and considerable adjustment as existing powers would have to be transferred to the new body. </w:t>
      </w:r>
    </w:p>
    <w:p w:rsidR="009A7B9B" w:rsidRPr="00F308B8" w:rsidRDefault="009A7B9B" w:rsidP="00195164">
      <w:pPr>
        <w:rPr>
          <w:rFonts w:cs="Times New Roman"/>
        </w:rPr>
      </w:pPr>
      <w:r w:rsidRPr="00F308B8">
        <w:rPr>
          <w:rFonts w:cs="Times New Roman"/>
        </w:rPr>
        <w:t xml:space="preserve">Alternatively, it may be possible (and preferable) to use or modify existing agencies with similar purposes. One option would be for the current jurisdiction of state-based ombudsmen to be expanded to include disputes on matters governed by State </w:t>
      </w:r>
      <w:r w:rsidR="005F28DC">
        <w:rPr>
          <w:rFonts w:cs="Times New Roman"/>
        </w:rPr>
        <w:t>(</w:t>
      </w:r>
      <w:r w:rsidRPr="00F308B8">
        <w:rPr>
          <w:rFonts w:cs="Times New Roman"/>
        </w:rPr>
        <w:t>water management</w:t>
      </w:r>
      <w:r w:rsidR="005F28DC">
        <w:rPr>
          <w:rFonts w:cs="Times New Roman"/>
        </w:rPr>
        <w:t>)</w:t>
      </w:r>
      <w:r w:rsidRPr="00F308B8">
        <w:rPr>
          <w:rFonts w:cs="Times New Roman"/>
        </w:rPr>
        <w:t xml:space="preserve"> law and possibly other types of disputes between infrastructure operators and customers. </w:t>
      </w:r>
    </w:p>
    <w:p w:rsidR="009A7B9B" w:rsidRPr="00F308B8" w:rsidRDefault="009A7B9B" w:rsidP="00195164">
      <w:pPr>
        <w:spacing w:after="0"/>
        <w:rPr>
          <w:rFonts w:cs="Times New Roman"/>
        </w:rPr>
      </w:pPr>
      <w:r w:rsidRPr="00F308B8">
        <w:rPr>
          <w:rFonts w:cs="Times New Roman"/>
        </w:rPr>
        <w:t xml:space="preserve">For example, there is an existing energy and water ombudsman in all Basin States (except the </w:t>
      </w:r>
      <w:r>
        <w:rPr>
          <w:rFonts w:cs="Times New Roman"/>
        </w:rPr>
        <w:t>ACT</w:t>
      </w:r>
      <w:r w:rsidRPr="00F308B8">
        <w:rPr>
          <w:rFonts w:cs="Times New Roman"/>
        </w:rPr>
        <w:t>), however their coverage of infrastructure operators and irrigators is limited</w:t>
      </w:r>
      <w:r w:rsidR="005F28DC">
        <w:rPr>
          <w:rFonts w:cs="Times New Roman"/>
        </w:rPr>
        <w:t>.</w:t>
      </w:r>
    </w:p>
    <w:p w:rsidR="009A7B9B" w:rsidRPr="00F308B8" w:rsidRDefault="009A7B9B" w:rsidP="00A82DE6">
      <w:pPr>
        <w:pStyle w:val="Lvl1Bulletpoint"/>
      </w:pPr>
      <w:r w:rsidRPr="00F308B8">
        <w:rPr>
          <w:rFonts w:eastAsia="Cambria"/>
        </w:rPr>
        <w:t>The Energy and Water Ombudsman of Queensland (EWOQ) covers only residential and some small business customers in the south-eastern corner of Queensland. The small business customers covered are those consuming less than 100 kilolitres (0.1 ML) per year. Therefore, irrigators are not covered by the EWOQ scheme.</w:t>
      </w:r>
      <w:r w:rsidRPr="00F308B8">
        <w:rPr>
          <w:rStyle w:val="FootnoteReference"/>
          <w:rFonts w:eastAsia="Cambria" w:cs="Times New Roman"/>
        </w:rPr>
        <w:footnoteReference w:id="829"/>
      </w:r>
    </w:p>
    <w:p w:rsidR="009A7B9B" w:rsidRPr="00F308B8" w:rsidRDefault="009A7B9B" w:rsidP="00A82DE6">
      <w:pPr>
        <w:pStyle w:val="Lvl1Bulletpoint"/>
      </w:pPr>
      <w:r w:rsidRPr="00F308B8">
        <w:rPr>
          <w:rFonts w:eastAsia="Cambria"/>
        </w:rPr>
        <w:t>The Energy and Water Ombudsman of NSW (EWON) covers only small retail customers. Small retail customers are defined as customers consuming a maximum of 15 ML per year.</w:t>
      </w:r>
      <w:r w:rsidRPr="00F308B8">
        <w:rPr>
          <w:rStyle w:val="FootnoteReference"/>
          <w:rFonts w:eastAsia="Cambria" w:cs="Times New Roman"/>
        </w:rPr>
        <w:footnoteReference w:id="830"/>
      </w:r>
      <w:r w:rsidRPr="00F308B8">
        <w:rPr>
          <w:rFonts w:eastAsia="Cambria"/>
        </w:rPr>
        <w:t xml:space="preserve"> This level of consumption means that small businesses, including irrigators are not covered by the scheme.</w:t>
      </w:r>
    </w:p>
    <w:p w:rsidR="009A7B9B" w:rsidRPr="00F308B8" w:rsidRDefault="009A7B9B" w:rsidP="00A82DE6">
      <w:pPr>
        <w:pStyle w:val="Lvl1Bulletpoint"/>
      </w:pPr>
      <w:r w:rsidRPr="00F308B8">
        <w:rPr>
          <w:rFonts w:eastAsia="Cambria"/>
        </w:rPr>
        <w:t>The Energy and Water Ombudsman of SA (EWOOSA) covers retail customers only and not small businesses such as irrigators.</w:t>
      </w:r>
      <w:r w:rsidRPr="00F308B8">
        <w:rPr>
          <w:rStyle w:val="FootnoteReference"/>
          <w:rFonts w:eastAsia="Cambria" w:cs="Times New Roman"/>
        </w:rPr>
        <w:footnoteReference w:id="831"/>
      </w:r>
    </w:p>
    <w:p w:rsidR="009A7B9B" w:rsidRPr="00F308B8" w:rsidRDefault="009A7B9B" w:rsidP="00195164">
      <w:pPr>
        <w:spacing w:after="0"/>
        <w:rPr>
          <w:rFonts w:eastAsia="Cambria" w:cs="Times New Roman"/>
        </w:rPr>
      </w:pPr>
      <w:r w:rsidRPr="00F308B8">
        <w:rPr>
          <w:rFonts w:cs="Times New Roman"/>
        </w:rPr>
        <w:t>These ombudsmen have varying powers to deal with rural irrigation matters</w:t>
      </w:r>
      <w:r>
        <w:rPr>
          <w:rFonts w:cs="Times New Roman"/>
        </w:rPr>
        <w:t xml:space="preserve">, however </w:t>
      </w:r>
      <w:r w:rsidRPr="00F308B8">
        <w:rPr>
          <w:rFonts w:cs="Times New Roman"/>
        </w:rPr>
        <w:t xml:space="preserve">only the </w:t>
      </w:r>
      <w:r>
        <w:rPr>
          <w:rFonts w:cs="Times New Roman"/>
        </w:rPr>
        <w:t>Energy and Water Ombudsman of Victoria (</w:t>
      </w:r>
      <w:r w:rsidRPr="00F308B8">
        <w:rPr>
          <w:rFonts w:cs="Times New Roman"/>
        </w:rPr>
        <w:t>EWOV</w:t>
      </w:r>
      <w:r>
        <w:rPr>
          <w:rFonts w:cs="Times New Roman"/>
        </w:rPr>
        <w:t>) has</w:t>
      </w:r>
      <w:r w:rsidRPr="00F308B8">
        <w:rPr>
          <w:rFonts w:cs="Times New Roman"/>
        </w:rPr>
        <w:t xml:space="preserve"> jurisdiction over rural water matters at a general level (although whether there is jurisdiction in relation to a particular matter will depend on the circumstances).</w:t>
      </w:r>
      <w:r w:rsidRPr="00F308B8">
        <w:rPr>
          <w:rFonts w:eastAsia="Cambria" w:cs="Times New Roman"/>
        </w:rPr>
        <w:t xml:space="preserve"> There are two conditions on EWOV’s jurisdiction of disputes between irrigators and infrastructure operators:</w:t>
      </w:r>
    </w:p>
    <w:p w:rsidR="009A7B9B" w:rsidRPr="00F308B8" w:rsidRDefault="005F28DC" w:rsidP="00A82DE6">
      <w:pPr>
        <w:pStyle w:val="Lvl1Bulletpoint"/>
        <w:rPr>
          <w:rFonts w:eastAsia="Cambria"/>
        </w:rPr>
      </w:pPr>
      <w:r>
        <w:rPr>
          <w:rFonts w:eastAsia="Cambria"/>
        </w:rPr>
        <w:t>t</w:t>
      </w:r>
      <w:r w:rsidR="009A7B9B" w:rsidRPr="00F308B8">
        <w:rPr>
          <w:rFonts w:eastAsia="Cambria"/>
        </w:rPr>
        <w:t>he infrastructure operator must be a member of EWOV.</w:t>
      </w:r>
      <w:r w:rsidR="009A7B9B" w:rsidRPr="00F308B8">
        <w:rPr>
          <w:rStyle w:val="FootnoteReference"/>
          <w:rFonts w:eastAsia="Cambria" w:cs="Times New Roman"/>
        </w:rPr>
        <w:footnoteReference w:id="832"/>
      </w:r>
    </w:p>
    <w:p w:rsidR="009A7B9B" w:rsidRPr="00F308B8" w:rsidRDefault="005F28DC" w:rsidP="00A82DE6">
      <w:pPr>
        <w:pStyle w:val="Lvl1Bulletpoint"/>
        <w:rPr>
          <w:rFonts w:eastAsia="Cambria"/>
        </w:rPr>
      </w:pPr>
      <w:r>
        <w:rPr>
          <w:rFonts w:eastAsia="Cambria"/>
        </w:rPr>
        <w:t>b</w:t>
      </w:r>
      <w:r w:rsidR="009A7B9B" w:rsidRPr="00F308B8">
        <w:rPr>
          <w:rFonts w:eastAsia="Cambria"/>
        </w:rPr>
        <w:t>inding determinations are limited to $20 000 or $50 000 if both parties agree.</w:t>
      </w:r>
      <w:r w:rsidR="009A7B9B" w:rsidRPr="00F308B8">
        <w:rPr>
          <w:rStyle w:val="FootnoteReference"/>
          <w:rFonts w:eastAsia="Cambria" w:cs="Times New Roman"/>
        </w:rPr>
        <w:footnoteReference w:id="833"/>
      </w:r>
    </w:p>
    <w:p w:rsidR="009A7B9B" w:rsidRPr="00F308B8" w:rsidRDefault="009A7B9B" w:rsidP="00195164">
      <w:pPr>
        <w:rPr>
          <w:rFonts w:eastAsia="Cambria" w:cs="Times New Roman"/>
        </w:rPr>
      </w:pPr>
      <w:r w:rsidRPr="00F308B8">
        <w:rPr>
          <w:rFonts w:cs="Times New Roman"/>
        </w:rPr>
        <w:t xml:space="preserve">An alternative option could be to expand </w:t>
      </w:r>
      <w:r w:rsidRPr="00F308B8">
        <w:rPr>
          <w:rFonts w:eastAsia="Cambria" w:cs="Times New Roman"/>
        </w:rPr>
        <w:t xml:space="preserve">the scope of the jurisdiction of small business commissioners in each Basin State to allow them to mediate disputes between irrigators and their operators. While Queensland and the </w:t>
      </w:r>
      <w:r>
        <w:rPr>
          <w:rFonts w:cs="Times New Roman"/>
        </w:rPr>
        <w:t>ACT</w:t>
      </w:r>
      <w:r w:rsidRPr="00F308B8">
        <w:rPr>
          <w:rFonts w:eastAsia="Cambria" w:cs="Times New Roman"/>
        </w:rPr>
        <w:t xml:space="preserve"> do not have a Small Business Commissioner, other bodies may be able to handle this mediation function such as Dispute Resolution Centres in Queensland or the Conflict Resolution Service in the </w:t>
      </w:r>
      <w:r>
        <w:rPr>
          <w:rFonts w:cs="Times New Roman"/>
        </w:rPr>
        <w:t>ACT</w:t>
      </w:r>
      <w:r w:rsidRPr="00F308B8">
        <w:rPr>
          <w:rFonts w:eastAsia="Cambria" w:cs="Times New Roman"/>
        </w:rPr>
        <w:t>.</w:t>
      </w:r>
    </w:p>
    <w:p w:rsidR="009A7B9B" w:rsidRDefault="009A7B9B" w:rsidP="00195164">
      <w:pPr>
        <w:rPr>
          <w:rFonts w:eastAsia="Cambria" w:cs="Times New Roman"/>
        </w:rPr>
      </w:pPr>
      <w:r w:rsidRPr="00F308B8">
        <w:rPr>
          <w:rFonts w:eastAsia="Cambria" w:cs="Times New Roman"/>
        </w:rPr>
        <w:t>In its Draft Advice, the ACCC noted that all the options would involve additional costs which may be recovered in part or in full from the industry (and therefore from water users). The relative costs and benefits of expanding existing schemes or creating a new scheme should be considered by governments at the Basin State and Commonwealth level.</w:t>
      </w:r>
      <w:r w:rsidRPr="00F308B8">
        <w:rPr>
          <w:rStyle w:val="FootnoteReference"/>
          <w:rFonts w:eastAsia="Cambria" w:cs="Times New Roman"/>
        </w:rPr>
        <w:footnoteReference w:id="834"/>
      </w:r>
      <w:r w:rsidRPr="00F308B8">
        <w:rPr>
          <w:rFonts w:eastAsia="Cambria" w:cs="Times New Roman"/>
        </w:rPr>
        <w:t xml:space="preserve"> </w:t>
      </w:r>
    </w:p>
    <w:p w:rsidR="009A7B9B" w:rsidRPr="00F308B8" w:rsidRDefault="009A7B9B" w:rsidP="00195164">
      <w:pPr>
        <w:spacing w:after="0"/>
        <w:rPr>
          <w:rFonts w:eastAsia="Cambria" w:cs="Times New Roman"/>
        </w:rPr>
      </w:pPr>
      <w:r w:rsidRPr="00F308B8">
        <w:rPr>
          <w:rFonts w:eastAsia="Cambria" w:cs="Times New Roman"/>
        </w:rPr>
        <w:t xml:space="preserve">The </w:t>
      </w:r>
      <w:r>
        <w:rPr>
          <w:rFonts w:eastAsia="Cambria" w:cs="Times New Roman"/>
        </w:rPr>
        <w:t>ACCC’s draft r</w:t>
      </w:r>
      <w:r w:rsidRPr="00F308B8">
        <w:rPr>
          <w:rFonts w:eastAsia="Cambria" w:cs="Times New Roman"/>
        </w:rPr>
        <w:t xml:space="preserve">ecommendation 8–C </w:t>
      </w:r>
      <w:r>
        <w:rPr>
          <w:rFonts w:eastAsia="Cambria" w:cs="Times New Roman"/>
        </w:rPr>
        <w:t>was</w:t>
      </w:r>
      <w:r w:rsidRPr="00F308B8">
        <w:rPr>
          <w:rFonts w:eastAsia="Cambria" w:cs="Times New Roman"/>
        </w:rPr>
        <w:t xml:space="preserve"> supported by stakeholder feedback that the ACCC received throughout the consultation process on the review of the water charge rules.</w:t>
      </w:r>
      <w:r w:rsidR="005F28DC">
        <w:rPr>
          <w:rStyle w:val="FootnoteReference"/>
          <w:rFonts w:eastAsia="Cambria" w:cs="Times New Roman"/>
        </w:rPr>
        <w:footnoteReference w:id="835"/>
      </w:r>
      <w:r w:rsidRPr="005F28DC">
        <w:rPr>
          <w:rStyle w:val="FootnoteReference"/>
        </w:rPr>
        <w:t xml:space="preserve"> </w:t>
      </w:r>
      <w:r>
        <w:rPr>
          <w:rFonts w:eastAsia="Cambria" w:cs="Times New Roman"/>
        </w:rPr>
        <w:t>In terms of specific feedback on draft recommendation 8-C in submissions to the Draft Advice:</w:t>
      </w:r>
    </w:p>
    <w:p w:rsidR="009A7B9B" w:rsidRPr="00F308B8" w:rsidRDefault="009A7B9B" w:rsidP="00A82DE6">
      <w:pPr>
        <w:pStyle w:val="Lvl1Bulletpoint"/>
      </w:pPr>
      <w:r w:rsidRPr="00F308B8">
        <w:t>The South Australian Murray Irrigators</w:t>
      </w:r>
      <w:r w:rsidR="00874041">
        <w:t xml:space="preserve"> (SAMI)</w:t>
      </w:r>
      <w:r w:rsidRPr="00F308B8">
        <w:t xml:space="preserve"> noted generally in their submission to the Draft Advice that there is a need for “a complaints and mediation process” for dealing with “grievances”.</w:t>
      </w:r>
      <w:r w:rsidRPr="00F308B8">
        <w:rPr>
          <w:rStyle w:val="FootnoteReference"/>
          <w:rFonts w:cs="Times New Roman"/>
          <w:sz w:val="20"/>
          <w:szCs w:val="20"/>
        </w:rPr>
        <w:footnoteReference w:id="836"/>
      </w:r>
      <w:r w:rsidRPr="00F308B8">
        <w:t xml:space="preserve"> The SAMI noted that the “pathway should have real powers that allow clear justice and fairness to result”.</w:t>
      </w:r>
    </w:p>
    <w:p w:rsidR="009A7B9B" w:rsidRPr="00F308B8" w:rsidRDefault="009A7B9B" w:rsidP="00A82DE6">
      <w:pPr>
        <w:pStyle w:val="Lvl1Bulletpoint"/>
      </w:pPr>
      <w:r w:rsidRPr="00F308B8">
        <w:t>Waterfind considers that a dispute resolution mechanism would “provide an option for individual private irrigation trusts or joint water supply scheme members to claim their rights to manage their own water assets in problematic situations (within and beyond the scope of the water charge rules)”. This is related to Waterfind’s view that the Basin Plan water trading rules and the ACCC’s proposed amendments to the non-discrimination provisions do not prevent all trade barriers that can arise within the Murray-Darling Basin</w:t>
      </w:r>
      <w:r w:rsidR="004506D9">
        <w:t xml:space="preserve"> (MDB)</w:t>
      </w:r>
      <w:r w:rsidRPr="00F308B8">
        <w:t>.</w:t>
      </w:r>
      <w:r w:rsidRPr="00F308B8">
        <w:rPr>
          <w:rStyle w:val="FootnoteReference"/>
          <w:rFonts w:cs="Times New Roman"/>
          <w:sz w:val="20"/>
          <w:szCs w:val="20"/>
        </w:rPr>
        <w:footnoteReference w:id="837"/>
      </w:r>
      <w:r w:rsidRPr="00F308B8">
        <w:t xml:space="preserve"> In particular, Waterfind </w:t>
      </w:r>
      <w:r>
        <w:t>was</w:t>
      </w:r>
      <w:r w:rsidRPr="00F308B8">
        <w:t xml:space="preserve"> concerned about irrigators not having “any avenues to appeal” against </w:t>
      </w:r>
      <w:r w:rsidR="004B070D">
        <w:t>IIO</w:t>
      </w:r>
      <w:r w:rsidRPr="00F308B8">
        <w:t>s prohibiting trade out of their irrigation districts. However, Waterfind consider</w:t>
      </w:r>
      <w:r>
        <w:t>ed</w:t>
      </w:r>
      <w:r w:rsidRPr="00F308B8">
        <w:t xml:space="preserve"> that a water ombudsman, as suggested by </w:t>
      </w:r>
      <w:r w:rsidR="00A04DEB">
        <w:t>r</w:t>
      </w:r>
      <w:r w:rsidRPr="00F308B8">
        <w:t xml:space="preserve">ecommendation 8-C, could deal with these issues. </w:t>
      </w:r>
    </w:p>
    <w:p w:rsidR="009A7B9B" w:rsidRPr="00F308B8" w:rsidRDefault="009A7B9B" w:rsidP="00195164">
      <w:pPr>
        <w:rPr>
          <w:rFonts w:cs="Times New Roman"/>
        </w:rPr>
      </w:pPr>
      <w:r w:rsidRPr="00F308B8">
        <w:rPr>
          <w:rFonts w:cs="Times New Roman"/>
        </w:rPr>
        <w:t xml:space="preserve">The ACCC agrees with Waterfind that there may be some types of trade barriers that are not clearly prohibited under the Basin Plan water trading rules or the proposed </w:t>
      </w:r>
      <w:r w:rsidR="00A04DEB">
        <w:rPr>
          <w:rFonts w:cs="Times New Roman"/>
        </w:rPr>
        <w:t xml:space="preserve">amendments to the </w:t>
      </w:r>
      <w:r w:rsidRPr="00F308B8">
        <w:rPr>
          <w:rFonts w:cs="Times New Roman"/>
        </w:rPr>
        <w:t xml:space="preserve">water charge rules. An ombudsman may be of some assistance in clarifying the issues for the parties but would not have a strong legal basis for helping the irrigator wishing to trade in situations where the rules are not clear. </w:t>
      </w:r>
      <w:r>
        <w:rPr>
          <w:rFonts w:cs="Times New Roman"/>
        </w:rPr>
        <w:t xml:space="preserve">More generally, the ACCC considers that an ombudsman role for the rural MDB water sector, whether a new body or developed from existing bodies, could potentially help address a range of stakeholder concerns identified throughout this chapter. </w:t>
      </w:r>
    </w:p>
    <w:p w:rsidR="009A7B9B" w:rsidRPr="00F308B8" w:rsidRDefault="009A7B9B" w:rsidP="00195164">
      <w:pPr>
        <w:rPr>
          <w:rFonts w:cs="Times New Roman"/>
        </w:rPr>
      </w:pPr>
      <w:r>
        <w:rPr>
          <w:rFonts w:cs="Times New Roman"/>
        </w:rPr>
        <w:t xml:space="preserve">The ACCC maintains </w:t>
      </w:r>
      <w:r w:rsidR="00A04DEB">
        <w:rPr>
          <w:rFonts w:cs="Times New Roman"/>
        </w:rPr>
        <w:t>r</w:t>
      </w:r>
      <w:r w:rsidRPr="00F308B8">
        <w:rPr>
          <w:rFonts w:cs="Times New Roman"/>
        </w:rPr>
        <w:t>ecommendation 8-C from the Draft Advice, which</w:t>
      </w:r>
      <w:r w:rsidR="00A04DEB">
        <w:rPr>
          <w:rFonts w:cs="Times New Roman"/>
        </w:rPr>
        <w:t>,</w:t>
      </w:r>
      <w:r w:rsidRPr="00F308B8">
        <w:rPr>
          <w:rFonts w:cs="Times New Roman"/>
        </w:rPr>
        <w:t xml:space="preserve"> </w:t>
      </w:r>
      <w:r>
        <w:rPr>
          <w:rFonts w:cs="Times New Roman"/>
        </w:rPr>
        <w:t>as detailed above</w:t>
      </w:r>
      <w:r w:rsidR="00A04DEB">
        <w:rPr>
          <w:rFonts w:cs="Times New Roman"/>
        </w:rPr>
        <w:t>,</w:t>
      </w:r>
      <w:r>
        <w:rPr>
          <w:rFonts w:cs="Times New Roman"/>
        </w:rPr>
        <w:t xml:space="preserve"> was</w:t>
      </w:r>
      <w:r w:rsidRPr="00F308B8">
        <w:rPr>
          <w:rFonts w:cs="Times New Roman"/>
        </w:rPr>
        <w:t xml:space="preserve"> broadly supported by </w:t>
      </w:r>
      <w:r>
        <w:rPr>
          <w:rFonts w:cs="Times New Roman"/>
        </w:rPr>
        <w:t>stakeholders</w:t>
      </w:r>
      <w:r w:rsidRPr="00F308B8">
        <w:rPr>
          <w:rFonts w:cs="Times New Roman"/>
        </w:rPr>
        <w:t>.</w:t>
      </w:r>
    </w:p>
    <w:p w:rsidR="009A7B9B" w:rsidRPr="00F308B8" w:rsidRDefault="009A7B9B" w:rsidP="009A7B9B">
      <w:pPr>
        <w:pStyle w:val="Heading2"/>
        <w:rPr>
          <w:bCs/>
        </w:rPr>
      </w:pPr>
      <w:bookmarkStart w:id="1461" w:name="_Toc456785845"/>
      <w:bookmarkStart w:id="1462" w:name="_Toc461630757"/>
      <w:r w:rsidRPr="00F308B8">
        <w:t>Water quality concerns</w:t>
      </w:r>
      <w:bookmarkEnd w:id="1461"/>
      <w:bookmarkEnd w:id="1462"/>
    </w:p>
    <w:p w:rsidR="009A7B9B" w:rsidRPr="00F308B8" w:rsidRDefault="009A7B9B" w:rsidP="009A7B9B">
      <w:pPr>
        <w:rPr>
          <w:rFonts w:cs="Times New Roman"/>
        </w:rPr>
      </w:pPr>
      <w:r w:rsidRPr="00F308B8">
        <w:rPr>
          <w:rFonts w:cs="Times New Roman"/>
        </w:rPr>
        <w:t>Throughout the ACCC’s consultation process on the review of the water charge rules, some stakeholders raised concerns about the quality of water delivered by infrastructure operators. For example, Wah Wah Stock and Domestic Water Users Association noted that, “[w]ater currently delivered in the open channel system often has high levels of blue green algae and is not suitable for Stock [and] Domestic use”.</w:t>
      </w:r>
      <w:r w:rsidRPr="00F308B8">
        <w:rPr>
          <w:rFonts w:cs="Times New Roman"/>
          <w:vertAlign w:val="superscript"/>
        </w:rPr>
        <w:footnoteReference w:id="838"/>
      </w:r>
      <w:r w:rsidRPr="00F308B8">
        <w:rPr>
          <w:rFonts w:cs="Times New Roman"/>
        </w:rPr>
        <w:t xml:space="preserve"> Sally Jones, an irrigator in Murrumbidgee, also expressed concerns about “serious ongoing water problems” in the Murrumbidgee Irrigation</w:t>
      </w:r>
      <w:r w:rsidR="008621D4">
        <w:rPr>
          <w:rFonts w:cs="Times New Roman"/>
        </w:rPr>
        <w:t xml:space="preserve"> Limited (MI)</w:t>
      </w:r>
      <w:r w:rsidRPr="00F308B8">
        <w:rPr>
          <w:rFonts w:cs="Times New Roman"/>
        </w:rPr>
        <w:t xml:space="preserve"> Area, in particular, the management of siltation and salinity.</w:t>
      </w:r>
      <w:r w:rsidRPr="00F308B8">
        <w:rPr>
          <w:rStyle w:val="FootnoteReference"/>
          <w:rFonts w:cs="Times New Roman"/>
        </w:rPr>
        <w:footnoteReference w:id="839"/>
      </w:r>
      <w:r w:rsidRPr="00F308B8">
        <w:rPr>
          <w:rFonts w:cs="Times New Roman"/>
        </w:rPr>
        <w:t xml:space="preserve"> Ms Jones stated that the, “gross lack of transparency and auditing means that the water quality deficiencies are not being highlighted and appropriately managed”. </w:t>
      </w:r>
    </w:p>
    <w:p w:rsidR="009A7B9B" w:rsidRPr="00F308B8" w:rsidRDefault="009A7B9B" w:rsidP="009A7B9B">
      <w:pPr>
        <w:rPr>
          <w:rFonts w:cs="Times New Roman"/>
        </w:rPr>
      </w:pPr>
      <w:r w:rsidRPr="00F308B8">
        <w:rPr>
          <w:rFonts w:cs="Times New Roman"/>
        </w:rPr>
        <w:t>While water quality may be a characteristic of a</w:t>
      </w:r>
      <w:r>
        <w:rPr>
          <w:rFonts w:cs="Times New Roman"/>
        </w:rPr>
        <w:t>n</w:t>
      </w:r>
      <w:r w:rsidRPr="00F308B8">
        <w:rPr>
          <w:rFonts w:cs="Times New Roman"/>
        </w:rPr>
        <w:t xml:space="preserve"> infrastructure service (for example, where water is treated to a particular quality), the water charge rules cannot directly regulate water quality. This is typically the responsibility of Basin States and done, if at all, under State </w:t>
      </w:r>
      <w:r w:rsidR="00A04DEB">
        <w:rPr>
          <w:rFonts w:cs="Times New Roman"/>
        </w:rPr>
        <w:t>(</w:t>
      </w:r>
      <w:r>
        <w:rPr>
          <w:rFonts w:cs="Times New Roman"/>
        </w:rPr>
        <w:t>water management</w:t>
      </w:r>
      <w:r w:rsidR="00A04DEB">
        <w:rPr>
          <w:rFonts w:cs="Times New Roman"/>
        </w:rPr>
        <w:t>)</w:t>
      </w:r>
      <w:r>
        <w:rPr>
          <w:rFonts w:cs="Times New Roman"/>
        </w:rPr>
        <w:t xml:space="preserve"> </w:t>
      </w:r>
      <w:r w:rsidRPr="00F308B8">
        <w:rPr>
          <w:rFonts w:cs="Times New Roman"/>
        </w:rPr>
        <w:t xml:space="preserve">law and through licence conditions placed on infrastructure operators. As such, the ACCC’s </w:t>
      </w:r>
      <w:r w:rsidR="00A04DEB">
        <w:rPr>
          <w:rFonts w:cs="Times New Roman"/>
        </w:rPr>
        <w:t>r</w:t>
      </w:r>
      <w:r w:rsidRPr="00F308B8">
        <w:rPr>
          <w:rFonts w:cs="Times New Roman"/>
        </w:rPr>
        <w:t>ecommendation 8-C (in section 8.3) in relation to dispute resolution mechanisms is relevant.</w:t>
      </w:r>
      <w:r w:rsidRPr="00F308B8" w:rsidDel="001A431C">
        <w:rPr>
          <w:rFonts w:cs="Times New Roman"/>
        </w:rPr>
        <w:t xml:space="preserve"> </w:t>
      </w:r>
    </w:p>
    <w:p w:rsidR="00B66B6C" w:rsidRPr="00D714FC" w:rsidRDefault="00B66B6C">
      <w:pPr>
        <w:rPr>
          <w:rFonts w:eastAsia="Arial" w:cs="Times New Roman"/>
          <w:b/>
          <w:bCs/>
          <w:color w:val="365F91" w:themeColor="accent1" w:themeShade="BF"/>
          <w:sz w:val="28"/>
          <w:szCs w:val="28"/>
        </w:rPr>
      </w:pPr>
      <w:r w:rsidRPr="00D714FC">
        <w:rPr>
          <w:rFonts w:cs="Times New Roman"/>
        </w:rPr>
        <w:br w:type="page"/>
      </w:r>
    </w:p>
    <w:p w:rsidR="00A63EC8" w:rsidRDefault="00A63EC8" w:rsidP="004C04CB">
      <w:pPr>
        <w:pStyle w:val="Heading1"/>
        <w:pageBreakBefore w:val="0"/>
      </w:pPr>
      <w:bookmarkStart w:id="1463" w:name="_Toc433979653"/>
      <w:bookmarkStart w:id="1464" w:name="_Toc435179919"/>
      <w:bookmarkStart w:id="1465" w:name="_Toc436122340"/>
      <w:bookmarkStart w:id="1466" w:name="_Toc436122835"/>
      <w:bookmarkStart w:id="1467" w:name="_Toc436124190"/>
      <w:bookmarkStart w:id="1468" w:name="_Toc456785846"/>
      <w:bookmarkStart w:id="1469" w:name="_Toc461630758"/>
      <w:r>
        <w:t xml:space="preserve">Assessment of change in regulatory </w:t>
      </w:r>
      <w:bookmarkEnd w:id="1463"/>
      <w:r>
        <w:t>cost</w:t>
      </w:r>
      <w:bookmarkEnd w:id="1464"/>
      <w:bookmarkEnd w:id="1465"/>
      <w:bookmarkEnd w:id="1466"/>
      <w:bookmarkEnd w:id="1467"/>
      <w:bookmarkEnd w:id="1468"/>
      <w:bookmarkEnd w:id="1469"/>
    </w:p>
    <w:p w:rsidR="00557E2D" w:rsidRDefault="00557E2D" w:rsidP="00557E2D">
      <w:pPr>
        <w:pStyle w:val="Heading2"/>
        <w:spacing w:after="240"/>
      </w:pPr>
      <w:bookmarkStart w:id="1470" w:name="_Toc456785847"/>
      <w:bookmarkStart w:id="1471" w:name="_Toc461630759"/>
      <w:r>
        <w:t>Overview of estimated change in regulatory costs</w:t>
      </w:r>
      <w:bookmarkEnd w:id="1470"/>
      <w:bookmarkEnd w:id="1471"/>
    </w:p>
    <w:p w:rsidR="00557E2D" w:rsidRPr="00A2129F" w:rsidRDefault="00557E2D" w:rsidP="00557E2D">
      <w:pPr>
        <w:rPr>
          <w:lang w:eastAsia="en-US"/>
        </w:rPr>
      </w:pPr>
      <w:r w:rsidRPr="00A2129F">
        <w:rPr>
          <w:lang w:eastAsia="en-US"/>
        </w:rPr>
        <w:t xml:space="preserve">The </w:t>
      </w:r>
      <w:r w:rsidR="00B505F3">
        <w:rPr>
          <w:lang w:eastAsia="en-US"/>
        </w:rPr>
        <w:t>Australian Competition and Consumer Commission (</w:t>
      </w:r>
      <w:r w:rsidRPr="00A2129F">
        <w:rPr>
          <w:lang w:eastAsia="en-US"/>
        </w:rPr>
        <w:t>ACCC</w:t>
      </w:r>
      <w:r w:rsidR="00B505F3">
        <w:rPr>
          <w:lang w:eastAsia="en-US"/>
        </w:rPr>
        <w:t>)</w:t>
      </w:r>
      <w:r w:rsidRPr="00A2129F">
        <w:rPr>
          <w:lang w:eastAsia="en-US"/>
        </w:rPr>
        <w:t xml:space="preserve"> has recommended a range of proposed amendments to the water charge rules. Further details of the specific amendments are set out in chapters </w:t>
      </w:r>
      <w:r>
        <w:rPr>
          <w:lang w:eastAsia="en-US"/>
        </w:rPr>
        <w:t>4</w:t>
      </w:r>
      <w:r w:rsidRPr="00A2129F">
        <w:rPr>
          <w:lang w:eastAsia="en-US"/>
        </w:rPr>
        <w:t xml:space="preserve"> to 7. This chapter sets out the estimated change in regulatory costs associated with the </w:t>
      </w:r>
      <w:r>
        <w:rPr>
          <w:lang w:eastAsia="en-US"/>
        </w:rPr>
        <w:t>proposed</w:t>
      </w:r>
      <w:r w:rsidRPr="00A2129F">
        <w:rPr>
          <w:lang w:eastAsia="en-US"/>
        </w:rPr>
        <w:t xml:space="preserve"> amendments.</w:t>
      </w:r>
      <w:r w:rsidR="00C6733C">
        <w:rPr>
          <w:lang w:eastAsia="en-US"/>
        </w:rPr>
        <w:t xml:space="preserve"> </w:t>
      </w:r>
    </w:p>
    <w:p w:rsidR="00557E2D" w:rsidRDefault="00557E2D" w:rsidP="00557E2D">
      <w:r w:rsidRPr="00A2129F">
        <w:t xml:space="preserve">The terms of reference for the review of the water charge rules requires the ACCC to consider consistency with the </w:t>
      </w:r>
      <w:r w:rsidR="00D77AAB">
        <w:rPr>
          <w:rFonts w:cs="Times New Roman"/>
        </w:rPr>
        <w:t>Australian</w:t>
      </w:r>
      <w:r w:rsidRPr="00A2129F">
        <w:t xml:space="preserve"> Government’s deregulation agenda to reduce the regulatory burden for individuals, business and community organisations (see section 1.1). </w:t>
      </w:r>
      <w:r>
        <w:t xml:space="preserve">The Terms of Reference also required the ACCC to consider opportunities to improve regulatory clarity or efficiency, or to reduce regulatory burdens </w:t>
      </w:r>
      <w:r w:rsidRPr="00A2129F">
        <w:t>while maintaining effective standards.</w:t>
      </w:r>
      <w:r>
        <w:t xml:space="preserve"> The ACCC considers that its Final Advice achieves this balance. </w:t>
      </w:r>
      <w:r w:rsidRPr="00A2129F">
        <w:t xml:space="preserve">Under the </w:t>
      </w:r>
      <w:r w:rsidR="00D77AAB">
        <w:rPr>
          <w:rFonts w:cs="Times New Roman"/>
        </w:rPr>
        <w:t>Australian</w:t>
      </w:r>
      <w:r w:rsidRPr="00A2129F">
        <w:t xml:space="preserve"> Government’s Regulatory Burden Framework, all new regulations or changes to existing regulations need to have the regulatory costs imposed on businesses, community organisations and individuals quantified.</w:t>
      </w:r>
      <w:r w:rsidRPr="00A2129F">
        <w:rPr>
          <w:rStyle w:val="FootnoteReference"/>
        </w:rPr>
        <w:footnoteReference w:id="840"/>
      </w:r>
      <w:r w:rsidRPr="00A2129F">
        <w:t xml:space="preserve"> The ACCC </w:t>
      </w:r>
      <w:r>
        <w:t>has estimated</w:t>
      </w:r>
      <w:r w:rsidRPr="00A2129F">
        <w:t xml:space="preserve"> that its recommended </w:t>
      </w:r>
      <w:r w:rsidRPr="005D4740">
        <w:t>amendments to the water charge rules are likely</w:t>
      </w:r>
      <w:r w:rsidR="00D014DF">
        <w:t xml:space="preserve"> to</w:t>
      </w:r>
      <w:r w:rsidRPr="005D4740">
        <w:t xml:space="preserve"> result in a reduction in regulatory costs of</w:t>
      </w:r>
      <w:r w:rsidR="00C6733C">
        <w:t xml:space="preserve"> </w:t>
      </w:r>
      <w:r w:rsidR="00D014DF">
        <w:t xml:space="preserve">just </w:t>
      </w:r>
      <w:r w:rsidR="0027008E">
        <w:t>under</w:t>
      </w:r>
      <w:r w:rsidR="00D014DF">
        <w:t xml:space="preserve"> </w:t>
      </w:r>
      <w:r w:rsidRPr="005D4740">
        <w:t>$</w:t>
      </w:r>
      <w:r w:rsidR="00D26B31">
        <w:t>7</w:t>
      </w:r>
      <w:r w:rsidR="008A5EE5">
        <w:t>2</w:t>
      </w:r>
      <w:r w:rsidR="00D26B31">
        <w:t xml:space="preserve"> </w:t>
      </w:r>
      <w:r w:rsidR="0098578F">
        <w:t>000</w:t>
      </w:r>
      <w:r w:rsidR="0098578F" w:rsidRPr="00A2129F">
        <w:t xml:space="preserve"> </w:t>
      </w:r>
      <w:r w:rsidRPr="00A2129F">
        <w:t>per annum.</w:t>
      </w:r>
    </w:p>
    <w:p w:rsidR="00557E2D" w:rsidRDefault="00557E2D" w:rsidP="00557E2D">
      <w:pPr>
        <w:spacing w:before="120"/>
      </w:pPr>
      <w:r w:rsidRPr="00A2129F">
        <w:t>In its Draft Advice, the ACCC set out a range of proposed amendments to the water charge rules</w:t>
      </w:r>
      <w:r>
        <w:t xml:space="preserve">, together with </w:t>
      </w:r>
      <w:r w:rsidRPr="00A2129F">
        <w:t xml:space="preserve">the estimated change in the regulatory costs associated with these proposals compared </w:t>
      </w:r>
      <w:r>
        <w:t xml:space="preserve">to </w:t>
      </w:r>
      <w:r w:rsidRPr="00A2129F">
        <w:t xml:space="preserve">current </w:t>
      </w:r>
      <w:r>
        <w:t xml:space="preserve">rule </w:t>
      </w:r>
      <w:r w:rsidRPr="00A2129F">
        <w:t xml:space="preserve">requirements. </w:t>
      </w:r>
    </w:p>
    <w:p w:rsidR="00557E2D" w:rsidRPr="00A2129F" w:rsidRDefault="00557E2D" w:rsidP="00557E2D">
      <w:pPr>
        <w:spacing w:before="120"/>
      </w:pPr>
      <w:r w:rsidRPr="00A2129F">
        <w:t>In its Final Advice, the ACCC</w:t>
      </w:r>
      <w:r>
        <w:t>, after</w:t>
      </w:r>
      <w:r w:rsidRPr="00A2129F">
        <w:t xml:space="preserve"> consider</w:t>
      </w:r>
      <w:r>
        <w:t>ing</w:t>
      </w:r>
      <w:r w:rsidRPr="00A2129F">
        <w:t xml:space="preserve"> stakeholder feedback</w:t>
      </w:r>
      <w:r>
        <w:t>,</w:t>
      </w:r>
      <w:r w:rsidRPr="00A2129F">
        <w:t xml:space="preserve"> has </w:t>
      </w:r>
      <w:r>
        <w:t xml:space="preserve">made adjustments to its rule advice and in some cases </w:t>
      </w:r>
      <w:r w:rsidRPr="00A2129F">
        <w:t xml:space="preserve">reconsidered the </w:t>
      </w:r>
      <w:r>
        <w:t xml:space="preserve">assumptions underpinning its assessment of the regulatory </w:t>
      </w:r>
      <w:r w:rsidRPr="00A2129F">
        <w:t>costs of its proposed changes to the rules.</w:t>
      </w:r>
      <w:r>
        <w:t xml:space="preserve"> These adjustments have </w:t>
      </w:r>
      <w:r w:rsidRPr="00A2129F">
        <w:t>resulted in changes to the estimated regulatory cost</w:t>
      </w:r>
      <w:r>
        <w:t>s</w:t>
      </w:r>
      <w:r w:rsidRPr="00A2129F">
        <w:t xml:space="preserve"> </w:t>
      </w:r>
      <w:r>
        <w:t xml:space="preserve">compared to the estimates </w:t>
      </w:r>
      <w:r w:rsidRPr="00A2129F">
        <w:t xml:space="preserve">set out in the Draft Advice. Some changes in the ACCC’s proposals and reassessment of the costs of these proposals have resulted in decreases to the </w:t>
      </w:r>
      <w:r>
        <w:t xml:space="preserve">estimated </w:t>
      </w:r>
      <w:r w:rsidRPr="00A2129F">
        <w:t xml:space="preserve">regulatory cost, while others have involved slight increases. Overall, the effect of the proposed changes to the water charge rules remains a reduction in the </w:t>
      </w:r>
      <w:r>
        <w:t xml:space="preserve">estimated </w:t>
      </w:r>
      <w:r w:rsidRPr="00A2129F">
        <w:t xml:space="preserve">regulatory cost compared to current rules. </w:t>
      </w:r>
    </w:p>
    <w:p w:rsidR="00557E2D" w:rsidRPr="00A2129F" w:rsidRDefault="00557E2D" w:rsidP="00557E2D">
      <w:r w:rsidRPr="00A2129F">
        <w:t>Table 9.1 below summari</w:t>
      </w:r>
      <w:r>
        <w:t>s</w:t>
      </w:r>
      <w:r w:rsidRPr="00A2129F">
        <w:t>es the estimated annualised change in regulatory costs for each category of proposed changes in the Final Advice. The effect of the ACCC’s change in proposals since the Draft Advice is also shown in Table 9.1.</w:t>
      </w:r>
      <w:r w:rsidR="00C6733C">
        <w:t xml:space="preserve"> </w:t>
      </w:r>
    </w:p>
    <w:p w:rsidR="00557E2D" w:rsidRPr="00204DA9" w:rsidRDefault="00557E2D" w:rsidP="00E560FF">
      <w:pPr>
        <w:pStyle w:val="Tabletitle"/>
      </w:pPr>
      <w:r w:rsidRPr="00204DA9">
        <w:t>Table 9.1—</w:t>
      </w:r>
      <w:r>
        <w:t>Net a</w:t>
      </w:r>
      <w:r w:rsidRPr="00204DA9">
        <w:t>nnualised change in regulatory cost</w:t>
      </w:r>
      <w:r w:rsidRPr="003F2B05">
        <w:rPr>
          <w:vertAlign w:val="superscript"/>
        </w:rPr>
        <w:t>*</w:t>
      </w:r>
    </w:p>
    <w:tbl>
      <w:tblPr>
        <w:tblStyle w:val="TableGrid"/>
        <w:tblW w:w="92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9"/>
        <w:gridCol w:w="1162"/>
        <w:gridCol w:w="1162"/>
        <w:gridCol w:w="1162"/>
        <w:gridCol w:w="1162"/>
        <w:gridCol w:w="1452"/>
        <w:gridCol w:w="1453"/>
      </w:tblGrid>
      <w:tr w:rsidR="00557E2D" w:rsidRPr="000A7B13" w:rsidTr="00C52AEB">
        <w:trPr>
          <w:trHeight w:val="318"/>
        </w:trPr>
        <w:tc>
          <w:tcPr>
            <w:tcW w:w="1709" w:type="dxa"/>
            <w:tcBorders>
              <w:right w:val="single" w:sz="4" w:space="0" w:color="auto"/>
            </w:tcBorders>
            <w:shd w:val="clear" w:color="auto" w:fill="D9D9D9" w:themeFill="background1" w:themeFillShade="D9"/>
            <w:hideMark/>
          </w:tcPr>
          <w:p w:rsidR="00557E2D" w:rsidRPr="00981C76" w:rsidRDefault="00557E2D" w:rsidP="0098578F">
            <w:pPr>
              <w:pStyle w:val="tabletext"/>
              <w:keepNext/>
              <w:keepLines/>
              <w:rPr>
                <w:rFonts w:asciiTheme="minorHAnsi" w:hAnsiTheme="minorHAnsi"/>
                <w:b/>
                <w:sz w:val="22"/>
                <w:szCs w:val="22"/>
              </w:rPr>
            </w:pPr>
            <w:r w:rsidRPr="00981C76">
              <w:rPr>
                <w:rFonts w:asciiTheme="minorHAnsi" w:hAnsiTheme="minorHAnsi"/>
                <w:b/>
                <w:sz w:val="22"/>
                <w:szCs w:val="22"/>
              </w:rPr>
              <w:t>Category of proposed amendment</w:t>
            </w:r>
          </w:p>
        </w:tc>
        <w:tc>
          <w:tcPr>
            <w:tcW w:w="1162" w:type="dxa"/>
            <w:tcBorders>
              <w:top w:val="single" w:sz="4" w:space="0" w:color="auto"/>
              <w:left w:val="single" w:sz="4" w:space="0" w:color="auto"/>
              <w:bottom w:val="single" w:sz="4" w:space="0" w:color="auto"/>
              <w:right w:val="nil"/>
            </w:tcBorders>
            <w:shd w:val="clear" w:color="auto" w:fill="D9D9D9" w:themeFill="background1" w:themeFillShade="D9"/>
          </w:tcPr>
          <w:p w:rsidR="00557E2D" w:rsidRPr="00981C76" w:rsidRDefault="00557E2D" w:rsidP="0098578F">
            <w:pPr>
              <w:pStyle w:val="tabletext"/>
              <w:keepNext/>
              <w:keepLines/>
              <w:rPr>
                <w:rFonts w:asciiTheme="minorHAnsi" w:hAnsiTheme="minorHAnsi"/>
                <w:sz w:val="22"/>
                <w:szCs w:val="22"/>
              </w:rPr>
            </w:pPr>
            <w:r w:rsidRPr="00A704D7">
              <w:rPr>
                <w:rFonts w:asciiTheme="minorHAnsi" w:hAnsiTheme="minorHAnsi"/>
                <w:b/>
                <w:sz w:val="22"/>
                <w:szCs w:val="22"/>
              </w:rPr>
              <w:t>Group 1</w:t>
            </w:r>
            <w:r w:rsidRPr="00981C76">
              <w:rPr>
                <w:rFonts w:asciiTheme="minorHAnsi" w:hAnsiTheme="minorHAnsi"/>
                <w:sz w:val="22"/>
                <w:szCs w:val="22"/>
              </w:rPr>
              <w:t xml:space="preserve">: </w:t>
            </w:r>
            <w:r w:rsidRPr="00A704D7">
              <w:rPr>
                <w:rFonts w:asciiTheme="minorHAnsi" w:hAnsiTheme="minorHAnsi"/>
                <w:sz w:val="18"/>
                <w:szCs w:val="22"/>
              </w:rPr>
              <w:t>IIO, member-owned holding &lt;10 GL of WAE</w:t>
            </w:r>
          </w:p>
        </w:tc>
        <w:tc>
          <w:tcPr>
            <w:tcW w:w="1162" w:type="dxa"/>
            <w:tcBorders>
              <w:top w:val="single" w:sz="4" w:space="0" w:color="auto"/>
              <w:left w:val="nil"/>
              <w:bottom w:val="single" w:sz="4" w:space="0" w:color="auto"/>
              <w:right w:val="nil"/>
            </w:tcBorders>
            <w:shd w:val="clear" w:color="auto" w:fill="D9D9D9" w:themeFill="background1" w:themeFillShade="D9"/>
          </w:tcPr>
          <w:p w:rsidR="00557E2D" w:rsidRPr="00981C76" w:rsidRDefault="00557E2D" w:rsidP="0098578F">
            <w:pPr>
              <w:pStyle w:val="tabletext"/>
              <w:keepNext/>
              <w:keepLines/>
              <w:rPr>
                <w:rFonts w:asciiTheme="minorHAnsi" w:hAnsiTheme="minorHAnsi"/>
                <w:sz w:val="22"/>
                <w:szCs w:val="22"/>
              </w:rPr>
            </w:pPr>
            <w:r w:rsidRPr="00A704D7">
              <w:rPr>
                <w:rFonts w:asciiTheme="minorHAnsi" w:hAnsiTheme="minorHAnsi"/>
                <w:b/>
                <w:sz w:val="22"/>
                <w:szCs w:val="22"/>
              </w:rPr>
              <w:t>Group 2</w:t>
            </w:r>
            <w:r w:rsidRPr="00981C76">
              <w:rPr>
                <w:rFonts w:asciiTheme="minorHAnsi" w:hAnsiTheme="minorHAnsi"/>
                <w:sz w:val="22"/>
                <w:szCs w:val="22"/>
              </w:rPr>
              <w:t xml:space="preserve">: </w:t>
            </w:r>
            <w:r w:rsidRPr="00A704D7">
              <w:rPr>
                <w:rFonts w:asciiTheme="minorHAnsi" w:hAnsiTheme="minorHAnsi"/>
                <w:sz w:val="18"/>
                <w:szCs w:val="22"/>
              </w:rPr>
              <w:t>IIO, member-owned holding 10-125GL of WAE</w:t>
            </w:r>
          </w:p>
        </w:tc>
        <w:tc>
          <w:tcPr>
            <w:tcW w:w="1162" w:type="dxa"/>
            <w:tcBorders>
              <w:top w:val="single" w:sz="4" w:space="0" w:color="auto"/>
              <w:left w:val="nil"/>
              <w:bottom w:val="single" w:sz="4" w:space="0" w:color="auto"/>
              <w:right w:val="nil"/>
            </w:tcBorders>
            <w:shd w:val="clear" w:color="auto" w:fill="D9D9D9" w:themeFill="background1" w:themeFillShade="D9"/>
          </w:tcPr>
          <w:p w:rsidR="00557E2D" w:rsidRPr="00981C76" w:rsidRDefault="00557E2D" w:rsidP="0098578F">
            <w:pPr>
              <w:pStyle w:val="tabletext"/>
              <w:keepNext/>
              <w:keepLines/>
              <w:rPr>
                <w:rFonts w:asciiTheme="minorHAnsi" w:hAnsiTheme="minorHAnsi"/>
                <w:sz w:val="22"/>
                <w:szCs w:val="22"/>
              </w:rPr>
            </w:pPr>
            <w:r w:rsidRPr="00A704D7">
              <w:rPr>
                <w:rFonts w:asciiTheme="minorHAnsi" w:hAnsiTheme="minorHAnsi"/>
                <w:b/>
                <w:sz w:val="22"/>
                <w:szCs w:val="22"/>
              </w:rPr>
              <w:t>Group 3</w:t>
            </w:r>
            <w:r w:rsidRPr="00981C76">
              <w:rPr>
                <w:rFonts w:asciiTheme="minorHAnsi" w:hAnsiTheme="minorHAnsi"/>
                <w:sz w:val="22"/>
                <w:szCs w:val="22"/>
              </w:rPr>
              <w:t xml:space="preserve">: </w:t>
            </w:r>
            <w:r w:rsidRPr="00A704D7">
              <w:rPr>
                <w:rFonts w:asciiTheme="minorHAnsi" w:hAnsiTheme="minorHAnsi"/>
                <w:sz w:val="18"/>
                <w:szCs w:val="22"/>
              </w:rPr>
              <w:t>IIO, current Part 5 operator</w:t>
            </w:r>
            <w:r w:rsidRPr="00A704D7">
              <w:rPr>
                <w:rFonts w:asciiTheme="minorHAnsi" w:hAnsiTheme="minorHAnsi"/>
                <w:sz w:val="18"/>
                <w:szCs w:val="22"/>
                <w:vertAlign w:val="superscript"/>
              </w:rPr>
              <w:t>*</w:t>
            </w:r>
            <w:r>
              <w:rPr>
                <w:rFonts w:asciiTheme="minorHAnsi" w:hAnsiTheme="minorHAnsi"/>
                <w:sz w:val="18"/>
                <w:szCs w:val="22"/>
                <w:vertAlign w:val="superscript"/>
              </w:rPr>
              <w:t>*</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tcPr>
          <w:p w:rsidR="00557E2D" w:rsidRPr="00981C76" w:rsidRDefault="00557E2D" w:rsidP="0098578F">
            <w:pPr>
              <w:pStyle w:val="tabletext"/>
              <w:keepNext/>
              <w:keepLines/>
              <w:rPr>
                <w:rFonts w:asciiTheme="minorHAnsi" w:hAnsiTheme="minorHAnsi"/>
                <w:sz w:val="22"/>
                <w:szCs w:val="22"/>
              </w:rPr>
            </w:pPr>
            <w:r w:rsidRPr="00A704D7">
              <w:rPr>
                <w:rFonts w:asciiTheme="minorHAnsi" w:hAnsiTheme="minorHAnsi"/>
                <w:b/>
                <w:sz w:val="22"/>
                <w:szCs w:val="22"/>
              </w:rPr>
              <w:t>Group 4</w:t>
            </w:r>
            <w:r w:rsidRPr="00981C76">
              <w:rPr>
                <w:rFonts w:asciiTheme="minorHAnsi" w:hAnsiTheme="minorHAnsi"/>
                <w:sz w:val="22"/>
                <w:szCs w:val="22"/>
              </w:rPr>
              <w:t>:</w:t>
            </w:r>
          </w:p>
          <w:p w:rsidR="00557E2D" w:rsidRPr="00981C76" w:rsidRDefault="00557E2D" w:rsidP="0098578F">
            <w:pPr>
              <w:pStyle w:val="tabletext"/>
              <w:keepNext/>
              <w:keepLines/>
              <w:rPr>
                <w:rFonts w:asciiTheme="minorHAnsi" w:hAnsiTheme="minorHAnsi"/>
                <w:sz w:val="22"/>
                <w:szCs w:val="22"/>
              </w:rPr>
            </w:pPr>
            <w:r>
              <w:rPr>
                <w:rFonts w:asciiTheme="minorHAnsi" w:hAnsiTheme="minorHAnsi"/>
                <w:sz w:val="18"/>
                <w:szCs w:val="22"/>
              </w:rPr>
              <w:t>Part 6 operators and o</w:t>
            </w:r>
            <w:r w:rsidRPr="00A704D7">
              <w:rPr>
                <w:rFonts w:asciiTheme="minorHAnsi" w:hAnsiTheme="minorHAnsi"/>
                <w:sz w:val="18"/>
                <w:szCs w:val="22"/>
              </w:rPr>
              <w:t>ther non-member owned IOs</w:t>
            </w:r>
            <w:r w:rsidRPr="00A704D7">
              <w:rPr>
                <w:rFonts w:asciiTheme="minorHAnsi" w:hAnsiTheme="minorHAnsi"/>
                <w:sz w:val="18"/>
                <w:szCs w:val="22"/>
                <w:vertAlign w:val="superscript"/>
              </w:rPr>
              <w:t>*</w:t>
            </w:r>
            <w:r>
              <w:rPr>
                <w:rFonts w:asciiTheme="minorHAnsi" w:hAnsiTheme="minorHAnsi"/>
                <w:sz w:val="18"/>
                <w:szCs w:val="22"/>
                <w:vertAlign w:val="superscript"/>
              </w:rPr>
              <w:t>*</w:t>
            </w:r>
          </w:p>
        </w:tc>
        <w:tc>
          <w:tcPr>
            <w:tcW w:w="1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57E2D" w:rsidRPr="00A704D7" w:rsidRDefault="00557E2D" w:rsidP="0098578F">
            <w:pPr>
              <w:pStyle w:val="tabletext"/>
              <w:keepNext/>
              <w:keepLines/>
              <w:rPr>
                <w:rFonts w:asciiTheme="minorHAnsi" w:hAnsiTheme="minorHAnsi"/>
                <w:b/>
                <w:sz w:val="22"/>
                <w:szCs w:val="22"/>
              </w:rPr>
            </w:pPr>
            <w:r>
              <w:rPr>
                <w:b/>
                <w:bCs/>
                <w:sz w:val="22"/>
                <w:szCs w:val="22"/>
              </w:rPr>
              <w:t>Total n</w:t>
            </w:r>
            <w:r w:rsidRPr="00A704D7">
              <w:rPr>
                <w:b/>
                <w:bCs/>
                <w:sz w:val="22"/>
                <w:szCs w:val="22"/>
              </w:rPr>
              <w:t>et annualised change in regulatory cost ($/yr)—Final Advice</w:t>
            </w:r>
          </w:p>
        </w:tc>
        <w:tc>
          <w:tcPr>
            <w:tcW w:w="1453" w:type="dxa"/>
            <w:tcBorders>
              <w:left w:val="single" w:sz="4" w:space="0" w:color="auto"/>
              <w:bottom w:val="single" w:sz="4" w:space="0" w:color="auto"/>
            </w:tcBorders>
            <w:shd w:val="clear" w:color="auto" w:fill="D9D9D9" w:themeFill="background1" w:themeFillShade="D9"/>
          </w:tcPr>
          <w:p w:rsidR="00557E2D" w:rsidRPr="00A704D7" w:rsidRDefault="00557E2D" w:rsidP="0098578F">
            <w:pPr>
              <w:pStyle w:val="tabletext"/>
              <w:keepNext/>
              <w:keepLines/>
              <w:rPr>
                <w:rFonts w:asciiTheme="minorHAnsi" w:hAnsiTheme="minorHAnsi"/>
                <w:i/>
                <w:sz w:val="22"/>
                <w:szCs w:val="22"/>
              </w:rPr>
            </w:pPr>
            <w:r>
              <w:rPr>
                <w:bCs/>
                <w:i/>
                <w:sz w:val="22"/>
                <w:szCs w:val="22"/>
              </w:rPr>
              <w:t>Total n</w:t>
            </w:r>
            <w:r w:rsidRPr="00A704D7">
              <w:rPr>
                <w:bCs/>
                <w:i/>
                <w:sz w:val="22"/>
                <w:szCs w:val="22"/>
              </w:rPr>
              <w:t>et annualised change in regulatory cost ($/yr)—Draft Advice</w:t>
            </w:r>
          </w:p>
        </w:tc>
      </w:tr>
      <w:tr w:rsidR="00557E2D" w:rsidRPr="00E13A72" w:rsidTr="00A60A09">
        <w:trPr>
          <w:trHeight w:val="54"/>
        </w:trPr>
        <w:tc>
          <w:tcPr>
            <w:tcW w:w="1709" w:type="dxa"/>
            <w:tcBorders>
              <w:bottom w:val="single" w:sz="4" w:space="0" w:color="auto"/>
              <w:right w:val="single" w:sz="4" w:space="0" w:color="auto"/>
            </w:tcBorders>
          </w:tcPr>
          <w:p w:rsidR="00557E2D" w:rsidRPr="00981C76" w:rsidRDefault="00557E2D" w:rsidP="0098578F">
            <w:pPr>
              <w:pStyle w:val="tabletext"/>
              <w:keepNext/>
              <w:keepLines/>
              <w:rPr>
                <w:rFonts w:asciiTheme="minorHAnsi" w:hAnsiTheme="minorHAnsi"/>
                <w:b/>
                <w:szCs w:val="22"/>
              </w:rPr>
            </w:pPr>
            <w:r>
              <w:rPr>
                <w:b/>
                <w:bCs/>
                <w:i/>
                <w:iCs/>
                <w:sz w:val="22"/>
                <w:szCs w:val="22"/>
              </w:rPr>
              <w:t xml:space="preserve">No. entities </w:t>
            </w:r>
          </w:p>
        </w:tc>
        <w:tc>
          <w:tcPr>
            <w:tcW w:w="1162" w:type="dxa"/>
            <w:tcBorders>
              <w:top w:val="single" w:sz="4" w:space="0" w:color="auto"/>
              <w:left w:val="single" w:sz="4" w:space="0" w:color="auto"/>
              <w:bottom w:val="single" w:sz="4" w:space="0" w:color="auto"/>
              <w:right w:val="nil"/>
            </w:tcBorders>
            <w:vAlign w:val="center"/>
          </w:tcPr>
          <w:p w:rsidR="00557E2D" w:rsidRPr="00981C76" w:rsidRDefault="00557E2D" w:rsidP="0098578F">
            <w:pPr>
              <w:pStyle w:val="tabletext"/>
              <w:keepNext/>
              <w:keepLines/>
              <w:jc w:val="right"/>
              <w:rPr>
                <w:rFonts w:asciiTheme="minorHAnsi" w:hAnsiTheme="minorHAnsi"/>
                <w:color w:val="000000"/>
                <w:szCs w:val="22"/>
              </w:rPr>
            </w:pPr>
            <w:r>
              <w:rPr>
                <w:i/>
                <w:iCs/>
                <w:color w:val="000000"/>
                <w:sz w:val="22"/>
                <w:szCs w:val="22"/>
              </w:rPr>
              <w:t>8</w:t>
            </w:r>
          </w:p>
        </w:tc>
        <w:tc>
          <w:tcPr>
            <w:tcW w:w="1162" w:type="dxa"/>
            <w:tcBorders>
              <w:top w:val="single" w:sz="4" w:space="0" w:color="auto"/>
              <w:left w:val="nil"/>
              <w:bottom w:val="single" w:sz="4" w:space="0" w:color="auto"/>
              <w:right w:val="nil"/>
            </w:tcBorders>
            <w:vAlign w:val="center"/>
          </w:tcPr>
          <w:p w:rsidR="00557E2D" w:rsidRPr="00981C76" w:rsidRDefault="00557E2D" w:rsidP="0098578F">
            <w:pPr>
              <w:pStyle w:val="tabletext"/>
              <w:keepNext/>
              <w:keepLines/>
              <w:jc w:val="right"/>
              <w:rPr>
                <w:rFonts w:asciiTheme="minorHAnsi" w:hAnsiTheme="minorHAnsi"/>
                <w:color w:val="000000"/>
                <w:szCs w:val="22"/>
              </w:rPr>
            </w:pPr>
            <w:r>
              <w:rPr>
                <w:i/>
                <w:iCs/>
                <w:color w:val="000000"/>
                <w:sz w:val="22"/>
                <w:szCs w:val="22"/>
              </w:rPr>
              <w:t>12</w:t>
            </w:r>
          </w:p>
        </w:tc>
        <w:tc>
          <w:tcPr>
            <w:tcW w:w="1162" w:type="dxa"/>
            <w:tcBorders>
              <w:top w:val="single" w:sz="4" w:space="0" w:color="auto"/>
              <w:left w:val="nil"/>
              <w:bottom w:val="single" w:sz="4" w:space="0" w:color="auto"/>
              <w:right w:val="nil"/>
            </w:tcBorders>
            <w:vAlign w:val="center"/>
          </w:tcPr>
          <w:p w:rsidR="00557E2D" w:rsidRPr="00981C76" w:rsidRDefault="00557E2D" w:rsidP="0098578F">
            <w:pPr>
              <w:pStyle w:val="tabletext"/>
              <w:keepNext/>
              <w:keepLines/>
              <w:jc w:val="right"/>
              <w:rPr>
                <w:rFonts w:asciiTheme="minorHAnsi" w:hAnsiTheme="minorHAnsi"/>
                <w:color w:val="000000"/>
                <w:szCs w:val="22"/>
              </w:rPr>
            </w:pPr>
            <w:r>
              <w:rPr>
                <w:i/>
                <w:iCs/>
                <w:color w:val="000000"/>
                <w:sz w:val="22"/>
                <w:szCs w:val="22"/>
              </w:rPr>
              <w:t>5</w:t>
            </w:r>
          </w:p>
        </w:tc>
        <w:tc>
          <w:tcPr>
            <w:tcW w:w="1162" w:type="dxa"/>
            <w:tcBorders>
              <w:top w:val="single" w:sz="4" w:space="0" w:color="auto"/>
              <w:left w:val="nil"/>
              <w:bottom w:val="single" w:sz="4" w:space="0" w:color="auto"/>
              <w:right w:val="single" w:sz="4" w:space="0" w:color="auto"/>
            </w:tcBorders>
            <w:vAlign w:val="center"/>
          </w:tcPr>
          <w:p w:rsidR="00557E2D" w:rsidRPr="00A428F9" w:rsidRDefault="00557E2D" w:rsidP="0098578F">
            <w:pPr>
              <w:pStyle w:val="tabletext"/>
              <w:keepNext/>
              <w:keepLines/>
              <w:jc w:val="right"/>
              <w:rPr>
                <w:rFonts w:asciiTheme="minorHAnsi" w:hAnsiTheme="minorHAnsi"/>
                <w:i/>
                <w:color w:val="000000"/>
                <w:szCs w:val="22"/>
              </w:rPr>
            </w:pPr>
            <w:r w:rsidRPr="00A428F9">
              <w:rPr>
                <w:i/>
                <w:iCs/>
                <w:color w:val="000000"/>
                <w:sz w:val="22"/>
                <w:szCs w:val="22"/>
              </w:rPr>
              <w:t>6</w:t>
            </w:r>
          </w:p>
        </w:tc>
        <w:tc>
          <w:tcPr>
            <w:tcW w:w="1452" w:type="dxa"/>
            <w:tcBorders>
              <w:top w:val="single" w:sz="4" w:space="0" w:color="auto"/>
              <w:left w:val="single" w:sz="4" w:space="0" w:color="auto"/>
              <w:bottom w:val="single" w:sz="4" w:space="0" w:color="auto"/>
              <w:right w:val="single" w:sz="4" w:space="0" w:color="auto"/>
            </w:tcBorders>
            <w:vAlign w:val="center"/>
          </w:tcPr>
          <w:p w:rsidR="00557E2D" w:rsidRPr="00A428F9" w:rsidRDefault="00557E2D" w:rsidP="0098578F">
            <w:pPr>
              <w:pStyle w:val="tabletext"/>
              <w:keepNext/>
              <w:keepLines/>
              <w:jc w:val="right"/>
              <w:rPr>
                <w:rFonts w:asciiTheme="minorHAnsi" w:hAnsiTheme="minorHAnsi"/>
                <w:b/>
                <w:i/>
                <w:color w:val="000000"/>
                <w:szCs w:val="22"/>
              </w:rPr>
            </w:pPr>
            <w:r w:rsidRPr="00A428F9">
              <w:rPr>
                <w:rFonts w:asciiTheme="minorHAnsi" w:hAnsiTheme="minorHAnsi"/>
                <w:b/>
                <w:i/>
                <w:color w:val="000000"/>
                <w:szCs w:val="22"/>
              </w:rPr>
              <w:t>31</w:t>
            </w:r>
          </w:p>
        </w:tc>
        <w:tc>
          <w:tcPr>
            <w:tcW w:w="1453" w:type="dxa"/>
            <w:tcBorders>
              <w:top w:val="single" w:sz="4" w:space="0" w:color="auto"/>
              <w:left w:val="single" w:sz="4" w:space="0" w:color="auto"/>
              <w:bottom w:val="single" w:sz="4" w:space="0" w:color="auto"/>
              <w:right w:val="single" w:sz="4" w:space="0" w:color="auto"/>
            </w:tcBorders>
            <w:vAlign w:val="center"/>
          </w:tcPr>
          <w:p w:rsidR="00557E2D" w:rsidRPr="00A704D7" w:rsidRDefault="00557E2D" w:rsidP="0098578F">
            <w:pPr>
              <w:pStyle w:val="tabletext"/>
              <w:keepNext/>
              <w:keepLines/>
              <w:jc w:val="right"/>
              <w:rPr>
                <w:rFonts w:asciiTheme="minorHAnsi" w:hAnsiTheme="minorHAnsi"/>
                <w:i/>
                <w:color w:val="000000"/>
              </w:rPr>
            </w:pPr>
            <w:r>
              <w:rPr>
                <w:rFonts w:asciiTheme="minorHAnsi" w:hAnsiTheme="minorHAnsi"/>
                <w:i/>
                <w:color w:val="000000"/>
              </w:rPr>
              <w:t>31</w:t>
            </w:r>
          </w:p>
        </w:tc>
      </w:tr>
      <w:tr w:rsidR="00557E2D" w:rsidRPr="00E13A72" w:rsidTr="00A60A09">
        <w:trPr>
          <w:trHeight w:val="299"/>
        </w:trPr>
        <w:tc>
          <w:tcPr>
            <w:tcW w:w="1709" w:type="dxa"/>
            <w:tcBorders>
              <w:top w:val="single" w:sz="4" w:space="0" w:color="auto"/>
              <w:left w:val="single" w:sz="4" w:space="0" w:color="auto"/>
              <w:bottom w:val="nil"/>
              <w:right w:val="single" w:sz="4" w:space="0" w:color="auto"/>
            </w:tcBorders>
            <w:hideMark/>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Non-discrimination provisions</w:t>
            </w:r>
          </w:p>
        </w:tc>
        <w:tc>
          <w:tcPr>
            <w:tcW w:w="1162" w:type="dxa"/>
            <w:tcBorders>
              <w:top w:val="single" w:sz="4" w:space="0" w:color="auto"/>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3</w:t>
            </w:r>
            <w:r w:rsidRPr="00981C76">
              <w:rPr>
                <w:rFonts w:asciiTheme="minorHAnsi" w:hAnsiTheme="minorHAnsi"/>
                <w:color w:val="000000"/>
                <w:szCs w:val="22"/>
              </w:rPr>
              <w:t xml:space="preserve"> 000</w:t>
            </w:r>
          </w:p>
        </w:tc>
        <w:tc>
          <w:tcPr>
            <w:tcW w:w="1162" w:type="dxa"/>
            <w:tcBorders>
              <w:top w:val="single" w:sz="4" w:space="0" w:color="auto"/>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5</w:t>
            </w:r>
            <w:r w:rsidRPr="00981C76">
              <w:rPr>
                <w:rFonts w:asciiTheme="minorHAnsi" w:hAnsiTheme="minorHAnsi"/>
                <w:color w:val="000000"/>
                <w:szCs w:val="22"/>
              </w:rPr>
              <w:t xml:space="preserve"> 000</w:t>
            </w:r>
          </w:p>
        </w:tc>
        <w:tc>
          <w:tcPr>
            <w:tcW w:w="1162" w:type="dxa"/>
            <w:tcBorders>
              <w:top w:val="single" w:sz="4" w:space="0" w:color="auto"/>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$5 000</w:t>
            </w:r>
          </w:p>
        </w:tc>
        <w:tc>
          <w:tcPr>
            <w:tcW w:w="1162" w:type="dxa"/>
            <w:tcBorders>
              <w:top w:val="single" w:sz="4" w:space="0" w:color="auto"/>
              <w:left w:val="nil"/>
              <w:bottom w:val="nil"/>
              <w:right w:val="single" w:sz="4" w:space="0" w:color="auto"/>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4</w:t>
            </w:r>
            <w:r w:rsidRPr="00981C76">
              <w:rPr>
                <w:rFonts w:asciiTheme="minorHAnsi" w:hAnsiTheme="minorHAnsi"/>
                <w:color w:val="000000"/>
                <w:szCs w:val="22"/>
              </w:rPr>
              <w:t xml:space="preserve"> 000</w:t>
            </w:r>
          </w:p>
        </w:tc>
        <w:tc>
          <w:tcPr>
            <w:tcW w:w="1452" w:type="dxa"/>
            <w:tcBorders>
              <w:top w:val="single" w:sz="4" w:space="0" w:color="auto"/>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b/>
                <w:szCs w:val="22"/>
                <w:highlight w:val="yellow"/>
              </w:rPr>
            </w:pPr>
            <w:r w:rsidRPr="00A704D7">
              <w:rPr>
                <w:rFonts w:asciiTheme="minorHAnsi" w:hAnsiTheme="minorHAnsi"/>
                <w:b/>
                <w:color w:val="000000"/>
                <w:szCs w:val="22"/>
              </w:rPr>
              <w:t>$1</w:t>
            </w:r>
            <w:r>
              <w:rPr>
                <w:rFonts w:asciiTheme="minorHAnsi" w:hAnsiTheme="minorHAnsi"/>
                <w:b/>
                <w:color w:val="000000"/>
                <w:szCs w:val="22"/>
              </w:rPr>
              <w:t>7</w:t>
            </w:r>
            <w:r w:rsidRPr="00A704D7">
              <w:rPr>
                <w:rFonts w:asciiTheme="minorHAnsi" w:hAnsiTheme="minorHAnsi"/>
                <w:b/>
                <w:color w:val="000000"/>
                <w:szCs w:val="22"/>
              </w:rPr>
              <w:t xml:space="preserve"> 000</w:t>
            </w:r>
          </w:p>
        </w:tc>
        <w:tc>
          <w:tcPr>
            <w:tcW w:w="1453" w:type="dxa"/>
            <w:tcBorders>
              <w:top w:val="single" w:sz="4" w:space="0" w:color="auto"/>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i/>
                <w:highlight w:val="yellow"/>
              </w:rPr>
            </w:pPr>
            <w:r w:rsidRPr="00A704D7">
              <w:rPr>
                <w:i/>
                <w:color w:val="000000"/>
              </w:rPr>
              <w:t>$14 000</w:t>
            </w:r>
          </w:p>
        </w:tc>
      </w:tr>
      <w:tr w:rsidR="00557E2D" w:rsidRPr="00E13A72" w:rsidTr="00A60A09">
        <w:trPr>
          <w:trHeight w:val="330"/>
        </w:trPr>
        <w:tc>
          <w:tcPr>
            <w:tcW w:w="1709" w:type="dxa"/>
            <w:tcBorders>
              <w:top w:val="nil"/>
              <w:left w:val="single" w:sz="4" w:space="0" w:color="auto"/>
              <w:bottom w:val="nil"/>
              <w:right w:val="single" w:sz="4" w:space="0" w:color="auto"/>
            </w:tcBorders>
            <w:hideMark/>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 xml:space="preserve">Schedule </w:t>
            </w:r>
            <w:r>
              <w:rPr>
                <w:rFonts w:asciiTheme="minorHAnsi" w:hAnsiTheme="minorHAnsi"/>
                <w:b/>
                <w:szCs w:val="22"/>
              </w:rPr>
              <w:t>o</w:t>
            </w:r>
            <w:r w:rsidRPr="00981C76">
              <w:rPr>
                <w:rFonts w:asciiTheme="minorHAnsi" w:hAnsiTheme="minorHAnsi"/>
                <w:b/>
                <w:szCs w:val="22"/>
              </w:rPr>
              <w:t xml:space="preserve">f Charges </w:t>
            </w:r>
          </w:p>
        </w:tc>
        <w:tc>
          <w:tcPr>
            <w:tcW w:w="1162" w:type="dxa"/>
            <w:tcBorders>
              <w:top w:val="nil"/>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–$1 000</w:t>
            </w:r>
          </w:p>
        </w:tc>
        <w:tc>
          <w:tcPr>
            <w:tcW w:w="1162" w:type="dxa"/>
            <w:tcBorders>
              <w:top w:val="nil"/>
              <w:left w:val="nil"/>
              <w:bottom w:val="nil"/>
              <w:right w:val="nil"/>
            </w:tcBorders>
            <w:vAlign w:val="center"/>
          </w:tcPr>
          <w:p w:rsidR="00557E2D" w:rsidRPr="00981C76" w:rsidRDefault="00557E2D" w:rsidP="008A5EE5">
            <w:pPr>
              <w:pStyle w:val="tabletext"/>
              <w:keepNext/>
              <w:keepLines/>
              <w:jc w:val="right"/>
              <w:rPr>
                <w:rFonts w:asciiTheme="minorHAnsi" w:hAnsiTheme="minorHAnsi"/>
                <w:szCs w:val="22"/>
              </w:rPr>
            </w:pPr>
            <w:r w:rsidRPr="00981C76">
              <w:rPr>
                <w:rFonts w:asciiTheme="minorHAnsi" w:hAnsiTheme="minorHAnsi"/>
                <w:color w:val="000000"/>
                <w:szCs w:val="22"/>
              </w:rPr>
              <w:t>–$</w:t>
            </w:r>
            <w:r w:rsidR="008A5EE5">
              <w:rPr>
                <w:rFonts w:asciiTheme="minorHAnsi" w:hAnsiTheme="minorHAnsi"/>
                <w:color w:val="000000"/>
                <w:szCs w:val="22"/>
              </w:rPr>
              <w:t>4</w:t>
            </w:r>
            <w:r w:rsidR="008A5EE5" w:rsidRPr="00981C76">
              <w:rPr>
                <w:rFonts w:asciiTheme="minorHAnsi" w:hAnsiTheme="minorHAnsi"/>
                <w:color w:val="000000"/>
                <w:szCs w:val="22"/>
              </w:rPr>
              <w:t xml:space="preserve"> </w:t>
            </w:r>
            <w:r w:rsidRPr="00981C76">
              <w:rPr>
                <w:rFonts w:asciiTheme="minorHAnsi" w:hAnsiTheme="minorHAnsi"/>
                <w:color w:val="000000"/>
                <w:szCs w:val="22"/>
              </w:rPr>
              <w:t>000</w:t>
            </w:r>
          </w:p>
        </w:tc>
        <w:tc>
          <w:tcPr>
            <w:tcW w:w="1162" w:type="dxa"/>
            <w:tcBorders>
              <w:top w:val="nil"/>
              <w:left w:val="nil"/>
              <w:bottom w:val="nil"/>
              <w:right w:val="nil"/>
            </w:tcBorders>
            <w:vAlign w:val="center"/>
          </w:tcPr>
          <w:p w:rsidR="00557E2D" w:rsidRPr="00981C76" w:rsidRDefault="00557E2D" w:rsidP="008A5EE5">
            <w:pPr>
              <w:pStyle w:val="tabletext"/>
              <w:keepNext/>
              <w:keepLines/>
              <w:jc w:val="right"/>
              <w:rPr>
                <w:rFonts w:asciiTheme="minorHAnsi" w:hAnsiTheme="minorHAnsi"/>
                <w:szCs w:val="22"/>
              </w:rPr>
            </w:pPr>
            <w:r w:rsidRPr="00981C76">
              <w:rPr>
                <w:rFonts w:asciiTheme="minorHAnsi" w:hAnsiTheme="minorHAnsi"/>
                <w:color w:val="000000"/>
                <w:szCs w:val="22"/>
              </w:rPr>
              <w:t>–$</w:t>
            </w:r>
            <w:r w:rsidR="008A5EE5">
              <w:rPr>
                <w:rFonts w:asciiTheme="minorHAnsi" w:hAnsiTheme="minorHAnsi"/>
                <w:color w:val="000000"/>
                <w:szCs w:val="22"/>
              </w:rPr>
              <w:t>8</w:t>
            </w:r>
            <w:r w:rsidR="008A5EE5" w:rsidRPr="00981C76">
              <w:rPr>
                <w:rFonts w:asciiTheme="minorHAnsi" w:hAnsiTheme="minorHAnsi"/>
                <w:color w:val="000000"/>
                <w:szCs w:val="22"/>
              </w:rPr>
              <w:t xml:space="preserve"> </w:t>
            </w:r>
            <w:r w:rsidRPr="00981C76">
              <w:rPr>
                <w:rFonts w:asciiTheme="minorHAnsi" w:hAnsiTheme="minorHAnsi"/>
                <w:color w:val="000000"/>
                <w:szCs w:val="22"/>
              </w:rPr>
              <w:t>000</w:t>
            </w:r>
          </w:p>
        </w:tc>
        <w:tc>
          <w:tcPr>
            <w:tcW w:w="1162" w:type="dxa"/>
            <w:tcBorders>
              <w:top w:val="nil"/>
              <w:left w:val="nil"/>
              <w:bottom w:val="nil"/>
              <w:right w:val="single" w:sz="4" w:space="0" w:color="auto"/>
            </w:tcBorders>
            <w:vAlign w:val="center"/>
          </w:tcPr>
          <w:p w:rsidR="00557E2D" w:rsidRPr="00981C76" w:rsidRDefault="00557E2D" w:rsidP="008A5EE5">
            <w:pPr>
              <w:pStyle w:val="tabletext"/>
              <w:keepNext/>
              <w:keepLines/>
              <w:jc w:val="right"/>
              <w:rPr>
                <w:rFonts w:asciiTheme="minorHAnsi" w:hAnsiTheme="minorHAnsi"/>
                <w:szCs w:val="22"/>
              </w:rPr>
            </w:pPr>
            <w:r w:rsidRPr="00981C76">
              <w:rPr>
                <w:rFonts w:asciiTheme="minorHAnsi" w:hAnsiTheme="minorHAnsi"/>
                <w:color w:val="000000"/>
                <w:szCs w:val="22"/>
              </w:rPr>
              <w:t>–$2</w:t>
            </w:r>
            <w:r w:rsidR="008A5EE5">
              <w:rPr>
                <w:rFonts w:asciiTheme="minorHAnsi" w:hAnsiTheme="minorHAnsi"/>
                <w:color w:val="000000"/>
                <w:szCs w:val="22"/>
              </w:rPr>
              <w:t>4</w:t>
            </w:r>
            <w:r w:rsidRPr="00981C76">
              <w:rPr>
                <w:rFonts w:asciiTheme="minorHAnsi" w:hAnsiTheme="minorHAnsi"/>
                <w:color w:val="000000"/>
                <w:szCs w:val="22"/>
              </w:rPr>
              <w:t xml:space="preserve"> 000</w:t>
            </w:r>
          </w:p>
        </w:tc>
        <w:tc>
          <w:tcPr>
            <w:tcW w:w="1452" w:type="dxa"/>
            <w:tcBorders>
              <w:top w:val="nil"/>
              <w:left w:val="single" w:sz="4" w:space="0" w:color="auto"/>
              <w:bottom w:val="nil"/>
              <w:right w:val="single" w:sz="4" w:space="0" w:color="auto"/>
            </w:tcBorders>
            <w:vAlign w:val="center"/>
          </w:tcPr>
          <w:p w:rsidR="00557E2D" w:rsidRPr="00A704D7" w:rsidRDefault="00557E2D" w:rsidP="008A5EE5">
            <w:pPr>
              <w:pStyle w:val="tabletext"/>
              <w:keepNext/>
              <w:keepLines/>
              <w:jc w:val="right"/>
              <w:rPr>
                <w:rFonts w:asciiTheme="minorHAnsi" w:hAnsiTheme="minorHAnsi"/>
                <w:b/>
                <w:szCs w:val="22"/>
                <w:highlight w:val="yellow"/>
              </w:rPr>
            </w:pPr>
            <w:r w:rsidRPr="00A704D7">
              <w:rPr>
                <w:rFonts w:asciiTheme="minorHAnsi" w:hAnsiTheme="minorHAnsi"/>
                <w:b/>
                <w:color w:val="000000"/>
                <w:szCs w:val="22"/>
              </w:rPr>
              <w:t>–$</w:t>
            </w:r>
            <w:r w:rsidR="008A5EE5">
              <w:rPr>
                <w:rFonts w:asciiTheme="minorHAnsi" w:hAnsiTheme="minorHAnsi"/>
                <w:b/>
                <w:color w:val="000000"/>
                <w:szCs w:val="22"/>
              </w:rPr>
              <w:t>38</w:t>
            </w:r>
            <w:r w:rsidRPr="00A704D7">
              <w:rPr>
                <w:rFonts w:asciiTheme="minorHAnsi" w:hAnsiTheme="minorHAnsi"/>
                <w:b/>
                <w:color w:val="000000"/>
                <w:szCs w:val="22"/>
              </w:rPr>
              <w:t xml:space="preserve"> 000</w:t>
            </w:r>
          </w:p>
        </w:tc>
        <w:tc>
          <w:tcPr>
            <w:tcW w:w="1453" w:type="dxa"/>
            <w:tcBorders>
              <w:top w:val="nil"/>
              <w:left w:val="single" w:sz="4" w:space="0" w:color="auto"/>
              <w:bottom w:val="nil"/>
              <w:right w:val="single" w:sz="4" w:space="0" w:color="auto"/>
            </w:tcBorders>
            <w:vAlign w:val="center"/>
          </w:tcPr>
          <w:p w:rsidR="00557E2D" w:rsidRPr="00A704D7" w:rsidRDefault="00D20657" w:rsidP="0098578F">
            <w:pPr>
              <w:pStyle w:val="tabletext"/>
              <w:keepNext/>
              <w:keepLines/>
              <w:jc w:val="right"/>
              <w:rPr>
                <w:rFonts w:asciiTheme="minorHAnsi" w:hAnsiTheme="minorHAnsi"/>
                <w:i/>
              </w:rPr>
            </w:pPr>
            <w:r w:rsidRPr="00A704D7">
              <w:rPr>
                <w:rFonts w:asciiTheme="minorHAnsi" w:hAnsiTheme="minorHAnsi"/>
                <w:b/>
                <w:color w:val="000000"/>
                <w:szCs w:val="22"/>
              </w:rPr>
              <w:t>–</w:t>
            </w:r>
            <w:r w:rsidR="00557E2D" w:rsidRPr="00A704D7">
              <w:rPr>
                <w:i/>
                <w:color w:val="000000"/>
              </w:rPr>
              <w:t>$43 000</w:t>
            </w:r>
          </w:p>
        </w:tc>
      </w:tr>
      <w:tr w:rsidR="00557E2D" w:rsidRPr="00E13A72" w:rsidTr="00A60A09">
        <w:trPr>
          <w:trHeight w:val="299"/>
        </w:trPr>
        <w:tc>
          <w:tcPr>
            <w:tcW w:w="1709" w:type="dxa"/>
            <w:tcBorders>
              <w:top w:val="nil"/>
              <w:left w:val="single" w:sz="4" w:space="0" w:color="auto"/>
              <w:bottom w:val="nil"/>
              <w:right w:val="single" w:sz="4" w:space="0" w:color="auto"/>
            </w:tcBorders>
            <w:hideMark/>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Network Service Plans</w:t>
            </w:r>
          </w:p>
        </w:tc>
        <w:tc>
          <w:tcPr>
            <w:tcW w:w="1162" w:type="dxa"/>
            <w:tcBorders>
              <w:top w:val="nil"/>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5</w:t>
            </w:r>
            <w:r w:rsidRPr="00981C76">
              <w:rPr>
                <w:rFonts w:asciiTheme="minorHAnsi" w:hAnsiTheme="minorHAnsi"/>
                <w:color w:val="000000"/>
                <w:szCs w:val="22"/>
              </w:rPr>
              <w:t>1 000</w:t>
            </w:r>
          </w:p>
        </w:tc>
        <w:tc>
          <w:tcPr>
            <w:tcW w:w="1162" w:type="dxa"/>
            <w:tcBorders>
              <w:top w:val="nil"/>
              <w:left w:val="nil"/>
              <w:bottom w:val="nil"/>
              <w:right w:val="single" w:sz="4" w:space="0" w:color="auto"/>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452"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b/>
                <w:color w:val="FF0000"/>
                <w:szCs w:val="22"/>
                <w:highlight w:val="yellow"/>
              </w:rPr>
            </w:pPr>
            <w:r w:rsidRPr="00A704D7">
              <w:rPr>
                <w:rFonts w:asciiTheme="minorHAnsi" w:hAnsiTheme="minorHAnsi"/>
                <w:b/>
                <w:color w:val="000000"/>
                <w:szCs w:val="22"/>
              </w:rPr>
              <w:t>–</w:t>
            </w:r>
            <w:r w:rsidR="0098578F">
              <w:rPr>
                <w:rFonts w:asciiTheme="minorHAnsi" w:hAnsiTheme="minorHAnsi"/>
                <w:b/>
                <w:color w:val="000000"/>
                <w:szCs w:val="22"/>
              </w:rPr>
              <w:t>$</w:t>
            </w:r>
            <w:r>
              <w:rPr>
                <w:rFonts w:asciiTheme="minorHAnsi" w:hAnsiTheme="minorHAnsi"/>
                <w:b/>
                <w:color w:val="000000"/>
                <w:szCs w:val="22"/>
              </w:rPr>
              <w:t>5</w:t>
            </w:r>
            <w:r w:rsidRPr="00A704D7">
              <w:rPr>
                <w:rFonts w:asciiTheme="minorHAnsi" w:hAnsiTheme="minorHAnsi"/>
                <w:b/>
                <w:color w:val="000000"/>
                <w:szCs w:val="22"/>
              </w:rPr>
              <w:t>1 000</w:t>
            </w:r>
          </w:p>
        </w:tc>
        <w:tc>
          <w:tcPr>
            <w:tcW w:w="1453" w:type="dxa"/>
            <w:tcBorders>
              <w:top w:val="nil"/>
              <w:left w:val="single" w:sz="4" w:space="0" w:color="auto"/>
              <w:bottom w:val="nil"/>
              <w:right w:val="single" w:sz="4" w:space="0" w:color="auto"/>
            </w:tcBorders>
            <w:vAlign w:val="center"/>
          </w:tcPr>
          <w:p w:rsidR="00557E2D" w:rsidRPr="00A704D7" w:rsidRDefault="00D20657" w:rsidP="0098578F">
            <w:pPr>
              <w:pStyle w:val="tabletext"/>
              <w:keepNext/>
              <w:keepLines/>
              <w:jc w:val="right"/>
              <w:rPr>
                <w:rFonts w:asciiTheme="minorHAnsi" w:hAnsiTheme="minorHAnsi"/>
                <w:i/>
              </w:rPr>
            </w:pPr>
            <w:r w:rsidRPr="00A704D7">
              <w:rPr>
                <w:rFonts w:asciiTheme="minorHAnsi" w:hAnsiTheme="minorHAnsi"/>
                <w:b/>
                <w:color w:val="000000"/>
                <w:szCs w:val="22"/>
              </w:rPr>
              <w:t>–</w:t>
            </w:r>
            <w:r w:rsidR="00557E2D" w:rsidRPr="00A704D7">
              <w:rPr>
                <w:i/>
                <w:color w:val="000000"/>
              </w:rPr>
              <w:t>$78 000</w:t>
            </w:r>
          </w:p>
        </w:tc>
      </w:tr>
      <w:tr w:rsidR="00557E2D" w:rsidRPr="00E13A72" w:rsidTr="00A60A09">
        <w:trPr>
          <w:trHeight w:val="299"/>
        </w:trPr>
        <w:tc>
          <w:tcPr>
            <w:tcW w:w="1709" w:type="dxa"/>
            <w:tcBorders>
              <w:top w:val="nil"/>
              <w:left w:val="single" w:sz="4" w:space="0" w:color="auto"/>
              <w:bottom w:val="nil"/>
              <w:right w:val="single" w:sz="4" w:space="0" w:color="auto"/>
            </w:tcBorders>
            <w:hideMark/>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Approvals and determinations</w:t>
            </w:r>
          </w:p>
        </w:tc>
        <w:tc>
          <w:tcPr>
            <w:tcW w:w="1162" w:type="dxa"/>
            <w:tcBorders>
              <w:top w:val="nil"/>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single" w:sz="4" w:space="0" w:color="auto"/>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55</w:t>
            </w:r>
            <w:r w:rsidRPr="00981C76">
              <w:rPr>
                <w:rFonts w:asciiTheme="minorHAnsi" w:hAnsiTheme="minorHAnsi"/>
                <w:color w:val="000000"/>
                <w:szCs w:val="22"/>
              </w:rPr>
              <w:t xml:space="preserve"> 000</w:t>
            </w:r>
          </w:p>
        </w:tc>
        <w:tc>
          <w:tcPr>
            <w:tcW w:w="1452"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b/>
                <w:szCs w:val="22"/>
                <w:highlight w:val="yellow"/>
              </w:rPr>
            </w:pPr>
            <w:r w:rsidRPr="00A704D7">
              <w:rPr>
                <w:rFonts w:asciiTheme="minorHAnsi" w:hAnsiTheme="minorHAnsi"/>
                <w:b/>
                <w:color w:val="000000"/>
                <w:szCs w:val="22"/>
              </w:rPr>
              <w:t>–$</w:t>
            </w:r>
            <w:r>
              <w:rPr>
                <w:rFonts w:asciiTheme="minorHAnsi" w:hAnsiTheme="minorHAnsi"/>
                <w:b/>
                <w:color w:val="000000"/>
                <w:szCs w:val="22"/>
              </w:rPr>
              <w:t>55</w:t>
            </w:r>
            <w:r w:rsidRPr="00A704D7">
              <w:rPr>
                <w:rFonts w:asciiTheme="minorHAnsi" w:hAnsiTheme="minorHAnsi"/>
                <w:b/>
                <w:color w:val="000000"/>
                <w:szCs w:val="22"/>
              </w:rPr>
              <w:t xml:space="preserve"> 000</w:t>
            </w:r>
          </w:p>
        </w:tc>
        <w:tc>
          <w:tcPr>
            <w:tcW w:w="1453" w:type="dxa"/>
            <w:tcBorders>
              <w:top w:val="nil"/>
              <w:left w:val="single" w:sz="4" w:space="0" w:color="auto"/>
              <w:bottom w:val="nil"/>
              <w:right w:val="single" w:sz="4" w:space="0" w:color="auto"/>
            </w:tcBorders>
            <w:vAlign w:val="center"/>
          </w:tcPr>
          <w:p w:rsidR="00557E2D" w:rsidRPr="00A704D7" w:rsidRDefault="00D20657" w:rsidP="0098578F">
            <w:pPr>
              <w:pStyle w:val="tabletext"/>
              <w:keepNext/>
              <w:keepLines/>
              <w:jc w:val="right"/>
              <w:rPr>
                <w:rFonts w:asciiTheme="minorHAnsi" w:hAnsiTheme="minorHAnsi"/>
                <w:i/>
              </w:rPr>
            </w:pPr>
            <w:r w:rsidRPr="00A704D7">
              <w:rPr>
                <w:rFonts w:asciiTheme="minorHAnsi" w:hAnsiTheme="minorHAnsi"/>
                <w:b/>
                <w:color w:val="000000"/>
                <w:szCs w:val="22"/>
              </w:rPr>
              <w:t>–</w:t>
            </w:r>
            <w:r w:rsidR="00557E2D" w:rsidRPr="00A704D7">
              <w:rPr>
                <w:i/>
                <w:color w:val="000000"/>
              </w:rPr>
              <w:t>$78 000</w:t>
            </w:r>
          </w:p>
        </w:tc>
      </w:tr>
      <w:tr w:rsidR="00557E2D" w:rsidRPr="00E13A72" w:rsidTr="00A60A09">
        <w:trPr>
          <w:trHeight w:val="246"/>
        </w:trPr>
        <w:tc>
          <w:tcPr>
            <w:tcW w:w="1709" w:type="dxa"/>
            <w:tcBorders>
              <w:top w:val="nil"/>
              <w:left w:val="single" w:sz="4" w:space="0" w:color="auto"/>
              <w:bottom w:val="nil"/>
              <w:right w:val="single" w:sz="4" w:space="0" w:color="auto"/>
            </w:tcBorders>
            <w:hideMark/>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Distributions</w:t>
            </w:r>
          </w:p>
        </w:tc>
        <w:tc>
          <w:tcPr>
            <w:tcW w:w="1162" w:type="dxa"/>
            <w:tcBorders>
              <w:top w:val="nil"/>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2</w:t>
            </w:r>
            <w:r w:rsidRPr="00981C76">
              <w:rPr>
                <w:rFonts w:asciiTheme="minorHAnsi" w:hAnsiTheme="minorHAnsi"/>
                <w:color w:val="000000"/>
                <w:szCs w:val="22"/>
              </w:rPr>
              <w:t xml:space="preserve"> 000</w:t>
            </w:r>
          </w:p>
        </w:tc>
        <w:tc>
          <w:tcPr>
            <w:tcW w:w="1162" w:type="dxa"/>
            <w:tcBorders>
              <w:top w:val="nil"/>
              <w:left w:val="nil"/>
              <w:bottom w:val="nil"/>
              <w:right w:val="nil"/>
            </w:tcBorders>
            <w:vAlign w:val="center"/>
          </w:tcPr>
          <w:p w:rsidR="00557E2D" w:rsidRPr="00981C76" w:rsidRDefault="00557E2D" w:rsidP="00AA3F90">
            <w:pPr>
              <w:pStyle w:val="tabletext"/>
              <w:keepNext/>
              <w:keepLines/>
              <w:jc w:val="right"/>
              <w:rPr>
                <w:rFonts w:asciiTheme="minorHAnsi" w:hAnsiTheme="minorHAnsi"/>
                <w:szCs w:val="22"/>
              </w:rPr>
            </w:pPr>
            <w:r w:rsidRPr="00981C76">
              <w:rPr>
                <w:rFonts w:asciiTheme="minorHAnsi" w:hAnsiTheme="minorHAnsi"/>
                <w:color w:val="000000"/>
                <w:szCs w:val="22"/>
              </w:rPr>
              <w:t>$</w:t>
            </w:r>
            <w:r w:rsidR="00AA3F90">
              <w:rPr>
                <w:rFonts w:asciiTheme="minorHAnsi" w:hAnsiTheme="minorHAnsi"/>
                <w:color w:val="000000"/>
                <w:szCs w:val="22"/>
              </w:rPr>
              <w:t>4</w:t>
            </w:r>
            <w:r w:rsidRPr="00981C76">
              <w:rPr>
                <w:rFonts w:asciiTheme="minorHAnsi" w:hAnsiTheme="minorHAnsi"/>
                <w:color w:val="000000"/>
                <w:szCs w:val="22"/>
              </w:rPr>
              <w:t xml:space="preserve"> 000</w:t>
            </w:r>
          </w:p>
        </w:tc>
        <w:tc>
          <w:tcPr>
            <w:tcW w:w="1162" w:type="dxa"/>
            <w:tcBorders>
              <w:top w:val="nil"/>
              <w:left w:val="nil"/>
              <w:bottom w:val="nil"/>
              <w:right w:val="nil"/>
            </w:tcBorders>
            <w:vAlign w:val="center"/>
          </w:tcPr>
          <w:p w:rsidR="00557E2D" w:rsidRPr="00981C76" w:rsidRDefault="00557E2D" w:rsidP="00AA3F90">
            <w:pPr>
              <w:pStyle w:val="tabletext"/>
              <w:keepNext/>
              <w:keepLines/>
              <w:jc w:val="right"/>
              <w:rPr>
                <w:rFonts w:asciiTheme="minorHAnsi" w:hAnsiTheme="minorHAnsi"/>
                <w:szCs w:val="22"/>
              </w:rPr>
            </w:pPr>
            <w:r w:rsidRPr="00981C76">
              <w:rPr>
                <w:rFonts w:asciiTheme="minorHAnsi" w:hAnsiTheme="minorHAnsi"/>
                <w:color w:val="000000"/>
                <w:szCs w:val="22"/>
              </w:rPr>
              <w:t>$</w:t>
            </w:r>
            <w:r w:rsidR="00AA3F90">
              <w:rPr>
                <w:rFonts w:asciiTheme="minorHAnsi" w:hAnsiTheme="minorHAnsi"/>
                <w:color w:val="000000"/>
                <w:szCs w:val="22"/>
              </w:rPr>
              <w:t>3</w:t>
            </w:r>
            <w:r w:rsidR="00AA3F90" w:rsidRPr="00981C76">
              <w:rPr>
                <w:rFonts w:asciiTheme="minorHAnsi" w:hAnsiTheme="minorHAnsi"/>
                <w:color w:val="000000"/>
                <w:szCs w:val="22"/>
              </w:rPr>
              <w:t xml:space="preserve"> </w:t>
            </w:r>
            <w:r w:rsidRPr="00981C76">
              <w:rPr>
                <w:rFonts w:asciiTheme="minorHAnsi" w:hAnsiTheme="minorHAnsi"/>
                <w:color w:val="000000"/>
                <w:szCs w:val="22"/>
              </w:rPr>
              <w:t>000</w:t>
            </w:r>
          </w:p>
        </w:tc>
        <w:tc>
          <w:tcPr>
            <w:tcW w:w="1162" w:type="dxa"/>
            <w:tcBorders>
              <w:top w:val="nil"/>
              <w:left w:val="nil"/>
              <w:bottom w:val="nil"/>
              <w:right w:val="single" w:sz="4" w:space="0" w:color="auto"/>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452" w:type="dxa"/>
            <w:tcBorders>
              <w:top w:val="nil"/>
              <w:left w:val="single" w:sz="4" w:space="0" w:color="auto"/>
              <w:bottom w:val="nil"/>
              <w:right w:val="single" w:sz="4" w:space="0" w:color="auto"/>
            </w:tcBorders>
            <w:vAlign w:val="center"/>
          </w:tcPr>
          <w:p w:rsidR="00557E2D" w:rsidRPr="00A704D7" w:rsidRDefault="00557E2D" w:rsidP="00AA3F90">
            <w:pPr>
              <w:pStyle w:val="tabletext"/>
              <w:keepNext/>
              <w:keepLines/>
              <w:jc w:val="right"/>
              <w:rPr>
                <w:rFonts w:asciiTheme="minorHAnsi" w:hAnsiTheme="minorHAnsi"/>
                <w:b/>
                <w:szCs w:val="22"/>
                <w:highlight w:val="yellow"/>
              </w:rPr>
            </w:pPr>
            <w:r w:rsidRPr="00A704D7">
              <w:rPr>
                <w:rFonts w:asciiTheme="minorHAnsi" w:hAnsiTheme="minorHAnsi"/>
                <w:b/>
                <w:color w:val="000000"/>
                <w:szCs w:val="22"/>
              </w:rPr>
              <w:t>$</w:t>
            </w:r>
            <w:r w:rsidR="00AA3F90">
              <w:rPr>
                <w:rFonts w:asciiTheme="minorHAnsi" w:hAnsiTheme="minorHAnsi"/>
                <w:b/>
                <w:color w:val="000000"/>
                <w:szCs w:val="22"/>
              </w:rPr>
              <w:t>9</w:t>
            </w:r>
            <w:r w:rsidR="00AA3F90" w:rsidRPr="00A704D7">
              <w:rPr>
                <w:rFonts w:asciiTheme="minorHAnsi" w:hAnsiTheme="minorHAnsi"/>
                <w:b/>
                <w:color w:val="000000"/>
                <w:szCs w:val="22"/>
              </w:rPr>
              <w:t xml:space="preserve"> </w:t>
            </w:r>
            <w:r w:rsidRPr="00A704D7">
              <w:rPr>
                <w:rFonts w:asciiTheme="minorHAnsi" w:hAnsiTheme="minorHAnsi"/>
                <w:b/>
                <w:color w:val="000000"/>
                <w:szCs w:val="22"/>
              </w:rPr>
              <w:t>000</w:t>
            </w:r>
          </w:p>
        </w:tc>
        <w:tc>
          <w:tcPr>
            <w:tcW w:w="1453"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i/>
              </w:rPr>
            </w:pPr>
            <w:r w:rsidRPr="00A704D7">
              <w:rPr>
                <w:i/>
                <w:color w:val="000000"/>
              </w:rPr>
              <w:t>$4 000</w:t>
            </w:r>
          </w:p>
        </w:tc>
      </w:tr>
      <w:tr w:rsidR="00557E2D" w:rsidRPr="00E13A72" w:rsidTr="00A60A09">
        <w:trPr>
          <w:trHeight w:val="299"/>
        </w:trPr>
        <w:tc>
          <w:tcPr>
            <w:tcW w:w="1709" w:type="dxa"/>
            <w:tcBorders>
              <w:top w:val="nil"/>
              <w:left w:val="single" w:sz="4" w:space="0" w:color="auto"/>
              <w:bottom w:val="nil"/>
              <w:right w:val="single" w:sz="4" w:space="0" w:color="auto"/>
            </w:tcBorders>
            <w:hideMark/>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Termination fees (calculation method)</w:t>
            </w:r>
          </w:p>
        </w:tc>
        <w:tc>
          <w:tcPr>
            <w:tcW w:w="1162" w:type="dxa"/>
            <w:tcBorders>
              <w:top w:val="nil"/>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1</w:t>
            </w:r>
            <w:r w:rsidRPr="00981C76">
              <w:rPr>
                <w:rFonts w:asciiTheme="minorHAnsi" w:hAnsiTheme="minorHAnsi"/>
                <w:color w:val="000000"/>
                <w:szCs w:val="22"/>
              </w:rPr>
              <w:t xml:space="preserve"> 000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5</w:t>
            </w:r>
            <w:r w:rsidRPr="00981C76">
              <w:rPr>
                <w:rFonts w:asciiTheme="minorHAnsi" w:hAnsiTheme="minorHAnsi"/>
                <w:color w:val="000000"/>
                <w:szCs w:val="22"/>
              </w:rPr>
              <w:t xml:space="preserve"> 000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7</w:t>
            </w:r>
            <w:r w:rsidRPr="00981C76">
              <w:rPr>
                <w:rFonts w:asciiTheme="minorHAnsi" w:hAnsiTheme="minorHAnsi"/>
                <w:color w:val="000000"/>
                <w:szCs w:val="22"/>
              </w:rPr>
              <w:t xml:space="preserve"> 000</w:t>
            </w:r>
          </w:p>
        </w:tc>
        <w:tc>
          <w:tcPr>
            <w:tcW w:w="1162" w:type="dxa"/>
            <w:tcBorders>
              <w:top w:val="nil"/>
              <w:left w:val="nil"/>
              <w:bottom w:val="nil"/>
              <w:right w:val="single" w:sz="4" w:space="0" w:color="auto"/>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w:t>
            </w:r>
            <w:r>
              <w:rPr>
                <w:rFonts w:asciiTheme="minorHAnsi" w:hAnsiTheme="minorHAnsi"/>
                <w:color w:val="000000"/>
                <w:szCs w:val="22"/>
              </w:rPr>
              <w:t>5</w:t>
            </w:r>
            <w:r w:rsidRPr="00981C76">
              <w:rPr>
                <w:rFonts w:asciiTheme="minorHAnsi" w:hAnsiTheme="minorHAnsi"/>
                <w:color w:val="000000"/>
                <w:szCs w:val="22"/>
              </w:rPr>
              <w:t xml:space="preserve"> 000</w:t>
            </w:r>
          </w:p>
        </w:tc>
        <w:tc>
          <w:tcPr>
            <w:tcW w:w="1452"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b/>
                <w:szCs w:val="22"/>
                <w:highlight w:val="yellow"/>
              </w:rPr>
            </w:pPr>
            <w:r w:rsidRPr="00A704D7">
              <w:rPr>
                <w:rFonts w:asciiTheme="minorHAnsi" w:hAnsiTheme="minorHAnsi"/>
                <w:b/>
                <w:color w:val="000000"/>
                <w:szCs w:val="22"/>
              </w:rPr>
              <w:t>$</w:t>
            </w:r>
            <w:r w:rsidR="0098578F">
              <w:rPr>
                <w:rFonts w:asciiTheme="minorHAnsi" w:hAnsiTheme="minorHAnsi"/>
                <w:b/>
                <w:color w:val="000000"/>
                <w:szCs w:val="22"/>
              </w:rPr>
              <w:t>18</w:t>
            </w:r>
            <w:r w:rsidR="0098578F" w:rsidRPr="00A704D7">
              <w:rPr>
                <w:rFonts w:asciiTheme="minorHAnsi" w:hAnsiTheme="minorHAnsi"/>
                <w:b/>
                <w:color w:val="000000"/>
                <w:szCs w:val="22"/>
              </w:rPr>
              <w:t xml:space="preserve"> </w:t>
            </w:r>
            <w:r w:rsidRPr="00A704D7">
              <w:rPr>
                <w:rFonts w:asciiTheme="minorHAnsi" w:hAnsiTheme="minorHAnsi"/>
                <w:b/>
                <w:color w:val="000000"/>
                <w:szCs w:val="22"/>
              </w:rPr>
              <w:t>000</w:t>
            </w:r>
          </w:p>
        </w:tc>
        <w:tc>
          <w:tcPr>
            <w:tcW w:w="1453"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i/>
              </w:rPr>
            </w:pPr>
            <w:r w:rsidRPr="00A704D7">
              <w:rPr>
                <w:i/>
                <w:color w:val="000000"/>
              </w:rPr>
              <w:t>$</w:t>
            </w:r>
            <w:r>
              <w:rPr>
                <w:i/>
                <w:color w:val="000000"/>
              </w:rPr>
              <w:t>8</w:t>
            </w:r>
            <w:r w:rsidRPr="00A704D7">
              <w:rPr>
                <w:i/>
                <w:color w:val="000000"/>
              </w:rPr>
              <w:t xml:space="preserve"> 000</w:t>
            </w:r>
          </w:p>
        </w:tc>
      </w:tr>
      <w:tr w:rsidR="00557E2D" w:rsidRPr="00E13A72" w:rsidTr="00A60A09">
        <w:trPr>
          <w:trHeight w:val="299"/>
        </w:trPr>
        <w:tc>
          <w:tcPr>
            <w:tcW w:w="1709" w:type="dxa"/>
            <w:tcBorders>
              <w:top w:val="nil"/>
              <w:left w:val="single" w:sz="4" w:space="0" w:color="auto"/>
              <w:bottom w:val="nil"/>
              <w:right w:val="single" w:sz="4" w:space="0" w:color="auto"/>
            </w:tcBorders>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Termination fee (other)</w:t>
            </w:r>
          </w:p>
        </w:tc>
        <w:tc>
          <w:tcPr>
            <w:tcW w:w="1162" w:type="dxa"/>
            <w:tcBorders>
              <w:top w:val="nil"/>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$1 000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$2 000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$1 000</w:t>
            </w:r>
          </w:p>
        </w:tc>
        <w:tc>
          <w:tcPr>
            <w:tcW w:w="1162" w:type="dxa"/>
            <w:tcBorders>
              <w:top w:val="nil"/>
              <w:left w:val="nil"/>
              <w:bottom w:val="nil"/>
              <w:right w:val="single" w:sz="4" w:space="0" w:color="auto"/>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452"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b/>
                <w:szCs w:val="22"/>
                <w:highlight w:val="yellow"/>
              </w:rPr>
            </w:pPr>
            <w:r w:rsidRPr="00A704D7">
              <w:rPr>
                <w:rFonts w:asciiTheme="minorHAnsi" w:hAnsiTheme="minorHAnsi"/>
                <w:b/>
                <w:color w:val="000000"/>
                <w:szCs w:val="22"/>
              </w:rPr>
              <w:t>$4 000</w:t>
            </w:r>
          </w:p>
        </w:tc>
        <w:tc>
          <w:tcPr>
            <w:tcW w:w="1453"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i/>
              </w:rPr>
            </w:pPr>
            <w:r w:rsidRPr="00A704D7">
              <w:rPr>
                <w:i/>
                <w:color w:val="000000"/>
              </w:rPr>
              <w:t>$4 000</w:t>
            </w:r>
          </w:p>
        </w:tc>
      </w:tr>
      <w:tr w:rsidR="00557E2D" w:rsidRPr="00E13A72" w:rsidTr="00A60A09">
        <w:trPr>
          <w:trHeight w:val="299"/>
        </w:trPr>
        <w:tc>
          <w:tcPr>
            <w:tcW w:w="1709" w:type="dxa"/>
            <w:tcBorders>
              <w:top w:val="nil"/>
              <w:left w:val="single" w:sz="4" w:space="0" w:color="auto"/>
              <w:bottom w:val="nil"/>
              <w:right w:val="single" w:sz="4" w:space="0" w:color="auto"/>
            </w:tcBorders>
            <w:hideMark/>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Planning and management charges (information)</w:t>
            </w:r>
          </w:p>
        </w:tc>
        <w:tc>
          <w:tcPr>
            <w:tcW w:w="1162" w:type="dxa"/>
            <w:tcBorders>
              <w:top w:val="nil"/>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single" w:sz="4" w:space="0" w:color="auto"/>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–$3 000</w:t>
            </w:r>
          </w:p>
        </w:tc>
        <w:tc>
          <w:tcPr>
            <w:tcW w:w="1452"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b/>
                <w:szCs w:val="22"/>
                <w:highlight w:val="yellow"/>
              </w:rPr>
            </w:pPr>
            <w:r w:rsidRPr="00A704D7">
              <w:rPr>
                <w:rFonts w:asciiTheme="minorHAnsi" w:hAnsiTheme="minorHAnsi"/>
                <w:b/>
                <w:color w:val="000000"/>
                <w:szCs w:val="22"/>
              </w:rPr>
              <w:t>–$3 000</w:t>
            </w:r>
          </w:p>
        </w:tc>
        <w:tc>
          <w:tcPr>
            <w:tcW w:w="1453" w:type="dxa"/>
            <w:tcBorders>
              <w:top w:val="nil"/>
              <w:left w:val="single" w:sz="4" w:space="0" w:color="auto"/>
              <w:bottom w:val="nil"/>
              <w:right w:val="single" w:sz="4" w:space="0" w:color="auto"/>
            </w:tcBorders>
            <w:vAlign w:val="center"/>
          </w:tcPr>
          <w:p w:rsidR="00557E2D" w:rsidRPr="00A704D7" w:rsidRDefault="00D20657" w:rsidP="0098578F">
            <w:pPr>
              <w:pStyle w:val="tabletext"/>
              <w:keepNext/>
              <w:keepLines/>
              <w:jc w:val="right"/>
              <w:rPr>
                <w:rFonts w:asciiTheme="minorHAnsi" w:hAnsiTheme="minorHAnsi"/>
                <w:i/>
              </w:rPr>
            </w:pPr>
            <w:r w:rsidRPr="00A704D7">
              <w:rPr>
                <w:rFonts w:asciiTheme="minorHAnsi" w:hAnsiTheme="minorHAnsi"/>
                <w:b/>
                <w:color w:val="000000"/>
                <w:szCs w:val="22"/>
              </w:rPr>
              <w:t>–</w:t>
            </w:r>
            <w:r w:rsidR="00557E2D" w:rsidRPr="00A704D7">
              <w:rPr>
                <w:i/>
                <w:color w:val="000000"/>
              </w:rPr>
              <w:t>$3 000</w:t>
            </w:r>
          </w:p>
        </w:tc>
      </w:tr>
      <w:tr w:rsidR="00557E2D" w:rsidRPr="00E13A72" w:rsidTr="00A60A09">
        <w:trPr>
          <w:trHeight w:val="299"/>
        </w:trPr>
        <w:tc>
          <w:tcPr>
            <w:tcW w:w="1709" w:type="dxa"/>
            <w:tcBorders>
              <w:top w:val="nil"/>
              <w:left w:val="single" w:sz="4" w:space="0" w:color="auto"/>
              <w:bottom w:val="nil"/>
              <w:right w:val="single" w:sz="4" w:space="0" w:color="auto"/>
            </w:tcBorders>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Planning and management charges (publication requirements)</w:t>
            </w:r>
          </w:p>
        </w:tc>
        <w:tc>
          <w:tcPr>
            <w:tcW w:w="1162" w:type="dxa"/>
            <w:tcBorders>
              <w:top w:val="nil"/>
              <w:left w:val="single" w:sz="4" w:space="0" w:color="auto"/>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nil"/>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$ 0</w:t>
            </w:r>
          </w:p>
        </w:tc>
        <w:tc>
          <w:tcPr>
            <w:tcW w:w="1162" w:type="dxa"/>
            <w:tcBorders>
              <w:top w:val="nil"/>
              <w:left w:val="nil"/>
              <w:bottom w:val="nil"/>
              <w:right w:val="single" w:sz="4" w:space="0" w:color="auto"/>
            </w:tcBorders>
            <w:vAlign w:val="center"/>
          </w:tcPr>
          <w:p w:rsidR="00557E2D" w:rsidRPr="00981C76" w:rsidRDefault="00557E2D" w:rsidP="0098578F">
            <w:pPr>
              <w:pStyle w:val="tabletext"/>
              <w:keepNext/>
              <w:keepLines/>
              <w:jc w:val="right"/>
              <w:rPr>
                <w:rFonts w:asciiTheme="minorHAnsi" w:hAnsiTheme="minorHAnsi"/>
                <w:szCs w:val="22"/>
              </w:rPr>
            </w:pPr>
            <w:r w:rsidRPr="00981C76">
              <w:rPr>
                <w:rFonts w:asciiTheme="minorHAnsi" w:hAnsiTheme="minorHAnsi"/>
                <w:color w:val="000000"/>
                <w:szCs w:val="22"/>
              </w:rPr>
              <w:t>–$4 000</w:t>
            </w:r>
          </w:p>
        </w:tc>
        <w:tc>
          <w:tcPr>
            <w:tcW w:w="1452" w:type="dxa"/>
            <w:tcBorders>
              <w:top w:val="nil"/>
              <w:left w:val="single" w:sz="4" w:space="0" w:color="auto"/>
              <w:bottom w:val="nil"/>
              <w:right w:val="single" w:sz="4" w:space="0" w:color="auto"/>
            </w:tcBorders>
            <w:vAlign w:val="center"/>
          </w:tcPr>
          <w:p w:rsidR="00557E2D" w:rsidRPr="00A704D7" w:rsidRDefault="00557E2D" w:rsidP="0098578F">
            <w:pPr>
              <w:pStyle w:val="tabletext"/>
              <w:keepNext/>
              <w:keepLines/>
              <w:jc w:val="right"/>
              <w:rPr>
                <w:rFonts w:asciiTheme="minorHAnsi" w:hAnsiTheme="minorHAnsi"/>
                <w:b/>
                <w:szCs w:val="22"/>
                <w:highlight w:val="yellow"/>
              </w:rPr>
            </w:pPr>
            <w:r w:rsidRPr="00A704D7">
              <w:rPr>
                <w:rFonts w:asciiTheme="minorHAnsi" w:hAnsiTheme="minorHAnsi"/>
                <w:b/>
                <w:color w:val="000000"/>
                <w:szCs w:val="22"/>
              </w:rPr>
              <w:t>–$4 000</w:t>
            </w:r>
          </w:p>
        </w:tc>
        <w:tc>
          <w:tcPr>
            <w:tcW w:w="1453" w:type="dxa"/>
            <w:tcBorders>
              <w:top w:val="nil"/>
              <w:left w:val="single" w:sz="4" w:space="0" w:color="auto"/>
              <w:bottom w:val="nil"/>
              <w:right w:val="single" w:sz="4" w:space="0" w:color="auto"/>
            </w:tcBorders>
            <w:vAlign w:val="center"/>
          </w:tcPr>
          <w:p w:rsidR="00557E2D" w:rsidRPr="00A704D7" w:rsidRDefault="00D20657" w:rsidP="0098578F">
            <w:pPr>
              <w:pStyle w:val="tabletext"/>
              <w:keepNext/>
              <w:keepLines/>
              <w:jc w:val="right"/>
              <w:rPr>
                <w:rFonts w:asciiTheme="minorHAnsi" w:hAnsiTheme="minorHAnsi"/>
                <w:i/>
              </w:rPr>
            </w:pPr>
            <w:r w:rsidRPr="00A704D7">
              <w:rPr>
                <w:rFonts w:asciiTheme="minorHAnsi" w:hAnsiTheme="minorHAnsi"/>
                <w:b/>
                <w:color w:val="000000"/>
                <w:szCs w:val="22"/>
              </w:rPr>
              <w:t>–</w:t>
            </w:r>
            <w:r w:rsidR="00557E2D" w:rsidRPr="00A704D7">
              <w:rPr>
                <w:i/>
                <w:color w:val="000000"/>
              </w:rPr>
              <w:t>$4 000</w:t>
            </w:r>
          </w:p>
        </w:tc>
      </w:tr>
      <w:tr w:rsidR="00557E2D" w:rsidRPr="006F4E57" w:rsidTr="00A60A09">
        <w:trPr>
          <w:trHeight w:val="344"/>
        </w:trPr>
        <w:tc>
          <w:tcPr>
            <w:tcW w:w="1709" w:type="dxa"/>
            <w:tcBorders>
              <w:top w:val="nil"/>
              <w:left w:val="single" w:sz="4" w:space="0" w:color="auto"/>
              <w:bottom w:val="single" w:sz="4" w:space="0" w:color="auto"/>
              <w:right w:val="single" w:sz="4" w:space="0" w:color="auto"/>
            </w:tcBorders>
            <w:hideMark/>
          </w:tcPr>
          <w:p w:rsidR="00557E2D" w:rsidRPr="00981C76" w:rsidRDefault="00557E2D" w:rsidP="0098578F">
            <w:pPr>
              <w:pStyle w:val="tabletext"/>
              <w:keepNext/>
              <w:keepLines/>
              <w:rPr>
                <w:rFonts w:asciiTheme="minorHAnsi" w:hAnsiTheme="minorHAnsi"/>
                <w:b/>
                <w:szCs w:val="22"/>
              </w:rPr>
            </w:pPr>
            <w:r w:rsidRPr="00981C76">
              <w:rPr>
                <w:rFonts w:asciiTheme="minorHAnsi" w:hAnsiTheme="minorHAnsi"/>
                <w:b/>
                <w:szCs w:val="22"/>
              </w:rPr>
              <w:t>One-off and start-up costs</w:t>
            </w:r>
            <w:r>
              <w:rPr>
                <w:rFonts w:asciiTheme="minorHAnsi" w:hAnsiTheme="minorHAnsi"/>
                <w:b/>
                <w:szCs w:val="22"/>
              </w:rPr>
              <w:t xml:space="preserve"> n.e.i</w:t>
            </w:r>
            <w:r w:rsidR="00024310">
              <w:rPr>
                <w:rFonts w:asciiTheme="minorHAnsi" w:hAnsiTheme="minorHAnsi"/>
                <w:b/>
                <w:szCs w:val="22"/>
              </w:rPr>
              <w:t>.</w:t>
            </w:r>
            <w:r w:rsidRPr="00A704D7">
              <w:rPr>
                <w:b/>
                <w:szCs w:val="22"/>
                <w:vertAlign w:val="superscript"/>
              </w:rPr>
              <w:t>†</w:t>
            </w:r>
          </w:p>
        </w:tc>
        <w:tc>
          <w:tcPr>
            <w:tcW w:w="1162" w:type="dxa"/>
            <w:tcBorders>
              <w:top w:val="nil"/>
              <w:left w:val="single" w:sz="4" w:space="0" w:color="auto"/>
              <w:bottom w:val="single" w:sz="4" w:space="0" w:color="auto"/>
              <w:right w:val="nil"/>
            </w:tcBorders>
            <w:vAlign w:val="center"/>
          </w:tcPr>
          <w:p w:rsidR="00557E2D" w:rsidRPr="00D014DF" w:rsidRDefault="00557E2D" w:rsidP="00D014DF">
            <w:pPr>
              <w:pStyle w:val="tabletext"/>
              <w:keepNext/>
              <w:keepLines/>
              <w:jc w:val="right"/>
              <w:rPr>
                <w:rFonts w:asciiTheme="minorHAnsi" w:hAnsiTheme="minorHAnsi"/>
                <w:color w:val="000000"/>
                <w:szCs w:val="22"/>
              </w:rPr>
            </w:pPr>
            <w:r w:rsidRPr="00D014DF">
              <w:rPr>
                <w:rFonts w:asciiTheme="minorHAnsi" w:hAnsiTheme="minorHAnsi"/>
                <w:color w:val="000000"/>
                <w:szCs w:val="22"/>
              </w:rPr>
              <w:t>$1 000</w:t>
            </w:r>
          </w:p>
        </w:tc>
        <w:tc>
          <w:tcPr>
            <w:tcW w:w="1162" w:type="dxa"/>
            <w:tcBorders>
              <w:top w:val="nil"/>
              <w:left w:val="nil"/>
              <w:bottom w:val="single" w:sz="4" w:space="0" w:color="auto"/>
              <w:right w:val="nil"/>
            </w:tcBorders>
            <w:vAlign w:val="center"/>
          </w:tcPr>
          <w:p w:rsidR="00557E2D" w:rsidRPr="00D014DF" w:rsidRDefault="00557E2D" w:rsidP="00D014DF">
            <w:pPr>
              <w:pStyle w:val="tabletext"/>
              <w:keepNext/>
              <w:keepLines/>
              <w:jc w:val="right"/>
              <w:rPr>
                <w:rFonts w:asciiTheme="minorHAnsi" w:hAnsiTheme="minorHAnsi"/>
                <w:color w:val="000000"/>
                <w:szCs w:val="22"/>
              </w:rPr>
            </w:pPr>
            <w:r w:rsidRPr="00D014DF">
              <w:rPr>
                <w:rFonts w:asciiTheme="minorHAnsi" w:hAnsiTheme="minorHAnsi"/>
                <w:color w:val="000000"/>
                <w:szCs w:val="22"/>
              </w:rPr>
              <w:t>$2 000</w:t>
            </w:r>
          </w:p>
        </w:tc>
        <w:tc>
          <w:tcPr>
            <w:tcW w:w="1162" w:type="dxa"/>
            <w:tcBorders>
              <w:top w:val="nil"/>
              <w:left w:val="nil"/>
              <w:bottom w:val="single" w:sz="4" w:space="0" w:color="auto"/>
              <w:right w:val="nil"/>
            </w:tcBorders>
            <w:vAlign w:val="center"/>
          </w:tcPr>
          <w:p w:rsidR="00557E2D" w:rsidRPr="00D014DF" w:rsidRDefault="00557E2D" w:rsidP="00D014DF">
            <w:pPr>
              <w:pStyle w:val="tabletext"/>
              <w:keepNext/>
              <w:keepLines/>
              <w:jc w:val="right"/>
              <w:rPr>
                <w:rFonts w:asciiTheme="minorHAnsi" w:hAnsiTheme="minorHAnsi"/>
                <w:color w:val="000000"/>
                <w:szCs w:val="22"/>
              </w:rPr>
            </w:pPr>
            <w:r w:rsidRPr="00D014DF">
              <w:rPr>
                <w:rFonts w:asciiTheme="minorHAnsi" w:hAnsiTheme="minorHAnsi"/>
                <w:color w:val="000000"/>
                <w:szCs w:val="22"/>
              </w:rPr>
              <w:t>$12 000</w:t>
            </w:r>
          </w:p>
        </w:tc>
        <w:tc>
          <w:tcPr>
            <w:tcW w:w="1162" w:type="dxa"/>
            <w:tcBorders>
              <w:top w:val="nil"/>
              <w:left w:val="nil"/>
              <w:bottom w:val="single" w:sz="4" w:space="0" w:color="auto"/>
              <w:right w:val="single" w:sz="4" w:space="0" w:color="auto"/>
            </w:tcBorders>
            <w:vAlign w:val="center"/>
          </w:tcPr>
          <w:p w:rsidR="00557E2D" w:rsidRPr="00D014DF" w:rsidRDefault="00557E2D" w:rsidP="00D014DF">
            <w:pPr>
              <w:pStyle w:val="tabletext"/>
              <w:keepNext/>
              <w:keepLines/>
              <w:jc w:val="right"/>
              <w:rPr>
                <w:rFonts w:asciiTheme="minorHAnsi" w:hAnsiTheme="minorHAnsi"/>
                <w:color w:val="000000"/>
                <w:szCs w:val="22"/>
              </w:rPr>
            </w:pPr>
            <w:r w:rsidRPr="00D014DF">
              <w:rPr>
                <w:rFonts w:asciiTheme="minorHAnsi" w:hAnsiTheme="minorHAnsi"/>
                <w:color w:val="000000"/>
                <w:szCs w:val="22"/>
              </w:rPr>
              <w:t>$15 000</w:t>
            </w:r>
          </w:p>
        </w:tc>
        <w:tc>
          <w:tcPr>
            <w:tcW w:w="1452" w:type="dxa"/>
            <w:tcBorders>
              <w:top w:val="nil"/>
              <w:left w:val="single" w:sz="4" w:space="0" w:color="auto"/>
              <w:bottom w:val="single" w:sz="4" w:space="0" w:color="auto"/>
              <w:right w:val="single" w:sz="4" w:space="0" w:color="auto"/>
            </w:tcBorders>
            <w:vAlign w:val="center"/>
          </w:tcPr>
          <w:p w:rsidR="00557E2D" w:rsidRPr="00D014DF" w:rsidRDefault="00557E2D" w:rsidP="00D014DF">
            <w:pPr>
              <w:pStyle w:val="tabletext"/>
              <w:keepNext/>
              <w:keepLines/>
              <w:jc w:val="right"/>
              <w:rPr>
                <w:rFonts w:asciiTheme="minorHAnsi" w:hAnsiTheme="minorHAnsi"/>
                <w:b/>
                <w:color w:val="000000"/>
                <w:szCs w:val="22"/>
              </w:rPr>
            </w:pPr>
            <w:r w:rsidRPr="00D014DF">
              <w:rPr>
                <w:rFonts w:asciiTheme="minorHAnsi" w:hAnsiTheme="minorHAnsi"/>
                <w:b/>
                <w:color w:val="000000"/>
                <w:szCs w:val="22"/>
              </w:rPr>
              <w:t>$30 000</w:t>
            </w:r>
          </w:p>
        </w:tc>
        <w:tc>
          <w:tcPr>
            <w:tcW w:w="1453" w:type="dxa"/>
            <w:tcBorders>
              <w:top w:val="nil"/>
              <w:left w:val="single" w:sz="4" w:space="0" w:color="auto"/>
              <w:bottom w:val="single" w:sz="4" w:space="0" w:color="auto"/>
              <w:right w:val="single" w:sz="4" w:space="0" w:color="auto"/>
            </w:tcBorders>
            <w:vAlign w:val="center"/>
          </w:tcPr>
          <w:p w:rsidR="00557E2D" w:rsidRPr="00A704D7" w:rsidRDefault="00557E2D" w:rsidP="0098578F">
            <w:pPr>
              <w:pStyle w:val="tabletext"/>
              <w:keepNext/>
              <w:keepLines/>
              <w:jc w:val="right"/>
              <w:rPr>
                <w:rFonts w:asciiTheme="minorHAnsi" w:hAnsiTheme="minorHAnsi"/>
                <w:i/>
              </w:rPr>
            </w:pPr>
            <w:r w:rsidRPr="00A704D7">
              <w:rPr>
                <w:i/>
                <w:color w:val="000000"/>
              </w:rPr>
              <w:t>$</w:t>
            </w:r>
            <w:r>
              <w:rPr>
                <w:i/>
                <w:color w:val="000000"/>
              </w:rPr>
              <w:t>4</w:t>
            </w:r>
            <w:r w:rsidRPr="00A704D7">
              <w:rPr>
                <w:i/>
                <w:color w:val="000000"/>
              </w:rPr>
              <w:t xml:space="preserve"> 000</w:t>
            </w:r>
          </w:p>
        </w:tc>
      </w:tr>
      <w:tr w:rsidR="00557E2D" w:rsidRPr="006443AE" w:rsidTr="00A60A09">
        <w:trPr>
          <w:trHeight w:val="232"/>
        </w:trPr>
        <w:tc>
          <w:tcPr>
            <w:tcW w:w="1709" w:type="dxa"/>
            <w:tcBorders>
              <w:top w:val="single" w:sz="4" w:space="0" w:color="auto"/>
              <w:left w:val="single" w:sz="4" w:space="0" w:color="auto"/>
              <w:bottom w:val="single" w:sz="4" w:space="0" w:color="auto"/>
              <w:right w:val="single" w:sz="4" w:space="0" w:color="auto"/>
            </w:tcBorders>
            <w:hideMark/>
          </w:tcPr>
          <w:p w:rsidR="00557E2D" w:rsidRPr="00A704D7" w:rsidRDefault="00557E2D" w:rsidP="0098578F">
            <w:pPr>
              <w:pStyle w:val="tabletext"/>
              <w:rPr>
                <w:rFonts w:asciiTheme="minorHAnsi" w:hAnsiTheme="minorHAnsi"/>
                <w:b/>
                <w:szCs w:val="22"/>
              </w:rPr>
            </w:pPr>
            <w:r>
              <w:rPr>
                <w:rFonts w:asciiTheme="minorHAnsi" w:hAnsiTheme="minorHAnsi"/>
                <w:b/>
                <w:szCs w:val="22"/>
              </w:rPr>
              <w:t>Net</w:t>
            </w:r>
            <w:r w:rsidRPr="00A704D7">
              <w:rPr>
                <w:rFonts w:asciiTheme="minorHAnsi" w:hAnsiTheme="minorHAnsi"/>
                <w:b/>
                <w:szCs w:val="22"/>
              </w:rPr>
              <w:t xml:space="preserve"> annualised change in regulatory cost ($/yr</w:t>
            </w:r>
            <w:r>
              <w:rPr>
                <w:rFonts w:asciiTheme="minorHAnsi" w:hAnsiTheme="minorHAnsi"/>
                <w:b/>
                <w:szCs w:val="22"/>
              </w:rPr>
              <w:t xml:space="preserve"> per group</w:t>
            </w:r>
            <w:r w:rsidRPr="00A704D7">
              <w:rPr>
                <w:rFonts w:asciiTheme="minorHAnsi" w:hAnsiTheme="minorHAnsi"/>
                <w:b/>
                <w:szCs w:val="22"/>
              </w:rPr>
              <w:t>)</w:t>
            </w:r>
          </w:p>
        </w:tc>
        <w:tc>
          <w:tcPr>
            <w:tcW w:w="1162" w:type="dxa"/>
            <w:tcBorders>
              <w:top w:val="single" w:sz="4" w:space="0" w:color="auto"/>
              <w:left w:val="single" w:sz="4" w:space="0" w:color="auto"/>
              <w:bottom w:val="single" w:sz="4" w:space="0" w:color="auto"/>
              <w:right w:val="nil"/>
            </w:tcBorders>
            <w:vAlign w:val="center"/>
          </w:tcPr>
          <w:p w:rsidR="00557E2D" w:rsidRPr="00A704D7" w:rsidRDefault="00557E2D" w:rsidP="00D20657">
            <w:pPr>
              <w:pStyle w:val="tabletext"/>
              <w:jc w:val="right"/>
              <w:rPr>
                <w:rFonts w:asciiTheme="minorHAnsi" w:hAnsiTheme="minorHAnsi"/>
                <w:b/>
                <w:szCs w:val="22"/>
                <w:highlight w:val="yellow"/>
              </w:rPr>
            </w:pPr>
            <w:r w:rsidRPr="00A704D7">
              <w:rPr>
                <w:rFonts w:asciiTheme="minorHAnsi" w:hAnsiTheme="minorHAnsi"/>
                <w:b/>
                <w:color w:val="000000"/>
                <w:szCs w:val="22"/>
              </w:rPr>
              <w:t>$</w:t>
            </w:r>
            <w:r w:rsidR="00D20657">
              <w:rPr>
                <w:rFonts w:asciiTheme="minorHAnsi" w:hAnsiTheme="minorHAnsi"/>
                <w:b/>
                <w:color w:val="000000"/>
                <w:szCs w:val="22"/>
              </w:rPr>
              <w:t>6</w:t>
            </w:r>
            <w:r>
              <w:rPr>
                <w:rFonts w:asciiTheme="minorHAnsi" w:hAnsiTheme="minorHAnsi"/>
                <w:b/>
                <w:color w:val="000000"/>
                <w:szCs w:val="22"/>
              </w:rPr>
              <w:t xml:space="preserve"> </w:t>
            </w:r>
            <w:r w:rsidRPr="00A704D7">
              <w:rPr>
                <w:rFonts w:asciiTheme="minorHAnsi" w:hAnsiTheme="minorHAnsi"/>
                <w:b/>
                <w:color w:val="000000"/>
                <w:szCs w:val="22"/>
              </w:rPr>
              <w:t>000</w:t>
            </w:r>
          </w:p>
        </w:tc>
        <w:tc>
          <w:tcPr>
            <w:tcW w:w="1162" w:type="dxa"/>
            <w:tcBorders>
              <w:top w:val="single" w:sz="4" w:space="0" w:color="auto"/>
              <w:left w:val="nil"/>
              <w:bottom w:val="single" w:sz="4" w:space="0" w:color="auto"/>
              <w:right w:val="nil"/>
            </w:tcBorders>
            <w:vAlign w:val="center"/>
          </w:tcPr>
          <w:p w:rsidR="00557E2D" w:rsidRPr="00A704D7" w:rsidRDefault="00557E2D" w:rsidP="00AA3F90">
            <w:pPr>
              <w:pStyle w:val="tabletext"/>
              <w:jc w:val="right"/>
              <w:rPr>
                <w:rFonts w:asciiTheme="minorHAnsi" w:hAnsiTheme="minorHAnsi"/>
                <w:b/>
                <w:szCs w:val="22"/>
                <w:highlight w:val="yellow"/>
              </w:rPr>
            </w:pPr>
            <w:r w:rsidRPr="00A704D7">
              <w:rPr>
                <w:rFonts w:asciiTheme="minorHAnsi" w:hAnsiTheme="minorHAnsi"/>
                <w:b/>
                <w:color w:val="000000"/>
                <w:szCs w:val="22"/>
              </w:rPr>
              <w:t>$</w:t>
            </w:r>
            <w:r w:rsidR="00AA3F90" w:rsidRPr="00A704D7">
              <w:rPr>
                <w:rFonts w:asciiTheme="minorHAnsi" w:hAnsiTheme="minorHAnsi"/>
                <w:b/>
                <w:color w:val="000000"/>
                <w:szCs w:val="22"/>
              </w:rPr>
              <w:t>1</w:t>
            </w:r>
            <w:r w:rsidR="00AA3F90">
              <w:rPr>
                <w:rFonts w:asciiTheme="minorHAnsi" w:hAnsiTheme="minorHAnsi"/>
                <w:b/>
                <w:color w:val="000000"/>
                <w:szCs w:val="22"/>
              </w:rPr>
              <w:t>4</w:t>
            </w:r>
            <w:r w:rsidR="00AA3F90" w:rsidRPr="00A704D7">
              <w:rPr>
                <w:rFonts w:asciiTheme="minorHAnsi" w:hAnsiTheme="minorHAnsi"/>
                <w:b/>
                <w:color w:val="000000"/>
                <w:szCs w:val="22"/>
              </w:rPr>
              <w:t xml:space="preserve"> </w:t>
            </w:r>
            <w:r w:rsidRPr="00A704D7">
              <w:rPr>
                <w:rFonts w:asciiTheme="minorHAnsi" w:hAnsiTheme="minorHAnsi"/>
                <w:b/>
                <w:color w:val="000000"/>
                <w:szCs w:val="22"/>
              </w:rPr>
              <w:t>000</w:t>
            </w:r>
          </w:p>
        </w:tc>
        <w:tc>
          <w:tcPr>
            <w:tcW w:w="1162" w:type="dxa"/>
            <w:tcBorders>
              <w:top w:val="single" w:sz="4" w:space="0" w:color="auto"/>
              <w:left w:val="nil"/>
              <w:bottom w:val="single" w:sz="4" w:space="0" w:color="auto"/>
              <w:right w:val="nil"/>
            </w:tcBorders>
            <w:vAlign w:val="center"/>
          </w:tcPr>
          <w:p w:rsidR="00557E2D" w:rsidRPr="00A704D7" w:rsidRDefault="00557E2D" w:rsidP="008A5EE5">
            <w:pPr>
              <w:pStyle w:val="tabletext"/>
              <w:jc w:val="right"/>
              <w:rPr>
                <w:rFonts w:asciiTheme="minorHAnsi" w:hAnsiTheme="minorHAnsi"/>
                <w:b/>
                <w:szCs w:val="22"/>
                <w:highlight w:val="yellow"/>
              </w:rPr>
            </w:pPr>
            <w:r w:rsidRPr="00A704D7">
              <w:rPr>
                <w:rFonts w:asciiTheme="minorHAnsi" w:hAnsiTheme="minorHAnsi"/>
                <w:b/>
                <w:color w:val="000000"/>
                <w:szCs w:val="22"/>
              </w:rPr>
              <w:t>–$</w:t>
            </w:r>
            <w:r w:rsidR="00D20657">
              <w:rPr>
                <w:rFonts w:asciiTheme="minorHAnsi" w:hAnsiTheme="minorHAnsi"/>
                <w:b/>
                <w:color w:val="000000"/>
                <w:szCs w:val="22"/>
              </w:rPr>
              <w:t>3</w:t>
            </w:r>
            <w:r w:rsidR="008A5EE5">
              <w:rPr>
                <w:rFonts w:asciiTheme="minorHAnsi" w:hAnsiTheme="minorHAnsi"/>
                <w:b/>
                <w:color w:val="000000"/>
                <w:szCs w:val="22"/>
              </w:rPr>
              <w:t>1</w:t>
            </w:r>
            <w:r w:rsidRPr="00A704D7">
              <w:rPr>
                <w:rFonts w:asciiTheme="minorHAnsi" w:hAnsiTheme="minorHAnsi"/>
                <w:b/>
                <w:color w:val="000000"/>
                <w:szCs w:val="22"/>
              </w:rPr>
              <w:t xml:space="preserve"> 000</w:t>
            </w:r>
          </w:p>
        </w:tc>
        <w:tc>
          <w:tcPr>
            <w:tcW w:w="1162" w:type="dxa"/>
            <w:tcBorders>
              <w:top w:val="single" w:sz="4" w:space="0" w:color="auto"/>
              <w:left w:val="nil"/>
              <w:bottom w:val="single" w:sz="4" w:space="0" w:color="auto"/>
              <w:right w:val="single" w:sz="4" w:space="0" w:color="auto"/>
            </w:tcBorders>
            <w:vAlign w:val="center"/>
          </w:tcPr>
          <w:p w:rsidR="00557E2D" w:rsidRPr="00A704D7" w:rsidRDefault="00557E2D" w:rsidP="008A5EE5">
            <w:pPr>
              <w:pStyle w:val="tabletext"/>
              <w:jc w:val="right"/>
              <w:rPr>
                <w:rFonts w:asciiTheme="minorHAnsi" w:hAnsiTheme="minorHAnsi"/>
                <w:b/>
                <w:szCs w:val="22"/>
                <w:highlight w:val="yellow"/>
              </w:rPr>
            </w:pPr>
            <w:r w:rsidRPr="00A704D7">
              <w:rPr>
                <w:rFonts w:asciiTheme="minorHAnsi" w:hAnsiTheme="minorHAnsi"/>
                <w:b/>
                <w:color w:val="000000"/>
                <w:szCs w:val="22"/>
              </w:rPr>
              <w:t>–$</w:t>
            </w:r>
            <w:r w:rsidR="00D20657">
              <w:rPr>
                <w:rFonts w:asciiTheme="minorHAnsi" w:hAnsiTheme="minorHAnsi"/>
                <w:b/>
                <w:color w:val="000000"/>
                <w:szCs w:val="22"/>
              </w:rPr>
              <w:t>6</w:t>
            </w:r>
            <w:r w:rsidR="008A5EE5">
              <w:rPr>
                <w:rFonts w:asciiTheme="minorHAnsi" w:hAnsiTheme="minorHAnsi"/>
                <w:b/>
                <w:color w:val="000000"/>
                <w:szCs w:val="22"/>
              </w:rPr>
              <w:t>2</w:t>
            </w:r>
            <w:r w:rsidRPr="00A704D7">
              <w:rPr>
                <w:rFonts w:asciiTheme="minorHAnsi" w:hAnsiTheme="minorHAnsi"/>
                <w:b/>
                <w:color w:val="000000"/>
                <w:szCs w:val="22"/>
              </w:rPr>
              <w:t xml:space="preserve"> 000</w:t>
            </w:r>
          </w:p>
        </w:tc>
        <w:tc>
          <w:tcPr>
            <w:tcW w:w="1452" w:type="dxa"/>
            <w:tcBorders>
              <w:top w:val="single" w:sz="4" w:space="0" w:color="auto"/>
              <w:left w:val="single" w:sz="4" w:space="0" w:color="auto"/>
              <w:bottom w:val="single" w:sz="4" w:space="0" w:color="auto"/>
              <w:right w:val="single" w:sz="4" w:space="0" w:color="auto"/>
            </w:tcBorders>
            <w:vAlign w:val="center"/>
          </w:tcPr>
          <w:p w:rsidR="00557E2D" w:rsidRPr="00A704D7" w:rsidRDefault="00557E2D" w:rsidP="008A5EE5">
            <w:pPr>
              <w:pStyle w:val="tabletext"/>
              <w:jc w:val="right"/>
              <w:rPr>
                <w:rFonts w:asciiTheme="minorHAnsi" w:hAnsiTheme="minorHAnsi"/>
                <w:b/>
                <w:szCs w:val="22"/>
                <w:highlight w:val="yellow"/>
              </w:rPr>
            </w:pPr>
            <w:r w:rsidRPr="00A704D7">
              <w:rPr>
                <w:rFonts w:asciiTheme="minorHAnsi" w:hAnsiTheme="minorHAnsi"/>
                <w:b/>
                <w:color w:val="000000"/>
                <w:szCs w:val="22"/>
              </w:rPr>
              <w:t>–$</w:t>
            </w:r>
            <w:r w:rsidR="008A5EE5">
              <w:rPr>
                <w:rFonts w:asciiTheme="minorHAnsi" w:hAnsiTheme="minorHAnsi"/>
                <w:b/>
                <w:color w:val="000000"/>
                <w:szCs w:val="22"/>
              </w:rPr>
              <w:t>72</w:t>
            </w:r>
            <w:r w:rsidR="00AA3F90">
              <w:rPr>
                <w:rFonts w:asciiTheme="minorHAnsi" w:hAnsiTheme="minorHAnsi"/>
                <w:b/>
                <w:color w:val="000000"/>
                <w:szCs w:val="22"/>
              </w:rPr>
              <w:t xml:space="preserve"> </w:t>
            </w:r>
            <w:r w:rsidRPr="00A704D7">
              <w:rPr>
                <w:rFonts w:asciiTheme="minorHAnsi" w:hAnsiTheme="minorHAnsi"/>
                <w:b/>
                <w:color w:val="000000"/>
                <w:szCs w:val="22"/>
              </w:rPr>
              <w:t>000</w:t>
            </w:r>
          </w:p>
        </w:tc>
        <w:tc>
          <w:tcPr>
            <w:tcW w:w="1453" w:type="dxa"/>
            <w:tcBorders>
              <w:top w:val="single" w:sz="4" w:space="0" w:color="auto"/>
              <w:left w:val="single" w:sz="4" w:space="0" w:color="auto"/>
              <w:bottom w:val="single" w:sz="4" w:space="0" w:color="auto"/>
              <w:right w:val="single" w:sz="4" w:space="0" w:color="auto"/>
            </w:tcBorders>
            <w:vAlign w:val="center"/>
          </w:tcPr>
          <w:p w:rsidR="00557E2D" w:rsidRPr="00A704D7" w:rsidRDefault="00D20657" w:rsidP="0098578F">
            <w:pPr>
              <w:pStyle w:val="tabletext"/>
              <w:jc w:val="right"/>
              <w:rPr>
                <w:rFonts w:asciiTheme="minorHAnsi" w:hAnsiTheme="minorHAnsi"/>
                <w:b/>
                <w:i/>
              </w:rPr>
            </w:pPr>
            <w:r w:rsidRPr="00A704D7">
              <w:rPr>
                <w:rFonts w:asciiTheme="minorHAnsi" w:hAnsiTheme="minorHAnsi"/>
                <w:b/>
                <w:color w:val="000000"/>
                <w:szCs w:val="22"/>
              </w:rPr>
              <w:t>–</w:t>
            </w:r>
            <w:r w:rsidR="00557E2D" w:rsidRPr="00A704D7">
              <w:rPr>
                <w:b/>
                <w:i/>
                <w:color w:val="000000"/>
              </w:rPr>
              <w:t>$</w:t>
            </w:r>
            <w:r w:rsidR="00557E2D">
              <w:rPr>
                <w:b/>
                <w:i/>
                <w:color w:val="000000"/>
              </w:rPr>
              <w:t>1</w:t>
            </w:r>
            <w:r w:rsidR="00557E2D" w:rsidRPr="00A704D7">
              <w:rPr>
                <w:b/>
                <w:i/>
                <w:color w:val="000000"/>
              </w:rPr>
              <w:t>7</w:t>
            </w:r>
            <w:r w:rsidR="00557E2D">
              <w:rPr>
                <w:b/>
                <w:i/>
                <w:color w:val="000000"/>
              </w:rPr>
              <w:t>2</w:t>
            </w:r>
            <w:r w:rsidR="00557E2D" w:rsidRPr="00A704D7">
              <w:rPr>
                <w:b/>
                <w:i/>
                <w:color w:val="000000"/>
              </w:rPr>
              <w:t xml:space="preserve"> 000</w:t>
            </w:r>
          </w:p>
        </w:tc>
      </w:tr>
      <w:tr w:rsidR="00557E2D" w:rsidRPr="006443AE" w:rsidTr="00A60A09">
        <w:trPr>
          <w:trHeight w:val="232"/>
        </w:trPr>
        <w:tc>
          <w:tcPr>
            <w:tcW w:w="1709" w:type="dxa"/>
            <w:tcBorders>
              <w:top w:val="single" w:sz="4" w:space="0" w:color="auto"/>
              <w:left w:val="single" w:sz="4" w:space="0" w:color="auto"/>
              <w:bottom w:val="single" w:sz="4" w:space="0" w:color="auto"/>
              <w:right w:val="single" w:sz="4" w:space="0" w:color="auto"/>
            </w:tcBorders>
          </w:tcPr>
          <w:p w:rsidR="00557E2D" w:rsidRPr="00F6641D" w:rsidRDefault="00557E2D" w:rsidP="0098578F">
            <w:pPr>
              <w:pStyle w:val="tabletext"/>
              <w:rPr>
                <w:rFonts w:asciiTheme="minorHAnsi" w:hAnsiTheme="minorHAnsi"/>
                <w:b/>
                <w:i/>
                <w:szCs w:val="22"/>
              </w:rPr>
            </w:pPr>
            <w:r w:rsidRPr="00F6641D">
              <w:rPr>
                <w:rFonts w:asciiTheme="minorHAnsi" w:hAnsiTheme="minorHAnsi"/>
                <w:b/>
                <w:i/>
                <w:szCs w:val="22"/>
              </w:rPr>
              <w:t>Net annualised change in regulatory cost ($/yr per operator)</w:t>
            </w:r>
          </w:p>
        </w:tc>
        <w:tc>
          <w:tcPr>
            <w:tcW w:w="1162" w:type="dxa"/>
            <w:tcBorders>
              <w:top w:val="single" w:sz="4" w:space="0" w:color="auto"/>
              <w:left w:val="single" w:sz="4" w:space="0" w:color="auto"/>
              <w:bottom w:val="single" w:sz="4" w:space="0" w:color="auto"/>
              <w:right w:val="nil"/>
            </w:tcBorders>
            <w:vAlign w:val="center"/>
          </w:tcPr>
          <w:p w:rsidR="00557E2D" w:rsidRPr="00557E2D" w:rsidRDefault="00557E2D" w:rsidP="0098578F">
            <w:pPr>
              <w:jc w:val="right"/>
              <w:rPr>
                <w:rFonts w:ascii="Calibri" w:hAnsi="Calibri"/>
                <w:i/>
                <w:color w:val="000000"/>
              </w:rPr>
            </w:pPr>
            <w:r w:rsidRPr="00557E2D">
              <w:rPr>
                <w:rFonts w:ascii="Calibri" w:hAnsi="Calibri"/>
                <w:i/>
                <w:color w:val="000000"/>
              </w:rPr>
              <w:t>$1</w:t>
            </w:r>
            <w:r w:rsidR="0098578F">
              <w:rPr>
                <w:rFonts w:ascii="Calibri" w:hAnsi="Calibri"/>
                <w:i/>
                <w:color w:val="000000"/>
              </w:rPr>
              <w:t xml:space="preserve"> </w:t>
            </w:r>
            <w:r w:rsidRPr="00557E2D">
              <w:rPr>
                <w:rFonts w:ascii="Calibri" w:hAnsi="Calibri"/>
                <w:i/>
                <w:color w:val="000000"/>
              </w:rPr>
              <w:t>000</w:t>
            </w:r>
          </w:p>
        </w:tc>
        <w:tc>
          <w:tcPr>
            <w:tcW w:w="1162" w:type="dxa"/>
            <w:tcBorders>
              <w:top w:val="single" w:sz="4" w:space="0" w:color="auto"/>
              <w:left w:val="nil"/>
              <w:bottom w:val="single" w:sz="4" w:space="0" w:color="auto"/>
              <w:right w:val="nil"/>
            </w:tcBorders>
            <w:vAlign w:val="center"/>
          </w:tcPr>
          <w:p w:rsidR="00557E2D" w:rsidRPr="00557E2D" w:rsidRDefault="00557E2D" w:rsidP="0098578F">
            <w:pPr>
              <w:jc w:val="right"/>
              <w:rPr>
                <w:rFonts w:ascii="Calibri" w:hAnsi="Calibri"/>
                <w:i/>
                <w:color w:val="000000"/>
              </w:rPr>
            </w:pPr>
            <w:r w:rsidRPr="00557E2D">
              <w:rPr>
                <w:rFonts w:ascii="Calibri" w:hAnsi="Calibri"/>
                <w:i/>
                <w:color w:val="000000"/>
              </w:rPr>
              <w:t>$1</w:t>
            </w:r>
            <w:r w:rsidR="0098578F">
              <w:rPr>
                <w:rFonts w:ascii="Calibri" w:hAnsi="Calibri"/>
                <w:i/>
                <w:color w:val="000000"/>
              </w:rPr>
              <w:t xml:space="preserve"> </w:t>
            </w:r>
            <w:r w:rsidRPr="00557E2D">
              <w:rPr>
                <w:rFonts w:ascii="Calibri" w:hAnsi="Calibri"/>
                <w:i/>
                <w:color w:val="000000"/>
              </w:rPr>
              <w:t>000</w:t>
            </w:r>
          </w:p>
        </w:tc>
        <w:tc>
          <w:tcPr>
            <w:tcW w:w="1162" w:type="dxa"/>
            <w:tcBorders>
              <w:top w:val="single" w:sz="4" w:space="0" w:color="auto"/>
              <w:left w:val="nil"/>
              <w:bottom w:val="single" w:sz="4" w:space="0" w:color="auto"/>
              <w:right w:val="nil"/>
            </w:tcBorders>
            <w:vAlign w:val="center"/>
          </w:tcPr>
          <w:p w:rsidR="00557E2D" w:rsidRPr="00D20657" w:rsidRDefault="00D20657" w:rsidP="00AA3F90">
            <w:pPr>
              <w:jc w:val="right"/>
              <w:rPr>
                <w:rFonts w:ascii="Calibri" w:hAnsi="Calibri"/>
                <w:i/>
                <w:color w:val="000000"/>
              </w:rPr>
            </w:pPr>
            <w:r w:rsidRPr="00D20657">
              <w:rPr>
                <w:rFonts w:asciiTheme="minorHAnsi" w:hAnsiTheme="minorHAnsi"/>
                <w:color w:val="000000"/>
              </w:rPr>
              <w:t>–</w:t>
            </w:r>
            <w:r w:rsidR="00557E2D" w:rsidRPr="00D20657">
              <w:rPr>
                <w:rFonts w:ascii="Calibri" w:hAnsi="Calibri"/>
                <w:i/>
                <w:color w:val="000000"/>
              </w:rPr>
              <w:t>$</w:t>
            </w:r>
            <w:r w:rsidR="00AA3F90">
              <w:rPr>
                <w:rFonts w:ascii="Calibri" w:hAnsi="Calibri"/>
                <w:i/>
                <w:color w:val="000000"/>
              </w:rPr>
              <w:t>6</w:t>
            </w:r>
            <w:r w:rsidR="0098578F" w:rsidRPr="00D20657">
              <w:rPr>
                <w:rFonts w:ascii="Calibri" w:hAnsi="Calibri"/>
                <w:i/>
                <w:color w:val="000000"/>
              </w:rPr>
              <w:t> </w:t>
            </w:r>
            <w:r w:rsidR="00557E2D" w:rsidRPr="00D20657">
              <w:rPr>
                <w:rFonts w:ascii="Calibri" w:hAnsi="Calibri"/>
                <w:i/>
                <w:color w:val="000000"/>
              </w:rPr>
              <w:t>000</w:t>
            </w:r>
          </w:p>
        </w:tc>
        <w:tc>
          <w:tcPr>
            <w:tcW w:w="1162" w:type="dxa"/>
            <w:tcBorders>
              <w:top w:val="single" w:sz="4" w:space="0" w:color="auto"/>
              <w:left w:val="nil"/>
              <w:bottom w:val="single" w:sz="4" w:space="0" w:color="auto"/>
              <w:right w:val="single" w:sz="4" w:space="0" w:color="auto"/>
            </w:tcBorders>
            <w:vAlign w:val="center"/>
          </w:tcPr>
          <w:p w:rsidR="00557E2D" w:rsidRPr="00D20657" w:rsidRDefault="00D20657" w:rsidP="008A5EE5">
            <w:pPr>
              <w:jc w:val="right"/>
              <w:rPr>
                <w:rFonts w:ascii="Calibri" w:hAnsi="Calibri"/>
                <w:i/>
                <w:color w:val="000000"/>
              </w:rPr>
            </w:pPr>
            <w:r w:rsidRPr="00D20657">
              <w:rPr>
                <w:rFonts w:asciiTheme="minorHAnsi" w:hAnsiTheme="minorHAnsi"/>
                <w:color w:val="000000"/>
              </w:rPr>
              <w:t>–</w:t>
            </w:r>
            <w:r w:rsidR="00557E2D" w:rsidRPr="00D20657">
              <w:rPr>
                <w:rFonts w:ascii="Calibri" w:hAnsi="Calibri"/>
                <w:i/>
                <w:color w:val="000000"/>
              </w:rPr>
              <w:t>$1</w:t>
            </w:r>
            <w:r w:rsidR="008A5EE5">
              <w:rPr>
                <w:rFonts w:ascii="Calibri" w:hAnsi="Calibri"/>
                <w:i/>
                <w:color w:val="000000"/>
              </w:rPr>
              <w:t>0 </w:t>
            </w:r>
            <w:r w:rsidR="00557E2D" w:rsidRPr="00D20657">
              <w:rPr>
                <w:rFonts w:ascii="Calibri" w:hAnsi="Calibri"/>
                <w:i/>
                <w:color w:val="000000"/>
              </w:rPr>
              <w:t>000</w:t>
            </w:r>
          </w:p>
        </w:tc>
        <w:tc>
          <w:tcPr>
            <w:tcW w:w="1452" w:type="dxa"/>
            <w:tcBorders>
              <w:top w:val="single" w:sz="4" w:space="0" w:color="auto"/>
              <w:left w:val="single" w:sz="4" w:space="0" w:color="auto"/>
              <w:bottom w:val="single" w:sz="4" w:space="0" w:color="auto"/>
              <w:right w:val="single" w:sz="4" w:space="0" w:color="auto"/>
            </w:tcBorders>
            <w:vAlign w:val="center"/>
          </w:tcPr>
          <w:p w:rsidR="00557E2D" w:rsidRPr="00D20657" w:rsidRDefault="00D20657" w:rsidP="008A5EE5">
            <w:pPr>
              <w:jc w:val="right"/>
              <w:rPr>
                <w:rFonts w:ascii="Calibri" w:hAnsi="Calibri"/>
                <w:i/>
                <w:color w:val="000000"/>
              </w:rPr>
            </w:pPr>
            <w:r w:rsidRPr="00D20657">
              <w:rPr>
                <w:rFonts w:asciiTheme="minorHAnsi" w:hAnsiTheme="minorHAnsi"/>
                <w:color w:val="000000"/>
              </w:rPr>
              <w:t>–</w:t>
            </w:r>
            <w:r w:rsidR="00557E2D" w:rsidRPr="00D20657">
              <w:rPr>
                <w:rFonts w:ascii="Calibri" w:hAnsi="Calibri"/>
                <w:i/>
                <w:color w:val="000000"/>
              </w:rPr>
              <w:t>$</w:t>
            </w:r>
            <w:r w:rsidR="008A5EE5">
              <w:rPr>
                <w:rFonts w:ascii="Calibri" w:hAnsi="Calibri"/>
                <w:i/>
                <w:color w:val="000000"/>
              </w:rPr>
              <w:t>2</w:t>
            </w:r>
            <w:r w:rsidR="0098578F" w:rsidRPr="00D20657">
              <w:rPr>
                <w:rFonts w:ascii="Calibri" w:hAnsi="Calibri"/>
                <w:i/>
                <w:color w:val="000000"/>
              </w:rPr>
              <w:t xml:space="preserve"> </w:t>
            </w:r>
            <w:r w:rsidR="00557E2D" w:rsidRPr="00D20657">
              <w:rPr>
                <w:rFonts w:ascii="Calibri" w:hAnsi="Calibri"/>
                <w:i/>
                <w:color w:val="000000"/>
              </w:rPr>
              <w:t>000</w:t>
            </w:r>
          </w:p>
        </w:tc>
        <w:tc>
          <w:tcPr>
            <w:tcW w:w="1453" w:type="dxa"/>
            <w:tcBorders>
              <w:top w:val="single" w:sz="4" w:space="0" w:color="auto"/>
              <w:left w:val="single" w:sz="4" w:space="0" w:color="auto"/>
              <w:bottom w:val="single" w:sz="4" w:space="0" w:color="auto"/>
              <w:right w:val="single" w:sz="4" w:space="0" w:color="auto"/>
            </w:tcBorders>
            <w:vAlign w:val="center"/>
          </w:tcPr>
          <w:p w:rsidR="00557E2D" w:rsidRPr="00D20657" w:rsidRDefault="00D20657" w:rsidP="0098578F">
            <w:pPr>
              <w:jc w:val="right"/>
              <w:rPr>
                <w:rFonts w:ascii="Calibri" w:hAnsi="Calibri"/>
                <w:i/>
                <w:color w:val="000000"/>
              </w:rPr>
            </w:pPr>
            <w:r w:rsidRPr="00D20657">
              <w:rPr>
                <w:rFonts w:asciiTheme="minorHAnsi" w:hAnsiTheme="minorHAnsi"/>
                <w:color w:val="000000"/>
              </w:rPr>
              <w:t>–</w:t>
            </w:r>
            <w:r w:rsidR="00557E2D" w:rsidRPr="00D20657">
              <w:rPr>
                <w:rFonts w:ascii="Calibri" w:hAnsi="Calibri"/>
                <w:i/>
                <w:color w:val="000000"/>
              </w:rPr>
              <w:t>$6</w:t>
            </w:r>
            <w:r w:rsidR="0098578F" w:rsidRPr="00D20657">
              <w:rPr>
                <w:rFonts w:ascii="Calibri" w:hAnsi="Calibri"/>
                <w:i/>
                <w:color w:val="000000"/>
              </w:rPr>
              <w:t xml:space="preserve"> </w:t>
            </w:r>
            <w:r w:rsidR="00557E2D" w:rsidRPr="00D20657">
              <w:rPr>
                <w:rFonts w:ascii="Calibri" w:hAnsi="Calibri"/>
                <w:i/>
                <w:color w:val="000000"/>
              </w:rPr>
              <w:t>000</w:t>
            </w:r>
          </w:p>
        </w:tc>
      </w:tr>
    </w:tbl>
    <w:p w:rsidR="00557E2D" w:rsidRPr="00521788" w:rsidRDefault="00557E2D" w:rsidP="00557E2D">
      <w:pPr>
        <w:rPr>
          <w:rFonts w:cs="Times New Roman"/>
          <w:i/>
          <w:sz w:val="20"/>
          <w:szCs w:val="20"/>
        </w:rPr>
      </w:pPr>
      <w:r w:rsidRPr="00521788">
        <w:rPr>
          <w:rFonts w:cs="Times New Roman"/>
          <w:i/>
          <w:sz w:val="20"/>
          <w:szCs w:val="20"/>
          <w:vertAlign w:val="superscript"/>
        </w:rPr>
        <w:t xml:space="preserve">* </w:t>
      </w:r>
      <w:r w:rsidRPr="00521788">
        <w:rPr>
          <w:rFonts w:cs="Times New Roman"/>
          <w:i/>
          <w:sz w:val="20"/>
          <w:szCs w:val="20"/>
        </w:rPr>
        <w:t xml:space="preserve">Estimates </w:t>
      </w:r>
      <w:r>
        <w:rPr>
          <w:rFonts w:cs="Times New Roman"/>
          <w:i/>
          <w:sz w:val="20"/>
          <w:szCs w:val="20"/>
        </w:rPr>
        <w:t xml:space="preserve">are total annualised cost per group, </w:t>
      </w:r>
      <w:r w:rsidRPr="00521788">
        <w:rPr>
          <w:rFonts w:cs="Times New Roman"/>
          <w:i/>
          <w:sz w:val="20"/>
          <w:szCs w:val="20"/>
        </w:rPr>
        <w:t xml:space="preserve">rounded to the nearest $1000. </w:t>
      </w:r>
      <w:r w:rsidRPr="00521788">
        <w:rPr>
          <w:rFonts w:cs="Times New Roman"/>
          <w:i/>
          <w:iCs/>
          <w:color w:val="333333"/>
          <w:sz w:val="20"/>
          <w:szCs w:val="20"/>
          <w:lang w:val="en"/>
        </w:rPr>
        <w:t>Due to rounding, some totals may not correspond with the sum of the separate figures.</w:t>
      </w:r>
      <w:r w:rsidR="00C6733C">
        <w:rPr>
          <w:rFonts w:cs="Times New Roman"/>
          <w:color w:val="333333"/>
          <w:sz w:val="20"/>
          <w:szCs w:val="20"/>
          <w:lang w:val="en"/>
        </w:rPr>
        <w:t xml:space="preserve"> </w:t>
      </w:r>
      <w:r w:rsidRPr="00521788">
        <w:rPr>
          <w:rFonts w:cs="Times New Roman"/>
          <w:i/>
          <w:sz w:val="20"/>
          <w:szCs w:val="20"/>
          <w:vertAlign w:val="superscript"/>
        </w:rPr>
        <w:t>**</w:t>
      </w:r>
      <w:r w:rsidRPr="00521788">
        <w:rPr>
          <w:rFonts w:cs="Times New Roman"/>
          <w:i/>
          <w:sz w:val="20"/>
          <w:szCs w:val="20"/>
        </w:rPr>
        <w:t xml:space="preserve"> See Table 9.2 for full group definitions. </w:t>
      </w:r>
      <w:r w:rsidRPr="00521788">
        <w:rPr>
          <w:rFonts w:cs="Times New Roman"/>
          <w:b/>
          <w:i/>
          <w:sz w:val="20"/>
          <w:szCs w:val="20"/>
          <w:vertAlign w:val="superscript"/>
        </w:rPr>
        <w:t>†</w:t>
      </w:r>
      <w:r w:rsidRPr="00521788">
        <w:rPr>
          <w:rFonts w:cs="Times New Roman"/>
          <w:i/>
          <w:sz w:val="20"/>
          <w:szCs w:val="20"/>
        </w:rPr>
        <w:t>n.e.i</w:t>
      </w:r>
      <w:r w:rsidR="00024310">
        <w:rPr>
          <w:rFonts w:cs="Times New Roman"/>
          <w:i/>
          <w:sz w:val="20"/>
          <w:szCs w:val="20"/>
        </w:rPr>
        <w:t>.</w:t>
      </w:r>
      <w:r w:rsidRPr="00521788">
        <w:rPr>
          <w:rFonts w:cs="Times New Roman"/>
          <w:i/>
          <w:sz w:val="20"/>
          <w:szCs w:val="20"/>
        </w:rPr>
        <w:t xml:space="preserve"> = not elsewhere included.</w:t>
      </w:r>
    </w:p>
    <w:p w:rsidR="00557E2D" w:rsidRDefault="00557E2D" w:rsidP="00557E2D">
      <w:r>
        <w:t xml:space="preserve">The majority of the decreases in regulatory costs are associated with the proposed changes to charge determinations, </w:t>
      </w:r>
      <w:r w:rsidR="00D5346B">
        <w:t>N</w:t>
      </w:r>
      <w:r>
        <w:t xml:space="preserve">etwork </w:t>
      </w:r>
      <w:r w:rsidR="00D5346B">
        <w:t>S</w:t>
      </w:r>
      <w:r>
        <w:t xml:space="preserve">ervice </w:t>
      </w:r>
      <w:r w:rsidR="00D5346B">
        <w:t>P</w:t>
      </w:r>
      <w:r>
        <w:t xml:space="preserve">lans </w:t>
      </w:r>
      <w:r w:rsidR="00D5346B">
        <w:t xml:space="preserve">(NSPs) </w:t>
      </w:r>
      <w:r>
        <w:t xml:space="preserve">and the </w:t>
      </w:r>
      <w:r w:rsidR="00D5346B">
        <w:t>S</w:t>
      </w:r>
      <w:r>
        <w:t xml:space="preserve">chedule of </w:t>
      </w:r>
      <w:r w:rsidR="00D5346B">
        <w:t>C</w:t>
      </w:r>
      <w:r>
        <w:t xml:space="preserve">harges. However, the regulatory savings are not evenly distributed across all groups of infrastructure operators. There is a negligible impact on </w:t>
      </w:r>
      <w:r w:rsidR="006F2251">
        <w:t>G</w:t>
      </w:r>
      <w:r>
        <w:t xml:space="preserve">roup </w:t>
      </w:r>
      <w:r w:rsidR="006F2251">
        <w:t>1</w:t>
      </w:r>
      <w:r>
        <w:t xml:space="preserve"> and </w:t>
      </w:r>
      <w:r w:rsidR="006F2251">
        <w:t>G</w:t>
      </w:r>
      <w:r>
        <w:t xml:space="preserve">roup </w:t>
      </w:r>
      <w:r w:rsidR="006F2251">
        <w:t>2</w:t>
      </w:r>
      <w:r>
        <w:t xml:space="preserve"> (small and medium size member-owned operators) and a large change in regulatory cost for </w:t>
      </w:r>
      <w:r w:rsidR="001156E8">
        <w:t>G</w:t>
      </w:r>
      <w:r>
        <w:t xml:space="preserve">roup 3 and </w:t>
      </w:r>
      <w:r w:rsidR="001156E8">
        <w:t>G</w:t>
      </w:r>
      <w:r>
        <w:t>roup 4 (large member-owned and non-member-owned operators).</w:t>
      </w:r>
      <w:r w:rsidR="00C6733C">
        <w:t xml:space="preserve"> </w:t>
      </w:r>
    </w:p>
    <w:p w:rsidR="00557E2D" w:rsidRDefault="00557E2D" w:rsidP="00A60A09">
      <w:pPr>
        <w:spacing w:after="120"/>
      </w:pPr>
      <w:r>
        <w:t>The change in regulatory cost under the Final Advice proposals compared to the Draft Advice proposals is mainly due to</w:t>
      </w:r>
      <w:r w:rsidDel="00B27145">
        <w:t xml:space="preserve"> </w:t>
      </w:r>
      <w:r>
        <w:t>increases in regulatory costs (or decreases in regulatory savings) due to:</w:t>
      </w:r>
    </w:p>
    <w:p w:rsidR="00557E2D" w:rsidRDefault="00557E2D" w:rsidP="00A82DE6">
      <w:pPr>
        <w:pStyle w:val="Lvl1Bulletpoint"/>
      </w:pPr>
      <w:r>
        <w:t xml:space="preserve">a revised approach to the non-discrimination provisions, and an increase in the estimated costs associated </w:t>
      </w:r>
      <w:r w:rsidRPr="00EA083A">
        <w:t xml:space="preserve">with ongoing staff hours for operators to assess whether new </w:t>
      </w:r>
      <w:r>
        <w:t>infrastructure</w:t>
      </w:r>
      <w:r w:rsidRPr="00EA083A">
        <w:t xml:space="preserve"> charges </w:t>
      </w:r>
      <w:r w:rsidR="00E81E3E">
        <w:t xml:space="preserve">and service offerings </w:t>
      </w:r>
      <w:r w:rsidRPr="00EA083A">
        <w:t>co</w:t>
      </w:r>
      <w:r>
        <w:t>mply with these provisions—see section 9.3.1.</w:t>
      </w:r>
    </w:p>
    <w:p w:rsidR="00557E2D" w:rsidRDefault="00557E2D" w:rsidP="00A82DE6">
      <w:pPr>
        <w:pStyle w:val="Lvl1Bulletpoint"/>
      </w:pPr>
      <w:r>
        <w:t>a lower estimate of the reduction in regulatory cost from the proposed abolition of Part 5 (NSP requirements), due to transitional issues—see section 9.3.3.</w:t>
      </w:r>
    </w:p>
    <w:p w:rsidR="00557E2D" w:rsidRDefault="00557E2D" w:rsidP="00A82DE6">
      <w:pPr>
        <w:pStyle w:val="Lvl1Bulletpoint"/>
      </w:pPr>
      <w:r>
        <w:t>a decrease in the regulatory savings associated with the recommended amendments to Part 6 (approval or determination), due to transitional issues—see section 9.3.4.</w:t>
      </w:r>
    </w:p>
    <w:p w:rsidR="00557E2D" w:rsidRDefault="00557E2D" w:rsidP="00A82DE6">
      <w:pPr>
        <w:pStyle w:val="Lvl1Bulletpoint"/>
      </w:pPr>
      <w:r>
        <w:t>an increase in the estimate</w:t>
      </w:r>
      <w:r w:rsidR="00E81E3E">
        <w:t>d cost</w:t>
      </w:r>
      <w:r>
        <w:t>s for operators to understand and comply with the amended Part 7 (distributions)—see section 9.3.5.</w:t>
      </w:r>
    </w:p>
    <w:p w:rsidR="00557E2D" w:rsidRDefault="00557E2D" w:rsidP="00A82DE6">
      <w:pPr>
        <w:pStyle w:val="Lvl1Bulletpoint"/>
      </w:pPr>
      <w:r>
        <w:t>an increase in the estimated ongoing costs of accounting for customer contributions to dedicated infrastructure when calculating termination fees—see section 9.4.1.</w:t>
      </w:r>
    </w:p>
    <w:p w:rsidR="00557E2D" w:rsidRDefault="00557E2D" w:rsidP="00A82DE6">
      <w:pPr>
        <w:pStyle w:val="Lvl1Bulletpoint"/>
      </w:pPr>
      <w:r>
        <w:t xml:space="preserve">the inclusion of additional one-off start-up costs (legal and consulting) for operators to assist them to understand the revised rules and potentially revise their charging methodology—see section 9.6. </w:t>
      </w:r>
    </w:p>
    <w:p w:rsidR="00557E2D" w:rsidRDefault="00557E2D" w:rsidP="00557E2D">
      <w:r>
        <w:t>In some cases, these changes reflect changes to the ACCC’s rule advice; in others the ACCC has revised its estimates in response to specific stakeholder feedback or due to timing changes which are expected to have cost consequences.</w:t>
      </w:r>
    </w:p>
    <w:p w:rsidR="00557E2D" w:rsidRDefault="00557E2D" w:rsidP="00557E2D">
      <w:r>
        <w:t>Estimated regulatory costs for other sections of the Final Advice have not changed substantially since the Draft Advice.</w:t>
      </w:r>
    </w:p>
    <w:p w:rsidR="00557E2D" w:rsidRDefault="00557E2D" w:rsidP="00557E2D">
      <w:pPr>
        <w:pStyle w:val="Heading2"/>
        <w:spacing w:after="240"/>
      </w:pPr>
      <w:bookmarkStart w:id="1472" w:name="_Toc456785848"/>
      <w:bookmarkStart w:id="1473" w:name="_Toc461630760"/>
      <w:r>
        <w:t>Methodology</w:t>
      </w:r>
      <w:bookmarkEnd w:id="1472"/>
      <w:bookmarkEnd w:id="1473"/>
    </w:p>
    <w:p w:rsidR="00557E2D" w:rsidRDefault="00557E2D" w:rsidP="00557E2D">
      <w:r w:rsidRPr="00A2129F">
        <w:rPr>
          <w:rFonts w:cs="Times New Roman"/>
        </w:rPr>
        <w:t>The O</w:t>
      </w:r>
      <w:r w:rsidR="00A74192">
        <w:rPr>
          <w:rFonts w:cs="Times New Roman"/>
        </w:rPr>
        <w:t xml:space="preserve">ffice of </w:t>
      </w:r>
      <w:r w:rsidRPr="00A2129F">
        <w:rPr>
          <w:rFonts w:cs="Times New Roman"/>
        </w:rPr>
        <w:t>B</w:t>
      </w:r>
      <w:r w:rsidR="00A74192">
        <w:rPr>
          <w:rFonts w:cs="Times New Roman"/>
        </w:rPr>
        <w:t xml:space="preserve">est </w:t>
      </w:r>
      <w:r w:rsidRPr="00A2129F">
        <w:rPr>
          <w:rFonts w:cs="Times New Roman"/>
        </w:rPr>
        <w:t>P</w:t>
      </w:r>
      <w:r w:rsidR="00A74192">
        <w:rPr>
          <w:rFonts w:cs="Times New Roman"/>
        </w:rPr>
        <w:t xml:space="preserve">ractice </w:t>
      </w:r>
      <w:r w:rsidRPr="00A2129F">
        <w:rPr>
          <w:rFonts w:cs="Times New Roman"/>
        </w:rPr>
        <w:t>R</w:t>
      </w:r>
      <w:r w:rsidR="00A74192">
        <w:rPr>
          <w:rFonts w:cs="Times New Roman"/>
        </w:rPr>
        <w:t>egulation (OBPR)</w:t>
      </w:r>
      <w:r w:rsidRPr="00A2129F">
        <w:rPr>
          <w:rFonts w:cs="Times New Roman"/>
        </w:rPr>
        <w:t xml:space="preserve"> costing framework requires the ACCC to estimate the change in ‘regulatory cost’ associated with its recommended amendments. </w:t>
      </w:r>
      <w:r>
        <w:t xml:space="preserve">The ACCC consulted the OPBR and </w:t>
      </w:r>
      <w:r w:rsidR="00A74192">
        <w:t xml:space="preserve">their </w:t>
      </w:r>
      <w:r>
        <w:t xml:space="preserve">guidance material on the methodology to estimate the change in the regulatory cost. </w:t>
      </w:r>
    </w:p>
    <w:p w:rsidR="00557E2D" w:rsidRPr="00A2129F" w:rsidRDefault="00557E2D" w:rsidP="00A60A09">
      <w:pPr>
        <w:spacing w:after="120"/>
        <w:rPr>
          <w:rFonts w:cs="Times New Roman"/>
        </w:rPr>
      </w:pPr>
      <w:r w:rsidRPr="00A2129F">
        <w:rPr>
          <w:rFonts w:cs="Times New Roman"/>
        </w:rPr>
        <w:t>The notion of ‘regulatory cost’ does not extend to all possible types of costs associated with regulations</w:t>
      </w:r>
      <w:r>
        <w:rPr>
          <w:rFonts w:cs="Times New Roman"/>
        </w:rPr>
        <w:t xml:space="preserve"> (see below)</w:t>
      </w:r>
      <w:r w:rsidRPr="00A2129F">
        <w:rPr>
          <w:rFonts w:cs="Times New Roman"/>
        </w:rPr>
        <w:t xml:space="preserve">. Also, it does not capture any benefits associated with the regulations, other than a ‘benefit’ in the form of a decrease in regulatory cost. Matters that </w:t>
      </w:r>
      <w:r w:rsidRPr="00A2129F">
        <w:rPr>
          <w:rFonts w:cs="Times New Roman"/>
          <w:i/>
        </w:rPr>
        <w:t>can</w:t>
      </w:r>
      <w:r w:rsidRPr="00A2129F">
        <w:rPr>
          <w:rFonts w:cs="Times New Roman"/>
        </w:rPr>
        <w:t xml:space="preserve"> be considered when determining the regulatory cost of proposed changes are:</w:t>
      </w:r>
    </w:p>
    <w:p w:rsidR="00557E2D" w:rsidRPr="00910122" w:rsidRDefault="00557E2D" w:rsidP="00A82DE6">
      <w:pPr>
        <w:pStyle w:val="Lvl1Bulletpoint"/>
      </w:pPr>
      <w:r w:rsidRPr="00910122">
        <w:rPr>
          <w:b/>
        </w:rPr>
        <w:t>Compliance costs:</w:t>
      </w:r>
      <w:r w:rsidRPr="00910122">
        <w:t xml:space="preserve"> This includes administrative costs, such as record keeping and reporting costs. It also includes substantive compliance costs, that is, the costs incurred to deliver the regulated outcomes being sought (usually purchase and maintenance costs).</w:t>
      </w:r>
    </w:p>
    <w:p w:rsidR="00557E2D" w:rsidRPr="00A2129F" w:rsidRDefault="00557E2D" w:rsidP="00A82DE6">
      <w:pPr>
        <w:pStyle w:val="Lvl1Bulletpoint"/>
      </w:pPr>
      <w:r w:rsidRPr="00A2129F">
        <w:rPr>
          <w:b/>
        </w:rPr>
        <w:t>Delay costs:</w:t>
      </w:r>
      <w:r w:rsidRPr="00A2129F">
        <w:t xml:space="preserve"> These are the expenses and loss of income incurred by a regulated entity through needing to wait for an administrative application process to be completed or the regulator to communicate a decision which prevents the regulated entity beginning i</w:t>
      </w:r>
      <w:r>
        <w:t>t</w:t>
      </w:r>
      <w:r w:rsidRPr="00A2129F">
        <w:t>s intended operations.</w:t>
      </w:r>
      <w:r w:rsidRPr="00A2129F">
        <w:rPr>
          <w:rStyle w:val="FootnoteReference"/>
          <w:rFonts w:cs="Times New Roman"/>
        </w:rPr>
        <w:footnoteReference w:id="841"/>
      </w:r>
    </w:p>
    <w:p w:rsidR="00557E2D" w:rsidRPr="00A2129F" w:rsidRDefault="00557E2D" w:rsidP="00A60A09">
      <w:pPr>
        <w:spacing w:after="120"/>
        <w:rPr>
          <w:rFonts w:cs="Times New Roman"/>
        </w:rPr>
      </w:pPr>
      <w:r w:rsidRPr="00A2129F">
        <w:rPr>
          <w:rFonts w:cs="Times New Roman"/>
        </w:rPr>
        <w:t xml:space="preserve">Matters that </w:t>
      </w:r>
      <w:r w:rsidRPr="00A2129F">
        <w:rPr>
          <w:rFonts w:cs="Times New Roman"/>
          <w:i/>
        </w:rPr>
        <w:t>cannot</w:t>
      </w:r>
      <w:r w:rsidRPr="00A2129F">
        <w:rPr>
          <w:rFonts w:cs="Times New Roman"/>
        </w:rPr>
        <w:t xml:space="preserve"> be considered when determining the cost of proposed regulatory changes are:</w:t>
      </w:r>
    </w:p>
    <w:p w:rsidR="00557E2D" w:rsidRPr="00A2129F" w:rsidRDefault="00557E2D" w:rsidP="00A82DE6">
      <w:pPr>
        <w:pStyle w:val="Lvl1Bulletpoint"/>
      </w:pPr>
      <w:r w:rsidRPr="00A2129F">
        <w:rPr>
          <w:b/>
        </w:rPr>
        <w:t xml:space="preserve">Opportunity costs: </w:t>
      </w:r>
      <w:r w:rsidRPr="00A2129F">
        <w:t>The value of opportunities that cannot be realised because of the regulatory intervention. This is because quantifying such costs is complex and it is difficult to accurately predict what a business may do in response to the removal or lessening of a regulation.</w:t>
      </w:r>
    </w:p>
    <w:p w:rsidR="00557E2D" w:rsidRPr="00A2129F" w:rsidRDefault="00557E2D" w:rsidP="00A82DE6">
      <w:pPr>
        <w:pStyle w:val="Lvl1Bulletpoint"/>
      </w:pPr>
      <w:r w:rsidRPr="00A2129F">
        <w:rPr>
          <w:b/>
        </w:rPr>
        <w:t>Business-as-usual costs:</w:t>
      </w:r>
      <w:r w:rsidRPr="00A2129F">
        <w:t xml:space="preserve"> The measurement of regulatory cost only includes the regulatory cost over and above what a normally efficient business would pay in the absence of the regulation. If the regulated business would do more than is required, in response to a change in regulation, this more than needed effort cannot be included in the measure of regulatory cost. </w:t>
      </w:r>
    </w:p>
    <w:p w:rsidR="00557E2D" w:rsidRPr="00A2129F" w:rsidRDefault="00557E2D" w:rsidP="00A82DE6">
      <w:pPr>
        <w:pStyle w:val="Lvl1Bulletpoint"/>
        <w:rPr>
          <w:b/>
        </w:rPr>
      </w:pPr>
      <w:r w:rsidRPr="00A2129F">
        <w:rPr>
          <w:b/>
        </w:rPr>
        <w:t xml:space="preserve">Non-compliance and enforcement costs: </w:t>
      </w:r>
      <w:r w:rsidRPr="00A2129F">
        <w:t>Costs that regulated businesses incur from failing to comply with the new regulation (including legal fees) and processes related to government enforcement of regulations are not included.</w:t>
      </w:r>
    </w:p>
    <w:p w:rsidR="00557E2D" w:rsidRPr="00A2129F" w:rsidRDefault="00557E2D" w:rsidP="00A82DE6">
      <w:pPr>
        <w:pStyle w:val="Lvl1Bulletpoint"/>
        <w:rPr>
          <w:b/>
        </w:rPr>
      </w:pPr>
      <w:r w:rsidRPr="00A2129F">
        <w:rPr>
          <w:b/>
        </w:rPr>
        <w:t xml:space="preserve">Government-to-government regulation: </w:t>
      </w:r>
      <w:r w:rsidRPr="00A2129F">
        <w:t>The cost of the regulation on other parts of government.</w:t>
      </w:r>
      <w:r w:rsidRPr="00A2129F">
        <w:rPr>
          <w:b/>
        </w:rPr>
        <w:t xml:space="preserve"> </w:t>
      </w:r>
      <w:r w:rsidRPr="00A2129F">
        <w:t xml:space="preserve">For example, any increased regulatory cost on the ACCC from administering the changed water charge rules. </w:t>
      </w:r>
    </w:p>
    <w:p w:rsidR="00557E2D" w:rsidRPr="00A2129F" w:rsidRDefault="00557E2D" w:rsidP="00A82DE6">
      <w:pPr>
        <w:pStyle w:val="Lvl1Bulletpoint"/>
        <w:rPr>
          <w:b/>
        </w:rPr>
      </w:pPr>
      <w:r w:rsidRPr="00A2129F">
        <w:rPr>
          <w:b/>
        </w:rPr>
        <w:t xml:space="preserve">Indirect costs: </w:t>
      </w:r>
      <w:r w:rsidRPr="00A2129F">
        <w:t>Costs that arise indirectly from regulatory changes. This includes changes to market structure and competition impacts.</w:t>
      </w:r>
    </w:p>
    <w:p w:rsidR="00557E2D" w:rsidRPr="00A2129F" w:rsidRDefault="00557E2D" w:rsidP="00A82DE6">
      <w:pPr>
        <w:pStyle w:val="Lvl1Bulletpoint"/>
        <w:rPr>
          <w:b/>
        </w:rPr>
      </w:pPr>
      <w:r w:rsidRPr="00A2129F">
        <w:rPr>
          <w:b/>
        </w:rPr>
        <w:t xml:space="preserve">Direct financial costs: </w:t>
      </w:r>
      <w:r w:rsidRPr="00A2129F">
        <w:t>This includes changes to taxation or license and permit fees.</w:t>
      </w:r>
      <w:r w:rsidRPr="00A2129F">
        <w:rPr>
          <w:b/>
        </w:rPr>
        <w:t xml:space="preserve"> </w:t>
      </w:r>
    </w:p>
    <w:p w:rsidR="00557E2D" w:rsidRPr="00A2129F" w:rsidRDefault="00557E2D" w:rsidP="00A82DE6">
      <w:pPr>
        <w:pStyle w:val="Lvl1Bulletpoint"/>
      </w:pPr>
      <w:r w:rsidRPr="00A2129F">
        <w:t>Regulatory impacts related to the administration of courts and tribunals.</w:t>
      </w:r>
      <w:r w:rsidRPr="009845D5">
        <w:rPr>
          <w:rStyle w:val="FootnoteReference"/>
          <w:rFonts w:cs="Times New Roman"/>
        </w:rPr>
        <w:footnoteReference w:id="842"/>
      </w:r>
      <w:r w:rsidR="00C6733C" w:rsidRPr="009845D5">
        <w:t xml:space="preserve"> </w:t>
      </w:r>
    </w:p>
    <w:p w:rsidR="00557E2D" w:rsidRDefault="00557E2D" w:rsidP="00557E2D">
      <w:pPr>
        <w:rPr>
          <w:rFonts w:cs="Times New Roman"/>
        </w:rPr>
      </w:pPr>
      <w:r w:rsidRPr="00A2129F">
        <w:rPr>
          <w:rFonts w:cs="Times New Roman"/>
        </w:rPr>
        <w:t xml:space="preserve">The ACCC acknowledges that the regulatory costings estimated form only a partial picture of the overall total costs and benefits (whether direct or indirect) that would be associated with the proposed amendments. </w:t>
      </w:r>
    </w:p>
    <w:p w:rsidR="00557E2D" w:rsidRDefault="00557E2D" w:rsidP="00A60A09">
      <w:pPr>
        <w:spacing w:after="120"/>
      </w:pPr>
      <w:r>
        <w:t>Consistent with OBPR guidelines and the cost categories which are included in the OBPR definition of ‘regulatory costs’:</w:t>
      </w:r>
    </w:p>
    <w:p w:rsidR="00557E2D" w:rsidRDefault="00557E2D" w:rsidP="00A82DE6">
      <w:pPr>
        <w:pStyle w:val="Lvl1Bulletpoint"/>
      </w:pPr>
      <w:r>
        <w:t xml:space="preserve">The ACCC formed its estimates by assessing the direct costs on businesses (including government owned corporations) which are subject to the water charge rules. Regulatory costs imposed on Basin State and Commonwealth departments are not included. </w:t>
      </w:r>
    </w:p>
    <w:p w:rsidR="00557E2D" w:rsidRDefault="00557E2D" w:rsidP="00A82DE6">
      <w:pPr>
        <w:pStyle w:val="Lvl1Bulletpoint"/>
      </w:pPr>
      <w:r>
        <w:t>Benefits to customers of the regulated business of the proposed changes (such as increased information) are not included in the assessment of regulatory cost of the proposed changes.</w:t>
      </w:r>
    </w:p>
    <w:p w:rsidR="00557E2D" w:rsidRDefault="00557E2D" w:rsidP="00A60A09">
      <w:pPr>
        <w:spacing w:after="120"/>
      </w:pPr>
      <w:r>
        <w:t>Accordingly, the ACCC has assessed the change in regulatory cost in relation to 31 infrastructure operators that it currently monitors for compliance with the water charge rules. The water charge rules currently impose different requirements on these infrastructure operators depending on their size and ownership (although this distinction will be much reduced if the proposals in this Final Advice are adopted). As such, the regulatory costs are not uniform across all operators, or even within each group. To account for this variation in calculating the cost of the regulatory cost, the ACCC has grouped the 31 operators based on the following characteristics:</w:t>
      </w:r>
    </w:p>
    <w:p w:rsidR="00557E2D" w:rsidRDefault="00557E2D" w:rsidP="00A82DE6">
      <w:pPr>
        <w:pStyle w:val="Lvl1Bulletpoint"/>
      </w:pPr>
      <w:r>
        <w:t>Nature of activities: whether the infrastructure operator is also an irrigation infrastructure operator (IIO)</w:t>
      </w:r>
      <w:r>
        <w:rPr>
          <w:rStyle w:val="FootnoteReference"/>
        </w:rPr>
        <w:footnoteReference w:id="843"/>
      </w:r>
      <w:r>
        <w:t xml:space="preserve"> </w:t>
      </w:r>
    </w:p>
    <w:p w:rsidR="00557E2D" w:rsidRDefault="00557E2D" w:rsidP="00A82DE6">
      <w:pPr>
        <w:pStyle w:val="Lvl1Bulletpoint"/>
      </w:pPr>
      <w:r>
        <w:t>Ownership: whether an infrastructure operator is ‘member-owned’ or not</w:t>
      </w:r>
      <w:r>
        <w:rPr>
          <w:rStyle w:val="FootnoteReference"/>
        </w:rPr>
        <w:footnoteReference w:id="844"/>
      </w:r>
    </w:p>
    <w:p w:rsidR="00557E2D" w:rsidRDefault="00557E2D" w:rsidP="00A82DE6">
      <w:pPr>
        <w:pStyle w:val="Lvl1Bulletpoint"/>
      </w:pPr>
      <w:r>
        <w:t>Size: measured by the volume of water held under water access entitlement (WAE) that the operator services.</w:t>
      </w:r>
    </w:p>
    <w:p w:rsidR="00557E2D" w:rsidRDefault="00557E2D" w:rsidP="00557E2D">
      <w:r>
        <w:t xml:space="preserve">Table 9.2 below sets out four groups of infrastructure operators and identifies the characteristics and number of operators within each group. </w:t>
      </w:r>
    </w:p>
    <w:p w:rsidR="00557E2D" w:rsidRPr="00035FD7" w:rsidRDefault="00557E2D" w:rsidP="00E560FF">
      <w:pPr>
        <w:pStyle w:val="Tabletitle"/>
      </w:pPr>
      <w:r>
        <w:t xml:space="preserve">Table </w:t>
      </w:r>
      <w:r w:rsidRPr="00516D3A">
        <w:t>9.2</w:t>
      </w:r>
      <w:r>
        <w:t>—Operator groups</w:t>
      </w:r>
    </w:p>
    <w:tbl>
      <w:tblPr>
        <w:tblStyle w:val="TableGrid"/>
        <w:tblW w:w="9296" w:type="dxa"/>
        <w:tblLook w:val="04A0" w:firstRow="1" w:lastRow="0" w:firstColumn="1" w:lastColumn="0" w:noHBand="0" w:noVBand="1"/>
      </w:tblPr>
      <w:tblGrid>
        <w:gridCol w:w="840"/>
        <w:gridCol w:w="1166"/>
        <w:gridCol w:w="7290"/>
      </w:tblGrid>
      <w:tr w:rsidR="00557E2D" w:rsidRPr="000A7B13" w:rsidTr="00C52AEB">
        <w:trPr>
          <w:trHeight w:val="596"/>
        </w:trPr>
        <w:tc>
          <w:tcPr>
            <w:tcW w:w="840" w:type="dxa"/>
            <w:shd w:val="clear" w:color="auto" w:fill="D9D9D9" w:themeFill="background1" w:themeFillShade="D9"/>
            <w:vAlign w:val="center"/>
          </w:tcPr>
          <w:p w:rsidR="00557E2D" w:rsidRPr="00EC33E4" w:rsidRDefault="00557E2D" w:rsidP="0098578F">
            <w:pPr>
              <w:pStyle w:val="tabletext"/>
              <w:keepNext/>
              <w:rPr>
                <w:b/>
              </w:rPr>
            </w:pPr>
            <w:r w:rsidRPr="00EC33E4">
              <w:rPr>
                <w:b/>
              </w:rPr>
              <w:t>Group</w:t>
            </w:r>
          </w:p>
        </w:tc>
        <w:tc>
          <w:tcPr>
            <w:tcW w:w="1166" w:type="dxa"/>
            <w:shd w:val="clear" w:color="auto" w:fill="D9D9D9" w:themeFill="background1" w:themeFillShade="D9"/>
            <w:vAlign w:val="center"/>
          </w:tcPr>
          <w:p w:rsidR="00557E2D" w:rsidRPr="00EC33E4" w:rsidRDefault="00557E2D" w:rsidP="0098578F">
            <w:pPr>
              <w:pStyle w:val="tabletext"/>
              <w:keepNext/>
              <w:rPr>
                <w:b/>
              </w:rPr>
            </w:pPr>
            <w:r w:rsidRPr="00EC33E4">
              <w:rPr>
                <w:b/>
              </w:rPr>
              <w:t>No. of operators</w:t>
            </w:r>
          </w:p>
        </w:tc>
        <w:tc>
          <w:tcPr>
            <w:tcW w:w="7290" w:type="dxa"/>
            <w:shd w:val="clear" w:color="auto" w:fill="D9D9D9" w:themeFill="background1" w:themeFillShade="D9"/>
            <w:vAlign w:val="center"/>
          </w:tcPr>
          <w:p w:rsidR="00557E2D" w:rsidRPr="00EC33E4" w:rsidRDefault="00557E2D" w:rsidP="0098578F">
            <w:pPr>
              <w:pStyle w:val="tabletext"/>
              <w:keepNext/>
              <w:rPr>
                <w:b/>
              </w:rPr>
            </w:pPr>
            <w:r w:rsidRPr="00EC33E4">
              <w:rPr>
                <w:b/>
              </w:rPr>
              <w:t>Characteristics</w:t>
            </w:r>
          </w:p>
        </w:tc>
      </w:tr>
      <w:tr w:rsidR="00557E2D" w:rsidRPr="0033764B" w:rsidTr="00C52AEB">
        <w:trPr>
          <w:trHeight w:val="358"/>
        </w:trPr>
        <w:tc>
          <w:tcPr>
            <w:tcW w:w="840" w:type="dxa"/>
          </w:tcPr>
          <w:p w:rsidR="00557E2D" w:rsidRPr="00B32D11" w:rsidRDefault="00557E2D" w:rsidP="0098578F">
            <w:pPr>
              <w:pStyle w:val="tabletext"/>
              <w:keepNext/>
            </w:pPr>
            <w:r w:rsidRPr="00B32D11">
              <w:t>1</w:t>
            </w:r>
          </w:p>
        </w:tc>
        <w:tc>
          <w:tcPr>
            <w:tcW w:w="1166" w:type="dxa"/>
          </w:tcPr>
          <w:p w:rsidR="00557E2D" w:rsidRPr="00B32D11" w:rsidRDefault="00557E2D" w:rsidP="0098578F">
            <w:pPr>
              <w:pStyle w:val="tabletext"/>
              <w:keepNext/>
            </w:pPr>
            <w:r w:rsidRPr="00B32D11">
              <w:t>8</w:t>
            </w:r>
          </w:p>
        </w:tc>
        <w:tc>
          <w:tcPr>
            <w:tcW w:w="7290" w:type="dxa"/>
          </w:tcPr>
          <w:p w:rsidR="00557E2D" w:rsidRPr="00B32D11" w:rsidRDefault="00557E2D" w:rsidP="0098578F">
            <w:pPr>
              <w:pStyle w:val="tabletext"/>
              <w:keepNext/>
            </w:pPr>
            <w:r w:rsidRPr="00B32D11">
              <w:t>IIO, member-owned holding less than 10 </w:t>
            </w:r>
            <w:r>
              <w:t>gigalitres (</w:t>
            </w:r>
            <w:r w:rsidRPr="00B32D11">
              <w:t>GL</w:t>
            </w:r>
            <w:r>
              <w:t>)</w:t>
            </w:r>
            <w:r w:rsidRPr="00B32D11">
              <w:t xml:space="preserve"> of WAE</w:t>
            </w:r>
          </w:p>
        </w:tc>
      </w:tr>
      <w:tr w:rsidR="00557E2D" w:rsidRPr="0033764B" w:rsidTr="00C52AEB">
        <w:trPr>
          <w:trHeight w:val="358"/>
        </w:trPr>
        <w:tc>
          <w:tcPr>
            <w:tcW w:w="840" w:type="dxa"/>
          </w:tcPr>
          <w:p w:rsidR="00557E2D" w:rsidRPr="00B32D11" w:rsidRDefault="00557E2D" w:rsidP="0098578F">
            <w:pPr>
              <w:pStyle w:val="tabletext"/>
              <w:keepNext/>
            </w:pPr>
            <w:r w:rsidRPr="00B32D11">
              <w:t>2</w:t>
            </w:r>
          </w:p>
        </w:tc>
        <w:tc>
          <w:tcPr>
            <w:tcW w:w="1166" w:type="dxa"/>
          </w:tcPr>
          <w:p w:rsidR="00557E2D" w:rsidRPr="00B32D11" w:rsidRDefault="00557E2D" w:rsidP="0098578F">
            <w:pPr>
              <w:pStyle w:val="tabletext"/>
              <w:keepNext/>
            </w:pPr>
            <w:r w:rsidRPr="00B32D11">
              <w:t>12</w:t>
            </w:r>
          </w:p>
        </w:tc>
        <w:tc>
          <w:tcPr>
            <w:tcW w:w="7290" w:type="dxa"/>
          </w:tcPr>
          <w:p w:rsidR="00557E2D" w:rsidRPr="00B32D11" w:rsidRDefault="00557E2D" w:rsidP="0098578F">
            <w:pPr>
              <w:pStyle w:val="tabletext"/>
              <w:keepNext/>
            </w:pPr>
            <w:r w:rsidRPr="00B32D11">
              <w:t>IIO, member-owned, holding between 10-125 GL of WAE</w:t>
            </w:r>
          </w:p>
        </w:tc>
      </w:tr>
      <w:tr w:rsidR="00557E2D" w:rsidRPr="0033764B" w:rsidTr="00C52AEB">
        <w:trPr>
          <w:trHeight w:val="596"/>
        </w:trPr>
        <w:tc>
          <w:tcPr>
            <w:tcW w:w="840" w:type="dxa"/>
          </w:tcPr>
          <w:p w:rsidR="00557E2D" w:rsidRPr="00B32D11" w:rsidRDefault="00557E2D" w:rsidP="0098578F">
            <w:pPr>
              <w:pStyle w:val="tabletext"/>
              <w:keepNext/>
            </w:pPr>
            <w:r w:rsidRPr="00B32D11">
              <w:t>3</w:t>
            </w:r>
          </w:p>
        </w:tc>
        <w:tc>
          <w:tcPr>
            <w:tcW w:w="1166" w:type="dxa"/>
          </w:tcPr>
          <w:p w:rsidR="00557E2D" w:rsidRPr="00B32D11" w:rsidRDefault="00557E2D" w:rsidP="0098578F">
            <w:pPr>
              <w:pStyle w:val="tabletext"/>
              <w:keepNext/>
            </w:pPr>
            <w:r w:rsidRPr="00B32D11">
              <w:t>5</w:t>
            </w:r>
          </w:p>
        </w:tc>
        <w:tc>
          <w:tcPr>
            <w:tcW w:w="7290" w:type="dxa"/>
          </w:tcPr>
          <w:p w:rsidR="00557E2D" w:rsidRPr="00B32D11" w:rsidRDefault="00557E2D" w:rsidP="0098578F">
            <w:pPr>
              <w:pStyle w:val="tabletext"/>
              <w:keepNext/>
            </w:pPr>
            <w:r w:rsidRPr="00B32D11">
              <w:t>IIO, member</w:t>
            </w:r>
            <w:r>
              <w:t>-</w:t>
            </w:r>
            <w:r w:rsidRPr="00B32D11">
              <w:t>owned</w:t>
            </w:r>
            <w:r>
              <w:t xml:space="preserve"> operator</w:t>
            </w:r>
            <w:r w:rsidRPr="00B32D11">
              <w:t xml:space="preserve"> holding more than 125 GL of WAE</w:t>
            </w:r>
            <w:r>
              <w:t xml:space="preserve"> and non-member-owned operators holding 125 GL – 250 GL</w:t>
            </w:r>
            <w:r w:rsidRPr="00B32D11">
              <w:t xml:space="preserve"> of WAE</w:t>
            </w:r>
          </w:p>
        </w:tc>
      </w:tr>
      <w:tr w:rsidR="00557E2D" w:rsidRPr="0033764B" w:rsidTr="00C52AEB">
        <w:trPr>
          <w:trHeight w:val="613"/>
        </w:trPr>
        <w:tc>
          <w:tcPr>
            <w:tcW w:w="840" w:type="dxa"/>
          </w:tcPr>
          <w:p w:rsidR="00557E2D" w:rsidRPr="00B32D11" w:rsidRDefault="00557E2D" w:rsidP="0098578F">
            <w:pPr>
              <w:pStyle w:val="tabletext"/>
              <w:keepNext/>
            </w:pPr>
            <w:r w:rsidRPr="00B32D11">
              <w:t>4</w:t>
            </w:r>
          </w:p>
        </w:tc>
        <w:tc>
          <w:tcPr>
            <w:tcW w:w="1166" w:type="dxa"/>
          </w:tcPr>
          <w:p w:rsidR="00557E2D" w:rsidRPr="00B32D11" w:rsidRDefault="00557E2D" w:rsidP="0098578F">
            <w:pPr>
              <w:pStyle w:val="tabletext"/>
              <w:keepNext/>
            </w:pPr>
            <w:r w:rsidRPr="00B32D11">
              <w:t>6</w:t>
            </w:r>
          </w:p>
        </w:tc>
        <w:tc>
          <w:tcPr>
            <w:tcW w:w="7290" w:type="dxa"/>
          </w:tcPr>
          <w:p w:rsidR="00557E2D" w:rsidRPr="00B32D11" w:rsidRDefault="00557E2D" w:rsidP="0098578F">
            <w:pPr>
              <w:pStyle w:val="tabletext"/>
              <w:keepNext/>
            </w:pPr>
            <w:r w:rsidRPr="00B32D11">
              <w:t xml:space="preserve">Infrastructure Operator </w:t>
            </w:r>
            <w:r>
              <w:t xml:space="preserve">(that may or may not also be an </w:t>
            </w:r>
            <w:r w:rsidRPr="00B32D11">
              <w:t>IIO</w:t>
            </w:r>
            <w:r>
              <w:t xml:space="preserve">), non-member-owned, holding </w:t>
            </w:r>
            <w:r w:rsidRPr="00B32D11">
              <w:t>10 GL</w:t>
            </w:r>
            <w:r>
              <w:t xml:space="preserve"> – 125 GL</w:t>
            </w:r>
            <w:r w:rsidRPr="00B32D11">
              <w:t xml:space="preserve"> of WAE </w:t>
            </w:r>
            <w:r>
              <w:t>or more than 250 GL of WAE</w:t>
            </w:r>
          </w:p>
        </w:tc>
      </w:tr>
    </w:tbl>
    <w:p w:rsidR="00557E2D" w:rsidRPr="00ED6A0F" w:rsidRDefault="00557E2D" w:rsidP="00557E2D">
      <w:pPr>
        <w:spacing w:before="240"/>
      </w:pPr>
      <w:r>
        <w:t>For most proposed changes, the change in regulatory cost is calculated as the total number of operators affected by the proposed change multiplied by the estimated change</w:t>
      </w:r>
      <w:r w:rsidR="00C6733C">
        <w:t xml:space="preserve"> </w:t>
      </w:r>
      <w:r>
        <w:t>in staff hours required to comply, multiplied by the OBPR default standard hourly wage rate of $37.40, multiplied by a labour on-cost multiplier of 1.75.</w:t>
      </w:r>
      <w:r>
        <w:rPr>
          <w:rStyle w:val="FootnoteReference"/>
        </w:rPr>
        <w:footnoteReference w:id="845"/>
      </w:r>
      <w:r>
        <w:t xml:space="preserve"> Unless otherwise stated, estimates for each group are based on assumptions about the </w:t>
      </w:r>
      <w:r>
        <w:rPr>
          <w:i/>
        </w:rPr>
        <w:t>average</w:t>
      </w:r>
      <w:r>
        <w:t xml:space="preserve"> costs to an entity within a particular group. The ACCC acknowledges that costs will vary across individual entities and has generally not attempted to estimate costs for each individual operator.</w:t>
      </w:r>
    </w:p>
    <w:p w:rsidR="00557E2D" w:rsidRPr="008B2B3A" w:rsidRDefault="00557E2D" w:rsidP="00557E2D">
      <w:pPr>
        <w:spacing w:before="240"/>
      </w:pPr>
      <w:r>
        <w:t xml:space="preserve">Consistent with the OBPR methodology, where a change in the cost only occurs in the first year, the estimated change in the cost has been annualised over a 10 year period. </w:t>
      </w:r>
    </w:p>
    <w:p w:rsidR="00557E2D" w:rsidRDefault="00557E2D" w:rsidP="00557E2D">
      <w:pPr>
        <w:spacing w:before="120"/>
      </w:pPr>
      <w:r>
        <w:t>The estimated change in regulatory cost has been calculated for nine categories of proposed amendments as well as for the initial ‘start up costs’ associated with operators gaining a general understanding of the proposed changes.</w:t>
      </w:r>
      <w:r>
        <w:rPr>
          <w:rStyle w:val="FootnoteReference"/>
        </w:rPr>
        <w:footnoteReference w:id="846"/>
      </w:r>
      <w:r>
        <w:t xml:space="preserve"> Table 9.3 below presents these categories and indicates which operator groups are assumed to be affected by the proposed rule amendments in each </w:t>
      </w:r>
      <w:r w:rsidR="00C32209">
        <w:t>category</w:t>
      </w:r>
      <w:r>
        <w:t>.</w:t>
      </w:r>
      <w:r w:rsidR="00C6733C">
        <w:t xml:space="preserve"> </w:t>
      </w:r>
    </w:p>
    <w:p w:rsidR="00557E2D" w:rsidRPr="00035FD7" w:rsidRDefault="00557E2D" w:rsidP="00D014DF">
      <w:pPr>
        <w:pStyle w:val="Tabletitle"/>
      </w:pPr>
      <w:r w:rsidRPr="00035FD7">
        <w:t xml:space="preserve">Table </w:t>
      </w:r>
      <w:r>
        <w:t>9.3—Categories of proposed amendments and affected operator groups</w:t>
      </w:r>
    </w:p>
    <w:tbl>
      <w:tblPr>
        <w:tblStyle w:val="TableGrid"/>
        <w:tblW w:w="9280" w:type="dxa"/>
        <w:tblLook w:val="04A0" w:firstRow="1" w:lastRow="0" w:firstColumn="1" w:lastColumn="0" w:noHBand="0" w:noVBand="1"/>
      </w:tblPr>
      <w:tblGrid>
        <w:gridCol w:w="2149"/>
        <w:gridCol w:w="1455"/>
        <w:gridCol w:w="1164"/>
        <w:gridCol w:w="4512"/>
      </w:tblGrid>
      <w:tr w:rsidR="00557E2D" w:rsidRPr="000A7B13" w:rsidTr="00C52AEB">
        <w:trPr>
          <w:trHeight w:val="942"/>
        </w:trPr>
        <w:tc>
          <w:tcPr>
            <w:tcW w:w="2149" w:type="dxa"/>
            <w:shd w:val="clear" w:color="auto" w:fill="D9D9D9" w:themeFill="background1" w:themeFillShade="D9"/>
            <w:vAlign w:val="center"/>
          </w:tcPr>
          <w:p w:rsidR="00557E2D" w:rsidRPr="00EC33E4" w:rsidRDefault="00557E2D" w:rsidP="00D014DF">
            <w:pPr>
              <w:pStyle w:val="tabletext"/>
              <w:keepNext/>
              <w:rPr>
                <w:b/>
              </w:rPr>
            </w:pPr>
            <w:r w:rsidRPr="00EC33E4">
              <w:rPr>
                <w:b/>
              </w:rPr>
              <w:t>Category of proposed amendment</w:t>
            </w:r>
          </w:p>
        </w:tc>
        <w:tc>
          <w:tcPr>
            <w:tcW w:w="1455" w:type="dxa"/>
            <w:shd w:val="clear" w:color="auto" w:fill="D9D9D9" w:themeFill="background1" w:themeFillShade="D9"/>
            <w:vAlign w:val="center"/>
          </w:tcPr>
          <w:p w:rsidR="00557E2D" w:rsidRPr="00EC33E4" w:rsidRDefault="00557E2D" w:rsidP="00D014DF">
            <w:pPr>
              <w:pStyle w:val="tabletext"/>
              <w:keepNext/>
              <w:rPr>
                <w:b/>
              </w:rPr>
            </w:pPr>
            <w:r w:rsidRPr="00EC33E4">
              <w:rPr>
                <w:b/>
              </w:rPr>
              <w:t>Relevant operator groups (see table 9.1)</w:t>
            </w:r>
          </w:p>
        </w:tc>
        <w:tc>
          <w:tcPr>
            <w:tcW w:w="1164" w:type="dxa"/>
            <w:shd w:val="clear" w:color="auto" w:fill="D9D9D9" w:themeFill="background1" w:themeFillShade="D9"/>
            <w:vAlign w:val="center"/>
          </w:tcPr>
          <w:p w:rsidR="00557E2D" w:rsidRPr="00EC33E4" w:rsidRDefault="00557E2D" w:rsidP="00D014DF">
            <w:pPr>
              <w:pStyle w:val="tabletext"/>
              <w:keepNext/>
              <w:rPr>
                <w:b/>
              </w:rPr>
            </w:pPr>
            <w:r w:rsidRPr="00EC33E4">
              <w:rPr>
                <w:b/>
              </w:rPr>
              <w:t>Relevant water charge rules</w:t>
            </w:r>
            <w:r w:rsidRPr="009845D5">
              <w:rPr>
                <w:rStyle w:val="FootnoteReference"/>
                <w:rFonts w:eastAsiaTheme="majorEastAsia"/>
              </w:rPr>
              <w:footnoteReference w:id="847"/>
            </w:r>
          </w:p>
        </w:tc>
        <w:tc>
          <w:tcPr>
            <w:tcW w:w="4512" w:type="dxa"/>
            <w:shd w:val="clear" w:color="auto" w:fill="D9D9D9" w:themeFill="background1" w:themeFillShade="D9"/>
            <w:vAlign w:val="center"/>
          </w:tcPr>
          <w:p w:rsidR="00557E2D" w:rsidRPr="00EC33E4" w:rsidRDefault="00557E2D" w:rsidP="00D014DF">
            <w:pPr>
              <w:pStyle w:val="tabletext"/>
              <w:keepNext/>
              <w:rPr>
                <w:b/>
              </w:rPr>
            </w:pPr>
            <w:r w:rsidRPr="00EC33E4">
              <w:rPr>
                <w:b/>
              </w:rPr>
              <w:t>What the proposed amendments relate to</w:t>
            </w:r>
          </w:p>
        </w:tc>
      </w:tr>
      <w:tr w:rsidR="00557E2D" w:rsidTr="00C52AEB">
        <w:trPr>
          <w:trHeight w:val="682"/>
        </w:trPr>
        <w:tc>
          <w:tcPr>
            <w:tcW w:w="2149" w:type="dxa"/>
          </w:tcPr>
          <w:p w:rsidR="00557E2D" w:rsidRPr="00B32D11" w:rsidRDefault="00557E2D" w:rsidP="00D014DF">
            <w:pPr>
              <w:pStyle w:val="tabletext"/>
              <w:keepNext/>
            </w:pPr>
            <w:r w:rsidRPr="00B32D11">
              <w:t>Non-discrimination</w:t>
            </w:r>
            <w:r>
              <w:t xml:space="preserve"> provisions</w:t>
            </w:r>
          </w:p>
        </w:tc>
        <w:tc>
          <w:tcPr>
            <w:tcW w:w="1455" w:type="dxa"/>
          </w:tcPr>
          <w:p w:rsidR="00557E2D" w:rsidRPr="00B32D11" w:rsidRDefault="00557E2D" w:rsidP="00D014DF">
            <w:pPr>
              <w:pStyle w:val="tabletext"/>
              <w:keepNext/>
            </w:pPr>
            <w:r w:rsidRPr="00B32D11">
              <w:t>1,</w:t>
            </w:r>
            <w:r>
              <w:t xml:space="preserve"> </w:t>
            </w:r>
            <w:r w:rsidRPr="00B32D11">
              <w:t>2,</w:t>
            </w:r>
            <w:r>
              <w:t xml:space="preserve"> </w:t>
            </w:r>
            <w:r w:rsidRPr="00B32D11">
              <w:t>3,</w:t>
            </w:r>
            <w:r>
              <w:t xml:space="preserve"> </w:t>
            </w:r>
            <w:r w:rsidRPr="00B32D11">
              <w:t>4</w:t>
            </w:r>
          </w:p>
        </w:tc>
        <w:tc>
          <w:tcPr>
            <w:tcW w:w="1164" w:type="dxa"/>
          </w:tcPr>
          <w:p w:rsidR="00557E2D" w:rsidRDefault="00557E2D" w:rsidP="00D014DF">
            <w:pPr>
              <w:pStyle w:val="tabletext"/>
              <w:keepNext/>
            </w:pPr>
            <w:r w:rsidRPr="00B32D11">
              <w:t xml:space="preserve">WCIR </w:t>
            </w:r>
          </w:p>
          <w:p w:rsidR="00557E2D" w:rsidRPr="00B32D11" w:rsidRDefault="00557E2D" w:rsidP="00D014DF">
            <w:pPr>
              <w:pStyle w:val="tabletext"/>
              <w:keepNext/>
            </w:pPr>
            <w:r>
              <w:t>(</w:t>
            </w:r>
            <w:r w:rsidRPr="00B32D11">
              <w:t>Part 3</w:t>
            </w:r>
            <w:r>
              <w:t>)</w:t>
            </w:r>
          </w:p>
        </w:tc>
        <w:tc>
          <w:tcPr>
            <w:tcW w:w="4512" w:type="dxa"/>
          </w:tcPr>
          <w:p w:rsidR="00557E2D" w:rsidRPr="00B32D11" w:rsidRDefault="00557E2D" w:rsidP="00D014DF">
            <w:pPr>
              <w:pStyle w:val="tabletext"/>
              <w:keepNext/>
            </w:pPr>
            <w:r>
              <w:t>Enhanced</w:t>
            </w:r>
            <w:r w:rsidRPr="00B32D11">
              <w:t xml:space="preserve"> non-discrimination provisions</w:t>
            </w:r>
            <w:r>
              <w:t xml:space="preserve"> in relation to infrastructure charges</w:t>
            </w:r>
          </w:p>
        </w:tc>
      </w:tr>
      <w:tr w:rsidR="00557E2D" w:rsidRPr="00B16FAB" w:rsidTr="00C52AEB">
        <w:trPr>
          <w:trHeight w:val="1153"/>
        </w:trPr>
        <w:tc>
          <w:tcPr>
            <w:tcW w:w="2149" w:type="dxa"/>
          </w:tcPr>
          <w:p w:rsidR="00557E2D" w:rsidRPr="00B32D11" w:rsidRDefault="00557E2D" w:rsidP="00D014DF">
            <w:pPr>
              <w:pStyle w:val="tabletext"/>
              <w:keepNext/>
            </w:pPr>
            <w:r w:rsidRPr="00B32D11">
              <w:t xml:space="preserve">Schedule of </w:t>
            </w:r>
            <w:r w:rsidR="00AD6514">
              <w:t>C</w:t>
            </w:r>
            <w:r w:rsidRPr="00B32D11">
              <w:t>harges</w:t>
            </w:r>
          </w:p>
        </w:tc>
        <w:tc>
          <w:tcPr>
            <w:tcW w:w="1455" w:type="dxa"/>
          </w:tcPr>
          <w:p w:rsidR="00557E2D" w:rsidRPr="00B32D11" w:rsidRDefault="00557E2D" w:rsidP="00D014DF">
            <w:pPr>
              <w:pStyle w:val="tabletext"/>
              <w:keepNext/>
            </w:pPr>
            <w:r w:rsidRPr="00B32D11">
              <w:t>1,</w:t>
            </w:r>
            <w:r>
              <w:t xml:space="preserve"> </w:t>
            </w:r>
            <w:r w:rsidRPr="00B32D11">
              <w:t>2,</w:t>
            </w:r>
            <w:r>
              <w:t xml:space="preserve"> </w:t>
            </w:r>
            <w:r w:rsidRPr="00B32D11">
              <w:t>3,</w:t>
            </w:r>
            <w:r>
              <w:t xml:space="preserve"> </w:t>
            </w:r>
            <w:r w:rsidRPr="00B32D11">
              <w:t>4</w:t>
            </w:r>
          </w:p>
        </w:tc>
        <w:tc>
          <w:tcPr>
            <w:tcW w:w="1164" w:type="dxa"/>
          </w:tcPr>
          <w:p w:rsidR="00557E2D" w:rsidRDefault="00557E2D" w:rsidP="00D014DF">
            <w:pPr>
              <w:pStyle w:val="tabletext"/>
              <w:keepNext/>
            </w:pPr>
            <w:r w:rsidRPr="00B32D11">
              <w:t xml:space="preserve">WCIR </w:t>
            </w:r>
          </w:p>
          <w:p w:rsidR="00557E2D" w:rsidRPr="00B32D11" w:rsidRDefault="00557E2D" w:rsidP="00D014DF">
            <w:pPr>
              <w:pStyle w:val="tabletext"/>
              <w:keepNext/>
            </w:pPr>
            <w:r>
              <w:t>(</w:t>
            </w:r>
            <w:r w:rsidRPr="00B32D11">
              <w:t>Part 4</w:t>
            </w:r>
            <w:r>
              <w:t>)</w:t>
            </w:r>
          </w:p>
        </w:tc>
        <w:tc>
          <w:tcPr>
            <w:tcW w:w="4512" w:type="dxa"/>
          </w:tcPr>
          <w:p w:rsidR="00557E2D" w:rsidRPr="00B32D11" w:rsidRDefault="00557E2D" w:rsidP="00D014DF">
            <w:pPr>
              <w:pStyle w:val="tabletext"/>
              <w:keepNext/>
            </w:pPr>
            <w:r>
              <w:t>T</w:t>
            </w:r>
            <w:r w:rsidRPr="00B32D11">
              <w:t xml:space="preserve">he information an </w:t>
            </w:r>
            <w:r>
              <w:t xml:space="preserve">infrastructure </w:t>
            </w:r>
            <w:r w:rsidRPr="00B32D11">
              <w:t>operator</w:t>
            </w:r>
            <w:r>
              <w:t xml:space="preserve"> is</w:t>
            </w:r>
            <w:r w:rsidRPr="00B32D11">
              <w:t xml:space="preserve"> </w:t>
            </w:r>
            <w:r>
              <w:t xml:space="preserve">require to provide on its </w:t>
            </w:r>
            <w:r w:rsidR="00AD6514">
              <w:t>S</w:t>
            </w:r>
            <w:r w:rsidRPr="00B32D11">
              <w:t xml:space="preserve">chedule of </w:t>
            </w:r>
            <w:r w:rsidR="00AD6514">
              <w:t>C</w:t>
            </w:r>
            <w:r w:rsidRPr="00B32D11">
              <w:t xml:space="preserve">harges and publication requirements </w:t>
            </w:r>
          </w:p>
        </w:tc>
      </w:tr>
      <w:tr w:rsidR="00557E2D" w:rsidRPr="00B16FAB" w:rsidTr="00C52AEB">
        <w:trPr>
          <w:trHeight w:val="707"/>
        </w:trPr>
        <w:tc>
          <w:tcPr>
            <w:tcW w:w="2149" w:type="dxa"/>
          </w:tcPr>
          <w:p w:rsidR="00557E2D" w:rsidRPr="00B32D11" w:rsidRDefault="00557E2D" w:rsidP="00D014DF">
            <w:pPr>
              <w:pStyle w:val="tabletext"/>
              <w:keepNext/>
            </w:pPr>
            <w:r w:rsidRPr="00B32D11">
              <w:t>Network Service Plans</w:t>
            </w:r>
          </w:p>
        </w:tc>
        <w:tc>
          <w:tcPr>
            <w:tcW w:w="1455" w:type="dxa"/>
          </w:tcPr>
          <w:p w:rsidR="00557E2D" w:rsidRPr="00B32D11" w:rsidRDefault="00557E2D" w:rsidP="00D014DF">
            <w:pPr>
              <w:pStyle w:val="tabletext"/>
              <w:keepNext/>
            </w:pPr>
            <w:r w:rsidRPr="00B32D11">
              <w:t>3</w:t>
            </w:r>
          </w:p>
        </w:tc>
        <w:tc>
          <w:tcPr>
            <w:tcW w:w="1164" w:type="dxa"/>
          </w:tcPr>
          <w:p w:rsidR="00557E2D" w:rsidRDefault="00557E2D" w:rsidP="00D014DF">
            <w:pPr>
              <w:pStyle w:val="tabletext"/>
              <w:keepNext/>
            </w:pPr>
            <w:r w:rsidRPr="00B32D11">
              <w:t xml:space="preserve">WCIR </w:t>
            </w:r>
          </w:p>
          <w:p w:rsidR="00557E2D" w:rsidRPr="00B32D11" w:rsidRDefault="00557E2D" w:rsidP="00D014DF">
            <w:pPr>
              <w:pStyle w:val="tabletext"/>
              <w:keepNext/>
            </w:pPr>
            <w:r>
              <w:t>(</w:t>
            </w:r>
            <w:r w:rsidRPr="00B32D11">
              <w:t>Part 5</w:t>
            </w:r>
            <w:r>
              <w:t>)</w:t>
            </w:r>
          </w:p>
        </w:tc>
        <w:tc>
          <w:tcPr>
            <w:tcW w:w="4512" w:type="dxa"/>
          </w:tcPr>
          <w:p w:rsidR="00557E2D" w:rsidRPr="00B32D11" w:rsidRDefault="00557E2D" w:rsidP="00D014DF">
            <w:pPr>
              <w:pStyle w:val="tabletext"/>
              <w:keepNext/>
            </w:pPr>
            <w:r>
              <w:t>T</w:t>
            </w:r>
            <w:r w:rsidRPr="00B32D11">
              <w:t>he repeal of Network Service Plans</w:t>
            </w:r>
            <w:r>
              <w:t xml:space="preserve"> and associated requirements</w:t>
            </w:r>
          </w:p>
        </w:tc>
      </w:tr>
      <w:tr w:rsidR="00557E2D" w:rsidRPr="00B16FAB" w:rsidTr="00C52AEB">
        <w:trPr>
          <w:trHeight w:val="1099"/>
        </w:trPr>
        <w:tc>
          <w:tcPr>
            <w:tcW w:w="2149" w:type="dxa"/>
          </w:tcPr>
          <w:p w:rsidR="00557E2D" w:rsidRPr="00B32D11" w:rsidRDefault="00557E2D" w:rsidP="00D014DF">
            <w:pPr>
              <w:pStyle w:val="tabletext"/>
              <w:keepNext/>
            </w:pPr>
            <w:r>
              <w:t>Approvals and</w:t>
            </w:r>
            <w:r w:rsidRPr="00B32D11">
              <w:t xml:space="preserve"> determinations</w:t>
            </w:r>
          </w:p>
        </w:tc>
        <w:tc>
          <w:tcPr>
            <w:tcW w:w="1455" w:type="dxa"/>
          </w:tcPr>
          <w:p w:rsidR="00557E2D" w:rsidRPr="00B32D11" w:rsidRDefault="00557E2D" w:rsidP="00D014DF">
            <w:pPr>
              <w:pStyle w:val="tabletext"/>
              <w:keepNext/>
            </w:pPr>
            <w:r w:rsidRPr="00B32D11">
              <w:t>4</w:t>
            </w:r>
          </w:p>
        </w:tc>
        <w:tc>
          <w:tcPr>
            <w:tcW w:w="1164" w:type="dxa"/>
          </w:tcPr>
          <w:p w:rsidR="00557E2D" w:rsidRDefault="00557E2D" w:rsidP="00D014DF">
            <w:pPr>
              <w:pStyle w:val="tabletext"/>
              <w:keepNext/>
              <w:tabs>
                <w:tab w:val="left" w:pos="883"/>
              </w:tabs>
            </w:pPr>
            <w:r w:rsidRPr="00B32D11">
              <w:t xml:space="preserve">WCIR </w:t>
            </w:r>
            <w:r>
              <w:tab/>
            </w:r>
          </w:p>
          <w:p w:rsidR="00557E2D" w:rsidRPr="00B32D11" w:rsidRDefault="00557E2D" w:rsidP="00D014DF">
            <w:pPr>
              <w:pStyle w:val="tabletext"/>
              <w:keepNext/>
            </w:pPr>
            <w:r>
              <w:t>(</w:t>
            </w:r>
            <w:r w:rsidRPr="00B32D11">
              <w:t>Part 6</w:t>
            </w:r>
            <w:r>
              <w:t>)</w:t>
            </w:r>
          </w:p>
        </w:tc>
        <w:tc>
          <w:tcPr>
            <w:tcW w:w="4512" w:type="dxa"/>
          </w:tcPr>
          <w:p w:rsidR="00557E2D" w:rsidRPr="00B32D11" w:rsidRDefault="00557E2D" w:rsidP="00D014DF">
            <w:pPr>
              <w:pStyle w:val="tabletext"/>
              <w:keepNext/>
            </w:pPr>
            <w:r>
              <w:t>T</w:t>
            </w:r>
            <w:r w:rsidRPr="00B32D11">
              <w:t xml:space="preserve">he application of </w:t>
            </w:r>
            <w:r>
              <w:t>P</w:t>
            </w:r>
            <w:r w:rsidRPr="00B32D11">
              <w:t>art 6 including procedural arrangements, length of regulatory period, basis for approving or determining charges, annual reviews and variations of determinations</w:t>
            </w:r>
          </w:p>
        </w:tc>
      </w:tr>
      <w:tr w:rsidR="00557E2D" w:rsidRPr="00245BD7" w:rsidTr="00C52AEB">
        <w:trPr>
          <w:trHeight w:val="670"/>
        </w:trPr>
        <w:tc>
          <w:tcPr>
            <w:tcW w:w="2149" w:type="dxa"/>
          </w:tcPr>
          <w:p w:rsidR="00557E2D" w:rsidRPr="00B32D11" w:rsidRDefault="00557E2D" w:rsidP="00D014DF">
            <w:pPr>
              <w:pStyle w:val="tabletext"/>
              <w:keepNext/>
            </w:pPr>
            <w:r w:rsidRPr="00B32D11">
              <w:t>Distributions</w:t>
            </w:r>
          </w:p>
        </w:tc>
        <w:tc>
          <w:tcPr>
            <w:tcW w:w="1455" w:type="dxa"/>
          </w:tcPr>
          <w:p w:rsidR="00557E2D" w:rsidRPr="00B32D11" w:rsidRDefault="00557E2D" w:rsidP="00D014DF">
            <w:pPr>
              <w:pStyle w:val="tabletext"/>
              <w:keepNext/>
            </w:pPr>
            <w:r w:rsidRPr="00B32D11">
              <w:t>1,</w:t>
            </w:r>
            <w:r>
              <w:t xml:space="preserve"> </w:t>
            </w:r>
            <w:r w:rsidRPr="00B32D11">
              <w:t>2,</w:t>
            </w:r>
            <w:r>
              <w:t xml:space="preserve"> </w:t>
            </w:r>
            <w:r w:rsidRPr="00B32D11">
              <w:t>3</w:t>
            </w:r>
          </w:p>
        </w:tc>
        <w:tc>
          <w:tcPr>
            <w:tcW w:w="1164" w:type="dxa"/>
          </w:tcPr>
          <w:p w:rsidR="00557E2D" w:rsidRDefault="00557E2D" w:rsidP="00D014DF">
            <w:pPr>
              <w:pStyle w:val="tabletext"/>
              <w:keepNext/>
            </w:pPr>
            <w:r w:rsidRPr="00B32D11">
              <w:t xml:space="preserve">WCIR </w:t>
            </w:r>
          </w:p>
          <w:p w:rsidR="00557E2D" w:rsidRPr="00B32D11" w:rsidRDefault="00557E2D" w:rsidP="00D014DF">
            <w:pPr>
              <w:pStyle w:val="tabletext"/>
              <w:keepNext/>
            </w:pPr>
            <w:r>
              <w:t>(</w:t>
            </w:r>
            <w:r w:rsidRPr="00B32D11">
              <w:t>Part 7</w:t>
            </w:r>
            <w:r>
              <w:t>)</w:t>
            </w:r>
          </w:p>
        </w:tc>
        <w:tc>
          <w:tcPr>
            <w:tcW w:w="4512" w:type="dxa"/>
          </w:tcPr>
          <w:p w:rsidR="00557E2D" w:rsidRPr="00B32D11" w:rsidRDefault="00557E2D" w:rsidP="00284C22">
            <w:pPr>
              <w:pStyle w:val="tabletext"/>
              <w:keepNext/>
            </w:pPr>
            <w:r>
              <w:t xml:space="preserve">The application of Part 7 when certain </w:t>
            </w:r>
            <w:r w:rsidRPr="00B32D11">
              <w:t xml:space="preserve">distributions </w:t>
            </w:r>
            <w:r>
              <w:t xml:space="preserve">are </w:t>
            </w:r>
            <w:r w:rsidRPr="00B32D11">
              <w:t xml:space="preserve">made to customers by </w:t>
            </w:r>
            <w:r w:rsidR="00284C22">
              <w:t>infrastructure operator</w:t>
            </w:r>
            <w:r w:rsidR="00284C22" w:rsidRPr="00B32D11">
              <w:t xml:space="preserve">s </w:t>
            </w:r>
          </w:p>
        </w:tc>
      </w:tr>
      <w:tr w:rsidR="00557E2D" w:rsidTr="00C52AEB">
        <w:trPr>
          <w:trHeight w:val="601"/>
        </w:trPr>
        <w:tc>
          <w:tcPr>
            <w:tcW w:w="2149" w:type="dxa"/>
          </w:tcPr>
          <w:p w:rsidR="00557E2D" w:rsidRPr="00B32D11" w:rsidRDefault="00557E2D" w:rsidP="00D014DF">
            <w:pPr>
              <w:pStyle w:val="tabletext"/>
              <w:keepNext/>
            </w:pPr>
            <w:r w:rsidRPr="00B32D11">
              <w:t>Termination fee</w:t>
            </w:r>
            <w:r>
              <w:t>s (calculation method)</w:t>
            </w:r>
          </w:p>
        </w:tc>
        <w:tc>
          <w:tcPr>
            <w:tcW w:w="1455" w:type="dxa"/>
          </w:tcPr>
          <w:p w:rsidR="00557E2D" w:rsidRPr="00B32D11" w:rsidRDefault="00557E2D" w:rsidP="00D014DF">
            <w:pPr>
              <w:pStyle w:val="tabletext"/>
              <w:keepNext/>
            </w:pPr>
            <w:r w:rsidRPr="00B32D11">
              <w:t>1,</w:t>
            </w:r>
            <w:r>
              <w:t xml:space="preserve"> </w:t>
            </w:r>
            <w:r w:rsidRPr="00B32D11">
              <w:t>2,</w:t>
            </w:r>
            <w:r>
              <w:t xml:space="preserve"> </w:t>
            </w:r>
            <w:r w:rsidRPr="00B32D11">
              <w:t>3,</w:t>
            </w:r>
            <w:r>
              <w:t xml:space="preserve"> </w:t>
            </w:r>
            <w:r w:rsidRPr="00B32D11">
              <w:t>4</w:t>
            </w:r>
          </w:p>
        </w:tc>
        <w:tc>
          <w:tcPr>
            <w:tcW w:w="1164" w:type="dxa"/>
          </w:tcPr>
          <w:p w:rsidR="00557E2D" w:rsidRPr="00B32D11" w:rsidRDefault="00557E2D" w:rsidP="00D014DF">
            <w:pPr>
              <w:pStyle w:val="tabletext"/>
              <w:keepNext/>
            </w:pPr>
            <w:r>
              <w:t>WCTFR</w:t>
            </w:r>
          </w:p>
        </w:tc>
        <w:tc>
          <w:tcPr>
            <w:tcW w:w="4512" w:type="dxa"/>
          </w:tcPr>
          <w:p w:rsidR="00557E2D" w:rsidRPr="00B32D11" w:rsidRDefault="00557E2D" w:rsidP="00D014DF">
            <w:pPr>
              <w:pStyle w:val="tabletext"/>
              <w:keepNext/>
            </w:pPr>
            <w:r>
              <w:t>The</w:t>
            </w:r>
            <w:r w:rsidRPr="00B32D11">
              <w:t xml:space="preserve"> method </w:t>
            </w:r>
            <w:r>
              <w:t>used to</w:t>
            </w:r>
            <w:r w:rsidRPr="00B32D11">
              <w:t xml:space="preserve"> calculat</w:t>
            </w:r>
            <w:r>
              <w:t>e</w:t>
            </w:r>
            <w:r w:rsidRPr="00B32D11">
              <w:t xml:space="preserve"> termination fees </w:t>
            </w:r>
          </w:p>
        </w:tc>
      </w:tr>
      <w:tr w:rsidR="00557E2D" w:rsidTr="00C52AEB">
        <w:trPr>
          <w:trHeight w:val="1099"/>
        </w:trPr>
        <w:tc>
          <w:tcPr>
            <w:tcW w:w="2149" w:type="dxa"/>
          </w:tcPr>
          <w:p w:rsidR="00557E2D" w:rsidRPr="00B32D11" w:rsidRDefault="00557E2D" w:rsidP="00D014DF">
            <w:pPr>
              <w:pStyle w:val="tabletext"/>
              <w:keepNext/>
            </w:pPr>
            <w:r>
              <w:t>T</w:t>
            </w:r>
            <w:r w:rsidRPr="00D6631E">
              <w:t>ermination fee</w:t>
            </w:r>
            <w:r>
              <w:t>s (other</w:t>
            </w:r>
            <w:r w:rsidRPr="00D6631E">
              <w:t xml:space="preserve"> provisions including information </w:t>
            </w:r>
            <w:r>
              <w:t>requirements)</w:t>
            </w:r>
          </w:p>
        </w:tc>
        <w:tc>
          <w:tcPr>
            <w:tcW w:w="1455" w:type="dxa"/>
          </w:tcPr>
          <w:p w:rsidR="00557E2D" w:rsidRPr="00B32D11" w:rsidRDefault="00557E2D" w:rsidP="00D014DF">
            <w:pPr>
              <w:pStyle w:val="tabletext"/>
              <w:keepNext/>
            </w:pPr>
            <w:r>
              <w:t>1, 2, 3, 4</w:t>
            </w:r>
          </w:p>
        </w:tc>
        <w:tc>
          <w:tcPr>
            <w:tcW w:w="1164" w:type="dxa"/>
          </w:tcPr>
          <w:p w:rsidR="00557E2D" w:rsidRPr="00B32D11" w:rsidRDefault="00557E2D" w:rsidP="00D014DF">
            <w:pPr>
              <w:pStyle w:val="tabletext"/>
              <w:keepNext/>
            </w:pPr>
            <w:r>
              <w:t>WCTFR</w:t>
            </w:r>
          </w:p>
        </w:tc>
        <w:tc>
          <w:tcPr>
            <w:tcW w:w="4512" w:type="dxa"/>
          </w:tcPr>
          <w:p w:rsidR="00557E2D" w:rsidRPr="00B32D11" w:rsidRDefault="00557E2D" w:rsidP="00D014DF">
            <w:pPr>
              <w:pStyle w:val="tabletext"/>
              <w:keepNext/>
            </w:pPr>
            <w:r>
              <w:t xml:space="preserve">The circumstances </w:t>
            </w:r>
            <w:r w:rsidR="00A14DB7">
              <w:t xml:space="preserve">where </w:t>
            </w:r>
            <w:r>
              <w:t>a termination fee can be imposed and the limitations on imposing termination fees</w:t>
            </w:r>
          </w:p>
        </w:tc>
      </w:tr>
      <w:tr w:rsidR="00557E2D" w:rsidTr="00C52AEB">
        <w:trPr>
          <w:trHeight w:val="1082"/>
        </w:trPr>
        <w:tc>
          <w:tcPr>
            <w:tcW w:w="2149" w:type="dxa"/>
          </w:tcPr>
          <w:p w:rsidR="00557E2D" w:rsidRPr="00B32D11" w:rsidRDefault="00557E2D" w:rsidP="00D014DF">
            <w:pPr>
              <w:pStyle w:val="tabletext"/>
              <w:keepNext/>
            </w:pPr>
            <w:r>
              <w:t>P</w:t>
            </w:r>
            <w:r w:rsidRPr="00D6631E">
              <w:t>lanning and management charge</w:t>
            </w:r>
            <w:r>
              <w:t>s (information disclosure)</w:t>
            </w:r>
          </w:p>
        </w:tc>
        <w:tc>
          <w:tcPr>
            <w:tcW w:w="1455" w:type="dxa"/>
          </w:tcPr>
          <w:p w:rsidR="00557E2D" w:rsidRPr="00B32D11" w:rsidRDefault="00557E2D" w:rsidP="00D014DF">
            <w:pPr>
              <w:pStyle w:val="tabletext"/>
              <w:keepNext/>
            </w:pPr>
            <w:r w:rsidRPr="00B32D11">
              <w:t>4</w:t>
            </w:r>
          </w:p>
        </w:tc>
        <w:tc>
          <w:tcPr>
            <w:tcW w:w="1164" w:type="dxa"/>
          </w:tcPr>
          <w:p w:rsidR="00557E2D" w:rsidRPr="00B32D11" w:rsidRDefault="00557E2D" w:rsidP="00D014DF">
            <w:pPr>
              <w:pStyle w:val="tabletext"/>
              <w:keepNext/>
            </w:pPr>
            <w:r>
              <w:t>WCPMIR</w:t>
            </w:r>
          </w:p>
        </w:tc>
        <w:tc>
          <w:tcPr>
            <w:tcW w:w="4512" w:type="dxa"/>
          </w:tcPr>
          <w:p w:rsidR="00557E2D" w:rsidRPr="00B32D11" w:rsidRDefault="00557E2D" w:rsidP="00D014DF">
            <w:pPr>
              <w:pStyle w:val="tabletext"/>
              <w:keepNext/>
            </w:pPr>
            <w:r>
              <w:t>The remov</w:t>
            </w:r>
            <w:r w:rsidR="00D014DF">
              <w:t xml:space="preserve">al of </w:t>
            </w:r>
            <w:r>
              <w:t xml:space="preserve">requirements for the disclosure of </w:t>
            </w:r>
            <w:r w:rsidRPr="00B32D11">
              <w:t xml:space="preserve">information </w:t>
            </w:r>
            <w:r>
              <w:t xml:space="preserve">in relation to water planning and management activities </w:t>
            </w:r>
          </w:p>
        </w:tc>
      </w:tr>
      <w:tr w:rsidR="00557E2D" w:rsidTr="00C52AEB">
        <w:trPr>
          <w:trHeight w:val="1099"/>
        </w:trPr>
        <w:tc>
          <w:tcPr>
            <w:tcW w:w="2149" w:type="dxa"/>
          </w:tcPr>
          <w:p w:rsidR="00557E2D" w:rsidRPr="00B32D11" w:rsidRDefault="00557E2D" w:rsidP="00D014DF">
            <w:pPr>
              <w:pStyle w:val="tabletext"/>
              <w:keepNext/>
            </w:pPr>
            <w:r w:rsidRPr="00D6631E">
              <w:t>Planning and management charge</w:t>
            </w:r>
            <w:r>
              <w:t>s</w:t>
            </w:r>
            <w:r w:rsidRPr="00D6631E">
              <w:t xml:space="preserve"> </w:t>
            </w:r>
            <w:r>
              <w:t>(</w:t>
            </w:r>
            <w:r w:rsidRPr="00D6631E">
              <w:t>publication requirements</w:t>
            </w:r>
            <w:r>
              <w:t>)</w:t>
            </w:r>
          </w:p>
        </w:tc>
        <w:tc>
          <w:tcPr>
            <w:tcW w:w="1455" w:type="dxa"/>
          </w:tcPr>
          <w:p w:rsidR="00557E2D" w:rsidRPr="00B32D11" w:rsidRDefault="00557E2D" w:rsidP="00D014DF">
            <w:pPr>
              <w:pStyle w:val="tabletext"/>
              <w:keepNext/>
            </w:pPr>
            <w:r>
              <w:t>4</w:t>
            </w:r>
          </w:p>
        </w:tc>
        <w:tc>
          <w:tcPr>
            <w:tcW w:w="1164" w:type="dxa"/>
          </w:tcPr>
          <w:p w:rsidR="00557E2D" w:rsidRPr="00B32D11" w:rsidRDefault="00557E2D" w:rsidP="00D014DF">
            <w:pPr>
              <w:pStyle w:val="tabletext"/>
              <w:keepNext/>
            </w:pPr>
            <w:r>
              <w:t>WCPMIR</w:t>
            </w:r>
          </w:p>
        </w:tc>
        <w:tc>
          <w:tcPr>
            <w:tcW w:w="4512" w:type="dxa"/>
          </w:tcPr>
          <w:p w:rsidR="00557E2D" w:rsidRPr="00B32D11" w:rsidRDefault="00557E2D" w:rsidP="00D014DF">
            <w:pPr>
              <w:pStyle w:val="tabletext"/>
              <w:keepNext/>
            </w:pPr>
            <w:r>
              <w:t xml:space="preserve">The publication requirements for Basin State departments and water authorities that levy a planning </w:t>
            </w:r>
            <w:r w:rsidR="00284C22">
              <w:t>and</w:t>
            </w:r>
            <w:r>
              <w:t xml:space="preserve"> management charge</w:t>
            </w:r>
          </w:p>
        </w:tc>
      </w:tr>
      <w:tr w:rsidR="00557E2D" w:rsidRPr="00275EA3" w:rsidTr="00C52AEB">
        <w:trPr>
          <w:trHeight w:val="907"/>
        </w:trPr>
        <w:tc>
          <w:tcPr>
            <w:tcW w:w="2149" w:type="dxa"/>
          </w:tcPr>
          <w:p w:rsidR="00557E2D" w:rsidRPr="00B32D11" w:rsidRDefault="00557E2D" w:rsidP="00D014DF">
            <w:pPr>
              <w:pStyle w:val="tabletext"/>
              <w:keepNext/>
            </w:pPr>
            <w:r w:rsidRPr="00B32D11">
              <w:t>One-off and start-up costs</w:t>
            </w:r>
            <w:r>
              <w:t xml:space="preserve"> not elsewhere included</w:t>
            </w:r>
          </w:p>
        </w:tc>
        <w:tc>
          <w:tcPr>
            <w:tcW w:w="1455" w:type="dxa"/>
          </w:tcPr>
          <w:p w:rsidR="00557E2D" w:rsidRPr="00B32D11" w:rsidRDefault="00557E2D" w:rsidP="00D014DF">
            <w:pPr>
              <w:pStyle w:val="tabletext"/>
              <w:keepNext/>
            </w:pPr>
            <w:r w:rsidRPr="00B32D11">
              <w:t>1,2,3,4</w:t>
            </w:r>
          </w:p>
        </w:tc>
        <w:tc>
          <w:tcPr>
            <w:tcW w:w="1164" w:type="dxa"/>
          </w:tcPr>
          <w:p w:rsidR="00557E2D" w:rsidRPr="00B32D11" w:rsidRDefault="00557E2D" w:rsidP="00D014DF">
            <w:pPr>
              <w:pStyle w:val="tabletext"/>
              <w:keepNext/>
            </w:pPr>
            <w:r w:rsidRPr="00B32D11">
              <w:t>WCIR, WCTFR, WCPMIR</w:t>
            </w:r>
          </w:p>
        </w:tc>
        <w:tc>
          <w:tcPr>
            <w:tcW w:w="4512" w:type="dxa"/>
          </w:tcPr>
          <w:p w:rsidR="00557E2D" w:rsidRPr="00B32D11" w:rsidRDefault="00557E2D" w:rsidP="00D014DF">
            <w:pPr>
              <w:pStyle w:val="tabletext"/>
              <w:keepNext/>
            </w:pPr>
            <w:r>
              <w:t>T</w:t>
            </w:r>
            <w:r w:rsidRPr="00B32D11">
              <w:t>he consolidation of the water charge rules into a single instrument and the one-off costs to understand proposed amendments</w:t>
            </w:r>
          </w:p>
        </w:tc>
      </w:tr>
    </w:tbl>
    <w:p w:rsidR="00557E2D" w:rsidRPr="00B53DB8" w:rsidRDefault="00557E2D" w:rsidP="00557E2D">
      <w:pPr>
        <w:spacing w:before="240"/>
      </w:pPr>
      <w:r w:rsidRPr="00B53DB8">
        <w:t xml:space="preserve">The </w:t>
      </w:r>
      <w:r>
        <w:t xml:space="preserve">ACCC notes the submission of the </w:t>
      </w:r>
      <w:r w:rsidRPr="00B53DB8">
        <w:t>Queensland Farmers’ Federation</w:t>
      </w:r>
      <w:r w:rsidR="008E524B">
        <w:t xml:space="preserve"> (QFF)</w:t>
      </w:r>
      <w:r>
        <w:t>, which</w:t>
      </w:r>
      <w:r w:rsidRPr="00B53DB8">
        <w:t xml:space="preserve"> stated that the ACCC needed to consider the ‘cost implications of these regulations on a state</w:t>
      </w:r>
      <w:r>
        <w:t>-</w:t>
      </w:r>
      <w:r w:rsidRPr="00B53DB8">
        <w:t>wide basis in the interests of establishing a consistent approach’, not only the cost implications of the revised rules in the Murray-Darling Basin</w:t>
      </w:r>
      <w:r w:rsidR="005A0560">
        <w:t xml:space="preserve"> (MDB)</w:t>
      </w:r>
      <w:r w:rsidRPr="00B53DB8">
        <w:t>.</w:t>
      </w:r>
      <w:r w:rsidRPr="00B53DB8">
        <w:rPr>
          <w:rStyle w:val="FootnoteReference"/>
        </w:rPr>
        <w:footnoteReference w:id="848"/>
      </w:r>
      <w:r w:rsidR="00C6733C">
        <w:t xml:space="preserve"> </w:t>
      </w:r>
      <w:r>
        <w:t xml:space="preserve">However, as </w:t>
      </w:r>
      <w:r w:rsidRPr="00A2129F">
        <w:t>the water charge rules do not apply outside the MDB</w:t>
      </w:r>
      <w:r>
        <w:t>,</w:t>
      </w:r>
      <w:r w:rsidRPr="00A2129F">
        <w:t xml:space="preserve"> </w:t>
      </w:r>
      <w:r>
        <w:t>t</w:t>
      </w:r>
      <w:r w:rsidRPr="00A2129F">
        <w:t xml:space="preserve">he ACCC </w:t>
      </w:r>
      <w:r>
        <w:t>is</w:t>
      </w:r>
      <w:r w:rsidRPr="00A2129F">
        <w:t xml:space="preserve"> only </w:t>
      </w:r>
      <w:r>
        <w:t xml:space="preserve">able to </w:t>
      </w:r>
      <w:r w:rsidRPr="00A2129F">
        <w:t>consider the cost implications of the rule changes on infrastructure operators in the MDB</w:t>
      </w:r>
      <w:r>
        <w:t xml:space="preserve"> when estimating regulatory costs under the OBPR framework</w:t>
      </w:r>
      <w:r w:rsidRPr="00A2129F">
        <w:t>.</w:t>
      </w:r>
      <w:r w:rsidRPr="00A2129F">
        <w:rPr>
          <w:rStyle w:val="FootnoteReference"/>
        </w:rPr>
        <w:footnoteReference w:id="849"/>
      </w:r>
      <w:r w:rsidRPr="00A2129F">
        <w:t xml:space="preserve"> </w:t>
      </w:r>
      <w:r>
        <w:t>Nevertheless, several of the ACCC’s proposed amendments (for example, changes to the application of Part 6), have taken into consideration opportunities to decrease regulatory burden by improving consistency at a whole-of-state level.</w:t>
      </w:r>
    </w:p>
    <w:p w:rsidR="00557E2D" w:rsidRPr="00A2129F" w:rsidRDefault="00557E2D" w:rsidP="00557E2D">
      <w:r w:rsidRPr="00A2129F">
        <w:t>In February 2016, the OBPR released guidance permitting</w:t>
      </w:r>
      <w:r w:rsidR="00C6733C">
        <w:t xml:space="preserve"> </w:t>
      </w:r>
      <w:r w:rsidRPr="00A2129F">
        <w:t>government agencies to ‘self-assess’ the impact of changed regulations where the OBPR agrees that the proposal is likely to involve average costs of less than $2 million per annum.</w:t>
      </w:r>
      <w:r w:rsidRPr="00A2129F">
        <w:rPr>
          <w:rStyle w:val="FootnoteReference"/>
        </w:rPr>
        <w:footnoteReference w:id="850"/>
      </w:r>
    </w:p>
    <w:p w:rsidR="00557E2D" w:rsidRPr="00A2129F" w:rsidRDefault="00557E2D" w:rsidP="00557E2D">
      <w:pPr>
        <w:rPr>
          <w:rFonts w:cs="Times New Roman"/>
        </w:rPr>
      </w:pPr>
      <w:r w:rsidRPr="00A2129F">
        <w:t xml:space="preserve">The OBPR has agreed with the ACCC that, based on the regulatory costings estimated for the Draft Advice, the regulatory cost of the ACCC’s proposals under the water charge rules is likely to be less than $2 million. Therefore the ACCC has self-assessed the likely regulatory cost of its proposed changes to the water charge rules. </w:t>
      </w:r>
    </w:p>
    <w:p w:rsidR="00557E2D" w:rsidRDefault="00557E2D" w:rsidP="00557E2D">
      <w:pPr>
        <w:pStyle w:val="Heading2"/>
      </w:pPr>
      <w:bookmarkStart w:id="1474" w:name="_Toc456785849"/>
      <w:bookmarkStart w:id="1475" w:name="_Toc461630761"/>
      <w:r>
        <w:t xml:space="preserve">Proposed amendments </w:t>
      </w:r>
      <w:r w:rsidRPr="00872E95">
        <w:t>regarding</w:t>
      </w:r>
      <w:r>
        <w:t xml:space="preserve"> infrastructure charges</w:t>
      </w:r>
      <w:bookmarkEnd w:id="1474"/>
      <w:bookmarkEnd w:id="1475"/>
    </w:p>
    <w:p w:rsidR="00557E2D" w:rsidRDefault="00557E2D" w:rsidP="00557E2D">
      <w:pPr>
        <w:spacing w:before="240"/>
      </w:pPr>
      <w:bookmarkStart w:id="1476" w:name="_Toc433979657"/>
      <w:bookmarkStart w:id="1477" w:name="_Toc435179921"/>
      <w:bookmarkStart w:id="1478" w:name="_Toc436122342"/>
      <w:bookmarkStart w:id="1479" w:name="_Toc436122837"/>
      <w:bookmarkStart w:id="1480" w:name="_Toc436124192"/>
      <w:bookmarkStart w:id="1481" w:name="_Toc436133240"/>
      <w:r>
        <w:t xml:space="preserve">The following sections present the calculation of </w:t>
      </w:r>
      <w:r w:rsidR="001156E8">
        <w:t xml:space="preserve">the </w:t>
      </w:r>
      <w:r>
        <w:t xml:space="preserve">estimated change in regulatory cost for each category of proposed rule amendments. </w:t>
      </w:r>
    </w:p>
    <w:p w:rsidR="00557E2D" w:rsidRDefault="00557E2D" w:rsidP="00557E2D">
      <w:pPr>
        <w:pStyle w:val="Heading3"/>
      </w:pPr>
      <w:bookmarkStart w:id="1482" w:name="_Toc456785850"/>
      <w:bookmarkStart w:id="1483" w:name="_Toc461630762"/>
      <w:r w:rsidRPr="005A607E">
        <w:t>Non</w:t>
      </w:r>
      <w:r>
        <w:t>-</w:t>
      </w:r>
      <w:r w:rsidRPr="00872E95">
        <w:t>discrimination</w:t>
      </w:r>
      <w:bookmarkEnd w:id="1476"/>
      <w:r>
        <w:t xml:space="preserve"> provisions</w:t>
      </w:r>
      <w:bookmarkEnd w:id="1477"/>
      <w:bookmarkEnd w:id="1478"/>
      <w:bookmarkEnd w:id="1479"/>
      <w:bookmarkEnd w:id="1480"/>
      <w:bookmarkEnd w:id="1481"/>
      <w:bookmarkEnd w:id="1482"/>
      <w:bookmarkEnd w:id="1483"/>
      <w:r>
        <w:tab/>
      </w:r>
    </w:p>
    <w:p w:rsidR="00557E2D" w:rsidRDefault="00557E2D" w:rsidP="00557E2D">
      <w:r>
        <w:t xml:space="preserve">Under the current Part 3 provisions of the </w:t>
      </w:r>
      <w:r w:rsidR="0001065E" w:rsidRPr="00524D9F">
        <w:rPr>
          <w:rFonts w:cs="Times New Roman"/>
        </w:rPr>
        <w:t>Water Charge (Infrastructure) Rules 2010</w:t>
      </w:r>
      <w:r w:rsidR="0001065E">
        <w:rPr>
          <w:rFonts w:cs="Times New Roman"/>
        </w:rPr>
        <w:t xml:space="preserve"> (</w:t>
      </w:r>
      <w:r>
        <w:t>WCIR</w:t>
      </w:r>
      <w:r w:rsidR="0001065E">
        <w:t>)</w:t>
      </w:r>
      <w:r>
        <w:t xml:space="preserve">, a member-owned operator (of any size) is prevented from charging a different charge for an infrastructure service of the same class to a customer based on whether or not that customer holds an irrigation right against the operator. However, this rule does not prevent different charges where the difference reflects actual cost differences. </w:t>
      </w:r>
    </w:p>
    <w:p w:rsidR="00557E2D" w:rsidRDefault="00557E2D" w:rsidP="00A60A09">
      <w:pPr>
        <w:spacing w:after="120"/>
      </w:pPr>
      <w:r>
        <w:t>In the Draft Advice, the ACCC stated that these provisions should be extended to prohibit all infrastructure operators (regardless of ownership) from discriminating in relation to:</w:t>
      </w:r>
    </w:p>
    <w:p w:rsidR="00557E2D" w:rsidRPr="00E15F47" w:rsidRDefault="00557E2D" w:rsidP="00A82DE6">
      <w:pPr>
        <w:pStyle w:val="Lvl1Bulletpoint"/>
      </w:pPr>
      <w:r w:rsidRPr="00E15F47">
        <w:t>the purpose for which water has been or will be used; or</w:t>
      </w:r>
    </w:p>
    <w:p w:rsidR="00557E2D" w:rsidRPr="00E15F47" w:rsidRDefault="00557E2D" w:rsidP="00A82DE6">
      <w:pPr>
        <w:pStyle w:val="Lvl1Bulletpoint"/>
      </w:pPr>
      <w:r w:rsidRPr="00E15F47">
        <w:t>whether a tradeable water right has been traded or transformed; or</w:t>
      </w:r>
    </w:p>
    <w:p w:rsidR="00557E2D" w:rsidRPr="00E15F47" w:rsidRDefault="00557E2D" w:rsidP="00A82DE6">
      <w:pPr>
        <w:pStyle w:val="Lvl1Bulletpoint"/>
      </w:pPr>
      <w:r>
        <w:t>t</w:t>
      </w:r>
      <w:r w:rsidRPr="00E15F47">
        <w:t>he volume, holdings or use of a tradeable water right or separate location related right</w:t>
      </w:r>
    </w:p>
    <w:p w:rsidR="00557E2D" w:rsidRPr="00E15F47" w:rsidRDefault="00557E2D" w:rsidP="00A82DE6">
      <w:pPr>
        <w:pStyle w:val="Lvl1Bulletpoint"/>
      </w:pPr>
      <w:r>
        <w:t>w</w:t>
      </w:r>
      <w:r w:rsidRPr="00E15F47">
        <w:t>hether there is an association between a separate location-related right and a water access right;</w:t>
      </w:r>
    </w:p>
    <w:p w:rsidR="00557E2D" w:rsidRPr="00E15F47" w:rsidRDefault="00557E2D" w:rsidP="00A82DE6">
      <w:pPr>
        <w:pStyle w:val="Lvl1Bulletpoint"/>
      </w:pPr>
      <w:r w:rsidRPr="00E15F47">
        <w:t>the are</w:t>
      </w:r>
      <w:r>
        <w:t>a</w:t>
      </w:r>
      <w:r w:rsidRPr="00E15F47">
        <w:t xml:space="preserve"> of land owned, occupied or irrigated</w:t>
      </w:r>
      <w:r>
        <w:t>.</w:t>
      </w:r>
    </w:p>
    <w:p w:rsidR="00557E2D" w:rsidRDefault="00557E2D" w:rsidP="00557E2D">
      <w:r>
        <w:t>The proposed amendments preserved the operator’s ability to differentiate charges based on underlying costs or levels of service.</w:t>
      </w:r>
      <w:r w:rsidR="00C6733C">
        <w:t xml:space="preserve"> </w:t>
      </w:r>
      <w:r>
        <w:t xml:space="preserve">They would </w:t>
      </w:r>
      <w:r w:rsidR="00D014DF">
        <w:t xml:space="preserve">also </w:t>
      </w:r>
      <w:r>
        <w:t>prohibit the imposition of most infrastructure charges as a condition of approval, at the time of, or as a result of a trade of tradeable water right.</w:t>
      </w:r>
    </w:p>
    <w:p w:rsidR="00B350A7" w:rsidRDefault="00557E2D" w:rsidP="00A60A09">
      <w:pPr>
        <w:spacing w:after="120"/>
      </w:pPr>
      <w:r>
        <w:t xml:space="preserve">As noted in section 5.3 and for the reasons set out in that section, the ACCC has </w:t>
      </w:r>
      <w:r w:rsidR="00321D5C">
        <w:t xml:space="preserve">revised its approach in </w:t>
      </w:r>
      <w:r>
        <w:t>this Final Advice. The proposed non-discrimination rule</w:t>
      </w:r>
      <w:r w:rsidR="001849BA">
        <w:t xml:space="preserve"> (rule 10)</w:t>
      </w:r>
      <w:r>
        <w:t xml:space="preserve"> ha</w:t>
      </w:r>
      <w:r w:rsidR="001849BA">
        <w:t>s</w:t>
      </w:r>
      <w:r>
        <w:t xml:space="preserve"> been amended to</w:t>
      </w:r>
      <w:r w:rsidR="00235BA8">
        <w:t>:</w:t>
      </w:r>
      <w:r>
        <w:t xml:space="preserve"> </w:t>
      </w:r>
    </w:p>
    <w:p w:rsidR="00317DB7" w:rsidRPr="00A262DA" w:rsidRDefault="00317DB7" w:rsidP="00A60A09">
      <w:pPr>
        <w:pStyle w:val="Lvl1Bulletpoint"/>
      </w:pPr>
      <w:r w:rsidRPr="00A262DA">
        <w:t xml:space="preserve">require that where an infrastructure operator levies or specifies </w:t>
      </w:r>
      <w:r w:rsidRPr="00A262DA">
        <w:rPr>
          <w:lang w:val="en-GB"/>
        </w:rPr>
        <w:t xml:space="preserve">charges, rates or discounts in relation to an infrastructure service that are different for different customers, or for customers in different circumstances, the differences in the charges, rates or discounts must be </w:t>
      </w:r>
      <w:r w:rsidRPr="00A262DA">
        <w:t>reasonable.</w:t>
      </w:r>
    </w:p>
    <w:p w:rsidR="0051415C" w:rsidRDefault="00317DB7" w:rsidP="00A60A09">
      <w:pPr>
        <w:pStyle w:val="Lvl1Bulletpoint"/>
      </w:pPr>
      <w:r w:rsidRPr="00A262DA">
        <w:t xml:space="preserve">require that where an infrastructure operator restricts the availability of an infrastructure service that it offers, the restriction </w:t>
      </w:r>
      <w:r w:rsidRPr="00A262DA">
        <w:rPr>
          <w:lang w:val="en-GB"/>
        </w:rPr>
        <w:t xml:space="preserve">must be </w:t>
      </w:r>
      <w:r w:rsidRPr="00A262DA">
        <w:t>reasonable</w:t>
      </w:r>
      <w:r w:rsidR="00365286">
        <w:t>.</w:t>
      </w:r>
    </w:p>
    <w:p w:rsidR="00317DB7" w:rsidRDefault="00317DB7" w:rsidP="00A262DA">
      <w:pPr>
        <w:pStyle w:val="ListParagraph"/>
        <w:spacing w:after="0"/>
        <w:ind w:left="357"/>
      </w:pPr>
    </w:p>
    <w:p w:rsidR="00557E2D" w:rsidRDefault="00557E2D" w:rsidP="00317DB7">
      <w:r>
        <w:t xml:space="preserve">This advice includes a non-exhaustive list of factors that the ACCC can take into account when considering whether any differences in charges or restrictions on the </w:t>
      </w:r>
      <w:r w:rsidR="00321D5C">
        <w:t xml:space="preserve">availability </w:t>
      </w:r>
      <w:r>
        <w:t>of infrastructure services are reasonable.</w:t>
      </w:r>
      <w:r w:rsidR="00B350A7">
        <w:t xml:space="preserve"> The advice also provides that a difference in charges arising from the operator offering a prudent discount</w:t>
      </w:r>
      <w:r w:rsidR="00B350A7">
        <w:rPr>
          <w:rStyle w:val="FootnoteReference"/>
        </w:rPr>
        <w:footnoteReference w:id="851"/>
      </w:r>
      <w:r w:rsidR="00B350A7">
        <w:t xml:space="preserve"> to a particular customer or a group of customers is taken to be reasonable.</w:t>
      </w:r>
      <w:r w:rsidR="004F6BD0">
        <w:t xml:space="preserve"> </w:t>
      </w:r>
    </w:p>
    <w:p w:rsidR="001849BA" w:rsidRDefault="001849BA" w:rsidP="00317DB7">
      <w:r>
        <w:t>The Final Advice also broadens the circumstances where an operator should not be taken to have contravened the proposed rule on levying infrastructure charges in relation to termination or trade (rule 10A).</w:t>
      </w:r>
    </w:p>
    <w:p w:rsidR="00557E2D" w:rsidRDefault="00557E2D" w:rsidP="00557E2D">
      <w:r>
        <w:t xml:space="preserve">As part of this Final Advice on non-discrimination, the ACCC recommended the removal of a private right of action with regard to breaches of the water charge rules, thereby </w:t>
      </w:r>
      <w:r w:rsidR="0051415C">
        <w:t>limiting the right to take</w:t>
      </w:r>
      <w:r w:rsidR="00321D5C">
        <w:t xml:space="preserve"> </w:t>
      </w:r>
      <w:r>
        <w:t xml:space="preserve">legal action against </w:t>
      </w:r>
      <w:r w:rsidR="0051415C">
        <w:t xml:space="preserve">an </w:t>
      </w:r>
      <w:r>
        <w:t xml:space="preserve">operator </w:t>
      </w:r>
      <w:r w:rsidR="0051415C">
        <w:t>arising from a contravention of the rules to the ACCC (as the appropriate enforcement agency under the Act).</w:t>
      </w:r>
    </w:p>
    <w:p w:rsidR="00557E2D" w:rsidRDefault="00557E2D" w:rsidP="00557E2D">
      <w:r>
        <w:t xml:space="preserve">The ACCC has assessed the likely change in regulatory cost arising from the change in the non-discrimination framework proposed under the Final Advice to that proposed under the Draft Advice. </w:t>
      </w:r>
    </w:p>
    <w:p w:rsidR="00914358" w:rsidRDefault="00557E2D" w:rsidP="00557E2D">
      <w:r>
        <w:t xml:space="preserve">In its submission to the Draft Advice, </w:t>
      </w:r>
      <w:r w:rsidRPr="00B53DB8">
        <w:t xml:space="preserve">WaterNSW </w:t>
      </w:r>
      <w:r>
        <w:t xml:space="preserve">stated </w:t>
      </w:r>
      <w:r w:rsidRPr="00B53DB8">
        <w:t xml:space="preserve">that </w:t>
      </w:r>
      <w:r>
        <w:t xml:space="preserve">its </w:t>
      </w:r>
      <w:r w:rsidRPr="00B53DB8">
        <w:t>compliance costs relating to non</w:t>
      </w:r>
      <w:r>
        <w:noBreakHyphen/>
      </w:r>
      <w:r w:rsidRPr="00B53DB8">
        <w:t xml:space="preserve">discrimination provisions </w:t>
      </w:r>
      <w:r>
        <w:t xml:space="preserve">would be </w:t>
      </w:r>
      <w:r w:rsidRPr="00B53DB8">
        <w:t xml:space="preserve">likely to </w:t>
      </w:r>
      <w:r>
        <w:t>‘</w:t>
      </w:r>
      <w:r w:rsidRPr="00B53DB8">
        <w:t>greatly exceed</w:t>
      </w:r>
      <w:r>
        <w:t>’</w:t>
      </w:r>
      <w:r w:rsidRPr="00B53DB8">
        <w:t xml:space="preserve"> those </w:t>
      </w:r>
      <w:r>
        <w:t xml:space="preserve">presented </w:t>
      </w:r>
      <w:r w:rsidRPr="00B53DB8">
        <w:t xml:space="preserve">in the Draft Advice. This would be due to ‘overlapping regulatory burdens’ of non-discrimination provisions in the revised water charge rules and the general ‘protection of consumers from abuses of monopoly power’ in section 15 of the </w:t>
      </w:r>
      <w:r w:rsidRPr="005B785E">
        <w:rPr>
          <w:i/>
        </w:rPr>
        <w:t>IPART Act 1992</w:t>
      </w:r>
      <w:r w:rsidRPr="00B53DB8">
        <w:t>.</w:t>
      </w:r>
      <w:r w:rsidRPr="00B53DB8">
        <w:rPr>
          <w:rStyle w:val="FootnoteReference"/>
        </w:rPr>
        <w:footnoteReference w:id="852"/>
      </w:r>
      <w:r w:rsidRPr="00B53DB8">
        <w:t xml:space="preserve"> </w:t>
      </w:r>
    </w:p>
    <w:p w:rsidR="00557E2D" w:rsidRDefault="00557E2D" w:rsidP="00557E2D">
      <w:r>
        <w:t xml:space="preserve">The ACCC does not </w:t>
      </w:r>
      <w:r w:rsidR="00914358">
        <w:t xml:space="preserve">consider </w:t>
      </w:r>
      <w:r>
        <w:t>that the presence of any similar requirements in NSW state law (such as that mentioned by WaterNSW) are likely to increase costs for WaterNSW to comply with the proposed non-discrimination provisions.</w:t>
      </w:r>
      <w:r w:rsidRPr="00521D91">
        <w:t xml:space="preserve"> </w:t>
      </w:r>
      <w:r>
        <w:t xml:space="preserve">Section 15 of the </w:t>
      </w:r>
      <w:r>
        <w:rPr>
          <w:i/>
        </w:rPr>
        <w:t xml:space="preserve">IPART Act </w:t>
      </w:r>
      <w:r w:rsidRPr="003D7719">
        <w:rPr>
          <w:i/>
        </w:rPr>
        <w:t>1992</w:t>
      </w:r>
      <w:r>
        <w:t xml:space="preserve"> is very general in nature, so the ACCC does not see any direct conflict between this and the specific non-discrimination provisions in the proposed Part 3 of the water charge rules. Further, the ACCC considers it unlikely that the NSW regulatory regime would be changed to directly conflict with the proposed Part 3 non-discrimination requirements because it is this that would create an overlapping regulatory requirement and be costly for regulated businesses in NSW. However, of relevance to WaterNSW’s concern, the ACCC has generally adjusted its assumptions to include ongoing costs associated with the non-discrimination provisions, as described below.</w:t>
      </w:r>
    </w:p>
    <w:p w:rsidR="001C5D61" w:rsidRDefault="007F27ED" w:rsidP="007F27ED">
      <w:r>
        <w:t xml:space="preserve">In the Draft Advice, the form of the proposed rule </w:t>
      </w:r>
      <w:r w:rsidR="0051415C">
        <w:t xml:space="preserve">10 </w:t>
      </w:r>
      <w:r>
        <w:t xml:space="preserve">was limited to 5 proscribed grounds. Estimates of the regulatory cost associated with that Draft Advice were based on an analysis of operators’ current Schedules of Charges and websites in light of the proposed expanded provisions. This analysis suggested 21 operators would either need to adjust their charging approach or provide the ACCC with further information demonstrating that certain differences in charges for infrastructure services of the same class reflect actual differences in underlying costs. Therefore, the ACCC based its Draft Advice estimates of the change in regulatory cost on the assumption that 21 operators could require change. </w:t>
      </w:r>
    </w:p>
    <w:p w:rsidR="007F27ED" w:rsidRPr="00B53DB8" w:rsidRDefault="007F27ED" w:rsidP="007F27ED">
      <w:r>
        <w:t>In its Final Advice, the ACCC has altered this assumption to include all 31 operators that it monitors, due to the more general nature of the proposed non-discrimination provision</w:t>
      </w:r>
      <w:r w:rsidR="0051415C">
        <w:t xml:space="preserve">s in </w:t>
      </w:r>
      <w:r w:rsidR="001C5D61">
        <w:t xml:space="preserve">both </w:t>
      </w:r>
      <w:r w:rsidR="0051415C">
        <w:t>rule 10 and 10A</w:t>
      </w:r>
      <w:r>
        <w:t>. However, in some cases the ACCC has also adjusted down the assumed number of hours required for operators to comply, since the revised approach contains more flexible rule</w:t>
      </w:r>
      <w:r w:rsidR="0051415C">
        <w:t>s</w:t>
      </w:r>
      <w:r>
        <w:t>.</w:t>
      </w:r>
    </w:p>
    <w:p w:rsidR="00557E2D" w:rsidRDefault="00557E2D" w:rsidP="00557E2D">
      <w:r>
        <w:t>The ACCC considers that the start-up costs for implementing the non-discrimination provisions under the Final Advice will be the same as or lower than under the Draft Advice. While the form of the non</w:t>
      </w:r>
      <w:r>
        <w:noBreakHyphen/>
        <w:t xml:space="preserve">discrimination provisions has changed substantially since the Draft Advice, the ACCC considers that the non-discrimination provisions in the Final Advice are not more complex than in the Draft Advice. Additionally, the ACCC has recommended that the proposed </w:t>
      </w:r>
      <w:r w:rsidR="001C5D61">
        <w:t xml:space="preserve">rule 10 </w:t>
      </w:r>
      <w:r>
        <w:t xml:space="preserve">should </w:t>
      </w:r>
      <w:r w:rsidR="001C5D61">
        <w:t xml:space="preserve">only begin to apply </w:t>
      </w:r>
      <w:r>
        <w:t>one year later than the rest of the amended rules. This will provide additional time for the ACCC to provide guidance to operators on this proposed rule, which should lessen the compliance burden. In particular, the ACCC notes that the charging arrangements of many smaller operators (Group 1 and Group 2) are fairly simple and are not likely to require significant change (see section 5.3.1 for further information). On this basis, the ACCC has maintained the assumptions relating to start-up hours for Groups 3 and 4 operators, but has decreased average start up hours per operator for Groups 1 and 2.</w:t>
      </w:r>
      <w:r w:rsidR="00C6733C">
        <w:t xml:space="preserve"> </w:t>
      </w:r>
    </w:p>
    <w:p w:rsidR="00557E2D" w:rsidRDefault="00557E2D" w:rsidP="00557E2D">
      <w:r>
        <w:t>However, the ACCC considers that there are likely to be some ongoing costs relating to the proposed non</w:t>
      </w:r>
      <w:r>
        <w:noBreakHyphen/>
        <w:t xml:space="preserve">discrimination provisions. For each new charge an operator proposes, it will need to assess whether it complies with the non-discrimination requirements. This cost is likely to be lower for smaller operators, as they have fewer types of charges and higher for larger operators who are more likely to introduce new charges. This ongoing cost will be partially offset by the removal of the private right of action as operators will need to devote fewer resources to deal with potential challenges. </w:t>
      </w:r>
    </w:p>
    <w:p w:rsidR="00557E2D" w:rsidRDefault="00557E2D" w:rsidP="00557E2D">
      <w:pPr>
        <w:rPr>
          <w:rFonts w:cs="Times New Roman"/>
        </w:rPr>
      </w:pPr>
      <w:r>
        <w:t xml:space="preserve">Overall, the ACCC considers that the revised non-discrimination provisions in the Final Advice will result in an annualised increase in regulatory cost of $16 690 when compared with the current non-discrimination provisions in the Rules. </w:t>
      </w:r>
      <w:r>
        <w:rPr>
          <w:rFonts w:cs="Times New Roman"/>
        </w:rPr>
        <w:t xml:space="preserve">This </w:t>
      </w:r>
      <w:r>
        <w:t>compares with an annualised increase of $13 515 estimated for the proposals in the Draft Advice.</w:t>
      </w:r>
    </w:p>
    <w:p w:rsidR="00557E2D" w:rsidRPr="00616893" w:rsidRDefault="00557E2D" w:rsidP="00E560FF">
      <w:pPr>
        <w:pStyle w:val="Tabletitle"/>
      </w:pPr>
      <w:r w:rsidRPr="00616893">
        <w:t xml:space="preserve">Table 9.4—Change in regulatory cost due to proposed changes to the non-discrimination provisions—Final Advice compared with current WCIR requirements </w:t>
      </w:r>
    </w:p>
    <w:tbl>
      <w:tblPr>
        <w:tblStyle w:val="TableGrid"/>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1018"/>
        <w:gridCol w:w="1164"/>
        <w:gridCol w:w="1164"/>
        <w:gridCol w:w="1164"/>
        <w:gridCol w:w="1021"/>
      </w:tblGrid>
      <w:tr w:rsidR="00557E2D" w:rsidTr="00C52AEB">
        <w:trPr>
          <w:trHeight w:val="424"/>
        </w:trPr>
        <w:tc>
          <w:tcPr>
            <w:tcW w:w="3749" w:type="dxa"/>
            <w:tcBorders>
              <w:top w:val="single" w:sz="4" w:space="0" w:color="auto"/>
              <w:left w:val="single" w:sz="4" w:space="0" w:color="auto"/>
              <w:bottom w:val="single" w:sz="4" w:space="0" w:color="auto"/>
            </w:tcBorders>
            <w:shd w:val="clear" w:color="auto" w:fill="D9D9D9" w:themeFill="background1" w:themeFillShade="D9"/>
          </w:tcPr>
          <w:p w:rsidR="00557E2D" w:rsidRDefault="00557E2D" w:rsidP="0098578F">
            <w:pPr>
              <w:pStyle w:val="tabletext"/>
            </w:pPr>
          </w:p>
        </w:tc>
        <w:tc>
          <w:tcPr>
            <w:tcW w:w="1018" w:type="dxa"/>
            <w:tcBorders>
              <w:top w:val="single" w:sz="4" w:space="0" w:color="auto"/>
              <w:bottom w:val="single" w:sz="4" w:space="0" w:color="auto"/>
            </w:tcBorders>
            <w:shd w:val="clear" w:color="auto" w:fill="D9D9D9" w:themeFill="background1" w:themeFillShade="D9"/>
            <w:vAlign w:val="center"/>
          </w:tcPr>
          <w:p w:rsidR="00557E2D" w:rsidRPr="00DA2282" w:rsidRDefault="00557E2D" w:rsidP="0098578F">
            <w:pPr>
              <w:pStyle w:val="tabletext"/>
              <w:jc w:val="right"/>
              <w:rPr>
                <w:b/>
              </w:rPr>
            </w:pPr>
            <w:r w:rsidRPr="00DA2282">
              <w:t>Group 1</w:t>
            </w:r>
          </w:p>
        </w:tc>
        <w:tc>
          <w:tcPr>
            <w:tcW w:w="1164" w:type="dxa"/>
            <w:tcBorders>
              <w:top w:val="single" w:sz="4" w:space="0" w:color="auto"/>
              <w:bottom w:val="single" w:sz="4" w:space="0" w:color="auto"/>
            </w:tcBorders>
            <w:shd w:val="clear" w:color="auto" w:fill="D9D9D9" w:themeFill="background1" w:themeFillShade="D9"/>
            <w:vAlign w:val="center"/>
          </w:tcPr>
          <w:p w:rsidR="00557E2D" w:rsidRPr="00DA2282" w:rsidRDefault="00557E2D" w:rsidP="0098578F">
            <w:pPr>
              <w:pStyle w:val="tabletext"/>
              <w:jc w:val="right"/>
              <w:rPr>
                <w:b/>
              </w:rPr>
            </w:pPr>
            <w:r w:rsidRPr="00DA2282">
              <w:t>Group 2</w:t>
            </w:r>
          </w:p>
        </w:tc>
        <w:tc>
          <w:tcPr>
            <w:tcW w:w="1164" w:type="dxa"/>
            <w:tcBorders>
              <w:top w:val="single" w:sz="4" w:space="0" w:color="auto"/>
              <w:bottom w:val="single" w:sz="4" w:space="0" w:color="auto"/>
            </w:tcBorders>
            <w:shd w:val="clear" w:color="auto" w:fill="D9D9D9" w:themeFill="background1" w:themeFillShade="D9"/>
            <w:vAlign w:val="center"/>
          </w:tcPr>
          <w:p w:rsidR="00557E2D" w:rsidRPr="00DA2282" w:rsidRDefault="00557E2D" w:rsidP="0098578F">
            <w:pPr>
              <w:pStyle w:val="tabletext"/>
              <w:jc w:val="right"/>
              <w:rPr>
                <w:b/>
              </w:rPr>
            </w:pPr>
            <w:r w:rsidRPr="00DA2282">
              <w:t>Group 3</w:t>
            </w:r>
          </w:p>
        </w:tc>
        <w:tc>
          <w:tcPr>
            <w:tcW w:w="1164" w:type="dxa"/>
            <w:tcBorders>
              <w:top w:val="single" w:sz="4" w:space="0" w:color="auto"/>
              <w:bottom w:val="single" w:sz="4" w:space="0" w:color="auto"/>
              <w:right w:val="single" w:sz="4" w:space="0" w:color="auto"/>
            </w:tcBorders>
            <w:shd w:val="clear" w:color="auto" w:fill="D9D9D9" w:themeFill="background1" w:themeFillShade="D9"/>
            <w:vAlign w:val="center"/>
          </w:tcPr>
          <w:p w:rsidR="00557E2D" w:rsidRPr="00DA2282" w:rsidRDefault="00557E2D" w:rsidP="0098578F">
            <w:pPr>
              <w:pStyle w:val="tabletext"/>
              <w:jc w:val="right"/>
              <w:rPr>
                <w:b/>
              </w:rPr>
            </w:pPr>
            <w:r w:rsidRPr="00DA2282">
              <w:t>Group 4</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E2D" w:rsidRPr="009D217E" w:rsidRDefault="00557E2D" w:rsidP="0098578F">
            <w:pPr>
              <w:pStyle w:val="tabletext"/>
              <w:jc w:val="right"/>
              <w:rPr>
                <w:b/>
              </w:rPr>
            </w:pPr>
            <w:r w:rsidRPr="009D217E">
              <w:rPr>
                <w:b/>
              </w:rPr>
              <w:t>Total</w:t>
            </w:r>
          </w:p>
        </w:tc>
      </w:tr>
      <w:tr w:rsidR="00557E2D" w:rsidRPr="006F2D07" w:rsidTr="00A60A09">
        <w:trPr>
          <w:trHeight w:val="414"/>
        </w:trPr>
        <w:tc>
          <w:tcPr>
            <w:tcW w:w="3749" w:type="dxa"/>
            <w:tcBorders>
              <w:top w:val="single" w:sz="4" w:space="0" w:color="auto"/>
              <w:left w:val="single" w:sz="4" w:space="0" w:color="auto"/>
              <w:bottom w:val="single" w:sz="4" w:space="0" w:color="auto"/>
            </w:tcBorders>
            <w:vAlign w:val="center"/>
          </w:tcPr>
          <w:p w:rsidR="00557E2D" w:rsidRPr="009D217E" w:rsidRDefault="00557E2D" w:rsidP="003170A7">
            <w:pPr>
              <w:pStyle w:val="tabletext"/>
              <w:rPr>
                <w:b/>
              </w:rPr>
            </w:pPr>
            <w:r w:rsidRPr="009D217E">
              <w:rPr>
                <w:b/>
              </w:rPr>
              <w:t>No. of affected operators</w:t>
            </w:r>
          </w:p>
        </w:tc>
        <w:tc>
          <w:tcPr>
            <w:tcW w:w="1018" w:type="dxa"/>
            <w:tcBorders>
              <w:top w:val="single" w:sz="4" w:space="0" w:color="auto"/>
              <w:bottom w:val="single" w:sz="4" w:space="0" w:color="auto"/>
            </w:tcBorders>
            <w:vAlign w:val="center"/>
          </w:tcPr>
          <w:p w:rsidR="00557E2D" w:rsidRDefault="00557E2D" w:rsidP="0098578F">
            <w:pPr>
              <w:pStyle w:val="tabletext"/>
              <w:jc w:val="right"/>
            </w:pPr>
            <w:r>
              <w:t>8</w:t>
            </w:r>
          </w:p>
        </w:tc>
        <w:tc>
          <w:tcPr>
            <w:tcW w:w="1164" w:type="dxa"/>
            <w:tcBorders>
              <w:top w:val="single" w:sz="4" w:space="0" w:color="auto"/>
              <w:bottom w:val="single" w:sz="4" w:space="0" w:color="auto"/>
            </w:tcBorders>
            <w:vAlign w:val="center"/>
          </w:tcPr>
          <w:p w:rsidR="00557E2D" w:rsidRDefault="00557E2D" w:rsidP="0098578F">
            <w:pPr>
              <w:pStyle w:val="tabletext"/>
              <w:jc w:val="right"/>
            </w:pPr>
            <w:r>
              <w:t>12</w:t>
            </w:r>
          </w:p>
        </w:tc>
        <w:tc>
          <w:tcPr>
            <w:tcW w:w="1164" w:type="dxa"/>
            <w:tcBorders>
              <w:top w:val="single" w:sz="4" w:space="0" w:color="auto"/>
              <w:bottom w:val="single" w:sz="4" w:space="0" w:color="auto"/>
            </w:tcBorders>
            <w:vAlign w:val="center"/>
          </w:tcPr>
          <w:p w:rsidR="00557E2D" w:rsidRDefault="00557E2D" w:rsidP="0098578F">
            <w:pPr>
              <w:pStyle w:val="tabletext"/>
              <w:jc w:val="right"/>
            </w:pPr>
            <w:r>
              <w:t>5</w:t>
            </w:r>
          </w:p>
        </w:tc>
        <w:tc>
          <w:tcPr>
            <w:tcW w:w="1164" w:type="dxa"/>
            <w:tcBorders>
              <w:top w:val="single" w:sz="4" w:space="0" w:color="auto"/>
              <w:bottom w:val="single" w:sz="4" w:space="0" w:color="auto"/>
              <w:right w:val="single" w:sz="4" w:space="0" w:color="auto"/>
            </w:tcBorders>
            <w:vAlign w:val="center"/>
          </w:tcPr>
          <w:p w:rsidR="00557E2D" w:rsidRDefault="00557E2D" w:rsidP="0098578F">
            <w:pPr>
              <w:pStyle w:val="tabletext"/>
              <w:jc w:val="right"/>
            </w:pPr>
            <w:r>
              <w:t>6</w:t>
            </w:r>
          </w:p>
        </w:tc>
        <w:tc>
          <w:tcPr>
            <w:tcW w:w="1019" w:type="dxa"/>
            <w:tcBorders>
              <w:top w:val="single" w:sz="4" w:space="0" w:color="auto"/>
              <w:left w:val="single" w:sz="4" w:space="0" w:color="auto"/>
              <w:bottom w:val="single" w:sz="4" w:space="0" w:color="auto"/>
              <w:right w:val="single" w:sz="4" w:space="0" w:color="auto"/>
            </w:tcBorders>
            <w:vAlign w:val="center"/>
          </w:tcPr>
          <w:p w:rsidR="00557E2D" w:rsidRPr="009D217E" w:rsidRDefault="00557E2D" w:rsidP="0098578F">
            <w:pPr>
              <w:pStyle w:val="tabletext"/>
              <w:jc w:val="right"/>
              <w:rPr>
                <w:b/>
              </w:rPr>
            </w:pPr>
            <w:r>
              <w:rPr>
                <w:b/>
              </w:rPr>
              <w:t>31</w:t>
            </w:r>
          </w:p>
        </w:tc>
      </w:tr>
      <w:tr w:rsidR="00557E2D" w:rsidRPr="006F2D07" w:rsidTr="00A60A09">
        <w:trPr>
          <w:trHeight w:val="414"/>
        </w:trPr>
        <w:tc>
          <w:tcPr>
            <w:tcW w:w="9280" w:type="dxa"/>
            <w:gridSpan w:val="6"/>
            <w:tcBorders>
              <w:top w:val="single" w:sz="4" w:space="0" w:color="auto"/>
              <w:left w:val="single" w:sz="4" w:space="0" w:color="auto"/>
              <w:bottom w:val="single" w:sz="4" w:space="0" w:color="auto"/>
              <w:right w:val="single" w:sz="4" w:space="0" w:color="auto"/>
            </w:tcBorders>
            <w:vAlign w:val="center"/>
          </w:tcPr>
          <w:p w:rsidR="00557E2D" w:rsidRPr="009D217E" w:rsidRDefault="00557E2D" w:rsidP="0098578F">
            <w:pPr>
              <w:pStyle w:val="tabletext"/>
              <w:rPr>
                <w:b/>
              </w:rPr>
            </w:pPr>
            <w:r w:rsidRPr="009D217E">
              <w:rPr>
                <w:b/>
              </w:rPr>
              <w:t>Review current policies and provide additional information and / or change charging approach</w:t>
            </w:r>
          </w:p>
        </w:tc>
      </w:tr>
      <w:tr w:rsidR="00557E2D" w:rsidRPr="006F2D07" w:rsidTr="00A60A09">
        <w:trPr>
          <w:trHeight w:val="414"/>
        </w:trPr>
        <w:tc>
          <w:tcPr>
            <w:tcW w:w="3749" w:type="dxa"/>
            <w:tcBorders>
              <w:top w:val="single" w:sz="4" w:space="0" w:color="auto"/>
              <w:left w:val="single" w:sz="4" w:space="0" w:color="auto"/>
            </w:tcBorders>
            <w:vAlign w:val="center"/>
          </w:tcPr>
          <w:p w:rsidR="00557E2D" w:rsidRPr="009D217E" w:rsidRDefault="00557E2D" w:rsidP="0098578F">
            <w:pPr>
              <w:pStyle w:val="tabletext"/>
              <w:ind w:left="142"/>
            </w:pPr>
            <w:r w:rsidRPr="009D217E">
              <w:t xml:space="preserve">Average </w:t>
            </w:r>
            <w:r>
              <w:t xml:space="preserve">start-up </w:t>
            </w:r>
            <w:r w:rsidRPr="009D217E">
              <w:t>hours per operator</w:t>
            </w:r>
          </w:p>
        </w:tc>
        <w:tc>
          <w:tcPr>
            <w:tcW w:w="1018" w:type="dxa"/>
            <w:tcBorders>
              <w:top w:val="single" w:sz="4" w:space="0" w:color="auto"/>
            </w:tcBorders>
            <w:vAlign w:val="center"/>
          </w:tcPr>
          <w:p w:rsidR="00557E2D" w:rsidRDefault="00557E2D" w:rsidP="0098578F">
            <w:pPr>
              <w:pStyle w:val="tabletext"/>
              <w:jc w:val="right"/>
            </w:pPr>
            <w:r>
              <w:t>30</w:t>
            </w:r>
          </w:p>
        </w:tc>
        <w:tc>
          <w:tcPr>
            <w:tcW w:w="1164" w:type="dxa"/>
            <w:tcBorders>
              <w:top w:val="single" w:sz="4" w:space="0" w:color="auto"/>
            </w:tcBorders>
            <w:vAlign w:val="center"/>
          </w:tcPr>
          <w:p w:rsidR="00557E2D" w:rsidRDefault="00557E2D" w:rsidP="0098578F">
            <w:pPr>
              <w:pStyle w:val="tabletext"/>
              <w:jc w:val="right"/>
            </w:pPr>
            <w:r>
              <w:t>30</w:t>
            </w:r>
          </w:p>
        </w:tc>
        <w:tc>
          <w:tcPr>
            <w:tcW w:w="1164" w:type="dxa"/>
            <w:tcBorders>
              <w:top w:val="single" w:sz="4" w:space="0" w:color="auto"/>
            </w:tcBorders>
            <w:vAlign w:val="center"/>
          </w:tcPr>
          <w:p w:rsidR="00557E2D" w:rsidRDefault="00557E2D" w:rsidP="0098578F">
            <w:pPr>
              <w:pStyle w:val="tabletext"/>
              <w:jc w:val="right"/>
            </w:pPr>
            <w:r>
              <w:t>120</w:t>
            </w:r>
          </w:p>
        </w:tc>
        <w:tc>
          <w:tcPr>
            <w:tcW w:w="1164" w:type="dxa"/>
            <w:tcBorders>
              <w:top w:val="single" w:sz="4" w:space="0" w:color="auto"/>
              <w:right w:val="single" w:sz="4" w:space="0" w:color="auto"/>
            </w:tcBorders>
            <w:vAlign w:val="center"/>
          </w:tcPr>
          <w:p w:rsidR="00557E2D" w:rsidRDefault="00557E2D" w:rsidP="0098578F">
            <w:pPr>
              <w:pStyle w:val="tabletext"/>
              <w:jc w:val="right"/>
            </w:pPr>
            <w:r>
              <w:t>65</w:t>
            </w:r>
          </w:p>
        </w:tc>
        <w:tc>
          <w:tcPr>
            <w:tcW w:w="1019" w:type="dxa"/>
            <w:tcBorders>
              <w:top w:val="single" w:sz="4" w:space="0" w:color="auto"/>
              <w:left w:val="single" w:sz="4" w:space="0" w:color="auto"/>
              <w:right w:val="single" w:sz="4" w:space="0" w:color="auto"/>
            </w:tcBorders>
            <w:vAlign w:val="center"/>
          </w:tcPr>
          <w:p w:rsidR="00557E2D" w:rsidRPr="009D217E" w:rsidRDefault="00557E2D" w:rsidP="0098578F">
            <w:pPr>
              <w:pStyle w:val="tabletext"/>
              <w:jc w:val="right"/>
              <w:rPr>
                <w:b/>
              </w:rPr>
            </w:pPr>
          </w:p>
        </w:tc>
      </w:tr>
      <w:tr w:rsidR="00557E2D" w:rsidRPr="006F2D07" w:rsidTr="00A60A09">
        <w:trPr>
          <w:trHeight w:val="368"/>
        </w:trPr>
        <w:tc>
          <w:tcPr>
            <w:tcW w:w="3749" w:type="dxa"/>
            <w:tcBorders>
              <w:left w:val="single" w:sz="4" w:space="0" w:color="auto"/>
              <w:bottom w:val="single" w:sz="4" w:space="0" w:color="auto"/>
            </w:tcBorders>
            <w:vAlign w:val="center"/>
          </w:tcPr>
          <w:p w:rsidR="00557E2D" w:rsidRPr="00A61BD0" w:rsidRDefault="00557E2D" w:rsidP="0098578F">
            <w:pPr>
              <w:pStyle w:val="tabletext"/>
              <w:ind w:left="142"/>
            </w:pPr>
            <w:r>
              <w:t>Annualised c</w:t>
            </w:r>
            <w:r w:rsidRPr="00A61BD0">
              <w:t xml:space="preserve">hange in regulatory cost </w:t>
            </w:r>
          </w:p>
        </w:tc>
        <w:tc>
          <w:tcPr>
            <w:tcW w:w="1018" w:type="dxa"/>
            <w:tcBorders>
              <w:bottom w:val="single" w:sz="4" w:space="0" w:color="auto"/>
            </w:tcBorders>
            <w:vAlign w:val="center"/>
          </w:tcPr>
          <w:p w:rsidR="00557E2D" w:rsidRPr="00561D97" w:rsidRDefault="00557E2D" w:rsidP="0098578F">
            <w:pPr>
              <w:pStyle w:val="tabletext"/>
              <w:jc w:val="right"/>
            </w:pPr>
            <w:r>
              <w:t>$1 571</w:t>
            </w:r>
          </w:p>
        </w:tc>
        <w:tc>
          <w:tcPr>
            <w:tcW w:w="1164" w:type="dxa"/>
            <w:tcBorders>
              <w:bottom w:val="single" w:sz="4" w:space="0" w:color="auto"/>
            </w:tcBorders>
            <w:vAlign w:val="center"/>
          </w:tcPr>
          <w:p w:rsidR="00557E2D" w:rsidRPr="00561D97" w:rsidRDefault="00557E2D" w:rsidP="0098578F">
            <w:pPr>
              <w:pStyle w:val="tabletext"/>
              <w:jc w:val="right"/>
            </w:pPr>
            <w:r>
              <w:t>$2 356</w:t>
            </w:r>
          </w:p>
        </w:tc>
        <w:tc>
          <w:tcPr>
            <w:tcW w:w="1164" w:type="dxa"/>
            <w:tcBorders>
              <w:bottom w:val="single" w:sz="4" w:space="0" w:color="auto"/>
            </w:tcBorders>
            <w:vAlign w:val="center"/>
          </w:tcPr>
          <w:p w:rsidR="00557E2D" w:rsidRPr="00561D97" w:rsidRDefault="00557E2D" w:rsidP="0098578F">
            <w:pPr>
              <w:pStyle w:val="tabletext"/>
              <w:jc w:val="right"/>
            </w:pPr>
            <w:r>
              <w:t>$3 927</w:t>
            </w:r>
          </w:p>
        </w:tc>
        <w:tc>
          <w:tcPr>
            <w:tcW w:w="1164" w:type="dxa"/>
            <w:tcBorders>
              <w:bottom w:val="single" w:sz="4" w:space="0" w:color="auto"/>
              <w:right w:val="single" w:sz="4" w:space="0" w:color="auto"/>
            </w:tcBorders>
            <w:vAlign w:val="center"/>
          </w:tcPr>
          <w:p w:rsidR="00557E2D" w:rsidRPr="00561D97" w:rsidRDefault="00557E2D" w:rsidP="0098578F">
            <w:pPr>
              <w:pStyle w:val="tabletext"/>
              <w:jc w:val="right"/>
            </w:pPr>
            <w:r>
              <w:t>$2 533</w:t>
            </w:r>
          </w:p>
        </w:tc>
        <w:tc>
          <w:tcPr>
            <w:tcW w:w="1019" w:type="dxa"/>
            <w:tcBorders>
              <w:left w:val="single" w:sz="4" w:space="0" w:color="auto"/>
              <w:bottom w:val="single" w:sz="4" w:space="0" w:color="auto"/>
              <w:right w:val="single" w:sz="4" w:space="0" w:color="auto"/>
            </w:tcBorders>
            <w:vAlign w:val="center"/>
          </w:tcPr>
          <w:p w:rsidR="00557E2D" w:rsidRPr="009D217E" w:rsidRDefault="00557E2D" w:rsidP="0098578F">
            <w:pPr>
              <w:pStyle w:val="tabletext"/>
              <w:jc w:val="right"/>
              <w:rPr>
                <w:b/>
              </w:rPr>
            </w:pPr>
            <w:r w:rsidRPr="009D217E">
              <w:rPr>
                <w:b/>
              </w:rPr>
              <w:t>$</w:t>
            </w:r>
            <w:r>
              <w:rPr>
                <w:b/>
              </w:rPr>
              <w:t>10 407</w:t>
            </w:r>
          </w:p>
        </w:tc>
      </w:tr>
      <w:tr w:rsidR="00557E2D" w:rsidRPr="006F2D07" w:rsidTr="00A60A09">
        <w:trPr>
          <w:trHeight w:val="368"/>
        </w:trPr>
        <w:tc>
          <w:tcPr>
            <w:tcW w:w="9280" w:type="dxa"/>
            <w:gridSpan w:val="6"/>
            <w:tcBorders>
              <w:top w:val="single" w:sz="4" w:space="0" w:color="auto"/>
              <w:left w:val="single" w:sz="4" w:space="0" w:color="auto"/>
              <w:bottom w:val="single" w:sz="4" w:space="0" w:color="auto"/>
              <w:right w:val="single" w:sz="4" w:space="0" w:color="auto"/>
            </w:tcBorders>
            <w:vAlign w:val="center"/>
          </w:tcPr>
          <w:p w:rsidR="00557E2D" w:rsidRPr="009D217E" w:rsidRDefault="00557E2D" w:rsidP="0098578F">
            <w:pPr>
              <w:pStyle w:val="tabletext"/>
              <w:rPr>
                <w:b/>
              </w:rPr>
            </w:pPr>
            <w:r w:rsidRPr="009D217E">
              <w:rPr>
                <w:b/>
              </w:rPr>
              <w:t xml:space="preserve">Ongoing costs – Assessment of new regulated charges against non-discrimination requirements </w:t>
            </w:r>
          </w:p>
        </w:tc>
      </w:tr>
      <w:tr w:rsidR="00557E2D" w:rsidRPr="006F2D07" w:rsidTr="00A60A09">
        <w:trPr>
          <w:trHeight w:val="368"/>
        </w:trPr>
        <w:tc>
          <w:tcPr>
            <w:tcW w:w="3749" w:type="dxa"/>
            <w:tcBorders>
              <w:top w:val="single" w:sz="4" w:space="0" w:color="auto"/>
              <w:left w:val="single" w:sz="4" w:space="0" w:color="auto"/>
            </w:tcBorders>
            <w:vAlign w:val="center"/>
          </w:tcPr>
          <w:p w:rsidR="00557E2D" w:rsidRPr="009D217E" w:rsidRDefault="00557E2D" w:rsidP="0098578F">
            <w:pPr>
              <w:pStyle w:val="tabletext"/>
              <w:ind w:left="142"/>
            </w:pPr>
            <w:r w:rsidRPr="009D217E">
              <w:t xml:space="preserve">Average </w:t>
            </w:r>
            <w:r>
              <w:t xml:space="preserve">annual </w:t>
            </w:r>
            <w:r w:rsidRPr="009D217E">
              <w:t>hours per operator</w:t>
            </w:r>
          </w:p>
        </w:tc>
        <w:tc>
          <w:tcPr>
            <w:tcW w:w="1018" w:type="dxa"/>
            <w:tcBorders>
              <w:top w:val="single" w:sz="4" w:space="0" w:color="auto"/>
            </w:tcBorders>
            <w:vAlign w:val="center"/>
          </w:tcPr>
          <w:p w:rsidR="00557E2D" w:rsidRDefault="00557E2D" w:rsidP="0098578F">
            <w:pPr>
              <w:pStyle w:val="tabletext"/>
              <w:jc w:val="right"/>
            </w:pPr>
            <w:r>
              <w:t>2</w:t>
            </w:r>
          </w:p>
        </w:tc>
        <w:tc>
          <w:tcPr>
            <w:tcW w:w="1164" w:type="dxa"/>
            <w:tcBorders>
              <w:top w:val="single" w:sz="4" w:space="0" w:color="auto"/>
            </w:tcBorders>
            <w:vAlign w:val="center"/>
          </w:tcPr>
          <w:p w:rsidR="00557E2D" w:rsidRDefault="00557E2D" w:rsidP="0098578F">
            <w:pPr>
              <w:pStyle w:val="tabletext"/>
              <w:jc w:val="right"/>
            </w:pPr>
            <w:r>
              <w:t>3</w:t>
            </w:r>
          </w:p>
        </w:tc>
        <w:tc>
          <w:tcPr>
            <w:tcW w:w="1164" w:type="dxa"/>
            <w:tcBorders>
              <w:top w:val="single" w:sz="4" w:space="0" w:color="auto"/>
            </w:tcBorders>
            <w:vAlign w:val="center"/>
          </w:tcPr>
          <w:p w:rsidR="00557E2D" w:rsidRDefault="00557E2D" w:rsidP="0098578F">
            <w:pPr>
              <w:pStyle w:val="tabletext"/>
              <w:jc w:val="right"/>
            </w:pPr>
            <w:r>
              <w:t>4</w:t>
            </w:r>
          </w:p>
        </w:tc>
        <w:tc>
          <w:tcPr>
            <w:tcW w:w="1164" w:type="dxa"/>
            <w:tcBorders>
              <w:top w:val="single" w:sz="4" w:space="0" w:color="auto"/>
              <w:right w:val="single" w:sz="4" w:space="0" w:color="auto"/>
            </w:tcBorders>
            <w:vAlign w:val="center"/>
          </w:tcPr>
          <w:p w:rsidR="00557E2D" w:rsidRDefault="00557E2D" w:rsidP="0098578F">
            <w:pPr>
              <w:pStyle w:val="tabletext"/>
              <w:jc w:val="right"/>
            </w:pPr>
            <w:r>
              <w:t>4</w:t>
            </w:r>
          </w:p>
        </w:tc>
        <w:tc>
          <w:tcPr>
            <w:tcW w:w="1019" w:type="dxa"/>
            <w:tcBorders>
              <w:top w:val="single" w:sz="4" w:space="0" w:color="auto"/>
              <w:left w:val="single" w:sz="4" w:space="0" w:color="auto"/>
              <w:right w:val="single" w:sz="4" w:space="0" w:color="auto"/>
            </w:tcBorders>
            <w:vAlign w:val="center"/>
          </w:tcPr>
          <w:p w:rsidR="00557E2D" w:rsidRPr="009D217E" w:rsidRDefault="00557E2D" w:rsidP="0098578F">
            <w:pPr>
              <w:pStyle w:val="tabletext"/>
              <w:jc w:val="right"/>
              <w:rPr>
                <w:b/>
              </w:rPr>
            </w:pPr>
          </w:p>
        </w:tc>
      </w:tr>
      <w:tr w:rsidR="00557E2D" w:rsidRPr="006F2D07" w:rsidTr="00A60A09">
        <w:trPr>
          <w:trHeight w:val="368"/>
        </w:trPr>
        <w:tc>
          <w:tcPr>
            <w:tcW w:w="3749" w:type="dxa"/>
            <w:tcBorders>
              <w:left w:val="single" w:sz="4" w:space="0" w:color="auto"/>
              <w:bottom w:val="single" w:sz="4" w:space="0" w:color="auto"/>
            </w:tcBorders>
            <w:vAlign w:val="center"/>
          </w:tcPr>
          <w:p w:rsidR="00557E2D" w:rsidRDefault="00557E2D" w:rsidP="0098578F">
            <w:pPr>
              <w:pStyle w:val="tabletext"/>
              <w:ind w:left="142"/>
            </w:pPr>
            <w:r>
              <w:t xml:space="preserve">Annualised change in regulatory cost </w:t>
            </w:r>
          </w:p>
        </w:tc>
        <w:tc>
          <w:tcPr>
            <w:tcW w:w="1018" w:type="dxa"/>
            <w:tcBorders>
              <w:bottom w:val="single" w:sz="4" w:space="0" w:color="auto"/>
            </w:tcBorders>
            <w:vAlign w:val="center"/>
          </w:tcPr>
          <w:p w:rsidR="00557E2D" w:rsidRDefault="00557E2D" w:rsidP="0098578F">
            <w:pPr>
              <w:pStyle w:val="tabletext"/>
              <w:jc w:val="right"/>
            </w:pPr>
            <w:r>
              <w:t>$1 047</w:t>
            </w:r>
          </w:p>
        </w:tc>
        <w:tc>
          <w:tcPr>
            <w:tcW w:w="1164" w:type="dxa"/>
            <w:tcBorders>
              <w:bottom w:val="single" w:sz="4" w:space="0" w:color="auto"/>
            </w:tcBorders>
            <w:vAlign w:val="center"/>
          </w:tcPr>
          <w:p w:rsidR="00557E2D" w:rsidRDefault="00557E2D" w:rsidP="0098578F">
            <w:pPr>
              <w:pStyle w:val="tabletext"/>
              <w:jc w:val="right"/>
            </w:pPr>
            <w:r>
              <w:t>$ 2 356</w:t>
            </w:r>
          </w:p>
        </w:tc>
        <w:tc>
          <w:tcPr>
            <w:tcW w:w="1164" w:type="dxa"/>
            <w:tcBorders>
              <w:bottom w:val="single" w:sz="4" w:space="0" w:color="auto"/>
            </w:tcBorders>
            <w:vAlign w:val="center"/>
          </w:tcPr>
          <w:p w:rsidR="00557E2D" w:rsidRDefault="00557E2D" w:rsidP="0098578F">
            <w:pPr>
              <w:pStyle w:val="tabletext"/>
              <w:jc w:val="right"/>
            </w:pPr>
            <w:r>
              <w:t>$1 309</w:t>
            </w:r>
          </w:p>
        </w:tc>
        <w:tc>
          <w:tcPr>
            <w:tcW w:w="1164" w:type="dxa"/>
            <w:tcBorders>
              <w:bottom w:val="single" w:sz="4" w:space="0" w:color="auto"/>
              <w:right w:val="single" w:sz="4" w:space="0" w:color="auto"/>
            </w:tcBorders>
            <w:vAlign w:val="center"/>
          </w:tcPr>
          <w:p w:rsidR="00557E2D" w:rsidRDefault="00557E2D" w:rsidP="0098578F">
            <w:pPr>
              <w:pStyle w:val="tabletext"/>
              <w:jc w:val="right"/>
            </w:pPr>
            <w:r>
              <w:t>$1 571</w:t>
            </w:r>
          </w:p>
        </w:tc>
        <w:tc>
          <w:tcPr>
            <w:tcW w:w="1019" w:type="dxa"/>
            <w:tcBorders>
              <w:left w:val="single" w:sz="4" w:space="0" w:color="auto"/>
              <w:bottom w:val="single" w:sz="4" w:space="0" w:color="auto"/>
              <w:right w:val="single" w:sz="4" w:space="0" w:color="auto"/>
            </w:tcBorders>
            <w:vAlign w:val="center"/>
          </w:tcPr>
          <w:p w:rsidR="00557E2D" w:rsidRPr="009D217E" w:rsidRDefault="00557E2D" w:rsidP="0098578F">
            <w:pPr>
              <w:pStyle w:val="tabletext"/>
              <w:jc w:val="right"/>
              <w:rPr>
                <w:b/>
              </w:rPr>
            </w:pPr>
            <w:r w:rsidRPr="009D217E">
              <w:rPr>
                <w:b/>
              </w:rPr>
              <w:t>$</w:t>
            </w:r>
            <w:r>
              <w:rPr>
                <w:b/>
              </w:rPr>
              <w:t>6 283</w:t>
            </w:r>
          </w:p>
        </w:tc>
      </w:tr>
      <w:tr w:rsidR="00557E2D" w:rsidRPr="006F2D07" w:rsidTr="00A60A09">
        <w:trPr>
          <w:trHeight w:val="631"/>
        </w:trPr>
        <w:tc>
          <w:tcPr>
            <w:tcW w:w="3749" w:type="dxa"/>
            <w:tcBorders>
              <w:left w:val="single" w:sz="4" w:space="0" w:color="auto"/>
              <w:bottom w:val="single" w:sz="4" w:space="0" w:color="auto"/>
            </w:tcBorders>
            <w:vAlign w:val="center"/>
          </w:tcPr>
          <w:p w:rsidR="00557E2D" w:rsidRDefault="00557E2D" w:rsidP="0098578F">
            <w:pPr>
              <w:pStyle w:val="tabletext"/>
            </w:pPr>
            <w:r>
              <w:rPr>
                <w:b/>
              </w:rPr>
              <w:t>Total net a</w:t>
            </w:r>
            <w:r w:rsidRPr="009D217E">
              <w:rPr>
                <w:b/>
              </w:rPr>
              <w:t>nnualised change in regulatory cost</w:t>
            </w:r>
            <w:r>
              <w:rPr>
                <w:b/>
              </w:rPr>
              <w:t xml:space="preserve"> ($/yr)</w:t>
            </w:r>
          </w:p>
        </w:tc>
        <w:tc>
          <w:tcPr>
            <w:tcW w:w="1018" w:type="dxa"/>
            <w:tcBorders>
              <w:bottom w:val="single" w:sz="4" w:space="0" w:color="auto"/>
            </w:tcBorders>
            <w:vAlign w:val="center"/>
          </w:tcPr>
          <w:p w:rsidR="00557E2D" w:rsidRDefault="00557E2D" w:rsidP="0098578F">
            <w:pPr>
              <w:jc w:val="right"/>
              <w:rPr>
                <w:rFonts w:ascii="Calibri" w:hAnsi="Calibri"/>
                <w:color w:val="000000"/>
              </w:rPr>
            </w:pPr>
            <w:r>
              <w:rPr>
                <w:rFonts w:ascii="Calibri" w:hAnsi="Calibri"/>
                <w:color w:val="000000"/>
              </w:rPr>
              <w:t>$2 618</w:t>
            </w:r>
          </w:p>
        </w:tc>
        <w:tc>
          <w:tcPr>
            <w:tcW w:w="1164" w:type="dxa"/>
            <w:tcBorders>
              <w:bottom w:val="single" w:sz="4" w:space="0" w:color="auto"/>
            </w:tcBorders>
            <w:vAlign w:val="center"/>
          </w:tcPr>
          <w:p w:rsidR="00557E2D" w:rsidRDefault="00557E2D" w:rsidP="0098578F">
            <w:pPr>
              <w:jc w:val="right"/>
              <w:rPr>
                <w:rFonts w:ascii="Calibri" w:hAnsi="Calibri"/>
                <w:color w:val="000000"/>
              </w:rPr>
            </w:pPr>
            <w:r>
              <w:rPr>
                <w:rFonts w:ascii="Calibri" w:hAnsi="Calibri"/>
                <w:color w:val="000000"/>
              </w:rPr>
              <w:t>$4 712</w:t>
            </w:r>
          </w:p>
        </w:tc>
        <w:tc>
          <w:tcPr>
            <w:tcW w:w="1164" w:type="dxa"/>
            <w:tcBorders>
              <w:bottom w:val="single" w:sz="4" w:space="0" w:color="auto"/>
            </w:tcBorders>
            <w:vAlign w:val="center"/>
          </w:tcPr>
          <w:p w:rsidR="00557E2D" w:rsidRDefault="00557E2D" w:rsidP="0098578F">
            <w:pPr>
              <w:jc w:val="right"/>
              <w:rPr>
                <w:rFonts w:ascii="Calibri" w:hAnsi="Calibri"/>
                <w:color w:val="000000"/>
              </w:rPr>
            </w:pPr>
            <w:r>
              <w:rPr>
                <w:rFonts w:ascii="Calibri" w:hAnsi="Calibri"/>
                <w:color w:val="000000"/>
              </w:rPr>
              <w:t>$5 236</w:t>
            </w:r>
          </w:p>
        </w:tc>
        <w:tc>
          <w:tcPr>
            <w:tcW w:w="1164" w:type="dxa"/>
            <w:tcBorders>
              <w:bottom w:val="single" w:sz="4" w:space="0" w:color="auto"/>
              <w:right w:val="single" w:sz="4" w:space="0" w:color="auto"/>
            </w:tcBorders>
            <w:vAlign w:val="center"/>
          </w:tcPr>
          <w:p w:rsidR="00557E2D" w:rsidRDefault="00557E2D" w:rsidP="0098578F">
            <w:pPr>
              <w:jc w:val="right"/>
              <w:rPr>
                <w:rFonts w:ascii="Calibri" w:hAnsi="Calibri"/>
                <w:color w:val="000000"/>
              </w:rPr>
            </w:pPr>
            <w:r>
              <w:rPr>
                <w:rFonts w:ascii="Calibri" w:hAnsi="Calibri"/>
                <w:color w:val="000000"/>
              </w:rPr>
              <w:t>$4 123</w:t>
            </w:r>
          </w:p>
        </w:tc>
        <w:tc>
          <w:tcPr>
            <w:tcW w:w="1019" w:type="dxa"/>
            <w:tcBorders>
              <w:left w:val="single" w:sz="4" w:space="0" w:color="auto"/>
              <w:bottom w:val="single" w:sz="4" w:space="0" w:color="auto"/>
              <w:right w:val="single" w:sz="4" w:space="0" w:color="auto"/>
            </w:tcBorders>
            <w:vAlign w:val="center"/>
          </w:tcPr>
          <w:p w:rsidR="00557E2D" w:rsidRPr="009D217E" w:rsidRDefault="00557E2D" w:rsidP="0098578F">
            <w:pPr>
              <w:pStyle w:val="tabletext"/>
              <w:jc w:val="right"/>
              <w:rPr>
                <w:b/>
              </w:rPr>
            </w:pPr>
            <w:r>
              <w:rPr>
                <w:b/>
              </w:rPr>
              <w:t>$16 690</w:t>
            </w:r>
          </w:p>
        </w:tc>
      </w:tr>
    </w:tbl>
    <w:p w:rsidR="00557E2D" w:rsidRDefault="00557E2D" w:rsidP="00557E2D">
      <w:pPr>
        <w:pStyle w:val="ListParagraph"/>
        <w:autoSpaceDE w:val="0"/>
        <w:autoSpaceDN w:val="0"/>
        <w:adjustRightInd w:val="0"/>
        <w:spacing w:after="0" w:line="240" w:lineRule="auto"/>
        <w:rPr>
          <w:b/>
        </w:rPr>
      </w:pPr>
    </w:p>
    <w:p w:rsidR="00686495" w:rsidRDefault="00686495">
      <w:pPr>
        <w:rPr>
          <w:rFonts w:eastAsia="Arial" w:cs="Times New Roman"/>
          <w:b/>
        </w:rPr>
      </w:pPr>
      <w:bookmarkStart w:id="1484" w:name="_Toc456785851"/>
      <w:r>
        <w:br w:type="page"/>
      </w:r>
    </w:p>
    <w:p w:rsidR="00557E2D" w:rsidRPr="00F40AFB" w:rsidRDefault="00557E2D" w:rsidP="00557E2D">
      <w:pPr>
        <w:pStyle w:val="Heading3"/>
      </w:pPr>
      <w:bookmarkStart w:id="1485" w:name="_Toc461630763"/>
      <w:r w:rsidRPr="00F40AFB">
        <w:t>Schedule of Charges</w:t>
      </w:r>
      <w:bookmarkEnd w:id="1484"/>
      <w:bookmarkEnd w:id="1485"/>
    </w:p>
    <w:p w:rsidR="00557E2D" w:rsidRDefault="00557E2D" w:rsidP="00AD6514">
      <w:pPr>
        <w:autoSpaceDE w:val="0"/>
        <w:autoSpaceDN w:val="0"/>
        <w:adjustRightInd w:val="0"/>
        <w:spacing w:line="269" w:lineRule="auto"/>
      </w:pPr>
      <w:r>
        <w:t xml:space="preserve">Under the current Part 1 and Part 4 provisions of the </w:t>
      </w:r>
      <w:r w:rsidR="0001065E" w:rsidRPr="00524D9F">
        <w:rPr>
          <w:rFonts w:cs="Times New Roman"/>
        </w:rPr>
        <w:t>Water Charge (Infrastructure) Rules 2010</w:t>
      </w:r>
      <w:r w:rsidR="0001065E">
        <w:rPr>
          <w:rFonts w:cs="Times New Roman"/>
        </w:rPr>
        <w:t xml:space="preserve"> (</w:t>
      </w:r>
      <w:r>
        <w:t>WCIR</w:t>
      </w:r>
      <w:r w:rsidR="0001065E">
        <w:t>)</w:t>
      </w:r>
      <w:r>
        <w:t>, infrastructure operators are required to produce a Schedule of Charges (“Schedule”). They are further prohibited from imposing infrastructure charges relating to an infrastructure service unless that charge is listed in their Schedule and a copy of the Schedule has been provided to customers.</w:t>
      </w:r>
    </w:p>
    <w:p w:rsidR="00557E2D" w:rsidRDefault="00557E2D" w:rsidP="00A60A09">
      <w:pPr>
        <w:autoSpaceDE w:val="0"/>
        <w:autoSpaceDN w:val="0"/>
        <w:adjustRightInd w:val="0"/>
        <w:spacing w:after="120" w:line="269" w:lineRule="auto"/>
      </w:pPr>
      <w:r>
        <w:t xml:space="preserve">In the Draft Advice, the ACCC proposed a number of changes to WCIR provisions relating to the </w:t>
      </w:r>
      <w:r w:rsidR="00852679">
        <w:t>S</w:t>
      </w:r>
      <w:r>
        <w:t xml:space="preserve">chedule of </w:t>
      </w:r>
      <w:r w:rsidR="00852679">
        <w:t>C</w:t>
      </w:r>
      <w:r>
        <w:t>harges, including:</w:t>
      </w:r>
    </w:p>
    <w:p w:rsidR="00557E2D" w:rsidRPr="001156E8" w:rsidRDefault="00557E2D" w:rsidP="00A82DE6">
      <w:pPr>
        <w:pStyle w:val="Lvl1Bulletpoint"/>
      </w:pPr>
      <w:r w:rsidRPr="001156E8">
        <w:t xml:space="preserve">Information requirements: Infrastructure operators would need to publish more extensive information about their infrastructure charges. The </w:t>
      </w:r>
      <w:r w:rsidR="00852679" w:rsidRPr="001156E8">
        <w:t>S</w:t>
      </w:r>
      <w:r w:rsidRPr="001156E8">
        <w:t xml:space="preserve">chedule was also required to set out a general statement on how charges included in the </w:t>
      </w:r>
      <w:r w:rsidR="00852679" w:rsidRPr="001156E8">
        <w:t>S</w:t>
      </w:r>
      <w:r w:rsidRPr="001156E8">
        <w:t>chedule were calculated and specific information on how the charges recovering the cost of any distribution loss shared charges or other shared charges were calculated.</w:t>
      </w:r>
    </w:p>
    <w:p w:rsidR="00557E2D" w:rsidRPr="001156E8" w:rsidRDefault="00557E2D" w:rsidP="00A60A09">
      <w:pPr>
        <w:pStyle w:val="Lvl1Bulletpoint"/>
        <w:spacing w:after="0"/>
        <w:ind w:left="568" w:hanging="284"/>
      </w:pPr>
      <w:r w:rsidRPr="001156E8">
        <w:t xml:space="preserve">Publication requirements—these included: </w:t>
      </w:r>
    </w:p>
    <w:p w:rsidR="00557E2D" w:rsidRPr="001156E8" w:rsidRDefault="00557E2D" w:rsidP="009B6ED8">
      <w:pPr>
        <w:pStyle w:val="Lvl2Bulletpoint"/>
      </w:pPr>
      <w:r w:rsidRPr="001156E8">
        <w:t xml:space="preserve">requiring all operators who have a website to publish their </w:t>
      </w:r>
      <w:r w:rsidR="00852679" w:rsidRPr="001156E8">
        <w:t>S</w:t>
      </w:r>
      <w:r w:rsidRPr="001156E8">
        <w:t xml:space="preserve">chedule of </w:t>
      </w:r>
      <w:r w:rsidR="00852679" w:rsidRPr="001156E8">
        <w:t>C</w:t>
      </w:r>
      <w:r w:rsidRPr="001156E8">
        <w:t>harges on that site (not only operators servicing over 10 GL of water access entitlement</w:t>
      </w:r>
      <w:r w:rsidR="00EA4062" w:rsidRPr="001156E8">
        <w:t xml:space="preserve"> (WAE)</w:t>
      </w:r>
      <w:r w:rsidRPr="001156E8">
        <w:t>)</w:t>
      </w:r>
    </w:p>
    <w:p w:rsidR="00557E2D" w:rsidRPr="001156E8" w:rsidRDefault="00557E2D" w:rsidP="009B6ED8">
      <w:pPr>
        <w:pStyle w:val="Lvl2Bulletpoint"/>
      </w:pPr>
      <w:r w:rsidRPr="001156E8">
        <w:t xml:space="preserve">removing the requirement of operators to publish a </w:t>
      </w:r>
      <w:r w:rsidR="00852679" w:rsidRPr="001156E8">
        <w:t>S</w:t>
      </w:r>
      <w:r w:rsidRPr="001156E8">
        <w:t xml:space="preserve">chedule of </w:t>
      </w:r>
      <w:r w:rsidR="00852679" w:rsidRPr="001156E8">
        <w:t>C</w:t>
      </w:r>
      <w:r w:rsidRPr="001156E8">
        <w:t xml:space="preserve">harges in their local newspaper or </w:t>
      </w:r>
      <w:r w:rsidR="001C5D61" w:rsidRPr="001156E8">
        <w:t>G</w:t>
      </w:r>
      <w:r w:rsidRPr="001156E8">
        <w:t xml:space="preserve">azette; </w:t>
      </w:r>
    </w:p>
    <w:p w:rsidR="00A04082" w:rsidRPr="001156E8" w:rsidRDefault="00557E2D" w:rsidP="009B6ED8">
      <w:pPr>
        <w:pStyle w:val="Lvl2Bulletpoint"/>
      </w:pPr>
      <w:r w:rsidRPr="001156E8">
        <w:t xml:space="preserve">requiring operators </w:t>
      </w:r>
      <w:r w:rsidR="00A04082" w:rsidRPr="001156E8">
        <w:t xml:space="preserve">that are have their charges regulated by the ACCC or a single State Agency </w:t>
      </w:r>
      <w:r w:rsidRPr="001156E8">
        <w:t xml:space="preserve">to publish </w:t>
      </w:r>
      <w:r w:rsidR="00A04082" w:rsidRPr="001156E8">
        <w:t xml:space="preserve">and send </w:t>
      </w:r>
      <w:r w:rsidRPr="001156E8">
        <w:t xml:space="preserve">their </w:t>
      </w:r>
      <w:r w:rsidR="00852679" w:rsidRPr="001156E8">
        <w:t>S</w:t>
      </w:r>
      <w:r w:rsidRPr="001156E8">
        <w:t xml:space="preserve">chedule of </w:t>
      </w:r>
      <w:r w:rsidR="00852679" w:rsidRPr="001156E8">
        <w:t>C</w:t>
      </w:r>
      <w:r w:rsidRPr="001156E8">
        <w:t xml:space="preserve">harges 25 </w:t>
      </w:r>
      <w:r w:rsidR="00CA074D" w:rsidRPr="001156E8">
        <w:t xml:space="preserve">business </w:t>
      </w:r>
      <w:r w:rsidRPr="001156E8">
        <w:t xml:space="preserve">days </w:t>
      </w:r>
      <w:r w:rsidR="00796B90" w:rsidRPr="001156E8">
        <w:t xml:space="preserve">or more </w:t>
      </w:r>
      <w:r w:rsidRPr="001156E8">
        <w:t xml:space="preserve">before they come into effect </w:t>
      </w:r>
    </w:p>
    <w:p w:rsidR="00557E2D" w:rsidRPr="001156E8" w:rsidRDefault="00A04082" w:rsidP="009B6ED8">
      <w:pPr>
        <w:pStyle w:val="Lvl2Bulletpoint"/>
      </w:pPr>
      <w:r w:rsidRPr="001156E8">
        <w:t xml:space="preserve">requiring other operators to publish and send their Schedule of Charges </w:t>
      </w:r>
      <w:r w:rsidR="00557E2D" w:rsidRPr="001156E8">
        <w:t xml:space="preserve">10 </w:t>
      </w:r>
      <w:r w:rsidR="00CA074D" w:rsidRPr="001156E8">
        <w:t xml:space="preserve">business </w:t>
      </w:r>
      <w:r w:rsidR="00557E2D" w:rsidRPr="001156E8">
        <w:t xml:space="preserve">days </w:t>
      </w:r>
      <w:r w:rsidR="00796B90" w:rsidRPr="001156E8">
        <w:t xml:space="preserve">or more </w:t>
      </w:r>
      <w:r w:rsidR="00557E2D" w:rsidRPr="001156E8">
        <w:t>before it comes into effect</w:t>
      </w:r>
      <w:r w:rsidR="00852679" w:rsidRPr="001156E8">
        <w:t>.</w:t>
      </w:r>
    </w:p>
    <w:p w:rsidR="00501FB5" w:rsidRDefault="00557E2D" w:rsidP="003170A7">
      <w:r w:rsidRPr="00B53DB8">
        <w:t>The National Irrigators</w:t>
      </w:r>
      <w:r w:rsidR="000212CF">
        <w:t>’</w:t>
      </w:r>
      <w:r w:rsidRPr="00B53DB8">
        <w:t xml:space="preserve"> Council (NIC) noted that in its Draft Advice, the ACCC stated that operator compliance with existing rules did not require operators to mail </w:t>
      </w:r>
      <w:r w:rsidR="00852679">
        <w:t>S</w:t>
      </w:r>
      <w:r w:rsidRPr="00B53DB8">
        <w:t xml:space="preserve">chedules of </w:t>
      </w:r>
      <w:r w:rsidR="00852679">
        <w:t>C</w:t>
      </w:r>
      <w:r w:rsidRPr="00B53DB8">
        <w:t xml:space="preserve">harges to customers. In that case, the NIC asked why the ACCC ‘factor[ed] in a reduction in printing, posting and associated staff time in connection with the </w:t>
      </w:r>
      <w:r w:rsidR="00852679">
        <w:t>S</w:t>
      </w:r>
      <w:r w:rsidRPr="00B53DB8">
        <w:t xml:space="preserve">chedule of </w:t>
      </w:r>
      <w:r w:rsidR="00852679">
        <w:t>C</w:t>
      </w:r>
      <w:r w:rsidRPr="00B53DB8">
        <w:t>harges. The NIC stated that given that ‘a number of operators cannot reliably contact their customers by email… mailing is a practical necessity.’</w:t>
      </w:r>
      <w:r w:rsidRPr="00B53DB8">
        <w:rPr>
          <w:rStyle w:val="FootnoteReference"/>
        </w:rPr>
        <w:footnoteReference w:id="853"/>
      </w:r>
      <w:r>
        <w:t xml:space="preserve"> In response, the ACCC notes that, although current rules do not </w:t>
      </w:r>
      <w:r>
        <w:rPr>
          <w:i/>
        </w:rPr>
        <w:t>require</w:t>
      </w:r>
      <w:r>
        <w:t xml:space="preserve"> operators to post their </w:t>
      </w:r>
      <w:r w:rsidR="00852679">
        <w:t>S</w:t>
      </w:r>
      <w:r>
        <w:t xml:space="preserve">chedules of </w:t>
      </w:r>
      <w:r w:rsidR="00852679">
        <w:t>C</w:t>
      </w:r>
      <w:r>
        <w:t>harges to customers, they do require operators to “</w:t>
      </w:r>
      <w:r w:rsidR="00852679">
        <w:t>send</w:t>
      </w:r>
      <w:r>
        <w:t xml:space="preserve">” customers the </w:t>
      </w:r>
      <w:r w:rsidR="00852679">
        <w:t>S</w:t>
      </w:r>
      <w:r>
        <w:t>chedule. The rules allow operators to choose the mode via which they “</w:t>
      </w:r>
      <w:r w:rsidR="00852679">
        <w:t>send</w:t>
      </w:r>
      <w:r>
        <w:t xml:space="preserve">” their </w:t>
      </w:r>
      <w:r w:rsidR="00852679">
        <w:t>S</w:t>
      </w:r>
      <w:r>
        <w:t xml:space="preserve">chedule – e.g. post, email, fax, etc. </w:t>
      </w:r>
    </w:p>
    <w:p w:rsidR="00322568" w:rsidRDefault="00557E2D" w:rsidP="003170A7">
      <w:r>
        <w:t xml:space="preserve">The costings in the Draft Advice acknowledged that currently many operators do choose to send their </w:t>
      </w:r>
      <w:r w:rsidR="00852679">
        <w:t>S</w:t>
      </w:r>
      <w:r>
        <w:t xml:space="preserve">chedules of </w:t>
      </w:r>
      <w:r w:rsidR="00852679">
        <w:t>C</w:t>
      </w:r>
      <w:r>
        <w:t>harges via post</w:t>
      </w:r>
      <w:r w:rsidR="00501FB5">
        <w:t xml:space="preserve"> and the ACCC’s compliance activities with operators have demonstrated that operators continue to </w:t>
      </w:r>
      <w:r w:rsidR="001F7413">
        <w:t xml:space="preserve">interpret the rules as requiring this approach to compliance, as operators do not generally have electronic contact details for </w:t>
      </w:r>
      <w:r w:rsidR="001F7413">
        <w:rPr>
          <w:i/>
        </w:rPr>
        <w:t xml:space="preserve">all </w:t>
      </w:r>
      <w:r w:rsidR="001F7413">
        <w:t>their customers</w:t>
      </w:r>
      <w:r w:rsidR="00501FB5">
        <w:t xml:space="preserve">. As such, the costings </w:t>
      </w:r>
      <w:r w:rsidR="001F7413">
        <w:t xml:space="preserve">presented </w:t>
      </w:r>
      <w:r w:rsidR="00501FB5">
        <w:t xml:space="preserve">in the Draft Advice </w:t>
      </w:r>
      <w:r>
        <w:t xml:space="preserve">included the assumption that on average, </w:t>
      </w:r>
      <w:r w:rsidR="00852679">
        <w:t>S</w:t>
      </w:r>
      <w:r>
        <w:t xml:space="preserve">chedules of </w:t>
      </w:r>
      <w:r w:rsidR="00852679">
        <w:t>C</w:t>
      </w:r>
      <w:r>
        <w:t xml:space="preserve">harges are </w:t>
      </w:r>
      <w:r w:rsidR="006A5498">
        <w:t xml:space="preserve">currently </w:t>
      </w:r>
      <w:r>
        <w:t xml:space="preserve">mailed to 60 per cent of customers. </w:t>
      </w:r>
      <w:r w:rsidR="006A5498">
        <w:t>However, in clarifying</w:t>
      </w:r>
      <w:r w:rsidR="00322568">
        <w:t xml:space="preserve"> in the Draft Advice (see draft rule advice 5-I)</w:t>
      </w:r>
      <w:r w:rsidR="001F7413">
        <w:t xml:space="preserve"> that Schedules could be sent electronically and need not be sent to all customers in the same format</w:t>
      </w:r>
      <w:r w:rsidR="00322568">
        <w:t>, the ACCC</w:t>
      </w:r>
      <w:r w:rsidR="001F7413">
        <w:t xml:space="preserve"> estimated printing and postage costs on the assumption that operator would only need to post schedules to (on average) </w:t>
      </w:r>
      <w:r w:rsidR="00322568">
        <w:t>20 per cent of customers.</w:t>
      </w:r>
    </w:p>
    <w:p w:rsidR="00557E2D" w:rsidRPr="00521D91" w:rsidRDefault="00557E2D" w:rsidP="003170A7">
      <w:pPr>
        <w:rPr>
          <w:b/>
        </w:rPr>
      </w:pPr>
      <w:r>
        <w:t xml:space="preserve">The Final Advice </w:t>
      </w:r>
      <w:r w:rsidR="006A5498">
        <w:t xml:space="preserve">and proposed water charge rules </w:t>
      </w:r>
      <w:r w:rsidR="001F7413">
        <w:t>now make</w:t>
      </w:r>
      <w:r w:rsidR="006A5498">
        <w:t xml:space="preserve"> it even</w:t>
      </w:r>
      <w:r>
        <w:t xml:space="preserve"> clear</w:t>
      </w:r>
      <w:r w:rsidR="00501FB5">
        <w:t>er</w:t>
      </w:r>
      <w:r>
        <w:t xml:space="preserve"> that operators are only required to “</w:t>
      </w:r>
      <w:r w:rsidR="00F7009A">
        <w:t>give</w:t>
      </w:r>
      <w:r>
        <w:t xml:space="preserve">” customers a </w:t>
      </w:r>
      <w:r w:rsidR="00852679">
        <w:t>S</w:t>
      </w:r>
      <w:r>
        <w:t>chedule</w:t>
      </w:r>
      <w:r w:rsidR="00236AC6">
        <w:t xml:space="preserve"> of Charges</w:t>
      </w:r>
      <w:r>
        <w:t>, and that the method of “</w:t>
      </w:r>
      <w:r w:rsidR="00F7009A">
        <w:t>giving</w:t>
      </w:r>
      <w:r>
        <w:t>”</w:t>
      </w:r>
      <w:r>
        <w:rPr>
          <w:b/>
        </w:rPr>
        <w:t xml:space="preserve"> </w:t>
      </w:r>
      <w:r w:rsidRPr="00521D91">
        <w:t>may</w:t>
      </w:r>
      <w:r>
        <w:t xml:space="preserve"> be chosen by the operator. </w:t>
      </w:r>
      <w:r w:rsidR="006A5498">
        <w:t>Furthermore, the</w:t>
      </w:r>
      <w:r w:rsidR="00EF587D">
        <w:t xml:space="preserve"> </w:t>
      </w:r>
      <w:r w:rsidR="00322568">
        <w:t xml:space="preserve">proposed water charge rules expressly provide that the </w:t>
      </w:r>
      <w:r w:rsidR="00EF587D">
        <w:t xml:space="preserve">form </w:t>
      </w:r>
      <w:r w:rsidR="006A5498">
        <w:t xml:space="preserve">in which a Schedule of Charges is given </w:t>
      </w:r>
      <w:r w:rsidR="00EF587D">
        <w:t xml:space="preserve">does not </w:t>
      </w:r>
      <w:r w:rsidR="00A72B79">
        <w:t>need</w:t>
      </w:r>
      <w:r w:rsidR="00EF587D">
        <w:t xml:space="preserve"> to be the same for each customer</w:t>
      </w:r>
      <w:r w:rsidR="006A5498">
        <w:t xml:space="preserve"> (see proposed water charge rule 3(6) and the note </w:t>
      </w:r>
      <w:r w:rsidR="003A2389">
        <w:t>under</w:t>
      </w:r>
      <w:r w:rsidR="006A5498">
        <w:t xml:space="preserve"> rule 15)</w:t>
      </w:r>
      <w:r w:rsidR="00EF587D">
        <w:t xml:space="preserve">. </w:t>
      </w:r>
      <w:r>
        <w:t xml:space="preserve">On that basis, the ACCC </w:t>
      </w:r>
      <w:r w:rsidR="006A5498">
        <w:t>maintains the view that,</w:t>
      </w:r>
      <w:r>
        <w:t xml:space="preserve"> </w:t>
      </w:r>
      <w:r w:rsidR="00A04082">
        <w:t xml:space="preserve">going forward, </w:t>
      </w:r>
      <w:r w:rsidR="00322568">
        <w:t>the proportion of customers that are given a Schedule of Charges by post will reduce (</w:t>
      </w:r>
      <w:r>
        <w:t>on average</w:t>
      </w:r>
      <w:r w:rsidR="00322568">
        <w:t>). However, in response to stakeholder feedback, the ACCC considers that a figure of 30 per cent may be more appropriate than the 20 per cent used in the Draft Advice</w:t>
      </w:r>
      <w:r w:rsidR="001F7413">
        <w:t xml:space="preserve"> estimates</w:t>
      </w:r>
      <w:r w:rsidR="00322568">
        <w:t>. As such, the ACCC has adjusted its estimated change in annual printing and postage costs from a reduction of $22 568 (in the Draft Advice) to a reduction of $</w:t>
      </w:r>
      <w:r w:rsidR="006C06B4">
        <w:t>16 926</w:t>
      </w:r>
      <w:r w:rsidR="00322568">
        <w:t>.</w:t>
      </w:r>
      <w:r>
        <w:t xml:space="preserve"> </w:t>
      </w:r>
    </w:p>
    <w:p w:rsidR="00557E2D" w:rsidRDefault="00557E2D" w:rsidP="003170A7">
      <w:pPr>
        <w:autoSpaceDE w:val="0"/>
        <w:autoSpaceDN w:val="0"/>
        <w:adjustRightInd w:val="0"/>
        <w:spacing w:after="0" w:line="240" w:lineRule="auto"/>
      </w:pPr>
      <w:r>
        <w:t xml:space="preserve">As noted in section 5.4 above, in its Final Advice, the ACCC has proposed a number of </w:t>
      </w:r>
      <w:r w:rsidR="006A5498">
        <w:t xml:space="preserve">other </w:t>
      </w:r>
      <w:r w:rsidR="004442B5">
        <w:t>changes</w:t>
      </w:r>
      <w:r>
        <w:t xml:space="preserve"> to the above proposals</w:t>
      </w:r>
      <w:r w:rsidR="000D7803">
        <w:t>, as follows</w:t>
      </w:r>
      <w:r>
        <w:t>:</w:t>
      </w:r>
    </w:p>
    <w:p w:rsidR="00700F3F" w:rsidRPr="00700F3F" w:rsidRDefault="00557E2D" w:rsidP="00A60A09">
      <w:pPr>
        <w:pStyle w:val="Lvl1Bulletpoint"/>
        <w:spacing w:after="0"/>
        <w:ind w:left="568" w:hanging="284"/>
      </w:pPr>
      <w:r w:rsidRPr="00700F3F">
        <w:t>Information requirements</w:t>
      </w:r>
      <w:r w:rsidR="00A04082" w:rsidRPr="00700F3F">
        <w:t>—</w:t>
      </w:r>
      <w:r w:rsidR="00700F3F" w:rsidRPr="00700F3F">
        <w:t>these include:</w:t>
      </w:r>
    </w:p>
    <w:p w:rsidR="00700F3F" w:rsidRDefault="00700F3F" w:rsidP="009B6ED8">
      <w:pPr>
        <w:pStyle w:val="Lvl2Bulletpoint"/>
      </w:pPr>
      <w:r>
        <w:t>r</w:t>
      </w:r>
      <w:r w:rsidR="00557E2D">
        <w:t xml:space="preserve">equiring that an infrastructure operator must set out in its </w:t>
      </w:r>
      <w:r w:rsidR="00852679">
        <w:t>S</w:t>
      </w:r>
      <w:r w:rsidR="00557E2D">
        <w:t xml:space="preserve">chedule of </w:t>
      </w:r>
      <w:r w:rsidR="00852679">
        <w:t>C</w:t>
      </w:r>
      <w:r w:rsidR="00557E2D">
        <w:t>harges any generally available discount (e.g. early payment, hardship etc.)</w:t>
      </w:r>
      <w:r w:rsidR="00EF587D">
        <w:t xml:space="preserve"> and / or surcharge</w:t>
      </w:r>
      <w:r w:rsidR="00557E2D">
        <w:t xml:space="preserve">, including the circumstances in which they apply. </w:t>
      </w:r>
    </w:p>
    <w:p w:rsidR="00557E2D" w:rsidRDefault="000004FC" w:rsidP="009B6ED8">
      <w:pPr>
        <w:pStyle w:val="Lvl2Bulletpoint"/>
      </w:pPr>
      <w:r>
        <w:t>r</w:t>
      </w:r>
      <w:r w:rsidR="00557E2D">
        <w:t>emov</w:t>
      </w:r>
      <w:r w:rsidR="00700F3F">
        <w:t>ing</w:t>
      </w:r>
      <w:r w:rsidR="00557E2D">
        <w:t xml:space="preserve"> the requirement for the operator to set out in their </w:t>
      </w:r>
      <w:r w:rsidR="00852679">
        <w:t>S</w:t>
      </w:r>
      <w:r w:rsidR="00557E2D">
        <w:t xml:space="preserve">chedule of </w:t>
      </w:r>
      <w:r w:rsidR="00852679">
        <w:t>C</w:t>
      </w:r>
      <w:r w:rsidR="004442B5">
        <w:t>h</w:t>
      </w:r>
      <w:r w:rsidR="00557E2D">
        <w:t>arges how each infrastructure charge or planning and management charge incurred is passed through, and replaced this with a general statement on these matters</w:t>
      </w:r>
      <w:r w:rsidR="00852679">
        <w:t>.</w:t>
      </w:r>
    </w:p>
    <w:p w:rsidR="00557E2D" w:rsidRDefault="00557E2D" w:rsidP="00A60A09">
      <w:pPr>
        <w:pStyle w:val="Lvl1Bulletpoint"/>
        <w:spacing w:after="0"/>
        <w:ind w:left="568" w:hanging="284"/>
      </w:pPr>
      <w:r>
        <w:t>Publication requirements—these include:</w:t>
      </w:r>
    </w:p>
    <w:p w:rsidR="00557E2D" w:rsidRPr="00EB0C56" w:rsidRDefault="00557E2D" w:rsidP="009B6ED8">
      <w:pPr>
        <w:pStyle w:val="Lvl2Bulletpoint"/>
        <w:rPr>
          <w:rFonts w:eastAsia="Arial"/>
        </w:rPr>
      </w:pPr>
      <w:r w:rsidRPr="00EB0C56">
        <w:rPr>
          <w:rFonts w:eastAsia="Arial"/>
        </w:rPr>
        <w:t xml:space="preserve">exempting an infrastructure operator from the timing requirements where this delay is caused by the failure of the ACCC or </w:t>
      </w:r>
      <w:r w:rsidR="000004FC">
        <w:rPr>
          <w:rFonts w:eastAsia="Arial"/>
        </w:rPr>
        <w:t xml:space="preserve">a </w:t>
      </w:r>
      <w:r w:rsidRPr="00EB0C56">
        <w:rPr>
          <w:rFonts w:eastAsia="Arial"/>
        </w:rPr>
        <w:t xml:space="preserve">State Agency to </w:t>
      </w:r>
      <w:r w:rsidR="0026704C">
        <w:rPr>
          <w:rFonts w:eastAsia="Arial"/>
        </w:rPr>
        <w:t xml:space="preserve">approve / </w:t>
      </w:r>
      <w:r w:rsidRPr="00EB0C56">
        <w:rPr>
          <w:rFonts w:eastAsia="Arial"/>
        </w:rPr>
        <w:t xml:space="preserve">determine planning and management charges in sufficient time. The operator can apply the </w:t>
      </w:r>
      <w:r w:rsidR="00700F3F">
        <w:rPr>
          <w:rFonts w:eastAsia="Arial"/>
        </w:rPr>
        <w:t>relevant</w:t>
      </w:r>
      <w:r w:rsidRPr="00EB0C56">
        <w:rPr>
          <w:rFonts w:eastAsia="Arial"/>
        </w:rPr>
        <w:t xml:space="preserve"> charges from the date </w:t>
      </w:r>
      <w:r w:rsidR="00700F3F">
        <w:rPr>
          <w:rFonts w:eastAsia="Arial"/>
        </w:rPr>
        <w:t xml:space="preserve">set out in </w:t>
      </w:r>
      <w:r w:rsidRPr="00EB0C56">
        <w:rPr>
          <w:rFonts w:eastAsia="Arial"/>
        </w:rPr>
        <w:t xml:space="preserve">the regulatory decision. The operator must then send a </w:t>
      </w:r>
      <w:r w:rsidR="0026704C">
        <w:rPr>
          <w:rFonts w:eastAsia="Arial"/>
        </w:rPr>
        <w:t>S</w:t>
      </w:r>
      <w:r w:rsidRPr="00EB0C56">
        <w:rPr>
          <w:rFonts w:eastAsia="Arial"/>
        </w:rPr>
        <w:t xml:space="preserve">chedule of </w:t>
      </w:r>
      <w:r w:rsidR="0026704C">
        <w:rPr>
          <w:rFonts w:eastAsia="Arial"/>
        </w:rPr>
        <w:t>C</w:t>
      </w:r>
      <w:r w:rsidRPr="00EB0C56">
        <w:rPr>
          <w:rFonts w:eastAsia="Arial"/>
        </w:rPr>
        <w:t xml:space="preserve">harges as soon as </w:t>
      </w:r>
      <w:r w:rsidR="0026704C" w:rsidRPr="00EB0C56">
        <w:rPr>
          <w:rFonts w:eastAsia="Arial"/>
        </w:rPr>
        <w:t>p</w:t>
      </w:r>
      <w:r w:rsidR="0026704C">
        <w:rPr>
          <w:rFonts w:eastAsia="Arial"/>
        </w:rPr>
        <w:t>racticable</w:t>
      </w:r>
      <w:r w:rsidR="0026704C" w:rsidRPr="00EB0C56">
        <w:rPr>
          <w:rFonts w:eastAsia="Arial"/>
        </w:rPr>
        <w:t xml:space="preserve"> </w:t>
      </w:r>
      <w:r w:rsidRPr="00EB0C56">
        <w:rPr>
          <w:rFonts w:eastAsia="Arial"/>
        </w:rPr>
        <w:t>to customers after that decision.</w:t>
      </w:r>
    </w:p>
    <w:p w:rsidR="00557E2D" w:rsidRPr="00EB0C56" w:rsidRDefault="00557E2D" w:rsidP="009B6ED8">
      <w:pPr>
        <w:pStyle w:val="Lvl2Bulletpoint"/>
        <w:rPr>
          <w:rFonts w:eastAsia="Arial"/>
        </w:rPr>
      </w:pPr>
      <w:r w:rsidRPr="00EB0C56">
        <w:rPr>
          <w:rFonts w:eastAsia="Arial"/>
        </w:rPr>
        <w:t xml:space="preserve">allowing an operator to update its </w:t>
      </w:r>
      <w:r w:rsidR="0026704C">
        <w:rPr>
          <w:rFonts w:eastAsia="Arial"/>
        </w:rPr>
        <w:t>S</w:t>
      </w:r>
      <w:r w:rsidRPr="00EB0C56">
        <w:rPr>
          <w:rFonts w:eastAsia="Arial"/>
        </w:rPr>
        <w:t xml:space="preserve">chedule of </w:t>
      </w:r>
      <w:r w:rsidR="0026704C">
        <w:rPr>
          <w:rFonts w:eastAsia="Arial"/>
        </w:rPr>
        <w:t>C</w:t>
      </w:r>
      <w:r w:rsidRPr="00EB0C56">
        <w:rPr>
          <w:rFonts w:eastAsia="Arial"/>
        </w:rPr>
        <w:t xml:space="preserve">harges to amend charges </w:t>
      </w:r>
      <w:r w:rsidR="00700F3F">
        <w:rPr>
          <w:rFonts w:eastAsia="Arial"/>
        </w:rPr>
        <w:t xml:space="preserve">it levies to pass through </w:t>
      </w:r>
      <w:r w:rsidRPr="00EB0C56">
        <w:rPr>
          <w:rFonts w:eastAsia="Arial"/>
        </w:rPr>
        <w:t xml:space="preserve">the cost of infrastructure charges or planning and management charges that it incurs, without triggering an obligation to immediately send the updated </w:t>
      </w:r>
      <w:r w:rsidR="0026704C">
        <w:rPr>
          <w:rFonts w:eastAsia="Arial"/>
        </w:rPr>
        <w:t>S</w:t>
      </w:r>
      <w:r w:rsidRPr="00EB0C56">
        <w:rPr>
          <w:rFonts w:eastAsia="Arial"/>
        </w:rPr>
        <w:t xml:space="preserve">chedule to customers. The operator must </w:t>
      </w:r>
      <w:r w:rsidR="00700F3F">
        <w:rPr>
          <w:rFonts w:eastAsia="Arial"/>
        </w:rPr>
        <w:t xml:space="preserve">instead </w:t>
      </w:r>
      <w:r w:rsidRPr="00EB0C56">
        <w:rPr>
          <w:rFonts w:eastAsia="Arial"/>
        </w:rPr>
        <w:t xml:space="preserve">update their website for these changes as soon as </w:t>
      </w:r>
      <w:r w:rsidR="0026704C" w:rsidRPr="00EB0C56">
        <w:rPr>
          <w:rFonts w:eastAsia="Arial"/>
        </w:rPr>
        <w:t>p</w:t>
      </w:r>
      <w:r w:rsidR="0026704C">
        <w:rPr>
          <w:rFonts w:eastAsia="Arial"/>
        </w:rPr>
        <w:t>racticable</w:t>
      </w:r>
      <w:r w:rsidR="0026704C" w:rsidRPr="00EB0C56">
        <w:rPr>
          <w:rFonts w:eastAsia="Arial"/>
        </w:rPr>
        <w:t xml:space="preserve"> </w:t>
      </w:r>
      <w:r w:rsidRPr="00EB0C56">
        <w:rPr>
          <w:rFonts w:eastAsia="Arial"/>
        </w:rPr>
        <w:t>after the update and can send this update to their customers with their next invoice.</w:t>
      </w:r>
    </w:p>
    <w:p w:rsidR="00557E2D" w:rsidRPr="00700F3F" w:rsidRDefault="00557E2D" w:rsidP="00A60A09">
      <w:pPr>
        <w:pStyle w:val="Lvl1Bulletpoint"/>
        <w:spacing w:after="0"/>
        <w:ind w:left="568" w:hanging="284"/>
      </w:pPr>
      <w:r w:rsidRPr="00700F3F">
        <w:t>Exemptions from the publication requirements—this includes:</w:t>
      </w:r>
    </w:p>
    <w:p w:rsidR="00700F3F" w:rsidRDefault="00557E2D" w:rsidP="009B6ED8">
      <w:pPr>
        <w:pStyle w:val="Lvl2Bulletpoint"/>
        <w:rPr>
          <w:rFonts w:eastAsia="Arial"/>
        </w:rPr>
      </w:pPr>
      <w:r w:rsidRPr="00EB0C56">
        <w:rPr>
          <w:rFonts w:eastAsia="Arial"/>
        </w:rPr>
        <w:t xml:space="preserve">allowing the ACCC to exempt publication of </w:t>
      </w:r>
      <w:r w:rsidR="005756C1">
        <w:rPr>
          <w:rFonts w:eastAsia="Arial"/>
        </w:rPr>
        <w:t xml:space="preserve">infrastructure charges in </w:t>
      </w:r>
      <w:r w:rsidRPr="005756C1">
        <w:rPr>
          <w:rFonts w:eastAsia="Arial"/>
          <w:i/>
        </w:rPr>
        <w:t>pre-existing</w:t>
      </w:r>
      <w:r w:rsidRPr="00EB0C56">
        <w:rPr>
          <w:rFonts w:eastAsia="Arial"/>
        </w:rPr>
        <w:t xml:space="preserve"> commercially negotiated contracts</w:t>
      </w:r>
      <w:r w:rsidR="00F7009A">
        <w:rPr>
          <w:rFonts w:eastAsia="Arial"/>
        </w:rPr>
        <w:t xml:space="preserve"> where publication would cause a material financial loss or material financial detriment to the operator or the customer</w:t>
      </w:r>
      <w:r w:rsidR="008041B2">
        <w:rPr>
          <w:rFonts w:eastAsia="Arial"/>
        </w:rPr>
        <w:t xml:space="preserve"> for a 12 month period after the rules are amended.</w:t>
      </w:r>
    </w:p>
    <w:p w:rsidR="00557E2D" w:rsidRPr="00EB0C56" w:rsidRDefault="00700F3F" w:rsidP="009B6ED8">
      <w:pPr>
        <w:pStyle w:val="Lvl2Bulletpoint"/>
        <w:rPr>
          <w:rFonts w:eastAsia="Arial"/>
        </w:rPr>
      </w:pPr>
      <w:r>
        <w:rPr>
          <w:rFonts w:eastAsia="Arial"/>
        </w:rPr>
        <w:t xml:space="preserve">allowing for an application to made in relation to infrastructure </w:t>
      </w:r>
      <w:r w:rsidR="00557E2D" w:rsidRPr="00EB0C56">
        <w:rPr>
          <w:rFonts w:eastAsia="Arial"/>
        </w:rPr>
        <w:t xml:space="preserve">charges applicable to multiple customers. </w:t>
      </w:r>
    </w:p>
    <w:p w:rsidR="00557E2D" w:rsidRPr="00EB0C56" w:rsidRDefault="00557E2D" w:rsidP="009B6ED8">
      <w:pPr>
        <w:pStyle w:val="Lvl2Bulletpoint"/>
        <w:rPr>
          <w:rFonts w:eastAsia="Arial"/>
        </w:rPr>
      </w:pPr>
      <w:r w:rsidRPr="00EB0C56">
        <w:rPr>
          <w:rFonts w:eastAsia="Arial"/>
        </w:rPr>
        <w:t xml:space="preserve">exempting operators from including details of the following types of charges in their </w:t>
      </w:r>
      <w:r w:rsidR="0026704C">
        <w:rPr>
          <w:rFonts w:eastAsia="Arial"/>
        </w:rPr>
        <w:t>S</w:t>
      </w:r>
      <w:r w:rsidRPr="00EB0C56">
        <w:rPr>
          <w:rFonts w:eastAsia="Arial"/>
        </w:rPr>
        <w:t xml:space="preserve">chedule of </w:t>
      </w:r>
      <w:r w:rsidR="0026704C">
        <w:rPr>
          <w:rFonts w:eastAsia="Arial"/>
        </w:rPr>
        <w:t>C</w:t>
      </w:r>
      <w:r w:rsidRPr="00EB0C56">
        <w:rPr>
          <w:rFonts w:eastAsia="Arial"/>
        </w:rPr>
        <w:t xml:space="preserve">harges: </w:t>
      </w:r>
    </w:p>
    <w:p w:rsidR="00557E2D" w:rsidRPr="00686495" w:rsidRDefault="00557E2D" w:rsidP="00F43856">
      <w:pPr>
        <w:pStyle w:val="Lvl2Bulletpoint"/>
        <w:numPr>
          <w:ilvl w:val="2"/>
          <w:numId w:val="108"/>
        </w:numPr>
        <w:ind w:left="1134" w:hanging="283"/>
        <w:rPr>
          <w:rFonts w:eastAsia="Arial"/>
        </w:rPr>
      </w:pPr>
      <w:r w:rsidRPr="00686495">
        <w:rPr>
          <w:rFonts w:eastAsia="Arial"/>
        </w:rPr>
        <w:t xml:space="preserve">hardship discounts; </w:t>
      </w:r>
    </w:p>
    <w:p w:rsidR="00557E2D" w:rsidRPr="00686495" w:rsidRDefault="00557E2D" w:rsidP="00F43856">
      <w:pPr>
        <w:pStyle w:val="Lvl2Bulletpoint"/>
        <w:numPr>
          <w:ilvl w:val="2"/>
          <w:numId w:val="108"/>
        </w:numPr>
        <w:ind w:left="1134" w:hanging="283"/>
        <w:rPr>
          <w:rFonts w:eastAsia="Arial"/>
        </w:rPr>
      </w:pPr>
      <w:r w:rsidRPr="00686495">
        <w:rPr>
          <w:rFonts w:eastAsia="Arial"/>
        </w:rPr>
        <w:t>charges where the operator cannot reasonably determine the nature o</w:t>
      </w:r>
      <w:r w:rsidR="0026704C" w:rsidRPr="00686495">
        <w:rPr>
          <w:rFonts w:eastAsia="Arial"/>
        </w:rPr>
        <w:t>f</w:t>
      </w:r>
      <w:r w:rsidRPr="00686495">
        <w:rPr>
          <w:rFonts w:eastAsia="Arial"/>
        </w:rPr>
        <w:t xml:space="preserve"> the service or the amount of the charge in advance</w:t>
      </w:r>
      <w:r w:rsidR="00700F3F" w:rsidRPr="00686495">
        <w:rPr>
          <w:rFonts w:eastAsia="Arial"/>
        </w:rPr>
        <w:t xml:space="preserve"> (although if the operator levies such a charge, they would be required to disclose this on future Schedules)</w:t>
      </w:r>
      <w:r w:rsidRPr="00686495">
        <w:rPr>
          <w:rFonts w:eastAsia="Arial"/>
        </w:rPr>
        <w:t xml:space="preserve">; </w:t>
      </w:r>
    </w:p>
    <w:p w:rsidR="00557E2D" w:rsidRPr="00686495" w:rsidRDefault="00557E2D" w:rsidP="00A60A09">
      <w:pPr>
        <w:pStyle w:val="Lvl2Bulletpoint"/>
        <w:numPr>
          <w:ilvl w:val="0"/>
          <w:numId w:val="0"/>
        </w:numPr>
        <w:ind w:left="1134"/>
        <w:rPr>
          <w:rFonts w:eastAsia="Arial"/>
        </w:rPr>
      </w:pPr>
      <w:r w:rsidRPr="00686495">
        <w:rPr>
          <w:rFonts w:eastAsia="Arial"/>
        </w:rPr>
        <w:t xml:space="preserve">where the operator is directly passing through the cost of a transaction charge it has incurred on behalf of a customer. </w:t>
      </w:r>
    </w:p>
    <w:p w:rsidR="00557E2D" w:rsidRDefault="00557E2D" w:rsidP="00A60A09">
      <w:pPr>
        <w:keepNext/>
        <w:autoSpaceDE w:val="0"/>
        <w:autoSpaceDN w:val="0"/>
        <w:adjustRightInd w:val="0"/>
        <w:spacing w:after="120" w:line="269" w:lineRule="auto"/>
      </w:pPr>
      <w:r>
        <w:t>Overall, the ACCC considers that these proposed changes to the Final Advice will result in a lower regulatory cost in this area when compared with the Draft Advice. Specifically:</w:t>
      </w:r>
    </w:p>
    <w:p w:rsidR="00557E2D" w:rsidRDefault="00557E2D" w:rsidP="00A82DE6">
      <w:pPr>
        <w:pStyle w:val="Lvl1Bulletpoint"/>
      </w:pPr>
      <w:r>
        <w:t xml:space="preserve">Information requirements: Information that must be included on the </w:t>
      </w:r>
      <w:r w:rsidR="00EE463E">
        <w:t>S</w:t>
      </w:r>
      <w:r>
        <w:t xml:space="preserve">chedule of </w:t>
      </w:r>
      <w:r w:rsidR="00EE463E">
        <w:t>C</w:t>
      </w:r>
      <w:r>
        <w:t xml:space="preserve">harges will decrease if the Final Advice proposals are adopted (when compared with both the current rules and Draft Advice proposals) due to the number of additional exemptions in the Final Advice. Therefore, the ACCC considers that the implementation and ongoing costs relating to gathering this information for the </w:t>
      </w:r>
      <w:r w:rsidR="00EE463E">
        <w:t>S</w:t>
      </w:r>
      <w:r>
        <w:t xml:space="preserve">chedule of </w:t>
      </w:r>
      <w:r w:rsidR="00EE463E">
        <w:t>C</w:t>
      </w:r>
      <w:r>
        <w:t xml:space="preserve">harges will decrease and has decreased the estimated regulatory cost accordingly. </w:t>
      </w:r>
    </w:p>
    <w:p w:rsidR="00557E2D" w:rsidRDefault="00557E2D" w:rsidP="00A82DE6">
      <w:pPr>
        <w:pStyle w:val="Lvl1Bulletpoint"/>
      </w:pPr>
      <w:r>
        <w:t xml:space="preserve">Printing and postage requirements: The lowering of publication requirements and level of exemptions should result in lower postage and printing charges </w:t>
      </w:r>
      <w:r w:rsidR="00322568">
        <w:t xml:space="preserve">(aside from those outlined above) </w:t>
      </w:r>
      <w:r>
        <w:t xml:space="preserve">as operators will need to send updated </w:t>
      </w:r>
      <w:r w:rsidR="00EE463E">
        <w:t>S</w:t>
      </w:r>
      <w:r>
        <w:t xml:space="preserve">chedules of </w:t>
      </w:r>
      <w:r w:rsidR="00EE463E">
        <w:t>C</w:t>
      </w:r>
      <w:r>
        <w:t xml:space="preserve">harges on fewer occasions. However, the level of this reduction depends on how many operators send their customers multiple </w:t>
      </w:r>
      <w:r w:rsidR="00EE463E">
        <w:t>S</w:t>
      </w:r>
      <w:r>
        <w:t xml:space="preserve">chedules of </w:t>
      </w:r>
      <w:r w:rsidR="00EE463E">
        <w:t>C</w:t>
      </w:r>
      <w:r>
        <w:t xml:space="preserve">harges each year. Data the ACCC has collected from operators indicates that the sending of multiple </w:t>
      </w:r>
      <w:r w:rsidR="00EE463E">
        <w:t>S</w:t>
      </w:r>
      <w:r>
        <w:t xml:space="preserve">chedules of </w:t>
      </w:r>
      <w:r w:rsidR="00EE463E">
        <w:t>C</w:t>
      </w:r>
      <w:r>
        <w:t xml:space="preserve">harges by operators is minimal (for 2014/15, only 3 out of 31 operators sent their customers more than one </w:t>
      </w:r>
      <w:r w:rsidR="00EE463E">
        <w:t>S</w:t>
      </w:r>
      <w:r>
        <w:t xml:space="preserve">chedule of </w:t>
      </w:r>
      <w:r w:rsidR="00EE463E">
        <w:t>C</w:t>
      </w:r>
      <w:r>
        <w:t>harges). The reduction in costs from this measure is likely to be small and therefore the ACCC considers it prudent to</w:t>
      </w:r>
      <w:r w:rsidR="00322568">
        <w:t xml:space="preserve"> not make any further adjustment to the estimated reduction in postage and printing costs explained above</w:t>
      </w:r>
      <w:r>
        <w:t xml:space="preserve">. </w:t>
      </w:r>
    </w:p>
    <w:p w:rsidR="00557E2D" w:rsidRDefault="00557E2D" w:rsidP="00A82DE6">
      <w:pPr>
        <w:pStyle w:val="Lvl1Bulletpoint"/>
      </w:pPr>
      <w:r>
        <w:t xml:space="preserve">The start-up costs of implementing the proposed </w:t>
      </w:r>
      <w:r w:rsidR="00EE463E">
        <w:t>r</w:t>
      </w:r>
      <w:r>
        <w:t xml:space="preserve">ule 9A </w:t>
      </w:r>
      <w:r w:rsidR="00A65D89">
        <w:t>are</w:t>
      </w:r>
      <w:r>
        <w:t xml:space="preserve"> the same in the Draft Advice and Final Advice.</w:t>
      </w:r>
    </w:p>
    <w:p w:rsidR="00557E2D" w:rsidRDefault="00557E2D" w:rsidP="00557E2D">
      <w:pPr>
        <w:autoSpaceDE w:val="0"/>
        <w:autoSpaceDN w:val="0"/>
        <w:adjustRightInd w:val="0"/>
        <w:spacing w:after="0" w:line="240" w:lineRule="auto"/>
      </w:pPr>
      <w:r>
        <w:t xml:space="preserve">Overall, the ACCC considers that the reduction in regulatory cost in this area for the Final Advice proposals when compared with the current </w:t>
      </w:r>
      <w:r w:rsidR="009A659D">
        <w:t xml:space="preserve">water charge rules </w:t>
      </w:r>
      <w:r>
        <w:t>will be $</w:t>
      </w:r>
      <w:r w:rsidR="006C06B4">
        <w:t>37 756</w:t>
      </w:r>
      <w:r>
        <w:t xml:space="preserve"> per annum (</w:t>
      </w:r>
      <w:r w:rsidR="00AF5079">
        <w:t>s</w:t>
      </w:r>
      <w:r>
        <w:t xml:space="preserve">ee Table 9.5 below). </w:t>
      </w:r>
      <w:r>
        <w:rPr>
          <w:rFonts w:cs="Times New Roman"/>
        </w:rPr>
        <w:t xml:space="preserve">This </w:t>
      </w:r>
      <w:r>
        <w:t>compares with an annualised decrease of $43 270 estimated in the Draft Advice.</w:t>
      </w:r>
    </w:p>
    <w:p w:rsidR="00557E2D" w:rsidRPr="00F40AFB" w:rsidRDefault="00557E2D" w:rsidP="00E560FF">
      <w:pPr>
        <w:pStyle w:val="Tabletitle"/>
      </w:pPr>
      <w:r>
        <w:t>Table 9.5—Change in regulatory cost due to proposed changes in the Schedule of Charges provisions—Final Advice compared with current WCIR requirements</w:t>
      </w:r>
    </w:p>
    <w:tbl>
      <w:tblPr>
        <w:tblStyle w:val="TableGrid"/>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5"/>
        <w:gridCol w:w="1077"/>
        <w:gridCol w:w="1077"/>
        <w:gridCol w:w="1077"/>
        <w:gridCol w:w="1077"/>
        <w:gridCol w:w="1077"/>
      </w:tblGrid>
      <w:tr w:rsidR="00557E2D" w:rsidRPr="00DF03B7" w:rsidTr="00C52AEB">
        <w:trPr>
          <w:trHeight w:val="364"/>
        </w:trPr>
        <w:tc>
          <w:tcPr>
            <w:tcW w:w="3895" w:type="dxa"/>
            <w:tcBorders>
              <w:top w:val="single" w:sz="4" w:space="0" w:color="auto"/>
              <w:left w:val="single" w:sz="4" w:space="0" w:color="auto"/>
              <w:bottom w:val="single" w:sz="4" w:space="0" w:color="auto"/>
            </w:tcBorders>
            <w:shd w:val="clear" w:color="auto" w:fill="D9D9D9" w:themeFill="background1" w:themeFillShade="D9"/>
            <w:vAlign w:val="center"/>
          </w:tcPr>
          <w:p w:rsidR="00557E2D" w:rsidRPr="00C12A26" w:rsidRDefault="00557E2D" w:rsidP="0098578F">
            <w:pPr>
              <w:pStyle w:val="tabletext"/>
            </w:pPr>
          </w:p>
        </w:tc>
        <w:tc>
          <w:tcPr>
            <w:tcW w:w="1077" w:type="dxa"/>
            <w:tcBorders>
              <w:top w:val="single" w:sz="4" w:space="0" w:color="auto"/>
              <w:bottom w:val="single" w:sz="4" w:space="0" w:color="auto"/>
            </w:tcBorders>
            <w:shd w:val="clear" w:color="auto" w:fill="D9D9D9" w:themeFill="background1" w:themeFillShade="D9"/>
            <w:vAlign w:val="center"/>
          </w:tcPr>
          <w:p w:rsidR="00557E2D" w:rsidRPr="001C1AA7" w:rsidRDefault="00557E2D" w:rsidP="0098578F">
            <w:pPr>
              <w:pStyle w:val="tabletext"/>
              <w:jc w:val="right"/>
              <w:rPr>
                <w:b/>
              </w:rPr>
            </w:pPr>
            <w:r w:rsidRPr="001C1AA7">
              <w:t>Group 1</w:t>
            </w:r>
          </w:p>
        </w:tc>
        <w:tc>
          <w:tcPr>
            <w:tcW w:w="1077" w:type="dxa"/>
            <w:tcBorders>
              <w:top w:val="single" w:sz="4" w:space="0" w:color="auto"/>
              <w:bottom w:val="single" w:sz="4" w:space="0" w:color="auto"/>
            </w:tcBorders>
            <w:shd w:val="clear" w:color="auto" w:fill="D9D9D9" w:themeFill="background1" w:themeFillShade="D9"/>
            <w:vAlign w:val="center"/>
          </w:tcPr>
          <w:p w:rsidR="00557E2D" w:rsidRPr="001C1AA7" w:rsidRDefault="00557E2D" w:rsidP="0098578F">
            <w:pPr>
              <w:pStyle w:val="tabletext"/>
              <w:jc w:val="right"/>
              <w:rPr>
                <w:b/>
              </w:rPr>
            </w:pPr>
            <w:r w:rsidRPr="001C1AA7">
              <w:t>Group 2</w:t>
            </w:r>
          </w:p>
        </w:tc>
        <w:tc>
          <w:tcPr>
            <w:tcW w:w="1077" w:type="dxa"/>
            <w:tcBorders>
              <w:top w:val="single" w:sz="4" w:space="0" w:color="auto"/>
              <w:bottom w:val="single" w:sz="4" w:space="0" w:color="auto"/>
            </w:tcBorders>
            <w:shd w:val="clear" w:color="auto" w:fill="D9D9D9" w:themeFill="background1" w:themeFillShade="D9"/>
            <w:vAlign w:val="center"/>
          </w:tcPr>
          <w:p w:rsidR="00557E2D" w:rsidRPr="001C1AA7" w:rsidRDefault="00557E2D" w:rsidP="0098578F">
            <w:pPr>
              <w:pStyle w:val="tabletext"/>
              <w:jc w:val="right"/>
              <w:rPr>
                <w:b/>
              </w:rPr>
            </w:pPr>
            <w:r w:rsidRPr="001C1AA7">
              <w:t>Group 3</w:t>
            </w:r>
          </w:p>
        </w:tc>
        <w:tc>
          <w:tcPr>
            <w:tcW w:w="1077" w:type="dxa"/>
            <w:tcBorders>
              <w:top w:val="single" w:sz="4" w:space="0" w:color="auto"/>
              <w:bottom w:val="single" w:sz="4" w:space="0" w:color="auto"/>
              <w:right w:val="single" w:sz="4" w:space="0" w:color="auto"/>
            </w:tcBorders>
            <w:shd w:val="clear" w:color="auto" w:fill="D9D9D9" w:themeFill="background1" w:themeFillShade="D9"/>
            <w:vAlign w:val="center"/>
          </w:tcPr>
          <w:p w:rsidR="00557E2D" w:rsidRPr="001C1AA7" w:rsidRDefault="00557E2D" w:rsidP="0098578F">
            <w:pPr>
              <w:pStyle w:val="tabletext"/>
              <w:jc w:val="right"/>
              <w:rPr>
                <w:b/>
              </w:rPr>
            </w:pPr>
            <w:r w:rsidRPr="001C1AA7">
              <w:t>Group 4</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7E2D" w:rsidRPr="0089223C" w:rsidRDefault="00557E2D" w:rsidP="0098578F">
            <w:pPr>
              <w:pStyle w:val="tabletext"/>
              <w:jc w:val="right"/>
              <w:rPr>
                <w:b/>
              </w:rPr>
            </w:pPr>
            <w:r w:rsidRPr="0089223C">
              <w:rPr>
                <w:b/>
              </w:rPr>
              <w:t>Total</w:t>
            </w:r>
          </w:p>
        </w:tc>
      </w:tr>
      <w:tr w:rsidR="00557E2D" w:rsidRPr="00DF03B7" w:rsidTr="00A60A09">
        <w:trPr>
          <w:trHeight w:val="219"/>
        </w:trPr>
        <w:tc>
          <w:tcPr>
            <w:tcW w:w="3895" w:type="dxa"/>
            <w:tcBorders>
              <w:top w:val="single" w:sz="4" w:space="0" w:color="auto"/>
              <w:left w:val="single" w:sz="4" w:space="0" w:color="auto"/>
              <w:bottom w:val="single" w:sz="4" w:space="0" w:color="auto"/>
            </w:tcBorders>
            <w:vAlign w:val="center"/>
          </w:tcPr>
          <w:p w:rsidR="00557E2D" w:rsidRPr="000F250F" w:rsidRDefault="00557E2D" w:rsidP="0098578F">
            <w:pPr>
              <w:pStyle w:val="tabletext"/>
              <w:rPr>
                <w:b/>
              </w:rPr>
            </w:pPr>
            <w:r w:rsidRPr="000F250F">
              <w:rPr>
                <w:b/>
              </w:rPr>
              <w:t>No. of affected operators</w:t>
            </w:r>
          </w:p>
        </w:tc>
        <w:tc>
          <w:tcPr>
            <w:tcW w:w="1077" w:type="dxa"/>
            <w:tcBorders>
              <w:top w:val="single" w:sz="4" w:space="0" w:color="auto"/>
              <w:bottom w:val="single" w:sz="4" w:space="0" w:color="auto"/>
            </w:tcBorders>
            <w:vAlign w:val="center"/>
          </w:tcPr>
          <w:p w:rsidR="00557E2D" w:rsidRPr="00C12A26" w:rsidRDefault="00557E2D" w:rsidP="0098578F">
            <w:pPr>
              <w:pStyle w:val="tabletext"/>
              <w:jc w:val="right"/>
            </w:pPr>
            <w:r w:rsidRPr="00C12A26">
              <w:t>8</w:t>
            </w:r>
          </w:p>
        </w:tc>
        <w:tc>
          <w:tcPr>
            <w:tcW w:w="1077" w:type="dxa"/>
            <w:tcBorders>
              <w:top w:val="single" w:sz="4" w:space="0" w:color="auto"/>
              <w:bottom w:val="single" w:sz="4" w:space="0" w:color="auto"/>
            </w:tcBorders>
            <w:vAlign w:val="center"/>
          </w:tcPr>
          <w:p w:rsidR="00557E2D" w:rsidRPr="00C12A26" w:rsidRDefault="00557E2D" w:rsidP="0098578F">
            <w:pPr>
              <w:pStyle w:val="tabletext"/>
              <w:jc w:val="right"/>
            </w:pPr>
            <w:r w:rsidRPr="00C12A26">
              <w:t>12</w:t>
            </w:r>
          </w:p>
        </w:tc>
        <w:tc>
          <w:tcPr>
            <w:tcW w:w="1077" w:type="dxa"/>
            <w:tcBorders>
              <w:top w:val="single" w:sz="4" w:space="0" w:color="auto"/>
              <w:bottom w:val="single" w:sz="4" w:space="0" w:color="auto"/>
            </w:tcBorders>
            <w:vAlign w:val="center"/>
          </w:tcPr>
          <w:p w:rsidR="00557E2D" w:rsidRPr="00C12A26" w:rsidRDefault="00557E2D" w:rsidP="0098578F">
            <w:pPr>
              <w:pStyle w:val="tabletext"/>
              <w:jc w:val="right"/>
            </w:pPr>
            <w:r w:rsidRPr="00C12A26">
              <w:t>5</w:t>
            </w:r>
          </w:p>
        </w:tc>
        <w:tc>
          <w:tcPr>
            <w:tcW w:w="1077" w:type="dxa"/>
            <w:tcBorders>
              <w:top w:val="single" w:sz="4" w:space="0" w:color="auto"/>
              <w:bottom w:val="single" w:sz="4" w:space="0" w:color="auto"/>
            </w:tcBorders>
            <w:vAlign w:val="center"/>
          </w:tcPr>
          <w:p w:rsidR="00557E2D" w:rsidRPr="00C12A26" w:rsidRDefault="00557E2D" w:rsidP="0098578F">
            <w:pPr>
              <w:pStyle w:val="tabletext"/>
              <w:jc w:val="right"/>
            </w:pPr>
            <w:r>
              <w:t>6</w:t>
            </w:r>
          </w:p>
        </w:tc>
        <w:tc>
          <w:tcPr>
            <w:tcW w:w="1077" w:type="dxa"/>
            <w:tcBorders>
              <w:top w:val="single" w:sz="4" w:space="0" w:color="auto"/>
              <w:bottom w:val="single" w:sz="4" w:space="0" w:color="auto"/>
              <w:right w:val="single" w:sz="4" w:space="0" w:color="auto"/>
            </w:tcBorders>
            <w:vAlign w:val="center"/>
          </w:tcPr>
          <w:p w:rsidR="00557E2D" w:rsidRPr="0089223C" w:rsidRDefault="00557E2D" w:rsidP="0098578F">
            <w:pPr>
              <w:pStyle w:val="tabletext"/>
              <w:jc w:val="right"/>
              <w:rPr>
                <w:b/>
              </w:rPr>
            </w:pPr>
            <w:r w:rsidRPr="0089223C">
              <w:rPr>
                <w:b/>
              </w:rPr>
              <w:t>31</w:t>
            </w:r>
          </w:p>
        </w:tc>
      </w:tr>
      <w:tr w:rsidR="00557E2D" w:rsidRPr="00DF03B7" w:rsidTr="00A60A09">
        <w:trPr>
          <w:trHeight w:val="347"/>
        </w:trPr>
        <w:tc>
          <w:tcPr>
            <w:tcW w:w="9280" w:type="dxa"/>
            <w:gridSpan w:val="6"/>
            <w:tcBorders>
              <w:top w:val="single" w:sz="4" w:space="0" w:color="auto"/>
              <w:left w:val="single" w:sz="4" w:space="0" w:color="auto"/>
              <w:bottom w:val="single" w:sz="4" w:space="0" w:color="auto"/>
              <w:right w:val="single" w:sz="4" w:space="0" w:color="auto"/>
            </w:tcBorders>
            <w:vAlign w:val="center"/>
          </w:tcPr>
          <w:p w:rsidR="00557E2D" w:rsidRPr="003966F0" w:rsidRDefault="00557E2D" w:rsidP="0098578F">
            <w:pPr>
              <w:pStyle w:val="tabletext"/>
              <w:rPr>
                <w:b/>
              </w:rPr>
            </w:pPr>
            <w:r w:rsidRPr="003966F0">
              <w:rPr>
                <w:b/>
              </w:rPr>
              <w:t xml:space="preserve">Publication of </w:t>
            </w:r>
            <w:r>
              <w:rPr>
                <w:b/>
              </w:rPr>
              <w:t>Schedule</w:t>
            </w:r>
            <w:r w:rsidRPr="003966F0">
              <w:rPr>
                <w:b/>
              </w:rPr>
              <w:t xml:space="preserve"> of Charges Information</w:t>
            </w:r>
          </w:p>
        </w:tc>
      </w:tr>
      <w:tr w:rsidR="00557E2D" w:rsidRPr="00DF03B7" w:rsidTr="00A60A09">
        <w:trPr>
          <w:trHeight w:val="223"/>
        </w:trPr>
        <w:tc>
          <w:tcPr>
            <w:tcW w:w="3895" w:type="dxa"/>
            <w:tcBorders>
              <w:top w:val="single" w:sz="4" w:space="0" w:color="auto"/>
              <w:left w:val="single" w:sz="4" w:space="0" w:color="auto"/>
            </w:tcBorders>
            <w:vAlign w:val="center"/>
          </w:tcPr>
          <w:p w:rsidR="00557E2D" w:rsidRPr="003966F0" w:rsidRDefault="00557E2D" w:rsidP="0098578F">
            <w:pPr>
              <w:pStyle w:val="tabletext"/>
              <w:ind w:left="142"/>
            </w:pPr>
            <w:r w:rsidRPr="003966F0">
              <w:t xml:space="preserve">Average </w:t>
            </w:r>
            <w:r>
              <w:t xml:space="preserve">annual </w:t>
            </w:r>
            <w:r w:rsidRPr="003966F0">
              <w:t>hours per operator</w:t>
            </w:r>
          </w:p>
        </w:tc>
        <w:tc>
          <w:tcPr>
            <w:tcW w:w="1077" w:type="dxa"/>
            <w:tcBorders>
              <w:top w:val="single" w:sz="4" w:space="0" w:color="auto"/>
            </w:tcBorders>
            <w:vAlign w:val="center"/>
          </w:tcPr>
          <w:p w:rsidR="00557E2D" w:rsidRPr="00C12A26" w:rsidRDefault="00557E2D" w:rsidP="0098578F">
            <w:pPr>
              <w:pStyle w:val="tabletext"/>
              <w:jc w:val="right"/>
            </w:pPr>
            <w:r>
              <w:t>4</w:t>
            </w:r>
          </w:p>
        </w:tc>
        <w:tc>
          <w:tcPr>
            <w:tcW w:w="1077" w:type="dxa"/>
            <w:tcBorders>
              <w:top w:val="single" w:sz="4" w:space="0" w:color="auto"/>
            </w:tcBorders>
            <w:vAlign w:val="center"/>
          </w:tcPr>
          <w:p w:rsidR="00557E2D" w:rsidRPr="00C12A26" w:rsidRDefault="00557E2D" w:rsidP="0098578F">
            <w:pPr>
              <w:pStyle w:val="tabletext"/>
              <w:jc w:val="right"/>
            </w:pPr>
            <w:r>
              <w:t>7</w:t>
            </w:r>
          </w:p>
        </w:tc>
        <w:tc>
          <w:tcPr>
            <w:tcW w:w="1077" w:type="dxa"/>
            <w:tcBorders>
              <w:top w:val="single" w:sz="4" w:space="0" w:color="auto"/>
            </w:tcBorders>
            <w:vAlign w:val="center"/>
          </w:tcPr>
          <w:p w:rsidR="00557E2D" w:rsidRPr="00C12A26" w:rsidRDefault="00557E2D" w:rsidP="0098578F">
            <w:pPr>
              <w:pStyle w:val="tabletext"/>
              <w:jc w:val="right"/>
            </w:pPr>
            <w:r>
              <w:t>7</w:t>
            </w:r>
          </w:p>
        </w:tc>
        <w:tc>
          <w:tcPr>
            <w:tcW w:w="1077" w:type="dxa"/>
            <w:tcBorders>
              <w:top w:val="single" w:sz="4" w:space="0" w:color="auto"/>
              <w:right w:val="single" w:sz="4" w:space="0" w:color="auto"/>
            </w:tcBorders>
            <w:vAlign w:val="center"/>
          </w:tcPr>
          <w:p w:rsidR="00557E2D" w:rsidRPr="00C12A26" w:rsidRDefault="00557E2D" w:rsidP="0098578F">
            <w:pPr>
              <w:pStyle w:val="tabletext"/>
              <w:jc w:val="right"/>
            </w:pPr>
            <w:r>
              <w:t>4</w:t>
            </w:r>
          </w:p>
        </w:tc>
        <w:tc>
          <w:tcPr>
            <w:tcW w:w="1077" w:type="dxa"/>
            <w:tcBorders>
              <w:top w:val="single" w:sz="4" w:space="0" w:color="auto"/>
              <w:left w:val="single" w:sz="4" w:space="0" w:color="auto"/>
              <w:right w:val="single" w:sz="4" w:space="0" w:color="auto"/>
            </w:tcBorders>
            <w:vAlign w:val="center"/>
          </w:tcPr>
          <w:p w:rsidR="00557E2D" w:rsidRPr="00C12A26" w:rsidRDefault="00557E2D" w:rsidP="0098578F">
            <w:pPr>
              <w:pStyle w:val="tabletext"/>
              <w:jc w:val="right"/>
            </w:pPr>
            <w:r>
              <w:t>-</w:t>
            </w:r>
          </w:p>
        </w:tc>
      </w:tr>
      <w:tr w:rsidR="00557E2D" w:rsidRPr="00DF03B7" w:rsidTr="00A60A09">
        <w:trPr>
          <w:trHeight w:val="347"/>
        </w:trPr>
        <w:tc>
          <w:tcPr>
            <w:tcW w:w="3895" w:type="dxa"/>
            <w:tcBorders>
              <w:left w:val="single" w:sz="4" w:space="0" w:color="auto"/>
            </w:tcBorders>
            <w:vAlign w:val="center"/>
          </w:tcPr>
          <w:p w:rsidR="00557E2D" w:rsidRPr="003966F0" w:rsidRDefault="00557E2D" w:rsidP="0098578F">
            <w:pPr>
              <w:pStyle w:val="tabletext"/>
              <w:ind w:left="142"/>
            </w:pPr>
            <w:r>
              <w:t>Annualised c</w:t>
            </w:r>
            <w:r w:rsidRPr="003966F0">
              <w:t xml:space="preserve">hange in regulatory cost </w:t>
            </w:r>
            <w:r>
              <w:t>—staff hours</w:t>
            </w:r>
          </w:p>
        </w:tc>
        <w:tc>
          <w:tcPr>
            <w:tcW w:w="1077" w:type="dxa"/>
            <w:vAlign w:val="center"/>
          </w:tcPr>
          <w:p w:rsidR="00557E2D" w:rsidRPr="00C12A26" w:rsidRDefault="00557E2D" w:rsidP="0098578F">
            <w:pPr>
              <w:pStyle w:val="tabletext"/>
              <w:jc w:val="right"/>
            </w:pPr>
            <w:r>
              <w:t>–$2 094</w:t>
            </w:r>
          </w:p>
        </w:tc>
        <w:tc>
          <w:tcPr>
            <w:tcW w:w="1077" w:type="dxa"/>
            <w:vAlign w:val="center"/>
          </w:tcPr>
          <w:p w:rsidR="00557E2D" w:rsidRPr="00C12A26" w:rsidRDefault="00557E2D" w:rsidP="0098578F">
            <w:pPr>
              <w:pStyle w:val="tabletext"/>
              <w:jc w:val="right"/>
            </w:pPr>
            <w:r>
              <w:t>–$5 498</w:t>
            </w:r>
          </w:p>
        </w:tc>
        <w:tc>
          <w:tcPr>
            <w:tcW w:w="1077" w:type="dxa"/>
            <w:vAlign w:val="center"/>
          </w:tcPr>
          <w:p w:rsidR="00557E2D" w:rsidRPr="00C12A26" w:rsidRDefault="00557E2D" w:rsidP="0098578F">
            <w:pPr>
              <w:pStyle w:val="tabletext"/>
              <w:jc w:val="right"/>
            </w:pPr>
            <w:r>
              <w:t>–$2 291</w:t>
            </w:r>
          </w:p>
        </w:tc>
        <w:tc>
          <w:tcPr>
            <w:tcW w:w="1077" w:type="dxa"/>
            <w:tcBorders>
              <w:right w:val="single" w:sz="4" w:space="0" w:color="auto"/>
            </w:tcBorders>
            <w:vAlign w:val="center"/>
          </w:tcPr>
          <w:p w:rsidR="00557E2D" w:rsidRPr="00C12A26" w:rsidRDefault="00557E2D" w:rsidP="0098578F">
            <w:pPr>
              <w:pStyle w:val="tabletext"/>
              <w:jc w:val="right"/>
            </w:pPr>
            <w:r>
              <w:t>–$1 571</w:t>
            </w:r>
          </w:p>
        </w:tc>
        <w:tc>
          <w:tcPr>
            <w:tcW w:w="1077" w:type="dxa"/>
            <w:tcBorders>
              <w:left w:val="single" w:sz="4" w:space="0" w:color="auto"/>
              <w:right w:val="single" w:sz="4" w:space="0" w:color="auto"/>
            </w:tcBorders>
            <w:vAlign w:val="center"/>
          </w:tcPr>
          <w:p w:rsidR="00557E2D" w:rsidRPr="00A63244" w:rsidRDefault="00557E2D" w:rsidP="0098578F">
            <w:pPr>
              <w:pStyle w:val="tabletext"/>
              <w:jc w:val="right"/>
              <w:rPr>
                <w:b/>
              </w:rPr>
            </w:pPr>
            <w:r>
              <w:rPr>
                <w:b/>
              </w:rPr>
              <w:t>–$</w:t>
            </w:r>
            <w:r w:rsidRPr="00A63244">
              <w:rPr>
                <w:b/>
              </w:rPr>
              <w:t>11</w:t>
            </w:r>
            <w:r>
              <w:rPr>
                <w:b/>
              </w:rPr>
              <w:t xml:space="preserve"> </w:t>
            </w:r>
            <w:r w:rsidRPr="00A63244">
              <w:rPr>
                <w:b/>
              </w:rPr>
              <w:t>454</w:t>
            </w:r>
          </w:p>
        </w:tc>
      </w:tr>
      <w:tr w:rsidR="00557E2D" w:rsidRPr="00DF03B7" w:rsidTr="00A60A09">
        <w:trPr>
          <w:trHeight w:val="347"/>
        </w:trPr>
        <w:tc>
          <w:tcPr>
            <w:tcW w:w="3895" w:type="dxa"/>
            <w:tcBorders>
              <w:left w:val="single" w:sz="4" w:space="0" w:color="auto"/>
            </w:tcBorders>
            <w:vAlign w:val="center"/>
          </w:tcPr>
          <w:p w:rsidR="00557E2D" w:rsidRPr="0089223C" w:rsidRDefault="00557E2D" w:rsidP="0098578F">
            <w:pPr>
              <w:pStyle w:val="tabletext"/>
              <w:ind w:left="142"/>
            </w:pPr>
            <w:r w:rsidRPr="0089223C">
              <w:t xml:space="preserve">Annualised change in printing </w:t>
            </w:r>
            <w:r>
              <w:t xml:space="preserve">&amp; postage </w:t>
            </w:r>
            <w:r w:rsidRPr="0089223C">
              <w:t>costs</w:t>
            </w:r>
          </w:p>
        </w:tc>
        <w:tc>
          <w:tcPr>
            <w:tcW w:w="1077" w:type="dxa"/>
            <w:vAlign w:val="center"/>
          </w:tcPr>
          <w:p w:rsidR="00557E2D" w:rsidRPr="003966F0" w:rsidRDefault="00557E2D" w:rsidP="006C06B4">
            <w:pPr>
              <w:pStyle w:val="tabletext"/>
              <w:jc w:val="right"/>
              <w:rPr>
                <w:b/>
              </w:rPr>
            </w:pPr>
            <w:r>
              <w:t>–$</w:t>
            </w:r>
            <w:r w:rsidR="006C06B4">
              <w:t>53</w:t>
            </w:r>
          </w:p>
        </w:tc>
        <w:tc>
          <w:tcPr>
            <w:tcW w:w="1077" w:type="dxa"/>
            <w:vAlign w:val="center"/>
          </w:tcPr>
          <w:p w:rsidR="00557E2D" w:rsidRPr="003966F0" w:rsidRDefault="00557E2D" w:rsidP="006C06B4">
            <w:pPr>
              <w:pStyle w:val="tabletext"/>
              <w:jc w:val="right"/>
              <w:rPr>
                <w:b/>
              </w:rPr>
            </w:pPr>
            <w:r>
              <w:t>–$</w:t>
            </w:r>
            <w:r w:rsidR="006C06B4">
              <w:t>757</w:t>
            </w:r>
          </w:p>
        </w:tc>
        <w:tc>
          <w:tcPr>
            <w:tcW w:w="1077" w:type="dxa"/>
            <w:vAlign w:val="center"/>
          </w:tcPr>
          <w:p w:rsidR="00557E2D" w:rsidRPr="003966F0" w:rsidRDefault="00557E2D" w:rsidP="006C06B4">
            <w:pPr>
              <w:pStyle w:val="tabletext"/>
              <w:jc w:val="right"/>
              <w:rPr>
                <w:b/>
              </w:rPr>
            </w:pPr>
            <w:r>
              <w:t>–$</w:t>
            </w:r>
            <w:r w:rsidR="006C06B4">
              <w:t>3 435</w:t>
            </w:r>
          </w:p>
        </w:tc>
        <w:tc>
          <w:tcPr>
            <w:tcW w:w="1077" w:type="dxa"/>
            <w:tcBorders>
              <w:right w:val="single" w:sz="4" w:space="0" w:color="auto"/>
            </w:tcBorders>
            <w:vAlign w:val="center"/>
          </w:tcPr>
          <w:p w:rsidR="00557E2D" w:rsidRPr="003966F0" w:rsidRDefault="00557E2D" w:rsidP="006C06B4">
            <w:pPr>
              <w:pStyle w:val="tabletext"/>
              <w:jc w:val="right"/>
              <w:rPr>
                <w:b/>
              </w:rPr>
            </w:pPr>
            <w:r>
              <w:t>–$</w:t>
            </w:r>
            <w:r w:rsidR="006C06B4">
              <w:t>12 681</w:t>
            </w:r>
          </w:p>
        </w:tc>
        <w:tc>
          <w:tcPr>
            <w:tcW w:w="1077" w:type="dxa"/>
            <w:tcBorders>
              <w:left w:val="single" w:sz="4" w:space="0" w:color="auto"/>
              <w:right w:val="single" w:sz="4" w:space="0" w:color="auto"/>
            </w:tcBorders>
            <w:vAlign w:val="center"/>
          </w:tcPr>
          <w:p w:rsidR="00557E2D" w:rsidRPr="002C1E32" w:rsidRDefault="00557E2D" w:rsidP="006C06B4">
            <w:pPr>
              <w:pStyle w:val="tabletext"/>
              <w:jc w:val="right"/>
              <w:rPr>
                <w:b/>
              </w:rPr>
            </w:pPr>
            <w:r>
              <w:rPr>
                <w:b/>
              </w:rPr>
              <w:t>–$</w:t>
            </w:r>
            <w:r w:rsidR="006C06B4">
              <w:rPr>
                <w:b/>
              </w:rPr>
              <w:t>16 926</w:t>
            </w:r>
          </w:p>
        </w:tc>
      </w:tr>
      <w:tr w:rsidR="00557E2D" w:rsidRPr="00DF03B7" w:rsidTr="00A60A09">
        <w:trPr>
          <w:trHeight w:val="248"/>
        </w:trPr>
        <w:tc>
          <w:tcPr>
            <w:tcW w:w="3895" w:type="dxa"/>
            <w:tcBorders>
              <w:left w:val="single" w:sz="4" w:space="0" w:color="auto"/>
              <w:bottom w:val="single" w:sz="4" w:space="0" w:color="auto"/>
            </w:tcBorders>
            <w:vAlign w:val="center"/>
          </w:tcPr>
          <w:p w:rsidR="00557E2D" w:rsidRPr="0089223C" w:rsidRDefault="00557E2D" w:rsidP="0098578F">
            <w:pPr>
              <w:pStyle w:val="tabletext"/>
              <w:ind w:left="142"/>
            </w:pPr>
            <w:r w:rsidRPr="0089223C">
              <w:t xml:space="preserve">Annualised change </w:t>
            </w:r>
            <w:r>
              <w:t>due to p</w:t>
            </w:r>
            <w:r w:rsidRPr="0089223C">
              <w:t>ublication in newspaper</w:t>
            </w:r>
            <w:r>
              <w:t xml:space="preserve"> / Gazette</w:t>
            </w:r>
          </w:p>
        </w:tc>
        <w:tc>
          <w:tcPr>
            <w:tcW w:w="1077" w:type="dxa"/>
            <w:tcBorders>
              <w:bottom w:val="single" w:sz="4" w:space="0" w:color="auto"/>
            </w:tcBorders>
            <w:vAlign w:val="center"/>
          </w:tcPr>
          <w:p w:rsidR="00557E2D" w:rsidRPr="00C12A26" w:rsidRDefault="00557E2D" w:rsidP="0098578F">
            <w:pPr>
              <w:pStyle w:val="tabletext"/>
              <w:jc w:val="right"/>
            </w:pPr>
            <w:r>
              <w:t>$0</w:t>
            </w:r>
          </w:p>
        </w:tc>
        <w:tc>
          <w:tcPr>
            <w:tcW w:w="1077" w:type="dxa"/>
            <w:tcBorders>
              <w:bottom w:val="single" w:sz="4" w:space="0" w:color="auto"/>
            </w:tcBorders>
            <w:vAlign w:val="center"/>
          </w:tcPr>
          <w:p w:rsidR="00557E2D" w:rsidRPr="00C12A26" w:rsidRDefault="00557E2D" w:rsidP="0098578F">
            <w:pPr>
              <w:pStyle w:val="tabletext"/>
              <w:jc w:val="right"/>
            </w:pPr>
            <w:r>
              <w:t>–$700</w:t>
            </w:r>
          </w:p>
        </w:tc>
        <w:tc>
          <w:tcPr>
            <w:tcW w:w="1077" w:type="dxa"/>
            <w:tcBorders>
              <w:bottom w:val="single" w:sz="4" w:space="0" w:color="auto"/>
            </w:tcBorders>
            <w:vAlign w:val="center"/>
          </w:tcPr>
          <w:p w:rsidR="00557E2D" w:rsidRPr="00C12A26" w:rsidRDefault="00557E2D" w:rsidP="0098578F">
            <w:pPr>
              <w:pStyle w:val="tabletext"/>
              <w:jc w:val="right"/>
            </w:pPr>
            <w:r>
              <w:t>–$3500</w:t>
            </w:r>
          </w:p>
        </w:tc>
        <w:tc>
          <w:tcPr>
            <w:tcW w:w="1077" w:type="dxa"/>
            <w:tcBorders>
              <w:bottom w:val="single" w:sz="4" w:space="0" w:color="auto"/>
              <w:right w:val="single" w:sz="4" w:space="0" w:color="auto"/>
            </w:tcBorders>
            <w:vAlign w:val="center"/>
          </w:tcPr>
          <w:p w:rsidR="00557E2D" w:rsidRPr="00C12A26" w:rsidRDefault="00557E2D" w:rsidP="0098578F">
            <w:pPr>
              <w:pStyle w:val="tabletext"/>
              <w:jc w:val="right"/>
            </w:pPr>
            <w:r>
              <w:t>–$10 500</w:t>
            </w:r>
          </w:p>
        </w:tc>
        <w:tc>
          <w:tcPr>
            <w:tcW w:w="1077" w:type="dxa"/>
            <w:tcBorders>
              <w:left w:val="single" w:sz="4" w:space="0" w:color="auto"/>
              <w:bottom w:val="single" w:sz="4" w:space="0" w:color="auto"/>
              <w:right w:val="single" w:sz="4" w:space="0" w:color="auto"/>
            </w:tcBorders>
            <w:vAlign w:val="center"/>
          </w:tcPr>
          <w:p w:rsidR="00557E2D" w:rsidRPr="00D05A5D" w:rsidRDefault="00557E2D" w:rsidP="0098578F">
            <w:pPr>
              <w:pStyle w:val="tabletext"/>
              <w:jc w:val="right"/>
              <w:rPr>
                <w:b/>
              </w:rPr>
            </w:pPr>
            <w:r>
              <w:rPr>
                <w:b/>
              </w:rPr>
              <w:t>–$</w:t>
            </w:r>
            <w:r w:rsidRPr="00D05A5D">
              <w:rPr>
                <w:b/>
              </w:rPr>
              <w:t>14</w:t>
            </w:r>
            <w:r>
              <w:rPr>
                <w:b/>
              </w:rPr>
              <w:t xml:space="preserve"> </w:t>
            </w:r>
            <w:r w:rsidRPr="00D05A5D">
              <w:rPr>
                <w:b/>
              </w:rPr>
              <w:t>700</w:t>
            </w:r>
          </w:p>
        </w:tc>
      </w:tr>
      <w:tr w:rsidR="00557E2D" w:rsidRPr="00DF03B7" w:rsidTr="00A60A09">
        <w:trPr>
          <w:trHeight w:val="347"/>
        </w:trPr>
        <w:tc>
          <w:tcPr>
            <w:tcW w:w="9280" w:type="dxa"/>
            <w:gridSpan w:val="6"/>
            <w:tcBorders>
              <w:top w:val="single" w:sz="4" w:space="0" w:color="auto"/>
              <w:left w:val="single" w:sz="4" w:space="0" w:color="auto"/>
              <w:bottom w:val="single" w:sz="4" w:space="0" w:color="auto"/>
              <w:right w:val="single" w:sz="4" w:space="0" w:color="auto"/>
            </w:tcBorders>
            <w:vAlign w:val="center"/>
          </w:tcPr>
          <w:p w:rsidR="00557E2D" w:rsidRPr="003966F0" w:rsidRDefault="00557E2D" w:rsidP="0098578F">
            <w:pPr>
              <w:pStyle w:val="tabletext"/>
              <w:rPr>
                <w:b/>
              </w:rPr>
            </w:pPr>
            <w:r w:rsidRPr="003966F0">
              <w:rPr>
                <w:b/>
              </w:rPr>
              <w:t>Start-up costs</w:t>
            </w:r>
            <w:r>
              <w:rPr>
                <w:b/>
              </w:rPr>
              <w:t>—</w:t>
            </w:r>
            <w:r w:rsidRPr="003966F0">
              <w:rPr>
                <w:b/>
              </w:rPr>
              <w:t>Pass-through requirements (</w:t>
            </w:r>
            <w:r w:rsidR="00A22F1F">
              <w:rPr>
                <w:b/>
              </w:rPr>
              <w:t>r</w:t>
            </w:r>
            <w:r w:rsidRPr="003966F0">
              <w:rPr>
                <w:b/>
              </w:rPr>
              <w:t>ule 9A)</w:t>
            </w:r>
          </w:p>
        </w:tc>
      </w:tr>
      <w:tr w:rsidR="00557E2D" w:rsidRPr="00DF03B7" w:rsidTr="00A60A09">
        <w:trPr>
          <w:trHeight w:val="347"/>
        </w:trPr>
        <w:tc>
          <w:tcPr>
            <w:tcW w:w="3895" w:type="dxa"/>
            <w:tcBorders>
              <w:top w:val="single" w:sz="4" w:space="0" w:color="auto"/>
              <w:left w:val="single" w:sz="4" w:space="0" w:color="auto"/>
            </w:tcBorders>
            <w:vAlign w:val="center"/>
          </w:tcPr>
          <w:p w:rsidR="00557E2D" w:rsidRPr="0089223C" w:rsidRDefault="00557E2D" w:rsidP="0098578F">
            <w:pPr>
              <w:pStyle w:val="tabletext"/>
              <w:ind w:left="142"/>
            </w:pPr>
            <w:r w:rsidRPr="0089223C">
              <w:t xml:space="preserve">Average </w:t>
            </w:r>
            <w:r>
              <w:t xml:space="preserve">start-up </w:t>
            </w:r>
            <w:r w:rsidRPr="0089223C">
              <w:t>hours per operator</w:t>
            </w:r>
          </w:p>
        </w:tc>
        <w:tc>
          <w:tcPr>
            <w:tcW w:w="1077" w:type="dxa"/>
            <w:tcBorders>
              <w:top w:val="single" w:sz="4" w:space="0" w:color="auto"/>
            </w:tcBorders>
            <w:vAlign w:val="center"/>
          </w:tcPr>
          <w:p w:rsidR="00557E2D" w:rsidRPr="00E3529A" w:rsidRDefault="00557E2D" w:rsidP="0098578F">
            <w:pPr>
              <w:pStyle w:val="tabletext"/>
              <w:jc w:val="right"/>
            </w:pPr>
            <w:r>
              <w:t>12</w:t>
            </w:r>
          </w:p>
        </w:tc>
        <w:tc>
          <w:tcPr>
            <w:tcW w:w="1077" w:type="dxa"/>
            <w:tcBorders>
              <w:top w:val="single" w:sz="4" w:space="0" w:color="auto"/>
            </w:tcBorders>
            <w:vAlign w:val="center"/>
          </w:tcPr>
          <w:p w:rsidR="00557E2D" w:rsidRPr="00E3529A" w:rsidRDefault="00557E2D" w:rsidP="0098578F">
            <w:pPr>
              <w:pStyle w:val="tabletext"/>
              <w:jc w:val="right"/>
            </w:pPr>
            <w:r>
              <w:t>17</w:t>
            </w:r>
          </w:p>
        </w:tc>
        <w:tc>
          <w:tcPr>
            <w:tcW w:w="1077" w:type="dxa"/>
            <w:tcBorders>
              <w:top w:val="single" w:sz="4" w:space="0" w:color="auto"/>
            </w:tcBorders>
            <w:vAlign w:val="center"/>
          </w:tcPr>
          <w:p w:rsidR="00557E2D" w:rsidRPr="00E3529A" w:rsidRDefault="00557E2D" w:rsidP="0098578F">
            <w:pPr>
              <w:pStyle w:val="tabletext"/>
              <w:jc w:val="right"/>
            </w:pPr>
            <w:r>
              <w:t>16</w:t>
            </w:r>
          </w:p>
        </w:tc>
        <w:tc>
          <w:tcPr>
            <w:tcW w:w="1077" w:type="dxa"/>
            <w:tcBorders>
              <w:top w:val="single" w:sz="4" w:space="0" w:color="auto"/>
              <w:right w:val="single" w:sz="4" w:space="0" w:color="auto"/>
            </w:tcBorders>
            <w:vAlign w:val="center"/>
          </w:tcPr>
          <w:p w:rsidR="00557E2D" w:rsidRPr="00E3529A" w:rsidRDefault="00557E2D" w:rsidP="0098578F">
            <w:pPr>
              <w:pStyle w:val="tabletext"/>
              <w:jc w:val="right"/>
            </w:pPr>
            <w:r>
              <w:t>7</w:t>
            </w:r>
          </w:p>
        </w:tc>
        <w:tc>
          <w:tcPr>
            <w:tcW w:w="1077" w:type="dxa"/>
            <w:tcBorders>
              <w:top w:val="single" w:sz="4" w:space="0" w:color="auto"/>
              <w:left w:val="single" w:sz="4" w:space="0" w:color="auto"/>
              <w:right w:val="single" w:sz="4" w:space="0" w:color="auto"/>
            </w:tcBorders>
            <w:vAlign w:val="center"/>
          </w:tcPr>
          <w:p w:rsidR="00557E2D" w:rsidRPr="00C316A5" w:rsidRDefault="00557E2D" w:rsidP="0098578F">
            <w:pPr>
              <w:pStyle w:val="tabletext"/>
              <w:jc w:val="right"/>
              <w:rPr>
                <w:b/>
              </w:rPr>
            </w:pPr>
          </w:p>
        </w:tc>
      </w:tr>
      <w:tr w:rsidR="00557E2D" w:rsidRPr="00DF03B7" w:rsidTr="00A60A09">
        <w:trPr>
          <w:trHeight w:val="347"/>
        </w:trPr>
        <w:tc>
          <w:tcPr>
            <w:tcW w:w="3895" w:type="dxa"/>
            <w:tcBorders>
              <w:left w:val="single" w:sz="4" w:space="0" w:color="auto"/>
              <w:bottom w:val="single" w:sz="4" w:space="0" w:color="auto"/>
            </w:tcBorders>
            <w:vAlign w:val="center"/>
          </w:tcPr>
          <w:p w:rsidR="00557E2D" w:rsidRPr="0089223C" w:rsidRDefault="00557E2D" w:rsidP="0098578F">
            <w:pPr>
              <w:pStyle w:val="tabletext"/>
              <w:ind w:left="142"/>
            </w:pPr>
            <w:r w:rsidRPr="0089223C">
              <w:t>Annualised change in regulatory costs</w:t>
            </w:r>
          </w:p>
        </w:tc>
        <w:tc>
          <w:tcPr>
            <w:tcW w:w="1077" w:type="dxa"/>
            <w:tcBorders>
              <w:bottom w:val="single" w:sz="4" w:space="0" w:color="auto"/>
            </w:tcBorders>
            <w:vAlign w:val="center"/>
          </w:tcPr>
          <w:p w:rsidR="00557E2D" w:rsidRPr="00E3529A" w:rsidRDefault="00557E2D" w:rsidP="0098578F">
            <w:pPr>
              <w:pStyle w:val="tabletext"/>
              <w:jc w:val="right"/>
            </w:pPr>
            <w:r>
              <w:t>$628</w:t>
            </w:r>
          </w:p>
        </w:tc>
        <w:tc>
          <w:tcPr>
            <w:tcW w:w="1077" w:type="dxa"/>
            <w:tcBorders>
              <w:bottom w:val="single" w:sz="4" w:space="0" w:color="auto"/>
            </w:tcBorders>
            <w:vAlign w:val="center"/>
          </w:tcPr>
          <w:p w:rsidR="00557E2D" w:rsidRPr="00E3529A" w:rsidRDefault="00557E2D" w:rsidP="0098578F">
            <w:pPr>
              <w:pStyle w:val="tabletext"/>
              <w:jc w:val="right"/>
            </w:pPr>
            <w:r>
              <w:t>$1 335</w:t>
            </w:r>
          </w:p>
        </w:tc>
        <w:tc>
          <w:tcPr>
            <w:tcW w:w="1077" w:type="dxa"/>
            <w:tcBorders>
              <w:bottom w:val="single" w:sz="4" w:space="0" w:color="auto"/>
            </w:tcBorders>
            <w:vAlign w:val="center"/>
          </w:tcPr>
          <w:p w:rsidR="00557E2D" w:rsidRPr="00E3529A" w:rsidRDefault="00557E2D" w:rsidP="0098578F">
            <w:pPr>
              <w:pStyle w:val="tabletext"/>
              <w:jc w:val="right"/>
            </w:pPr>
            <w:r>
              <w:t>$524</w:t>
            </w:r>
          </w:p>
        </w:tc>
        <w:tc>
          <w:tcPr>
            <w:tcW w:w="1077" w:type="dxa"/>
            <w:tcBorders>
              <w:bottom w:val="single" w:sz="4" w:space="0" w:color="auto"/>
              <w:right w:val="single" w:sz="4" w:space="0" w:color="auto"/>
            </w:tcBorders>
            <w:vAlign w:val="center"/>
          </w:tcPr>
          <w:p w:rsidR="00557E2D" w:rsidRPr="00E3529A" w:rsidRDefault="00557E2D" w:rsidP="0098578F">
            <w:pPr>
              <w:pStyle w:val="tabletext"/>
              <w:jc w:val="right"/>
            </w:pPr>
            <w:r>
              <w:t>$275</w:t>
            </w:r>
          </w:p>
        </w:tc>
        <w:tc>
          <w:tcPr>
            <w:tcW w:w="1077" w:type="dxa"/>
            <w:tcBorders>
              <w:left w:val="single" w:sz="4" w:space="0" w:color="auto"/>
              <w:bottom w:val="single" w:sz="4" w:space="0" w:color="auto"/>
              <w:right w:val="single" w:sz="4" w:space="0" w:color="auto"/>
            </w:tcBorders>
            <w:vAlign w:val="center"/>
          </w:tcPr>
          <w:p w:rsidR="00557E2D" w:rsidRPr="00C316A5" w:rsidRDefault="00557E2D" w:rsidP="0098578F">
            <w:pPr>
              <w:pStyle w:val="tabletext"/>
              <w:jc w:val="right"/>
              <w:rPr>
                <w:b/>
              </w:rPr>
            </w:pPr>
            <w:r>
              <w:rPr>
                <w:b/>
              </w:rPr>
              <w:t>$2 762</w:t>
            </w:r>
          </w:p>
        </w:tc>
      </w:tr>
      <w:tr w:rsidR="00557E2D" w:rsidRPr="00DF03B7" w:rsidTr="00A60A09">
        <w:trPr>
          <w:trHeight w:val="347"/>
        </w:trPr>
        <w:tc>
          <w:tcPr>
            <w:tcW w:w="9280" w:type="dxa"/>
            <w:gridSpan w:val="6"/>
            <w:tcBorders>
              <w:top w:val="single" w:sz="4" w:space="0" w:color="auto"/>
              <w:left w:val="single" w:sz="4" w:space="0" w:color="auto"/>
              <w:bottom w:val="single" w:sz="4" w:space="0" w:color="auto"/>
              <w:right w:val="single" w:sz="4" w:space="0" w:color="auto"/>
            </w:tcBorders>
            <w:vAlign w:val="center"/>
          </w:tcPr>
          <w:p w:rsidR="00557E2D" w:rsidRPr="0089223C" w:rsidRDefault="00557E2D" w:rsidP="0098578F">
            <w:pPr>
              <w:pStyle w:val="tabletext"/>
              <w:rPr>
                <w:b/>
              </w:rPr>
            </w:pPr>
            <w:r w:rsidRPr="0089223C">
              <w:rPr>
                <w:b/>
              </w:rPr>
              <w:t>Information provisions</w:t>
            </w:r>
            <w:r>
              <w:rPr>
                <w:b/>
              </w:rPr>
              <w:t>—S</w:t>
            </w:r>
            <w:r w:rsidRPr="0089223C">
              <w:rPr>
                <w:b/>
              </w:rPr>
              <w:t>tart-up costs</w:t>
            </w:r>
          </w:p>
        </w:tc>
      </w:tr>
      <w:tr w:rsidR="00557E2D" w:rsidRPr="00DF03B7" w:rsidTr="00A60A09">
        <w:trPr>
          <w:trHeight w:val="347"/>
        </w:trPr>
        <w:tc>
          <w:tcPr>
            <w:tcW w:w="3895" w:type="dxa"/>
            <w:tcBorders>
              <w:top w:val="single" w:sz="4" w:space="0" w:color="auto"/>
              <w:left w:val="single" w:sz="4" w:space="0" w:color="auto"/>
            </w:tcBorders>
            <w:vAlign w:val="center"/>
          </w:tcPr>
          <w:p w:rsidR="00557E2D" w:rsidRPr="0089223C" w:rsidRDefault="00557E2D" w:rsidP="0098578F">
            <w:pPr>
              <w:pStyle w:val="tabletext"/>
              <w:ind w:left="142"/>
            </w:pPr>
            <w:r w:rsidRPr="0089223C">
              <w:t xml:space="preserve">Average </w:t>
            </w:r>
            <w:r>
              <w:t xml:space="preserve">start-up </w:t>
            </w:r>
            <w:r w:rsidRPr="0089223C">
              <w:t>hours per operator</w:t>
            </w:r>
          </w:p>
        </w:tc>
        <w:tc>
          <w:tcPr>
            <w:tcW w:w="1077" w:type="dxa"/>
            <w:tcBorders>
              <w:top w:val="single" w:sz="4" w:space="0" w:color="auto"/>
            </w:tcBorders>
            <w:vAlign w:val="center"/>
          </w:tcPr>
          <w:p w:rsidR="00557E2D" w:rsidRPr="005B3BE1" w:rsidRDefault="00557E2D" w:rsidP="0098578F">
            <w:pPr>
              <w:pStyle w:val="tabletext"/>
              <w:jc w:val="right"/>
            </w:pPr>
            <w:r>
              <w:t>11</w:t>
            </w:r>
          </w:p>
        </w:tc>
        <w:tc>
          <w:tcPr>
            <w:tcW w:w="1077" w:type="dxa"/>
            <w:tcBorders>
              <w:top w:val="single" w:sz="4" w:space="0" w:color="auto"/>
            </w:tcBorders>
            <w:vAlign w:val="center"/>
          </w:tcPr>
          <w:p w:rsidR="00557E2D" w:rsidRPr="00E3529A" w:rsidRDefault="00557E2D" w:rsidP="0098578F">
            <w:pPr>
              <w:pStyle w:val="tabletext"/>
              <w:jc w:val="right"/>
            </w:pPr>
            <w:r>
              <w:t>15</w:t>
            </w:r>
          </w:p>
        </w:tc>
        <w:tc>
          <w:tcPr>
            <w:tcW w:w="1077" w:type="dxa"/>
            <w:tcBorders>
              <w:top w:val="single" w:sz="4" w:space="0" w:color="auto"/>
            </w:tcBorders>
            <w:vAlign w:val="center"/>
          </w:tcPr>
          <w:p w:rsidR="00557E2D" w:rsidRPr="00E3529A" w:rsidRDefault="00557E2D" w:rsidP="0098578F">
            <w:pPr>
              <w:pStyle w:val="tabletext"/>
              <w:jc w:val="right"/>
            </w:pPr>
            <w:r>
              <w:t>11.5</w:t>
            </w:r>
          </w:p>
        </w:tc>
        <w:tc>
          <w:tcPr>
            <w:tcW w:w="1077" w:type="dxa"/>
            <w:tcBorders>
              <w:top w:val="single" w:sz="4" w:space="0" w:color="auto"/>
              <w:right w:val="single" w:sz="4" w:space="0" w:color="auto"/>
            </w:tcBorders>
            <w:vAlign w:val="center"/>
          </w:tcPr>
          <w:p w:rsidR="00557E2D" w:rsidRPr="00E3529A" w:rsidRDefault="00557E2D" w:rsidP="0098578F">
            <w:pPr>
              <w:pStyle w:val="tabletext"/>
              <w:jc w:val="right"/>
            </w:pPr>
            <w:r>
              <w:t>11</w:t>
            </w:r>
          </w:p>
        </w:tc>
        <w:tc>
          <w:tcPr>
            <w:tcW w:w="1077" w:type="dxa"/>
            <w:tcBorders>
              <w:top w:val="single" w:sz="4" w:space="0" w:color="auto"/>
              <w:left w:val="single" w:sz="4" w:space="0" w:color="auto"/>
              <w:right w:val="single" w:sz="4" w:space="0" w:color="auto"/>
            </w:tcBorders>
            <w:vAlign w:val="center"/>
          </w:tcPr>
          <w:p w:rsidR="00557E2D" w:rsidRPr="00C316A5" w:rsidRDefault="00557E2D" w:rsidP="0098578F">
            <w:pPr>
              <w:pStyle w:val="tabletext"/>
              <w:jc w:val="right"/>
              <w:rPr>
                <w:b/>
              </w:rPr>
            </w:pPr>
          </w:p>
        </w:tc>
      </w:tr>
      <w:tr w:rsidR="00557E2D" w:rsidRPr="00DF03B7" w:rsidTr="00A60A09">
        <w:trPr>
          <w:trHeight w:val="347"/>
        </w:trPr>
        <w:tc>
          <w:tcPr>
            <w:tcW w:w="3895" w:type="dxa"/>
            <w:tcBorders>
              <w:left w:val="single" w:sz="4" w:space="0" w:color="auto"/>
              <w:bottom w:val="single" w:sz="4" w:space="0" w:color="auto"/>
            </w:tcBorders>
            <w:vAlign w:val="center"/>
          </w:tcPr>
          <w:p w:rsidR="00557E2D" w:rsidRPr="0089223C" w:rsidRDefault="00557E2D" w:rsidP="0098578F">
            <w:pPr>
              <w:pStyle w:val="tabletext"/>
              <w:ind w:left="142"/>
            </w:pPr>
            <w:r w:rsidRPr="0089223C">
              <w:t>Annualised change in regulatory costs</w:t>
            </w:r>
          </w:p>
        </w:tc>
        <w:tc>
          <w:tcPr>
            <w:tcW w:w="1077" w:type="dxa"/>
            <w:tcBorders>
              <w:bottom w:val="single" w:sz="4" w:space="0" w:color="auto"/>
            </w:tcBorders>
            <w:vAlign w:val="center"/>
          </w:tcPr>
          <w:p w:rsidR="00557E2D" w:rsidRPr="005B3BE1" w:rsidRDefault="00557E2D" w:rsidP="0098578F">
            <w:pPr>
              <w:pStyle w:val="tabletext"/>
              <w:jc w:val="right"/>
            </w:pPr>
            <w:r>
              <w:t>$576</w:t>
            </w:r>
          </w:p>
        </w:tc>
        <w:tc>
          <w:tcPr>
            <w:tcW w:w="1077" w:type="dxa"/>
            <w:tcBorders>
              <w:bottom w:val="single" w:sz="4" w:space="0" w:color="auto"/>
            </w:tcBorders>
            <w:vAlign w:val="center"/>
          </w:tcPr>
          <w:p w:rsidR="00557E2D" w:rsidRPr="00E3529A" w:rsidRDefault="00557E2D" w:rsidP="0098578F">
            <w:pPr>
              <w:pStyle w:val="tabletext"/>
              <w:jc w:val="right"/>
            </w:pPr>
            <w:r>
              <w:t>$1 178</w:t>
            </w:r>
          </w:p>
        </w:tc>
        <w:tc>
          <w:tcPr>
            <w:tcW w:w="1077" w:type="dxa"/>
            <w:tcBorders>
              <w:bottom w:val="single" w:sz="4" w:space="0" w:color="auto"/>
            </w:tcBorders>
            <w:vAlign w:val="center"/>
          </w:tcPr>
          <w:p w:rsidR="00557E2D" w:rsidRPr="00E3529A" w:rsidRDefault="00557E2D" w:rsidP="0098578F">
            <w:pPr>
              <w:pStyle w:val="tabletext"/>
              <w:jc w:val="right"/>
            </w:pPr>
            <w:r>
              <w:t>$376</w:t>
            </w:r>
          </w:p>
        </w:tc>
        <w:tc>
          <w:tcPr>
            <w:tcW w:w="1077" w:type="dxa"/>
            <w:tcBorders>
              <w:bottom w:val="single" w:sz="4" w:space="0" w:color="auto"/>
              <w:right w:val="single" w:sz="4" w:space="0" w:color="auto"/>
            </w:tcBorders>
            <w:vAlign w:val="center"/>
          </w:tcPr>
          <w:p w:rsidR="00557E2D" w:rsidRPr="00E3529A" w:rsidRDefault="00557E2D" w:rsidP="0098578F">
            <w:pPr>
              <w:pStyle w:val="tabletext"/>
              <w:jc w:val="right"/>
            </w:pPr>
            <w:r>
              <w:t>$432</w:t>
            </w:r>
          </w:p>
        </w:tc>
        <w:tc>
          <w:tcPr>
            <w:tcW w:w="1077" w:type="dxa"/>
            <w:tcBorders>
              <w:left w:val="single" w:sz="4" w:space="0" w:color="auto"/>
              <w:bottom w:val="single" w:sz="4" w:space="0" w:color="auto"/>
              <w:right w:val="single" w:sz="4" w:space="0" w:color="auto"/>
            </w:tcBorders>
            <w:vAlign w:val="center"/>
          </w:tcPr>
          <w:p w:rsidR="00557E2D" w:rsidRPr="00C316A5" w:rsidRDefault="00557E2D" w:rsidP="0098578F">
            <w:pPr>
              <w:pStyle w:val="tabletext"/>
              <w:jc w:val="right"/>
              <w:rPr>
                <w:b/>
              </w:rPr>
            </w:pPr>
            <w:r>
              <w:rPr>
                <w:b/>
              </w:rPr>
              <w:t>$2 562</w:t>
            </w:r>
          </w:p>
        </w:tc>
      </w:tr>
      <w:tr w:rsidR="00557E2D" w:rsidRPr="00DF03B7" w:rsidTr="00A60A09">
        <w:trPr>
          <w:trHeight w:val="347"/>
        </w:trPr>
        <w:tc>
          <w:tcPr>
            <w:tcW w:w="3895" w:type="dxa"/>
            <w:tcBorders>
              <w:left w:val="single" w:sz="4" w:space="0" w:color="auto"/>
              <w:bottom w:val="single" w:sz="4" w:space="0" w:color="auto"/>
            </w:tcBorders>
            <w:vAlign w:val="center"/>
          </w:tcPr>
          <w:p w:rsidR="00557E2D" w:rsidRPr="0089223C" w:rsidRDefault="00557E2D" w:rsidP="0098578F">
            <w:pPr>
              <w:pStyle w:val="tabletext"/>
            </w:pPr>
            <w:r w:rsidRPr="0089223C">
              <w:rPr>
                <w:b/>
              </w:rPr>
              <w:t xml:space="preserve">Total </w:t>
            </w:r>
            <w:r>
              <w:rPr>
                <w:b/>
              </w:rPr>
              <w:t>net a</w:t>
            </w:r>
            <w:r w:rsidRPr="0089223C">
              <w:rPr>
                <w:b/>
              </w:rPr>
              <w:t>nnualised change in regulatory cost</w:t>
            </w:r>
            <w:r>
              <w:rPr>
                <w:b/>
              </w:rPr>
              <w:t xml:space="preserve"> ($/yr)</w:t>
            </w:r>
          </w:p>
        </w:tc>
        <w:tc>
          <w:tcPr>
            <w:tcW w:w="1077" w:type="dxa"/>
            <w:tcBorders>
              <w:bottom w:val="single" w:sz="4" w:space="0" w:color="auto"/>
            </w:tcBorders>
            <w:vAlign w:val="center"/>
          </w:tcPr>
          <w:p w:rsidR="00557E2D" w:rsidRDefault="00557E2D" w:rsidP="006C06B4">
            <w:pPr>
              <w:jc w:val="right"/>
              <w:rPr>
                <w:rFonts w:ascii="Calibri" w:hAnsi="Calibri"/>
                <w:color w:val="000000"/>
              </w:rPr>
            </w:pPr>
            <w:r>
              <w:t>–</w:t>
            </w:r>
            <w:r>
              <w:rPr>
                <w:rFonts w:ascii="Calibri" w:hAnsi="Calibri"/>
                <w:color w:val="000000"/>
              </w:rPr>
              <w:t>$ 9</w:t>
            </w:r>
            <w:r w:rsidR="006C06B4">
              <w:rPr>
                <w:rFonts w:ascii="Calibri" w:hAnsi="Calibri"/>
                <w:color w:val="000000"/>
              </w:rPr>
              <w:t>43</w:t>
            </w:r>
          </w:p>
        </w:tc>
        <w:tc>
          <w:tcPr>
            <w:tcW w:w="1077" w:type="dxa"/>
            <w:tcBorders>
              <w:bottom w:val="single" w:sz="4" w:space="0" w:color="auto"/>
            </w:tcBorders>
            <w:vAlign w:val="center"/>
          </w:tcPr>
          <w:p w:rsidR="00557E2D" w:rsidRDefault="00557E2D" w:rsidP="006C06B4">
            <w:pPr>
              <w:jc w:val="right"/>
              <w:rPr>
                <w:rFonts w:ascii="Calibri" w:hAnsi="Calibri"/>
                <w:color w:val="000000"/>
              </w:rPr>
            </w:pPr>
            <w:r>
              <w:t>–</w:t>
            </w:r>
            <w:r>
              <w:rPr>
                <w:rFonts w:ascii="Calibri" w:hAnsi="Calibri"/>
                <w:color w:val="000000"/>
              </w:rPr>
              <w:t xml:space="preserve">$4 </w:t>
            </w:r>
            <w:r w:rsidR="006C06B4">
              <w:rPr>
                <w:rFonts w:ascii="Calibri" w:hAnsi="Calibri"/>
                <w:color w:val="000000"/>
              </w:rPr>
              <w:t>441</w:t>
            </w:r>
          </w:p>
        </w:tc>
        <w:tc>
          <w:tcPr>
            <w:tcW w:w="1077" w:type="dxa"/>
            <w:tcBorders>
              <w:bottom w:val="single" w:sz="4" w:space="0" w:color="auto"/>
            </w:tcBorders>
            <w:vAlign w:val="center"/>
          </w:tcPr>
          <w:p w:rsidR="00557E2D" w:rsidRDefault="00557E2D" w:rsidP="006C06B4">
            <w:pPr>
              <w:jc w:val="right"/>
              <w:rPr>
                <w:rFonts w:ascii="Calibri" w:hAnsi="Calibri"/>
                <w:color w:val="000000"/>
              </w:rPr>
            </w:pPr>
            <w:r>
              <w:t>–</w:t>
            </w:r>
            <w:r>
              <w:rPr>
                <w:rFonts w:ascii="Calibri" w:hAnsi="Calibri"/>
                <w:color w:val="000000"/>
              </w:rPr>
              <w:t>$</w:t>
            </w:r>
            <w:r w:rsidR="006C06B4">
              <w:rPr>
                <w:rFonts w:ascii="Calibri" w:hAnsi="Calibri"/>
                <w:color w:val="000000"/>
              </w:rPr>
              <w:t>8 326</w:t>
            </w:r>
          </w:p>
        </w:tc>
        <w:tc>
          <w:tcPr>
            <w:tcW w:w="1077" w:type="dxa"/>
            <w:tcBorders>
              <w:bottom w:val="single" w:sz="4" w:space="0" w:color="auto"/>
              <w:right w:val="single" w:sz="4" w:space="0" w:color="auto"/>
            </w:tcBorders>
            <w:vAlign w:val="center"/>
          </w:tcPr>
          <w:p w:rsidR="00557E2D" w:rsidRDefault="00557E2D" w:rsidP="00FB6B0E">
            <w:pPr>
              <w:jc w:val="right"/>
              <w:rPr>
                <w:rFonts w:ascii="Calibri" w:hAnsi="Calibri"/>
                <w:color w:val="000000"/>
              </w:rPr>
            </w:pPr>
            <w:r>
              <w:t>–</w:t>
            </w:r>
            <w:r>
              <w:rPr>
                <w:rFonts w:ascii="Calibri" w:hAnsi="Calibri"/>
                <w:color w:val="000000"/>
              </w:rPr>
              <w:t>$</w:t>
            </w:r>
            <w:r w:rsidR="00FB6B0E">
              <w:rPr>
                <w:rFonts w:ascii="Calibri" w:hAnsi="Calibri"/>
                <w:color w:val="000000"/>
              </w:rPr>
              <w:t>24 045</w:t>
            </w:r>
          </w:p>
        </w:tc>
        <w:tc>
          <w:tcPr>
            <w:tcW w:w="1077" w:type="dxa"/>
            <w:tcBorders>
              <w:left w:val="single" w:sz="4" w:space="0" w:color="auto"/>
              <w:bottom w:val="single" w:sz="4" w:space="0" w:color="auto"/>
              <w:right w:val="single" w:sz="4" w:space="0" w:color="auto"/>
            </w:tcBorders>
            <w:vAlign w:val="center"/>
          </w:tcPr>
          <w:p w:rsidR="00557E2D" w:rsidRDefault="00557E2D" w:rsidP="00FB6B0E">
            <w:pPr>
              <w:pStyle w:val="tabletext"/>
              <w:jc w:val="right"/>
              <w:rPr>
                <w:b/>
              </w:rPr>
            </w:pPr>
            <w:r>
              <w:t>–</w:t>
            </w:r>
            <w:r>
              <w:rPr>
                <w:b/>
              </w:rPr>
              <w:t>$</w:t>
            </w:r>
            <w:r w:rsidR="00FB6B0E">
              <w:rPr>
                <w:b/>
              </w:rPr>
              <w:t>37 756</w:t>
            </w:r>
          </w:p>
        </w:tc>
      </w:tr>
    </w:tbl>
    <w:p w:rsidR="00557E2D" w:rsidRDefault="00557E2D" w:rsidP="00557E2D">
      <w:pPr>
        <w:pStyle w:val="Heading3"/>
      </w:pPr>
      <w:bookmarkStart w:id="1486" w:name="_Toc433979659"/>
      <w:bookmarkStart w:id="1487" w:name="_Toc435179923"/>
      <w:bookmarkStart w:id="1488" w:name="_Toc436122344"/>
      <w:bookmarkStart w:id="1489" w:name="_Toc436122839"/>
      <w:bookmarkStart w:id="1490" w:name="_Toc436124194"/>
      <w:bookmarkStart w:id="1491" w:name="_Toc436133242"/>
      <w:bookmarkStart w:id="1492" w:name="_Toc456785852"/>
      <w:bookmarkStart w:id="1493" w:name="_Toc461630764"/>
      <w:r>
        <w:t>Network Service Plans</w:t>
      </w:r>
      <w:bookmarkEnd w:id="1486"/>
      <w:bookmarkEnd w:id="1487"/>
      <w:bookmarkEnd w:id="1488"/>
      <w:bookmarkEnd w:id="1489"/>
      <w:bookmarkEnd w:id="1490"/>
      <w:bookmarkEnd w:id="1491"/>
      <w:bookmarkEnd w:id="1492"/>
      <w:bookmarkEnd w:id="1493"/>
    </w:p>
    <w:p w:rsidR="00557E2D" w:rsidRPr="00D714FC" w:rsidRDefault="00557E2D" w:rsidP="00A82DE6">
      <w:pPr>
        <w:pStyle w:val="Lvl1Bulletpoint"/>
        <w:numPr>
          <w:ilvl w:val="0"/>
          <w:numId w:val="0"/>
        </w:numPr>
      </w:pPr>
      <w:r>
        <w:t xml:space="preserve">Under the current Part 5 of the </w:t>
      </w:r>
      <w:r w:rsidR="0001065E" w:rsidRPr="00524D9F">
        <w:rPr>
          <w:rFonts w:cs="Times New Roman"/>
        </w:rPr>
        <w:t>Water Charge (Infrastructure) Rules 2010</w:t>
      </w:r>
      <w:r w:rsidR="0001065E">
        <w:rPr>
          <w:rFonts w:cs="Times New Roman"/>
        </w:rPr>
        <w:t xml:space="preserve"> (</w:t>
      </w:r>
      <w:r>
        <w:t>WCIR</w:t>
      </w:r>
      <w:r w:rsidR="0001065E">
        <w:t>)</w:t>
      </w:r>
      <w:r>
        <w:t xml:space="preserve">, member-owned operators </w:t>
      </w:r>
      <w:r w:rsidRPr="00D714FC">
        <w:t xml:space="preserve">servicing more than 125 </w:t>
      </w:r>
      <w:r>
        <w:t>gigalitres (</w:t>
      </w:r>
      <w:r w:rsidRPr="00D714FC">
        <w:t>GL</w:t>
      </w:r>
      <w:r>
        <w:t>) of water access entitlement (WAE)</w:t>
      </w:r>
      <w:r w:rsidRPr="00D714FC">
        <w:t xml:space="preserve">, and other infrastructure operators (that are not member-owned) servicing between 125 and 250 GL </w:t>
      </w:r>
      <w:r>
        <w:t>of WAE are Part 5 operators and must develop a Network Service Plan</w:t>
      </w:r>
      <w:r w:rsidR="00D5346B">
        <w:t xml:space="preserve"> (NSP)</w:t>
      </w:r>
      <w:r>
        <w:t xml:space="preserve"> </w:t>
      </w:r>
      <w:r w:rsidRPr="00D714FC">
        <w:t>that provides details of the operator’s plans relating to its water service infrastructure over the forthcoming five year period.</w:t>
      </w:r>
    </w:p>
    <w:p w:rsidR="00557E2D" w:rsidRDefault="00557E2D" w:rsidP="00557E2D">
      <w:pPr>
        <w:rPr>
          <w:rFonts w:cs="Times New Roman"/>
        </w:rPr>
      </w:pPr>
      <w:r>
        <w:rPr>
          <w:rFonts w:cs="Times New Roman"/>
        </w:rPr>
        <w:t xml:space="preserve">In the Draft Advice, the ACCC recommended reducing the regulatory cost of the </w:t>
      </w:r>
      <w:r w:rsidR="009A659D">
        <w:rPr>
          <w:rFonts w:cs="Times New Roman"/>
        </w:rPr>
        <w:t xml:space="preserve">water charge rules </w:t>
      </w:r>
      <w:r>
        <w:rPr>
          <w:rFonts w:cs="Times New Roman"/>
        </w:rPr>
        <w:t xml:space="preserve">by repealing the NSP </w:t>
      </w:r>
      <w:r w:rsidR="00D2337A">
        <w:rPr>
          <w:rFonts w:cs="Times New Roman"/>
        </w:rPr>
        <w:t xml:space="preserve">and other </w:t>
      </w:r>
      <w:r>
        <w:rPr>
          <w:rFonts w:cs="Times New Roman"/>
        </w:rPr>
        <w:t>requirements</w:t>
      </w:r>
      <w:r w:rsidR="00D2337A">
        <w:rPr>
          <w:rFonts w:cs="Times New Roman"/>
        </w:rPr>
        <w:t xml:space="preserve"> of Part 5</w:t>
      </w:r>
      <w:r>
        <w:rPr>
          <w:rFonts w:cs="Times New Roman"/>
        </w:rPr>
        <w:t xml:space="preserve">. </w:t>
      </w:r>
    </w:p>
    <w:p w:rsidR="00557E2D" w:rsidRDefault="00557E2D" w:rsidP="00557E2D">
      <w:pPr>
        <w:rPr>
          <w:rFonts w:cs="Times New Roman"/>
        </w:rPr>
      </w:pPr>
      <w:r>
        <w:rPr>
          <w:rFonts w:cs="Times New Roman"/>
        </w:rPr>
        <w:t xml:space="preserve">As noted in section 5.5, the ACCC has maintained this advice. However, it was anticipated at the time of the Draft Advice that the removal of the NSP requirements could occur </w:t>
      </w:r>
      <w:r w:rsidRPr="00291950">
        <w:rPr>
          <w:rFonts w:cs="Times New Roman"/>
          <w:i/>
        </w:rPr>
        <w:t>before</w:t>
      </w:r>
      <w:r>
        <w:rPr>
          <w:rFonts w:cs="Times New Roman"/>
        </w:rPr>
        <w:t xml:space="preserve"> the commencement of preparation of NSPs for the next five year period (commencing 1 July 2017). Due to the extensions to the timeframe for the ACCC to provide its Final Advice granted by the Minister,</w:t>
      </w:r>
      <w:r>
        <w:rPr>
          <w:rStyle w:val="FootnoteReference"/>
          <w:rFonts w:cs="Times New Roman"/>
        </w:rPr>
        <w:footnoteReference w:id="854"/>
      </w:r>
      <w:r>
        <w:rPr>
          <w:rFonts w:cs="Times New Roman"/>
        </w:rPr>
        <w:t xml:space="preserve"> it is now uncertain whether this is still the case.</w:t>
      </w:r>
      <w:r w:rsidR="00C6733C">
        <w:rPr>
          <w:rFonts w:cs="Times New Roman"/>
        </w:rPr>
        <w:t xml:space="preserve"> </w:t>
      </w:r>
    </w:p>
    <w:p w:rsidR="00557E2D" w:rsidRDefault="00557E2D" w:rsidP="00557E2D">
      <w:pPr>
        <w:rPr>
          <w:rFonts w:cs="Times New Roman"/>
        </w:rPr>
      </w:pPr>
      <w:r>
        <w:rPr>
          <w:rFonts w:cs="Times New Roman"/>
        </w:rPr>
        <w:t xml:space="preserve">If a Part 5 operator has not prepared a new </w:t>
      </w:r>
      <w:r w:rsidRPr="003C51F3">
        <w:rPr>
          <w:rFonts w:cs="Times New Roman"/>
        </w:rPr>
        <w:t>NSP the current rules could preclude an infrastructure operator from levying charges for their infrastructure services,</w:t>
      </w:r>
      <w:r w:rsidRPr="003C51F3">
        <w:rPr>
          <w:rStyle w:val="FootnoteReference"/>
          <w:rFonts w:cs="Times New Roman"/>
        </w:rPr>
        <w:footnoteReference w:id="855"/>
      </w:r>
      <w:r w:rsidRPr="003C51F3">
        <w:rPr>
          <w:rFonts w:cs="Times New Roman"/>
        </w:rPr>
        <w:t xml:space="preserve"> or at least updating and publishing a new </w:t>
      </w:r>
      <w:r w:rsidR="00EE463E">
        <w:rPr>
          <w:rFonts w:cs="Times New Roman"/>
        </w:rPr>
        <w:t>S</w:t>
      </w:r>
      <w:r w:rsidRPr="003C51F3">
        <w:rPr>
          <w:rFonts w:cs="Times New Roman"/>
        </w:rPr>
        <w:t xml:space="preserve">chedule of </w:t>
      </w:r>
      <w:r w:rsidR="00EE463E">
        <w:rPr>
          <w:rFonts w:cs="Times New Roman"/>
        </w:rPr>
        <w:t>C</w:t>
      </w:r>
      <w:r w:rsidRPr="003C51F3">
        <w:rPr>
          <w:rFonts w:cs="Times New Roman"/>
        </w:rPr>
        <w:t>harges.</w:t>
      </w:r>
      <w:r w:rsidRPr="003C51F3">
        <w:rPr>
          <w:rStyle w:val="FootnoteReference"/>
          <w:rFonts w:cs="Times New Roman"/>
        </w:rPr>
        <w:footnoteReference w:id="856"/>
      </w:r>
      <w:r w:rsidRPr="003C51F3">
        <w:rPr>
          <w:rFonts w:cs="Times New Roman"/>
        </w:rPr>
        <w:t xml:space="preserve"> The ACCC has emphasised the need for possible amendments to be considered in a timely manner in order to avoid an outcome</w:t>
      </w:r>
      <w:r>
        <w:rPr>
          <w:rFonts w:cs="Times New Roman"/>
        </w:rPr>
        <w:t xml:space="preserve"> where operators incur costs in relation to NSP requirements that are ultimately repealed (see section 5.5). Nevertheless, operators may find it prudent to start preparing their NSPs, in case Part 5 is not removed from the WCIR. Therefore the ACCC has allowed for some operators’ expenditure on NSPs in calculating the regulatory cost for this Final Advice. </w:t>
      </w:r>
    </w:p>
    <w:p w:rsidR="00557E2D" w:rsidRDefault="00557E2D" w:rsidP="00557E2D">
      <w:pPr>
        <w:rPr>
          <w:rFonts w:cs="Times New Roman"/>
        </w:rPr>
      </w:pPr>
      <w:r>
        <w:rPr>
          <w:rFonts w:cs="Times New Roman"/>
        </w:rPr>
        <w:t xml:space="preserve">In calculating the regulatory cost for this Final Advice, the ACCC has assumed that operators will take 900 hours of staff time to complete the NSP (over a period of about two years). The ACCC anticipates that the most likely outcome is that Part 5 will be removed from the WCIR by 1 July </w:t>
      </w:r>
      <w:r w:rsidR="005A24D1">
        <w:rPr>
          <w:rFonts w:cs="Times New Roman"/>
        </w:rPr>
        <w:t>2017</w:t>
      </w:r>
      <w:r>
        <w:rPr>
          <w:rFonts w:cs="Times New Roman"/>
        </w:rPr>
        <w:t>, that is, one year after preparation of the NSP is due to commence. The ACCC assumes that most but not all of the work to complete the NSP will have been completed by that time. Therefore, the ACCC has anticipated that operators will have undertaken 700 hours of work on their NSPs before the requirement to undertake NSPs is abolished. The ACCC has also assumed that postage and printing costs incurred in the year prior to the (assumed) repeal of Part 5 will amount to 40 per cent of the total postage and printing costs</w:t>
      </w:r>
      <w:r w:rsidR="00C6733C">
        <w:rPr>
          <w:rFonts w:cs="Times New Roman"/>
        </w:rPr>
        <w:t xml:space="preserve"> </w:t>
      </w:r>
      <w:r>
        <w:rPr>
          <w:rFonts w:cs="Times New Roman"/>
        </w:rPr>
        <w:t>that would have been incurred over a 10 year period (comprising 2 NSP periods).</w:t>
      </w:r>
      <w:r>
        <w:rPr>
          <w:rStyle w:val="FootnoteReference"/>
          <w:rFonts w:cs="Times New Roman"/>
        </w:rPr>
        <w:footnoteReference w:id="857"/>
      </w:r>
      <w:r>
        <w:rPr>
          <w:rFonts w:cs="Times New Roman"/>
        </w:rPr>
        <w:t xml:space="preserve"> Printing and postage costs will be necessarily incurred during that first planning year, for example to satisfy the operators’ legal requirement to send a consultation paper to their customers outlining certain information relevant to the proposed NSP. </w:t>
      </w:r>
    </w:p>
    <w:p w:rsidR="00557E2D" w:rsidRDefault="00557E2D" w:rsidP="00557E2D">
      <w:pPr>
        <w:rPr>
          <w:rFonts w:cs="Times New Roman"/>
        </w:rPr>
      </w:pPr>
      <w:r w:rsidRPr="00B53DB8">
        <w:t>For similar reasons to its comments on Schedules of Charges, the NIC asked why the ACCC was factoring in a reduction in printing, posting and associated staff time in connection with the NSP.</w:t>
      </w:r>
      <w:r w:rsidRPr="00B53DB8">
        <w:rPr>
          <w:rStyle w:val="FootnoteReference"/>
        </w:rPr>
        <w:footnoteReference w:id="858"/>
      </w:r>
      <w:r w:rsidRPr="00B53DB8">
        <w:t xml:space="preserve"> </w:t>
      </w:r>
      <w:r>
        <w:t>In response, the ACCC notes that in the context of NSP requirements, the estimated savings in printing and postage costs are based on an acknowledgement that currently some operators have elected to fulfil the requirements to “send” or “provide” information relating to NSPs by sending information via post, but that, due to the proposed repeal of NSPs, this information will no longer be required to be produced or sent.</w:t>
      </w:r>
    </w:p>
    <w:p w:rsidR="00557E2D" w:rsidRDefault="00557E2D" w:rsidP="00557E2D">
      <w:pPr>
        <w:rPr>
          <w:rFonts w:cs="Times New Roman"/>
        </w:rPr>
      </w:pPr>
      <w:r>
        <w:rPr>
          <w:rFonts w:cs="Times New Roman"/>
        </w:rPr>
        <w:t>Having accounted for costs of commencing the 2017-22 NSP process prior to the recommended repeal of Part 5, the ACCC anticipates a decrease in annualised costs of costs of $50 994 when compared with current water charge rules requirements (see Table 9.6 below).</w:t>
      </w:r>
      <w:r w:rsidR="00C6733C">
        <w:rPr>
          <w:rFonts w:cs="Times New Roman"/>
        </w:rPr>
        <w:t xml:space="preserve"> </w:t>
      </w:r>
      <w:r>
        <w:rPr>
          <w:rFonts w:cs="Times New Roman"/>
        </w:rPr>
        <w:t xml:space="preserve">This </w:t>
      </w:r>
      <w:r>
        <w:t>compares with an annualised decrease of $77 558 estimated for the proposals in the Draft Advice.</w:t>
      </w:r>
      <w:r>
        <w:rPr>
          <w:rFonts w:cs="Times New Roman"/>
        </w:rPr>
        <w:t xml:space="preserve"> </w:t>
      </w:r>
    </w:p>
    <w:p w:rsidR="00557E2D" w:rsidRPr="00EC6292" w:rsidRDefault="00557E2D" w:rsidP="00236AC6">
      <w:pPr>
        <w:pStyle w:val="Tabletitle"/>
      </w:pPr>
      <w:r w:rsidRPr="00EC6292">
        <w:t>Table 9.6—</w:t>
      </w:r>
      <w:r>
        <w:t>Net c</w:t>
      </w:r>
      <w:r w:rsidRPr="00EC6292">
        <w:t xml:space="preserve">hange in regulatory cost due to </w:t>
      </w:r>
      <w:r>
        <w:t xml:space="preserve">proposed change to </w:t>
      </w:r>
      <w:r w:rsidRPr="00EC6292">
        <w:t>NSP</w:t>
      </w:r>
      <w:r>
        <w:t xml:space="preserve"> requirements—Final Advice compared with current WCIR requirements</w:t>
      </w:r>
      <w:r w:rsidRPr="00EC6292">
        <w:t xml:space="preserve"> </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9"/>
        <w:gridCol w:w="1961"/>
      </w:tblGrid>
      <w:tr w:rsidR="00557E2D" w:rsidTr="00C52AEB">
        <w:trPr>
          <w:cantSplit/>
          <w:trHeight w:val="114"/>
        </w:trPr>
        <w:tc>
          <w:tcPr>
            <w:tcW w:w="7339" w:type="dxa"/>
            <w:tcBorders>
              <w:top w:val="single" w:sz="4" w:space="0" w:color="auto"/>
              <w:left w:val="single" w:sz="4" w:space="0" w:color="auto"/>
              <w:bottom w:val="single" w:sz="4" w:space="0" w:color="auto"/>
            </w:tcBorders>
            <w:shd w:val="clear" w:color="auto" w:fill="D9D9D9" w:themeFill="background1" w:themeFillShade="D9"/>
            <w:vAlign w:val="center"/>
          </w:tcPr>
          <w:p w:rsidR="00557E2D" w:rsidRPr="003966F0" w:rsidRDefault="00557E2D" w:rsidP="00236AC6">
            <w:pPr>
              <w:pStyle w:val="tabletext"/>
              <w:keepNext/>
              <w:rPr>
                <w:b/>
              </w:rPr>
            </w:pPr>
            <w:r w:rsidRPr="003966F0">
              <w:rPr>
                <w:b/>
              </w:rPr>
              <w:t>No. of affected operators</w:t>
            </w:r>
            <w:r>
              <w:rPr>
                <w:b/>
              </w:rPr>
              <w:t xml:space="preserve"> (Group 3 only)</w:t>
            </w:r>
          </w:p>
        </w:tc>
        <w:tc>
          <w:tcPr>
            <w:tcW w:w="1961" w:type="dxa"/>
            <w:tcBorders>
              <w:top w:val="single" w:sz="4" w:space="0" w:color="auto"/>
              <w:bottom w:val="single" w:sz="4" w:space="0" w:color="auto"/>
              <w:right w:val="single" w:sz="4" w:space="0" w:color="auto"/>
            </w:tcBorders>
            <w:shd w:val="clear" w:color="auto" w:fill="D9D9D9" w:themeFill="background1" w:themeFillShade="D9"/>
            <w:vAlign w:val="center"/>
          </w:tcPr>
          <w:p w:rsidR="00557E2D" w:rsidRPr="003966F0" w:rsidRDefault="00557E2D" w:rsidP="00236AC6">
            <w:pPr>
              <w:pStyle w:val="tabletext"/>
              <w:keepNext/>
              <w:jc w:val="right"/>
              <w:rPr>
                <w:b/>
              </w:rPr>
            </w:pPr>
            <w:r w:rsidRPr="003966F0">
              <w:rPr>
                <w:b/>
              </w:rPr>
              <w:t>5</w:t>
            </w:r>
          </w:p>
        </w:tc>
      </w:tr>
      <w:tr w:rsidR="00557E2D" w:rsidTr="00A60A09">
        <w:trPr>
          <w:cantSplit/>
          <w:trHeight w:val="215"/>
        </w:trPr>
        <w:tc>
          <w:tcPr>
            <w:tcW w:w="9300" w:type="dxa"/>
            <w:gridSpan w:val="2"/>
            <w:tcBorders>
              <w:top w:val="single" w:sz="4" w:space="0" w:color="auto"/>
              <w:left w:val="single" w:sz="4" w:space="0" w:color="auto"/>
              <w:right w:val="single" w:sz="4" w:space="0" w:color="auto"/>
            </w:tcBorders>
            <w:vAlign w:val="center"/>
          </w:tcPr>
          <w:p w:rsidR="00557E2D" w:rsidRPr="00B13913" w:rsidRDefault="00557E2D" w:rsidP="00236AC6">
            <w:pPr>
              <w:pStyle w:val="tabletext"/>
              <w:keepNext/>
              <w:rPr>
                <w:b/>
              </w:rPr>
            </w:pPr>
            <w:r w:rsidRPr="00B13913">
              <w:rPr>
                <w:b/>
              </w:rPr>
              <w:t xml:space="preserve">NSP </w:t>
            </w:r>
            <w:r>
              <w:rPr>
                <w:b/>
              </w:rPr>
              <w:t xml:space="preserve">planning </w:t>
            </w:r>
            <w:r w:rsidRPr="00B13913">
              <w:rPr>
                <w:b/>
              </w:rPr>
              <w:t xml:space="preserve">process – Information and </w:t>
            </w:r>
            <w:r>
              <w:rPr>
                <w:b/>
              </w:rPr>
              <w:t>a</w:t>
            </w:r>
            <w:r w:rsidRPr="00B13913">
              <w:rPr>
                <w:b/>
              </w:rPr>
              <w:t xml:space="preserve">nalysis </w:t>
            </w:r>
          </w:p>
        </w:tc>
      </w:tr>
      <w:tr w:rsidR="00557E2D" w:rsidTr="00A60A09">
        <w:trPr>
          <w:cantSplit/>
          <w:trHeight w:val="122"/>
        </w:trPr>
        <w:tc>
          <w:tcPr>
            <w:tcW w:w="7339" w:type="dxa"/>
            <w:tcBorders>
              <w:left w:val="single" w:sz="4" w:space="0" w:color="auto"/>
            </w:tcBorders>
            <w:vAlign w:val="center"/>
          </w:tcPr>
          <w:p w:rsidR="00557E2D" w:rsidRPr="003966F0" w:rsidRDefault="00557E2D" w:rsidP="00236AC6">
            <w:pPr>
              <w:pStyle w:val="tabletext"/>
              <w:keepNext/>
              <w:ind w:left="142"/>
            </w:pPr>
            <w:r>
              <w:t xml:space="preserve">Reduction in </w:t>
            </w:r>
            <w:r w:rsidRPr="003966F0">
              <w:t xml:space="preserve">hours per operator </w:t>
            </w:r>
            <w:r>
              <w:t>associated with NSP planning process (total over 10 year period)</w:t>
            </w:r>
            <w:r>
              <w:rPr>
                <w:rStyle w:val="FootnoteReference"/>
              </w:rPr>
              <w:footnoteReference w:id="859"/>
            </w:r>
          </w:p>
        </w:tc>
        <w:tc>
          <w:tcPr>
            <w:tcW w:w="1961" w:type="dxa"/>
            <w:tcBorders>
              <w:right w:val="single" w:sz="4" w:space="0" w:color="auto"/>
            </w:tcBorders>
            <w:vAlign w:val="center"/>
          </w:tcPr>
          <w:p w:rsidR="00557E2D" w:rsidRPr="0095107D" w:rsidRDefault="00557E2D" w:rsidP="00236AC6">
            <w:pPr>
              <w:pStyle w:val="tabletext"/>
              <w:keepNext/>
              <w:jc w:val="right"/>
            </w:pPr>
            <w:r w:rsidRPr="0012063F">
              <w:t>–</w:t>
            </w:r>
            <w:r>
              <w:t>1 10</w:t>
            </w:r>
            <w:r w:rsidRPr="0095107D">
              <w:t>0</w:t>
            </w:r>
          </w:p>
        </w:tc>
      </w:tr>
      <w:tr w:rsidR="00557E2D" w:rsidTr="00A60A09">
        <w:trPr>
          <w:cantSplit/>
          <w:trHeight w:val="548"/>
        </w:trPr>
        <w:tc>
          <w:tcPr>
            <w:tcW w:w="7339" w:type="dxa"/>
            <w:tcBorders>
              <w:left w:val="single" w:sz="4" w:space="0" w:color="auto"/>
              <w:bottom w:val="single" w:sz="4" w:space="0" w:color="auto"/>
            </w:tcBorders>
            <w:vAlign w:val="center"/>
          </w:tcPr>
          <w:p w:rsidR="00557E2D" w:rsidRPr="00782892" w:rsidRDefault="00557E2D" w:rsidP="00236AC6">
            <w:pPr>
              <w:pStyle w:val="tabletext"/>
              <w:keepNext/>
              <w:ind w:left="142"/>
            </w:pPr>
            <w:r w:rsidRPr="00782892">
              <w:t>Annualised change in regulatory cost</w:t>
            </w:r>
            <w:r>
              <w:t>—reduction in staff hours associated with NSP planning process</w:t>
            </w:r>
          </w:p>
        </w:tc>
        <w:tc>
          <w:tcPr>
            <w:tcW w:w="1961" w:type="dxa"/>
            <w:tcBorders>
              <w:bottom w:val="single" w:sz="4" w:space="0" w:color="auto"/>
              <w:right w:val="single" w:sz="4" w:space="0" w:color="auto"/>
            </w:tcBorders>
            <w:vAlign w:val="center"/>
          </w:tcPr>
          <w:p w:rsidR="00557E2D" w:rsidRPr="00DB4A94" w:rsidRDefault="00557E2D" w:rsidP="00236AC6">
            <w:pPr>
              <w:pStyle w:val="tabletext"/>
              <w:keepNext/>
              <w:jc w:val="right"/>
              <w:rPr>
                <w:b/>
              </w:rPr>
            </w:pPr>
            <w:r>
              <w:rPr>
                <w:b/>
              </w:rPr>
              <w:t>–$35 998</w:t>
            </w:r>
          </w:p>
        </w:tc>
      </w:tr>
      <w:tr w:rsidR="00557E2D" w:rsidTr="00A60A09">
        <w:trPr>
          <w:cantSplit/>
          <w:trHeight w:val="122"/>
        </w:trPr>
        <w:tc>
          <w:tcPr>
            <w:tcW w:w="9300" w:type="dxa"/>
            <w:gridSpan w:val="2"/>
            <w:tcBorders>
              <w:top w:val="single" w:sz="4" w:space="0" w:color="auto"/>
              <w:left w:val="single" w:sz="4" w:space="0" w:color="auto"/>
              <w:right w:val="single" w:sz="4" w:space="0" w:color="auto"/>
            </w:tcBorders>
            <w:vAlign w:val="center"/>
          </w:tcPr>
          <w:p w:rsidR="00557E2D" w:rsidRPr="00B13913" w:rsidRDefault="00557E2D" w:rsidP="00236AC6">
            <w:pPr>
              <w:pStyle w:val="tabletext"/>
              <w:keepNext/>
              <w:rPr>
                <w:b/>
              </w:rPr>
            </w:pPr>
            <w:r w:rsidRPr="00B13913">
              <w:rPr>
                <w:b/>
              </w:rPr>
              <w:t>NSP publication costs</w:t>
            </w:r>
          </w:p>
        </w:tc>
      </w:tr>
      <w:tr w:rsidR="00557E2D" w:rsidTr="00A60A09">
        <w:trPr>
          <w:cantSplit/>
          <w:trHeight w:val="576"/>
        </w:trPr>
        <w:tc>
          <w:tcPr>
            <w:tcW w:w="7339" w:type="dxa"/>
            <w:tcBorders>
              <w:left w:val="single" w:sz="4" w:space="0" w:color="auto"/>
            </w:tcBorders>
            <w:vAlign w:val="center"/>
          </w:tcPr>
          <w:p w:rsidR="00557E2D" w:rsidRDefault="00557E2D" w:rsidP="00236AC6">
            <w:pPr>
              <w:pStyle w:val="tabletext"/>
              <w:keepNext/>
              <w:ind w:left="142"/>
            </w:pPr>
            <w:r>
              <w:t xml:space="preserve">Reduction in </w:t>
            </w:r>
            <w:r w:rsidRPr="003966F0">
              <w:t xml:space="preserve">hours per operator </w:t>
            </w:r>
            <w:r>
              <w:t>associated with NSP with postage and printing (total over 10 year period)</w:t>
            </w:r>
            <w:r>
              <w:rPr>
                <w:rStyle w:val="FootnoteReference"/>
              </w:rPr>
              <w:footnoteReference w:id="860"/>
            </w:r>
          </w:p>
        </w:tc>
        <w:tc>
          <w:tcPr>
            <w:tcW w:w="1961" w:type="dxa"/>
            <w:tcBorders>
              <w:right w:val="single" w:sz="4" w:space="0" w:color="auto"/>
            </w:tcBorders>
            <w:vAlign w:val="center"/>
          </w:tcPr>
          <w:p w:rsidR="00557E2D" w:rsidRPr="002533BD" w:rsidRDefault="00557E2D" w:rsidP="00236AC6">
            <w:pPr>
              <w:pStyle w:val="tabletext"/>
              <w:keepNext/>
              <w:jc w:val="right"/>
            </w:pPr>
            <w:r w:rsidRPr="002533BD">
              <w:t>-</w:t>
            </w:r>
            <w:r>
              <w:t>56</w:t>
            </w:r>
          </w:p>
        </w:tc>
      </w:tr>
      <w:tr w:rsidR="00557E2D" w:rsidTr="00A60A09">
        <w:trPr>
          <w:cantSplit/>
          <w:trHeight w:val="576"/>
        </w:trPr>
        <w:tc>
          <w:tcPr>
            <w:tcW w:w="7339" w:type="dxa"/>
            <w:tcBorders>
              <w:left w:val="single" w:sz="4" w:space="0" w:color="auto"/>
            </w:tcBorders>
            <w:vAlign w:val="center"/>
          </w:tcPr>
          <w:p w:rsidR="00557E2D" w:rsidRPr="00AF40D8" w:rsidRDefault="00557E2D" w:rsidP="00236AC6">
            <w:pPr>
              <w:pStyle w:val="tabletext"/>
              <w:keepNext/>
              <w:ind w:left="142"/>
              <w:rPr>
                <w:rFonts w:ascii="Arial" w:eastAsiaTheme="minorHAnsi" w:hAnsi="Arial" w:cs="Arial"/>
                <w:lang w:eastAsia="en-US"/>
              </w:rPr>
            </w:pPr>
            <w:r>
              <w:t>Annualised c</w:t>
            </w:r>
            <w:r w:rsidRPr="00AF40D8">
              <w:t xml:space="preserve">hange </w:t>
            </w:r>
            <w:r>
              <w:t>due to reduction in staff hours associated with postage and printing</w:t>
            </w:r>
          </w:p>
        </w:tc>
        <w:tc>
          <w:tcPr>
            <w:tcW w:w="1961" w:type="dxa"/>
            <w:tcBorders>
              <w:right w:val="single" w:sz="4" w:space="0" w:color="auto"/>
            </w:tcBorders>
            <w:vAlign w:val="center"/>
          </w:tcPr>
          <w:p w:rsidR="00557E2D" w:rsidRDefault="00557E2D" w:rsidP="00236AC6">
            <w:pPr>
              <w:pStyle w:val="tabletext"/>
              <w:keepNext/>
              <w:jc w:val="right"/>
              <w:rPr>
                <w:b/>
              </w:rPr>
            </w:pPr>
            <w:r>
              <w:rPr>
                <w:b/>
              </w:rPr>
              <w:t>–$1 833</w:t>
            </w:r>
          </w:p>
        </w:tc>
      </w:tr>
      <w:tr w:rsidR="00557E2D" w:rsidTr="00A60A09">
        <w:trPr>
          <w:cantSplit/>
          <w:trHeight w:val="122"/>
        </w:trPr>
        <w:tc>
          <w:tcPr>
            <w:tcW w:w="7339" w:type="dxa"/>
            <w:tcBorders>
              <w:left w:val="single" w:sz="4" w:space="0" w:color="auto"/>
            </w:tcBorders>
            <w:vAlign w:val="center"/>
          </w:tcPr>
          <w:p w:rsidR="00557E2D" w:rsidRPr="00A61BD0" w:rsidRDefault="00557E2D" w:rsidP="00B4352D">
            <w:pPr>
              <w:pStyle w:val="tabletext"/>
              <w:keepNext/>
              <w:ind w:left="142"/>
            </w:pPr>
            <w:r>
              <w:t xml:space="preserve">Annualised change due to reduction in </w:t>
            </w:r>
            <w:r w:rsidR="00B4352D">
              <w:t xml:space="preserve">postage </w:t>
            </w:r>
            <w:r>
              <w:t xml:space="preserve">costs </w:t>
            </w:r>
          </w:p>
        </w:tc>
        <w:tc>
          <w:tcPr>
            <w:tcW w:w="1961" w:type="dxa"/>
            <w:tcBorders>
              <w:right w:val="single" w:sz="4" w:space="0" w:color="auto"/>
            </w:tcBorders>
            <w:vAlign w:val="center"/>
          </w:tcPr>
          <w:p w:rsidR="00557E2D" w:rsidRPr="003E20C1" w:rsidRDefault="00557E2D" w:rsidP="00236AC6">
            <w:pPr>
              <w:pStyle w:val="tabletext"/>
              <w:keepNext/>
              <w:jc w:val="right"/>
              <w:rPr>
                <w:b/>
              </w:rPr>
            </w:pPr>
            <w:r>
              <w:rPr>
                <w:b/>
              </w:rPr>
              <w:t>–$8 156</w:t>
            </w:r>
          </w:p>
        </w:tc>
      </w:tr>
      <w:tr w:rsidR="00557E2D" w:rsidTr="00A60A09">
        <w:trPr>
          <w:cantSplit/>
          <w:trHeight w:val="122"/>
        </w:trPr>
        <w:tc>
          <w:tcPr>
            <w:tcW w:w="7339" w:type="dxa"/>
            <w:tcBorders>
              <w:left w:val="single" w:sz="4" w:space="0" w:color="auto"/>
              <w:bottom w:val="single" w:sz="4" w:space="0" w:color="auto"/>
            </w:tcBorders>
            <w:vAlign w:val="center"/>
          </w:tcPr>
          <w:p w:rsidR="00557E2D" w:rsidRPr="00A61BD0" w:rsidRDefault="00557E2D" w:rsidP="00236AC6">
            <w:pPr>
              <w:pStyle w:val="tabletext"/>
              <w:keepNext/>
              <w:ind w:left="142"/>
            </w:pPr>
            <w:r>
              <w:t xml:space="preserve">Annualised change due to reduction in printing costs </w:t>
            </w:r>
          </w:p>
        </w:tc>
        <w:tc>
          <w:tcPr>
            <w:tcW w:w="1961" w:type="dxa"/>
            <w:tcBorders>
              <w:bottom w:val="single" w:sz="4" w:space="0" w:color="auto"/>
              <w:right w:val="single" w:sz="4" w:space="0" w:color="auto"/>
            </w:tcBorders>
            <w:vAlign w:val="center"/>
          </w:tcPr>
          <w:p w:rsidR="00557E2D" w:rsidRPr="003E20C1" w:rsidRDefault="00557E2D" w:rsidP="00236AC6">
            <w:pPr>
              <w:pStyle w:val="tabletext"/>
              <w:keepNext/>
              <w:jc w:val="right"/>
              <w:rPr>
                <w:b/>
              </w:rPr>
            </w:pPr>
            <w:r>
              <w:rPr>
                <w:b/>
              </w:rPr>
              <w:t>–$5 008</w:t>
            </w:r>
          </w:p>
        </w:tc>
      </w:tr>
      <w:tr w:rsidR="00557E2D" w:rsidTr="00A60A09">
        <w:trPr>
          <w:cantSplit/>
          <w:trHeight w:val="286"/>
        </w:trPr>
        <w:tc>
          <w:tcPr>
            <w:tcW w:w="7339" w:type="dxa"/>
            <w:tcBorders>
              <w:top w:val="single" w:sz="4" w:space="0" w:color="auto"/>
              <w:left w:val="single" w:sz="4" w:space="0" w:color="auto"/>
              <w:bottom w:val="single" w:sz="4" w:space="0" w:color="auto"/>
            </w:tcBorders>
            <w:vAlign w:val="center"/>
          </w:tcPr>
          <w:p w:rsidR="00557E2D" w:rsidRPr="003966F0" w:rsidRDefault="00557E2D" w:rsidP="00236AC6">
            <w:pPr>
              <w:pStyle w:val="tabletext"/>
              <w:keepNext/>
              <w:rPr>
                <w:b/>
              </w:rPr>
            </w:pPr>
            <w:r w:rsidRPr="003966F0">
              <w:rPr>
                <w:b/>
              </w:rPr>
              <w:t>Total net annualised change in regulatory cost ($/yr)</w:t>
            </w:r>
          </w:p>
        </w:tc>
        <w:tc>
          <w:tcPr>
            <w:tcW w:w="1961" w:type="dxa"/>
            <w:tcBorders>
              <w:top w:val="single" w:sz="4" w:space="0" w:color="auto"/>
              <w:bottom w:val="single" w:sz="4" w:space="0" w:color="auto"/>
              <w:right w:val="single" w:sz="4" w:space="0" w:color="auto"/>
            </w:tcBorders>
            <w:vAlign w:val="center"/>
          </w:tcPr>
          <w:p w:rsidR="00557E2D" w:rsidRPr="003966F0" w:rsidRDefault="00557E2D" w:rsidP="00236AC6">
            <w:pPr>
              <w:pStyle w:val="tabletext"/>
              <w:keepNext/>
              <w:jc w:val="right"/>
              <w:rPr>
                <w:b/>
              </w:rPr>
            </w:pPr>
            <w:r w:rsidRPr="003966F0">
              <w:rPr>
                <w:b/>
              </w:rPr>
              <w:t>–$</w:t>
            </w:r>
            <w:r>
              <w:rPr>
                <w:b/>
              </w:rPr>
              <w:t>50 994</w:t>
            </w:r>
          </w:p>
        </w:tc>
      </w:tr>
    </w:tbl>
    <w:p w:rsidR="00557E2D" w:rsidRPr="00D50E91" w:rsidRDefault="00557E2D" w:rsidP="00557E2D">
      <w:pPr>
        <w:rPr>
          <w:b/>
        </w:rPr>
      </w:pPr>
    </w:p>
    <w:p w:rsidR="00557E2D" w:rsidRPr="00094810" w:rsidRDefault="00557E2D" w:rsidP="00557E2D">
      <w:pPr>
        <w:pStyle w:val="Heading3"/>
        <w:rPr>
          <w:b w:val="0"/>
        </w:rPr>
      </w:pPr>
      <w:bookmarkStart w:id="1494" w:name="_Toc456785853"/>
      <w:bookmarkStart w:id="1495" w:name="_Toc461630765"/>
      <w:r w:rsidRPr="00D50E91">
        <w:rPr>
          <w:rStyle w:val="Heading3Char"/>
          <w:b/>
        </w:rPr>
        <w:t>Approvals and Determinations</w:t>
      </w:r>
      <w:bookmarkEnd w:id="1494"/>
      <w:bookmarkEnd w:id="1495"/>
    </w:p>
    <w:p w:rsidR="00557E2D" w:rsidRPr="008C0BEE" w:rsidRDefault="00557E2D" w:rsidP="00557E2D">
      <w:pPr>
        <w:rPr>
          <w:b/>
        </w:rPr>
      </w:pPr>
      <w:r>
        <w:t xml:space="preserve">Under the current Part 6 provisions of the </w:t>
      </w:r>
      <w:r w:rsidR="0001065E" w:rsidRPr="00524D9F">
        <w:rPr>
          <w:rFonts w:cs="Times New Roman"/>
        </w:rPr>
        <w:t>Water Charge (Infrastructure) Rules 2010</w:t>
      </w:r>
      <w:r w:rsidR="0001065E">
        <w:rPr>
          <w:rFonts w:cs="Times New Roman"/>
        </w:rPr>
        <w:t xml:space="preserve"> (</w:t>
      </w:r>
      <w:r>
        <w:t>WCIR</w:t>
      </w:r>
      <w:r w:rsidR="0001065E">
        <w:t>)</w:t>
      </w:r>
      <w:r>
        <w:t>, an infrastructure operator that is not member-owned and services more than 250</w:t>
      </w:r>
      <w:r w:rsidR="003A4864">
        <w:t xml:space="preserve"> </w:t>
      </w:r>
      <w:r>
        <w:t xml:space="preserve">GL of water held under </w:t>
      </w:r>
      <w:r w:rsidR="00A365A7">
        <w:t>water access entitlements (</w:t>
      </w:r>
      <w:r>
        <w:t>WAEs</w:t>
      </w:r>
      <w:r w:rsidR="00A365A7">
        <w:t>)</w:t>
      </w:r>
      <w:r>
        <w:t xml:space="preserve"> is required to apply for approval </w:t>
      </w:r>
      <w:r w:rsidR="00A365A7">
        <w:t xml:space="preserve">or determination </w:t>
      </w:r>
      <w:r>
        <w:t>of regulated charges by the ACCC or an accredited regulator under Part 9 of the WCIR.</w:t>
      </w:r>
      <w:r>
        <w:rPr>
          <w:rStyle w:val="FootnoteReference"/>
          <w:rFonts w:cs="Arial"/>
        </w:rPr>
        <w:footnoteReference w:id="861"/>
      </w:r>
      <w:r>
        <w:t xml:space="preserve"> </w:t>
      </w:r>
    </w:p>
    <w:p w:rsidR="00557E2D" w:rsidRDefault="00557E2D" w:rsidP="00A60A09">
      <w:pPr>
        <w:spacing w:after="120"/>
      </w:pPr>
      <w:r>
        <w:t>Furthermore, when determining or approving regulated charges, the regulator must apply or consider the following:</w:t>
      </w:r>
    </w:p>
    <w:p w:rsidR="00557E2D" w:rsidRDefault="00557E2D" w:rsidP="00A82DE6">
      <w:pPr>
        <w:pStyle w:val="Lvl1Bulletpoint"/>
      </w:pPr>
      <w:r>
        <w:t>procedural requirements for application for a determination or approval</w:t>
      </w:r>
    </w:p>
    <w:p w:rsidR="00557E2D" w:rsidRDefault="00557E2D" w:rsidP="00A82DE6">
      <w:pPr>
        <w:pStyle w:val="Lvl1Bulletpoint"/>
      </w:pPr>
      <w:r>
        <w:t xml:space="preserve">the length of the regulatory period </w:t>
      </w:r>
    </w:p>
    <w:p w:rsidR="00557E2D" w:rsidRDefault="00557E2D" w:rsidP="00A82DE6">
      <w:pPr>
        <w:pStyle w:val="Lvl1Bulletpoint"/>
      </w:pPr>
      <w:r>
        <w:t>the basis for approving or determining regulated charges</w:t>
      </w:r>
    </w:p>
    <w:p w:rsidR="00557E2D" w:rsidRDefault="00557E2D" w:rsidP="00A82DE6">
      <w:pPr>
        <w:pStyle w:val="Lvl1Bulletpoint"/>
      </w:pPr>
      <w:r>
        <w:t>annual reviews of regulated charges</w:t>
      </w:r>
      <w:r w:rsidR="00B4352D">
        <w:t>,</w:t>
      </w:r>
      <w:r>
        <w:t xml:space="preserve"> and </w:t>
      </w:r>
    </w:p>
    <w:p w:rsidR="00557E2D" w:rsidRDefault="00557E2D" w:rsidP="00A82DE6">
      <w:pPr>
        <w:pStyle w:val="Lvl1Bulletpoint"/>
      </w:pPr>
      <w:r>
        <w:t xml:space="preserve">variation of </w:t>
      </w:r>
      <w:r w:rsidR="00B4352D">
        <w:t xml:space="preserve">approvals / </w:t>
      </w:r>
      <w:r>
        <w:t>determinations.</w:t>
      </w:r>
    </w:p>
    <w:p w:rsidR="00557E2D" w:rsidRDefault="00557E2D" w:rsidP="00A60A09">
      <w:pPr>
        <w:keepNext/>
        <w:spacing w:before="240" w:after="120"/>
      </w:pPr>
      <w:r>
        <w:t xml:space="preserve"> In its Draft Advice, the ACCC proposed significant amendments to this Part. This included:</w:t>
      </w:r>
    </w:p>
    <w:p w:rsidR="00557E2D" w:rsidRDefault="00557E2D" w:rsidP="00A82DE6">
      <w:pPr>
        <w:pStyle w:val="Lvl1Bulletpoint"/>
      </w:pPr>
      <w:r>
        <w:t>generally moving the regulation of operator’s charges from the ACCC to Basin States in line with their own regulatory processes (via alteration of the criteria for Part 6)</w:t>
      </w:r>
    </w:p>
    <w:p w:rsidR="00557E2D" w:rsidRDefault="00557E2D" w:rsidP="00A82DE6">
      <w:pPr>
        <w:pStyle w:val="Lvl1Bulletpoint"/>
      </w:pPr>
      <w:r>
        <w:t xml:space="preserve">retaining Part 6 as a ‘back-up’ mechanism </w:t>
      </w:r>
      <w:r w:rsidR="00462DD1">
        <w:t>where certain operators are not required to have their charges approved or determined by a single State Agency;</w:t>
      </w:r>
      <w:r>
        <w:t xml:space="preserve"> or for cross-jurisdictional operators</w:t>
      </w:r>
    </w:p>
    <w:p w:rsidR="00557E2D" w:rsidRDefault="00557E2D" w:rsidP="00A82DE6">
      <w:pPr>
        <w:pStyle w:val="Lvl1Bulletpoint"/>
      </w:pPr>
      <w:r>
        <w:t>allowing the ACCC to exempt an operator that would otherwise be deemed a Part 6 operator under the WCIR in certain circumstances.</w:t>
      </w:r>
    </w:p>
    <w:p w:rsidR="00557E2D" w:rsidRDefault="00557E2D" w:rsidP="00A60A09">
      <w:pPr>
        <w:spacing w:before="240" w:after="120"/>
      </w:pPr>
      <w:r>
        <w:t>In its Final Advice, the ACCC made a number of changes to clarify the operation of this Part and to reduce the regulatory cost on operators. These included:</w:t>
      </w:r>
    </w:p>
    <w:p w:rsidR="00557E2D" w:rsidRDefault="00557E2D" w:rsidP="00A82DE6">
      <w:pPr>
        <w:pStyle w:val="Lvl1Bulletpoint"/>
      </w:pPr>
      <w:r>
        <w:t xml:space="preserve">more clearly defining the type of Basin State mechanism that would be a satisfactory alternative to Part 6, by </w:t>
      </w:r>
      <w:r w:rsidR="00462DD1">
        <w:t xml:space="preserve">also </w:t>
      </w:r>
      <w:r>
        <w:t xml:space="preserve">referencing it to the criteria it uses for the determination </w:t>
      </w:r>
      <w:r w:rsidR="00462DD1">
        <w:t>or approval</w:t>
      </w:r>
      <w:r>
        <w:t>.</w:t>
      </w:r>
    </w:p>
    <w:p w:rsidR="008041B2" w:rsidRDefault="008041B2" w:rsidP="008041B2">
      <w:pPr>
        <w:pStyle w:val="Lvl1Bulletpoint"/>
      </w:pPr>
      <w:r>
        <w:t>clarifying that Part 6 is not generally intended to capture off-river infrastructure operators, and modifying the relevant criterion (23(b)(i)) accordingly.</w:t>
      </w:r>
    </w:p>
    <w:p w:rsidR="00557E2D" w:rsidRDefault="00557E2D" w:rsidP="00A82DE6">
      <w:pPr>
        <w:pStyle w:val="Lvl1Bulletpoint"/>
      </w:pPr>
      <w:r>
        <w:t xml:space="preserve">ensuring </w:t>
      </w:r>
      <w:r w:rsidR="00A22F1F">
        <w:t>sub</w:t>
      </w:r>
      <w:r>
        <w:t xml:space="preserve">rule 23(b) is only triggered where the infrastructure operator </w:t>
      </w:r>
      <w:r w:rsidR="00236AC6">
        <w:t>levies</w:t>
      </w:r>
      <w:r w:rsidR="00A92D65">
        <w:t xml:space="preserve"> an infrastructure charge in relation </w:t>
      </w:r>
      <w:r w:rsidR="000B5F16">
        <w:t xml:space="preserve">to the relevant services </w:t>
      </w:r>
      <w:r>
        <w:t>(rather than being based on the customer’s obtaining such services, but for which no infrastructure charges apply).</w:t>
      </w:r>
    </w:p>
    <w:p w:rsidR="00557E2D" w:rsidRDefault="00557E2D" w:rsidP="00A82DE6">
      <w:pPr>
        <w:pStyle w:val="Lvl1Bulletpoint"/>
      </w:pPr>
      <w:r>
        <w:t>expanding the matters the ACCC can take into account when considering whether to exempt a Part 6 operator from the Part 6 requirements.</w:t>
      </w:r>
    </w:p>
    <w:p w:rsidR="00A92D65" w:rsidRDefault="00A92D65" w:rsidP="00A82DE6">
      <w:pPr>
        <w:pStyle w:val="Lvl1Bulletpoint"/>
      </w:pPr>
      <w:r>
        <w:t xml:space="preserve">clarifying the transition arrangements </w:t>
      </w:r>
      <w:r w:rsidR="008041B2">
        <w:t>for existing Part 6 operators</w:t>
      </w:r>
      <w:r>
        <w:t xml:space="preserve">. </w:t>
      </w:r>
    </w:p>
    <w:p w:rsidR="00B46AA1" w:rsidRDefault="00B46AA1" w:rsidP="00A60A09">
      <w:pPr>
        <w:spacing w:before="240" w:after="120"/>
      </w:pPr>
      <w:r>
        <w:t>In this Final Advice, regulatory costings have been revised:</w:t>
      </w:r>
    </w:p>
    <w:p w:rsidR="00B46AA1" w:rsidRDefault="00B46AA1" w:rsidP="00F43856">
      <w:pPr>
        <w:pStyle w:val="ListParagraph"/>
        <w:numPr>
          <w:ilvl w:val="0"/>
          <w:numId w:val="99"/>
        </w:numPr>
        <w:spacing w:before="120" w:after="120"/>
        <w:ind w:left="771" w:hanging="357"/>
      </w:pPr>
      <w:r>
        <w:t>to include a decrease in regulatory costings savings relating to the regulation of the current Part 6 operators, WaterNSW, Goulburn-Murray Water and Lower Murray Water (LMW)</w:t>
      </w:r>
      <w:r w:rsidR="008041B2">
        <w:t xml:space="preserve"> due to updated assumptions regarding likely amendment timeframes</w:t>
      </w:r>
      <w:r>
        <w:t>.</w:t>
      </w:r>
    </w:p>
    <w:p w:rsidR="00B46AA1" w:rsidRDefault="00EF587D" w:rsidP="00F43856">
      <w:pPr>
        <w:pStyle w:val="ListParagraph"/>
        <w:numPr>
          <w:ilvl w:val="0"/>
          <w:numId w:val="99"/>
        </w:numPr>
        <w:spacing w:before="240"/>
      </w:pPr>
      <w:r>
        <w:t>t</w:t>
      </w:r>
      <w:r w:rsidR="00B46AA1">
        <w:t>o include regulatory costs relating to SunWater (see below).</w:t>
      </w:r>
      <w:r w:rsidR="004F6BD0">
        <w:t xml:space="preserve"> </w:t>
      </w:r>
    </w:p>
    <w:p w:rsidR="00557E2D" w:rsidRPr="00094810" w:rsidRDefault="00557E2D" w:rsidP="00557E2D">
      <w:pPr>
        <w:spacing w:before="240"/>
      </w:pPr>
      <w:r w:rsidRPr="00094810">
        <w:t xml:space="preserve">As explained in section 9.1.4 of the Draft Advice, the ACCC assessed the net reduction in regulatory costs for current Part 6 operators based on the assumption that these operators will move from a situation of being partially regulated under the WCIR by an accredited state regulator (in relation to </w:t>
      </w:r>
      <w:r w:rsidR="005255EE">
        <w:t>Murray-Darling Basin (</w:t>
      </w:r>
      <w:r w:rsidRPr="00094810">
        <w:t>MDB</w:t>
      </w:r>
      <w:r w:rsidR="005255EE">
        <w:t>)</w:t>
      </w:r>
      <w:r w:rsidRPr="00094810">
        <w:t xml:space="preserve"> rural charges), and partially under state law (in relation to non-MDB</w:t>
      </w:r>
      <w:r w:rsidR="00674533">
        <w:t xml:space="preserve"> </w:t>
      </w:r>
      <w:r w:rsidRPr="00094810">
        <w:t>/</w:t>
      </w:r>
      <w:r w:rsidR="00674533">
        <w:t xml:space="preserve"> </w:t>
      </w:r>
      <w:r w:rsidRPr="00094810">
        <w:t>urban charges) to a situation of being wholly regulated by a state regulator under state law. The ACCC estimated the decrease in regulatory costs of moving to this more streamlined framework as $100,000 per operator per regulatory period (assuming an average of 2.6 regulatory periods per 10 years).</w:t>
      </w:r>
    </w:p>
    <w:p w:rsidR="008041B2" w:rsidRDefault="008041B2" w:rsidP="008041B2">
      <w:pPr>
        <w:spacing w:before="240"/>
      </w:pPr>
      <w:r>
        <w:t xml:space="preserve">The ACCC </w:t>
      </w:r>
      <w:r w:rsidR="00714D65">
        <w:t xml:space="preserve">continues to </w:t>
      </w:r>
      <w:r>
        <w:t xml:space="preserve">expect that the current Part 6 operators (WaterNSW, Goulburn-Murray Water (GMW) and Lower Murray Water (LMW)) will </w:t>
      </w:r>
      <w:r w:rsidR="00714D65">
        <w:t xml:space="preserve">cease to </w:t>
      </w:r>
      <w:r>
        <w:t xml:space="preserve">be Part 6 operators if these Final Advice proposals are implemented. </w:t>
      </w:r>
    </w:p>
    <w:p w:rsidR="00557E2D" w:rsidRPr="00094810" w:rsidRDefault="00714D65" w:rsidP="00A60A09">
      <w:pPr>
        <w:spacing w:before="240" w:after="120"/>
      </w:pPr>
      <w:r>
        <w:t>However, i</w:t>
      </w:r>
      <w:r w:rsidR="00557E2D" w:rsidRPr="00094810">
        <w:t xml:space="preserve">n revising estimates for the Final Advice, the ACCC now considers that it is unlikely that the </w:t>
      </w:r>
      <w:r w:rsidR="00674533">
        <w:t xml:space="preserve">proposed </w:t>
      </w:r>
      <w:r w:rsidR="00557E2D" w:rsidRPr="00094810">
        <w:t>rule</w:t>
      </w:r>
      <w:r w:rsidR="00674533">
        <w:t xml:space="preserve"> amendments</w:t>
      </w:r>
      <w:r w:rsidR="00557E2D" w:rsidRPr="00094810">
        <w:t xml:space="preserve"> </w:t>
      </w:r>
      <w:r w:rsidR="00557E2D">
        <w:t xml:space="preserve">would (or should) </w:t>
      </w:r>
      <w:r w:rsidR="00557E2D" w:rsidRPr="00094810">
        <w:t xml:space="preserve">be </w:t>
      </w:r>
      <w:r w:rsidR="00674533">
        <w:t>in place</w:t>
      </w:r>
      <w:r w:rsidR="00674533" w:rsidRPr="00094810">
        <w:t xml:space="preserve"> </w:t>
      </w:r>
      <w:r w:rsidR="00557E2D" w:rsidRPr="00094810">
        <w:t xml:space="preserve">in time to allow for </w:t>
      </w:r>
      <w:r w:rsidR="00557E2D">
        <w:t xml:space="preserve">the </w:t>
      </w:r>
      <w:r w:rsidR="00557E2D" w:rsidRPr="00094810">
        <w:t xml:space="preserve">determination of WaterNSW’s charges for the 2017-21 regulatory period to </w:t>
      </w:r>
      <w:r w:rsidR="00557E2D">
        <w:t xml:space="preserve">occur </w:t>
      </w:r>
      <w:r w:rsidR="00557E2D" w:rsidRPr="00094810">
        <w:t xml:space="preserve">under NSW law rather than the </w:t>
      </w:r>
      <w:r w:rsidR="00557E2D">
        <w:t>water charge rules</w:t>
      </w:r>
      <w:r w:rsidR="00557E2D" w:rsidRPr="00094810">
        <w:t>. The ACCC therefore considers that, for the ten years from 201</w:t>
      </w:r>
      <w:r w:rsidR="00557E2D">
        <w:t>7</w:t>
      </w:r>
      <w:r w:rsidR="00557E2D" w:rsidRPr="00094810">
        <w:t xml:space="preserve"> over which regulatory costs are assessed, the following arrangements will apply to current Part 6 operators: </w:t>
      </w:r>
    </w:p>
    <w:p w:rsidR="00557E2D" w:rsidRPr="00B376C5" w:rsidRDefault="00557E2D" w:rsidP="00A82DE6">
      <w:pPr>
        <w:pStyle w:val="Lvl1Bulletpoint"/>
      </w:pPr>
      <w:r w:rsidRPr="00B376C5">
        <w:t>GMW: c</w:t>
      </w:r>
      <w:r>
        <w:t>omplete</w:t>
      </w:r>
      <w:r w:rsidRPr="00B376C5">
        <w:t xml:space="preserve"> current regulatory period 2016-2020 under </w:t>
      </w:r>
      <w:r w:rsidR="002B0A23">
        <w:t xml:space="preserve">the </w:t>
      </w:r>
      <w:r w:rsidRPr="00B376C5">
        <w:t>WCIR (</w:t>
      </w:r>
      <w:r w:rsidR="00ED02CF">
        <w:t>Essential Services Commission of Victoria (</w:t>
      </w:r>
      <w:r w:rsidRPr="00B376C5">
        <w:t>ESCV</w:t>
      </w:r>
      <w:r w:rsidR="00ED02CF">
        <w:t>)</w:t>
      </w:r>
      <w:r w:rsidRPr="00B376C5">
        <w:t xml:space="preserve"> accredited regulator), and regulated by ESCV under Victorian law thereafter</w:t>
      </w:r>
      <w:r w:rsidR="00EF587D">
        <w:t>.</w:t>
      </w:r>
    </w:p>
    <w:p w:rsidR="00557E2D" w:rsidRPr="00B376C5" w:rsidRDefault="00557E2D" w:rsidP="00A82DE6">
      <w:pPr>
        <w:pStyle w:val="Lvl1Bulletpoint"/>
      </w:pPr>
      <w:r w:rsidRPr="00B376C5">
        <w:t>LMW: complete current regulatory period 20</w:t>
      </w:r>
      <w:r>
        <w:t>13</w:t>
      </w:r>
      <w:r w:rsidRPr="00B376C5">
        <w:t>-20</w:t>
      </w:r>
      <w:r>
        <w:t>18</w:t>
      </w:r>
      <w:r w:rsidRPr="00B376C5">
        <w:t xml:space="preserve"> under </w:t>
      </w:r>
      <w:r w:rsidR="002B0A23">
        <w:t xml:space="preserve">the </w:t>
      </w:r>
      <w:r w:rsidRPr="00B376C5">
        <w:t>WCIR (ESCV accredited regulator), and regulated by ESCV under Victorian law thereafter</w:t>
      </w:r>
      <w:r w:rsidR="00EF587D">
        <w:t>.</w:t>
      </w:r>
      <w:r w:rsidRPr="00B376C5">
        <w:t xml:space="preserve"> </w:t>
      </w:r>
    </w:p>
    <w:p w:rsidR="00557E2D" w:rsidRPr="00FA0EA4" w:rsidRDefault="00557E2D" w:rsidP="00A82DE6">
      <w:pPr>
        <w:pStyle w:val="Lvl1Bulletpoint"/>
      </w:pPr>
      <w:r>
        <w:t xml:space="preserve">WaterNSW: </w:t>
      </w:r>
      <w:r w:rsidRPr="00B376C5">
        <w:t>complete current regulatory period 20</w:t>
      </w:r>
      <w:r>
        <w:t>17</w:t>
      </w:r>
      <w:r w:rsidRPr="00B376C5">
        <w:t>-20</w:t>
      </w:r>
      <w:r>
        <w:t>21</w:t>
      </w:r>
      <w:r w:rsidRPr="00B376C5">
        <w:t xml:space="preserve"> under </w:t>
      </w:r>
      <w:r w:rsidR="002B0A23">
        <w:t xml:space="preserve">the </w:t>
      </w:r>
      <w:r w:rsidRPr="00B376C5">
        <w:t>WCIR (</w:t>
      </w:r>
      <w:r>
        <w:t xml:space="preserve">IPART </w:t>
      </w:r>
      <w:r w:rsidRPr="00B376C5">
        <w:t xml:space="preserve">accredited regulator), and regulated by </w:t>
      </w:r>
      <w:r>
        <w:t xml:space="preserve">IPART </w:t>
      </w:r>
      <w:r w:rsidRPr="00B376C5">
        <w:t xml:space="preserve">under </w:t>
      </w:r>
      <w:r>
        <w:t xml:space="preserve">NSW </w:t>
      </w:r>
      <w:r w:rsidRPr="00B376C5">
        <w:t>law thereafter</w:t>
      </w:r>
      <w:r w:rsidR="00EF587D">
        <w:t>.</w:t>
      </w:r>
    </w:p>
    <w:p w:rsidR="00557E2D" w:rsidRDefault="00557E2D" w:rsidP="00557E2D">
      <w:pPr>
        <w:spacing w:before="240"/>
      </w:pPr>
      <w:r w:rsidRPr="00655CBA">
        <w:t>Based on this assessment, the decrease in regulatory costs associated with the move to regulation occurring under state law is estimated to apply to current Part 6 operators for an average of 1.83 regulatory periods (compared to a previous estimate of 2.6 in the Draft Advice).</w:t>
      </w:r>
    </w:p>
    <w:p w:rsidR="00B46AA1" w:rsidRDefault="00B46AA1" w:rsidP="00B46AA1">
      <w:pPr>
        <w:spacing w:before="240"/>
      </w:pPr>
      <w:r>
        <w:t xml:space="preserve">The regulatory costings for the Final Advice have also been revised to include an increase in regulatory cost in relation to the application of Part 6 to SunWater. Under the </w:t>
      </w:r>
      <w:r w:rsidR="00674533">
        <w:t>proposed water charge rules</w:t>
      </w:r>
      <w:r>
        <w:t xml:space="preserve">, the ACCC considers that it is likely that SunWater will become a Part 6 operator unless it is exempted under the new rule 23C, as the current regulatory framework in Queensland </w:t>
      </w:r>
      <w:r w:rsidR="00674533">
        <w:t>in relation to</w:t>
      </w:r>
      <w:r>
        <w:t xml:space="preserve"> SunWater’s regulatory charges is unlikely to satisfy the test under subrule 23(a) of </w:t>
      </w:r>
      <w:r w:rsidR="002B0A23">
        <w:t xml:space="preserve">the </w:t>
      </w:r>
      <w:r>
        <w:t xml:space="preserve">proposed </w:t>
      </w:r>
      <w:r w:rsidR="00674533">
        <w:t>rules</w:t>
      </w:r>
      <w:r>
        <w:t xml:space="preserve"> (i.e. if this test was satisfied, SunWater would not be a Part 6 operator). However, based on the assumption that regulatory processes in Queensland </w:t>
      </w:r>
      <w:r w:rsidR="00674533">
        <w:t>are likely to</w:t>
      </w:r>
      <w:r>
        <w:t xml:space="preserve"> be adapted to be sufficient to preclude the application of Part 6, SunWater would cease to be a Part 6 operator at a future date. On this basis, the ACCC considers that the most likely outcome is that the ACCC would grant SunWater a temporary exemption from the application of Part 6, for the period needed for Queensland processes to be adapted. Therefore, the ACCC has not included in these regulatory costings the full burden of being a Part 6 operator, but rather has assessed the costs of SunWater applying for an exemption. The ACCC has estimated the number of hours that SunWater will need for this exemption application process as 60 hours.</w:t>
      </w:r>
    </w:p>
    <w:p w:rsidR="00B46AA1" w:rsidRDefault="00B46AA1" w:rsidP="00B46AA1">
      <w:pPr>
        <w:spacing w:before="240"/>
      </w:pPr>
      <w:r>
        <w:t>The</w:t>
      </w:r>
      <w:r w:rsidR="00714D65">
        <w:t xml:space="preserve"> ACCC continues to be of the view that the</w:t>
      </w:r>
      <w:r>
        <w:t xml:space="preserve"> amended proposals </w:t>
      </w:r>
      <w:r w:rsidR="00D50E91">
        <w:t>are un</w:t>
      </w:r>
      <w:r>
        <w:t xml:space="preserve">likely to capture any </w:t>
      </w:r>
      <w:r w:rsidR="00D50E91">
        <w:t xml:space="preserve">other </w:t>
      </w:r>
      <w:r>
        <w:t xml:space="preserve">current infrastructure operators as Part 6 operators. </w:t>
      </w:r>
    </w:p>
    <w:p w:rsidR="00557E2D" w:rsidRDefault="00557E2D" w:rsidP="00557E2D">
      <w:pPr>
        <w:spacing w:before="240"/>
      </w:pPr>
      <w:r>
        <w:t xml:space="preserve">The ACCC therefore has adapted its estimate of the reduction in regulatory cost in the Final Advice proposals when compared with current Part 6 requirements to take into account the new likely amendment date </w:t>
      </w:r>
      <w:r w:rsidR="00236AC6">
        <w:t xml:space="preserve">as well as </w:t>
      </w:r>
      <w:r>
        <w:t xml:space="preserve">the additional regulatory costs related to the exemption of SunWater. This estimated change in regulatory costs is a reduction of $54 607 per annum. </w:t>
      </w:r>
      <w:r>
        <w:rPr>
          <w:rFonts w:cs="Times New Roman"/>
        </w:rPr>
        <w:t xml:space="preserve">This </w:t>
      </w:r>
      <w:r>
        <w:t>compares with an annualised decrease of $78 000 estimated for the proposals in the Draft Advice. Table 9.7 presents these estimates.</w:t>
      </w:r>
    </w:p>
    <w:p w:rsidR="00557E2D" w:rsidRDefault="00557E2D" w:rsidP="00E560FF">
      <w:pPr>
        <w:pStyle w:val="Tabletitle"/>
      </w:pPr>
      <w:r w:rsidRPr="00F840AD">
        <w:t>Table 9.7—</w:t>
      </w:r>
      <w:r>
        <w:t>Net c</w:t>
      </w:r>
      <w:r w:rsidRPr="00F840AD">
        <w:t>hange in regulatory cost due to proposed changes to determination</w:t>
      </w:r>
      <w:r>
        <w:t>s and approvals—Final Advice compared with current WCIR requirements</w:t>
      </w:r>
    </w:p>
    <w:tbl>
      <w:tblPr>
        <w:tblStyle w:val="TableGrid"/>
        <w:tblW w:w="9294" w:type="dxa"/>
        <w:tblBorders>
          <w:insideH w:val="none" w:sz="0" w:space="0" w:color="auto"/>
          <w:insideV w:val="none" w:sz="0" w:space="0" w:color="auto"/>
        </w:tblBorders>
        <w:tblLook w:val="04A0" w:firstRow="1" w:lastRow="0" w:firstColumn="1" w:lastColumn="0" w:noHBand="0" w:noVBand="1"/>
      </w:tblPr>
      <w:tblGrid>
        <w:gridCol w:w="5716"/>
        <w:gridCol w:w="970"/>
        <w:gridCol w:w="1374"/>
        <w:gridCol w:w="1234"/>
      </w:tblGrid>
      <w:tr w:rsidR="00557E2D" w:rsidRPr="00B94FAD" w:rsidTr="00C52AEB">
        <w:trPr>
          <w:trHeight w:val="353"/>
        </w:trPr>
        <w:tc>
          <w:tcPr>
            <w:tcW w:w="5716" w:type="dxa"/>
            <w:tcBorders>
              <w:bottom w:val="single" w:sz="4" w:space="0" w:color="auto"/>
            </w:tcBorders>
            <w:shd w:val="clear" w:color="auto" w:fill="D9D9D9" w:themeFill="background1" w:themeFillShade="D9"/>
            <w:vAlign w:val="center"/>
          </w:tcPr>
          <w:p w:rsidR="00557E2D" w:rsidRDefault="00557E2D" w:rsidP="0098578F">
            <w:pPr>
              <w:pStyle w:val="tabletext"/>
            </w:pPr>
          </w:p>
        </w:tc>
        <w:tc>
          <w:tcPr>
            <w:tcW w:w="970" w:type="dxa"/>
            <w:tcBorders>
              <w:bottom w:val="single" w:sz="4" w:space="0" w:color="auto"/>
            </w:tcBorders>
            <w:shd w:val="clear" w:color="auto" w:fill="D9D9D9" w:themeFill="background1" w:themeFillShade="D9"/>
            <w:vAlign w:val="center"/>
          </w:tcPr>
          <w:p w:rsidR="00557E2D" w:rsidRPr="00540724" w:rsidRDefault="00557E2D" w:rsidP="0098578F">
            <w:pPr>
              <w:pStyle w:val="tabletext"/>
              <w:jc w:val="right"/>
            </w:pPr>
            <w:r w:rsidRPr="00540724">
              <w:t>Group 3</w:t>
            </w:r>
          </w:p>
        </w:tc>
        <w:tc>
          <w:tcPr>
            <w:tcW w:w="1374" w:type="dxa"/>
            <w:tcBorders>
              <w:bottom w:val="single" w:sz="4" w:space="0" w:color="auto"/>
              <w:right w:val="single" w:sz="4" w:space="0" w:color="auto"/>
            </w:tcBorders>
            <w:shd w:val="clear" w:color="auto" w:fill="D9D9D9" w:themeFill="background1" w:themeFillShade="D9"/>
            <w:vAlign w:val="center"/>
          </w:tcPr>
          <w:p w:rsidR="00557E2D" w:rsidRPr="00B94FAD" w:rsidRDefault="00557E2D" w:rsidP="0098578F">
            <w:pPr>
              <w:pStyle w:val="tabletext"/>
              <w:jc w:val="right"/>
            </w:pPr>
            <w:r w:rsidRPr="00B94FAD">
              <w:t>Group 4</w:t>
            </w:r>
          </w:p>
        </w:tc>
        <w:tc>
          <w:tcPr>
            <w:tcW w:w="1233" w:type="dxa"/>
            <w:tcBorders>
              <w:top w:val="single" w:sz="4" w:space="0" w:color="auto"/>
              <w:left w:val="single" w:sz="4" w:space="0" w:color="auto"/>
              <w:bottom w:val="single" w:sz="4" w:space="0" w:color="auto"/>
            </w:tcBorders>
            <w:shd w:val="clear" w:color="auto" w:fill="D9D9D9" w:themeFill="background1" w:themeFillShade="D9"/>
          </w:tcPr>
          <w:p w:rsidR="00557E2D" w:rsidRPr="00FA0EA4" w:rsidRDefault="00557E2D" w:rsidP="0098578F">
            <w:pPr>
              <w:pStyle w:val="tabletext"/>
              <w:jc w:val="right"/>
              <w:rPr>
                <w:b/>
              </w:rPr>
            </w:pPr>
            <w:r w:rsidRPr="00FA0EA4">
              <w:rPr>
                <w:b/>
              </w:rPr>
              <w:t>Total</w:t>
            </w:r>
          </w:p>
        </w:tc>
      </w:tr>
      <w:tr w:rsidR="00557E2D" w:rsidRPr="00B94FAD" w:rsidTr="00A60A09">
        <w:trPr>
          <w:trHeight w:val="370"/>
        </w:trPr>
        <w:tc>
          <w:tcPr>
            <w:tcW w:w="5716" w:type="dxa"/>
            <w:tcBorders>
              <w:top w:val="single" w:sz="4" w:space="0" w:color="auto"/>
              <w:bottom w:val="single" w:sz="4" w:space="0" w:color="auto"/>
            </w:tcBorders>
            <w:vAlign w:val="center"/>
          </w:tcPr>
          <w:p w:rsidR="00557E2D" w:rsidRPr="00FA0EA4" w:rsidRDefault="00557E2D" w:rsidP="0098578F">
            <w:pPr>
              <w:pStyle w:val="tabletext"/>
              <w:rPr>
                <w:b/>
              </w:rPr>
            </w:pPr>
            <w:r w:rsidRPr="00FA0EA4">
              <w:rPr>
                <w:b/>
              </w:rPr>
              <w:t>No. of affected operators</w:t>
            </w:r>
          </w:p>
        </w:tc>
        <w:tc>
          <w:tcPr>
            <w:tcW w:w="970" w:type="dxa"/>
            <w:tcBorders>
              <w:top w:val="single" w:sz="4" w:space="0" w:color="auto"/>
              <w:bottom w:val="single" w:sz="4" w:space="0" w:color="auto"/>
            </w:tcBorders>
            <w:vAlign w:val="center"/>
          </w:tcPr>
          <w:p w:rsidR="00557E2D" w:rsidRPr="00B94FAD" w:rsidRDefault="00557E2D" w:rsidP="0098578F">
            <w:pPr>
              <w:pStyle w:val="tabletext"/>
              <w:jc w:val="right"/>
            </w:pPr>
            <w:r>
              <w:t>1</w:t>
            </w:r>
          </w:p>
        </w:tc>
        <w:tc>
          <w:tcPr>
            <w:tcW w:w="1374" w:type="dxa"/>
            <w:tcBorders>
              <w:top w:val="single" w:sz="4" w:space="0" w:color="auto"/>
              <w:bottom w:val="single" w:sz="4" w:space="0" w:color="auto"/>
              <w:right w:val="single" w:sz="4" w:space="0" w:color="auto"/>
            </w:tcBorders>
            <w:vAlign w:val="center"/>
          </w:tcPr>
          <w:p w:rsidR="00557E2D" w:rsidRPr="00B94FAD" w:rsidRDefault="00557E2D" w:rsidP="0098578F">
            <w:pPr>
              <w:pStyle w:val="tabletext"/>
              <w:jc w:val="right"/>
            </w:pPr>
            <w:r w:rsidRPr="00B94FAD">
              <w:t>3</w:t>
            </w:r>
          </w:p>
        </w:tc>
        <w:tc>
          <w:tcPr>
            <w:tcW w:w="1233" w:type="dxa"/>
            <w:tcBorders>
              <w:top w:val="single" w:sz="4" w:space="0" w:color="auto"/>
              <w:left w:val="single" w:sz="4" w:space="0" w:color="auto"/>
              <w:bottom w:val="single" w:sz="4" w:space="0" w:color="auto"/>
            </w:tcBorders>
          </w:tcPr>
          <w:p w:rsidR="00557E2D" w:rsidRPr="00FA0EA4" w:rsidRDefault="00557E2D" w:rsidP="0098578F">
            <w:pPr>
              <w:pStyle w:val="tabletext"/>
              <w:jc w:val="right"/>
              <w:rPr>
                <w:b/>
              </w:rPr>
            </w:pPr>
            <w:r w:rsidRPr="00FA0EA4">
              <w:rPr>
                <w:b/>
              </w:rPr>
              <w:t>4</w:t>
            </w:r>
          </w:p>
        </w:tc>
      </w:tr>
      <w:tr w:rsidR="00557E2D" w:rsidRPr="00B94FAD" w:rsidTr="00A60A09">
        <w:trPr>
          <w:trHeight w:val="370"/>
        </w:trPr>
        <w:tc>
          <w:tcPr>
            <w:tcW w:w="9294" w:type="dxa"/>
            <w:gridSpan w:val="4"/>
            <w:tcBorders>
              <w:top w:val="single" w:sz="4" w:space="0" w:color="auto"/>
              <w:left w:val="single" w:sz="4" w:space="0" w:color="auto"/>
              <w:bottom w:val="single" w:sz="4" w:space="0" w:color="auto"/>
            </w:tcBorders>
            <w:vAlign w:val="center"/>
          </w:tcPr>
          <w:p w:rsidR="00557E2D" w:rsidRPr="00FA0EA4" w:rsidRDefault="00557E2D" w:rsidP="0098578F">
            <w:pPr>
              <w:pStyle w:val="tabletext"/>
              <w:rPr>
                <w:b/>
              </w:rPr>
            </w:pPr>
            <w:r w:rsidRPr="00FA0EA4">
              <w:rPr>
                <w:b/>
              </w:rPr>
              <w:t>Proposed changes to application of Part 6 provisions</w:t>
            </w:r>
          </w:p>
        </w:tc>
      </w:tr>
      <w:tr w:rsidR="00557E2D" w:rsidRPr="00B94FAD" w:rsidTr="00A60A09">
        <w:trPr>
          <w:trHeight w:val="370"/>
        </w:trPr>
        <w:tc>
          <w:tcPr>
            <w:tcW w:w="5716" w:type="dxa"/>
            <w:tcBorders>
              <w:top w:val="single" w:sz="4" w:space="0" w:color="auto"/>
            </w:tcBorders>
            <w:vAlign w:val="center"/>
          </w:tcPr>
          <w:p w:rsidR="00557E2D" w:rsidRPr="00B94FAD" w:rsidRDefault="00557E2D" w:rsidP="00746B57">
            <w:pPr>
              <w:pStyle w:val="tabletext"/>
              <w:ind w:left="142"/>
            </w:pPr>
            <w:r>
              <w:t>Average cost per operator (</w:t>
            </w:r>
            <w:r w:rsidR="00746B57">
              <w:t>over 10 year assessment period)</w:t>
            </w:r>
          </w:p>
        </w:tc>
        <w:tc>
          <w:tcPr>
            <w:tcW w:w="970" w:type="dxa"/>
            <w:tcBorders>
              <w:top w:val="single" w:sz="4" w:space="0" w:color="auto"/>
            </w:tcBorders>
            <w:vAlign w:val="center"/>
          </w:tcPr>
          <w:p w:rsidR="00557E2D" w:rsidRPr="00B94FAD" w:rsidRDefault="00557E2D" w:rsidP="0098578F">
            <w:pPr>
              <w:pStyle w:val="tabletext"/>
              <w:jc w:val="right"/>
            </w:pPr>
            <w:r>
              <w:t>$3 927</w:t>
            </w:r>
          </w:p>
        </w:tc>
        <w:tc>
          <w:tcPr>
            <w:tcW w:w="1374" w:type="dxa"/>
            <w:tcBorders>
              <w:top w:val="single" w:sz="4" w:space="0" w:color="auto"/>
              <w:right w:val="single" w:sz="4" w:space="0" w:color="auto"/>
            </w:tcBorders>
            <w:vAlign w:val="center"/>
          </w:tcPr>
          <w:p w:rsidR="00557E2D" w:rsidRPr="00E813CE" w:rsidRDefault="00557E2D" w:rsidP="0098578F">
            <w:pPr>
              <w:pStyle w:val="tabletext"/>
              <w:jc w:val="right"/>
            </w:pPr>
            <w:r w:rsidRPr="00E813CE">
              <w:t>–$165 000</w:t>
            </w:r>
          </w:p>
        </w:tc>
        <w:tc>
          <w:tcPr>
            <w:tcW w:w="1233" w:type="dxa"/>
            <w:tcBorders>
              <w:top w:val="single" w:sz="4" w:space="0" w:color="auto"/>
              <w:left w:val="single" w:sz="4" w:space="0" w:color="auto"/>
              <w:bottom w:val="single" w:sz="4" w:space="0" w:color="auto"/>
            </w:tcBorders>
          </w:tcPr>
          <w:p w:rsidR="00557E2D" w:rsidRPr="00E813CE" w:rsidRDefault="00557E2D" w:rsidP="0098578F">
            <w:pPr>
              <w:pStyle w:val="tabletext"/>
              <w:jc w:val="right"/>
            </w:pPr>
          </w:p>
        </w:tc>
      </w:tr>
      <w:tr w:rsidR="00557E2D" w:rsidTr="00A60A09">
        <w:trPr>
          <w:trHeight w:val="268"/>
        </w:trPr>
        <w:tc>
          <w:tcPr>
            <w:tcW w:w="5716" w:type="dxa"/>
            <w:tcBorders>
              <w:top w:val="single" w:sz="4" w:space="0" w:color="auto"/>
              <w:bottom w:val="single" w:sz="4" w:space="0" w:color="auto"/>
            </w:tcBorders>
            <w:vAlign w:val="center"/>
          </w:tcPr>
          <w:p w:rsidR="00557E2D" w:rsidRPr="00C95A9E" w:rsidRDefault="00557E2D" w:rsidP="0098578F">
            <w:pPr>
              <w:pStyle w:val="tabletext"/>
              <w:rPr>
                <w:b/>
              </w:rPr>
            </w:pPr>
            <w:r w:rsidRPr="00C95A9E">
              <w:rPr>
                <w:b/>
              </w:rPr>
              <w:t>Total net annualised change in regulatory cost</w:t>
            </w:r>
            <w:r w:rsidR="00C6733C">
              <w:rPr>
                <w:b/>
              </w:rPr>
              <w:t xml:space="preserve"> </w:t>
            </w:r>
            <w:r w:rsidRPr="00C95A9E">
              <w:rPr>
                <w:b/>
              </w:rPr>
              <w:t>($/yr)</w:t>
            </w:r>
          </w:p>
        </w:tc>
        <w:tc>
          <w:tcPr>
            <w:tcW w:w="970" w:type="dxa"/>
            <w:tcBorders>
              <w:top w:val="single" w:sz="4" w:space="0" w:color="auto"/>
              <w:bottom w:val="single" w:sz="4" w:space="0" w:color="auto"/>
            </w:tcBorders>
            <w:vAlign w:val="center"/>
          </w:tcPr>
          <w:p w:rsidR="00557E2D" w:rsidRPr="00C95A9E" w:rsidRDefault="00557E2D" w:rsidP="0098578F">
            <w:pPr>
              <w:pStyle w:val="tabletext"/>
              <w:jc w:val="right"/>
              <w:rPr>
                <w:b/>
              </w:rPr>
            </w:pPr>
            <w:r>
              <w:rPr>
                <w:b/>
              </w:rPr>
              <w:t>$393</w:t>
            </w:r>
          </w:p>
        </w:tc>
        <w:tc>
          <w:tcPr>
            <w:tcW w:w="1374" w:type="dxa"/>
            <w:tcBorders>
              <w:top w:val="single" w:sz="4" w:space="0" w:color="auto"/>
              <w:bottom w:val="single" w:sz="4" w:space="0" w:color="auto"/>
              <w:right w:val="single" w:sz="4" w:space="0" w:color="auto"/>
            </w:tcBorders>
            <w:vAlign w:val="center"/>
          </w:tcPr>
          <w:p w:rsidR="00557E2D" w:rsidRPr="00E813CE" w:rsidRDefault="00557E2D" w:rsidP="0098578F">
            <w:pPr>
              <w:pStyle w:val="tabletext"/>
              <w:jc w:val="right"/>
              <w:rPr>
                <w:b/>
              </w:rPr>
            </w:pPr>
            <w:r w:rsidRPr="00E813CE">
              <w:t>–</w:t>
            </w:r>
            <w:r w:rsidRPr="00E813CE">
              <w:rPr>
                <w:b/>
              </w:rPr>
              <w:t>$55 000</w:t>
            </w:r>
          </w:p>
        </w:tc>
        <w:tc>
          <w:tcPr>
            <w:tcW w:w="1233" w:type="dxa"/>
            <w:tcBorders>
              <w:top w:val="single" w:sz="4" w:space="0" w:color="auto"/>
              <w:left w:val="single" w:sz="4" w:space="0" w:color="auto"/>
              <w:bottom w:val="single" w:sz="4" w:space="0" w:color="auto"/>
            </w:tcBorders>
            <w:vAlign w:val="center"/>
          </w:tcPr>
          <w:p w:rsidR="00557E2D" w:rsidRPr="00E813CE" w:rsidRDefault="00557E2D" w:rsidP="0098578F">
            <w:pPr>
              <w:pStyle w:val="tabletext"/>
              <w:jc w:val="right"/>
              <w:rPr>
                <w:b/>
              </w:rPr>
            </w:pPr>
            <w:r w:rsidRPr="00E813CE">
              <w:t>–</w:t>
            </w:r>
            <w:r w:rsidRPr="00E813CE">
              <w:rPr>
                <w:b/>
              </w:rPr>
              <w:t>$54 607</w:t>
            </w:r>
          </w:p>
        </w:tc>
      </w:tr>
    </w:tbl>
    <w:p w:rsidR="00557E2D" w:rsidRPr="00603D28" w:rsidRDefault="00557E2D" w:rsidP="00557E2D">
      <w:pPr>
        <w:pStyle w:val="Heading3"/>
      </w:pPr>
      <w:bookmarkStart w:id="1496" w:name="_Toc433979661"/>
      <w:bookmarkStart w:id="1497" w:name="_Toc435179925"/>
      <w:bookmarkStart w:id="1498" w:name="_Toc436122346"/>
      <w:bookmarkStart w:id="1499" w:name="_Toc436122841"/>
      <w:bookmarkStart w:id="1500" w:name="_Toc436124196"/>
      <w:bookmarkStart w:id="1501" w:name="_Toc436133244"/>
      <w:bookmarkStart w:id="1502" w:name="_Toc456785854"/>
      <w:bookmarkStart w:id="1503" w:name="_Toc461630766"/>
      <w:r w:rsidRPr="008C0BEE">
        <w:t>Distributions</w:t>
      </w:r>
      <w:bookmarkEnd w:id="1496"/>
      <w:bookmarkEnd w:id="1497"/>
      <w:bookmarkEnd w:id="1498"/>
      <w:bookmarkEnd w:id="1499"/>
      <w:bookmarkEnd w:id="1500"/>
      <w:bookmarkEnd w:id="1501"/>
      <w:bookmarkEnd w:id="1502"/>
      <w:bookmarkEnd w:id="1503"/>
    </w:p>
    <w:p w:rsidR="00557E2D" w:rsidRDefault="00557E2D" w:rsidP="00557E2D">
      <w:r>
        <w:t xml:space="preserve">Under Part 7 of the </w:t>
      </w:r>
      <w:r w:rsidR="0001065E" w:rsidRPr="00524D9F">
        <w:rPr>
          <w:rFonts w:cs="Times New Roman"/>
        </w:rPr>
        <w:t>Water Charge (Infrastructure) Rules 2010</w:t>
      </w:r>
      <w:r w:rsidR="0001065E">
        <w:rPr>
          <w:rFonts w:cs="Times New Roman"/>
        </w:rPr>
        <w:t xml:space="preserve"> (</w:t>
      </w:r>
      <w:r>
        <w:t>WCIR</w:t>
      </w:r>
      <w:r w:rsidR="0001065E">
        <w:t>)</w:t>
      </w:r>
      <w:r>
        <w:t>, a member-owned operator which provides water infrastructure services in relation to more than 10 GL of water access entitlements</w:t>
      </w:r>
      <w:r w:rsidR="00EA4062">
        <w:t xml:space="preserve"> (WAE)</w:t>
      </w:r>
      <w:r>
        <w:t xml:space="preserve"> is required to have its infrastructure charges approved or determined by the ACCC or an accredited regulator for five years if they make financial distributions to all ‘related customers’ but not to other customers. This was intended to prevent operators from avoiding the non-discrimination provisions of the WCIR (rule 10), by requiring the regulated charges of operators that made such distributions to have their regulated charges approved by the ACCC or an accredited State Agency.</w:t>
      </w:r>
    </w:p>
    <w:p w:rsidR="00557E2D" w:rsidRDefault="00557E2D" w:rsidP="00557E2D">
      <w:r>
        <w:t xml:space="preserve">As noted in section 5.7 above, the ACCC considers this rule has been ineffective as operators </w:t>
      </w:r>
      <w:r w:rsidR="00674533">
        <w:t xml:space="preserve">are easily able to circumvent </w:t>
      </w:r>
      <w:r>
        <w:t>it by making distributions to all but one of its related customers.</w:t>
      </w:r>
      <w:r w:rsidR="00C6733C">
        <w:t xml:space="preserve"> </w:t>
      </w:r>
    </w:p>
    <w:p w:rsidR="00557E2D" w:rsidRDefault="00557E2D" w:rsidP="005B0005">
      <w:pPr>
        <w:keepNext/>
        <w:spacing w:after="120"/>
      </w:pPr>
      <w:r>
        <w:t>In its Draft Advice, the ACCC proposed a number of changes to Part 7. These included:</w:t>
      </w:r>
    </w:p>
    <w:p w:rsidR="00557E2D" w:rsidRDefault="00557E2D" w:rsidP="00A82DE6">
      <w:pPr>
        <w:pStyle w:val="Lvl1Bulletpoint"/>
      </w:pPr>
      <w:r>
        <w:t>applying Part 7 to all infrastructure operators</w:t>
      </w:r>
    </w:p>
    <w:p w:rsidR="00557E2D" w:rsidRDefault="00674533" w:rsidP="00A82DE6">
      <w:pPr>
        <w:pStyle w:val="Lvl1Bulletpoint"/>
      </w:pPr>
      <w:r>
        <w:t>clarifying that distributions of water were also covered</w:t>
      </w:r>
    </w:p>
    <w:p w:rsidR="00557E2D" w:rsidRDefault="00557E2D" w:rsidP="00A82DE6">
      <w:pPr>
        <w:pStyle w:val="Lvl1Bulletpoint"/>
      </w:pPr>
      <w:r>
        <w:t>providing a ‘safe harbour’ for certain types of distributions (‘standard distributions’). These included distributions made in proportion to the customer’s right of access; in proportion to the customer’s contribution to the replacement of infrastructure if the entirety of that money was unspent; and to customers in a specific area in the form of water, reflecting water savings in that area (in proportion to the customer’s right of access).</w:t>
      </w:r>
    </w:p>
    <w:p w:rsidR="00557E2D" w:rsidRDefault="00557E2D" w:rsidP="00A82DE6">
      <w:pPr>
        <w:pStyle w:val="Lvl1Bulletpoint"/>
      </w:pPr>
      <w:r>
        <w:t xml:space="preserve">allowing the ACCC to exempt an operator who has made a non-standard distribution from becoming a Part 7 operator in certain circumstances. </w:t>
      </w:r>
    </w:p>
    <w:p w:rsidR="00557E2D" w:rsidRDefault="00557E2D" w:rsidP="00A82DE6">
      <w:pPr>
        <w:pStyle w:val="Lvl1Bulletpoint"/>
      </w:pPr>
      <w:r>
        <w:t>infrastructure operators ceasing to be a Part 7 operator three years after it made the non</w:t>
      </w:r>
      <w:r>
        <w:noBreakHyphen/>
        <w:t>standard distribution</w:t>
      </w:r>
      <w:r w:rsidR="00674533">
        <w:t xml:space="preserve"> (instead of five years)</w:t>
      </w:r>
      <w:r>
        <w:t>.</w:t>
      </w:r>
      <w:r w:rsidR="00C6733C">
        <w:t xml:space="preserve"> </w:t>
      </w:r>
    </w:p>
    <w:p w:rsidR="00557E2D" w:rsidRDefault="00557E2D" w:rsidP="005B0005">
      <w:pPr>
        <w:spacing w:after="120"/>
      </w:pPr>
      <w:r>
        <w:t>In its Final Advice, the ACCC made a number of changes to the proposed Part 7. These changes:</w:t>
      </w:r>
    </w:p>
    <w:p w:rsidR="009C6EC6" w:rsidRDefault="009C6EC6" w:rsidP="005B0005">
      <w:pPr>
        <w:pStyle w:val="Lvl1Bulletpoint"/>
        <w:spacing w:after="0"/>
        <w:ind w:left="568" w:hanging="284"/>
      </w:pPr>
      <w:r>
        <w:t>limit the scope of ‘distributions’ by excluding</w:t>
      </w:r>
      <w:r w:rsidR="00CA2D82">
        <w:t xml:space="preserve"> </w:t>
      </w:r>
      <w:r>
        <w:t>money paid by an operator to a customer to incentivise network rationalisation</w:t>
      </w:r>
      <w:r w:rsidRPr="00A11FD7">
        <w:t xml:space="preserve"> </w:t>
      </w:r>
    </w:p>
    <w:p w:rsidR="0049305C" w:rsidRDefault="00071047" w:rsidP="00746B57">
      <w:pPr>
        <w:pStyle w:val="ListBullet"/>
        <w:tabs>
          <w:tab w:val="left" w:pos="567"/>
        </w:tabs>
        <w:spacing w:after="120" w:line="240" w:lineRule="auto"/>
        <w:ind w:left="284" w:firstLine="0"/>
      </w:pPr>
      <w:r>
        <w:t>p</w:t>
      </w:r>
      <w:r w:rsidR="009C6EC6">
        <w:t>rovide that a distribution can be considered a ‘standard distribution’ where it is</w:t>
      </w:r>
      <w:r w:rsidR="0049305C">
        <w:t>:</w:t>
      </w:r>
    </w:p>
    <w:p w:rsidR="0049305C" w:rsidRDefault="00557E2D" w:rsidP="00F43856">
      <w:pPr>
        <w:pStyle w:val="Lvl2Bulletpoint"/>
        <w:numPr>
          <w:ilvl w:val="2"/>
          <w:numId w:val="94"/>
        </w:numPr>
      </w:pPr>
      <w:r w:rsidRPr="009C6EC6">
        <w:t xml:space="preserve">made </w:t>
      </w:r>
      <w:r w:rsidR="00360C4F">
        <w:t xml:space="preserve">or offered </w:t>
      </w:r>
      <w:r w:rsidRPr="009C6EC6">
        <w:t xml:space="preserve">in proportion </w:t>
      </w:r>
      <w:r w:rsidR="009C6EC6">
        <w:t xml:space="preserve">to </w:t>
      </w:r>
      <w:r w:rsidR="0053045D">
        <w:t xml:space="preserve">either </w:t>
      </w:r>
      <w:r w:rsidR="00360C4F">
        <w:t xml:space="preserve">each customer’s </w:t>
      </w:r>
      <w:r w:rsidR="0053045D">
        <w:t xml:space="preserve">right of access, or their </w:t>
      </w:r>
      <w:r w:rsidR="00360C4F">
        <w:t xml:space="preserve">contributions to the </w:t>
      </w:r>
      <w:r w:rsidR="0053045D">
        <w:t xml:space="preserve">operator’s </w:t>
      </w:r>
      <w:r w:rsidR="00360C4F">
        <w:t xml:space="preserve">total revenue from charges levied per unit of water </w:t>
      </w:r>
      <w:r w:rsidR="0053045D">
        <w:t xml:space="preserve">delivery </w:t>
      </w:r>
      <w:r w:rsidR="00360C4F">
        <w:t>right held</w:t>
      </w:r>
      <w:r w:rsidRPr="009C6EC6">
        <w:t>;</w:t>
      </w:r>
      <w:r w:rsidR="0049305C" w:rsidRPr="0049305C">
        <w:t xml:space="preserve"> </w:t>
      </w:r>
    </w:p>
    <w:p w:rsidR="0049305C" w:rsidRDefault="006D744D" w:rsidP="00F43856">
      <w:pPr>
        <w:pStyle w:val="Lvl2Bulletpoint"/>
        <w:numPr>
          <w:ilvl w:val="2"/>
          <w:numId w:val="94"/>
        </w:numPr>
        <w:spacing w:after="0"/>
      </w:pPr>
      <w:r>
        <w:t>m</w:t>
      </w:r>
      <w:r w:rsidR="00360C4F">
        <w:t xml:space="preserve">ade in the form of a trade or allocation </w:t>
      </w:r>
      <w:r w:rsidR="0053045D">
        <w:t xml:space="preserve">of water </w:t>
      </w:r>
      <w:r w:rsidR="0049305C">
        <w:t xml:space="preserve">provided </w:t>
      </w:r>
      <w:r w:rsidR="008B2092">
        <w:t xml:space="preserve">the </w:t>
      </w:r>
      <w:r w:rsidR="0049305C">
        <w:t xml:space="preserve">water </w:t>
      </w:r>
      <w:r w:rsidR="0053045D">
        <w:t>wa</w:t>
      </w:r>
      <w:r w:rsidR="0049305C">
        <w:t>s offered to each customer on the same terms.</w:t>
      </w:r>
    </w:p>
    <w:p w:rsidR="00746B57" w:rsidRDefault="00360C4F" w:rsidP="00714D65">
      <w:pPr>
        <w:pStyle w:val="Lvl1Bulletpoint"/>
        <w:spacing w:before="0"/>
      </w:pPr>
      <w:r>
        <w:t xml:space="preserve">allow operators to ‘net off’ </w:t>
      </w:r>
      <w:r w:rsidR="00EF587D">
        <w:t xml:space="preserve">the value of </w:t>
      </w:r>
      <w:r>
        <w:t xml:space="preserve">distributions to be made to a customer against the money owed to the operator by the customer </w:t>
      </w:r>
    </w:p>
    <w:p w:rsidR="00557E2D" w:rsidRPr="009C6EC6" w:rsidRDefault="00360C4F" w:rsidP="00A82DE6">
      <w:pPr>
        <w:pStyle w:val="Lvl1Bulletpoint"/>
      </w:pPr>
      <w:r>
        <w:t>expand the scope of the exemptions mechanism to allow the ACCC to consider any terms, conditions, or obligations associated with the distribution</w:t>
      </w:r>
      <w:r w:rsidR="006D744D">
        <w:t>.</w:t>
      </w:r>
      <w:r>
        <w:t xml:space="preserve"> </w:t>
      </w:r>
    </w:p>
    <w:p w:rsidR="00360C4F" w:rsidRPr="006D744D" w:rsidRDefault="00714D65" w:rsidP="00A82DE6">
      <w:pPr>
        <w:pStyle w:val="Lvl1Bulletpoint"/>
      </w:pPr>
      <w:r>
        <w:t>e</w:t>
      </w:r>
      <w:r w:rsidR="0053045D">
        <w:t xml:space="preserve">xpressly </w:t>
      </w:r>
      <w:r w:rsidR="00360C4F" w:rsidRPr="006D744D">
        <w:t>allow the ACCC to have regard to distributions previously made and / or proposed to be made by the operator when approving or determining its charges under Part 7</w:t>
      </w:r>
      <w:r w:rsidR="006D744D" w:rsidRPr="006D744D">
        <w:t>.</w:t>
      </w:r>
    </w:p>
    <w:p w:rsidR="00557E2D" w:rsidRDefault="00557E2D" w:rsidP="006F2251">
      <w:r>
        <w:t>The changes in the Final Advice affect 25 operators</w:t>
      </w:r>
      <w:r w:rsidR="006F2251">
        <w:t xml:space="preserve"> across Groups 1, 2 and 3</w:t>
      </w:r>
      <w:r>
        <w:t xml:space="preserve">. The ACCC considers that its revised advice makes the revised Part 7 slightly more </w:t>
      </w:r>
      <w:r w:rsidR="0053045D">
        <w:t>detailed</w:t>
      </w:r>
      <w:r>
        <w:t xml:space="preserve">, and therefore operators will take slightly more time to time to understand it (compared to the Draft Advice). In its regulatory costings, the ACCC has allowed for four extra </w:t>
      </w:r>
      <w:r w:rsidR="0066471B">
        <w:t xml:space="preserve">‘start-up’ </w:t>
      </w:r>
      <w:r>
        <w:t xml:space="preserve">hours </w:t>
      </w:r>
      <w:r w:rsidR="0066471B">
        <w:t xml:space="preserve">for each </w:t>
      </w:r>
      <w:r>
        <w:t xml:space="preserve">Group </w:t>
      </w:r>
      <w:r w:rsidR="006F2251">
        <w:t>1</w:t>
      </w:r>
      <w:r>
        <w:t xml:space="preserve"> </w:t>
      </w:r>
      <w:r w:rsidR="0066471B">
        <w:t xml:space="preserve">operator </w:t>
      </w:r>
      <w:r>
        <w:t xml:space="preserve">to understand the revised Part 7 and two extra </w:t>
      </w:r>
      <w:r w:rsidR="000004FC">
        <w:t xml:space="preserve">‘start-up’ </w:t>
      </w:r>
      <w:r>
        <w:t xml:space="preserve">hours for </w:t>
      </w:r>
      <w:r w:rsidR="0066471B">
        <w:t xml:space="preserve">each </w:t>
      </w:r>
      <w:r>
        <w:t xml:space="preserve">Group </w:t>
      </w:r>
      <w:r w:rsidR="006F2251">
        <w:t>2</w:t>
      </w:r>
      <w:r w:rsidR="0066471B">
        <w:t xml:space="preserve"> and Group </w:t>
      </w:r>
      <w:r w:rsidR="006F2251">
        <w:t>3</w:t>
      </w:r>
      <w:r>
        <w:t xml:space="preserve"> operator. </w:t>
      </w:r>
    </w:p>
    <w:p w:rsidR="00557E2D" w:rsidRDefault="00557E2D" w:rsidP="00557E2D">
      <w:r>
        <w:t>Additionally, the ACCC acknowledges some ongoing costs</w:t>
      </w:r>
      <w:r w:rsidR="0066471B">
        <w:t xml:space="preserve"> will be incurred</w:t>
      </w:r>
      <w:r w:rsidR="004F6BD0">
        <w:t xml:space="preserve"> </w:t>
      </w:r>
      <w:r w:rsidR="0066471B">
        <w:t xml:space="preserve">due to the proposed changes to </w:t>
      </w:r>
      <w:r>
        <w:t xml:space="preserve">the operation of Part 7. Before an operator makes a distribution, it will need to ensure that the distribution does not result in the operator becoming a Part 7 operator. This ongoing cost was not considered in the Draft Advice but has been included in the assessment of regulatory cost for the Final Advice. </w:t>
      </w:r>
    </w:p>
    <w:p w:rsidR="007812EE" w:rsidRDefault="00557E2D" w:rsidP="00557E2D">
      <w:r>
        <w:t xml:space="preserve">The ACCC considers that the types of distributions large operators </w:t>
      </w:r>
      <w:r w:rsidR="0053045D">
        <w:t xml:space="preserve">may wish to </w:t>
      </w:r>
      <w:r>
        <w:t xml:space="preserve">make are likely to be more complex than ones that smaller operators </w:t>
      </w:r>
      <w:r w:rsidR="0053045D">
        <w:t xml:space="preserve">may wish to </w:t>
      </w:r>
      <w:r>
        <w:t>make</w:t>
      </w:r>
      <w:r w:rsidR="0066471B">
        <w:t>,</w:t>
      </w:r>
      <w:r>
        <w:t xml:space="preserve"> and has allocated the ongoing costs of the revised Part 7 accordingly. The ACCC has also assumed that larger operators are more likely to make distributions than smaller operators. The ACCC has calculated the annualised ongoing costs of the revised Part 7 provisions at $</w:t>
      </w:r>
      <w:r w:rsidR="0066471B">
        <w:t xml:space="preserve">4 555 </w:t>
      </w:r>
      <w:r>
        <w:t>per year.</w:t>
      </w:r>
      <w:r w:rsidR="0066471B">
        <w:t xml:space="preserve"> </w:t>
      </w:r>
    </w:p>
    <w:p w:rsidR="00557E2D" w:rsidRDefault="007812EE" w:rsidP="00557E2D">
      <w:r>
        <w:t>Note that, where</w:t>
      </w:r>
      <w:r w:rsidR="0066471B">
        <w:t xml:space="preserve"> operators make similar kinds of distributions each year,</w:t>
      </w:r>
      <w:r>
        <w:t xml:space="preserve"> in practice</w:t>
      </w:r>
      <w:r w:rsidR="0066471B">
        <w:t xml:space="preserve"> it will not be necessary</w:t>
      </w:r>
      <w:r w:rsidR="006F2251">
        <w:t xml:space="preserve"> for them</w:t>
      </w:r>
      <w:r w:rsidR="0066471B">
        <w:t xml:space="preserve"> to reassess </w:t>
      </w:r>
      <w:r w:rsidR="006F2251">
        <w:t xml:space="preserve">the distributions </w:t>
      </w:r>
      <w:r w:rsidR="0066471B">
        <w:t xml:space="preserve">each year. </w:t>
      </w:r>
      <w:r>
        <w:t>Thus, the number of assessments operators need to make (and the associated costs) could be expected to decline over time. However,</w:t>
      </w:r>
      <w:r w:rsidR="0066471B">
        <w:t xml:space="preserve"> this effect has not been taken into account </w:t>
      </w:r>
      <w:r>
        <w:t xml:space="preserve">in estimating the </w:t>
      </w:r>
      <w:r w:rsidR="0066471B">
        <w:t xml:space="preserve">regulatory costings </w:t>
      </w:r>
      <w:r>
        <w:t xml:space="preserve">presented in Table 9.8. These estimates </w:t>
      </w:r>
      <w:r w:rsidR="0066471B">
        <w:t xml:space="preserve">have been based on an assumed </w:t>
      </w:r>
      <w:r>
        <w:t xml:space="preserve">constant </w:t>
      </w:r>
      <w:r w:rsidR="0066471B">
        <w:t>average number of distributions made by an operator</w:t>
      </w:r>
      <w:r>
        <w:t xml:space="preserve"> each year during the 10 year assessment period</w:t>
      </w:r>
      <w:r w:rsidR="0066471B">
        <w:t xml:space="preserve">. Therefore, </w:t>
      </w:r>
      <w:r>
        <w:t xml:space="preserve">to the extent that in practice operators need to make fewer assessments in later years, </w:t>
      </w:r>
      <w:r w:rsidR="0066471B">
        <w:t>the estimates presented may over-estimate</w:t>
      </w:r>
      <w:r>
        <w:t xml:space="preserve"> the additional ongoing regulatory costs associated with the proposed changes to Part 7.</w:t>
      </w:r>
    </w:p>
    <w:p w:rsidR="00557E2D" w:rsidRPr="00B64690" w:rsidRDefault="00557E2D" w:rsidP="00557E2D">
      <w:pPr>
        <w:rPr>
          <w:b/>
        </w:rPr>
      </w:pPr>
      <w:r w:rsidRPr="00B53DB8">
        <w:t xml:space="preserve">The </w:t>
      </w:r>
      <w:r w:rsidR="00336D15">
        <w:t>N</w:t>
      </w:r>
      <w:r w:rsidRPr="00B53DB8">
        <w:t>IC considered that under the current Part 7 proposals that all infrastructure operators that make distributions will be Part 7 operators, so the costs of a regulatory approval</w:t>
      </w:r>
      <w:r>
        <w:t xml:space="preserve"> </w:t>
      </w:r>
      <w:r w:rsidRPr="00B53DB8">
        <w:t>/</w:t>
      </w:r>
      <w:r>
        <w:t xml:space="preserve"> de</w:t>
      </w:r>
      <w:r w:rsidRPr="00B53DB8">
        <w:t>termination should be accounted for in regulatory costings. The NIC stated that this cost was $200</w:t>
      </w:r>
      <w:r>
        <w:t> </w:t>
      </w:r>
      <w:r w:rsidRPr="00B53DB8">
        <w:t>000 per operator. This was based on the regulatory costs reported by WaterNSW in relation to its most recent approval/determination process.</w:t>
      </w:r>
      <w:r w:rsidRPr="00B53DB8">
        <w:rPr>
          <w:rStyle w:val="FootnoteReference"/>
        </w:rPr>
        <w:footnoteReference w:id="862"/>
      </w:r>
    </w:p>
    <w:p w:rsidR="00557E2D" w:rsidRDefault="00557E2D" w:rsidP="00557E2D">
      <w:r>
        <w:t>The ACCC has not included in i</w:t>
      </w:r>
      <w:r w:rsidR="007812EE">
        <w:t>ts regulatory cost calculations</w:t>
      </w:r>
      <w:r>
        <w:t xml:space="preserve"> the cost of approvals / determination </w:t>
      </w:r>
      <w:r w:rsidR="003F0099">
        <w:t xml:space="preserve">of </w:t>
      </w:r>
      <w:r>
        <w:t>infrastructure</w:t>
      </w:r>
      <w:r w:rsidR="00746B57">
        <w:t xml:space="preserve"> charges</w:t>
      </w:r>
      <w:r>
        <w:t xml:space="preserve">, as suggested by the NIC. For the reasons set out in section 5.7, the ACCC considers it is unlikely that any operators will become Part 7 operators. Further, for the reasons set out in that section, even if they did so, it is unlikely the costings will be anywhere near those experienced by WaterNSW at its previous approval / determination because price determination is much less onerous under Part 7 of the rules than under Part 6. </w:t>
      </w:r>
    </w:p>
    <w:p w:rsidR="00557E2D" w:rsidRDefault="00557E2D" w:rsidP="00557E2D">
      <w:r>
        <w:rPr>
          <w:rFonts w:cs="Times New Roman"/>
        </w:rPr>
        <w:t>The Final Advice proposals for distributions anticipate an increase in annualised costs of $</w:t>
      </w:r>
      <w:r w:rsidR="007812EE">
        <w:rPr>
          <w:rFonts w:cs="Times New Roman"/>
        </w:rPr>
        <w:t>9 202</w:t>
      </w:r>
      <w:r>
        <w:rPr>
          <w:rFonts w:cs="Times New Roman"/>
        </w:rPr>
        <w:t xml:space="preserve"> when compared with current water charge rules requirements (see Table 9.8 below). This </w:t>
      </w:r>
      <w:r>
        <w:t>compares with an annualised increase of $4215 estimated for the proposals in the Draft Advice</w:t>
      </w:r>
      <w:r>
        <w:rPr>
          <w:rFonts w:cs="Times New Roman"/>
        </w:rPr>
        <w:t>.</w:t>
      </w:r>
    </w:p>
    <w:p w:rsidR="00557E2D" w:rsidRPr="00F840AD" w:rsidRDefault="00557E2D" w:rsidP="00E560FF">
      <w:pPr>
        <w:pStyle w:val="Tabletitle"/>
      </w:pPr>
      <w:r w:rsidRPr="00F840AD">
        <w:t>Table 9.8—</w:t>
      </w:r>
      <w:r>
        <w:t>Net c</w:t>
      </w:r>
      <w:r w:rsidRPr="00F840AD">
        <w:t>hange in regulatory cost due to proposed changes to the Part 7 provisions</w:t>
      </w:r>
      <w:r>
        <w:t>—Final Advice compared with current WCIR requirements</w:t>
      </w:r>
    </w:p>
    <w:tbl>
      <w:tblPr>
        <w:tblStyle w:val="TableGrid"/>
        <w:tblW w:w="9275" w:type="dxa"/>
        <w:tblBorders>
          <w:insideH w:val="none" w:sz="0" w:space="0" w:color="auto"/>
          <w:insideV w:val="none" w:sz="0" w:space="0" w:color="auto"/>
        </w:tblBorders>
        <w:tblLayout w:type="fixed"/>
        <w:tblLook w:val="04A0" w:firstRow="1" w:lastRow="0" w:firstColumn="1" w:lastColumn="0" w:noHBand="0" w:noVBand="1"/>
      </w:tblPr>
      <w:tblGrid>
        <w:gridCol w:w="4842"/>
        <w:gridCol w:w="1035"/>
        <w:gridCol w:w="1182"/>
        <w:gridCol w:w="1182"/>
        <w:gridCol w:w="1034"/>
      </w:tblGrid>
      <w:tr w:rsidR="00557E2D" w:rsidTr="00C52AEB">
        <w:trPr>
          <w:trHeight w:val="377"/>
        </w:trPr>
        <w:tc>
          <w:tcPr>
            <w:tcW w:w="4842" w:type="dxa"/>
            <w:tcBorders>
              <w:bottom w:val="single" w:sz="4" w:space="0" w:color="auto"/>
            </w:tcBorders>
            <w:shd w:val="clear" w:color="auto" w:fill="D9D9D9" w:themeFill="background1" w:themeFillShade="D9"/>
          </w:tcPr>
          <w:p w:rsidR="00557E2D" w:rsidRDefault="00557E2D" w:rsidP="00E560FF">
            <w:pPr>
              <w:pStyle w:val="tabletext"/>
              <w:keepNext/>
            </w:pPr>
          </w:p>
        </w:tc>
        <w:tc>
          <w:tcPr>
            <w:tcW w:w="1035" w:type="dxa"/>
            <w:tcBorders>
              <w:bottom w:val="single" w:sz="4" w:space="0" w:color="auto"/>
            </w:tcBorders>
            <w:shd w:val="clear" w:color="auto" w:fill="D9D9D9" w:themeFill="background1" w:themeFillShade="D9"/>
            <w:vAlign w:val="center"/>
          </w:tcPr>
          <w:p w:rsidR="00557E2D" w:rsidRPr="0070226E" w:rsidRDefault="00557E2D" w:rsidP="00E560FF">
            <w:pPr>
              <w:pStyle w:val="tabletext"/>
              <w:keepNext/>
              <w:jc w:val="right"/>
              <w:rPr>
                <w:b/>
              </w:rPr>
            </w:pPr>
            <w:r w:rsidRPr="0070226E">
              <w:t>Group 1</w:t>
            </w:r>
          </w:p>
        </w:tc>
        <w:tc>
          <w:tcPr>
            <w:tcW w:w="1182" w:type="dxa"/>
            <w:tcBorders>
              <w:bottom w:val="single" w:sz="4" w:space="0" w:color="auto"/>
            </w:tcBorders>
            <w:shd w:val="clear" w:color="auto" w:fill="D9D9D9" w:themeFill="background1" w:themeFillShade="D9"/>
            <w:vAlign w:val="center"/>
          </w:tcPr>
          <w:p w:rsidR="00557E2D" w:rsidRPr="0070226E" w:rsidRDefault="00557E2D" w:rsidP="00E560FF">
            <w:pPr>
              <w:pStyle w:val="tabletext"/>
              <w:keepNext/>
              <w:jc w:val="right"/>
              <w:rPr>
                <w:b/>
              </w:rPr>
            </w:pPr>
            <w:r w:rsidRPr="0070226E">
              <w:t>Group 2</w:t>
            </w:r>
          </w:p>
        </w:tc>
        <w:tc>
          <w:tcPr>
            <w:tcW w:w="1182" w:type="dxa"/>
            <w:tcBorders>
              <w:bottom w:val="single" w:sz="4" w:space="0" w:color="auto"/>
              <w:right w:val="single" w:sz="4" w:space="0" w:color="auto"/>
            </w:tcBorders>
            <w:shd w:val="clear" w:color="auto" w:fill="D9D9D9" w:themeFill="background1" w:themeFillShade="D9"/>
            <w:vAlign w:val="center"/>
          </w:tcPr>
          <w:p w:rsidR="00557E2D" w:rsidRPr="0070226E" w:rsidRDefault="00557E2D" w:rsidP="00E560FF">
            <w:pPr>
              <w:pStyle w:val="tabletext"/>
              <w:keepNext/>
              <w:jc w:val="right"/>
              <w:rPr>
                <w:b/>
              </w:rPr>
            </w:pPr>
            <w:r w:rsidRPr="0070226E">
              <w:t>Group 3</w:t>
            </w:r>
          </w:p>
        </w:tc>
        <w:tc>
          <w:tcPr>
            <w:tcW w:w="1034" w:type="dxa"/>
            <w:tcBorders>
              <w:top w:val="single" w:sz="4" w:space="0" w:color="auto"/>
              <w:left w:val="single" w:sz="4" w:space="0" w:color="auto"/>
              <w:bottom w:val="single" w:sz="4" w:space="0" w:color="auto"/>
            </w:tcBorders>
            <w:shd w:val="clear" w:color="auto" w:fill="D9D9D9" w:themeFill="background1" w:themeFillShade="D9"/>
            <w:vAlign w:val="center"/>
          </w:tcPr>
          <w:p w:rsidR="00557E2D" w:rsidRPr="00BC62BC" w:rsidRDefault="00557E2D" w:rsidP="00E560FF">
            <w:pPr>
              <w:pStyle w:val="tabletext"/>
              <w:keepNext/>
              <w:jc w:val="right"/>
              <w:rPr>
                <w:b/>
              </w:rPr>
            </w:pPr>
            <w:r w:rsidRPr="00BC62BC">
              <w:rPr>
                <w:b/>
              </w:rPr>
              <w:t>Total</w:t>
            </w:r>
          </w:p>
        </w:tc>
      </w:tr>
      <w:tr w:rsidR="00557E2D" w:rsidTr="005B0005">
        <w:trPr>
          <w:trHeight w:val="377"/>
        </w:trPr>
        <w:tc>
          <w:tcPr>
            <w:tcW w:w="4842" w:type="dxa"/>
            <w:tcBorders>
              <w:top w:val="single" w:sz="4" w:space="0" w:color="auto"/>
              <w:bottom w:val="single" w:sz="4" w:space="0" w:color="auto"/>
            </w:tcBorders>
            <w:vAlign w:val="center"/>
          </w:tcPr>
          <w:p w:rsidR="00557E2D" w:rsidRPr="00BC62BC" w:rsidRDefault="00557E2D" w:rsidP="00E560FF">
            <w:pPr>
              <w:pStyle w:val="tabletext"/>
              <w:keepNext/>
              <w:rPr>
                <w:b/>
              </w:rPr>
            </w:pPr>
            <w:r w:rsidRPr="00BC62BC">
              <w:rPr>
                <w:b/>
              </w:rPr>
              <w:t>No. of affected operators</w:t>
            </w:r>
          </w:p>
        </w:tc>
        <w:tc>
          <w:tcPr>
            <w:tcW w:w="1035" w:type="dxa"/>
            <w:tcBorders>
              <w:top w:val="single" w:sz="4" w:space="0" w:color="auto"/>
              <w:bottom w:val="single" w:sz="4" w:space="0" w:color="auto"/>
            </w:tcBorders>
            <w:vAlign w:val="center"/>
          </w:tcPr>
          <w:p w:rsidR="00557E2D" w:rsidRDefault="00557E2D" w:rsidP="00E560FF">
            <w:pPr>
              <w:pStyle w:val="tabletext"/>
              <w:keepNext/>
              <w:jc w:val="right"/>
            </w:pPr>
            <w:r>
              <w:t>8</w:t>
            </w:r>
          </w:p>
        </w:tc>
        <w:tc>
          <w:tcPr>
            <w:tcW w:w="1182" w:type="dxa"/>
            <w:tcBorders>
              <w:top w:val="single" w:sz="4" w:space="0" w:color="auto"/>
              <w:bottom w:val="single" w:sz="4" w:space="0" w:color="auto"/>
            </w:tcBorders>
            <w:vAlign w:val="center"/>
          </w:tcPr>
          <w:p w:rsidR="00557E2D" w:rsidRDefault="00557E2D" w:rsidP="00E560FF">
            <w:pPr>
              <w:pStyle w:val="tabletext"/>
              <w:keepNext/>
              <w:jc w:val="right"/>
            </w:pPr>
            <w:r>
              <w:t>12</w:t>
            </w:r>
          </w:p>
        </w:tc>
        <w:tc>
          <w:tcPr>
            <w:tcW w:w="1182" w:type="dxa"/>
            <w:tcBorders>
              <w:top w:val="single" w:sz="4" w:space="0" w:color="auto"/>
              <w:bottom w:val="single" w:sz="4" w:space="0" w:color="auto"/>
              <w:right w:val="single" w:sz="4" w:space="0" w:color="auto"/>
            </w:tcBorders>
            <w:vAlign w:val="center"/>
          </w:tcPr>
          <w:p w:rsidR="00557E2D" w:rsidRDefault="00557E2D" w:rsidP="00E560FF">
            <w:pPr>
              <w:pStyle w:val="tabletext"/>
              <w:keepNext/>
              <w:jc w:val="right"/>
            </w:pPr>
            <w:r>
              <w:t>5</w:t>
            </w:r>
          </w:p>
        </w:tc>
        <w:tc>
          <w:tcPr>
            <w:tcW w:w="1034" w:type="dxa"/>
            <w:tcBorders>
              <w:top w:val="single" w:sz="4" w:space="0" w:color="auto"/>
              <w:left w:val="single" w:sz="4" w:space="0" w:color="auto"/>
              <w:bottom w:val="single" w:sz="4" w:space="0" w:color="auto"/>
            </w:tcBorders>
            <w:vAlign w:val="center"/>
          </w:tcPr>
          <w:p w:rsidR="00557E2D" w:rsidRPr="00A61BD0" w:rsidRDefault="00557E2D" w:rsidP="00E560FF">
            <w:pPr>
              <w:pStyle w:val="tabletext"/>
              <w:keepNext/>
              <w:jc w:val="right"/>
            </w:pPr>
            <w:r w:rsidRPr="00A61BD0">
              <w:t>25</w:t>
            </w:r>
          </w:p>
        </w:tc>
      </w:tr>
      <w:tr w:rsidR="00557E2D" w:rsidTr="005B0005">
        <w:trPr>
          <w:trHeight w:val="377"/>
        </w:trPr>
        <w:tc>
          <w:tcPr>
            <w:tcW w:w="9275" w:type="dxa"/>
            <w:gridSpan w:val="5"/>
            <w:tcBorders>
              <w:top w:val="single" w:sz="4" w:space="0" w:color="auto"/>
              <w:bottom w:val="single" w:sz="4" w:space="0" w:color="auto"/>
            </w:tcBorders>
            <w:vAlign w:val="center"/>
          </w:tcPr>
          <w:p w:rsidR="00557E2D" w:rsidRPr="00BC62BC" w:rsidRDefault="00557E2D" w:rsidP="00E560FF">
            <w:pPr>
              <w:pStyle w:val="tabletext"/>
              <w:keepNext/>
              <w:rPr>
                <w:b/>
              </w:rPr>
            </w:pPr>
            <w:r w:rsidRPr="00BC62BC">
              <w:rPr>
                <w:b/>
              </w:rPr>
              <w:t>Initial review of current policies and understanding ‘trigger’ and ‘safe harbour’ distributions</w:t>
            </w:r>
          </w:p>
        </w:tc>
      </w:tr>
      <w:tr w:rsidR="00557E2D" w:rsidTr="005B0005">
        <w:trPr>
          <w:trHeight w:val="377"/>
        </w:trPr>
        <w:tc>
          <w:tcPr>
            <w:tcW w:w="4842" w:type="dxa"/>
            <w:tcBorders>
              <w:top w:val="single" w:sz="4" w:space="0" w:color="auto"/>
              <w:bottom w:val="nil"/>
            </w:tcBorders>
            <w:vAlign w:val="center"/>
          </w:tcPr>
          <w:p w:rsidR="00557E2D" w:rsidRPr="00BC62BC" w:rsidRDefault="00557E2D" w:rsidP="00E560FF">
            <w:pPr>
              <w:pStyle w:val="tabletext"/>
              <w:keepNext/>
              <w:ind w:left="142"/>
            </w:pPr>
            <w:r w:rsidRPr="00BC62BC">
              <w:t>Average start-up hours per operator</w:t>
            </w:r>
          </w:p>
        </w:tc>
        <w:tc>
          <w:tcPr>
            <w:tcW w:w="1035" w:type="dxa"/>
            <w:tcBorders>
              <w:top w:val="single" w:sz="4" w:space="0" w:color="auto"/>
              <w:bottom w:val="nil"/>
            </w:tcBorders>
            <w:vAlign w:val="center"/>
          </w:tcPr>
          <w:p w:rsidR="00557E2D" w:rsidRDefault="00557E2D" w:rsidP="00E560FF">
            <w:pPr>
              <w:pStyle w:val="tabletext"/>
              <w:keepNext/>
              <w:jc w:val="right"/>
            </w:pPr>
            <w:r>
              <w:t>25</w:t>
            </w:r>
          </w:p>
        </w:tc>
        <w:tc>
          <w:tcPr>
            <w:tcW w:w="1182" w:type="dxa"/>
            <w:tcBorders>
              <w:top w:val="single" w:sz="4" w:space="0" w:color="auto"/>
              <w:bottom w:val="nil"/>
            </w:tcBorders>
            <w:vAlign w:val="center"/>
          </w:tcPr>
          <w:p w:rsidR="00557E2D" w:rsidRDefault="00557E2D" w:rsidP="00E560FF">
            <w:pPr>
              <w:pStyle w:val="tabletext"/>
              <w:keepNext/>
              <w:jc w:val="right"/>
            </w:pPr>
            <w:r>
              <w:t>30</w:t>
            </w:r>
          </w:p>
        </w:tc>
        <w:tc>
          <w:tcPr>
            <w:tcW w:w="1182" w:type="dxa"/>
            <w:tcBorders>
              <w:top w:val="single" w:sz="4" w:space="0" w:color="auto"/>
              <w:bottom w:val="nil"/>
              <w:right w:val="single" w:sz="4" w:space="0" w:color="auto"/>
            </w:tcBorders>
            <w:vAlign w:val="center"/>
          </w:tcPr>
          <w:p w:rsidR="00557E2D" w:rsidRDefault="00557E2D" w:rsidP="00E560FF">
            <w:pPr>
              <w:pStyle w:val="tabletext"/>
              <w:keepNext/>
              <w:jc w:val="right"/>
            </w:pPr>
            <w:r>
              <w:t>30</w:t>
            </w:r>
          </w:p>
        </w:tc>
        <w:tc>
          <w:tcPr>
            <w:tcW w:w="1034" w:type="dxa"/>
            <w:tcBorders>
              <w:top w:val="single" w:sz="4" w:space="0" w:color="auto"/>
              <w:left w:val="single" w:sz="4" w:space="0" w:color="auto"/>
              <w:bottom w:val="nil"/>
            </w:tcBorders>
            <w:shd w:val="clear" w:color="auto" w:fill="auto"/>
            <w:vAlign w:val="center"/>
          </w:tcPr>
          <w:p w:rsidR="00557E2D" w:rsidRPr="00A61BD0" w:rsidRDefault="00557E2D" w:rsidP="00E560FF">
            <w:pPr>
              <w:pStyle w:val="tabletext"/>
              <w:keepNext/>
              <w:jc w:val="right"/>
            </w:pPr>
          </w:p>
        </w:tc>
      </w:tr>
      <w:tr w:rsidR="00557E2D" w:rsidTr="005B0005">
        <w:trPr>
          <w:trHeight w:val="377"/>
        </w:trPr>
        <w:tc>
          <w:tcPr>
            <w:tcW w:w="4842" w:type="dxa"/>
            <w:tcBorders>
              <w:top w:val="nil"/>
              <w:bottom w:val="single" w:sz="4" w:space="0" w:color="auto"/>
            </w:tcBorders>
            <w:vAlign w:val="center"/>
          </w:tcPr>
          <w:p w:rsidR="00557E2D" w:rsidRPr="00A61BD0" w:rsidRDefault="00557E2D" w:rsidP="00E560FF">
            <w:pPr>
              <w:pStyle w:val="tabletext"/>
              <w:keepNext/>
              <w:ind w:left="142"/>
            </w:pPr>
            <w:r>
              <w:t>Annualised change in regulatory cost</w:t>
            </w:r>
          </w:p>
        </w:tc>
        <w:tc>
          <w:tcPr>
            <w:tcW w:w="1035" w:type="dxa"/>
            <w:tcBorders>
              <w:top w:val="nil"/>
              <w:bottom w:val="single" w:sz="4" w:space="0" w:color="auto"/>
            </w:tcBorders>
            <w:vAlign w:val="center"/>
          </w:tcPr>
          <w:p w:rsidR="00557E2D" w:rsidRPr="00F162EA" w:rsidRDefault="00557E2D" w:rsidP="00E560FF">
            <w:pPr>
              <w:pStyle w:val="tabletext"/>
              <w:keepNext/>
              <w:jc w:val="right"/>
            </w:pPr>
            <w:r w:rsidRPr="00F162EA">
              <w:t xml:space="preserve">$1 </w:t>
            </w:r>
            <w:r>
              <w:t>309</w:t>
            </w:r>
          </w:p>
        </w:tc>
        <w:tc>
          <w:tcPr>
            <w:tcW w:w="1182" w:type="dxa"/>
            <w:tcBorders>
              <w:top w:val="nil"/>
              <w:bottom w:val="single" w:sz="4" w:space="0" w:color="auto"/>
            </w:tcBorders>
            <w:vAlign w:val="center"/>
          </w:tcPr>
          <w:p w:rsidR="00557E2D" w:rsidRPr="00F162EA" w:rsidRDefault="00557E2D" w:rsidP="00E560FF">
            <w:pPr>
              <w:pStyle w:val="tabletext"/>
              <w:keepNext/>
              <w:jc w:val="right"/>
            </w:pPr>
            <w:r w:rsidRPr="00F162EA">
              <w:t xml:space="preserve">$2 </w:t>
            </w:r>
            <w:r>
              <w:t>356</w:t>
            </w:r>
          </w:p>
        </w:tc>
        <w:tc>
          <w:tcPr>
            <w:tcW w:w="1182" w:type="dxa"/>
            <w:tcBorders>
              <w:top w:val="nil"/>
              <w:bottom w:val="single" w:sz="4" w:space="0" w:color="auto"/>
              <w:right w:val="single" w:sz="4" w:space="0" w:color="auto"/>
            </w:tcBorders>
            <w:vAlign w:val="center"/>
          </w:tcPr>
          <w:p w:rsidR="00557E2D" w:rsidRPr="00F162EA" w:rsidRDefault="00557E2D" w:rsidP="00E560FF">
            <w:pPr>
              <w:pStyle w:val="tabletext"/>
              <w:keepNext/>
              <w:jc w:val="right"/>
            </w:pPr>
            <w:r w:rsidRPr="00F162EA">
              <w:t>$</w:t>
            </w:r>
            <w:r>
              <w:t>982</w:t>
            </w:r>
          </w:p>
        </w:tc>
        <w:tc>
          <w:tcPr>
            <w:tcW w:w="1034" w:type="dxa"/>
            <w:tcBorders>
              <w:top w:val="nil"/>
              <w:left w:val="single" w:sz="4" w:space="0" w:color="auto"/>
              <w:bottom w:val="single" w:sz="4" w:space="0" w:color="auto"/>
            </w:tcBorders>
            <w:vAlign w:val="center"/>
          </w:tcPr>
          <w:p w:rsidR="00557E2D" w:rsidRPr="00CA6702" w:rsidRDefault="00557E2D" w:rsidP="00E560FF">
            <w:pPr>
              <w:pStyle w:val="tabletext"/>
              <w:keepNext/>
              <w:jc w:val="right"/>
              <w:rPr>
                <w:b/>
              </w:rPr>
            </w:pPr>
            <w:r w:rsidRPr="00CA6702">
              <w:rPr>
                <w:b/>
              </w:rPr>
              <w:t>$</w:t>
            </w:r>
            <w:r>
              <w:rPr>
                <w:b/>
              </w:rPr>
              <w:t>4 647</w:t>
            </w:r>
          </w:p>
        </w:tc>
      </w:tr>
      <w:tr w:rsidR="00557E2D" w:rsidTr="005B0005">
        <w:trPr>
          <w:trHeight w:val="377"/>
        </w:trPr>
        <w:tc>
          <w:tcPr>
            <w:tcW w:w="9275" w:type="dxa"/>
            <w:gridSpan w:val="5"/>
            <w:tcBorders>
              <w:top w:val="single" w:sz="4" w:space="0" w:color="auto"/>
              <w:bottom w:val="single" w:sz="4" w:space="0" w:color="auto"/>
            </w:tcBorders>
            <w:vAlign w:val="center"/>
          </w:tcPr>
          <w:p w:rsidR="00557E2D" w:rsidRPr="00A61BD0" w:rsidRDefault="00557E2D" w:rsidP="00E560FF">
            <w:pPr>
              <w:pStyle w:val="tabletext"/>
              <w:keepNext/>
            </w:pPr>
            <w:r w:rsidRPr="00BC62BC">
              <w:rPr>
                <w:b/>
              </w:rPr>
              <w:t>Ongoing Costs</w:t>
            </w:r>
          </w:p>
        </w:tc>
      </w:tr>
      <w:tr w:rsidR="00557E2D" w:rsidTr="005B0005">
        <w:trPr>
          <w:trHeight w:val="377"/>
        </w:trPr>
        <w:tc>
          <w:tcPr>
            <w:tcW w:w="4842" w:type="dxa"/>
            <w:tcBorders>
              <w:top w:val="single" w:sz="4" w:space="0" w:color="auto"/>
              <w:bottom w:val="nil"/>
            </w:tcBorders>
            <w:vAlign w:val="center"/>
          </w:tcPr>
          <w:p w:rsidR="00557E2D" w:rsidRPr="00BC62BC" w:rsidRDefault="00557E2D" w:rsidP="00E560FF">
            <w:pPr>
              <w:pStyle w:val="tabletext"/>
              <w:keepNext/>
              <w:ind w:left="142"/>
            </w:pPr>
            <w:r w:rsidRPr="00BC62BC">
              <w:t xml:space="preserve">Average annual hours per operator </w:t>
            </w:r>
          </w:p>
        </w:tc>
        <w:tc>
          <w:tcPr>
            <w:tcW w:w="1035" w:type="dxa"/>
            <w:tcBorders>
              <w:top w:val="single" w:sz="4" w:space="0" w:color="auto"/>
              <w:bottom w:val="nil"/>
            </w:tcBorders>
            <w:vAlign w:val="center"/>
          </w:tcPr>
          <w:p w:rsidR="00557E2D" w:rsidRDefault="00557E2D" w:rsidP="00E560FF">
            <w:pPr>
              <w:pStyle w:val="tabletext"/>
              <w:keepNext/>
              <w:jc w:val="right"/>
            </w:pPr>
            <w:r>
              <w:t>4</w:t>
            </w:r>
          </w:p>
        </w:tc>
        <w:tc>
          <w:tcPr>
            <w:tcW w:w="1182" w:type="dxa"/>
            <w:tcBorders>
              <w:top w:val="single" w:sz="4" w:space="0" w:color="auto"/>
              <w:bottom w:val="nil"/>
            </w:tcBorders>
            <w:vAlign w:val="center"/>
          </w:tcPr>
          <w:p w:rsidR="00557E2D" w:rsidRDefault="00557E2D" w:rsidP="00E560FF">
            <w:pPr>
              <w:pStyle w:val="tabletext"/>
              <w:keepNext/>
              <w:jc w:val="right"/>
            </w:pPr>
            <w:r>
              <w:t>5</w:t>
            </w:r>
          </w:p>
        </w:tc>
        <w:tc>
          <w:tcPr>
            <w:tcW w:w="1182" w:type="dxa"/>
            <w:tcBorders>
              <w:top w:val="single" w:sz="4" w:space="0" w:color="auto"/>
              <w:bottom w:val="nil"/>
              <w:right w:val="single" w:sz="4" w:space="0" w:color="auto"/>
            </w:tcBorders>
            <w:vAlign w:val="center"/>
          </w:tcPr>
          <w:p w:rsidR="00557E2D" w:rsidRDefault="00557E2D" w:rsidP="00E560FF">
            <w:pPr>
              <w:pStyle w:val="tabletext"/>
              <w:keepNext/>
              <w:jc w:val="right"/>
            </w:pPr>
            <w:r>
              <w:t>6</w:t>
            </w:r>
          </w:p>
        </w:tc>
        <w:tc>
          <w:tcPr>
            <w:tcW w:w="1034" w:type="dxa"/>
            <w:tcBorders>
              <w:top w:val="single" w:sz="4" w:space="0" w:color="auto"/>
              <w:left w:val="single" w:sz="4" w:space="0" w:color="auto"/>
              <w:bottom w:val="nil"/>
            </w:tcBorders>
            <w:vAlign w:val="center"/>
          </w:tcPr>
          <w:p w:rsidR="00557E2D" w:rsidRPr="00A61BD0" w:rsidRDefault="00557E2D" w:rsidP="00E560FF">
            <w:pPr>
              <w:pStyle w:val="tabletext"/>
              <w:keepNext/>
              <w:jc w:val="right"/>
            </w:pPr>
          </w:p>
        </w:tc>
      </w:tr>
      <w:tr w:rsidR="00557E2D" w:rsidTr="005B0005">
        <w:trPr>
          <w:trHeight w:val="393"/>
        </w:trPr>
        <w:tc>
          <w:tcPr>
            <w:tcW w:w="4842" w:type="dxa"/>
            <w:tcBorders>
              <w:top w:val="nil"/>
              <w:bottom w:val="nil"/>
            </w:tcBorders>
            <w:vAlign w:val="center"/>
          </w:tcPr>
          <w:p w:rsidR="00557E2D" w:rsidRPr="00BC62BC" w:rsidRDefault="00557E2D" w:rsidP="00E560FF">
            <w:pPr>
              <w:pStyle w:val="tabletext"/>
              <w:keepNext/>
              <w:ind w:left="142"/>
            </w:pPr>
            <w:r w:rsidRPr="00BC62BC">
              <w:t>Average annual no. distributions made</w:t>
            </w:r>
          </w:p>
        </w:tc>
        <w:tc>
          <w:tcPr>
            <w:tcW w:w="1035" w:type="dxa"/>
            <w:tcBorders>
              <w:top w:val="nil"/>
              <w:bottom w:val="nil"/>
            </w:tcBorders>
            <w:vAlign w:val="center"/>
          </w:tcPr>
          <w:p w:rsidR="00557E2D" w:rsidRDefault="00557E2D" w:rsidP="00E560FF">
            <w:pPr>
              <w:pStyle w:val="tabletext"/>
              <w:keepNext/>
              <w:jc w:val="right"/>
            </w:pPr>
            <w:r>
              <w:t>0.3</w:t>
            </w:r>
          </w:p>
        </w:tc>
        <w:tc>
          <w:tcPr>
            <w:tcW w:w="1182" w:type="dxa"/>
            <w:tcBorders>
              <w:top w:val="nil"/>
              <w:bottom w:val="nil"/>
            </w:tcBorders>
            <w:vAlign w:val="center"/>
          </w:tcPr>
          <w:p w:rsidR="00557E2D" w:rsidRDefault="00557E2D" w:rsidP="00E560FF">
            <w:pPr>
              <w:pStyle w:val="tabletext"/>
              <w:keepNext/>
              <w:jc w:val="right"/>
            </w:pPr>
            <w:r>
              <w:t>0.5</w:t>
            </w:r>
          </w:p>
        </w:tc>
        <w:tc>
          <w:tcPr>
            <w:tcW w:w="1182" w:type="dxa"/>
            <w:tcBorders>
              <w:top w:val="nil"/>
              <w:bottom w:val="nil"/>
              <w:right w:val="single" w:sz="4" w:space="0" w:color="auto"/>
            </w:tcBorders>
            <w:vAlign w:val="center"/>
          </w:tcPr>
          <w:p w:rsidR="00557E2D" w:rsidRDefault="00557E2D" w:rsidP="00E560FF">
            <w:pPr>
              <w:pStyle w:val="tabletext"/>
              <w:keepNext/>
              <w:jc w:val="right"/>
            </w:pPr>
            <w:r>
              <w:t>1</w:t>
            </w:r>
          </w:p>
        </w:tc>
        <w:tc>
          <w:tcPr>
            <w:tcW w:w="1034" w:type="dxa"/>
            <w:tcBorders>
              <w:top w:val="nil"/>
              <w:left w:val="single" w:sz="4" w:space="0" w:color="auto"/>
              <w:bottom w:val="nil"/>
            </w:tcBorders>
            <w:vAlign w:val="center"/>
          </w:tcPr>
          <w:p w:rsidR="00557E2D" w:rsidRPr="00A61BD0" w:rsidRDefault="00557E2D" w:rsidP="00E560FF">
            <w:pPr>
              <w:pStyle w:val="tabletext"/>
              <w:keepNext/>
              <w:jc w:val="right"/>
            </w:pPr>
          </w:p>
        </w:tc>
      </w:tr>
      <w:tr w:rsidR="00557E2D" w:rsidTr="005B0005">
        <w:trPr>
          <w:trHeight w:val="628"/>
        </w:trPr>
        <w:tc>
          <w:tcPr>
            <w:tcW w:w="4842" w:type="dxa"/>
            <w:tcBorders>
              <w:top w:val="nil"/>
              <w:bottom w:val="single" w:sz="4" w:space="0" w:color="auto"/>
            </w:tcBorders>
            <w:vAlign w:val="center"/>
          </w:tcPr>
          <w:p w:rsidR="00557E2D" w:rsidRDefault="00557E2D" w:rsidP="00E560FF">
            <w:pPr>
              <w:pStyle w:val="tabletext"/>
              <w:keepNext/>
              <w:ind w:left="142"/>
            </w:pPr>
            <w:r>
              <w:t xml:space="preserve">Annualised change in regulatory cost </w:t>
            </w:r>
          </w:p>
        </w:tc>
        <w:tc>
          <w:tcPr>
            <w:tcW w:w="1035" w:type="dxa"/>
            <w:tcBorders>
              <w:top w:val="nil"/>
              <w:bottom w:val="single" w:sz="4" w:space="0" w:color="auto"/>
            </w:tcBorders>
            <w:vAlign w:val="center"/>
          </w:tcPr>
          <w:p w:rsidR="00557E2D" w:rsidRPr="00F162EA" w:rsidRDefault="00557E2D" w:rsidP="007812EE">
            <w:pPr>
              <w:pStyle w:val="tabletext"/>
              <w:keepNext/>
              <w:jc w:val="right"/>
            </w:pPr>
            <w:r w:rsidRPr="00F162EA">
              <w:t>$</w:t>
            </w:r>
            <w:r w:rsidR="007812EE">
              <w:t>628</w:t>
            </w:r>
          </w:p>
        </w:tc>
        <w:tc>
          <w:tcPr>
            <w:tcW w:w="1182" w:type="dxa"/>
            <w:tcBorders>
              <w:top w:val="nil"/>
              <w:bottom w:val="single" w:sz="4" w:space="0" w:color="auto"/>
            </w:tcBorders>
            <w:vAlign w:val="center"/>
          </w:tcPr>
          <w:p w:rsidR="00557E2D" w:rsidRPr="00F162EA" w:rsidRDefault="00557E2D" w:rsidP="007812EE">
            <w:pPr>
              <w:pStyle w:val="tabletext"/>
              <w:keepNext/>
              <w:jc w:val="right"/>
            </w:pPr>
            <w:r w:rsidRPr="00F162EA">
              <w:t>$</w:t>
            </w:r>
            <w:r w:rsidR="007812EE">
              <w:t>1 964</w:t>
            </w:r>
          </w:p>
        </w:tc>
        <w:tc>
          <w:tcPr>
            <w:tcW w:w="1182" w:type="dxa"/>
            <w:tcBorders>
              <w:top w:val="nil"/>
              <w:bottom w:val="single" w:sz="4" w:space="0" w:color="auto"/>
              <w:right w:val="single" w:sz="4" w:space="0" w:color="auto"/>
            </w:tcBorders>
            <w:vAlign w:val="center"/>
          </w:tcPr>
          <w:p w:rsidR="00557E2D" w:rsidRPr="00F162EA" w:rsidRDefault="00557E2D" w:rsidP="007812EE">
            <w:pPr>
              <w:pStyle w:val="tabletext"/>
              <w:keepNext/>
              <w:jc w:val="right"/>
            </w:pPr>
            <w:r w:rsidRPr="00F162EA">
              <w:t>$</w:t>
            </w:r>
            <w:r w:rsidR="007812EE">
              <w:t>1 964</w:t>
            </w:r>
          </w:p>
        </w:tc>
        <w:tc>
          <w:tcPr>
            <w:tcW w:w="1034" w:type="dxa"/>
            <w:tcBorders>
              <w:top w:val="nil"/>
              <w:left w:val="single" w:sz="4" w:space="0" w:color="auto"/>
              <w:bottom w:val="single" w:sz="4" w:space="0" w:color="auto"/>
            </w:tcBorders>
            <w:vAlign w:val="center"/>
          </w:tcPr>
          <w:p w:rsidR="00557E2D" w:rsidRPr="00CA6702" w:rsidRDefault="00557E2D" w:rsidP="007812EE">
            <w:pPr>
              <w:pStyle w:val="tabletext"/>
              <w:keepNext/>
              <w:jc w:val="right"/>
              <w:rPr>
                <w:b/>
              </w:rPr>
            </w:pPr>
            <w:r>
              <w:rPr>
                <w:b/>
              </w:rPr>
              <w:t>$</w:t>
            </w:r>
            <w:r w:rsidR="007812EE">
              <w:rPr>
                <w:b/>
              </w:rPr>
              <w:t>4 555</w:t>
            </w:r>
          </w:p>
        </w:tc>
      </w:tr>
      <w:tr w:rsidR="00557E2D" w:rsidTr="005B0005">
        <w:trPr>
          <w:trHeight w:val="393"/>
        </w:trPr>
        <w:tc>
          <w:tcPr>
            <w:tcW w:w="4842" w:type="dxa"/>
            <w:tcBorders>
              <w:top w:val="single" w:sz="4" w:space="0" w:color="auto"/>
            </w:tcBorders>
            <w:vAlign w:val="center"/>
          </w:tcPr>
          <w:p w:rsidR="00557E2D" w:rsidRPr="00BC62BC" w:rsidRDefault="00557E2D" w:rsidP="0098578F">
            <w:pPr>
              <w:pStyle w:val="tabletext"/>
              <w:rPr>
                <w:b/>
              </w:rPr>
            </w:pPr>
            <w:r w:rsidRPr="00BC62BC">
              <w:rPr>
                <w:b/>
              </w:rPr>
              <w:t>Total net annualised change in regulatory cost ($/yr)</w:t>
            </w:r>
          </w:p>
        </w:tc>
        <w:tc>
          <w:tcPr>
            <w:tcW w:w="1035" w:type="dxa"/>
            <w:tcBorders>
              <w:top w:val="single" w:sz="4" w:space="0" w:color="auto"/>
            </w:tcBorders>
            <w:vAlign w:val="bottom"/>
          </w:tcPr>
          <w:p w:rsidR="00557E2D" w:rsidRPr="00F162EA" w:rsidRDefault="00557E2D" w:rsidP="007812EE">
            <w:pPr>
              <w:pStyle w:val="tabletext"/>
              <w:jc w:val="right"/>
            </w:pPr>
            <w:r w:rsidRPr="00F162EA">
              <w:t>$</w:t>
            </w:r>
            <w:r w:rsidR="007812EE">
              <w:t>1 937</w:t>
            </w:r>
          </w:p>
        </w:tc>
        <w:tc>
          <w:tcPr>
            <w:tcW w:w="1182" w:type="dxa"/>
            <w:tcBorders>
              <w:top w:val="single" w:sz="4" w:space="0" w:color="auto"/>
            </w:tcBorders>
            <w:vAlign w:val="bottom"/>
          </w:tcPr>
          <w:p w:rsidR="00557E2D" w:rsidRPr="00F162EA" w:rsidRDefault="00557E2D" w:rsidP="007812EE">
            <w:pPr>
              <w:pStyle w:val="tabletext"/>
              <w:jc w:val="right"/>
            </w:pPr>
            <w:r w:rsidRPr="00F162EA">
              <w:t>$</w:t>
            </w:r>
            <w:r w:rsidR="007812EE">
              <w:t>4 320</w:t>
            </w:r>
          </w:p>
        </w:tc>
        <w:tc>
          <w:tcPr>
            <w:tcW w:w="1182" w:type="dxa"/>
            <w:tcBorders>
              <w:top w:val="single" w:sz="4" w:space="0" w:color="auto"/>
              <w:right w:val="single" w:sz="4" w:space="0" w:color="auto"/>
            </w:tcBorders>
            <w:vAlign w:val="bottom"/>
          </w:tcPr>
          <w:p w:rsidR="00557E2D" w:rsidRPr="00F162EA" w:rsidRDefault="00557E2D" w:rsidP="007812EE">
            <w:pPr>
              <w:pStyle w:val="tabletext"/>
              <w:jc w:val="right"/>
            </w:pPr>
            <w:r w:rsidRPr="00F162EA">
              <w:t>$</w:t>
            </w:r>
            <w:r w:rsidR="007812EE">
              <w:t>2 945</w:t>
            </w:r>
          </w:p>
        </w:tc>
        <w:tc>
          <w:tcPr>
            <w:tcW w:w="1034" w:type="dxa"/>
            <w:tcBorders>
              <w:top w:val="single" w:sz="4" w:space="0" w:color="auto"/>
              <w:left w:val="single" w:sz="4" w:space="0" w:color="auto"/>
              <w:bottom w:val="single" w:sz="4" w:space="0" w:color="auto"/>
            </w:tcBorders>
            <w:vAlign w:val="bottom"/>
          </w:tcPr>
          <w:p w:rsidR="00557E2D" w:rsidRPr="00F162EA" w:rsidRDefault="00557E2D" w:rsidP="007812EE">
            <w:pPr>
              <w:pStyle w:val="tabletext"/>
              <w:jc w:val="right"/>
              <w:rPr>
                <w:b/>
              </w:rPr>
            </w:pPr>
            <w:r w:rsidRPr="00F162EA">
              <w:rPr>
                <w:b/>
              </w:rPr>
              <w:t>$</w:t>
            </w:r>
            <w:r w:rsidR="007812EE">
              <w:rPr>
                <w:b/>
              </w:rPr>
              <w:t>9 202</w:t>
            </w:r>
          </w:p>
        </w:tc>
      </w:tr>
    </w:tbl>
    <w:p w:rsidR="00557E2D" w:rsidRDefault="00557E2D" w:rsidP="00557E2D">
      <w:pPr>
        <w:pStyle w:val="Heading2"/>
        <w:spacing w:after="240"/>
      </w:pPr>
      <w:bookmarkStart w:id="1504" w:name="_Toc456785855"/>
      <w:bookmarkStart w:id="1505" w:name="_Toc461630767"/>
      <w:r>
        <w:t>Proposed amendments regarding termination fees</w:t>
      </w:r>
      <w:bookmarkEnd w:id="1504"/>
      <w:bookmarkEnd w:id="1505"/>
    </w:p>
    <w:p w:rsidR="00557E2D" w:rsidRDefault="00557E2D" w:rsidP="00557E2D">
      <w:r>
        <w:t xml:space="preserve">The existing </w:t>
      </w:r>
      <w:r w:rsidRPr="00524D9F">
        <w:t>Water Charge (Termination Fee</w:t>
      </w:r>
      <w:r w:rsidR="00FE5641">
        <w:t>s</w:t>
      </w:r>
      <w:r w:rsidRPr="00524D9F">
        <w:t>) Rules 2009</w:t>
      </w:r>
      <w:r w:rsidR="00DE74BD">
        <w:t xml:space="preserve"> (WCTFR)</w:t>
      </w:r>
      <w:r>
        <w:t xml:space="preserve"> only apply to irrigation infrastructure operators</w:t>
      </w:r>
      <w:r w:rsidR="004B070D">
        <w:t xml:space="preserve"> (IIOs)</w:t>
      </w:r>
      <w:r>
        <w:t>. The Draft Advice sought to expand these provisions from IIOs to infrastructure operators more generally. This would result in four more operators being subject to the termination fee rules.</w:t>
      </w:r>
      <w:r w:rsidRPr="00A176E1">
        <w:t xml:space="preserve"> </w:t>
      </w:r>
    </w:p>
    <w:p w:rsidR="00557E2D" w:rsidRPr="00E42068" w:rsidRDefault="00557E2D" w:rsidP="00557E2D">
      <w:r>
        <w:t xml:space="preserve">However, currently, operators that are an infrastructure operator but not an IIO generally do not impose a termination fee as the right to delivery is still bundled with the right to water in the most of the </w:t>
      </w:r>
      <w:r w:rsidR="00783600">
        <w:t>Murray-Darling Basin (</w:t>
      </w:r>
      <w:r>
        <w:t>MDB</w:t>
      </w:r>
      <w:r w:rsidR="00783600">
        <w:t>)</w:t>
      </w:r>
      <w:r>
        <w:t xml:space="preserve"> (see section 6.1). As such, because further unbundling is unlikely in the foreseeable future, the change in regulatory cost for these four operators now subject to the termination fee provisions is estimated to be zero.</w:t>
      </w:r>
      <w:r w:rsidR="00C6733C">
        <w:t xml:space="preserve"> </w:t>
      </w:r>
    </w:p>
    <w:p w:rsidR="00557E2D" w:rsidRDefault="00557E2D" w:rsidP="00557E2D">
      <w:pPr>
        <w:pStyle w:val="Heading3"/>
      </w:pPr>
      <w:bookmarkStart w:id="1506" w:name="_Toc456785856"/>
      <w:bookmarkStart w:id="1507" w:name="_Toc461630768"/>
      <w:r>
        <w:t>Method of Calculating Termination Fees</w:t>
      </w:r>
      <w:bookmarkEnd w:id="1506"/>
      <w:bookmarkEnd w:id="1507"/>
    </w:p>
    <w:p w:rsidR="00557E2D" w:rsidRDefault="00557E2D" w:rsidP="00557E2D">
      <w:pPr>
        <w:rPr>
          <w:color w:val="000000"/>
          <w:szCs w:val="24"/>
        </w:rPr>
      </w:pPr>
      <w:r>
        <w:rPr>
          <w:color w:val="000000"/>
          <w:szCs w:val="24"/>
        </w:rPr>
        <w:t xml:space="preserve">Under the </w:t>
      </w:r>
      <w:r w:rsidRPr="00524D9F">
        <w:rPr>
          <w:color w:val="000000"/>
          <w:szCs w:val="24"/>
        </w:rPr>
        <w:t>Water Charge (Termination Fee</w:t>
      </w:r>
      <w:r w:rsidR="00FE5641">
        <w:rPr>
          <w:color w:val="000000"/>
          <w:szCs w:val="24"/>
        </w:rPr>
        <w:t>s</w:t>
      </w:r>
      <w:r w:rsidRPr="00524D9F">
        <w:rPr>
          <w:color w:val="000000"/>
          <w:szCs w:val="24"/>
        </w:rPr>
        <w:t xml:space="preserve">) Rules 2009 </w:t>
      </w:r>
      <w:r>
        <w:rPr>
          <w:color w:val="000000"/>
          <w:szCs w:val="24"/>
        </w:rPr>
        <w:t xml:space="preserve">(WCTFR), the maximum applicable termination fee is, in most cases, 10 times </w:t>
      </w:r>
      <w:r w:rsidRPr="005E1AA6">
        <w:rPr>
          <w:color w:val="000000"/>
          <w:szCs w:val="24"/>
        </w:rPr>
        <w:t xml:space="preserve">the </w:t>
      </w:r>
      <w:r>
        <w:rPr>
          <w:color w:val="000000"/>
          <w:szCs w:val="24"/>
        </w:rPr>
        <w:t xml:space="preserve">total network access charge (TNAC). TNAC refers to </w:t>
      </w:r>
      <w:r w:rsidRPr="00FE1CDA">
        <w:rPr>
          <w:color w:val="000000"/>
          <w:szCs w:val="24"/>
        </w:rPr>
        <w:t>all fixed charges</w:t>
      </w:r>
      <w:r>
        <w:rPr>
          <w:color w:val="000000"/>
          <w:szCs w:val="24"/>
        </w:rPr>
        <w:t xml:space="preserve"> payable by </w:t>
      </w:r>
      <w:r w:rsidRPr="00FE1CDA">
        <w:rPr>
          <w:color w:val="000000"/>
          <w:szCs w:val="24"/>
        </w:rPr>
        <w:t xml:space="preserve">an irrigator </w:t>
      </w:r>
      <w:r>
        <w:rPr>
          <w:color w:val="000000"/>
          <w:szCs w:val="24"/>
        </w:rPr>
        <w:t xml:space="preserve">to </w:t>
      </w:r>
      <w:r w:rsidRPr="00FE1CDA">
        <w:rPr>
          <w:color w:val="000000"/>
          <w:szCs w:val="24"/>
        </w:rPr>
        <w:t>an operator</w:t>
      </w:r>
      <w:r>
        <w:rPr>
          <w:color w:val="000000"/>
          <w:szCs w:val="24"/>
        </w:rPr>
        <w:t xml:space="preserve"> in the financial year in which notice is given or in which termination takes effect. However, TNAC </w:t>
      </w:r>
      <w:r w:rsidRPr="00FE1CDA">
        <w:rPr>
          <w:color w:val="000000"/>
          <w:szCs w:val="24"/>
        </w:rPr>
        <w:t>excludes charges levied by reference to the</w:t>
      </w:r>
      <w:r>
        <w:rPr>
          <w:color w:val="000000"/>
          <w:szCs w:val="24"/>
        </w:rPr>
        <w:t xml:space="preserve"> </w:t>
      </w:r>
      <w:r w:rsidRPr="00FE1CDA">
        <w:rPr>
          <w:color w:val="000000"/>
          <w:szCs w:val="24"/>
        </w:rPr>
        <w:t>amount of water actually delivered, bulk water storage fees, connection and</w:t>
      </w:r>
      <w:r>
        <w:rPr>
          <w:color w:val="000000"/>
          <w:szCs w:val="24"/>
        </w:rPr>
        <w:t xml:space="preserve"> </w:t>
      </w:r>
      <w:r w:rsidRPr="00FE1CDA">
        <w:rPr>
          <w:color w:val="000000"/>
          <w:szCs w:val="24"/>
        </w:rPr>
        <w:t>disconnection fees, and fees that exceed recurrent and capital cost recovery by the</w:t>
      </w:r>
      <w:r>
        <w:rPr>
          <w:color w:val="000000"/>
          <w:szCs w:val="24"/>
        </w:rPr>
        <w:t xml:space="preserve"> </w:t>
      </w:r>
      <w:r w:rsidRPr="00FE1CDA">
        <w:rPr>
          <w:color w:val="000000"/>
          <w:szCs w:val="24"/>
        </w:rPr>
        <w:t>operator related to the right of access</w:t>
      </w:r>
    </w:p>
    <w:p w:rsidR="00557E2D" w:rsidRDefault="00557E2D" w:rsidP="00557E2D">
      <w:pPr>
        <w:rPr>
          <w:color w:val="000000"/>
          <w:szCs w:val="24"/>
        </w:rPr>
      </w:pPr>
      <w:r>
        <w:rPr>
          <w:color w:val="000000"/>
          <w:szCs w:val="24"/>
        </w:rPr>
        <w:t>In the Draft Advice, the ACCC proposed that the method for calculating the maximum applicable termination fee be changed to allowing only volumetric fixed charges levied with respect to customer’s water delivery rights (or water drainage rights) to form the termination fee base.</w:t>
      </w:r>
    </w:p>
    <w:p w:rsidR="00557E2D" w:rsidRDefault="00557E2D" w:rsidP="005B0005">
      <w:pPr>
        <w:spacing w:after="120"/>
        <w:rPr>
          <w:color w:val="000000"/>
          <w:szCs w:val="24"/>
        </w:rPr>
      </w:pPr>
      <w:r>
        <w:rPr>
          <w:color w:val="000000"/>
          <w:szCs w:val="24"/>
        </w:rPr>
        <w:t>Additionally, where the operator charges the customer separately for dedicated infrastructure (such as an outlet or a meter) used exclusively by the customer, the operator must take into account the customer’s prior contributions when calculating this termination fee. The maximum termination fee for the dedicated infrastructure would be the lesser of:</w:t>
      </w:r>
    </w:p>
    <w:p w:rsidR="00557E2D" w:rsidRDefault="00557E2D" w:rsidP="00A82DE6">
      <w:pPr>
        <w:pStyle w:val="Lvl1Bulletpoint"/>
      </w:pPr>
      <w:r w:rsidRPr="005C2FAB">
        <w:t xml:space="preserve">10 times </w:t>
      </w:r>
      <w:r w:rsidR="003F0099" w:rsidRPr="005C2FAB">
        <w:t>t</w:t>
      </w:r>
      <w:r w:rsidR="003F0099">
        <w:t>he</w:t>
      </w:r>
      <w:r w:rsidR="003F0099" w:rsidRPr="005C2FAB">
        <w:t xml:space="preserve"> </w:t>
      </w:r>
      <w:r w:rsidRPr="005C2FAB">
        <w:t>infrastructure charge that relates to that specific infrastructure</w:t>
      </w:r>
      <w:r>
        <w:t>,</w:t>
      </w:r>
      <w:r w:rsidRPr="005C2FAB">
        <w:t xml:space="preserve"> or</w:t>
      </w:r>
    </w:p>
    <w:p w:rsidR="00557E2D" w:rsidRDefault="00557E2D" w:rsidP="00A82DE6">
      <w:pPr>
        <w:pStyle w:val="Lvl1Bulletpoint"/>
      </w:pPr>
      <w:r w:rsidRPr="005C2FAB">
        <w:t>the capital cost of the</w:t>
      </w:r>
      <w:r>
        <w:t xml:space="preserve"> infrastructure, less capital contributions from the customer, government or any other party, and less any infrastructure charges previously imposed related to the infrastructure. </w:t>
      </w:r>
    </w:p>
    <w:p w:rsidR="00557E2D" w:rsidRDefault="00557E2D" w:rsidP="005B0005">
      <w:pPr>
        <w:spacing w:after="120"/>
        <w:rPr>
          <w:color w:val="000000"/>
          <w:szCs w:val="24"/>
        </w:rPr>
      </w:pPr>
      <w:r>
        <w:rPr>
          <w:color w:val="000000"/>
          <w:szCs w:val="24"/>
        </w:rPr>
        <w:t>Further, when the operator calculates the maximum termination fee, the operator would be required to:</w:t>
      </w:r>
    </w:p>
    <w:p w:rsidR="00557E2D" w:rsidRDefault="00557E2D" w:rsidP="00A82DE6">
      <w:pPr>
        <w:pStyle w:val="Lvl1Bulletpoint"/>
      </w:pPr>
      <w:r w:rsidRPr="009803E2">
        <w:t>use the infrastructure charges in effect at the time the customer provided the operator with a notice to request the termination or information on what the termination fee or the infrastructure charges would be, or</w:t>
      </w:r>
    </w:p>
    <w:p w:rsidR="00557E2D" w:rsidRDefault="00557E2D" w:rsidP="00A82DE6">
      <w:pPr>
        <w:pStyle w:val="Lvl1Bulletpoint"/>
      </w:pPr>
      <w:r w:rsidRPr="009803E2">
        <w:t>the infrastructure charges in effect 30 days before the notice was provide</w:t>
      </w:r>
      <w:r>
        <w:t>d;</w:t>
      </w:r>
    </w:p>
    <w:p w:rsidR="00557E2D" w:rsidRPr="009803E2" w:rsidRDefault="00557E2D" w:rsidP="00235BA8">
      <w:pPr>
        <w:ind w:firstLine="567"/>
        <w:rPr>
          <w:color w:val="000000"/>
          <w:szCs w:val="24"/>
        </w:rPr>
      </w:pPr>
      <w:r w:rsidRPr="009803E2">
        <w:rPr>
          <w:color w:val="000000"/>
          <w:szCs w:val="24"/>
        </w:rPr>
        <w:t xml:space="preserve">whichever produces the lower termination fee. </w:t>
      </w:r>
    </w:p>
    <w:p w:rsidR="00557E2D" w:rsidRDefault="00557E2D" w:rsidP="005B0005">
      <w:pPr>
        <w:spacing w:after="120"/>
        <w:rPr>
          <w:color w:val="000000"/>
          <w:szCs w:val="24"/>
        </w:rPr>
      </w:pPr>
      <w:r>
        <w:rPr>
          <w:color w:val="000000"/>
          <w:szCs w:val="24"/>
        </w:rPr>
        <w:t xml:space="preserve">In its Final Advice, the ACCC revised the maximum termination fee to be the lesser of ten times the separate infrastructure charge or a reasonable estimate of </w:t>
      </w:r>
      <w:r w:rsidRPr="005C2FAB">
        <w:rPr>
          <w:color w:val="000000"/>
          <w:szCs w:val="24"/>
        </w:rPr>
        <w:t>the capital cost of the</w:t>
      </w:r>
      <w:r>
        <w:rPr>
          <w:color w:val="000000"/>
          <w:szCs w:val="24"/>
        </w:rPr>
        <w:t xml:space="preserve"> infrastructure, less any contributions made by the terminating customer. Finally, when the operator calculated the termination fee, it would be required to:</w:t>
      </w:r>
    </w:p>
    <w:p w:rsidR="00557E2D" w:rsidRPr="008670FC" w:rsidRDefault="00557E2D" w:rsidP="00A82DE6">
      <w:pPr>
        <w:pStyle w:val="Lvl1Bulletpoint"/>
      </w:pPr>
      <w:r w:rsidRPr="008670FC">
        <w:t xml:space="preserve">use the infrastructure charges in effect at the time the customer provided the operator with a notice </w:t>
      </w:r>
      <w:r w:rsidR="0067735B">
        <w:t>of</w:t>
      </w:r>
      <w:r w:rsidRPr="008670FC">
        <w:t xml:space="preserve"> termination or requested information on what the termination fee would be or</w:t>
      </w:r>
    </w:p>
    <w:p w:rsidR="00557E2D" w:rsidRPr="008670FC" w:rsidRDefault="00557E2D" w:rsidP="005B0005">
      <w:pPr>
        <w:pStyle w:val="Lvl1Bulletpoint"/>
        <w:spacing w:after="120"/>
        <w:ind w:left="568" w:hanging="284"/>
      </w:pPr>
      <w:r w:rsidRPr="008670FC">
        <w:t>if the notice is given</w:t>
      </w:r>
      <w:r w:rsidR="00542E65">
        <w:t xml:space="preserve">, or the </w:t>
      </w:r>
      <w:r w:rsidRPr="008670FC">
        <w:t>request is made</w:t>
      </w:r>
      <w:r w:rsidR="00542E65">
        <w:t>,</w:t>
      </w:r>
      <w:r w:rsidRPr="008670FC">
        <w:t xml:space="preserve"> on</w:t>
      </w:r>
      <w:r>
        <w:t xml:space="preserve"> </w:t>
      </w:r>
      <w:r w:rsidRPr="008670FC">
        <w:t xml:space="preserve">a date up to </w:t>
      </w:r>
      <w:r>
        <w:t>25</w:t>
      </w:r>
      <w:r w:rsidRPr="008670FC">
        <w:t xml:space="preserve"> busi</w:t>
      </w:r>
      <w:r>
        <w:t>ness</w:t>
      </w:r>
      <w:r w:rsidRPr="008670FC">
        <w:t xml:space="preserve"> days</w:t>
      </w:r>
      <w:r w:rsidR="00C6733C">
        <w:t xml:space="preserve"> </w:t>
      </w:r>
      <w:r w:rsidRPr="008670FC">
        <w:t>after the infrastructure operator</w:t>
      </w:r>
      <w:r w:rsidR="00C6733C">
        <w:t xml:space="preserve"> </w:t>
      </w:r>
      <w:r w:rsidRPr="008670FC">
        <w:t xml:space="preserve">adopts the </w:t>
      </w:r>
      <w:r w:rsidR="00EE463E">
        <w:t>S</w:t>
      </w:r>
      <w:r w:rsidRPr="008670FC">
        <w:t xml:space="preserve">chedule of </w:t>
      </w:r>
      <w:r w:rsidR="00EE463E">
        <w:t>C</w:t>
      </w:r>
      <w:r w:rsidRPr="008670FC">
        <w:t>harges</w:t>
      </w:r>
      <w:r>
        <w:t xml:space="preserve"> currently in effect</w:t>
      </w:r>
      <w:r w:rsidR="0067735B">
        <w:t>—</w:t>
      </w:r>
      <w:r w:rsidR="00542E65">
        <w:t xml:space="preserve">use </w:t>
      </w:r>
      <w:r>
        <w:t xml:space="preserve">the infrastructure charges set out in the </w:t>
      </w:r>
      <w:r w:rsidR="00EE463E">
        <w:t>S</w:t>
      </w:r>
      <w:r>
        <w:t xml:space="preserve">chedule of </w:t>
      </w:r>
      <w:r w:rsidR="00EE463E">
        <w:t>C</w:t>
      </w:r>
      <w:r>
        <w:t>harges</w:t>
      </w:r>
      <w:r w:rsidR="00C6733C">
        <w:t xml:space="preserve"> </w:t>
      </w:r>
      <w:r>
        <w:t xml:space="preserve">in effect immediately before the current </w:t>
      </w:r>
      <w:r w:rsidR="00EE463E">
        <w:t>S</w:t>
      </w:r>
      <w:r>
        <w:t>chedule was adopted</w:t>
      </w:r>
      <w:r w:rsidR="003B6BC1">
        <w:t xml:space="preserve"> (see section 6.2.1 and rule advice 6-D)</w:t>
      </w:r>
      <w:r w:rsidRPr="000A2552">
        <w:rPr>
          <w:rStyle w:val="FootnoteReference"/>
          <w:color w:val="000000"/>
          <w:szCs w:val="24"/>
        </w:rPr>
        <w:t xml:space="preserve"> </w:t>
      </w:r>
      <w:r w:rsidR="00235BA8">
        <w:rPr>
          <w:color w:val="000000"/>
          <w:szCs w:val="24"/>
        </w:rPr>
        <w:t>;</w:t>
      </w:r>
    </w:p>
    <w:p w:rsidR="006168F4" w:rsidRDefault="006168F4" w:rsidP="00235BA8">
      <w:pPr>
        <w:autoSpaceDE w:val="0"/>
        <w:autoSpaceDN w:val="0"/>
        <w:adjustRightInd w:val="0"/>
        <w:spacing w:line="269" w:lineRule="auto"/>
        <w:ind w:firstLine="567"/>
        <w:rPr>
          <w:rFonts w:eastAsiaTheme="minorHAnsi" w:cs="Times New Roman"/>
          <w:lang w:eastAsia="en-US"/>
        </w:rPr>
      </w:pPr>
      <w:r>
        <w:rPr>
          <w:rFonts w:eastAsiaTheme="minorHAnsi" w:cs="Times New Roman"/>
          <w:lang w:eastAsia="en-US"/>
        </w:rPr>
        <w:t xml:space="preserve">whichever produces the lower </w:t>
      </w:r>
      <w:r w:rsidR="00A262DA">
        <w:rPr>
          <w:rFonts w:eastAsiaTheme="minorHAnsi" w:cs="Times New Roman"/>
          <w:lang w:eastAsia="en-US"/>
        </w:rPr>
        <w:t xml:space="preserve">maximum </w:t>
      </w:r>
      <w:r>
        <w:rPr>
          <w:rFonts w:eastAsiaTheme="minorHAnsi" w:cs="Times New Roman"/>
          <w:lang w:eastAsia="en-US"/>
        </w:rPr>
        <w:t>termination fee.</w:t>
      </w:r>
    </w:p>
    <w:p w:rsidR="00557E2D" w:rsidRDefault="00557E2D" w:rsidP="00EE463E">
      <w:pPr>
        <w:autoSpaceDE w:val="0"/>
        <w:autoSpaceDN w:val="0"/>
        <w:adjustRightInd w:val="0"/>
        <w:spacing w:line="269" w:lineRule="auto"/>
        <w:rPr>
          <w:rFonts w:eastAsiaTheme="minorHAnsi" w:cs="Times New Roman"/>
          <w:lang w:eastAsia="en-US"/>
        </w:rPr>
      </w:pPr>
      <w:r>
        <w:rPr>
          <w:rFonts w:eastAsiaTheme="minorHAnsi" w:cs="Times New Roman"/>
          <w:lang w:eastAsia="en-US"/>
        </w:rPr>
        <w:t xml:space="preserve">The ACCC analysed operators’ </w:t>
      </w:r>
      <w:r w:rsidR="00EE463E">
        <w:rPr>
          <w:rFonts w:eastAsiaTheme="minorHAnsi" w:cs="Times New Roman"/>
          <w:lang w:eastAsia="en-US"/>
        </w:rPr>
        <w:t>S</w:t>
      </w:r>
      <w:r>
        <w:rPr>
          <w:rFonts w:eastAsiaTheme="minorHAnsi" w:cs="Times New Roman"/>
          <w:lang w:eastAsia="en-US"/>
        </w:rPr>
        <w:t xml:space="preserve">chedules of </w:t>
      </w:r>
      <w:r w:rsidR="00EE463E">
        <w:rPr>
          <w:rFonts w:eastAsiaTheme="minorHAnsi" w:cs="Times New Roman"/>
          <w:lang w:eastAsia="en-US"/>
        </w:rPr>
        <w:t>C</w:t>
      </w:r>
      <w:r>
        <w:rPr>
          <w:rFonts w:eastAsiaTheme="minorHAnsi" w:cs="Times New Roman"/>
          <w:lang w:eastAsia="en-US"/>
        </w:rPr>
        <w:t xml:space="preserve">harges and websites in light of the proposed changes to the method for calculating termination fees. The ACCC considers that there are 27 irrigation infrastructure operators </w:t>
      </w:r>
      <w:r w:rsidR="004B070D">
        <w:rPr>
          <w:rFonts w:eastAsiaTheme="minorHAnsi" w:cs="Times New Roman"/>
          <w:lang w:eastAsia="en-US"/>
        </w:rPr>
        <w:t xml:space="preserve">(IIOs) </w:t>
      </w:r>
      <w:r>
        <w:rPr>
          <w:rFonts w:eastAsiaTheme="minorHAnsi" w:cs="Times New Roman"/>
          <w:lang w:eastAsia="en-US"/>
        </w:rPr>
        <w:t>(who currently levy termination fees) that will need to assess and possibly change their approach to calculating these fees.</w:t>
      </w:r>
    </w:p>
    <w:p w:rsidR="00557E2D" w:rsidRDefault="00557E2D" w:rsidP="00EE463E">
      <w:pPr>
        <w:autoSpaceDE w:val="0"/>
        <w:autoSpaceDN w:val="0"/>
        <w:adjustRightInd w:val="0"/>
        <w:spacing w:line="269" w:lineRule="auto"/>
        <w:rPr>
          <w:rFonts w:eastAsiaTheme="minorHAnsi" w:cs="Times New Roman"/>
          <w:lang w:eastAsia="en-US"/>
        </w:rPr>
      </w:pPr>
      <w:r>
        <w:rPr>
          <w:rFonts w:eastAsiaTheme="minorHAnsi" w:cs="Times New Roman"/>
          <w:lang w:eastAsia="en-US"/>
        </w:rPr>
        <w:t>The ACCC does not consider the Final Advice proposals in this area to be any more complex than those proposed in the Draft Advice. Therefore</w:t>
      </w:r>
      <w:r w:rsidR="002D6B1D">
        <w:rPr>
          <w:rFonts w:eastAsiaTheme="minorHAnsi" w:cs="Times New Roman"/>
          <w:lang w:eastAsia="en-US"/>
        </w:rPr>
        <w:t>,</w:t>
      </w:r>
      <w:r>
        <w:rPr>
          <w:rFonts w:eastAsiaTheme="minorHAnsi" w:cs="Times New Roman"/>
          <w:lang w:eastAsia="en-US"/>
        </w:rPr>
        <w:t xml:space="preserve"> the ACCC considers the regulatory cost of its Final Advice proposals to be the same as its</w:t>
      </w:r>
      <w:r w:rsidR="00EE463E">
        <w:rPr>
          <w:rFonts w:eastAsiaTheme="minorHAnsi" w:cs="Times New Roman"/>
          <w:lang w:eastAsia="en-US"/>
        </w:rPr>
        <w:t xml:space="preserve"> proposals in the Draft Advice.</w:t>
      </w:r>
    </w:p>
    <w:p w:rsidR="00557E2D" w:rsidRDefault="00557E2D" w:rsidP="00EE463E">
      <w:pPr>
        <w:autoSpaceDE w:val="0"/>
        <w:autoSpaceDN w:val="0"/>
        <w:adjustRightInd w:val="0"/>
        <w:spacing w:line="269" w:lineRule="auto"/>
        <w:rPr>
          <w:rFonts w:eastAsiaTheme="minorHAnsi" w:cs="Times New Roman"/>
          <w:lang w:eastAsia="en-US"/>
        </w:rPr>
      </w:pPr>
      <w:r>
        <w:rPr>
          <w:rFonts w:eastAsiaTheme="minorHAnsi" w:cs="Times New Roman"/>
          <w:lang w:eastAsia="en-US"/>
        </w:rPr>
        <w:t xml:space="preserve">However, the ACCC notes that there is one additional cost of the proposals in this area which it did not consider in the </w:t>
      </w:r>
      <w:r w:rsidR="0067735B">
        <w:rPr>
          <w:rFonts w:eastAsiaTheme="minorHAnsi" w:cs="Times New Roman"/>
          <w:lang w:eastAsia="en-US"/>
        </w:rPr>
        <w:t xml:space="preserve">estimated costs included in the </w:t>
      </w:r>
      <w:r>
        <w:rPr>
          <w:rFonts w:eastAsiaTheme="minorHAnsi" w:cs="Times New Roman"/>
          <w:lang w:eastAsia="en-US"/>
        </w:rPr>
        <w:t xml:space="preserve">Draft Advice. The new requirement </w:t>
      </w:r>
      <w:r w:rsidR="009C6EC6">
        <w:rPr>
          <w:rFonts w:eastAsiaTheme="minorHAnsi" w:cs="Times New Roman"/>
          <w:lang w:eastAsia="en-US"/>
        </w:rPr>
        <w:t xml:space="preserve">regarding how </w:t>
      </w:r>
      <w:r>
        <w:rPr>
          <w:rFonts w:eastAsiaTheme="minorHAnsi" w:cs="Times New Roman"/>
          <w:lang w:eastAsia="en-US"/>
        </w:rPr>
        <w:t xml:space="preserve">to calculate a separate termination fee for customers with dedicated infrastructure is likely to impose some additional costs for operators. If an operator wishes to levy a </w:t>
      </w:r>
      <w:r w:rsidR="009C6EC6">
        <w:rPr>
          <w:rFonts w:eastAsiaTheme="minorHAnsi" w:cs="Times New Roman"/>
          <w:lang w:eastAsia="en-US"/>
        </w:rPr>
        <w:t>termination fee</w:t>
      </w:r>
      <w:r>
        <w:rPr>
          <w:rFonts w:eastAsiaTheme="minorHAnsi" w:cs="Times New Roman"/>
          <w:lang w:eastAsia="en-US"/>
        </w:rPr>
        <w:t xml:space="preserve"> in relation to dedicated infrastructure in the circumstance where they levy a separate charge for that infrastructure, the operator will need to form a reasonable estimate of any prior customer contributions to the infrastructure (e.g. by examining records of any infrastructure charges or other contributions the customer has already paid for that infrastructure) before calculating the termination fee </w:t>
      </w:r>
      <w:r w:rsidR="00200D46">
        <w:rPr>
          <w:rFonts w:eastAsiaTheme="minorHAnsi" w:cs="Times New Roman"/>
          <w:lang w:eastAsia="en-US"/>
        </w:rPr>
        <w:t xml:space="preserve">in relation to </w:t>
      </w:r>
      <w:r>
        <w:rPr>
          <w:rFonts w:eastAsiaTheme="minorHAnsi" w:cs="Times New Roman"/>
          <w:lang w:eastAsia="en-US"/>
        </w:rPr>
        <w:t>such infrastructure. This adds additional costs to the process for calculating termination fees</w:t>
      </w:r>
      <w:r w:rsidR="00EE463E">
        <w:rPr>
          <w:rFonts w:eastAsiaTheme="minorHAnsi" w:cs="Times New Roman"/>
          <w:lang w:eastAsia="en-US"/>
        </w:rPr>
        <w:t>.</w:t>
      </w:r>
    </w:p>
    <w:p w:rsidR="00557E2D" w:rsidRDefault="00557E2D" w:rsidP="005B0005">
      <w:pPr>
        <w:autoSpaceDE w:val="0"/>
        <w:autoSpaceDN w:val="0"/>
        <w:adjustRightInd w:val="0"/>
        <w:spacing w:after="120" w:line="269" w:lineRule="auto"/>
        <w:rPr>
          <w:rFonts w:eastAsiaTheme="minorHAnsi" w:cs="Times New Roman"/>
          <w:lang w:eastAsia="en-US"/>
        </w:rPr>
      </w:pPr>
      <w:r>
        <w:rPr>
          <w:rFonts w:eastAsiaTheme="minorHAnsi" w:cs="Times New Roman"/>
          <w:lang w:eastAsia="en-US"/>
        </w:rPr>
        <w:t>This additional cost for terminations relating to dedicated infrastructure has been calculated on the following basis:</w:t>
      </w:r>
    </w:p>
    <w:p w:rsidR="00557E2D" w:rsidRDefault="00557E2D" w:rsidP="00A82DE6">
      <w:pPr>
        <w:pStyle w:val="Lvl1Bulletpoint"/>
        <w:rPr>
          <w:rFonts w:eastAsiaTheme="minorHAnsi"/>
          <w:lang w:eastAsia="en-US"/>
        </w:rPr>
      </w:pPr>
      <w:r>
        <w:rPr>
          <w:rFonts w:eastAsiaTheme="minorHAnsi"/>
          <w:lang w:eastAsia="en-US"/>
        </w:rPr>
        <w:t xml:space="preserve">that </w:t>
      </w:r>
      <w:r w:rsidRPr="00584D4B">
        <w:rPr>
          <w:rFonts w:eastAsiaTheme="minorHAnsi"/>
          <w:lang w:eastAsia="en-US"/>
        </w:rPr>
        <w:t xml:space="preserve">it will take operators on average </w:t>
      </w:r>
      <w:r>
        <w:rPr>
          <w:rFonts w:eastAsiaTheme="minorHAnsi"/>
          <w:lang w:eastAsia="en-US"/>
        </w:rPr>
        <w:t xml:space="preserve">one </w:t>
      </w:r>
      <w:r w:rsidRPr="00584D4B">
        <w:rPr>
          <w:rFonts w:eastAsiaTheme="minorHAnsi"/>
          <w:lang w:eastAsia="en-US"/>
        </w:rPr>
        <w:t>hour to find th</w:t>
      </w:r>
      <w:r>
        <w:rPr>
          <w:rFonts w:eastAsiaTheme="minorHAnsi"/>
          <w:lang w:eastAsia="en-US"/>
        </w:rPr>
        <w:t>e</w:t>
      </w:r>
      <w:r w:rsidRPr="00584D4B">
        <w:rPr>
          <w:rFonts w:eastAsiaTheme="minorHAnsi"/>
          <w:lang w:eastAsia="en-US"/>
        </w:rPr>
        <w:t xml:space="preserve"> information </w:t>
      </w:r>
      <w:r>
        <w:rPr>
          <w:rFonts w:eastAsiaTheme="minorHAnsi"/>
          <w:lang w:eastAsia="en-US"/>
        </w:rPr>
        <w:t xml:space="preserve">relevant to dedicated infrastructure </w:t>
      </w:r>
      <w:r w:rsidRPr="00584D4B">
        <w:rPr>
          <w:rFonts w:eastAsiaTheme="minorHAnsi"/>
          <w:lang w:eastAsia="en-US"/>
        </w:rPr>
        <w:t xml:space="preserve">and calculate the </w:t>
      </w:r>
      <w:r>
        <w:rPr>
          <w:rFonts w:eastAsiaTheme="minorHAnsi"/>
          <w:lang w:eastAsia="en-US"/>
        </w:rPr>
        <w:t>termination fees</w:t>
      </w:r>
    </w:p>
    <w:p w:rsidR="00557E2D" w:rsidRDefault="00557E2D" w:rsidP="00A82DE6">
      <w:pPr>
        <w:pStyle w:val="Lvl1Bulletpoint"/>
        <w:rPr>
          <w:rFonts w:eastAsiaTheme="minorHAnsi"/>
          <w:lang w:eastAsia="en-US"/>
        </w:rPr>
      </w:pPr>
      <w:r w:rsidRPr="00584D4B">
        <w:rPr>
          <w:rFonts w:eastAsiaTheme="minorHAnsi"/>
          <w:lang w:eastAsia="en-US"/>
        </w:rPr>
        <w:t xml:space="preserve">that the number of terminations relating to dedicated infrastructure is </w:t>
      </w:r>
      <w:r>
        <w:rPr>
          <w:rFonts w:eastAsiaTheme="minorHAnsi"/>
          <w:lang w:eastAsia="en-US"/>
        </w:rPr>
        <w:t>5</w:t>
      </w:r>
      <w:r w:rsidRPr="00584D4B">
        <w:rPr>
          <w:rFonts w:eastAsiaTheme="minorHAnsi"/>
          <w:lang w:eastAsia="en-US"/>
        </w:rPr>
        <w:t xml:space="preserve">0 per cent of all terminations in each group for a particular financial year. </w:t>
      </w:r>
    </w:p>
    <w:p w:rsidR="00557E2D" w:rsidRPr="00EE463E" w:rsidRDefault="00557E2D" w:rsidP="00A82DE6">
      <w:pPr>
        <w:pStyle w:val="Lvl1Bulletpoint"/>
        <w:rPr>
          <w:rFonts w:eastAsiaTheme="minorHAnsi"/>
          <w:lang w:eastAsia="en-US"/>
        </w:rPr>
      </w:pPr>
      <w:r>
        <w:rPr>
          <w:rFonts w:eastAsiaTheme="minorHAnsi"/>
          <w:lang w:eastAsia="en-US"/>
        </w:rPr>
        <w:t>that t</w:t>
      </w:r>
      <w:r w:rsidRPr="00584D4B">
        <w:rPr>
          <w:rFonts w:eastAsiaTheme="minorHAnsi"/>
          <w:lang w:eastAsia="en-US"/>
        </w:rPr>
        <w:t xml:space="preserve">erminations for a financial year for each group </w:t>
      </w:r>
      <w:r>
        <w:rPr>
          <w:rFonts w:eastAsiaTheme="minorHAnsi"/>
          <w:lang w:eastAsia="en-US"/>
        </w:rPr>
        <w:t>are the yearly average of terminations per operator in each group ove</w:t>
      </w:r>
      <w:r w:rsidR="00EE463E">
        <w:rPr>
          <w:rFonts w:eastAsiaTheme="minorHAnsi"/>
          <w:lang w:eastAsia="en-US"/>
        </w:rPr>
        <w:t>r the years 2009-10 to 2013-14.</w:t>
      </w:r>
      <w:r w:rsidRPr="00EE463E">
        <w:rPr>
          <w:rFonts w:eastAsiaTheme="minorHAnsi" w:cs="Times New Roman"/>
          <w:lang w:eastAsia="en-US"/>
        </w:rPr>
        <w:t xml:space="preserve"> </w:t>
      </w:r>
    </w:p>
    <w:p w:rsidR="00557E2D" w:rsidRDefault="00557E2D" w:rsidP="00EE463E">
      <w:pPr>
        <w:spacing w:line="269" w:lineRule="auto"/>
      </w:pPr>
      <w:r>
        <w:rPr>
          <w:rFonts w:cs="Times New Roman"/>
        </w:rPr>
        <w:t>The Final Advice proposals for the method of calculating termination fees anticipate an increase in annualised costs of $18 488 when compared with current WCTFR requirements (see Table 9.9 below).</w:t>
      </w:r>
      <w:r w:rsidR="00C6733C">
        <w:rPr>
          <w:rFonts w:cs="Times New Roman"/>
        </w:rPr>
        <w:t xml:space="preserve"> </w:t>
      </w:r>
      <w:r>
        <w:rPr>
          <w:rFonts w:cs="Times New Roman"/>
        </w:rPr>
        <w:t xml:space="preserve">This </w:t>
      </w:r>
      <w:r>
        <w:t>compares with an annualised increase of $10 136 estimated for the proposals in the Draft Advice</w:t>
      </w:r>
      <w:r>
        <w:rPr>
          <w:rFonts w:cs="Times New Roman"/>
        </w:rPr>
        <w:t>.</w:t>
      </w:r>
    </w:p>
    <w:p w:rsidR="00557E2D" w:rsidRPr="00A176E1" w:rsidRDefault="00557E2D" w:rsidP="00E560FF">
      <w:pPr>
        <w:pStyle w:val="Tabletitle"/>
      </w:pPr>
      <w:r w:rsidRPr="00A176E1">
        <w:t>Table 9.9</w:t>
      </w:r>
      <w:r>
        <w:t>—Net change in regulatory cost due to proposed changes to the method of calculating termination fees—Final Advice compared with current WCTFR requirements</w:t>
      </w:r>
      <w:r w:rsidR="00C6733C">
        <w:t xml:space="preserve"> </w:t>
      </w:r>
    </w:p>
    <w:tbl>
      <w:tblPr>
        <w:tblStyle w:val="TableGrid"/>
        <w:tblW w:w="9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5"/>
        <w:gridCol w:w="1064"/>
        <w:gridCol w:w="1065"/>
        <w:gridCol w:w="1065"/>
        <w:gridCol w:w="1065"/>
        <w:gridCol w:w="1065"/>
      </w:tblGrid>
      <w:tr w:rsidR="00557E2D" w:rsidRPr="00483305" w:rsidTr="00C52AEB">
        <w:trPr>
          <w:trHeight w:val="364"/>
        </w:trPr>
        <w:tc>
          <w:tcPr>
            <w:tcW w:w="3995" w:type="dxa"/>
            <w:tcBorders>
              <w:top w:val="single" w:sz="4" w:space="0" w:color="auto"/>
              <w:left w:val="single" w:sz="4" w:space="0" w:color="auto"/>
              <w:bottom w:val="single" w:sz="4" w:space="0" w:color="auto"/>
            </w:tcBorders>
            <w:shd w:val="clear" w:color="auto" w:fill="D9D9D9" w:themeFill="background1" w:themeFillShade="D9"/>
            <w:vAlign w:val="center"/>
          </w:tcPr>
          <w:p w:rsidR="00557E2D" w:rsidRPr="00483305" w:rsidRDefault="00557E2D" w:rsidP="0098578F">
            <w:pPr>
              <w:pStyle w:val="tabletext"/>
            </w:pPr>
          </w:p>
        </w:tc>
        <w:tc>
          <w:tcPr>
            <w:tcW w:w="1064" w:type="dxa"/>
            <w:tcBorders>
              <w:top w:val="single" w:sz="4" w:space="0" w:color="auto"/>
              <w:bottom w:val="single" w:sz="4" w:space="0" w:color="auto"/>
            </w:tcBorders>
            <w:shd w:val="clear" w:color="auto" w:fill="D9D9D9" w:themeFill="background1" w:themeFillShade="D9"/>
            <w:vAlign w:val="center"/>
          </w:tcPr>
          <w:p w:rsidR="00557E2D" w:rsidRPr="00483305" w:rsidRDefault="00557E2D" w:rsidP="0098578F">
            <w:pPr>
              <w:pStyle w:val="tabletext"/>
              <w:jc w:val="right"/>
            </w:pPr>
            <w:r w:rsidRPr="00483305">
              <w:t>Group 1</w:t>
            </w:r>
          </w:p>
        </w:tc>
        <w:tc>
          <w:tcPr>
            <w:tcW w:w="1065" w:type="dxa"/>
            <w:tcBorders>
              <w:top w:val="single" w:sz="4" w:space="0" w:color="auto"/>
              <w:bottom w:val="single" w:sz="4" w:space="0" w:color="auto"/>
            </w:tcBorders>
            <w:shd w:val="clear" w:color="auto" w:fill="D9D9D9" w:themeFill="background1" w:themeFillShade="D9"/>
            <w:vAlign w:val="center"/>
          </w:tcPr>
          <w:p w:rsidR="00557E2D" w:rsidRPr="00483305" w:rsidRDefault="00557E2D" w:rsidP="0098578F">
            <w:pPr>
              <w:pStyle w:val="tabletext"/>
              <w:jc w:val="right"/>
            </w:pPr>
            <w:r w:rsidRPr="00483305">
              <w:t>Group 2</w:t>
            </w:r>
          </w:p>
        </w:tc>
        <w:tc>
          <w:tcPr>
            <w:tcW w:w="1065" w:type="dxa"/>
            <w:tcBorders>
              <w:top w:val="single" w:sz="4" w:space="0" w:color="auto"/>
              <w:bottom w:val="single" w:sz="4" w:space="0" w:color="auto"/>
            </w:tcBorders>
            <w:shd w:val="clear" w:color="auto" w:fill="D9D9D9" w:themeFill="background1" w:themeFillShade="D9"/>
            <w:vAlign w:val="center"/>
          </w:tcPr>
          <w:p w:rsidR="00557E2D" w:rsidRPr="00483305" w:rsidRDefault="00557E2D" w:rsidP="0098578F">
            <w:pPr>
              <w:pStyle w:val="tabletext"/>
              <w:jc w:val="right"/>
            </w:pPr>
            <w:r w:rsidRPr="00483305">
              <w:t>Group 3</w:t>
            </w:r>
          </w:p>
        </w:tc>
        <w:tc>
          <w:tcPr>
            <w:tcW w:w="1065" w:type="dxa"/>
            <w:tcBorders>
              <w:top w:val="single" w:sz="4" w:space="0" w:color="auto"/>
              <w:bottom w:val="single" w:sz="4" w:space="0" w:color="auto"/>
            </w:tcBorders>
            <w:shd w:val="clear" w:color="auto" w:fill="D9D9D9" w:themeFill="background1" w:themeFillShade="D9"/>
            <w:vAlign w:val="center"/>
          </w:tcPr>
          <w:p w:rsidR="00557E2D" w:rsidRPr="00483305" w:rsidRDefault="00557E2D" w:rsidP="0098578F">
            <w:pPr>
              <w:pStyle w:val="tabletext"/>
              <w:jc w:val="right"/>
            </w:pPr>
            <w:r w:rsidRPr="00483305">
              <w:t>Group 4</w:t>
            </w:r>
          </w:p>
        </w:tc>
        <w:tc>
          <w:tcPr>
            <w:tcW w:w="1065" w:type="dxa"/>
            <w:tcBorders>
              <w:top w:val="single" w:sz="4" w:space="0" w:color="auto"/>
              <w:bottom w:val="single" w:sz="4" w:space="0" w:color="auto"/>
              <w:right w:val="single" w:sz="4" w:space="0" w:color="auto"/>
            </w:tcBorders>
            <w:shd w:val="clear" w:color="auto" w:fill="D9D9D9" w:themeFill="background1" w:themeFillShade="D9"/>
            <w:vAlign w:val="center"/>
          </w:tcPr>
          <w:p w:rsidR="00557E2D" w:rsidRPr="00483305" w:rsidRDefault="00557E2D" w:rsidP="0098578F">
            <w:pPr>
              <w:pStyle w:val="tabletext"/>
              <w:jc w:val="right"/>
              <w:rPr>
                <w:b/>
              </w:rPr>
            </w:pPr>
            <w:r w:rsidRPr="00483305">
              <w:rPr>
                <w:b/>
              </w:rPr>
              <w:t>Total</w:t>
            </w:r>
          </w:p>
        </w:tc>
      </w:tr>
      <w:tr w:rsidR="00557E2D" w:rsidRPr="00483305" w:rsidTr="005B0005">
        <w:trPr>
          <w:trHeight w:val="220"/>
        </w:trPr>
        <w:tc>
          <w:tcPr>
            <w:tcW w:w="3995" w:type="dxa"/>
            <w:tcBorders>
              <w:top w:val="single" w:sz="4" w:space="0" w:color="auto"/>
              <w:left w:val="single" w:sz="4" w:space="0" w:color="auto"/>
              <w:bottom w:val="single" w:sz="4" w:space="0" w:color="auto"/>
            </w:tcBorders>
            <w:vAlign w:val="center"/>
          </w:tcPr>
          <w:p w:rsidR="00557E2D" w:rsidRPr="00483305" w:rsidRDefault="00557E2D" w:rsidP="0098578F">
            <w:pPr>
              <w:pStyle w:val="tabletext"/>
              <w:rPr>
                <w:b/>
              </w:rPr>
            </w:pPr>
            <w:r w:rsidRPr="00483305">
              <w:rPr>
                <w:b/>
              </w:rPr>
              <w:t>No. of affected operators</w:t>
            </w:r>
          </w:p>
        </w:tc>
        <w:tc>
          <w:tcPr>
            <w:tcW w:w="1064" w:type="dxa"/>
            <w:tcBorders>
              <w:top w:val="single" w:sz="4" w:space="0" w:color="auto"/>
              <w:bottom w:val="single" w:sz="4" w:space="0" w:color="auto"/>
            </w:tcBorders>
            <w:vAlign w:val="center"/>
          </w:tcPr>
          <w:p w:rsidR="00557E2D" w:rsidRPr="00483305" w:rsidRDefault="00557E2D" w:rsidP="0098578F">
            <w:pPr>
              <w:pStyle w:val="tabletext"/>
              <w:jc w:val="right"/>
            </w:pPr>
            <w:r w:rsidRPr="00483305">
              <w:t>8</w:t>
            </w:r>
          </w:p>
        </w:tc>
        <w:tc>
          <w:tcPr>
            <w:tcW w:w="1065" w:type="dxa"/>
            <w:tcBorders>
              <w:top w:val="single" w:sz="4" w:space="0" w:color="auto"/>
              <w:bottom w:val="single" w:sz="4" w:space="0" w:color="auto"/>
            </w:tcBorders>
            <w:vAlign w:val="center"/>
          </w:tcPr>
          <w:p w:rsidR="00557E2D" w:rsidRPr="00483305" w:rsidRDefault="00557E2D" w:rsidP="0098578F">
            <w:pPr>
              <w:pStyle w:val="tabletext"/>
              <w:jc w:val="right"/>
            </w:pPr>
            <w:r w:rsidRPr="00483305">
              <w:t>12</w:t>
            </w:r>
          </w:p>
        </w:tc>
        <w:tc>
          <w:tcPr>
            <w:tcW w:w="1065" w:type="dxa"/>
            <w:tcBorders>
              <w:top w:val="single" w:sz="4" w:space="0" w:color="auto"/>
              <w:bottom w:val="single" w:sz="4" w:space="0" w:color="auto"/>
            </w:tcBorders>
            <w:vAlign w:val="center"/>
          </w:tcPr>
          <w:p w:rsidR="00557E2D" w:rsidRPr="00483305" w:rsidRDefault="00557E2D" w:rsidP="0098578F">
            <w:pPr>
              <w:pStyle w:val="tabletext"/>
              <w:jc w:val="right"/>
            </w:pPr>
            <w:r w:rsidRPr="00483305">
              <w:t>5</w:t>
            </w:r>
          </w:p>
        </w:tc>
        <w:tc>
          <w:tcPr>
            <w:tcW w:w="1065" w:type="dxa"/>
            <w:tcBorders>
              <w:top w:val="single" w:sz="4" w:space="0" w:color="auto"/>
              <w:bottom w:val="single" w:sz="4" w:space="0" w:color="auto"/>
            </w:tcBorders>
            <w:vAlign w:val="center"/>
          </w:tcPr>
          <w:p w:rsidR="00557E2D" w:rsidRPr="00483305" w:rsidRDefault="00557E2D" w:rsidP="0098578F">
            <w:pPr>
              <w:pStyle w:val="tabletext"/>
              <w:jc w:val="right"/>
            </w:pPr>
            <w:r w:rsidRPr="00483305">
              <w:t>2</w:t>
            </w:r>
          </w:p>
        </w:tc>
        <w:tc>
          <w:tcPr>
            <w:tcW w:w="1065" w:type="dxa"/>
            <w:tcBorders>
              <w:top w:val="single" w:sz="4" w:space="0" w:color="auto"/>
              <w:bottom w:val="single" w:sz="4" w:space="0" w:color="auto"/>
              <w:right w:val="single" w:sz="4" w:space="0" w:color="auto"/>
            </w:tcBorders>
            <w:vAlign w:val="center"/>
          </w:tcPr>
          <w:p w:rsidR="00557E2D" w:rsidRPr="00483305" w:rsidRDefault="00557E2D" w:rsidP="0098578F">
            <w:pPr>
              <w:pStyle w:val="tabletext"/>
              <w:jc w:val="right"/>
              <w:rPr>
                <w:b/>
              </w:rPr>
            </w:pPr>
            <w:r w:rsidRPr="00483305">
              <w:rPr>
                <w:b/>
              </w:rPr>
              <w:t>27</w:t>
            </w:r>
          </w:p>
        </w:tc>
      </w:tr>
      <w:tr w:rsidR="00557E2D" w:rsidRPr="00483305" w:rsidTr="005B0005">
        <w:trPr>
          <w:trHeight w:val="347"/>
        </w:trPr>
        <w:tc>
          <w:tcPr>
            <w:tcW w:w="9318" w:type="dxa"/>
            <w:gridSpan w:val="6"/>
            <w:tcBorders>
              <w:top w:val="single" w:sz="4" w:space="0" w:color="auto"/>
              <w:left w:val="single" w:sz="4" w:space="0" w:color="auto"/>
              <w:right w:val="single" w:sz="4" w:space="0" w:color="auto"/>
            </w:tcBorders>
            <w:vAlign w:val="center"/>
          </w:tcPr>
          <w:p w:rsidR="00557E2D" w:rsidRPr="00483305" w:rsidRDefault="00557E2D" w:rsidP="0098578F">
            <w:pPr>
              <w:pStyle w:val="tabletext"/>
              <w:rPr>
                <w:b/>
              </w:rPr>
            </w:pPr>
            <w:r w:rsidRPr="00483305">
              <w:rPr>
                <w:b/>
              </w:rPr>
              <w:t>Review</w:t>
            </w:r>
            <w:r w:rsidR="00C6733C">
              <w:rPr>
                <w:b/>
              </w:rPr>
              <w:t xml:space="preserve"> </w:t>
            </w:r>
            <w:r w:rsidRPr="00483305">
              <w:rPr>
                <w:b/>
              </w:rPr>
              <w:t>current policies and method of calculating</w:t>
            </w:r>
            <w:r w:rsidR="00C6733C">
              <w:rPr>
                <w:b/>
              </w:rPr>
              <w:t xml:space="preserve"> </w:t>
            </w:r>
            <w:r w:rsidRPr="00483305">
              <w:rPr>
                <w:b/>
              </w:rPr>
              <w:t>termination fees, and if required changing approach</w:t>
            </w:r>
          </w:p>
        </w:tc>
      </w:tr>
      <w:tr w:rsidR="00557E2D" w:rsidRPr="00483305" w:rsidTr="005B0005">
        <w:trPr>
          <w:trHeight w:val="224"/>
        </w:trPr>
        <w:tc>
          <w:tcPr>
            <w:tcW w:w="3995" w:type="dxa"/>
            <w:tcBorders>
              <w:left w:val="single" w:sz="4" w:space="0" w:color="auto"/>
            </w:tcBorders>
            <w:vAlign w:val="center"/>
          </w:tcPr>
          <w:p w:rsidR="00557E2D" w:rsidRPr="00483305" w:rsidRDefault="00557E2D" w:rsidP="0098578F">
            <w:pPr>
              <w:pStyle w:val="tabletext"/>
              <w:ind w:left="142"/>
            </w:pPr>
            <w:r w:rsidRPr="00483305">
              <w:t xml:space="preserve">Average </w:t>
            </w:r>
            <w:r>
              <w:t xml:space="preserve">start-up </w:t>
            </w:r>
            <w:r w:rsidRPr="00483305">
              <w:t>hours per operator</w:t>
            </w:r>
          </w:p>
        </w:tc>
        <w:tc>
          <w:tcPr>
            <w:tcW w:w="1064" w:type="dxa"/>
            <w:vAlign w:val="center"/>
          </w:tcPr>
          <w:p w:rsidR="00557E2D" w:rsidRPr="00483305" w:rsidRDefault="00557E2D" w:rsidP="0098578F">
            <w:pPr>
              <w:pStyle w:val="tabletext"/>
              <w:jc w:val="right"/>
            </w:pPr>
            <w:r>
              <w:t>6</w:t>
            </w:r>
          </w:p>
        </w:tc>
        <w:tc>
          <w:tcPr>
            <w:tcW w:w="1065" w:type="dxa"/>
            <w:vAlign w:val="center"/>
          </w:tcPr>
          <w:p w:rsidR="00557E2D" w:rsidRPr="00483305" w:rsidRDefault="00557E2D" w:rsidP="0098578F">
            <w:pPr>
              <w:pStyle w:val="tabletext"/>
              <w:jc w:val="right"/>
            </w:pPr>
            <w:r w:rsidRPr="00483305">
              <w:t>1</w:t>
            </w:r>
            <w:r>
              <w:t>0</w:t>
            </w:r>
          </w:p>
        </w:tc>
        <w:tc>
          <w:tcPr>
            <w:tcW w:w="1065" w:type="dxa"/>
            <w:vAlign w:val="center"/>
          </w:tcPr>
          <w:p w:rsidR="00557E2D" w:rsidRPr="00483305" w:rsidRDefault="00557E2D" w:rsidP="0098578F">
            <w:pPr>
              <w:pStyle w:val="tabletext"/>
              <w:jc w:val="right"/>
            </w:pPr>
            <w:r w:rsidRPr="00483305">
              <w:t>20</w:t>
            </w:r>
          </w:p>
        </w:tc>
        <w:tc>
          <w:tcPr>
            <w:tcW w:w="1065" w:type="dxa"/>
            <w:vAlign w:val="center"/>
          </w:tcPr>
          <w:p w:rsidR="00557E2D" w:rsidRPr="00483305" w:rsidRDefault="00557E2D" w:rsidP="0098578F">
            <w:pPr>
              <w:pStyle w:val="tabletext"/>
              <w:jc w:val="right"/>
            </w:pPr>
            <w:r w:rsidRPr="00483305">
              <w:t>8</w:t>
            </w:r>
          </w:p>
        </w:tc>
        <w:tc>
          <w:tcPr>
            <w:tcW w:w="1065" w:type="dxa"/>
            <w:tcBorders>
              <w:right w:val="single" w:sz="4" w:space="0" w:color="auto"/>
            </w:tcBorders>
            <w:shd w:val="clear" w:color="auto" w:fill="auto"/>
            <w:vAlign w:val="center"/>
          </w:tcPr>
          <w:p w:rsidR="00557E2D" w:rsidRPr="00483305" w:rsidRDefault="00557E2D" w:rsidP="0098578F">
            <w:pPr>
              <w:pStyle w:val="tabletext"/>
              <w:rPr>
                <w:b/>
              </w:rPr>
            </w:pPr>
          </w:p>
        </w:tc>
      </w:tr>
      <w:tr w:rsidR="00557E2D" w:rsidRPr="00483305" w:rsidTr="005B0005">
        <w:trPr>
          <w:trHeight w:val="347"/>
        </w:trPr>
        <w:tc>
          <w:tcPr>
            <w:tcW w:w="3995" w:type="dxa"/>
            <w:tcBorders>
              <w:left w:val="single" w:sz="4" w:space="0" w:color="auto"/>
            </w:tcBorders>
            <w:vAlign w:val="center"/>
          </w:tcPr>
          <w:p w:rsidR="00557E2D" w:rsidRPr="00483305" w:rsidRDefault="00557E2D" w:rsidP="0098578F">
            <w:pPr>
              <w:pStyle w:val="tabletext"/>
              <w:ind w:left="142"/>
            </w:pPr>
            <w:r>
              <w:t>Annualised c</w:t>
            </w:r>
            <w:r w:rsidRPr="00483305">
              <w:t xml:space="preserve">hange in regulatory cost </w:t>
            </w:r>
          </w:p>
        </w:tc>
        <w:tc>
          <w:tcPr>
            <w:tcW w:w="1064" w:type="dxa"/>
            <w:vAlign w:val="center"/>
          </w:tcPr>
          <w:p w:rsidR="00557E2D" w:rsidRPr="00483305" w:rsidRDefault="00557E2D" w:rsidP="0098578F">
            <w:pPr>
              <w:pStyle w:val="tabletext"/>
              <w:jc w:val="right"/>
            </w:pPr>
            <w:r w:rsidRPr="00483305">
              <w:t>$</w:t>
            </w:r>
            <w:r>
              <w:t>314</w:t>
            </w:r>
          </w:p>
        </w:tc>
        <w:tc>
          <w:tcPr>
            <w:tcW w:w="1065" w:type="dxa"/>
            <w:vAlign w:val="center"/>
          </w:tcPr>
          <w:p w:rsidR="00557E2D" w:rsidRPr="00483305" w:rsidRDefault="00557E2D" w:rsidP="0098578F">
            <w:pPr>
              <w:pStyle w:val="tabletext"/>
              <w:jc w:val="right"/>
            </w:pPr>
            <w:r w:rsidRPr="00483305">
              <w:t>$</w:t>
            </w:r>
            <w:r>
              <w:t>785</w:t>
            </w:r>
          </w:p>
        </w:tc>
        <w:tc>
          <w:tcPr>
            <w:tcW w:w="1065" w:type="dxa"/>
            <w:vAlign w:val="center"/>
          </w:tcPr>
          <w:p w:rsidR="00557E2D" w:rsidRPr="00483305" w:rsidRDefault="00557E2D" w:rsidP="0098578F">
            <w:pPr>
              <w:pStyle w:val="tabletext"/>
              <w:jc w:val="right"/>
            </w:pPr>
            <w:r w:rsidRPr="00483305">
              <w:t>$</w:t>
            </w:r>
            <w:r>
              <w:t>655</w:t>
            </w:r>
          </w:p>
        </w:tc>
        <w:tc>
          <w:tcPr>
            <w:tcW w:w="1065" w:type="dxa"/>
            <w:vAlign w:val="center"/>
          </w:tcPr>
          <w:p w:rsidR="00557E2D" w:rsidRPr="00483305" w:rsidRDefault="00557E2D" w:rsidP="0098578F">
            <w:pPr>
              <w:pStyle w:val="tabletext"/>
              <w:jc w:val="right"/>
            </w:pPr>
            <w:r w:rsidRPr="00483305">
              <w:t>$</w:t>
            </w:r>
            <w:r>
              <w:t>105</w:t>
            </w:r>
          </w:p>
        </w:tc>
        <w:tc>
          <w:tcPr>
            <w:tcW w:w="1065" w:type="dxa"/>
            <w:tcBorders>
              <w:right w:val="single" w:sz="4" w:space="0" w:color="auto"/>
            </w:tcBorders>
            <w:vAlign w:val="center"/>
          </w:tcPr>
          <w:p w:rsidR="00557E2D" w:rsidRPr="00483305" w:rsidRDefault="00557E2D" w:rsidP="0098578F">
            <w:pPr>
              <w:pStyle w:val="tabletext"/>
              <w:jc w:val="right"/>
              <w:rPr>
                <w:b/>
              </w:rPr>
            </w:pPr>
            <w:r w:rsidRPr="00483305">
              <w:rPr>
                <w:b/>
              </w:rPr>
              <w:t>$</w:t>
            </w:r>
            <w:r>
              <w:rPr>
                <w:b/>
              </w:rPr>
              <w:t>1 859</w:t>
            </w:r>
          </w:p>
        </w:tc>
      </w:tr>
      <w:tr w:rsidR="00557E2D" w:rsidRPr="00483305" w:rsidTr="005B0005">
        <w:trPr>
          <w:trHeight w:val="240"/>
        </w:trPr>
        <w:tc>
          <w:tcPr>
            <w:tcW w:w="9318" w:type="dxa"/>
            <w:gridSpan w:val="6"/>
            <w:tcBorders>
              <w:top w:val="single" w:sz="4" w:space="0" w:color="auto"/>
              <w:left w:val="single" w:sz="4" w:space="0" w:color="auto"/>
              <w:bottom w:val="single" w:sz="4" w:space="0" w:color="auto"/>
              <w:right w:val="single" w:sz="4" w:space="0" w:color="auto"/>
            </w:tcBorders>
            <w:vAlign w:val="center"/>
          </w:tcPr>
          <w:p w:rsidR="00557E2D" w:rsidRPr="00483305" w:rsidRDefault="00557E2D" w:rsidP="0098578F">
            <w:pPr>
              <w:pStyle w:val="tabletext"/>
              <w:rPr>
                <w:b/>
              </w:rPr>
            </w:pPr>
            <w:r w:rsidRPr="00483305">
              <w:rPr>
                <w:b/>
              </w:rPr>
              <w:t>Estimating contributions made by irrigators for additional termination fee</w:t>
            </w:r>
          </w:p>
        </w:tc>
      </w:tr>
      <w:tr w:rsidR="00557E2D" w:rsidRPr="00483305" w:rsidTr="005B0005">
        <w:trPr>
          <w:trHeight w:val="248"/>
        </w:trPr>
        <w:tc>
          <w:tcPr>
            <w:tcW w:w="3995" w:type="dxa"/>
            <w:tcBorders>
              <w:top w:val="single" w:sz="4" w:space="0" w:color="auto"/>
              <w:left w:val="single" w:sz="4" w:space="0" w:color="auto"/>
            </w:tcBorders>
            <w:vAlign w:val="center"/>
          </w:tcPr>
          <w:p w:rsidR="00557E2D" w:rsidRPr="00483305" w:rsidRDefault="00557E2D" w:rsidP="0098578F">
            <w:pPr>
              <w:pStyle w:val="tabletext"/>
              <w:ind w:left="142"/>
            </w:pPr>
            <w:r w:rsidRPr="00483305">
              <w:t xml:space="preserve">Average </w:t>
            </w:r>
            <w:r>
              <w:t xml:space="preserve">annual </w:t>
            </w:r>
            <w:r w:rsidRPr="00483305">
              <w:t>hours per operator</w:t>
            </w:r>
          </w:p>
        </w:tc>
        <w:tc>
          <w:tcPr>
            <w:tcW w:w="1064" w:type="dxa"/>
            <w:tcBorders>
              <w:top w:val="single" w:sz="4" w:space="0" w:color="auto"/>
            </w:tcBorders>
            <w:vAlign w:val="center"/>
          </w:tcPr>
          <w:p w:rsidR="00557E2D" w:rsidRPr="00483305" w:rsidRDefault="00557E2D" w:rsidP="0098578F">
            <w:pPr>
              <w:pStyle w:val="tabletext"/>
              <w:jc w:val="right"/>
            </w:pPr>
            <w:r w:rsidRPr="00483305">
              <w:t>2</w:t>
            </w:r>
          </w:p>
        </w:tc>
        <w:tc>
          <w:tcPr>
            <w:tcW w:w="1065" w:type="dxa"/>
            <w:tcBorders>
              <w:top w:val="single" w:sz="4" w:space="0" w:color="auto"/>
            </w:tcBorders>
            <w:vAlign w:val="center"/>
          </w:tcPr>
          <w:p w:rsidR="00557E2D" w:rsidRPr="00483305" w:rsidRDefault="00557E2D" w:rsidP="0098578F">
            <w:pPr>
              <w:pStyle w:val="tabletext"/>
              <w:jc w:val="right"/>
            </w:pPr>
            <w:r w:rsidRPr="00483305">
              <w:t>4</w:t>
            </w:r>
          </w:p>
        </w:tc>
        <w:tc>
          <w:tcPr>
            <w:tcW w:w="1065" w:type="dxa"/>
            <w:tcBorders>
              <w:top w:val="single" w:sz="4" w:space="0" w:color="auto"/>
            </w:tcBorders>
            <w:vAlign w:val="center"/>
          </w:tcPr>
          <w:p w:rsidR="00557E2D" w:rsidRPr="00483305" w:rsidRDefault="00557E2D" w:rsidP="0098578F">
            <w:pPr>
              <w:pStyle w:val="tabletext"/>
              <w:jc w:val="right"/>
            </w:pPr>
            <w:r w:rsidRPr="00483305">
              <w:t>4</w:t>
            </w:r>
          </w:p>
        </w:tc>
        <w:tc>
          <w:tcPr>
            <w:tcW w:w="1065" w:type="dxa"/>
            <w:tcBorders>
              <w:top w:val="single" w:sz="4" w:space="0" w:color="auto"/>
            </w:tcBorders>
            <w:vAlign w:val="center"/>
          </w:tcPr>
          <w:p w:rsidR="00557E2D" w:rsidRPr="00483305" w:rsidRDefault="00557E2D" w:rsidP="0098578F">
            <w:pPr>
              <w:pStyle w:val="tabletext"/>
              <w:jc w:val="right"/>
            </w:pPr>
            <w:r w:rsidRPr="00483305">
              <w:t>3</w:t>
            </w:r>
          </w:p>
        </w:tc>
        <w:tc>
          <w:tcPr>
            <w:tcW w:w="1065" w:type="dxa"/>
            <w:tcBorders>
              <w:top w:val="single" w:sz="4" w:space="0" w:color="auto"/>
              <w:right w:val="single" w:sz="4" w:space="0" w:color="auto"/>
            </w:tcBorders>
            <w:shd w:val="clear" w:color="auto" w:fill="auto"/>
            <w:vAlign w:val="center"/>
          </w:tcPr>
          <w:p w:rsidR="00557E2D" w:rsidRPr="00483305" w:rsidRDefault="00557E2D" w:rsidP="0098578F">
            <w:pPr>
              <w:pStyle w:val="tabletext"/>
              <w:jc w:val="right"/>
              <w:rPr>
                <w:b/>
              </w:rPr>
            </w:pPr>
          </w:p>
        </w:tc>
      </w:tr>
      <w:tr w:rsidR="00557E2D" w:rsidRPr="00483305" w:rsidTr="005B0005">
        <w:trPr>
          <w:trHeight w:val="347"/>
        </w:trPr>
        <w:tc>
          <w:tcPr>
            <w:tcW w:w="3995" w:type="dxa"/>
            <w:tcBorders>
              <w:left w:val="single" w:sz="4" w:space="0" w:color="auto"/>
              <w:bottom w:val="single" w:sz="4" w:space="0" w:color="auto"/>
            </w:tcBorders>
            <w:vAlign w:val="center"/>
          </w:tcPr>
          <w:p w:rsidR="00557E2D" w:rsidRPr="00483305" w:rsidRDefault="00557E2D" w:rsidP="0098578F">
            <w:pPr>
              <w:pStyle w:val="tabletext"/>
              <w:ind w:left="142"/>
            </w:pPr>
            <w:r w:rsidRPr="00483305">
              <w:t xml:space="preserve">Annualised change in regulatory cost </w:t>
            </w:r>
          </w:p>
        </w:tc>
        <w:tc>
          <w:tcPr>
            <w:tcW w:w="1064" w:type="dxa"/>
            <w:tcBorders>
              <w:bottom w:val="single" w:sz="4" w:space="0" w:color="auto"/>
            </w:tcBorders>
            <w:vAlign w:val="center"/>
          </w:tcPr>
          <w:p w:rsidR="00557E2D" w:rsidRPr="00483305" w:rsidRDefault="00557E2D" w:rsidP="0098578F">
            <w:pPr>
              <w:pStyle w:val="tabletext"/>
              <w:jc w:val="right"/>
            </w:pPr>
            <w:r w:rsidRPr="00483305">
              <w:t>$1 047</w:t>
            </w:r>
          </w:p>
        </w:tc>
        <w:tc>
          <w:tcPr>
            <w:tcW w:w="1065" w:type="dxa"/>
            <w:tcBorders>
              <w:bottom w:val="single" w:sz="4" w:space="0" w:color="auto"/>
            </w:tcBorders>
            <w:vAlign w:val="center"/>
          </w:tcPr>
          <w:p w:rsidR="00557E2D" w:rsidRPr="00483305" w:rsidRDefault="00557E2D" w:rsidP="0098578F">
            <w:pPr>
              <w:pStyle w:val="tabletext"/>
              <w:jc w:val="right"/>
            </w:pPr>
            <w:r w:rsidRPr="00483305">
              <w:t>$3 142</w:t>
            </w:r>
          </w:p>
        </w:tc>
        <w:tc>
          <w:tcPr>
            <w:tcW w:w="1065" w:type="dxa"/>
            <w:tcBorders>
              <w:bottom w:val="single" w:sz="4" w:space="0" w:color="auto"/>
            </w:tcBorders>
            <w:vAlign w:val="center"/>
          </w:tcPr>
          <w:p w:rsidR="00557E2D" w:rsidRPr="00483305" w:rsidRDefault="00557E2D" w:rsidP="0098578F">
            <w:pPr>
              <w:pStyle w:val="tabletext"/>
              <w:jc w:val="right"/>
            </w:pPr>
            <w:r w:rsidRPr="00483305">
              <w:t>$1 309</w:t>
            </w:r>
          </w:p>
        </w:tc>
        <w:tc>
          <w:tcPr>
            <w:tcW w:w="1065" w:type="dxa"/>
            <w:tcBorders>
              <w:bottom w:val="single" w:sz="4" w:space="0" w:color="auto"/>
            </w:tcBorders>
            <w:vAlign w:val="center"/>
          </w:tcPr>
          <w:p w:rsidR="00557E2D" w:rsidRPr="00483305" w:rsidRDefault="00557E2D" w:rsidP="0098578F">
            <w:pPr>
              <w:pStyle w:val="tabletext"/>
              <w:jc w:val="right"/>
            </w:pPr>
            <w:r w:rsidRPr="00483305">
              <w:t>$393</w:t>
            </w:r>
          </w:p>
        </w:tc>
        <w:tc>
          <w:tcPr>
            <w:tcW w:w="1065" w:type="dxa"/>
            <w:tcBorders>
              <w:bottom w:val="single" w:sz="4" w:space="0" w:color="auto"/>
              <w:right w:val="single" w:sz="4" w:space="0" w:color="auto"/>
            </w:tcBorders>
            <w:vAlign w:val="center"/>
          </w:tcPr>
          <w:p w:rsidR="00557E2D" w:rsidRPr="00483305" w:rsidRDefault="00557E2D" w:rsidP="0098578F">
            <w:pPr>
              <w:pStyle w:val="tabletext"/>
              <w:jc w:val="right"/>
              <w:rPr>
                <w:b/>
              </w:rPr>
            </w:pPr>
            <w:r w:rsidRPr="00483305">
              <w:rPr>
                <w:b/>
              </w:rPr>
              <w:t>$5 891</w:t>
            </w:r>
          </w:p>
        </w:tc>
      </w:tr>
      <w:tr w:rsidR="00557E2D" w:rsidRPr="00483305" w:rsidTr="005B0005">
        <w:trPr>
          <w:trHeight w:val="347"/>
        </w:trPr>
        <w:tc>
          <w:tcPr>
            <w:tcW w:w="9318" w:type="dxa"/>
            <w:gridSpan w:val="6"/>
            <w:tcBorders>
              <w:top w:val="single" w:sz="4" w:space="0" w:color="auto"/>
              <w:left w:val="single" w:sz="4" w:space="0" w:color="auto"/>
              <w:bottom w:val="single" w:sz="4" w:space="0" w:color="auto"/>
              <w:right w:val="single" w:sz="4" w:space="0" w:color="auto"/>
            </w:tcBorders>
            <w:vAlign w:val="center"/>
          </w:tcPr>
          <w:p w:rsidR="00557E2D" w:rsidRPr="00483305" w:rsidRDefault="00557E2D" w:rsidP="0098578F">
            <w:pPr>
              <w:pStyle w:val="tabletext"/>
              <w:rPr>
                <w:b/>
              </w:rPr>
            </w:pPr>
            <w:r w:rsidRPr="00483305">
              <w:rPr>
                <w:b/>
              </w:rPr>
              <w:t>Processing costs for termination fees for dedicated infrastructure</w:t>
            </w:r>
          </w:p>
        </w:tc>
      </w:tr>
      <w:tr w:rsidR="00557E2D" w:rsidRPr="00483305" w:rsidTr="005B0005">
        <w:trPr>
          <w:trHeight w:val="347"/>
        </w:trPr>
        <w:tc>
          <w:tcPr>
            <w:tcW w:w="3995" w:type="dxa"/>
            <w:tcBorders>
              <w:top w:val="single" w:sz="4" w:space="0" w:color="auto"/>
              <w:left w:val="single" w:sz="4" w:space="0" w:color="auto"/>
            </w:tcBorders>
            <w:vAlign w:val="center"/>
          </w:tcPr>
          <w:p w:rsidR="00557E2D" w:rsidRPr="00483305" w:rsidRDefault="00557E2D" w:rsidP="0098578F">
            <w:pPr>
              <w:pStyle w:val="tabletext"/>
              <w:ind w:left="142"/>
            </w:pPr>
            <w:r>
              <w:t xml:space="preserve">Average annual </w:t>
            </w:r>
            <w:r w:rsidRPr="00483305">
              <w:t>staff hours per termination</w:t>
            </w:r>
          </w:p>
        </w:tc>
        <w:tc>
          <w:tcPr>
            <w:tcW w:w="1064" w:type="dxa"/>
            <w:tcBorders>
              <w:top w:val="single" w:sz="4" w:space="0" w:color="auto"/>
            </w:tcBorders>
            <w:vAlign w:val="center"/>
          </w:tcPr>
          <w:p w:rsidR="00557E2D" w:rsidRPr="00483305" w:rsidRDefault="00557E2D" w:rsidP="0098578F">
            <w:pPr>
              <w:pStyle w:val="tabletext"/>
              <w:jc w:val="right"/>
            </w:pPr>
            <w:r>
              <w:t>1</w:t>
            </w:r>
          </w:p>
        </w:tc>
        <w:tc>
          <w:tcPr>
            <w:tcW w:w="1065" w:type="dxa"/>
            <w:tcBorders>
              <w:top w:val="single" w:sz="4" w:space="0" w:color="auto"/>
            </w:tcBorders>
            <w:vAlign w:val="center"/>
          </w:tcPr>
          <w:p w:rsidR="00557E2D" w:rsidRPr="00483305" w:rsidRDefault="00557E2D" w:rsidP="0098578F">
            <w:pPr>
              <w:pStyle w:val="tabletext"/>
              <w:jc w:val="right"/>
            </w:pPr>
            <w:r>
              <w:t>1</w:t>
            </w:r>
          </w:p>
        </w:tc>
        <w:tc>
          <w:tcPr>
            <w:tcW w:w="1065" w:type="dxa"/>
            <w:tcBorders>
              <w:top w:val="single" w:sz="4" w:space="0" w:color="auto"/>
            </w:tcBorders>
            <w:vAlign w:val="center"/>
          </w:tcPr>
          <w:p w:rsidR="00557E2D" w:rsidRPr="00483305" w:rsidRDefault="00557E2D" w:rsidP="0098578F">
            <w:pPr>
              <w:pStyle w:val="tabletext"/>
              <w:jc w:val="right"/>
            </w:pPr>
            <w:r>
              <w:t>1</w:t>
            </w:r>
          </w:p>
        </w:tc>
        <w:tc>
          <w:tcPr>
            <w:tcW w:w="1065" w:type="dxa"/>
            <w:tcBorders>
              <w:top w:val="single" w:sz="4" w:space="0" w:color="auto"/>
            </w:tcBorders>
            <w:vAlign w:val="center"/>
          </w:tcPr>
          <w:p w:rsidR="00557E2D" w:rsidRPr="00483305" w:rsidRDefault="00557E2D" w:rsidP="0098578F">
            <w:pPr>
              <w:pStyle w:val="tabletext"/>
              <w:jc w:val="right"/>
            </w:pPr>
            <w:r>
              <w:t>1</w:t>
            </w:r>
          </w:p>
        </w:tc>
        <w:tc>
          <w:tcPr>
            <w:tcW w:w="1065" w:type="dxa"/>
            <w:tcBorders>
              <w:top w:val="single" w:sz="4" w:space="0" w:color="auto"/>
              <w:right w:val="single" w:sz="4" w:space="0" w:color="auto"/>
            </w:tcBorders>
            <w:vAlign w:val="center"/>
          </w:tcPr>
          <w:p w:rsidR="00557E2D" w:rsidRPr="00483305" w:rsidRDefault="00557E2D" w:rsidP="0098578F">
            <w:pPr>
              <w:pStyle w:val="tabletext"/>
              <w:jc w:val="right"/>
              <w:rPr>
                <w:b/>
              </w:rPr>
            </w:pPr>
          </w:p>
        </w:tc>
      </w:tr>
      <w:tr w:rsidR="00557E2D" w:rsidRPr="00483305" w:rsidTr="005B0005">
        <w:trPr>
          <w:trHeight w:val="347"/>
        </w:trPr>
        <w:tc>
          <w:tcPr>
            <w:tcW w:w="3995" w:type="dxa"/>
            <w:tcBorders>
              <w:left w:val="single" w:sz="4" w:space="0" w:color="auto"/>
            </w:tcBorders>
            <w:vAlign w:val="center"/>
          </w:tcPr>
          <w:p w:rsidR="00557E2D" w:rsidRPr="00483305" w:rsidRDefault="00557E2D" w:rsidP="0098578F">
            <w:pPr>
              <w:pStyle w:val="tabletext"/>
              <w:ind w:left="142"/>
            </w:pPr>
            <w:r>
              <w:t>Average n</w:t>
            </w:r>
            <w:r w:rsidRPr="00483305">
              <w:t xml:space="preserve">o. terminations </w:t>
            </w:r>
            <w:r>
              <w:t xml:space="preserve">(involving dedicated infrastructure) </w:t>
            </w:r>
            <w:r w:rsidRPr="00483305">
              <w:t>per operator per year</w:t>
            </w:r>
            <w:r w:rsidRPr="00483305">
              <w:rPr>
                <w:rStyle w:val="FootnoteReference"/>
              </w:rPr>
              <w:footnoteReference w:id="863"/>
            </w:r>
          </w:p>
        </w:tc>
        <w:tc>
          <w:tcPr>
            <w:tcW w:w="1064" w:type="dxa"/>
            <w:vAlign w:val="center"/>
          </w:tcPr>
          <w:p w:rsidR="00557E2D" w:rsidRPr="00483305" w:rsidRDefault="00557E2D" w:rsidP="0098578F">
            <w:pPr>
              <w:pStyle w:val="tabletext"/>
              <w:jc w:val="right"/>
            </w:pPr>
            <w:r w:rsidRPr="00483305">
              <w:t>0</w:t>
            </w:r>
          </w:p>
        </w:tc>
        <w:tc>
          <w:tcPr>
            <w:tcW w:w="1065" w:type="dxa"/>
            <w:vAlign w:val="center"/>
          </w:tcPr>
          <w:p w:rsidR="00557E2D" w:rsidRPr="00483305" w:rsidRDefault="00557E2D" w:rsidP="0098578F">
            <w:pPr>
              <w:pStyle w:val="tabletext"/>
              <w:jc w:val="right"/>
            </w:pPr>
            <w:r>
              <w:t>1.81</w:t>
            </w:r>
          </w:p>
        </w:tc>
        <w:tc>
          <w:tcPr>
            <w:tcW w:w="1065" w:type="dxa"/>
            <w:vAlign w:val="center"/>
          </w:tcPr>
          <w:p w:rsidR="00557E2D" w:rsidRPr="00483305" w:rsidRDefault="00557E2D" w:rsidP="0098578F">
            <w:pPr>
              <w:pStyle w:val="tabletext"/>
              <w:jc w:val="right"/>
            </w:pPr>
            <w:r>
              <w:t>15.18</w:t>
            </w:r>
          </w:p>
        </w:tc>
        <w:tc>
          <w:tcPr>
            <w:tcW w:w="1065" w:type="dxa"/>
            <w:vAlign w:val="center"/>
          </w:tcPr>
          <w:p w:rsidR="00557E2D" w:rsidRPr="00483305" w:rsidRDefault="00557E2D" w:rsidP="0098578F">
            <w:pPr>
              <w:pStyle w:val="tabletext"/>
              <w:jc w:val="right"/>
            </w:pPr>
            <w:r>
              <w:t>33.25</w:t>
            </w:r>
          </w:p>
        </w:tc>
        <w:tc>
          <w:tcPr>
            <w:tcW w:w="1065" w:type="dxa"/>
            <w:tcBorders>
              <w:right w:val="single" w:sz="4" w:space="0" w:color="auto"/>
            </w:tcBorders>
            <w:vAlign w:val="center"/>
          </w:tcPr>
          <w:p w:rsidR="00557E2D" w:rsidRPr="00483305" w:rsidRDefault="00557E2D" w:rsidP="0098578F">
            <w:pPr>
              <w:pStyle w:val="tabletext"/>
              <w:jc w:val="right"/>
              <w:rPr>
                <w:b/>
              </w:rPr>
            </w:pPr>
            <w:r>
              <w:rPr>
                <w:b/>
              </w:rPr>
              <w:t>50.2</w:t>
            </w:r>
          </w:p>
        </w:tc>
      </w:tr>
      <w:tr w:rsidR="00557E2D" w:rsidRPr="00483305" w:rsidTr="005B0005">
        <w:trPr>
          <w:trHeight w:val="347"/>
        </w:trPr>
        <w:tc>
          <w:tcPr>
            <w:tcW w:w="3995" w:type="dxa"/>
            <w:tcBorders>
              <w:left w:val="single" w:sz="4" w:space="0" w:color="auto"/>
              <w:bottom w:val="single" w:sz="4" w:space="0" w:color="auto"/>
            </w:tcBorders>
            <w:vAlign w:val="center"/>
          </w:tcPr>
          <w:p w:rsidR="00557E2D" w:rsidRPr="00483305" w:rsidRDefault="00557E2D" w:rsidP="0098578F">
            <w:pPr>
              <w:pStyle w:val="tabletext"/>
              <w:ind w:left="142"/>
            </w:pPr>
            <w:r w:rsidRPr="00483305">
              <w:t xml:space="preserve">Annualised change in regulatory cost </w:t>
            </w:r>
          </w:p>
        </w:tc>
        <w:tc>
          <w:tcPr>
            <w:tcW w:w="1064" w:type="dxa"/>
            <w:tcBorders>
              <w:bottom w:val="single" w:sz="4" w:space="0" w:color="auto"/>
            </w:tcBorders>
            <w:vAlign w:val="center"/>
          </w:tcPr>
          <w:p w:rsidR="00557E2D" w:rsidRPr="00483305" w:rsidRDefault="00557E2D" w:rsidP="0098578F">
            <w:pPr>
              <w:pStyle w:val="tabletext"/>
              <w:jc w:val="right"/>
            </w:pPr>
            <w:r w:rsidRPr="00483305">
              <w:t>$0</w:t>
            </w:r>
          </w:p>
        </w:tc>
        <w:tc>
          <w:tcPr>
            <w:tcW w:w="1065" w:type="dxa"/>
            <w:tcBorders>
              <w:bottom w:val="single" w:sz="4" w:space="0" w:color="auto"/>
            </w:tcBorders>
            <w:vAlign w:val="center"/>
          </w:tcPr>
          <w:p w:rsidR="00557E2D" w:rsidRPr="00483305" w:rsidRDefault="00557E2D" w:rsidP="0098578F">
            <w:pPr>
              <w:pStyle w:val="tabletext"/>
              <w:jc w:val="right"/>
            </w:pPr>
            <w:r w:rsidRPr="00483305">
              <w:t>$</w:t>
            </w:r>
            <w:r>
              <w:t>1 420</w:t>
            </w:r>
          </w:p>
        </w:tc>
        <w:tc>
          <w:tcPr>
            <w:tcW w:w="1065" w:type="dxa"/>
            <w:tcBorders>
              <w:bottom w:val="single" w:sz="4" w:space="0" w:color="auto"/>
            </w:tcBorders>
            <w:vAlign w:val="center"/>
          </w:tcPr>
          <w:p w:rsidR="00557E2D" w:rsidRPr="00483305" w:rsidRDefault="00557E2D" w:rsidP="0098578F">
            <w:pPr>
              <w:pStyle w:val="tabletext"/>
              <w:jc w:val="right"/>
            </w:pPr>
            <w:r w:rsidRPr="00483305">
              <w:t>$</w:t>
            </w:r>
            <w:r>
              <w:t xml:space="preserve">4 </w:t>
            </w:r>
            <w:r w:rsidRPr="00483305">
              <w:t>9</w:t>
            </w:r>
            <w:r>
              <w:t>66</w:t>
            </w:r>
          </w:p>
        </w:tc>
        <w:tc>
          <w:tcPr>
            <w:tcW w:w="1065" w:type="dxa"/>
            <w:tcBorders>
              <w:bottom w:val="single" w:sz="4" w:space="0" w:color="auto"/>
            </w:tcBorders>
            <w:vAlign w:val="center"/>
          </w:tcPr>
          <w:p w:rsidR="00557E2D" w:rsidRPr="00483305" w:rsidRDefault="00557E2D" w:rsidP="0098578F">
            <w:pPr>
              <w:pStyle w:val="tabletext"/>
              <w:jc w:val="right"/>
            </w:pPr>
            <w:r w:rsidRPr="00483305">
              <w:t>$</w:t>
            </w:r>
            <w:r>
              <w:t>4 352</w:t>
            </w:r>
          </w:p>
        </w:tc>
        <w:tc>
          <w:tcPr>
            <w:tcW w:w="1065" w:type="dxa"/>
            <w:tcBorders>
              <w:bottom w:val="single" w:sz="4" w:space="0" w:color="auto"/>
              <w:right w:val="single" w:sz="4" w:space="0" w:color="auto"/>
            </w:tcBorders>
            <w:vAlign w:val="center"/>
          </w:tcPr>
          <w:p w:rsidR="00557E2D" w:rsidRPr="00483305" w:rsidRDefault="00557E2D" w:rsidP="0098578F">
            <w:pPr>
              <w:pStyle w:val="tabletext"/>
              <w:jc w:val="right"/>
              <w:rPr>
                <w:b/>
              </w:rPr>
            </w:pPr>
            <w:r w:rsidRPr="00483305">
              <w:rPr>
                <w:b/>
              </w:rPr>
              <w:t>$</w:t>
            </w:r>
            <w:r>
              <w:rPr>
                <w:b/>
              </w:rPr>
              <w:t>10 739</w:t>
            </w:r>
          </w:p>
        </w:tc>
      </w:tr>
      <w:tr w:rsidR="00557E2D" w:rsidRPr="00483305" w:rsidTr="005B0005">
        <w:trPr>
          <w:trHeight w:val="347"/>
        </w:trPr>
        <w:tc>
          <w:tcPr>
            <w:tcW w:w="3995" w:type="dxa"/>
            <w:tcBorders>
              <w:left w:val="single" w:sz="4" w:space="0" w:color="auto"/>
              <w:bottom w:val="single" w:sz="4" w:space="0" w:color="auto"/>
            </w:tcBorders>
            <w:vAlign w:val="center"/>
          </w:tcPr>
          <w:p w:rsidR="00557E2D" w:rsidRPr="00483305" w:rsidRDefault="00557E2D" w:rsidP="0098578F">
            <w:pPr>
              <w:pStyle w:val="tabletext"/>
            </w:pPr>
            <w:r w:rsidRPr="00483305">
              <w:rPr>
                <w:b/>
              </w:rPr>
              <w:t>Total net annualised change in regulatory cost ($/yr)</w:t>
            </w:r>
          </w:p>
        </w:tc>
        <w:tc>
          <w:tcPr>
            <w:tcW w:w="1064" w:type="dxa"/>
            <w:tcBorders>
              <w:bottom w:val="single" w:sz="4" w:space="0" w:color="auto"/>
            </w:tcBorders>
            <w:vAlign w:val="center"/>
          </w:tcPr>
          <w:p w:rsidR="00557E2D" w:rsidRDefault="00557E2D" w:rsidP="0098578F">
            <w:pPr>
              <w:jc w:val="right"/>
              <w:rPr>
                <w:rFonts w:ascii="Calibri" w:hAnsi="Calibri"/>
                <w:color w:val="000000"/>
              </w:rPr>
            </w:pPr>
            <w:r>
              <w:rPr>
                <w:rFonts w:ascii="Calibri" w:hAnsi="Calibri"/>
                <w:color w:val="000000"/>
              </w:rPr>
              <w:t>$1 361</w:t>
            </w:r>
          </w:p>
        </w:tc>
        <w:tc>
          <w:tcPr>
            <w:tcW w:w="1065" w:type="dxa"/>
            <w:tcBorders>
              <w:bottom w:val="single" w:sz="4" w:space="0" w:color="auto"/>
            </w:tcBorders>
            <w:vAlign w:val="center"/>
          </w:tcPr>
          <w:p w:rsidR="00557E2D" w:rsidRDefault="00557E2D" w:rsidP="0098578F">
            <w:pPr>
              <w:jc w:val="right"/>
              <w:rPr>
                <w:rFonts w:ascii="Calibri" w:hAnsi="Calibri"/>
                <w:color w:val="000000"/>
              </w:rPr>
            </w:pPr>
            <w:r>
              <w:rPr>
                <w:rFonts w:ascii="Calibri" w:hAnsi="Calibri"/>
                <w:color w:val="000000"/>
              </w:rPr>
              <w:t>$5 347</w:t>
            </w:r>
          </w:p>
        </w:tc>
        <w:tc>
          <w:tcPr>
            <w:tcW w:w="1065" w:type="dxa"/>
            <w:tcBorders>
              <w:bottom w:val="single" w:sz="4" w:space="0" w:color="auto"/>
            </w:tcBorders>
            <w:vAlign w:val="center"/>
          </w:tcPr>
          <w:p w:rsidR="00557E2D" w:rsidRDefault="00557E2D" w:rsidP="0098578F">
            <w:pPr>
              <w:jc w:val="right"/>
              <w:rPr>
                <w:rFonts w:ascii="Calibri" w:hAnsi="Calibri"/>
                <w:color w:val="000000"/>
              </w:rPr>
            </w:pPr>
            <w:r>
              <w:rPr>
                <w:rFonts w:ascii="Calibri" w:hAnsi="Calibri"/>
                <w:color w:val="000000"/>
              </w:rPr>
              <w:t>$6 930</w:t>
            </w:r>
          </w:p>
        </w:tc>
        <w:tc>
          <w:tcPr>
            <w:tcW w:w="1065" w:type="dxa"/>
            <w:tcBorders>
              <w:bottom w:val="single" w:sz="4" w:space="0" w:color="auto"/>
            </w:tcBorders>
            <w:vAlign w:val="center"/>
          </w:tcPr>
          <w:p w:rsidR="00557E2D" w:rsidRDefault="00557E2D" w:rsidP="0098578F">
            <w:pPr>
              <w:jc w:val="right"/>
              <w:rPr>
                <w:rFonts w:ascii="Calibri" w:hAnsi="Calibri"/>
                <w:color w:val="000000"/>
              </w:rPr>
            </w:pPr>
            <w:r>
              <w:rPr>
                <w:rFonts w:ascii="Calibri" w:hAnsi="Calibri"/>
                <w:color w:val="000000"/>
              </w:rPr>
              <w:t>$4 850</w:t>
            </w:r>
          </w:p>
        </w:tc>
        <w:tc>
          <w:tcPr>
            <w:tcW w:w="1065" w:type="dxa"/>
            <w:tcBorders>
              <w:bottom w:val="single" w:sz="4" w:space="0" w:color="auto"/>
              <w:right w:val="single" w:sz="4" w:space="0" w:color="auto"/>
            </w:tcBorders>
            <w:vAlign w:val="center"/>
          </w:tcPr>
          <w:p w:rsidR="00557E2D" w:rsidRPr="00483305" w:rsidRDefault="00557E2D" w:rsidP="0098578F">
            <w:pPr>
              <w:pStyle w:val="tabletext"/>
              <w:jc w:val="right"/>
              <w:rPr>
                <w:b/>
              </w:rPr>
            </w:pPr>
            <w:r w:rsidRPr="00483305">
              <w:rPr>
                <w:b/>
              </w:rPr>
              <w:t>$1</w:t>
            </w:r>
            <w:r>
              <w:rPr>
                <w:b/>
              </w:rPr>
              <w:t>8 488</w:t>
            </w:r>
          </w:p>
        </w:tc>
      </w:tr>
    </w:tbl>
    <w:p w:rsidR="00557E2D" w:rsidRDefault="00557E2D" w:rsidP="00557E2D">
      <w:pPr>
        <w:pStyle w:val="Heading3"/>
      </w:pPr>
      <w:bookmarkStart w:id="1508" w:name="_Toc456785857"/>
      <w:bookmarkStart w:id="1509" w:name="_Toc461630769"/>
      <w:r>
        <w:t>Other Termination Fee Provisions including information provisions</w:t>
      </w:r>
      <w:bookmarkEnd w:id="1508"/>
      <w:bookmarkEnd w:id="1509"/>
    </w:p>
    <w:p w:rsidR="00557E2D" w:rsidRDefault="00557E2D" w:rsidP="00557E2D">
      <w:pPr>
        <w:rPr>
          <w:rFonts w:eastAsia="Arial" w:cs="Times New Roman"/>
        </w:rPr>
      </w:pPr>
      <w:r w:rsidRPr="00D714FC">
        <w:rPr>
          <w:rFonts w:eastAsia="Arial" w:cs="Times New Roman"/>
        </w:rPr>
        <w:t xml:space="preserve">The </w:t>
      </w:r>
      <w:r w:rsidR="00DE74BD" w:rsidRPr="00524D9F">
        <w:rPr>
          <w:rFonts w:cs="Times New Roman"/>
        </w:rPr>
        <w:t>Water Charge (Termination Fee</w:t>
      </w:r>
      <w:r w:rsidR="00FE5641">
        <w:rPr>
          <w:rFonts w:cs="Times New Roman"/>
        </w:rPr>
        <w:t>s</w:t>
      </w:r>
      <w:r w:rsidR="00DE74BD" w:rsidRPr="00524D9F">
        <w:rPr>
          <w:rFonts w:cs="Times New Roman"/>
        </w:rPr>
        <w:t>) Rules 2009</w:t>
      </w:r>
      <w:r w:rsidR="00DE74BD">
        <w:rPr>
          <w:rFonts w:cs="Times New Roman"/>
        </w:rPr>
        <w:t xml:space="preserve"> (</w:t>
      </w:r>
      <w:r w:rsidRPr="00D714FC">
        <w:rPr>
          <w:rFonts w:eastAsia="Arial" w:cs="Times New Roman"/>
        </w:rPr>
        <w:t>WCTFR</w:t>
      </w:r>
      <w:r w:rsidR="00DE74BD">
        <w:rPr>
          <w:rFonts w:eastAsia="Arial" w:cs="Times New Roman"/>
        </w:rPr>
        <w:t>)</w:t>
      </w:r>
      <w:r w:rsidRPr="00D714FC">
        <w:rPr>
          <w:rFonts w:eastAsia="Arial" w:cs="Times New Roman"/>
        </w:rPr>
        <w:t xml:space="preserve"> prohibit an operator from charging a termination fee except in circumstances authorised by the WCTFR.</w:t>
      </w:r>
      <w:r>
        <w:rPr>
          <w:rFonts w:eastAsia="Arial" w:cs="Times New Roman"/>
        </w:rPr>
        <w:t xml:space="preserve"> Currently under the WCTFR, a person can terminate their right of access to the IIO</w:t>
      </w:r>
      <w:r w:rsidR="00D16913">
        <w:rPr>
          <w:rFonts w:eastAsia="Arial" w:cs="Times New Roman"/>
        </w:rPr>
        <w:t>’s</w:t>
      </w:r>
      <w:r>
        <w:rPr>
          <w:rFonts w:eastAsia="Arial" w:cs="Times New Roman"/>
        </w:rPr>
        <w:t xml:space="preserve"> network by giving written notice to the IIO. A person does not terminate their right of access to a network by merely trading their right of access (in whole or in part) to another person.</w:t>
      </w:r>
      <w:r w:rsidR="00C6733C">
        <w:rPr>
          <w:rFonts w:eastAsia="Arial" w:cs="Times New Roman"/>
        </w:rPr>
        <w:t xml:space="preserve"> </w:t>
      </w:r>
    </w:p>
    <w:p w:rsidR="00557E2D" w:rsidRDefault="00557E2D" w:rsidP="00557E2D">
      <w:pPr>
        <w:rPr>
          <w:rFonts w:eastAsia="Arial" w:cs="Times New Roman"/>
        </w:rPr>
      </w:pPr>
      <w:r>
        <w:rPr>
          <w:rFonts w:eastAsia="Arial" w:cs="Times New Roman"/>
        </w:rPr>
        <w:t xml:space="preserve">An IIO may </w:t>
      </w:r>
      <w:r w:rsidR="00200D46">
        <w:rPr>
          <w:rFonts w:eastAsia="Arial" w:cs="Times New Roman"/>
        </w:rPr>
        <w:t xml:space="preserve">decide to </w:t>
      </w:r>
      <w:r>
        <w:rPr>
          <w:rFonts w:eastAsia="Arial" w:cs="Times New Roman"/>
        </w:rPr>
        <w:t>terminate the irrigator’s right of access where the irrigator breaches a condition of their contractual right of access with the IIO. The operator cannot charge the irrigator a termination fee where the customer is not liable to pay ongoing access fees or a termination fee under the contract or the operator does not separate out fees for the storage of water it provides to the irrigator from any fees related to a right of access.</w:t>
      </w:r>
      <w:r w:rsidR="00C6733C">
        <w:rPr>
          <w:rFonts w:eastAsia="Arial" w:cs="Times New Roman"/>
        </w:rPr>
        <w:t xml:space="preserve"> </w:t>
      </w:r>
    </w:p>
    <w:p w:rsidR="00557E2D" w:rsidRDefault="00557E2D" w:rsidP="00557E2D">
      <w:pPr>
        <w:rPr>
          <w:color w:val="000000"/>
          <w:szCs w:val="24"/>
        </w:rPr>
      </w:pPr>
      <w:r>
        <w:rPr>
          <w:color w:val="000000"/>
          <w:szCs w:val="24"/>
        </w:rPr>
        <w:t>IIOs are free to waive or discount the termination fees payable by irrigators at any time, including to facilitate or to encourage appropriate network modernisation and rationalisation.</w:t>
      </w:r>
    </w:p>
    <w:p w:rsidR="00557E2D" w:rsidRDefault="00557E2D" w:rsidP="005B0005">
      <w:pPr>
        <w:spacing w:after="120"/>
        <w:rPr>
          <w:rFonts w:eastAsia="Arial" w:cs="Times New Roman"/>
        </w:rPr>
      </w:pPr>
      <w:r>
        <w:rPr>
          <w:rFonts w:eastAsia="Arial" w:cs="Times New Roman"/>
        </w:rPr>
        <w:t>In its Draft Advice, the ACCC sought to:</w:t>
      </w:r>
    </w:p>
    <w:p w:rsidR="00557E2D" w:rsidRDefault="00557E2D" w:rsidP="00A82DE6">
      <w:pPr>
        <w:pStyle w:val="Lvl1Bulletpoint"/>
        <w:rPr>
          <w:rFonts w:eastAsia="Arial"/>
        </w:rPr>
      </w:pPr>
      <w:r w:rsidRPr="00540784">
        <w:rPr>
          <w:rFonts w:eastAsia="Arial"/>
        </w:rPr>
        <w:t>provide customers with greater certainty about the termination fee payable in the customer’s own circum</w:t>
      </w:r>
      <w:r>
        <w:rPr>
          <w:rFonts w:eastAsia="Arial"/>
        </w:rPr>
        <w:t>s</w:t>
      </w:r>
      <w:r w:rsidRPr="00540784">
        <w:rPr>
          <w:rFonts w:eastAsia="Arial"/>
        </w:rPr>
        <w:t>tances</w:t>
      </w:r>
    </w:p>
    <w:p w:rsidR="00557E2D" w:rsidRDefault="00557E2D" w:rsidP="00A82DE6">
      <w:pPr>
        <w:pStyle w:val="Lvl1Bulletpoint"/>
        <w:rPr>
          <w:rFonts w:eastAsia="Arial"/>
        </w:rPr>
      </w:pPr>
      <w:r w:rsidRPr="00540784">
        <w:rPr>
          <w:rFonts w:eastAsia="Arial"/>
        </w:rPr>
        <w:t>ensure where possib</w:t>
      </w:r>
      <w:r>
        <w:rPr>
          <w:rFonts w:eastAsia="Arial"/>
        </w:rPr>
        <w:t>le, that a customer has all relevant information about the options and associated costs</w:t>
      </w:r>
      <w:r w:rsidR="00C6733C">
        <w:rPr>
          <w:rFonts w:eastAsia="Arial"/>
        </w:rPr>
        <w:t xml:space="preserve"> </w:t>
      </w:r>
      <w:r>
        <w:rPr>
          <w:rFonts w:eastAsia="Arial"/>
        </w:rPr>
        <w:t xml:space="preserve">to reduce their right of access, and sufficient time to consider this information before making a decision. </w:t>
      </w:r>
    </w:p>
    <w:p w:rsidR="00557E2D" w:rsidRDefault="00557E2D" w:rsidP="00557E2D">
      <w:pPr>
        <w:rPr>
          <w:rFonts w:eastAsia="Arial" w:cs="Times New Roman"/>
        </w:rPr>
      </w:pPr>
      <w:r>
        <w:rPr>
          <w:rFonts w:eastAsia="Arial" w:cs="Times New Roman"/>
        </w:rPr>
        <w:t xml:space="preserve">The Draft Advice therefore proposed that when customers provide notice to their operator of an intention to terminate (or a request for information on the termination fee payable), the operator must provide in response all information relevant to the customer’s decision. </w:t>
      </w:r>
      <w:r w:rsidR="00AF74CB">
        <w:rPr>
          <w:rFonts w:eastAsia="Arial" w:cs="Times New Roman"/>
        </w:rPr>
        <w:t xml:space="preserve">This included the maximum termination fee that would be payable </w:t>
      </w:r>
      <w:r w:rsidR="00401DA5">
        <w:rPr>
          <w:rFonts w:eastAsia="Arial" w:cs="Times New Roman"/>
        </w:rPr>
        <w:t xml:space="preserve">upon termination </w:t>
      </w:r>
      <w:r w:rsidR="00AF74CB">
        <w:rPr>
          <w:rFonts w:eastAsia="Arial" w:cs="Times New Roman"/>
        </w:rPr>
        <w:t>(binding on the operator for 30 business days</w:t>
      </w:r>
      <w:r w:rsidR="00401DA5">
        <w:rPr>
          <w:rFonts w:eastAsia="Arial" w:cs="Times New Roman"/>
        </w:rPr>
        <w:t>)</w:t>
      </w:r>
      <w:r w:rsidR="00A262DA">
        <w:rPr>
          <w:rFonts w:eastAsia="Arial" w:cs="Times New Roman"/>
        </w:rPr>
        <w:t xml:space="preserve">, how that fee was calculated </w:t>
      </w:r>
      <w:r w:rsidR="00AF74CB">
        <w:rPr>
          <w:rFonts w:eastAsia="Arial" w:cs="Times New Roman"/>
        </w:rPr>
        <w:t xml:space="preserve">and </w:t>
      </w:r>
      <w:r w:rsidR="00401DA5">
        <w:rPr>
          <w:rFonts w:eastAsia="Arial" w:cs="Times New Roman"/>
        </w:rPr>
        <w:t xml:space="preserve">notification to the customer that they are able to trade their water delivery right and the rules governing such trade. </w:t>
      </w:r>
    </w:p>
    <w:p w:rsidR="00557E2D" w:rsidRDefault="00557E2D" w:rsidP="00557E2D">
      <w:r>
        <w:t xml:space="preserve">Furthermore, the ACCC proposed that the water charge rules reduce the termination fee multiple in relation to water delivery right charges from 10x to 1x the fixed volumetric charge levied per unit of right of access if </w:t>
      </w:r>
      <w:r w:rsidRPr="005713D4">
        <w:t>an operator does not provide for the trade of water delivery rights</w:t>
      </w:r>
      <w:r>
        <w:t>, or where an operator fails to comply with the pass-through rules proposed in section 5.13.</w:t>
      </w:r>
    </w:p>
    <w:p w:rsidR="00557E2D" w:rsidRDefault="00557E2D" w:rsidP="00557E2D">
      <w:pPr>
        <w:rPr>
          <w:rFonts w:eastAsia="Arial" w:cs="Times New Roman"/>
        </w:rPr>
      </w:pPr>
      <w:r>
        <w:rPr>
          <w:rFonts w:eastAsia="Arial" w:cs="Times New Roman"/>
        </w:rPr>
        <w:t xml:space="preserve">In its Final Advice, the ACCC made </w:t>
      </w:r>
      <w:r w:rsidR="00AF74CB">
        <w:rPr>
          <w:rFonts w:eastAsia="Arial" w:cs="Times New Roman"/>
        </w:rPr>
        <w:t>t</w:t>
      </w:r>
      <w:r w:rsidR="0067735B">
        <w:rPr>
          <w:rFonts w:eastAsia="Arial" w:cs="Times New Roman"/>
        </w:rPr>
        <w:t>wo</w:t>
      </w:r>
      <w:r w:rsidR="00AF74CB">
        <w:rPr>
          <w:rFonts w:eastAsia="Arial" w:cs="Times New Roman"/>
        </w:rPr>
        <w:t xml:space="preserve"> </w:t>
      </w:r>
      <w:r w:rsidR="0067735B">
        <w:rPr>
          <w:rFonts w:eastAsia="Arial" w:cs="Times New Roman"/>
        </w:rPr>
        <w:t xml:space="preserve">key </w:t>
      </w:r>
      <w:r>
        <w:rPr>
          <w:rFonts w:eastAsia="Arial" w:cs="Times New Roman"/>
        </w:rPr>
        <w:t xml:space="preserve">changes in this area. </w:t>
      </w:r>
      <w:r w:rsidR="00401DA5">
        <w:rPr>
          <w:rFonts w:eastAsia="Arial" w:cs="Times New Roman"/>
        </w:rPr>
        <w:t xml:space="preserve">The Final Advice proposes that the maximum termination fee provided to the customer would be binding on both the infrastructure operator </w:t>
      </w:r>
      <w:r w:rsidR="00401DA5">
        <w:rPr>
          <w:rFonts w:eastAsia="Arial" w:cs="Times New Roman"/>
          <w:i/>
        </w:rPr>
        <w:t>and</w:t>
      </w:r>
      <w:r w:rsidR="00401DA5">
        <w:rPr>
          <w:rFonts w:eastAsia="Arial" w:cs="Times New Roman"/>
        </w:rPr>
        <w:t xml:space="preserve"> the customer for a period of six months. </w:t>
      </w:r>
      <w:r>
        <w:rPr>
          <w:rFonts w:eastAsia="Arial" w:cs="Times New Roman"/>
        </w:rPr>
        <w:t>Also, the ACCC removed the termination fee multiple ‘consequence’ of failure to comply with the proposed pass-through rules.</w:t>
      </w:r>
    </w:p>
    <w:p w:rsidR="00557E2D" w:rsidRDefault="00557E2D" w:rsidP="00557E2D">
      <w:pPr>
        <w:rPr>
          <w:rFonts w:eastAsia="Arial" w:cs="Times New Roman"/>
        </w:rPr>
      </w:pPr>
      <w:r>
        <w:rPr>
          <w:rFonts w:eastAsia="Arial" w:cs="Times New Roman"/>
        </w:rPr>
        <w:t>The ACCC does not anticipate that these changes will result in any change to the regulatory cost</w:t>
      </w:r>
      <w:r w:rsidR="001D7878">
        <w:rPr>
          <w:rFonts w:eastAsia="Arial" w:cs="Times New Roman"/>
        </w:rPr>
        <w:t>s</w:t>
      </w:r>
      <w:r w:rsidR="00D158D2">
        <w:rPr>
          <w:rFonts w:eastAsia="Arial" w:cs="Times New Roman"/>
        </w:rPr>
        <w:t xml:space="preserve"> of the rules in this area</w:t>
      </w:r>
      <w:r w:rsidR="001D7878">
        <w:rPr>
          <w:rFonts w:eastAsia="Arial" w:cs="Times New Roman"/>
        </w:rPr>
        <w:t xml:space="preserve">. </w:t>
      </w:r>
      <w:r w:rsidR="00D158D2">
        <w:rPr>
          <w:rFonts w:eastAsia="Arial" w:cs="Times New Roman"/>
        </w:rPr>
        <w:t>Although t</w:t>
      </w:r>
      <w:r w:rsidR="001D7878">
        <w:rPr>
          <w:rFonts w:eastAsia="Arial" w:cs="Times New Roman"/>
        </w:rPr>
        <w:t xml:space="preserve">he ACCC acknowledges that </w:t>
      </w:r>
      <w:r w:rsidR="00D158D2">
        <w:rPr>
          <w:rFonts w:eastAsia="Arial" w:cs="Times New Roman"/>
        </w:rPr>
        <w:t>making the termination fee binding on the operator for six months (rather than 30 days) may increase the regulatory costs on some operators, the ACCC does not consider this increase is likely to be large. This increase is likely to be offset by the removal of the multiple ‘consequence</w:t>
      </w:r>
      <w:r w:rsidR="0067735B">
        <w:rPr>
          <w:rFonts w:eastAsia="Arial" w:cs="Times New Roman"/>
        </w:rPr>
        <w:t>s</w:t>
      </w:r>
      <w:r w:rsidR="00D158D2">
        <w:rPr>
          <w:rFonts w:eastAsia="Arial" w:cs="Times New Roman"/>
        </w:rPr>
        <w:t xml:space="preserve">’ of a failure to comply with the proposed pass-through rules. Therefore, </w:t>
      </w:r>
      <w:r w:rsidR="001D7878">
        <w:rPr>
          <w:rFonts w:eastAsia="Arial" w:cs="Times New Roman"/>
        </w:rPr>
        <w:t xml:space="preserve">the ACCC has maintained the same estimate of regulatory costs for the Final Advice that </w:t>
      </w:r>
      <w:r w:rsidR="00714D65">
        <w:rPr>
          <w:rFonts w:eastAsia="Arial" w:cs="Times New Roman"/>
        </w:rPr>
        <w:t>was estimated</w:t>
      </w:r>
      <w:r w:rsidR="001D7878">
        <w:rPr>
          <w:rFonts w:eastAsia="Arial" w:cs="Times New Roman"/>
        </w:rPr>
        <w:t xml:space="preserve"> for the Draft Advice, </w:t>
      </w:r>
      <w:r>
        <w:rPr>
          <w:rFonts w:eastAsia="Arial" w:cs="Times New Roman"/>
        </w:rPr>
        <w:t xml:space="preserve">an increase of $3587 per annum (see Table 9.10 below). </w:t>
      </w:r>
    </w:p>
    <w:p w:rsidR="00557E2D" w:rsidRPr="00F840AD" w:rsidRDefault="00557E2D" w:rsidP="00E560FF">
      <w:pPr>
        <w:pStyle w:val="Tabletitle"/>
      </w:pPr>
      <w:r w:rsidRPr="00F840AD">
        <w:t>Table 9.10—</w:t>
      </w:r>
      <w:r>
        <w:t>Net c</w:t>
      </w:r>
      <w:r w:rsidRPr="00F840AD">
        <w:t xml:space="preserve">hange in regulatory cost due to changes in </w:t>
      </w:r>
      <w:r>
        <w:t xml:space="preserve">other </w:t>
      </w:r>
      <w:r w:rsidRPr="00F840AD">
        <w:t>termination fee provisions</w:t>
      </w:r>
      <w:r>
        <w:t>—Final Advice compared with the current WCTFR requirements</w:t>
      </w:r>
    </w:p>
    <w:tbl>
      <w:tblPr>
        <w:tblStyle w:val="TableGrid"/>
        <w:tblW w:w="9297" w:type="dxa"/>
        <w:tblBorders>
          <w:insideH w:val="none" w:sz="0" w:space="0" w:color="auto"/>
          <w:insideV w:val="none" w:sz="0" w:space="0" w:color="auto"/>
        </w:tblBorders>
        <w:tblLayout w:type="fixed"/>
        <w:tblLook w:val="04A0" w:firstRow="1" w:lastRow="0" w:firstColumn="1" w:lastColumn="0" w:noHBand="0" w:noVBand="1"/>
      </w:tblPr>
      <w:tblGrid>
        <w:gridCol w:w="4776"/>
        <w:gridCol w:w="911"/>
        <w:gridCol w:w="911"/>
        <w:gridCol w:w="911"/>
        <w:gridCol w:w="911"/>
        <w:gridCol w:w="877"/>
      </w:tblGrid>
      <w:tr w:rsidR="00557E2D" w:rsidTr="00C52AEB">
        <w:trPr>
          <w:trHeight w:val="369"/>
        </w:trPr>
        <w:tc>
          <w:tcPr>
            <w:tcW w:w="4776" w:type="dxa"/>
            <w:tcBorders>
              <w:bottom w:val="single" w:sz="4" w:space="0" w:color="auto"/>
            </w:tcBorders>
            <w:shd w:val="clear" w:color="auto" w:fill="D9D9D9" w:themeFill="background1" w:themeFillShade="D9"/>
            <w:vAlign w:val="center"/>
          </w:tcPr>
          <w:p w:rsidR="00557E2D" w:rsidRDefault="00557E2D" w:rsidP="0098578F">
            <w:pPr>
              <w:pStyle w:val="tabletext"/>
            </w:pPr>
          </w:p>
        </w:tc>
        <w:tc>
          <w:tcPr>
            <w:tcW w:w="911" w:type="dxa"/>
            <w:tcBorders>
              <w:bottom w:val="single" w:sz="4" w:space="0" w:color="auto"/>
            </w:tcBorders>
            <w:shd w:val="clear" w:color="auto" w:fill="D9D9D9" w:themeFill="background1" w:themeFillShade="D9"/>
            <w:vAlign w:val="center"/>
          </w:tcPr>
          <w:p w:rsidR="00557E2D" w:rsidRPr="001C1AA7" w:rsidRDefault="00557E2D" w:rsidP="0098578F">
            <w:pPr>
              <w:pStyle w:val="tabletext"/>
              <w:jc w:val="right"/>
              <w:rPr>
                <w:b/>
              </w:rPr>
            </w:pPr>
            <w:r w:rsidRPr="001C1AA7">
              <w:t>Group 1</w:t>
            </w:r>
          </w:p>
        </w:tc>
        <w:tc>
          <w:tcPr>
            <w:tcW w:w="911" w:type="dxa"/>
            <w:tcBorders>
              <w:bottom w:val="single" w:sz="4" w:space="0" w:color="auto"/>
            </w:tcBorders>
            <w:shd w:val="clear" w:color="auto" w:fill="D9D9D9" w:themeFill="background1" w:themeFillShade="D9"/>
            <w:vAlign w:val="center"/>
          </w:tcPr>
          <w:p w:rsidR="00557E2D" w:rsidRPr="001C1AA7" w:rsidRDefault="00557E2D" w:rsidP="0098578F">
            <w:pPr>
              <w:pStyle w:val="tabletext"/>
              <w:jc w:val="right"/>
              <w:rPr>
                <w:b/>
              </w:rPr>
            </w:pPr>
            <w:r w:rsidRPr="001C1AA7">
              <w:t>Group 2</w:t>
            </w:r>
          </w:p>
        </w:tc>
        <w:tc>
          <w:tcPr>
            <w:tcW w:w="911" w:type="dxa"/>
            <w:tcBorders>
              <w:bottom w:val="single" w:sz="4" w:space="0" w:color="auto"/>
            </w:tcBorders>
            <w:shd w:val="clear" w:color="auto" w:fill="D9D9D9" w:themeFill="background1" w:themeFillShade="D9"/>
            <w:vAlign w:val="center"/>
          </w:tcPr>
          <w:p w:rsidR="00557E2D" w:rsidRPr="001C1AA7" w:rsidRDefault="00557E2D" w:rsidP="0098578F">
            <w:pPr>
              <w:pStyle w:val="tabletext"/>
              <w:jc w:val="right"/>
              <w:rPr>
                <w:b/>
              </w:rPr>
            </w:pPr>
            <w:r w:rsidRPr="001C1AA7">
              <w:t>Group 3</w:t>
            </w:r>
          </w:p>
        </w:tc>
        <w:tc>
          <w:tcPr>
            <w:tcW w:w="911" w:type="dxa"/>
            <w:tcBorders>
              <w:bottom w:val="single" w:sz="4" w:space="0" w:color="auto"/>
              <w:right w:val="single" w:sz="4" w:space="0" w:color="auto"/>
            </w:tcBorders>
            <w:shd w:val="clear" w:color="auto" w:fill="D9D9D9" w:themeFill="background1" w:themeFillShade="D9"/>
            <w:vAlign w:val="center"/>
          </w:tcPr>
          <w:p w:rsidR="00557E2D" w:rsidRPr="001C1AA7" w:rsidRDefault="00557E2D" w:rsidP="0098578F">
            <w:pPr>
              <w:pStyle w:val="tabletext"/>
              <w:jc w:val="right"/>
              <w:rPr>
                <w:b/>
              </w:rPr>
            </w:pPr>
            <w:r w:rsidRPr="001C1AA7">
              <w:t>Group 4</w:t>
            </w:r>
          </w:p>
        </w:tc>
        <w:tc>
          <w:tcPr>
            <w:tcW w:w="875" w:type="dxa"/>
            <w:tcBorders>
              <w:top w:val="single" w:sz="4" w:space="0" w:color="auto"/>
              <w:left w:val="single" w:sz="4" w:space="0" w:color="auto"/>
              <w:bottom w:val="single" w:sz="4" w:space="0" w:color="auto"/>
            </w:tcBorders>
            <w:shd w:val="clear" w:color="auto" w:fill="D9D9D9" w:themeFill="background1" w:themeFillShade="D9"/>
            <w:vAlign w:val="center"/>
          </w:tcPr>
          <w:p w:rsidR="00557E2D" w:rsidRPr="00B6775C" w:rsidRDefault="00557E2D" w:rsidP="0098578F">
            <w:pPr>
              <w:pStyle w:val="tabletext"/>
              <w:jc w:val="right"/>
              <w:rPr>
                <w:b/>
              </w:rPr>
            </w:pPr>
            <w:r w:rsidRPr="00B6775C">
              <w:rPr>
                <w:b/>
              </w:rPr>
              <w:t>Total</w:t>
            </w:r>
          </w:p>
        </w:tc>
      </w:tr>
      <w:tr w:rsidR="00557E2D" w:rsidTr="005B0005">
        <w:trPr>
          <w:trHeight w:val="229"/>
        </w:trPr>
        <w:tc>
          <w:tcPr>
            <w:tcW w:w="4776" w:type="dxa"/>
            <w:tcBorders>
              <w:top w:val="single" w:sz="4" w:space="0" w:color="auto"/>
              <w:bottom w:val="single" w:sz="4" w:space="0" w:color="auto"/>
            </w:tcBorders>
            <w:vAlign w:val="center"/>
          </w:tcPr>
          <w:p w:rsidR="00557E2D" w:rsidRPr="00B6775C" w:rsidRDefault="00557E2D" w:rsidP="0098578F">
            <w:pPr>
              <w:pStyle w:val="tabletext"/>
              <w:rPr>
                <w:b/>
              </w:rPr>
            </w:pPr>
            <w:r w:rsidRPr="00B6775C">
              <w:rPr>
                <w:b/>
              </w:rPr>
              <w:t>No. of affected operators</w:t>
            </w:r>
          </w:p>
        </w:tc>
        <w:tc>
          <w:tcPr>
            <w:tcW w:w="911" w:type="dxa"/>
            <w:tcBorders>
              <w:top w:val="single" w:sz="4" w:space="0" w:color="auto"/>
              <w:bottom w:val="single" w:sz="4" w:space="0" w:color="auto"/>
            </w:tcBorders>
            <w:vAlign w:val="center"/>
          </w:tcPr>
          <w:p w:rsidR="00557E2D" w:rsidRDefault="00557E2D" w:rsidP="0098578F">
            <w:pPr>
              <w:pStyle w:val="tabletext"/>
              <w:jc w:val="right"/>
            </w:pPr>
            <w:r>
              <w:t>8</w:t>
            </w:r>
          </w:p>
        </w:tc>
        <w:tc>
          <w:tcPr>
            <w:tcW w:w="911" w:type="dxa"/>
            <w:tcBorders>
              <w:top w:val="single" w:sz="4" w:space="0" w:color="auto"/>
              <w:bottom w:val="single" w:sz="4" w:space="0" w:color="auto"/>
            </w:tcBorders>
            <w:vAlign w:val="center"/>
          </w:tcPr>
          <w:p w:rsidR="00557E2D" w:rsidRDefault="00557E2D" w:rsidP="0098578F">
            <w:pPr>
              <w:pStyle w:val="tabletext"/>
              <w:jc w:val="right"/>
            </w:pPr>
            <w:r>
              <w:t>12</w:t>
            </w:r>
          </w:p>
        </w:tc>
        <w:tc>
          <w:tcPr>
            <w:tcW w:w="911" w:type="dxa"/>
            <w:tcBorders>
              <w:top w:val="single" w:sz="4" w:space="0" w:color="auto"/>
              <w:bottom w:val="single" w:sz="4" w:space="0" w:color="auto"/>
            </w:tcBorders>
            <w:vAlign w:val="center"/>
          </w:tcPr>
          <w:p w:rsidR="00557E2D" w:rsidRDefault="00557E2D" w:rsidP="0098578F">
            <w:pPr>
              <w:pStyle w:val="tabletext"/>
              <w:jc w:val="right"/>
            </w:pPr>
            <w:r>
              <w:t>5</w:t>
            </w:r>
          </w:p>
        </w:tc>
        <w:tc>
          <w:tcPr>
            <w:tcW w:w="911" w:type="dxa"/>
            <w:tcBorders>
              <w:top w:val="single" w:sz="4" w:space="0" w:color="auto"/>
              <w:bottom w:val="single" w:sz="4" w:space="0" w:color="auto"/>
              <w:right w:val="single" w:sz="4" w:space="0" w:color="auto"/>
            </w:tcBorders>
            <w:vAlign w:val="center"/>
          </w:tcPr>
          <w:p w:rsidR="00557E2D" w:rsidRDefault="00557E2D" w:rsidP="0098578F">
            <w:pPr>
              <w:pStyle w:val="tabletext"/>
              <w:jc w:val="right"/>
            </w:pPr>
            <w:r>
              <w:t>2</w:t>
            </w:r>
          </w:p>
        </w:tc>
        <w:tc>
          <w:tcPr>
            <w:tcW w:w="875" w:type="dxa"/>
            <w:tcBorders>
              <w:top w:val="single" w:sz="4" w:space="0" w:color="auto"/>
              <w:left w:val="single" w:sz="4" w:space="0" w:color="auto"/>
              <w:bottom w:val="single" w:sz="4" w:space="0" w:color="auto"/>
            </w:tcBorders>
            <w:vAlign w:val="center"/>
          </w:tcPr>
          <w:p w:rsidR="00557E2D" w:rsidRDefault="00557E2D" w:rsidP="0098578F">
            <w:pPr>
              <w:pStyle w:val="tabletext"/>
              <w:jc w:val="right"/>
            </w:pPr>
            <w:r>
              <w:t>27</w:t>
            </w:r>
          </w:p>
        </w:tc>
      </w:tr>
      <w:tr w:rsidR="00557E2D" w:rsidRPr="000A4268" w:rsidTr="005B0005">
        <w:trPr>
          <w:trHeight w:val="369"/>
        </w:trPr>
        <w:tc>
          <w:tcPr>
            <w:tcW w:w="9297" w:type="dxa"/>
            <w:gridSpan w:val="6"/>
            <w:tcBorders>
              <w:top w:val="single" w:sz="4" w:space="0" w:color="auto"/>
              <w:bottom w:val="single" w:sz="4" w:space="0" w:color="auto"/>
            </w:tcBorders>
            <w:vAlign w:val="center"/>
          </w:tcPr>
          <w:p w:rsidR="00557E2D" w:rsidRPr="00B6775C" w:rsidRDefault="00557E2D" w:rsidP="0098578F">
            <w:pPr>
              <w:pStyle w:val="tabletext"/>
              <w:rPr>
                <w:b/>
              </w:rPr>
            </w:pPr>
            <w:r w:rsidRPr="00B6775C">
              <w:rPr>
                <w:b/>
              </w:rPr>
              <w:t>Initial review of current policies relating to termination fees</w:t>
            </w:r>
          </w:p>
        </w:tc>
      </w:tr>
      <w:tr w:rsidR="00557E2D" w:rsidRPr="000A4268" w:rsidTr="005B0005">
        <w:trPr>
          <w:trHeight w:val="369"/>
        </w:trPr>
        <w:tc>
          <w:tcPr>
            <w:tcW w:w="4776" w:type="dxa"/>
            <w:tcBorders>
              <w:top w:val="single" w:sz="4" w:space="0" w:color="auto"/>
            </w:tcBorders>
            <w:vAlign w:val="center"/>
          </w:tcPr>
          <w:p w:rsidR="00557E2D" w:rsidRPr="00B6775C" w:rsidRDefault="00557E2D" w:rsidP="0098578F">
            <w:pPr>
              <w:pStyle w:val="tabletext"/>
              <w:ind w:left="142"/>
            </w:pPr>
            <w:r w:rsidRPr="00B6775C">
              <w:t xml:space="preserve">Average </w:t>
            </w:r>
            <w:r>
              <w:t xml:space="preserve">start-up </w:t>
            </w:r>
            <w:r w:rsidRPr="00B6775C">
              <w:t>hours per operator</w:t>
            </w:r>
          </w:p>
        </w:tc>
        <w:tc>
          <w:tcPr>
            <w:tcW w:w="911" w:type="dxa"/>
            <w:tcBorders>
              <w:top w:val="single" w:sz="4" w:space="0" w:color="auto"/>
            </w:tcBorders>
            <w:vAlign w:val="center"/>
          </w:tcPr>
          <w:p w:rsidR="00557E2D" w:rsidRDefault="00557E2D" w:rsidP="0098578F">
            <w:pPr>
              <w:pStyle w:val="tabletext"/>
              <w:jc w:val="right"/>
            </w:pPr>
            <w:r>
              <w:t>4</w:t>
            </w:r>
          </w:p>
        </w:tc>
        <w:tc>
          <w:tcPr>
            <w:tcW w:w="911" w:type="dxa"/>
            <w:tcBorders>
              <w:top w:val="single" w:sz="4" w:space="0" w:color="auto"/>
            </w:tcBorders>
            <w:vAlign w:val="center"/>
          </w:tcPr>
          <w:p w:rsidR="00557E2D" w:rsidRDefault="00557E2D" w:rsidP="0098578F">
            <w:pPr>
              <w:pStyle w:val="tabletext"/>
              <w:jc w:val="right"/>
            </w:pPr>
            <w:r>
              <w:t>4</w:t>
            </w:r>
          </w:p>
        </w:tc>
        <w:tc>
          <w:tcPr>
            <w:tcW w:w="911" w:type="dxa"/>
            <w:tcBorders>
              <w:top w:val="single" w:sz="4" w:space="0" w:color="auto"/>
            </w:tcBorders>
            <w:vAlign w:val="center"/>
          </w:tcPr>
          <w:p w:rsidR="00557E2D" w:rsidRDefault="00557E2D" w:rsidP="0098578F">
            <w:pPr>
              <w:pStyle w:val="tabletext"/>
              <w:jc w:val="right"/>
            </w:pPr>
            <w:r>
              <w:t>4</w:t>
            </w:r>
          </w:p>
        </w:tc>
        <w:tc>
          <w:tcPr>
            <w:tcW w:w="911" w:type="dxa"/>
            <w:tcBorders>
              <w:top w:val="single" w:sz="4" w:space="0" w:color="auto"/>
              <w:right w:val="single" w:sz="4" w:space="0" w:color="auto"/>
            </w:tcBorders>
            <w:vAlign w:val="center"/>
          </w:tcPr>
          <w:p w:rsidR="00557E2D" w:rsidRDefault="00557E2D" w:rsidP="0098578F">
            <w:pPr>
              <w:pStyle w:val="tabletext"/>
              <w:jc w:val="right"/>
            </w:pPr>
            <w:r>
              <w:t>4</w:t>
            </w:r>
          </w:p>
        </w:tc>
        <w:tc>
          <w:tcPr>
            <w:tcW w:w="875" w:type="dxa"/>
            <w:tcBorders>
              <w:top w:val="single" w:sz="4" w:space="0" w:color="auto"/>
              <w:left w:val="single" w:sz="4" w:space="0" w:color="auto"/>
            </w:tcBorders>
            <w:shd w:val="clear" w:color="auto" w:fill="auto"/>
            <w:vAlign w:val="center"/>
          </w:tcPr>
          <w:p w:rsidR="00557E2D" w:rsidRPr="000A4268" w:rsidRDefault="00557E2D" w:rsidP="0098578F">
            <w:pPr>
              <w:pStyle w:val="tabletext"/>
              <w:jc w:val="right"/>
              <w:rPr>
                <w:b/>
              </w:rPr>
            </w:pPr>
          </w:p>
        </w:tc>
      </w:tr>
      <w:tr w:rsidR="00557E2D" w:rsidRPr="000A4268" w:rsidTr="005B0005">
        <w:trPr>
          <w:trHeight w:val="369"/>
        </w:trPr>
        <w:tc>
          <w:tcPr>
            <w:tcW w:w="4776" w:type="dxa"/>
            <w:vAlign w:val="center"/>
          </w:tcPr>
          <w:p w:rsidR="00557E2D" w:rsidRPr="00F02BC8" w:rsidRDefault="00557E2D" w:rsidP="0098578F">
            <w:pPr>
              <w:pStyle w:val="tabletext"/>
              <w:ind w:left="142"/>
              <w:rPr>
                <w:b/>
              </w:rPr>
            </w:pPr>
            <w:r>
              <w:t>Annualised c</w:t>
            </w:r>
            <w:r w:rsidRPr="00C834E8">
              <w:t>hange in regulatory cost</w:t>
            </w:r>
            <w:r w:rsidDel="00BC62BC">
              <w:t xml:space="preserve"> </w:t>
            </w:r>
          </w:p>
        </w:tc>
        <w:tc>
          <w:tcPr>
            <w:tcW w:w="911" w:type="dxa"/>
            <w:vAlign w:val="center"/>
          </w:tcPr>
          <w:p w:rsidR="00557E2D" w:rsidRDefault="00557E2D" w:rsidP="0098578F">
            <w:pPr>
              <w:pStyle w:val="tabletext"/>
              <w:jc w:val="right"/>
            </w:pPr>
            <w:r>
              <w:t>$209</w:t>
            </w:r>
          </w:p>
        </w:tc>
        <w:tc>
          <w:tcPr>
            <w:tcW w:w="911" w:type="dxa"/>
            <w:vAlign w:val="center"/>
          </w:tcPr>
          <w:p w:rsidR="00557E2D" w:rsidRDefault="00557E2D" w:rsidP="0098578F">
            <w:pPr>
              <w:pStyle w:val="tabletext"/>
              <w:jc w:val="right"/>
            </w:pPr>
            <w:r>
              <w:t>$314</w:t>
            </w:r>
          </w:p>
        </w:tc>
        <w:tc>
          <w:tcPr>
            <w:tcW w:w="911" w:type="dxa"/>
            <w:vAlign w:val="center"/>
          </w:tcPr>
          <w:p w:rsidR="00557E2D" w:rsidRDefault="00557E2D" w:rsidP="0098578F">
            <w:pPr>
              <w:pStyle w:val="tabletext"/>
              <w:jc w:val="right"/>
            </w:pPr>
            <w:r>
              <w:t>$131</w:t>
            </w:r>
          </w:p>
        </w:tc>
        <w:tc>
          <w:tcPr>
            <w:tcW w:w="911" w:type="dxa"/>
            <w:tcBorders>
              <w:right w:val="single" w:sz="4" w:space="0" w:color="auto"/>
            </w:tcBorders>
            <w:vAlign w:val="center"/>
          </w:tcPr>
          <w:p w:rsidR="00557E2D" w:rsidRDefault="00557E2D" w:rsidP="0098578F">
            <w:pPr>
              <w:pStyle w:val="tabletext"/>
              <w:jc w:val="right"/>
            </w:pPr>
            <w:r>
              <w:t>$52</w:t>
            </w:r>
          </w:p>
        </w:tc>
        <w:tc>
          <w:tcPr>
            <w:tcW w:w="875" w:type="dxa"/>
            <w:tcBorders>
              <w:left w:val="single" w:sz="4" w:space="0" w:color="auto"/>
            </w:tcBorders>
            <w:vAlign w:val="center"/>
          </w:tcPr>
          <w:p w:rsidR="00557E2D" w:rsidRPr="00200D46" w:rsidRDefault="00557E2D" w:rsidP="0098578F">
            <w:pPr>
              <w:pStyle w:val="tabletext"/>
              <w:jc w:val="right"/>
              <w:rPr>
                <w:b/>
              </w:rPr>
            </w:pPr>
            <w:r w:rsidRPr="00200D46">
              <w:rPr>
                <w:b/>
              </w:rPr>
              <w:t>$707</w:t>
            </w:r>
          </w:p>
        </w:tc>
      </w:tr>
      <w:tr w:rsidR="00557E2D" w:rsidRPr="000A4268" w:rsidTr="005B0005">
        <w:trPr>
          <w:trHeight w:val="369"/>
        </w:trPr>
        <w:tc>
          <w:tcPr>
            <w:tcW w:w="9297" w:type="dxa"/>
            <w:gridSpan w:val="6"/>
            <w:tcBorders>
              <w:top w:val="single" w:sz="4" w:space="0" w:color="auto"/>
              <w:bottom w:val="single" w:sz="4" w:space="0" w:color="auto"/>
            </w:tcBorders>
            <w:vAlign w:val="center"/>
          </w:tcPr>
          <w:p w:rsidR="00557E2D" w:rsidRPr="00B6775C" w:rsidRDefault="00557E2D" w:rsidP="0098578F">
            <w:pPr>
              <w:pStyle w:val="tabletext"/>
              <w:rPr>
                <w:b/>
              </w:rPr>
            </w:pPr>
            <w:r w:rsidRPr="00B6775C">
              <w:rPr>
                <w:b/>
              </w:rPr>
              <w:t>Annual provision of information to terminating customers</w:t>
            </w:r>
          </w:p>
        </w:tc>
      </w:tr>
      <w:tr w:rsidR="00557E2D" w:rsidRPr="000A4268" w:rsidTr="005B0005">
        <w:trPr>
          <w:trHeight w:val="369"/>
        </w:trPr>
        <w:tc>
          <w:tcPr>
            <w:tcW w:w="4776" w:type="dxa"/>
            <w:tcBorders>
              <w:top w:val="single" w:sz="4" w:space="0" w:color="auto"/>
              <w:bottom w:val="nil"/>
            </w:tcBorders>
            <w:vAlign w:val="center"/>
          </w:tcPr>
          <w:p w:rsidR="00557E2D" w:rsidRPr="00B6775C" w:rsidRDefault="00557E2D" w:rsidP="0098578F">
            <w:pPr>
              <w:pStyle w:val="tabletext"/>
              <w:ind w:left="142"/>
            </w:pPr>
            <w:r w:rsidRPr="00B6775C">
              <w:t>Average</w:t>
            </w:r>
            <w:r>
              <w:t xml:space="preserve"> annual</w:t>
            </w:r>
            <w:r w:rsidRPr="00B6775C">
              <w:t xml:space="preserve"> hours per operator</w:t>
            </w:r>
          </w:p>
        </w:tc>
        <w:tc>
          <w:tcPr>
            <w:tcW w:w="911" w:type="dxa"/>
            <w:tcBorders>
              <w:top w:val="single" w:sz="4" w:space="0" w:color="auto"/>
              <w:bottom w:val="nil"/>
            </w:tcBorders>
            <w:vAlign w:val="center"/>
          </w:tcPr>
          <w:p w:rsidR="00557E2D" w:rsidRDefault="00557E2D" w:rsidP="0098578F">
            <w:pPr>
              <w:pStyle w:val="tabletext"/>
              <w:jc w:val="right"/>
            </w:pPr>
            <w:r>
              <w:t>1</w:t>
            </w:r>
          </w:p>
        </w:tc>
        <w:tc>
          <w:tcPr>
            <w:tcW w:w="911" w:type="dxa"/>
            <w:tcBorders>
              <w:top w:val="single" w:sz="4" w:space="0" w:color="auto"/>
              <w:bottom w:val="nil"/>
            </w:tcBorders>
            <w:vAlign w:val="center"/>
          </w:tcPr>
          <w:p w:rsidR="00557E2D" w:rsidRDefault="00557E2D" w:rsidP="0098578F">
            <w:pPr>
              <w:pStyle w:val="tabletext"/>
              <w:jc w:val="right"/>
            </w:pPr>
            <w:r>
              <w:t>2</w:t>
            </w:r>
          </w:p>
        </w:tc>
        <w:tc>
          <w:tcPr>
            <w:tcW w:w="911" w:type="dxa"/>
            <w:tcBorders>
              <w:top w:val="single" w:sz="4" w:space="0" w:color="auto"/>
              <w:bottom w:val="nil"/>
            </w:tcBorders>
            <w:vAlign w:val="center"/>
          </w:tcPr>
          <w:p w:rsidR="00557E2D" w:rsidRDefault="00557E2D" w:rsidP="0098578F">
            <w:pPr>
              <w:pStyle w:val="tabletext"/>
              <w:jc w:val="right"/>
            </w:pPr>
            <w:r>
              <w:t>2</w:t>
            </w:r>
          </w:p>
        </w:tc>
        <w:tc>
          <w:tcPr>
            <w:tcW w:w="911" w:type="dxa"/>
            <w:tcBorders>
              <w:top w:val="single" w:sz="4" w:space="0" w:color="auto"/>
              <w:bottom w:val="nil"/>
              <w:right w:val="single" w:sz="4" w:space="0" w:color="auto"/>
            </w:tcBorders>
            <w:vAlign w:val="center"/>
          </w:tcPr>
          <w:p w:rsidR="00557E2D" w:rsidRDefault="00557E2D" w:rsidP="0098578F">
            <w:pPr>
              <w:pStyle w:val="tabletext"/>
              <w:jc w:val="right"/>
            </w:pPr>
            <w:r>
              <w:t>1</w:t>
            </w:r>
          </w:p>
        </w:tc>
        <w:tc>
          <w:tcPr>
            <w:tcW w:w="875" w:type="dxa"/>
            <w:tcBorders>
              <w:top w:val="single" w:sz="4" w:space="0" w:color="auto"/>
              <w:left w:val="single" w:sz="4" w:space="0" w:color="auto"/>
              <w:bottom w:val="nil"/>
            </w:tcBorders>
            <w:shd w:val="clear" w:color="auto" w:fill="auto"/>
            <w:vAlign w:val="center"/>
          </w:tcPr>
          <w:p w:rsidR="00557E2D" w:rsidRPr="000A4268" w:rsidRDefault="00557E2D" w:rsidP="0098578F">
            <w:pPr>
              <w:pStyle w:val="tabletext"/>
              <w:jc w:val="right"/>
              <w:rPr>
                <w:b/>
              </w:rPr>
            </w:pPr>
          </w:p>
        </w:tc>
      </w:tr>
      <w:tr w:rsidR="00557E2D" w:rsidRPr="000A4268" w:rsidTr="005B0005">
        <w:trPr>
          <w:trHeight w:val="369"/>
        </w:trPr>
        <w:tc>
          <w:tcPr>
            <w:tcW w:w="4776" w:type="dxa"/>
            <w:tcBorders>
              <w:top w:val="nil"/>
              <w:bottom w:val="single" w:sz="4" w:space="0" w:color="auto"/>
            </w:tcBorders>
            <w:vAlign w:val="center"/>
          </w:tcPr>
          <w:p w:rsidR="00557E2D" w:rsidRPr="001C1AA7" w:rsidRDefault="00557E2D" w:rsidP="0098578F">
            <w:pPr>
              <w:pStyle w:val="tabletext"/>
              <w:ind w:left="142"/>
            </w:pPr>
            <w:r>
              <w:t>Annualised c</w:t>
            </w:r>
            <w:r w:rsidRPr="00C834E8">
              <w:t>hange in regulatory cost</w:t>
            </w:r>
            <w:r w:rsidDel="00BC62BC">
              <w:t xml:space="preserve"> </w:t>
            </w:r>
          </w:p>
        </w:tc>
        <w:tc>
          <w:tcPr>
            <w:tcW w:w="911" w:type="dxa"/>
            <w:tcBorders>
              <w:top w:val="nil"/>
              <w:bottom w:val="single" w:sz="4" w:space="0" w:color="auto"/>
            </w:tcBorders>
            <w:vAlign w:val="center"/>
          </w:tcPr>
          <w:p w:rsidR="00557E2D" w:rsidRDefault="00557E2D" w:rsidP="0098578F">
            <w:pPr>
              <w:pStyle w:val="tabletext"/>
              <w:jc w:val="right"/>
            </w:pPr>
            <w:r>
              <w:t>$524</w:t>
            </w:r>
          </w:p>
        </w:tc>
        <w:tc>
          <w:tcPr>
            <w:tcW w:w="911" w:type="dxa"/>
            <w:tcBorders>
              <w:top w:val="nil"/>
              <w:bottom w:val="single" w:sz="4" w:space="0" w:color="auto"/>
            </w:tcBorders>
            <w:vAlign w:val="center"/>
          </w:tcPr>
          <w:p w:rsidR="00557E2D" w:rsidRDefault="00557E2D" w:rsidP="0098578F">
            <w:pPr>
              <w:pStyle w:val="tabletext"/>
              <w:jc w:val="right"/>
            </w:pPr>
            <w:r>
              <w:t>$1</w:t>
            </w:r>
            <w:r w:rsidR="001D7878">
              <w:t xml:space="preserve"> </w:t>
            </w:r>
            <w:r>
              <w:t>571</w:t>
            </w:r>
          </w:p>
        </w:tc>
        <w:tc>
          <w:tcPr>
            <w:tcW w:w="911" w:type="dxa"/>
            <w:tcBorders>
              <w:top w:val="nil"/>
              <w:bottom w:val="single" w:sz="4" w:space="0" w:color="auto"/>
            </w:tcBorders>
            <w:vAlign w:val="center"/>
          </w:tcPr>
          <w:p w:rsidR="00557E2D" w:rsidRDefault="00557E2D" w:rsidP="0098578F">
            <w:pPr>
              <w:pStyle w:val="tabletext"/>
              <w:jc w:val="right"/>
            </w:pPr>
            <w:r>
              <w:t>$655</w:t>
            </w:r>
          </w:p>
        </w:tc>
        <w:tc>
          <w:tcPr>
            <w:tcW w:w="911" w:type="dxa"/>
            <w:tcBorders>
              <w:top w:val="nil"/>
              <w:bottom w:val="single" w:sz="4" w:space="0" w:color="auto"/>
              <w:right w:val="single" w:sz="4" w:space="0" w:color="auto"/>
            </w:tcBorders>
            <w:vAlign w:val="center"/>
          </w:tcPr>
          <w:p w:rsidR="00557E2D" w:rsidRDefault="00557E2D" w:rsidP="0098578F">
            <w:pPr>
              <w:pStyle w:val="tabletext"/>
              <w:jc w:val="right"/>
            </w:pPr>
            <w:r>
              <w:t>$131</w:t>
            </w:r>
          </w:p>
        </w:tc>
        <w:tc>
          <w:tcPr>
            <w:tcW w:w="875" w:type="dxa"/>
            <w:tcBorders>
              <w:top w:val="nil"/>
              <w:left w:val="single" w:sz="4" w:space="0" w:color="auto"/>
              <w:bottom w:val="single" w:sz="4" w:space="0" w:color="auto"/>
            </w:tcBorders>
            <w:vAlign w:val="center"/>
          </w:tcPr>
          <w:p w:rsidR="00557E2D" w:rsidRDefault="00557E2D" w:rsidP="0098578F">
            <w:pPr>
              <w:pStyle w:val="tabletext"/>
              <w:jc w:val="right"/>
              <w:rPr>
                <w:b/>
              </w:rPr>
            </w:pPr>
            <w:r>
              <w:rPr>
                <w:b/>
              </w:rPr>
              <w:t>$2 880</w:t>
            </w:r>
          </w:p>
        </w:tc>
      </w:tr>
      <w:tr w:rsidR="00557E2D" w:rsidRPr="000A4268" w:rsidTr="005B0005">
        <w:trPr>
          <w:trHeight w:val="369"/>
        </w:trPr>
        <w:tc>
          <w:tcPr>
            <w:tcW w:w="4776" w:type="dxa"/>
            <w:tcBorders>
              <w:top w:val="nil"/>
              <w:bottom w:val="single" w:sz="4" w:space="0" w:color="auto"/>
            </w:tcBorders>
            <w:vAlign w:val="center"/>
          </w:tcPr>
          <w:p w:rsidR="00557E2D" w:rsidRDefault="00557E2D" w:rsidP="00C6733C">
            <w:pPr>
              <w:pStyle w:val="tabletext"/>
            </w:pPr>
            <w:r w:rsidRPr="00686495">
              <w:rPr>
                <w:b/>
              </w:rPr>
              <w:t>Total net annualised change in regulatory cost ($/yr)</w:t>
            </w:r>
            <w:r>
              <w:rPr>
                <w:b/>
              </w:rPr>
              <w:t xml:space="preserve"> </w:t>
            </w:r>
          </w:p>
        </w:tc>
        <w:tc>
          <w:tcPr>
            <w:tcW w:w="911" w:type="dxa"/>
            <w:tcBorders>
              <w:top w:val="nil"/>
              <w:bottom w:val="single" w:sz="4" w:space="0" w:color="auto"/>
            </w:tcBorders>
            <w:vAlign w:val="center"/>
          </w:tcPr>
          <w:p w:rsidR="00557E2D" w:rsidRDefault="00557E2D" w:rsidP="00C6733C">
            <w:pPr>
              <w:pStyle w:val="tabletext"/>
              <w:jc w:val="right"/>
            </w:pPr>
            <w:r>
              <w:rPr>
                <w:b/>
              </w:rPr>
              <w:t>$733</w:t>
            </w:r>
          </w:p>
        </w:tc>
        <w:tc>
          <w:tcPr>
            <w:tcW w:w="911" w:type="dxa"/>
            <w:tcBorders>
              <w:top w:val="nil"/>
              <w:bottom w:val="single" w:sz="4" w:space="0" w:color="auto"/>
            </w:tcBorders>
            <w:vAlign w:val="center"/>
          </w:tcPr>
          <w:p w:rsidR="00557E2D" w:rsidRDefault="00557E2D" w:rsidP="004F6BD0">
            <w:pPr>
              <w:pStyle w:val="tabletext"/>
              <w:jc w:val="right"/>
            </w:pPr>
            <w:r>
              <w:rPr>
                <w:b/>
              </w:rPr>
              <w:t>$1</w:t>
            </w:r>
            <w:r w:rsidR="001D7878">
              <w:rPr>
                <w:b/>
              </w:rPr>
              <w:t xml:space="preserve"> </w:t>
            </w:r>
            <w:r>
              <w:rPr>
                <w:b/>
              </w:rPr>
              <w:t>885</w:t>
            </w:r>
          </w:p>
        </w:tc>
        <w:tc>
          <w:tcPr>
            <w:tcW w:w="911" w:type="dxa"/>
            <w:tcBorders>
              <w:top w:val="nil"/>
              <w:bottom w:val="single" w:sz="4" w:space="0" w:color="auto"/>
            </w:tcBorders>
            <w:vAlign w:val="center"/>
          </w:tcPr>
          <w:p w:rsidR="00557E2D" w:rsidRDefault="00557E2D" w:rsidP="004F6BD0">
            <w:pPr>
              <w:pStyle w:val="tabletext"/>
              <w:jc w:val="right"/>
            </w:pPr>
            <w:r>
              <w:rPr>
                <w:b/>
              </w:rPr>
              <w:t>$785</w:t>
            </w:r>
            <w:r w:rsidR="004F6BD0">
              <w:rPr>
                <w:b/>
              </w:rPr>
              <w:t xml:space="preserve"> </w:t>
            </w:r>
            <w:r>
              <w:rPr>
                <w:b/>
              </w:rPr>
              <w:t xml:space="preserve"> </w:t>
            </w:r>
          </w:p>
        </w:tc>
        <w:tc>
          <w:tcPr>
            <w:tcW w:w="911" w:type="dxa"/>
            <w:tcBorders>
              <w:top w:val="nil"/>
              <w:bottom w:val="single" w:sz="4" w:space="0" w:color="auto"/>
              <w:right w:val="single" w:sz="4" w:space="0" w:color="auto"/>
            </w:tcBorders>
            <w:vAlign w:val="center"/>
          </w:tcPr>
          <w:p w:rsidR="00557E2D" w:rsidRPr="001A17CF" w:rsidRDefault="00557E2D" w:rsidP="0098578F">
            <w:pPr>
              <w:pStyle w:val="tabletext"/>
              <w:jc w:val="right"/>
              <w:rPr>
                <w:b/>
              </w:rPr>
            </w:pPr>
            <w:r>
              <w:rPr>
                <w:b/>
              </w:rPr>
              <w:t xml:space="preserve">$183 </w:t>
            </w:r>
          </w:p>
        </w:tc>
        <w:tc>
          <w:tcPr>
            <w:tcW w:w="875" w:type="dxa"/>
            <w:tcBorders>
              <w:top w:val="nil"/>
              <w:left w:val="single" w:sz="4" w:space="0" w:color="auto"/>
              <w:bottom w:val="single" w:sz="4" w:space="0" w:color="auto"/>
            </w:tcBorders>
            <w:vAlign w:val="center"/>
          </w:tcPr>
          <w:p w:rsidR="00557E2D" w:rsidRDefault="00557E2D" w:rsidP="0098578F">
            <w:pPr>
              <w:pStyle w:val="tabletext"/>
              <w:jc w:val="right"/>
              <w:rPr>
                <w:b/>
              </w:rPr>
            </w:pPr>
            <w:r>
              <w:rPr>
                <w:b/>
              </w:rPr>
              <w:t>$3 587</w:t>
            </w:r>
          </w:p>
        </w:tc>
      </w:tr>
    </w:tbl>
    <w:p w:rsidR="00557E2D" w:rsidRDefault="00557E2D" w:rsidP="00557E2D">
      <w:pPr>
        <w:pStyle w:val="Heading2"/>
        <w:spacing w:after="240"/>
      </w:pPr>
      <w:bookmarkStart w:id="1510" w:name="_Toc456785858"/>
      <w:bookmarkStart w:id="1511" w:name="_Toc461630770"/>
      <w:r>
        <w:t>Proposed amendments regarding planning and management charges</w:t>
      </w:r>
      <w:bookmarkEnd w:id="1510"/>
      <w:bookmarkEnd w:id="1511"/>
    </w:p>
    <w:p w:rsidR="00557E2D" w:rsidRDefault="00557E2D" w:rsidP="00557E2D">
      <w:pPr>
        <w:tabs>
          <w:tab w:val="left" w:pos="340"/>
        </w:tabs>
        <w:spacing w:before="120" w:after="120"/>
        <w:rPr>
          <w:rFonts w:cs="Arial"/>
        </w:rPr>
      </w:pPr>
      <w:r w:rsidRPr="00B266B9">
        <w:rPr>
          <w:rFonts w:cs="Arial"/>
        </w:rPr>
        <w:t xml:space="preserve">Planning and management charges are currently regulated under the </w:t>
      </w:r>
      <w:r w:rsidR="008555EC" w:rsidRPr="00524D9F">
        <w:rPr>
          <w:rFonts w:cs="Times New Roman"/>
        </w:rPr>
        <w:t xml:space="preserve">Water Charge (Planning and Management Information) Rules 2010 </w:t>
      </w:r>
      <w:r w:rsidR="008555EC">
        <w:rPr>
          <w:rFonts w:cs="Times New Roman"/>
        </w:rPr>
        <w:t>(</w:t>
      </w:r>
      <w:r>
        <w:rPr>
          <w:rFonts w:cs="Arial"/>
        </w:rPr>
        <w:t>WCPMIR</w:t>
      </w:r>
      <w:r w:rsidR="008555EC">
        <w:rPr>
          <w:rFonts w:cs="Arial"/>
        </w:rPr>
        <w:t>)</w:t>
      </w:r>
      <w:r>
        <w:rPr>
          <w:rFonts w:cs="Arial"/>
        </w:rPr>
        <w:t xml:space="preserve">, which apply to Basin Sate government departments and water authorities. Under </w:t>
      </w:r>
      <w:r w:rsidR="00A74192">
        <w:rPr>
          <w:rFonts w:cs="Arial"/>
        </w:rPr>
        <w:t>the Office of Best Practice Regulation (</w:t>
      </w:r>
      <w:r>
        <w:rPr>
          <w:rFonts w:cs="Arial"/>
        </w:rPr>
        <w:t>OBPR</w:t>
      </w:r>
      <w:r w:rsidR="00A74192">
        <w:rPr>
          <w:rFonts w:cs="Arial"/>
        </w:rPr>
        <w:t>)</w:t>
      </w:r>
      <w:r>
        <w:rPr>
          <w:rFonts w:cs="Arial"/>
        </w:rPr>
        <w:t xml:space="preserve"> </w:t>
      </w:r>
      <w:r w:rsidRPr="006D7892">
        <w:rPr>
          <w:rFonts w:cs="Arial"/>
        </w:rPr>
        <w:t xml:space="preserve">guidelines all </w:t>
      </w:r>
      <w:r>
        <w:rPr>
          <w:rFonts w:cs="Arial"/>
        </w:rPr>
        <w:t xml:space="preserve">regulatory burdens imposed on </w:t>
      </w:r>
      <w:r w:rsidRPr="006D7892">
        <w:rPr>
          <w:rFonts w:cs="Arial"/>
        </w:rPr>
        <w:t xml:space="preserve">state and commonwealth government departments are not included in regulatory </w:t>
      </w:r>
      <w:r>
        <w:rPr>
          <w:rFonts w:cs="Arial"/>
        </w:rPr>
        <w:t>costs</w:t>
      </w:r>
      <w:r w:rsidRPr="006D7892">
        <w:rPr>
          <w:rFonts w:cs="Arial"/>
        </w:rPr>
        <w:t xml:space="preserve">. </w:t>
      </w:r>
      <w:r>
        <w:rPr>
          <w:rFonts w:cs="Arial"/>
        </w:rPr>
        <w:t>As such, any estimated change in regulatory cost only includes the four water authorities in Victoria</w:t>
      </w:r>
      <w:r>
        <w:rPr>
          <w:rStyle w:val="FootnoteReference"/>
          <w:rFonts w:cs="Arial"/>
        </w:rPr>
        <w:footnoteReference w:id="864"/>
      </w:r>
      <w:r>
        <w:rPr>
          <w:rFonts w:cs="Arial"/>
        </w:rPr>
        <w:t xml:space="preserve"> and not the five Basin State departments that also have requirements under the WCPMIR. </w:t>
      </w:r>
    </w:p>
    <w:p w:rsidR="00557E2D" w:rsidRDefault="00557E2D" w:rsidP="00557E2D">
      <w:pPr>
        <w:pStyle w:val="Heading3"/>
      </w:pPr>
      <w:bookmarkStart w:id="1512" w:name="_Toc433979666"/>
      <w:bookmarkStart w:id="1513" w:name="_Toc435179930"/>
      <w:bookmarkStart w:id="1514" w:name="_Toc436122351"/>
      <w:bookmarkStart w:id="1515" w:name="_Toc436122846"/>
      <w:bookmarkStart w:id="1516" w:name="_Toc436124201"/>
      <w:bookmarkStart w:id="1517" w:name="_Toc436133249"/>
      <w:bookmarkStart w:id="1518" w:name="_Toc456785859"/>
      <w:bookmarkStart w:id="1519" w:name="_Toc461630771"/>
      <w:r>
        <w:t xml:space="preserve">Disclosure of </w:t>
      </w:r>
      <w:r w:rsidRPr="00872E95">
        <w:t>planning</w:t>
      </w:r>
      <w:r>
        <w:t xml:space="preserve"> and management charge information</w:t>
      </w:r>
      <w:bookmarkEnd w:id="1512"/>
      <w:bookmarkEnd w:id="1513"/>
      <w:bookmarkEnd w:id="1514"/>
      <w:bookmarkEnd w:id="1515"/>
      <w:bookmarkEnd w:id="1516"/>
      <w:bookmarkEnd w:id="1517"/>
      <w:bookmarkEnd w:id="1518"/>
      <w:bookmarkEnd w:id="1519"/>
    </w:p>
    <w:p w:rsidR="00557E2D" w:rsidRDefault="00557E2D" w:rsidP="00557E2D">
      <w:pPr>
        <w:spacing w:after="0"/>
      </w:pPr>
      <w:r>
        <w:t>Under the current WCPMIR provisions, persons who determine charges to recover the costs of water planning and management activities</w:t>
      </w:r>
      <w:r w:rsidR="007B7FC3">
        <w:t xml:space="preserve"> (WPM</w:t>
      </w:r>
      <w:r w:rsidR="00AC6393">
        <w:t>)</w:t>
      </w:r>
      <w:r>
        <w:t xml:space="preserve"> are required to disclose details of the:</w:t>
      </w:r>
    </w:p>
    <w:p w:rsidR="00557E2D" w:rsidRDefault="00557E2D" w:rsidP="00A82DE6">
      <w:pPr>
        <w:pStyle w:val="Lvl1Bulletpoint"/>
      </w:pPr>
      <w:r>
        <w:t>planning and management charge and charge amount</w:t>
      </w:r>
    </w:p>
    <w:p w:rsidR="00557E2D" w:rsidRDefault="00557E2D" w:rsidP="00A82DE6">
      <w:pPr>
        <w:pStyle w:val="Lvl1Bulletpoint"/>
      </w:pPr>
      <w:r>
        <w:t>processes for determining the charge amount</w:t>
      </w:r>
    </w:p>
    <w:p w:rsidR="00557E2D" w:rsidRDefault="00AC6393" w:rsidP="00A82DE6">
      <w:pPr>
        <w:pStyle w:val="Lvl1Bulletpoint"/>
      </w:pPr>
      <w:r>
        <w:t>WPM</w:t>
      </w:r>
      <w:r w:rsidR="00557E2D">
        <w:t xml:space="preserve"> activities the charge relates to </w:t>
      </w:r>
    </w:p>
    <w:p w:rsidR="00557E2D" w:rsidRPr="00156C80" w:rsidRDefault="00557E2D" w:rsidP="00A82DE6">
      <w:pPr>
        <w:pStyle w:val="Lvl1Bulletpoint"/>
        <w:rPr>
          <w:rFonts w:cs="Arial"/>
        </w:rPr>
      </w:pPr>
      <w:r>
        <w:t xml:space="preserve">associated costs of </w:t>
      </w:r>
      <w:r w:rsidR="00AC6393">
        <w:t>WPM</w:t>
      </w:r>
      <w:r>
        <w:t xml:space="preserve"> activities</w:t>
      </w:r>
      <w:r w:rsidR="0097080C">
        <w:t>.</w:t>
      </w:r>
    </w:p>
    <w:p w:rsidR="00557E2D" w:rsidRDefault="00557E2D" w:rsidP="00A16AFC">
      <w:pPr>
        <w:tabs>
          <w:tab w:val="left" w:pos="340"/>
        </w:tabs>
        <w:spacing w:line="269" w:lineRule="auto"/>
      </w:pPr>
      <w:r>
        <w:rPr>
          <w:rFonts w:cs="Arial"/>
        </w:rPr>
        <w:t xml:space="preserve">In its Draft Advice, the ACCC proposed that the </w:t>
      </w:r>
      <w:r>
        <w:t xml:space="preserve">WCPMIR be repealed, but that requirements for disclosure of particular information relating to planning and management charges be incorporated into the existing </w:t>
      </w:r>
      <w:r w:rsidR="008A0693">
        <w:t>S</w:t>
      </w:r>
      <w:r>
        <w:t xml:space="preserve">chedule of </w:t>
      </w:r>
      <w:r w:rsidR="008A0693">
        <w:t>C</w:t>
      </w:r>
      <w:r>
        <w:t xml:space="preserve">harge requirements under the </w:t>
      </w:r>
      <w:r w:rsidR="0001065E" w:rsidRPr="005B1D5E">
        <w:rPr>
          <w:rFonts w:cs="Times New Roman"/>
        </w:rPr>
        <w:t>Water Charge (Infrastructure) Rules 2010</w:t>
      </w:r>
      <w:r w:rsidR="0001065E">
        <w:rPr>
          <w:rFonts w:cs="Times New Roman"/>
        </w:rPr>
        <w:t xml:space="preserve"> (</w:t>
      </w:r>
      <w:r>
        <w:t>WCIR</w:t>
      </w:r>
      <w:r w:rsidR="0001065E">
        <w:t>)</w:t>
      </w:r>
      <w:r>
        <w:t>.</w:t>
      </w:r>
    </w:p>
    <w:p w:rsidR="00557E2D" w:rsidRDefault="00557E2D" w:rsidP="00A16AFC">
      <w:pPr>
        <w:tabs>
          <w:tab w:val="left" w:pos="340"/>
        </w:tabs>
        <w:spacing w:line="269" w:lineRule="auto"/>
      </w:pPr>
      <w:r>
        <w:t xml:space="preserve">As such, persons who determine planning and management charges will continue to be required to disclose information related to planning and management </w:t>
      </w:r>
      <w:r w:rsidRPr="00057A73">
        <w:rPr>
          <w:i/>
        </w:rPr>
        <w:t>charges</w:t>
      </w:r>
      <w:r>
        <w:t xml:space="preserve"> but they will no longer be required to provide and disclose </w:t>
      </w:r>
      <w:r w:rsidRPr="00057A73">
        <w:rPr>
          <w:i/>
        </w:rPr>
        <w:t>cost</w:t>
      </w:r>
      <w:r>
        <w:t xml:space="preserve"> information on </w:t>
      </w:r>
      <w:r w:rsidR="00AC6393">
        <w:t>WPM</w:t>
      </w:r>
      <w:r>
        <w:t xml:space="preserve"> activities.</w:t>
      </w:r>
      <w:r w:rsidR="00C6733C">
        <w:t xml:space="preserve"> </w:t>
      </w:r>
    </w:p>
    <w:p w:rsidR="00557E2D" w:rsidRDefault="00557E2D" w:rsidP="00A16AFC">
      <w:pPr>
        <w:tabs>
          <w:tab w:val="left" w:pos="340"/>
        </w:tabs>
        <w:spacing w:line="269" w:lineRule="auto"/>
      </w:pPr>
      <w:r>
        <w:t>In this Final Advice, the ACCC maintains this position. Therefore, the expected change in regulatory burden from these proposed amendments is the same as in the Draft Advice: a reduction of $2618 per annum.</w:t>
      </w:r>
    </w:p>
    <w:p w:rsidR="00557E2D" w:rsidRPr="00DE3110" w:rsidRDefault="00557E2D" w:rsidP="00E560FF">
      <w:pPr>
        <w:pStyle w:val="Tabletitle"/>
      </w:pPr>
      <w:r w:rsidRPr="00DE3110">
        <w:t>Table 9.11—</w:t>
      </w:r>
      <w:r>
        <w:t>Net c</w:t>
      </w:r>
      <w:r w:rsidRPr="00DE3110">
        <w:t>hange in regulatory cost due to proposed repeal of the WCPMIR and incorporation into the water charge rules</w:t>
      </w:r>
    </w:p>
    <w:tbl>
      <w:tblPr>
        <w:tblStyle w:val="TableGrid"/>
        <w:tblW w:w="9285" w:type="dxa"/>
        <w:tblBorders>
          <w:insideH w:val="none" w:sz="0" w:space="0" w:color="auto"/>
          <w:insideV w:val="none" w:sz="0" w:space="0" w:color="auto"/>
        </w:tblBorders>
        <w:tblLook w:val="04A0" w:firstRow="1" w:lastRow="0" w:firstColumn="1" w:lastColumn="0" w:noHBand="0" w:noVBand="1"/>
      </w:tblPr>
      <w:tblGrid>
        <w:gridCol w:w="7812"/>
        <w:gridCol w:w="1473"/>
      </w:tblGrid>
      <w:tr w:rsidR="00557E2D" w:rsidTr="00C52AEB">
        <w:trPr>
          <w:trHeight w:val="360"/>
        </w:trPr>
        <w:tc>
          <w:tcPr>
            <w:tcW w:w="7812" w:type="dxa"/>
            <w:tcBorders>
              <w:top w:val="single" w:sz="4" w:space="0" w:color="auto"/>
              <w:bottom w:val="single" w:sz="4" w:space="0" w:color="auto"/>
            </w:tcBorders>
            <w:shd w:val="clear" w:color="auto" w:fill="D9D9D9" w:themeFill="background1" w:themeFillShade="D9"/>
            <w:vAlign w:val="center"/>
          </w:tcPr>
          <w:p w:rsidR="00557E2D" w:rsidRPr="00B6775C" w:rsidRDefault="00557E2D" w:rsidP="0098578F">
            <w:pPr>
              <w:pStyle w:val="tabletext"/>
              <w:rPr>
                <w:b/>
              </w:rPr>
            </w:pPr>
            <w:r w:rsidRPr="00B6775C">
              <w:rPr>
                <w:b/>
              </w:rPr>
              <w:t>No. of affected operators</w:t>
            </w:r>
            <w:r>
              <w:rPr>
                <w:b/>
              </w:rPr>
              <w:t xml:space="preserve"> (Group 4 only)</w:t>
            </w:r>
          </w:p>
        </w:tc>
        <w:tc>
          <w:tcPr>
            <w:tcW w:w="1472" w:type="dxa"/>
            <w:tcBorders>
              <w:top w:val="single" w:sz="4" w:space="0" w:color="auto"/>
              <w:bottom w:val="single" w:sz="4" w:space="0" w:color="auto"/>
            </w:tcBorders>
            <w:shd w:val="clear" w:color="auto" w:fill="D9D9D9" w:themeFill="background1" w:themeFillShade="D9"/>
            <w:vAlign w:val="center"/>
          </w:tcPr>
          <w:p w:rsidR="00557E2D" w:rsidRDefault="00557E2D" w:rsidP="0098578F">
            <w:pPr>
              <w:pStyle w:val="tabletext"/>
              <w:jc w:val="right"/>
            </w:pPr>
            <w:r>
              <w:t>4</w:t>
            </w:r>
          </w:p>
        </w:tc>
      </w:tr>
      <w:tr w:rsidR="00557E2D" w:rsidTr="005B0005">
        <w:trPr>
          <w:trHeight w:val="360"/>
        </w:trPr>
        <w:tc>
          <w:tcPr>
            <w:tcW w:w="9285" w:type="dxa"/>
            <w:gridSpan w:val="2"/>
            <w:tcBorders>
              <w:top w:val="single" w:sz="4" w:space="0" w:color="auto"/>
              <w:bottom w:val="nil"/>
            </w:tcBorders>
            <w:vAlign w:val="center"/>
          </w:tcPr>
          <w:p w:rsidR="00557E2D" w:rsidRPr="00B6775C" w:rsidRDefault="00557E2D" w:rsidP="0098578F">
            <w:pPr>
              <w:pStyle w:val="tabletext"/>
              <w:rPr>
                <w:b/>
              </w:rPr>
            </w:pPr>
            <w:r w:rsidRPr="00B6775C">
              <w:rPr>
                <w:b/>
              </w:rPr>
              <w:t>Removal of requirement to disclose planning and management cost information annually</w:t>
            </w:r>
          </w:p>
        </w:tc>
      </w:tr>
      <w:tr w:rsidR="00557E2D" w:rsidTr="005B0005">
        <w:trPr>
          <w:trHeight w:val="360"/>
        </w:trPr>
        <w:tc>
          <w:tcPr>
            <w:tcW w:w="7812" w:type="dxa"/>
            <w:tcBorders>
              <w:top w:val="nil"/>
              <w:bottom w:val="nil"/>
            </w:tcBorders>
            <w:vAlign w:val="center"/>
          </w:tcPr>
          <w:p w:rsidR="00557E2D" w:rsidRPr="00B6775C" w:rsidRDefault="00557E2D" w:rsidP="0098578F">
            <w:pPr>
              <w:pStyle w:val="tabletext"/>
              <w:ind w:left="142"/>
            </w:pPr>
            <w:r w:rsidRPr="00B6775C">
              <w:t xml:space="preserve">Average </w:t>
            </w:r>
            <w:r>
              <w:t xml:space="preserve">annual </w:t>
            </w:r>
            <w:r w:rsidRPr="00B6775C">
              <w:t>hours per operator</w:t>
            </w:r>
          </w:p>
        </w:tc>
        <w:tc>
          <w:tcPr>
            <w:tcW w:w="1472" w:type="dxa"/>
            <w:tcBorders>
              <w:top w:val="nil"/>
              <w:bottom w:val="nil"/>
            </w:tcBorders>
            <w:vAlign w:val="center"/>
          </w:tcPr>
          <w:p w:rsidR="00557E2D" w:rsidRDefault="00557E2D" w:rsidP="0098578F">
            <w:pPr>
              <w:pStyle w:val="tabletext"/>
              <w:jc w:val="right"/>
            </w:pPr>
            <w:r>
              <w:t>10</w:t>
            </w:r>
          </w:p>
        </w:tc>
      </w:tr>
      <w:tr w:rsidR="00557E2D" w:rsidTr="005B0005">
        <w:trPr>
          <w:trHeight w:val="377"/>
        </w:trPr>
        <w:tc>
          <w:tcPr>
            <w:tcW w:w="7812" w:type="dxa"/>
            <w:tcBorders>
              <w:top w:val="nil"/>
              <w:bottom w:val="single" w:sz="4" w:space="0" w:color="auto"/>
            </w:tcBorders>
            <w:vAlign w:val="center"/>
          </w:tcPr>
          <w:p w:rsidR="00557E2D" w:rsidRPr="001C1AA7" w:rsidRDefault="00557E2D" w:rsidP="0098578F">
            <w:pPr>
              <w:pStyle w:val="tabletext"/>
              <w:ind w:left="142"/>
            </w:pPr>
            <w:r>
              <w:t>Annualised c</w:t>
            </w:r>
            <w:r w:rsidRPr="00C834E8">
              <w:t>hange in regulatory cost</w:t>
            </w:r>
            <w:r>
              <w:t>—staff hours</w:t>
            </w:r>
          </w:p>
        </w:tc>
        <w:tc>
          <w:tcPr>
            <w:tcW w:w="1472" w:type="dxa"/>
            <w:tcBorders>
              <w:top w:val="nil"/>
              <w:bottom w:val="single" w:sz="4" w:space="0" w:color="auto"/>
            </w:tcBorders>
            <w:vAlign w:val="center"/>
          </w:tcPr>
          <w:p w:rsidR="00557E2D" w:rsidRPr="00215266" w:rsidRDefault="00557E2D" w:rsidP="0098578F">
            <w:pPr>
              <w:pStyle w:val="tabletext"/>
              <w:jc w:val="right"/>
              <w:rPr>
                <w:b/>
              </w:rPr>
            </w:pPr>
            <w:r>
              <w:rPr>
                <w:b/>
              </w:rPr>
              <w:t>–$</w:t>
            </w:r>
            <w:r w:rsidRPr="00215266">
              <w:rPr>
                <w:b/>
              </w:rPr>
              <w:t>2</w:t>
            </w:r>
            <w:r>
              <w:rPr>
                <w:b/>
              </w:rPr>
              <w:t xml:space="preserve"> </w:t>
            </w:r>
            <w:r w:rsidRPr="00215266">
              <w:rPr>
                <w:b/>
              </w:rPr>
              <w:t>618</w:t>
            </w:r>
          </w:p>
        </w:tc>
      </w:tr>
      <w:tr w:rsidR="00557E2D" w:rsidTr="005B0005">
        <w:trPr>
          <w:trHeight w:val="252"/>
        </w:trPr>
        <w:tc>
          <w:tcPr>
            <w:tcW w:w="7812" w:type="dxa"/>
            <w:tcBorders>
              <w:top w:val="single" w:sz="4" w:space="0" w:color="auto"/>
            </w:tcBorders>
            <w:vAlign w:val="center"/>
          </w:tcPr>
          <w:p w:rsidR="00557E2D" w:rsidRPr="00B6775C" w:rsidRDefault="00557E2D" w:rsidP="0098578F">
            <w:pPr>
              <w:pStyle w:val="tabletext"/>
              <w:rPr>
                <w:b/>
              </w:rPr>
            </w:pPr>
            <w:r w:rsidRPr="00B6775C">
              <w:rPr>
                <w:b/>
              </w:rPr>
              <w:t>Total net annualised change in regulatory cost ($/yr)</w:t>
            </w:r>
          </w:p>
        </w:tc>
        <w:tc>
          <w:tcPr>
            <w:tcW w:w="1472" w:type="dxa"/>
            <w:tcBorders>
              <w:top w:val="single" w:sz="4" w:space="0" w:color="auto"/>
            </w:tcBorders>
            <w:vAlign w:val="center"/>
          </w:tcPr>
          <w:p w:rsidR="00557E2D" w:rsidRPr="007258DF" w:rsidRDefault="00557E2D" w:rsidP="0098578F">
            <w:pPr>
              <w:pStyle w:val="tabletext"/>
              <w:jc w:val="right"/>
              <w:rPr>
                <w:b/>
              </w:rPr>
            </w:pPr>
            <w:r>
              <w:rPr>
                <w:b/>
              </w:rPr>
              <w:t>–$2 618</w:t>
            </w:r>
          </w:p>
        </w:tc>
      </w:tr>
    </w:tbl>
    <w:p w:rsidR="00557E2D" w:rsidRDefault="00557E2D" w:rsidP="00557E2D">
      <w:pPr>
        <w:tabs>
          <w:tab w:val="left" w:pos="340"/>
        </w:tabs>
        <w:spacing w:before="120" w:after="0" w:line="240" w:lineRule="auto"/>
      </w:pPr>
    </w:p>
    <w:p w:rsidR="00557E2D" w:rsidRDefault="00557E2D" w:rsidP="00557E2D">
      <w:pPr>
        <w:pStyle w:val="Heading3"/>
      </w:pPr>
      <w:bookmarkStart w:id="1520" w:name="_Toc433979667"/>
      <w:bookmarkStart w:id="1521" w:name="_Toc435179931"/>
      <w:bookmarkStart w:id="1522" w:name="_Toc436122352"/>
      <w:bookmarkStart w:id="1523" w:name="_Toc436122847"/>
      <w:bookmarkStart w:id="1524" w:name="_Toc436124202"/>
      <w:bookmarkStart w:id="1525" w:name="_Toc436133250"/>
      <w:bookmarkStart w:id="1526" w:name="_Toc456785860"/>
      <w:bookmarkStart w:id="1527" w:name="_Toc461630772"/>
      <w:r w:rsidRPr="00C51F88">
        <w:t>Planning</w:t>
      </w:r>
      <w:r>
        <w:t xml:space="preserve"> and management charge </w:t>
      </w:r>
      <w:r w:rsidRPr="00872E95">
        <w:t>publication</w:t>
      </w:r>
      <w:r>
        <w:t xml:space="preserve"> requirements</w:t>
      </w:r>
      <w:bookmarkEnd w:id="1520"/>
      <w:bookmarkEnd w:id="1521"/>
      <w:bookmarkEnd w:id="1522"/>
      <w:bookmarkEnd w:id="1523"/>
      <w:bookmarkEnd w:id="1524"/>
      <w:bookmarkEnd w:id="1525"/>
      <w:bookmarkEnd w:id="1526"/>
      <w:bookmarkEnd w:id="1527"/>
    </w:p>
    <w:p w:rsidR="00557E2D" w:rsidRDefault="00557E2D" w:rsidP="00557E2D">
      <w:r>
        <w:t xml:space="preserve">The WCPMIR require a person who determines a </w:t>
      </w:r>
      <w:r w:rsidR="00890B24">
        <w:t>planning and management</w:t>
      </w:r>
      <w:r>
        <w:t xml:space="preserve"> charge (usually a Minister or another government executive or a delegate of that person) to publish information on that charge including (among other details):</w:t>
      </w:r>
      <w:r>
        <w:rPr>
          <w:rStyle w:val="FootnoteReference"/>
        </w:rPr>
        <w:footnoteReference w:id="865"/>
      </w:r>
    </w:p>
    <w:p w:rsidR="00557E2D" w:rsidRDefault="00557E2D" w:rsidP="00A82DE6">
      <w:pPr>
        <w:pStyle w:val="Lvl1Bulletpoint"/>
      </w:pPr>
      <w:r>
        <w:t xml:space="preserve">the name and amount of the charge (or information necessary to determine the amount) </w:t>
      </w:r>
    </w:p>
    <w:p w:rsidR="00557E2D" w:rsidRDefault="00557E2D" w:rsidP="00A82DE6">
      <w:pPr>
        <w:pStyle w:val="Lvl1Bulletpoint"/>
      </w:pPr>
      <w:r>
        <w:t>who must pay the charge and to whom</w:t>
      </w:r>
    </w:p>
    <w:p w:rsidR="00557E2D" w:rsidRDefault="00557E2D" w:rsidP="00A82DE6">
      <w:pPr>
        <w:pStyle w:val="Lvl1Bulletpoint"/>
      </w:pPr>
      <w:r>
        <w:t>the details of the activities to which the charge relates including when the activities are being carried out, the costs of the activities and the relationship between the costs of the activities and the calculation of the charge</w:t>
      </w:r>
    </w:p>
    <w:p w:rsidR="00557E2D" w:rsidRDefault="00557E2D" w:rsidP="00A82DE6">
      <w:pPr>
        <w:pStyle w:val="Lvl1Bulletpoint"/>
      </w:pPr>
      <w:r>
        <w:t xml:space="preserve">information about the process for determining the charge, including cost allocation principles and whether the charge was the subject of consultation, review or audit, and </w:t>
      </w:r>
    </w:p>
    <w:p w:rsidR="00557E2D" w:rsidRDefault="00557E2D" w:rsidP="00A82DE6">
      <w:pPr>
        <w:pStyle w:val="Lvl1Bulletpoint"/>
      </w:pPr>
      <w:r>
        <w:t>other information, if applicable, such as the water resource or class of water access right to which the charge applies.</w:t>
      </w:r>
    </w:p>
    <w:p w:rsidR="00615715" w:rsidRDefault="00557E2D" w:rsidP="005B0005">
      <w:pPr>
        <w:spacing w:before="240" w:after="120"/>
      </w:pPr>
      <w:r>
        <w:t xml:space="preserve">In its Draft Advice, the ACCC sought to remove requirements to publish information on the nature and cost of </w:t>
      </w:r>
      <w:r w:rsidR="00AC6393">
        <w:t>WPM</w:t>
      </w:r>
      <w:r>
        <w:t xml:space="preserve"> activities and to harmonise publication requirements for planning and management charges with those applying to infrastructure charges. Specifically the ACCC</w:t>
      </w:r>
      <w:r w:rsidR="00057A73">
        <w:t>’s Draft</w:t>
      </w:r>
      <w:r>
        <w:t xml:space="preserve"> </w:t>
      </w:r>
      <w:r w:rsidR="00057A73">
        <w:t>A</w:t>
      </w:r>
      <w:r>
        <w:t>dvice stated that</w:t>
      </w:r>
      <w:r w:rsidR="00615715">
        <w:t>:</w:t>
      </w:r>
    </w:p>
    <w:p w:rsidR="00615715" w:rsidRDefault="00557E2D" w:rsidP="00235BA8">
      <w:pPr>
        <w:pStyle w:val="Lvl1Bulletpoint"/>
      </w:pPr>
      <w:r>
        <w:t>persons who determin</w:t>
      </w:r>
      <w:r w:rsidR="0097080C">
        <w:t>e</w:t>
      </w:r>
      <w:r>
        <w:t xml:space="preserve"> planning and management charges would no longer be required to publish information in the Australian Government Gazette or publish notices in local newspapers. This charge information, while current, would need to be published on the relevant person’s website and be available at their princip</w:t>
      </w:r>
      <w:r w:rsidR="00615715">
        <w:t>a</w:t>
      </w:r>
      <w:r>
        <w:t xml:space="preserve">l place of business. </w:t>
      </w:r>
    </w:p>
    <w:p w:rsidR="00CE170F" w:rsidRDefault="0054763D" w:rsidP="00B976F3">
      <w:pPr>
        <w:pStyle w:val="Lvl1Bulletpoint"/>
      </w:pPr>
      <w:r>
        <w:t xml:space="preserve">requiring persons </w:t>
      </w:r>
      <w:r w:rsidR="00057A73">
        <w:t xml:space="preserve">(including </w:t>
      </w:r>
      <w:r w:rsidR="00CE170F">
        <w:t>infrastructure operators</w:t>
      </w:r>
      <w:r w:rsidR="00057A73">
        <w:t>)</w:t>
      </w:r>
      <w:r w:rsidR="00CE170F">
        <w:t xml:space="preserve"> </w:t>
      </w:r>
      <w:r>
        <w:t>determining planning and management charges to publish a Schedule of Charges containing any amended</w:t>
      </w:r>
      <w:r w:rsidR="00057A73">
        <w:t xml:space="preserve"> </w:t>
      </w:r>
      <w:r>
        <w:t>/</w:t>
      </w:r>
      <w:r w:rsidR="00057A73">
        <w:t xml:space="preserve"> </w:t>
      </w:r>
      <w:r>
        <w:t xml:space="preserve">new planning and management charges, 25 business days before the charges take effect. </w:t>
      </w:r>
    </w:p>
    <w:p w:rsidR="00557E2D" w:rsidRDefault="00557E2D" w:rsidP="00FD07E2">
      <w:r>
        <w:t>The ACCC expected this would reduce costs for these persons (the four water authorities subject to these rules in Victoria).</w:t>
      </w:r>
    </w:p>
    <w:p w:rsidR="00A14DB7" w:rsidRDefault="00A14DB7" w:rsidP="005B0005">
      <w:pPr>
        <w:spacing w:after="120"/>
      </w:pPr>
      <w:bookmarkStart w:id="1528" w:name="_MailOriginal"/>
      <w:r>
        <w:t>In its Final Advice, the ACCC has</w:t>
      </w:r>
      <w:r w:rsidR="00D74009">
        <w:t xml:space="preserve"> also</w:t>
      </w:r>
      <w:r w:rsidR="009F2846">
        <w:t xml:space="preserve"> clarified that</w:t>
      </w:r>
      <w:r>
        <w:t>:</w:t>
      </w:r>
    </w:p>
    <w:p w:rsidR="00A14DB7" w:rsidRDefault="00D74009" w:rsidP="00235BA8">
      <w:pPr>
        <w:pStyle w:val="Lvl1Bulletpoint"/>
      </w:pPr>
      <w:r>
        <w:t xml:space="preserve">a Schedule of Charges may also be adopted by a </w:t>
      </w:r>
      <w:r w:rsidR="00A14DB7">
        <w:t>person</w:t>
      </w:r>
      <w:r>
        <w:t xml:space="preserve"> who levies</w:t>
      </w:r>
      <w:r w:rsidR="00A14DB7">
        <w:t xml:space="preserve"> planning and management charges or on whose behalf the charges are collected</w:t>
      </w:r>
      <w:r>
        <w:t xml:space="preserve"> (even if that person did not determine the charges)</w:t>
      </w:r>
      <w:r w:rsidR="00A14DB7">
        <w:t xml:space="preserve">. </w:t>
      </w:r>
    </w:p>
    <w:p w:rsidR="00A14DB7" w:rsidRDefault="00D74009" w:rsidP="00235BA8">
      <w:pPr>
        <w:pStyle w:val="Lvl1Bulletpoint"/>
      </w:pPr>
      <w:r>
        <w:t>t</w:t>
      </w:r>
      <w:r w:rsidR="00A14DB7">
        <w:t>h</w:t>
      </w:r>
      <w:r>
        <w:t>e person who adopts a Schedule of Charges m</w:t>
      </w:r>
      <w:r w:rsidR="00C01BA1">
        <w:t>ust publish the Schedule of Charges on its website and make it available at its principal place of business, or cause this to be done by another person who either determined the charge, will levy the charge or on whose behalf the charges are to be collected</w:t>
      </w:r>
      <w:r>
        <w:t>.</w:t>
      </w:r>
    </w:p>
    <w:p w:rsidR="00A14DB7" w:rsidRDefault="00A14DB7" w:rsidP="00A14DB7">
      <w:r>
        <w:t xml:space="preserve">The ACCC considers the Final Advice in this area reduces costs related to publication when compared with current requirements, and provides greater clarity on whom must publish planning and management charges when compared with the Draft Advice. However, </w:t>
      </w:r>
      <w:r w:rsidR="00A65D89">
        <w:t xml:space="preserve">as these relate primarily to persons </w:t>
      </w:r>
      <w:r w:rsidR="00714D65">
        <w:t xml:space="preserve">other </w:t>
      </w:r>
      <w:r w:rsidR="00B976F3">
        <w:t xml:space="preserve">than </w:t>
      </w:r>
      <w:r w:rsidR="00A65D89">
        <w:t>infrastructure operators</w:t>
      </w:r>
      <w:r w:rsidR="00714D65">
        <w:t xml:space="preserve"> who are excluded from the OBPR regulatory costings framework</w:t>
      </w:r>
      <w:r w:rsidR="00A65D89">
        <w:t xml:space="preserve">, </w:t>
      </w:r>
      <w:r>
        <w:t>the ACCC has maintain</w:t>
      </w:r>
      <w:r w:rsidR="00714D65">
        <w:t>ed</w:t>
      </w:r>
      <w:r>
        <w:t xml:space="preserve"> its </w:t>
      </w:r>
      <w:r w:rsidR="00714D65">
        <w:t xml:space="preserve">estimate of </w:t>
      </w:r>
      <w:r>
        <w:t xml:space="preserve">expected reductions in regulatory costs relating to this area, a reduction of $4371 per annum. </w:t>
      </w:r>
      <w:bookmarkEnd w:id="1528"/>
    </w:p>
    <w:p w:rsidR="00557E2D" w:rsidRPr="00DE3110" w:rsidRDefault="00557E2D" w:rsidP="00D014DF">
      <w:pPr>
        <w:pStyle w:val="Tabletitle"/>
      </w:pPr>
      <w:r w:rsidRPr="00DE3110">
        <w:t>Table 9.1</w:t>
      </w:r>
      <w:r>
        <w:t>2</w:t>
      </w:r>
      <w:r w:rsidRPr="00DE3110">
        <w:t>—</w:t>
      </w:r>
      <w:r>
        <w:t>Net c</w:t>
      </w:r>
      <w:r w:rsidRPr="00DE3110">
        <w:t xml:space="preserve">hange in regulatory cost due to proposed repeal of the WCPMIR and </w:t>
      </w:r>
      <w:r>
        <w:t>reduction of publication requirements</w:t>
      </w:r>
    </w:p>
    <w:tbl>
      <w:tblPr>
        <w:tblStyle w:val="TableGrid"/>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3"/>
        <w:gridCol w:w="1663"/>
      </w:tblGrid>
      <w:tr w:rsidR="00557E2D" w:rsidTr="00C52AEB">
        <w:trPr>
          <w:trHeight w:val="360"/>
        </w:trPr>
        <w:tc>
          <w:tcPr>
            <w:tcW w:w="7633" w:type="dxa"/>
            <w:tcBorders>
              <w:top w:val="single" w:sz="4" w:space="0" w:color="auto"/>
              <w:left w:val="single" w:sz="4" w:space="0" w:color="auto"/>
              <w:bottom w:val="single" w:sz="4" w:space="0" w:color="auto"/>
            </w:tcBorders>
            <w:shd w:val="clear" w:color="auto" w:fill="D9D9D9" w:themeFill="background1" w:themeFillShade="D9"/>
            <w:vAlign w:val="center"/>
          </w:tcPr>
          <w:p w:rsidR="00557E2D" w:rsidRPr="00B6775C" w:rsidRDefault="00557E2D" w:rsidP="00D014DF">
            <w:pPr>
              <w:pStyle w:val="tabletext"/>
              <w:keepNext/>
              <w:rPr>
                <w:b/>
              </w:rPr>
            </w:pPr>
            <w:r w:rsidRPr="00B6775C">
              <w:rPr>
                <w:b/>
              </w:rPr>
              <w:t>No. of affected operators (Group 4 only)</w:t>
            </w:r>
          </w:p>
        </w:tc>
        <w:tc>
          <w:tcPr>
            <w:tcW w:w="1663" w:type="dxa"/>
            <w:tcBorders>
              <w:top w:val="single" w:sz="4" w:space="0" w:color="auto"/>
              <w:bottom w:val="single" w:sz="4" w:space="0" w:color="auto"/>
              <w:right w:val="single" w:sz="4" w:space="0" w:color="auto"/>
            </w:tcBorders>
            <w:shd w:val="clear" w:color="auto" w:fill="D9D9D9" w:themeFill="background1" w:themeFillShade="D9"/>
            <w:vAlign w:val="center"/>
          </w:tcPr>
          <w:p w:rsidR="00557E2D" w:rsidRPr="00B6775C" w:rsidRDefault="00557E2D" w:rsidP="00D014DF">
            <w:pPr>
              <w:pStyle w:val="tabletext"/>
              <w:keepNext/>
              <w:jc w:val="right"/>
              <w:rPr>
                <w:b/>
              </w:rPr>
            </w:pPr>
            <w:r w:rsidRPr="00B6775C">
              <w:rPr>
                <w:b/>
              </w:rPr>
              <w:t>4</w:t>
            </w:r>
          </w:p>
        </w:tc>
      </w:tr>
      <w:tr w:rsidR="00557E2D" w:rsidTr="005B0005">
        <w:trPr>
          <w:trHeight w:val="343"/>
        </w:trPr>
        <w:tc>
          <w:tcPr>
            <w:tcW w:w="9295" w:type="dxa"/>
            <w:gridSpan w:val="2"/>
            <w:tcBorders>
              <w:top w:val="single" w:sz="4" w:space="0" w:color="auto"/>
              <w:left w:val="single" w:sz="4" w:space="0" w:color="auto"/>
              <w:right w:val="single" w:sz="4" w:space="0" w:color="auto"/>
            </w:tcBorders>
            <w:vAlign w:val="center"/>
          </w:tcPr>
          <w:p w:rsidR="00557E2D" w:rsidRPr="00B6775C" w:rsidRDefault="00557E2D" w:rsidP="00D014DF">
            <w:pPr>
              <w:pStyle w:val="tabletext"/>
              <w:keepNext/>
              <w:rPr>
                <w:b/>
              </w:rPr>
            </w:pPr>
            <w:r w:rsidRPr="00B6775C">
              <w:rPr>
                <w:b/>
              </w:rPr>
              <w:t>Annual publication requirements</w:t>
            </w:r>
            <w:r w:rsidRPr="009845D5">
              <w:rPr>
                <w:rStyle w:val="FootnoteReference"/>
                <w:rFonts w:eastAsiaTheme="majorEastAsia"/>
              </w:rPr>
              <w:footnoteReference w:id="866"/>
            </w:r>
          </w:p>
        </w:tc>
      </w:tr>
      <w:tr w:rsidR="00557E2D" w:rsidTr="005B0005">
        <w:trPr>
          <w:trHeight w:val="377"/>
        </w:trPr>
        <w:tc>
          <w:tcPr>
            <w:tcW w:w="7633" w:type="dxa"/>
            <w:tcBorders>
              <w:left w:val="single" w:sz="4" w:space="0" w:color="auto"/>
            </w:tcBorders>
            <w:vAlign w:val="center"/>
          </w:tcPr>
          <w:p w:rsidR="00557E2D" w:rsidRPr="00B6775C" w:rsidRDefault="00557E2D" w:rsidP="00D014DF">
            <w:pPr>
              <w:pStyle w:val="tabletext"/>
              <w:keepNext/>
              <w:ind w:left="142"/>
            </w:pPr>
            <w:r w:rsidRPr="00B6775C">
              <w:t xml:space="preserve">Average </w:t>
            </w:r>
            <w:r>
              <w:t xml:space="preserve">annual </w:t>
            </w:r>
            <w:r w:rsidRPr="00B6775C">
              <w:t>hours per operator</w:t>
            </w:r>
          </w:p>
        </w:tc>
        <w:tc>
          <w:tcPr>
            <w:tcW w:w="1663" w:type="dxa"/>
            <w:tcBorders>
              <w:right w:val="single" w:sz="4" w:space="0" w:color="auto"/>
            </w:tcBorders>
            <w:vAlign w:val="center"/>
          </w:tcPr>
          <w:p w:rsidR="00557E2D" w:rsidRDefault="00557E2D" w:rsidP="00D014DF">
            <w:pPr>
              <w:pStyle w:val="tabletext"/>
              <w:keepNext/>
              <w:jc w:val="right"/>
            </w:pPr>
            <w:r>
              <w:t xml:space="preserve">7 </w:t>
            </w:r>
          </w:p>
        </w:tc>
      </w:tr>
      <w:tr w:rsidR="00557E2D" w:rsidTr="005B0005">
        <w:trPr>
          <w:trHeight w:val="360"/>
        </w:trPr>
        <w:tc>
          <w:tcPr>
            <w:tcW w:w="7633" w:type="dxa"/>
            <w:tcBorders>
              <w:left w:val="single" w:sz="4" w:space="0" w:color="auto"/>
            </w:tcBorders>
            <w:vAlign w:val="center"/>
          </w:tcPr>
          <w:p w:rsidR="00557E2D" w:rsidRPr="001C1AA7" w:rsidRDefault="00557E2D" w:rsidP="00D014DF">
            <w:pPr>
              <w:pStyle w:val="tabletext"/>
              <w:keepNext/>
              <w:ind w:left="142"/>
            </w:pPr>
            <w:r>
              <w:t>Annualised c</w:t>
            </w:r>
            <w:r w:rsidRPr="00162CA7">
              <w:t>hange in regulatory cost</w:t>
            </w:r>
            <w:r>
              <w:t>—staff hours</w:t>
            </w:r>
          </w:p>
        </w:tc>
        <w:tc>
          <w:tcPr>
            <w:tcW w:w="1663" w:type="dxa"/>
            <w:tcBorders>
              <w:right w:val="single" w:sz="4" w:space="0" w:color="auto"/>
            </w:tcBorders>
            <w:vAlign w:val="center"/>
          </w:tcPr>
          <w:p w:rsidR="00557E2D" w:rsidRPr="00162CA7" w:rsidRDefault="00557E2D" w:rsidP="00D014DF">
            <w:pPr>
              <w:pStyle w:val="tabletext"/>
              <w:keepNext/>
              <w:jc w:val="right"/>
              <w:rPr>
                <w:b/>
              </w:rPr>
            </w:pPr>
            <w:r>
              <w:rPr>
                <w:b/>
              </w:rPr>
              <w:t>–$</w:t>
            </w:r>
            <w:r w:rsidRPr="00162CA7">
              <w:rPr>
                <w:b/>
              </w:rPr>
              <w:t>1</w:t>
            </w:r>
            <w:r>
              <w:rPr>
                <w:b/>
              </w:rPr>
              <w:t xml:space="preserve"> </w:t>
            </w:r>
            <w:r w:rsidRPr="00162CA7">
              <w:rPr>
                <w:b/>
              </w:rPr>
              <w:t>571</w:t>
            </w:r>
          </w:p>
        </w:tc>
      </w:tr>
      <w:tr w:rsidR="00557E2D" w:rsidTr="005B0005">
        <w:trPr>
          <w:trHeight w:val="600"/>
        </w:trPr>
        <w:tc>
          <w:tcPr>
            <w:tcW w:w="7633" w:type="dxa"/>
            <w:tcBorders>
              <w:left w:val="single" w:sz="4" w:space="0" w:color="auto"/>
              <w:bottom w:val="single" w:sz="4" w:space="0" w:color="auto"/>
            </w:tcBorders>
            <w:vAlign w:val="center"/>
          </w:tcPr>
          <w:p w:rsidR="00557E2D" w:rsidRPr="00AF40D8" w:rsidRDefault="00557E2D" w:rsidP="00D014DF">
            <w:pPr>
              <w:pStyle w:val="tabletext"/>
              <w:keepNext/>
              <w:ind w:left="142"/>
            </w:pPr>
            <w:r w:rsidRPr="00AF40D8">
              <w:t xml:space="preserve">Annual publication of </w:t>
            </w:r>
            <w:r w:rsidR="00AC6393">
              <w:t>WPM</w:t>
            </w:r>
            <w:r w:rsidRPr="00AF40D8">
              <w:t xml:space="preserve"> information in</w:t>
            </w:r>
            <w:r w:rsidR="009F2846">
              <w:t xml:space="preserve"> the</w:t>
            </w:r>
            <w:r w:rsidRPr="00AF40D8">
              <w:t xml:space="preserve"> Australian Government Gazette and notice in a newspaper </w:t>
            </w:r>
          </w:p>
        </w:tc>
        <w:tc>
          <w:tcPr>
            <w:tcW w:w="1663" w:type="dxa"/>
            <w:tcBorders>
              <w:bottom w:val="single" w:sz="4" w:space="0" w:color="auto"/>
              <w:right w:val="single" w:sz="4" w:space="0" w:color="auto"/>
            </w:tcBorders>
            <w:vAlign w:val="center"/>
          </w:tcPr>
          <w:p w:rsidR="00557E2D" w:rsidRPr="00B212EF" w:rsidRDefault="00557E2D" w:rsidP="00D014DF">
            <w:pPr>
              <w:pStyle w:val="tabletext"/>
              <w:keepNext/>
              <w:jc w:val="right"/>
              <w:rPr>
                <w:b/>
              </w:rPr>
            </w:pPr>
            <w:r>
              <w:rPr>
                <w:b/>
              </w:rPr>
              <w:t>–$</w:t>
            </w:r>
            <w:r w:rsidRPr="00B212EF">
              <w:rPr>
                <w:b/>
              </w:rPr>
              <w:t>2</w:t>
            </w:r>
            <w:r>
              <w:rPr>
                <w:b/>
              </w:rPr>
              <w:t xml:space="preserve"> </w:t>
            </w:r>
            <w:r w:rsidRPr="00B212EF">
              <w:rPr>
                <w:b/>
              </w:rPr>
              <w:t>800</w:t>
            </w:r>
          </w:p>
        </w:tc>
      </w:tr>
      <w:tr w:rsidR="00557E2D" w:rsidTr="005B0005">
        <w:trPr>
          <w:trHeight w:val="268"/>
        </w:trPr>
        <w:tc>
          <w:tcPr>
            <w:tcW w:w="7633" w:type="dxa"/>
            <w:tcBorders>
              <w:top w:val="single" w:sz="4" w:space="0" w:color="auto"/>
              <w:left w:val="single" w:sz="4" w:space="0" w:color="auto"/>
              <w:bottom w:val="single" w:sz="4" w:space="0" w:color="auto"/>
            </w:tcBorders>
            <w:vAlign w:val="center"/>
          </w:tcPr>
          <w:p w:rsidR="00557E2D" w:rsidRPr="00C95A9E" w:rsidRDefault="00557E2D" w:rsidP="00D014DF">
            <w:pPr>
              <w:pStyle w:val="tabletext"/>
              <w:keepNext/>
              <w:rPr>
                <w:b/>
              </w:rPr>
            </w:pPr>
            <w:r w:rsidRPr="00C95A9E">
              <w:rPr>
                <w:b/>
              </w:rPr>
              <w:t>Total net annualised change in regulatory cost ($/yr)</w:t>
            </w:r>
          </w:p>
        </w:tc>
        <w:tc>
          <w:tcPr>
            <w:tcW w:w="1663" w:type="dxa"/>
            <w:tcBorders>
              <w:top w:val="single" w:sz="4" w:space="0" w:color="auto"/>
              <w:bottom w:val="single" w:sz="4" w:space="0" w:color="auto"/>
              <w:right w:val="single" w:sz="4" w:space="0" w:color="auto"/>
            </w:tcBorders>
            <w:vAlign w:val="center"/>
          </w:tcPr>
          <w:p w:rsidR="00557E2D" w:rsidRPr="007258DF" w:rsidRDefault="00557E2D" w:rsidP="00D014DF">
            <w:pPr>
              <w:pStyle w:val="tabletext"/>
              <w:keepNext/>
              <w:jc w:val="right"/>
              <w:rPr>
                <w:b/>
              </w:rPr>
            </w:pPr>
            <w:r>
              <w:rPr>
                <w:b/>
              </w:rPr>
              <w:t>–$4 371</w:t>
            </w:r>
          </w:p>
        </w:tc>
      </w:tr>
    </w:tbl>
    <w:p w:rsidR="00557E2D" w:rsidRDefault="00557E2D" w:rsidP="00557E2D"/>
    <w:p w:rsidR="00557E2D" w:rsidRPr="005272EF" w:rsidRDefault="00557E2D" w:rsidP="00557E2D">
      <w:pPr>
        <w:pStyle w:val="Heading2"/>
        <w:spacing w:after="240"/>
      </w:pPr>
      <w:bookmarkStart w:id="1529" w:name="_Toc433979668"/>
      <w:bookmarkStart w:id="1530" w:name="_Toc435179932"/>
      <w:bookmarkStart w:id="1531" w:name="_Toc436122353"/>
      <w:bookmarkStart w:id="1532" w:name="_Toc436122848"/>
      <w:bookmarkStart w:id="1533" w:name="_Toc436124203"/>
      <w:bookmarkStart w:id="1534" w:name="_Toc436133251"/>
      <w:bookmarkStart w:id="1535" w:name="_Toc456785861"/>
      <w:bookmarkStart w:id="1536" w:name="_Toc461630773"/>
      <w:r w:rsidRPr="0095107D">
        <w:t>One-off and start-up costs</w:t>
      </w:r>
      <w:bookmarkEnd w:id="1529"/>
      <w:bookmarkEnd w:id="1530"/>
      <w:bookmarkEnd w:id="1531"/>
      <w:bookmarkEnd w:id="1532"/>
      <w:bookmarkEnd w:id="1533"/>
      <w:bookmarkEnd w:id="1534"/>
      <w:bookmarkEnd w:id="1535"/>
      <w:bookmarkEnd w:id="1536"/>
      <w:r w:rsidRPr="005272EF">
        <w:t xml:space="preserve"> </w:t>
      </w:r>
    </w:p>
    <w:p w:rsidR="00557E2D" w:rsidRDefault="00557E2D" w:rsidP="00557E2D">
      <w:pPr>
        <w:rPr>
          <w:rFonts w:cs="Times New Roman"/>
        </w:rPr>
      </w:pPr>
      <w:r>
        <w:rPr>
          <w:rFonts w:cs="Times New Roman"/>
        </w:rPr>
        <w:t>In many cases, estimates in the previous sections have included one-off or ‘start-up’ costs relating to particular rule requirements.</w:t>
      </w:r>
      <w:r w:rsidRPr="00C211B2">
        <w:rPr>
          <w:rFonts w:cs="Times New Roman"/>
        </w:rPr>
        <w:t xml:space="preserve"> </w:t>
      </w:r>
      <w:r>
        <w:rPr>
          <w:rFonts w:cs="Times New Roman"/>
        </w:rPr>
        <w:t>For example, in response to stakeholder feedback,</w:t>
      </w:r>
      <w:r>
        <w:rPr>
          <w:rStyle w:val="FootnoteReference"/>
          <w:rFonts w:cs="Times New Roman"/>
        </w:rPr>
        <w:footnoteReference w:id="867"/>
      </w:r>
      <w:r>
        <w:rPr>
          <w:rFonts w:cs="Times New Roman"/>
        </w:rPr>
        <w:t xml:space="preserve"> the ACCC has revised its costings to include a substantial number of staff hours for the larger operators (Groups 3 and 4) to examine the impacts of the proposed non-discrimination requirements and pass-through obligations on their charging methodology (see tables 9.4 and 9.5).</w:t>
      </w:r>
      <w:r w:rsidRPr="00037106">
        <w:rPr>
          <w:rFonts w:cs="Times New Roman"/>
        </w:rPr>
        <w:t xml:space="preserve"> </w:t>
      </w:r>
      <w:r>
        <w:rPr>
          <w:rFonts w:cs="Times New Roman"/>
        </w:rPr>
        <w:t>The ACCC considers these costs will be one-off and any that ongoing costs of these changes have been incorporated elsewhere in the regulatory costings—as such, they are not included in the estimates in table 9.13 below.</w:t>
      </w:r>
      <w:r w:rsidR="00C6733C">
        <w:rPr>
          <w:rFonts w:cs="Times New Roman"/>
        </w:rPr>
        <w:t xml:space="preserve"> </w:t>
      </w:r>
    </w:p>
    <w:p w:rsidR="00557E2D" w:rsidRPr="00037106" w:rsidRDefault="00557E2D" w:rsidP="00557E2D">
      <w:pPr>
        <w:rPr>
          <w:rFonts w:cs="Times New Roman"/>
        </w:rPr>
      </w:pPr>
      <w:r>
        <w:rPr>
          <w:rFonts w:cs="Times New Roman"/>
        </w:rPr>
        <w:t xml:space="preserve">Beyond these costs, </w:t>
      </w:r>
      <w:r w:rsidRPr="00037106">
        <w:rPr>
          <w:rFonts w:cs="Times New Roman"/>
        </w:rPr>
        <w:t xml:space="preserve">there will </w:t>
      </w:r>
      <w:r>
        <w:rPr>
          <w:rFonts w:cs="Times New Roman"/>
        </w:rPr>
        <w:t xml:space="preserve">also </w:t>
      </w:r>
      <w:r w:rsidRPr="00037106">
        <w:rPr>
          <w:rFonts w:cs="Times New Roman"/>
        </w:rPr>
        <w:t xml:space="preserve">be a </w:t>
      </w:r>
      <w:r>
        <w:rPr>
          <w:rFonts w:cs="Times New Roman"/>
        </w:rPr>
        <w:t xml:space="preserve">one-off start up </w:t>
      </w:r>
      <w:r w:rsidRPr="00037106">
        <w:rPr>
          <w:rFonts w:cs="Times New Roman"/>
        </w:rPr>
        <w:t xml:space="preserve">regulatory cost for operators </w:t>
      </w:r>
      <w:r>
        <w:rPr>
          <w:rFonts w:cs="Times New Roman"/>
        </w:rPr>
        <w:t xml:space="preserve">to familiarise themselves with how the rules have changed in a general sense. This cost will be incurred simply because the rules have changed, and would be incurred even if the rules did not introduce new </w:t>
      </w:r>
      <w:r w:rsidR="00C01BA1">
        <w:rPr>
          <w:rFonts w:cs="Times New Roman"/>
        </w:rPr>
        <w:t>substantive obligations</w:t>
      </w:r>
      <w:r w:rsidRPr="00037106">
        <w:rPr>
          <w:rFonts w:cs="Times New Roman"/>
        </w:rPr>
        <w:t xml:space="preserve">. This change in regulatory </w:t>
      </w:r>
      <w:r w:rsidR="00C01BA1">
        <w:rPr>
          <w:rFonts w:cs="Times New Roman"/>
        </w:rPr>
        <w:t>costs</w:t>
      </w:r>
      <w:r w:rsidR="00C01BA1" w:rsidRPr="00037106">
        <w:rPr>
          <w:rFonts w:cs="Times New Roman"/>
        </w:rPr>
        <w:t xml:space="preserve"> </w:t>
      </w:r>
      <w:r w:rsidRPr="00037106">
        <w:rPr>
          <w:rFonts w:cs="Times New Roman"/>
        </w:rPr>
        <w:t xml:space="preserve">is </w:t>
      </w:r>
      <w:r>
        <w:rPr>
          <w:rFonts w:cs="Times New Roman"/>
        </w:rPr>
        <w:t>additional</w:t>
      </w:r>
      <w:r w:rsidRPr="00037106">
        <w:rPr>
          <w:rFonts w:cs="Times New Roman"/>
        </w:rPr>
        <w:t xml:space="preserve"> to the change </w:t>
      </w:r>
      <w:r>
        <w:rPr>
          <w:rFonts w:cs="Times New Roman"/>
        </w:rPr>
        <w:t xml:space="preserve">presented </w:t>
      </w:r>
      <w:r w:rsidRPr="00037106">
        <w:rPr>
          <w:rFonts w:cs="Times New Roman"/>
        </w:rPr>
        <w:t>in sections 9</w:t>
      </w:r>
      <w:r w:rsidRPr="00094810">
        <w:rPr>
          <w:rFonts w:cs="Times New Roman"/>
        </w:rPr>
        <w:t>.1-9.</w:t>
      </w:r>
      <w:r>
        <w:rPr>
          <w:rFonts w:cs="Times New Roman"/>
        </w:rPr>
        <w:t>6</w:t>
      </w:r>
      <w:r w:rsidRPr="00094810">
        <w:rPr>
          <w:rFonts w:cs="Times New Roman"/>
        </w:rPr>
        <w:t>,</w:t>
      </w:r>
      <w:r w:rsidRPr="00037106">
        <w:rPr>
          <w:rFonts w:cs="Times New Roman"/>
        </w:rPr>
        <w:t xml:space="preserve"> </w:t>
      </w:r>
      <w:r>
        <w:rPr>
          <w:rFonts w:cs="Times New Roman"/>
        </w:rPr>
        <w:t xml:space="preserve">and has been estimated as the cost for </w:t>
      </w:r>
      <w:r w:rsidRPr="00037106">
        <w:rPr>
          <w:rFonts w:cs="Times New Roman"/>
        </w:rPr>
        <w:t xml:space="preserve">31 operators </w:t>
      </w:r>
      <w:r>
        <w:rPr>
          <w:rFonts w:cs="Times New Roman"/>
        </w:rPr>
        <w:t xml:space="preserve">to </w:t>
      </w:r>
      <w:r w:rsidRPr="00037106">
        <w:rPr>
          <w:rFonts w:cs="Times New Roman"/>
        </w:rPr>
        <w:t xml:space="preserve">assess and understand the overall changes to the water charge rules as well as how their obligations will change under the proposed amendments. This includes the proposed amendment to combine the </w:t>
      </w:r>
      <w:r w:rsidR="009F2846">
        <w:rPr>
          <w:rFonts w:cs="Times New Roman"/>
        </w:rPr>
        <w:t>three sets of water charge rules</w:t>
      </w:r>
      <w:r w:rsidRPr="00037106">
        <w:rPr>
          <w:rFonts w:cs="Times New Roman"/>
        </w:rPr>
        <w:t xml:space="preserve"> into a single instrument. </w:t>
      </w:r>
    </w:p>
    <w:p w:rsidR="00557E2D" w:rsidRDefault="00557E2D" w:rsidP="00557E2D">
      <w:pPr>
        <w:rPr>
          <w:rFonts w:cs="Times New Roman"/>
        </w:rPr>
      </w:pPr>
      <w:r w:rsidRPr="00037106">
        <w:rPr>
          <w:rFonts w:cs="Times New Roman"/>
        </w:rPr>
        <w:t>The ACCC estimate</w:t>
      </w:r>
      <w:r>
        <w:rPr>
          <w:rFonts w:cs="Times New Roman"/>
        </w:rPr>
        <w:t>s</w:t>
      </w:r>
      <w:r w:rsidRPr="00037106">
        <w:rPr>
          <w:rFonts w:cs="Times New Roman"/>
        </w:rPr>
        <w:t xml:space="preserve"> that the change in </w:t>
      </w:r>
      <w:r>
        <w:rPr>
          <w:rFonts w:cs="Times New Roman"/>
        </w:rPr>
        <w:t>(non-legal</w:t>
      </w:r>
      <w:r w:rsidR="00C01BA1">
        <w:rPr>
          <w:rFonts w:cs="Times New Roman"/>
        </w:rPr>
        <w:t xml:space="preserve"> </w:t>
      </w:r>
      <w:r>
        <w:rPr>
          <w:rFonts w:cs="Times New Roman"/>
        </w:rPr>
        <w:t>/</w:t>
      </w:r>
      <w:r w:rsidR="00C01BA1">
        <w:rPr>
          <w:rFonts w:cs="Times New Roman"/>
        </w:rPr>
        <w:t xml:space="preserve"> </w:t>
      </w:r>
      <w:r>
        <w:rPr>
          <w:rFonts w:cs="Times New Roman"/>
        </w:rPr>
        <w:t xml:space="preserve">consulting) </w:t>
      </w:r>
      <w:r w:rsidRPr="00037106">
        <w:rPr>
          <w:rFonts w:cs="Times New Roman"/>
        </w:rPr>
        <w:t>regulatory cost</w:t>
      </w:r>
      <w:r>
        <w:rPr>
          <w:rFonts w:cs="Times New Roman"/>
        </w:rPr>
        <w:t>s</w:t>
      </w:r>
      <w:r w:rsidRPr="00037106">
        <w:rPr>
          <w:rFonts w:cs="Times New Roman"/>
        </w:rPr>
        <w:t xml:space="preserve"> for these 31 operators will be between </w:t>
      </w:r>
      <w:r>
        <w:rPr>
          <w:rFonts w:cs="Times New Roman"/>
        </w:rPr>
        <w:t>15</w:t>
      </w:r>
      <w:r w:rsidRPr="00037106">
        <w:rPr>
          <w:rFonts w:cs="Times New Roman"/>
        </w:rPr>
        <w:t xml:space="preserve"> and </w:t>
      </w:r>
      <w:r>
        <w:rPr>
          <w:rFonts w:cs="Times New Roman"/>
        </w:rPr>
        <w:t>30</w:t>
      </w:r>
      <w:r w:rsidRPr="00037106">
        <w:rPr>
          <w:rFonts w:cs="Times New Roman"/>
        </w:rPr>
        <w:t xml:space="preserve"> additional staff hours</w:t>
      </w:r>
      <w:r>
        <w:rPr>
          <w:rFonts w:cs="Times New Roman"/>
        </w:rPr>
        <w:t xml:space="preserve"> per operator (depending on operator group)</w:t>
      </w:r>
      <w:r w:rsidRPr="00037106">
        <w:rPr>
          <w:rFonts w:cs="Times New Roman"/>
        </w:rPr>
        <w:t>. The</w:t>
      </w:r>
      <w:r>
        <w:rPr>
          <w:rFonts w:cs="Times New Roman"/>
        </w:rPr>
        <w:t>se</w:t>
      </w:r>
      <w:r w:rsidRPr="00037106">
        <w:rPr>
          <w:rFonts w:cs="Times New Roman"/>
        </w:rPr>
        <w:t xml:space="preserve"> additional staff hours </w:t>
      </w:r>
      <w:r>
        <w:rPr>
          <w:rFonts w:cs="Times New Roman"/>
        </w:rPr>
        <w:t xml:space="preserve">relate to </w:t>
      </w:r>
      <w:r w:rsidRPr="00037106">
        <w:rPr>
          <w:rFonts w:cs="Times New Roman"/>
        </w:rPr>
        <w:t xml:space="preserve">operators </w:t>
      </w:r>
      <w:r>
        <w:rPr>
          <w:rFonts w:cs="Times New Roman"/>
        </w:rPr>
        <w:t xml:space="preserve">assessing </w:t>
      </w:r>
      <w:r w:rsidRPr="00037106">
        <w:rPr>
          <w:rFonts w:cs="Times New Roman"/>
        </w:rPr>
        <w:t>the proposed changes</w:t>
      </w:r>
      <w:r>
        <w:rPr>
          <w:rFonts w:cs="Times New Roman"/>
        </w:rPr>
        <w:t xml:space="preserve">. Actual hours </w:t>
      </w:r>
      <w:r w:rsidRPr="00037106">
        <w:rPr>
          <w:rFonts w:cs="Times New Roman"/>
        </w:rPr>
        <w:t xml:space="preserve">will </w:t>
      </w:r>
      <w:r>
        <w:rPr>
          <w:rFonts w:cs="Times New Roman"/>
        </w:rPr>
        <w:t xml:space="preserve">likely </w:t>
      </w:r>
      <w:r w:rsidRPr="00037106">
        <w:rPr>
          <w:rFonts w:cs="Times New Roman"/>
        </w:rPr>
        <w:t xml:space="preserve">vary across operators, and even within each group. Accordingly, all estimates are an average for the group. For example, the estimated </w:t>
      </w:r>
      <w:r>
        <w:rPr>
          <w:rFonts w:cs="Times New Roman"/>
        </w:rPr>
        <w:t xml:space="preserve">average </w:t>
      </w:r>
      <w:r w:rsidRPr="00037106">
        <w:rPr>
          <w:rFonts w:cs="Times New Roman"/>
        </w:rPr>
        <w:t xml:space="preserve">additional staff hours </w:t>
      </w:r>
      <w:r>
        <w:rPr>
          <w:rFonts w:cs="Times New Roman"/>
        </w:rPr>
        <w:t xml:space="preserve">is assumed to be 15 hours for Group 1 operators </w:t>
      </w:r>
      <w:r w:rsidRPr="00037106">
        <w:rPr>
          <w:rFonts w:cs="Times New Roman"/>
        </w:rPr>
        <w:t xml:space="preserve">and </w:t>
      </w:r>
      <w:r>
        <w:rPr>
          <w:rFonts w:cs="Times New Roman"/>
        </w:rPr>
        <w:t xml:space="preserve">30 hours for </w:t>
      </w:r>
      <w:r w:rsidRPr="00037106">
        <w:rPr>
          <w:rFonts w:cs="Times New Roman"/>
        </w:rPr>
        <w:t>Group 4</w:t>
      </w:r>
      <w:r>
        <w:rPr>
          <w:rFonts w:cs="Times New Roman"/>
        </w:rPr>
        <w:t xml:space="preserve"> operators. The difference in hours allocated to each group reflects the more complicated operations of the larger businesses. </w:t>
      </w:r>
    </w:p>
    <w:p w:rsidR="00557E2D" w:rsidRDefault="00557E2D" w:rsidP="00557E2D">
      <w:pPr>
        <w:rPr>
          <w:rFonts w:cs="Times New Roman"/>
        </w:rPr>
      </w:pPr>
      <w:r>
        <w:rPr>
          <w:rFonts w:cs="Times New Roman"/>
        </w:rPr>
        <w:t xml:space="preserve">The ACCC has adjusted upwards its estimates of start-up operator hours required to understand the rule changes to reflect stakeholder concern that larger operators, who </w:t>
      </w:r>
      <w:r w:rsidR="00C01BA1">
        <w:rPr>
          <w:rFonts w:cs="Times New Roman"/>
        </w:rPr>
        <w:t xml:space="preserve">can </w:t>
      </w:r>
      <w:r>
        <w:rPr>
          <w:rFonts w:cs="Times New Roman"/>
        </w:rPr>
        <w:t xml:space="preserve">have quite complex charging arrangements and / or offer a range of infrastructure services, will need more time than previously assumed to understand how their obligations have changed. </w:t>
      </w:r>
    </w:p>
    <w:p w:rsidR="00F034BB" w:rsidRDefault="00557E2D" w:rsidP="00557E2D">
      <w:r w:rsidRPr="00B64690">
        <w:rPr>
          <w:rFonts w:cs="Times New Roman"/>
        </w:rPr>
        <w:t xml:space="preserve">The ACCC has also revised its costings to include an allowance for the legal advice and consultancy assistance that operators may request to assist them to understand their obligations under the </w:t>
      </w:r>
      <w:r w:rsidR="00F034BB">
        <w:rPr>
          <w:rFonts w:cs="Times New Roman"/>
        </w:rPr>
        <w:t>proposed</w:t>
      </w:r>
      <w:r w:rsidR="00F034BB" w:rsidRPr="00B64690">
        <w:rPr>
          <w:rFonts w:cs="Times New Roman"/>
        </w:rPr>
        <w:t xml:space="preserve"> </w:t>
      </w:r>
      <w:r w:rsidRPr="00B64690">
        <w:rPr>
          <w:rFonts w:cs="Times New Roman"/>
        </w:rPr>
        <w:t xml:space="preserve">water charge rules. </w:t>
      </w:r>
      <w:r w:rsidRPr="00B53DB8">
        <w:t>Th</w:t>
      </w:r>
      <w:r>
        <w:t xml:space="preserve">is revision </w:t>
      </w:r>
      <w:r w:rsidR="009F2846">
        <w:t xml:space="preserve">in particular </w:t>
      </w:r>
      <w:r>
        <w:t>responds to the concern rais</w:t>
      </w:r>
      <w:r w:rsidRPr="00B53DB8">
        <w:t>e</w:t>
      </w:r>
      <w:r>
        <w:t>d by the</w:t>
      </w:r>
      <w:r w:rsidRPr="00B53DB8">
        <w:t xml:space="preserve"> NIC </w:t>
      </w:r>
      <w:r>
        <w:t>that the Draft Advice made “</w:t>
      </w:r>
      <w:r w:rsidRPr="00B53DB8">
        <w:t>no allow</w:t>
      </w:r>
      <w:r>
        <w:t>ance for operators’ legal costs”</w:t>
      </w:r>
      <w:r w:rsidRPr="00B53DB8">
        <w:t xml:space="preserve">. </w:t>
      </w:r>
    </w:p>
    <w:p w:rsidR="00557E2D" w:rsidRPr="00B53DB8" w:rsidRDefault="009F2846" w:rsidP="00557E2D">
      <w:r>
        <w:t>With respect to legal costs, t</w:t>
      </w:r>
      <w:r w:rsidR="00557E2D" w:rsidRPr="00B53DB8">
        <w:t xml:space="preserve">he NIC </w:t>
      </w:r>
      <w:r>
        <w:t>submitted that the</w:t>
      </w:r>
      <w:r w:rsidR="00F034BB">
        <w:t xml:space="preserve"> number of legal </w:t>
      </w:r>
      <w:r>
        <w:t xml:space="preserve">hours </w:t>
      </w:r>
      <w:r w:rsidR="00F034BB">
        <w:t xml:space="preserve">required would be </w:t>
      </w:r>
      <w:r w:rsidR="00557E2D">
        <w:t>“</w:t>
      </w:r>
      <w:r w:rsidR="00557E2D" w:rsidRPr="00B53DB8">
        <w:t xml:space="preserve">in the order of 50% of the number of hours for the operator on each item in the ACCC’s assessment in </w:t>
      </w:r>
      <w:r w:rsidR="00B9494D">
        <w:t>c</w:t>
      </w:r>
      <w:r w:rsidR="00557E2D" w:rsidRPr="00B53DB8">
        <w:t>hapter 9 of its Draft Advice at an approximate blended hourly rate of $500 plus GST</w:t>
      </w:r>
      <w:r w:rsidR="00AD544A">
        <w:t>”</w:t>
      </w:r>
      <w:r w:rsidR="00557E2D" w:rsidRPr="00B53DB8">
        <w:t>.</w:t>
      </w:r>
      <w:r w:rsidR="00557E2D" w:rsidRPr="00B53DB8">
        <w:rPr>
          <w:rStyle w:val="FootnoteReference"/>
        </w:rPr>
        <w:footnoteReference w:id="868"/>
      </w:r>
      <w:r w:rsidR="00C6733C">
        <w:t xml:space="preserve"> </w:t>
      </w:r>
    </w:p>
    <w:p w:rsidR="00557E2D" w:rsidRDefault="00557E2D" w:rsidP="00557E2D">
      <w:r>
        <w:t xml:space="preserve">The ACCC considers </w:t>
      </w:r>
      <w:r w:rsidR="00F034BB">
        <w:t>that the number of hours of required legal advice suggested by the NIC is likely to b</w:t>
      </w:r>
      <w:r w:rsidR="00C01BA1">
        <w:t>e</w:t>
      </w:r>
      <w:r>
        <w:t xml:space="preserve"> an overestimate for the following reasons:</w:t>
      </w:r>
    </w:p>
    <w:p w:rsidR="00557E2D" w:rsidRDefault="00557E2D" w:rsidP="00A82DE6">
      <w:pPr>
        <w:pStyle w:val="Lvl1Bulletpoint"/>
      </w:pPr>
      <w:r>
        <w:t>operators’ staff should not require legal advice to understand the majority of the revised water charge rules. The ACCC considers that operators at most will only potentially require legal advice on the new Part 3 (Non-discrimination) and Part 7 (Distributions) requirements.</w:t>
      </w:r>
      <w:r w:rsidR="00C6733C">
        <w:t xml:space="preserve"> </w:t>
      </w:r>
    </w:p>
    <w:p w:rsidR="00557E2D" w:rsidRPr="00C01BA1" w:rsidRDefault="00557E2D" w:rsidP="00A82DE6">
      <w:pPr>
        <w:pStyle w:val="Lvl1Bulletpoint"/>
        <w:rPr>
          <w:rFonts w:cs="Times New Roman"/>
        </w:rPr>
      </w:pPr>
      <w:r>
        <w:t>the right of private action has been removed. This reduces the potential cost of litigation against the operator and therefore removes the need to seek legal advice on every facet of the revised rules.</w:t>
      </w:r>
    </w:p>
    <w:p w:rsidR="00C01BA1" w:rsidRDefault="00C01BA1" w:rsidP="00A82DE6">
      <w:pPr>
        <w:pStyle w:val="Lvl1Bulletpoint"/>
        <w:rPr>
          <w:rFonts w:cs="Times New Roman"/>
        </w:rPr>
      </w:pPr>
      <w:r>
        <w:t xml:space="preserve">the ACCC has committed to working closely with operators to assist them in understanding any new requirements under the rules, and to producing guidance material for operators (see sections 4.4 and 4.5). </w:t>
      </w:r>
    </w:p>
    <w:p w:rsidR="00F034BB" w:rsidRDefault="00557E2D" w:rsidP="00557E2D">
      <w:pPr>
        <w:rPr>
          <w:rFonts w:cs="Times New Roman"/>
        </w:rPr>
      </w:pPr>
      <w:r>
        <w:rPr>
          <w:rFonts w:cs="Times New Roman"/>
        </w:rPr>
        <w:t>The ACCC has</w:t>
      </w:r>
      <w:r w:rsidR="00F034BB">
        <w:rPr>
          <w:rFonts w:cs="Times New Roman"/>
        </w:rPr>
        <w:t xml:space="preserve"> therefor</w:t>
      </w:r>
      <w:r>
        <w:rPr>
          <w:rFonts w:cs="Times New Roman"/>
        </w:rPr>
        <w:t xml:space="preserve"> allowed for 20 hours of legal advice for each Group 3 and Group 4 operator in calculating the regulatory start-up costs. This is in recognition of the more complex operations, including charging regimes, of these larger operators. Smaller operators generally have </w:t>
      </w:r>
      <w:r w:rsidR="00C01BA1">
        <w:rPr>
          <w:rFonts w:cs="Times New Roman"/>
        </w:rPr>
        <w:t xml:space="preserve">relatively </w:t>
      </w:r>
      <w:r>
        <w:rPr>
          <w:rFonts w:cs="Times New Roman"/>
        </w:rPr>
        <w:t xml:space="preserve">simple </w:t>
      </w:r>
      <w:r w:rsidR="008A0693">
        <w:rPr>
          <w:rFonts w:cs="Times New Roman"/>
        </w:rPr>
        <w:t>S</w:t>
      </w:r>
      <w:r>
        <w:rPr>
          <w:rFonts w:cs="Times New Roman"/>
        </w:rPr>
        <w:t xml:space="preserve">chedules of </w:t>
      </w:r>
      <w:r w:rsidR="008A0693">
        <w:rPr>
          <w:rFonts w:cs="Times New Roman"/>
        </w:rPr>
        <w:t>C</w:t>
      </w:r>
      <w:r>
        <w:rPr>
          <w:rFonts w:cs="Times New Roman"/>
        </w:rPr>
        <w:t>harges and are likely to make simple</w:t>
      </w:r>
      <w:r w:rsidR="00C01BA1">
        <w:rPr>
          <w:rFonts w:cs="Times New Roman"/>
        </w:rPr>
        <w:t>r</w:t>
      </w:r>
      <w:r>
        <w:rPr>
          <w:rFonts w:cs="Times New Roman"/>
        </w:rPr>
        <w:t xml:space="preserve"> distributions, if any. Therefore, the ACCC has not included any legal costs in its calculation for regulatory burden for the start-up costs of Group 1 and Group 2 operators. </w:t>
      </w:r>
    </w:p>
    <w:p w:rsidR="00557E2D" w:rsidRDefault="00557E2D" w:rsidP="00557E2D">
      <w:pPr>
        <w:rPr>
          <w:rFonts w:cs="Times New Roman"/>
        </w:rPr>
      </w:pPr>
      <w:r>
        <w:rPr>
          <w:rFonts w:cs="Times New Roman"/>
        </w:rPr>
        <w:t>The ACCC considers that the $500 per hour + GST cost of legal services proposed by the NIC is high; however, erring on the side of regulatory caution, it has accepted this estimate.</w:t>
      </w:r>
      <w:r w:rsidR="00C6733C">
        <w:rPr>
          <w:rFonts w:cs="Times New Roman"/>
        </w:rPr>
        <w:t xml:space="preserve"> </w:t>
      </w:r>
    </w:p>
    <w:p w:rsidR="00F034BB" w:rsidRDefault="00F034BB" w:rsidP="00235BA8">
      <w:r>
        <w:rPr>
          <w:rFonts w:cs="Times New Roman"/>
        </w:rPr>
        <w:t>For the same reasons as with legal advice, the ACCC has only allowed consulting costs for Group Three and Group Four operators.</w:t>
      </w:r>
      <w:r w:rsidR="004F6BD0">
        <w:rPr>
          <w:rFonts w:cs="Times New Roman"/>
        </w:rPr>
        <w:t xml:space="preserve"> </w:t>
      </w:r>
      <w:r>
        <w:rPr>
          <w:rFonts w:cs="Times New Roman"/>
        </w:rPr>
        <w:t>T</w:t>
      </w:r>
      <w:r w:rsidRPr="000641B6">
        <w:rPr>
          <w:rFonts w:cs="Times New Roman"/>
        </w:rPr>
        <w:t xml:space="preserve">he ACCC has allocated 40 consultant hours at $300 per hour per operator for </w:t>
      </w:r>
      <w:r>
        <w:rPr>
          <w:rFonts w:cs="Times New Roman"/>
        </w:rPr>
        <w:t>each of these operator groups.</w:t>
      </w:r>
    </w:p>
    <w:p w:rsidR="00557E2D" w:rsidRDefault="00557E2D" w:rsidP="00557E2D">
      <w:pPr>
        <w:rPr>
          <w:rFonts w:cs="Times New Roman"/>
        </w:rPr>
      </w:pPr>
      <w:r w:rsidRPr="00037106">
        <w:rPr>
          <w:rFonts w:cs="Times New Roman"/>
        </w:rPr>
        <w:t>Th</w:t>
      </w:r>
      <w:r>
        <w:rPr>
          <w:rFonts w:cs="Times New Roman"/>
        </w:rPr>
        <w:t>e</w:t>
      </w:r>
      <w:r w:rsidRPr="00037106">
        <w:rPr>
          <w:rFonts w:cs="Times New Roman"/>
        </w:rPr>
        <w:t>s</w:t>
      </w:r>
      <w:r>
        <w:rPr>
          <w:rFonts w:cs="Times New Roman"/>
        </w:rPr>
        <w:t>e</w:t>
      </w:r>
      <w:r w:rsidRPr="00037106">
        <w:rPr>
          <w:rFonts w:cs="Times New Roman"/>
        </w:rPr>
        <w:t xml:space="preserve"> change</w:t>
      </w:r>
      <w:r>
        <w:rPr>
          <w:rFonts w:cs="Times New Roman"/>
        </w:rPr>
        <w:t>s</w:t>
      </w:r>
      <w:r w:rsidRPr="00037106">
        <w:rPr>
          <w:rFonts w:cs="Times New Roman"/>
        </w:rPr>
        <w:t xml:space="preserve"> in regulatory cost</w:t>
      </w:r>
      <w:r>
        <w:rPr>
          <w:rFonts w:cs="Times New Roman"/>
        </w:rPr>
        <w:t>s</w:t>
      </w:r>
      <w:r w:rsidRPr="00037106">
        <w:rPr>
          <w:rFonts w:cs="Times New Roman"/>
        </w:rPr>
        <w:t xml:space="preserve"> </w:t>
      </w:r>
      <w:r>
        <w:rPr>
          <w:rFonts w:cs="Times New Roman"/>
        </w:rPr>
        <w:t>are</w:t>
      </w:r>
      <w:r w:rsidRPr="00037106">
        <w:rPr>
          <w:rFonts w:cs="Times New Roman"/>
        </w:rPr>
        <w:t xml:space="preserve"> </w:t>
      </w:r>
      <w:r>
        <w:rPr>
          <w:rFonts w:cs="Times New Roman"/>
        </w:rPr>
        <w:t>assumed</w:t>
      </w:r>
      <w:r w:rsidRPr="00037106">
        <w:rPr>
          <w:rFonts w:cs="Times New Roman"/>
        </w:rPr>
        <w:t xml:space="preserve"> to only occur in the first year after the proposed changes outline</w:t>
      </w:r>
      <w:r>
        <w:rPr>
          <w:rFonts w:cs="Times New Roman"/>
        </w:rPr>
        <w:t>d</w:t>
      </w:r>
      <w:r w:rsidRPr="00037106">
        <w:rPr>
          <w:rFonts w:cs="Times New Roman"/>
        </w:rPr>
        <w:t xml:space="preserve"> in chapters 4-7 take effect.</w:t>
      </w:r>
    </w:p>
    <w:p w:rsidR="00557E2D" w:rsidRPr="00037106" w:rsidRDefault="00557E2D" w:rsidP="00557E2D">
      <w:pPr>
        <w:rPr>
          <w:rFonts w:cs="Times New Roman"/>
        </w:rPr>
      </w:pPr>
      <w:r>
        <w:rPr>
          <w:rFonts w:cs="Times New Roman"/>
        </w:rPr>
        <w:t xml:space="preserve">The total estimated increase associated with start-up costs (not elsewhere included) is $30 209 per annum. This </w:t>
      </w:r>
      <w:r>
        <w:t>compares with an annualised increase of $3993 estimated for the proposals in the Draft Advice.</w:t>
      </w:r>
    </w:p>
    <w:p w:rsidR="00557E2D" w:rsidRPr="00DE3110" w:rsidRDefault="00557E2D" w:rsidP="00200D46">
      <w:pPr>
        <w:pStyle w:val="Tabletitle"/>
      </w:pPr>
      <w:r w:rsidRPr="00DE3110">
        <w:t>Table 9.13—</w:t>
      </w:r>
      <w:r>
        <w:t>Net c</w:t>
      </w:r>
      <w:r w:rsidRPr="00DE3110">
        <w:t xml:space="preserve">hange in regulatory cost due to one-off and start-up costs </w:t>
      </w:r>
      <w:r>
        <w:t>not elsewhere included</w:t>
      </w:r>
    </w:p>
    <w:tbl>
      <w:tblPr>
        <w:tblStyle w:val="TableGrid"/>
        <w:tblW w:w="9310" w:type="dxa"/>
        <w:tblBorders>
          <w:insideH w:val="none" w:sz="0" w:space="0" w:color="auto"/>
          <w:insideV w:val="none" w:sz="0" w:space="0" w:color="auto"/>
        </w:tblBorders>
        <w:tblLayout w:type="fixed"/>
        <w:tblLook w:val="04A0" w:firstRow="1" w:lastRow="0" w:firstColumn="1" w:lastColumn="0" w:noHBand="0" w:noVBand="1"/>
      </w:tblPr>
      <w:tblGrid>
        <w:gridCol w:w="4119"/>
        <w:gridCol w:w="1038"/>
        <w:gridCol w:w="1038"/>
        <w:gridCol w:w="1038"/>
        <w:gridCol w:w="1039"/>
        <w:gridCol w:w="1038"/>
      </w:tblGrid>
      <w:tr w:rsidR="00557E2D" w:rsidTr="00C52AEB">
        <w:trPr>
          <w:trHeight w:val="359"/>
        </w:trPr>
        <w:tc>
          <w:tcPr>
            <w:tcW w:w="4119" w:type="dxa"/>
            <w:tcBorders>
              <w:bottom w:val="single" w:sz="4" w:space="0" w:color="auto"/>
            </w:tcBorders>
            <w:shd w:val="clear" w:color="auto" w:fill="D9D9D9" w:themeFill="background1" w:themeFillShade="D9"/>
            <w:vAlign w:val="center"/>
          </w:tcPr>
          <w:p w:rsidR="00557E2D" w:rsidRPr="00C834E8" w:rsidRDefault="00557E2D" w:rsidP="00200D46">
            <w:pPr>
              <w:pStyle w:val="tabletext"/>
              <w:keepNext/>
            </w:pPr>
          </w:p>
        </w:tc>
        <w:tc>
          <w:tcPr>
            <w:tcW w:w="1038" w:type="dxa"/>
            <w:tcBorders>
              <w:bottom w:val="single" w:sz="4" w:space="0" w:color="auto"/>
            </w:tcBorders>
            <w:shd w:val="clear" w:color="auto" w:fill="D9D9D9" w:themeFill="background1" w:themeFillShade="D9"/>
            <w:vAlign w:val="center"/>
          </w:tcPr>
          <w:p w:rsidR="00557E2D" w:rsidRPr="00C834E8" w:rsidRDefault="00557E2D" w:rsidP="00200D46">
            <w:pPr>
              <w:pStyle w:val="tabletext"/>
              <w:keepNext/>
              <w:jc w:val="right"/>
            </w:pPr>
            <w:r w:rsidRPr="00C834E8">
              <w:t>Group 1</w:t>
            </w:r>
          </w:p>
        </w:tc>
        <w:tc>
          <w:tcPr>
            <w:tcW w:w="1038" w:type="dxa"/>
            <w:tcBorders>
              <w:bottom w:val="single" w:sz="4" w:space="0" w:color="auto"/>
            </w:tcBorders>
            <w:shd w:val="clear" w:color="auto" w:fill="D9D9D9" w:themeFill="background1" w:themeFillShade="D9"/>
            <w:vAlign w:val="center"/>
          </w:tcPr>
          <w:p w:rsidR="00557E2D" w:rsidRPr="00C834E8" w:rsidRDefault="00557E2D" w:rsidP="00200D46">
            <w:pPr>
              <w:pStyle w:val="tabletext"/>
              <w:keepNext/>
              <w:jc w:val="right"/>
            </w:pPr>
            <w:r w:rsidRPr="00C834E8">
              <w:t>Group 2</w:t>
            </w:r>
          </w:p>
        </w:tc>
        <w:tc>
          <w:tcPr>
            <w:tcW w:w="1038" w:type="dxa"/>
            <w:tcBorders>
              <w:bottom w:val="single" w:sz="4" w:space="0" w:color="auto"/>
            </w:tcBorders>
            <w:shd w:val="clear" w:color="auto" w:fill="D9D9D9" w:themeFill="background1" w:themeFillShade="D9"/>
            <w:vAlign w:val="center"/>
          </w:tcPr>
          <w:p w:rsidR="00557E2D" w:rsidRPr="00C834E8" w:rsidRDefault="00557E2D" w:rsidP="00200D46">
            <w:pPr>
              <w:pStyle w:val="tabletext"/>
              <w:keepNext/>
              <w:jc w:val="right"/>
            </w:pPr>
            <w:r w:rsidRPr="00C834E8">
              <w:t>Group 3</w:t>
            </w:r>
          </w:p>
        </w:tc>
        <w:tc>
          <w:tcPr>
            <w:tcW w:w="1039" w:type="dxa"/>
            <w:tcBorders>
              <w:bottom w:val="single" w:sz="4" w:space="0" w:color="auto"/>
            </w:tcBorders>
            <w:shd w:val="clear" w:color="auto" w:fill="D9D9D9" w:themeFill="background1" w:themeFillShade="D9"/>
            <w:vAlign w:val="center"/>
          </w:tcPr>
          <w:p w:rsidR="00557E2D" w:rsidRPr="00C834E8" w:rsidRDefault="00557E2D" w:rsidP="00200D46">
            <w:pPr>
              <w:pStyle w:val="tabletext"/>
              <w:keepNext/>
              <w:jc w:val="right"/>
            </w:pPr>
            <w:r w:rsidRPr="00C834E8">
              <w:t>Group 4</w:t>
            </w:r>
          </w:p>
        </w:tc>
        <w:tc>
          <w:tcPr>
            <w:tcW w:w="1038" w:type="dxa"/>
            <w:tcBorders>
              <w:bottom w:val="single" w:sz="4" w:space="0" w:color="auto"/>
            </w:tcBorders>
            <w:shd w:val="clear" w:color="auto" w:fill="D9D9D9" w:themeFill="background1" w:themeFillShade="D9"/>
            <w:vAlign w:val="center"/>
          </w:tcPr>
          <w:p w:rsidR="00557E2D" w:rsidRPr="00CD60F0" w:rsidRDefault="00557E2D" w:rsidP="00200D46">
            <w:pPr>
              <w:pStyle w:val="tabletext"/>
              <w:keepNext/>
              <w:jc w:val="right"/>
              <w:rPr>
                <w:b/>
              </w:rPr>
            </w:pPr>
            <w:r w:rsidRPr="00CD60F0">
              <w:rPr>
                <w:b/>
              </w:rPr>
              <w:t>Total</w:t>
            </w:r>
          </w:p>
        </w:tc>
      </w:tr>
      <w:tr w:rsidR="00557E2D" w:rsidTr="005B0005">
        <w:trPr>
          <w:trHeight w:val="342"/>
        </w:trPr>
        <w:tc>
          <w:tcPr>
            <w:tcW w:w="4119" w:type="dxa"/>
            <w:tcBorders>
              <w:top w:val="single" w:sz="4" w:space="0" w:color="auto"/>
              <w:bottom w:val="single" w:sz="4" w:space="0" w:color="auto"/>
            </w:tcBorders>
            <w:vAlign w:val="center"/>
          </w:tcPr>
          <w:p w:rsidR="00557E2D" w:rsidRPr="00C5134A" w:rsidRDefault="00557E2D" w:rsidP="00200D46">
            <w:pPr>
              <w:pStyle w:val="tabletext"/>
              <w:keepNext/>
              <w:rPr>
                <w:b/>
              </w:rPr>
            </w:pPr>
            <w:r w:rsidRPr="00C5134A">
              <w:rPr>
                <w:b/>
              </w:rPr>
              <w:t>No. of affected operators</w:t>
            </w:r>
          </w:p>
        </w:tc>
        <w:tc>
          <w:tcPr>
            <w:tcW w:w="1038" w:type="dxa"/>
            <w:tcBorders>
              <w:top w:val="single" w:sz="4" w:space="0" w:color="auto"/>
              <w:bottom w:val="single" w:sz="4" w:space="0" w:color="auto"/>
            </w:tcBorders>
            <w:vAlign w:val="center"/>
          </w:tcPr>
          <w:p w:rsidR="00557E2D" w:rsidRPr="007C6850" w:rsidRDefault="00557E2D" w:rsidP="00200D46">
            <w:pPr>
              <w:pStyle w:val="tabletext"/>
              <w:keepNext/>
              <w:jc w:val="right"/>
            </w:pPr>
            <w:r w:rsidRPr="007C6850">
              <w:t>8</w:t>
            </w:r>
          </w:p>
        </w:tc>
        <w:tc>
          <w:tcPr>
            <w:tcW w:w="1038" w:type="dxa"/>
            <w:tcBorders>
              <w:top w:val="single" w:sz="4" w:space="0" w:color="auto"/>
              <w:bottom w:val="single" w:sz="4" w:space="0" w:color="auto"/>
            </w:tcBorders>
            <w:vAlign w:val="center"/>
          </w:tcPr>
          <w:p w:rsidR="00557E2D" w:rsidRPr="007C6850" w:rsidRDefault="00557E2D" w:rsidP="00200D46">
            <w:pPr>
              <w:pStyle w:val="tabletext"/>
              <w:keepNext/>
              <w:jc w:val="right"/>
            </w:pPr>
            <w:r w:rsidRPr="007C6850">
              <w:t>12</w:t>
            </w:r>
          </w:p>
        </w:tc>
        <w:tc>
          <w:tcPr>
            <w:tcW w:w="1038" w:type="dxa"/>
            <w:tcBorders>
              <w:top w:val="single" w:sz="4" w:space="0" w:color="auto"/>
              <w:bottom w:val="single" w:sz="4" w:space="0" w:color="auto"/>
            </w:tcBorders>
            <w:vAlign w:val="center"/>
          </w:tcPr>
          <w:p w:rsidR="00557E2D" w:rsidRPr="007C6850" w:rsidRDefault="00557E2D" w:rsidP="00200D46">
            <w:pPr>
              <w:pStyle w:val="tabletext"/>
              <w:keepNext/>
              <w:jc w:val="right"/>
            </w:pPr>
            <w:r w:rsidRPr="007C6850">
              <w:t>5</w:t>
            </w:r>
          </w:p>
        </w:tc>
        <w:tc>
          <w:tcPr>
            <w:tcW w:w="1039" w:type="dxa"/>
            <w:tcBorders>
              <w:top w:val="single" w:sz="4" w:space="0" w:color="auto"/>
              <w:bottom w:val="single" w:sz="4" w:space="0" w:color="auto"/>
            </w:tcBorders>
            <w:vAlign w:val="center"/>
          </w:tcPr>
          <w:p w:rsidR="00557E2D" w:rsidRPr="007C6850" w:rsidRDefault="00557E2D" w:rsidP="00200D46">
            <w:pPr>
              <w:pStyle w:val="tabletext"/>
              <w:keepNext/>
              <w:jc w:val="right"/>
            </w:pPr>
            <w:r w:rsidRPr="007C6850">
              <w:t>6</w:t>
            </w:r>
          </w:p>
        </w:tc>
        <w:tc>
          <w:tcPr>
            <w:tcW w:w="1038" w:type="dxa"/>
            <w:tcBorders>
              <w:top w:val="single" w:sz="4" w:space="0" w:color="auto"/>
              <w:bottom w:val="single" w:sz="4" w:space="0" w:color="auto"/>
            </w:tcBorders>
            <w:vAlign w:val="center"/>
          </w:tcPr>
          <w:p w:rsidR="00557E2D" w:rsidRPr="007C6850" w:rsidRDefault="00557E2D" w:rsidP="00200D46">
            <w:pPr>
              <w:pStyle w:val="tabletext"/>
              <w:keepNext/>
              <w:jc w:val="right"/>
            </w:pPr>
            <w:r w:rsidRPr="007C6850">
              <w:t>31</w:t>
            </w:r>
          </w:p>
        </w:tc>
      </w:tr>
      <w:tr w:rsidR="00557E2D" w:rsidTr="005B0005">
        <w:trPr>
          <w:trHeight w:val="359"/>
        </w:trPr>
        <w:tc>
          <w:tcPr>
            <w:tcW w:w="9310" w:type="dxa"/>
            <w:gridSpan w:val="6"/>
            <w:tcBorders>
              <w:top w:val="single" w:sz="4" w:space="0" w:color="auto"/>
              <w:bottom w:val="single" w:sz="4" w:space="0" w:color="auto"/>
            </w:tcBorders>
            <w:vAlign w:val="center"/>
          </w:tcPr>
          <w:p w:rsidR="00557E2D" w:rsidRPr="00C834E8" w:rsidRDefault="00557E2D" w:rsidP="00200D46">
            <w:pPr>
              <w:pStyle w:val="tabletext"/>
              <w:keepNext/>
            </w:pPr>
            <w:r w:rsidRPr="00B6775C">
              <w:rPr>
                <w:b/>
              </w:rPr>
              <w:t xml:space="preserve">Initial review of proposed amendments and understanding new/changed obligations </w:t>
            </w:r>
          </w:p>
        </w:tc>
      </w:tr>
      <w:tr w:rsidR="00557E2D" w:rsidTr="005B0005">
        <w:trPr>
          <w:trHeight w:val="306"/>
        </w:trPr>
        <w:tc>
          <w:tcPr>
            <w:tcW w:w="4119" w:type="dxa"/>
            <w:tcBorders>
              <w:top w:val="single" w:sz="4" w:space="0" w:color="auto"/>
              <w:bottom w:val="nil"/>
            </w:tcBorders>
            <w:vAlign w:val="center"/>
          </w:tcPr>
          <w:p w:rsidR="00557E2D" w:rsidRPr="00B6775C" w:rsidRDefault="00557E2D" w:rsidP="00200D46">
            <w:pPr>
              <w:pStyle w:val="tabletext"/>
              <w:keepNext/>
              <w:ind w:left="142"/>
            </w:pPr>
            <w:r w:rsidRPr="00B6775C">
              <w:t xml:space="preserve">Average </w:t>
            </w:r>
            <w:r>
              <w:t xml:space="preserve">staff </w:t>
            </w:r>
            <w:r w:rsidRPr="00B6775C">
              <w:t>hours per operator</w:t>
            </w:r>
          </w:p>
        </w:tc>
        <w:tc>
          <w:tcPr>
            <w:tcW w:w="1038" w:type="dxa"/>
            <w:tcBorders>
              <w:top w:val="single" w:sz="4" w:space="0" w:color="auto"/>
              <w:bottom w:val="nil"/>
            </w:tcBorders>
            <w:vAlign w:val="center"/>
          </w:tcPr>
          <w:p w:rsidR="00557E2D" w:rsidRDefault="00557E2D" w:rsidP="00200D46">
            <w:pPr>
              <w:pStyle w:val="tabletext"/>
              <w:keepNext/>
              <w:jc w:val="right"/>
            </w:pPr>
            <w:r>
              <w:t>15</w:t>
            </w:r>
          </w:p>
        </w:tc>
        <w:tc>
          <w:tcPr>
            <w:tcW w:w="1038" w:type="dxa"/>
            <w:tcBorders>
              <w:top w:val="single" w:sz="4" w:space="0" w:color="auto"/>
              <w:bottom w:val="nil"/>
            </w:tcBorders>
            <w:vAlign w:val="center"/>
          </w:tcPr>
          <w:p w:rsidR="00557E2D" w:rsidRDefault="00557E2D" w:rsidP="00200D46">
            <w:pPr>
              <w:pStyle w:val="tabletext"/>
              <w:keepNext/>
              <w:jc w:val="right"/>
            </w:pPr>
            <w:r>
              <w:t>25</w:t>
            </w:r>
          </w:p>
        </w:tc>
        <w:tc>
          <w:tcPr>
            <w:tcW w:w="1038" w:type="dxa"/>
            <w:tcBorders>
              <w:top w:val="single" w:sz="4" w:space="0" w:color="auto"/>
              <w:bottom w:val="nil"/>
            </w:tcBorders>
            <w:vAlign w:val="center"/>
          </w:tcPr>
          <w:p w:rsidR="00557E2D" w:rsidRDefault="00557E2D" w:rsidP="00200D46">
            <w:pPr>
              <w:pStyle w:val="tabletext"/>
              <w:keepNext/>
              <w:jc w:val="right"/>
            </w:pPr>
            <w:r>
              <w:t>30</w:t>
            </w:r>
          </w:p>
        </w:tc>
        <w:tc>
          <w:tcPr>
            <w:tcW w:w="1039" w:type="dxa"/>
            <w:tcBorders>
              <w:top w:val="single" w:sz="4" w:space="0" w:color="auto"/>
              <w:bottom w:val="nil"/>
            </w:tcBorders>
            <w:vAlign w:val="center"/>
          </w:tcPr>
          <w:p w:rsidR="00557E2D" w:rsidRDefault="00557E2D" w:rsidP="00200D46">
            <w:pPr>
              <w:pStyle w:val="tabletext"/>
              <w:keepNext/>
              <w:jc w:val="right"/>
            </w:pPr>
            <w:r>
              <w:t>30</w:t>
            </w:r>
          </w:p>
        </w:tc>
        <w:tc>
          <w:tcPr>
            <w:tcW w:w="1038" w:type="dxa"/>
            <w:tcBorders>
              <w:top w:val="single" w:sz="4" w:space="0" w:color="auto"/>
              <w:bottom w:val="nil"/>
            </w:tcBorders>
            <w:vAlign w:val="center"/>
          </w:tcPr>
          <w:p w:rsidR="00557E2D" w:rsidRDefault="00557E2D" w:rsidP="00200D46">
            <w:pPr>
              <w:pStyle w:val="tabletext"/>
              <w:keepNext/>
              <w:jc w:val="right"/>
            </w:pPr>
          </w:p>
        </w:tc>
      </w:tr>
      <w:tr w:rsidR="00557E2D" w:rsidTr="005B0005">
        <w:trPr>
          <w:trHeight w:val="456"/>
        </w:trPr>
        <w:tc>
          <w:tcPr>
            <w:tcW w:w="4119" w:type="dxa"/>
            <w:tcBorders>
              <w:top w:val="nil"/>
              <w:bottom w:val="single" w:sz="4" w:space="0" w:color="auto"/>
            </w:tcBorders>
            <w:vAlign w:val="center"/>
          </w:tcPr>
          <w:p w:rsidR="00557E2D" w:rsidRPr="00C834E8" w:rsidRDefault="00557E2D" w:rsidP="00200D46">
            <w:pPr>
              <w:pStyle w:val="tabletext"/>
              <w:keepNext/>
              <w:ind w:left="142"/>
            </w:pPr>
            <w:r>
              <w:t>Annualised c</w:t>
            </w:r>
            <w:r w:rsidRPr="00C834E8">
              <w:t>hange in regulatory cost</w:t>
            </w:r>
            <w:r>
              <w:t>—staff hours</w:t>
            </w:r>
          </w:p>
        </w:tc>
        <w:tc>
          <w:tcPr>
            <w:tcW w:w="1038" w:type="dxa"/>
            <w:tcBorders>
              <w:top w:val="nil"/>
              <w:bottom w:val="single" w:sz="4" w:space="0" w:color="auto"/>
            </w:tcBorders>
            <w:vAlign w:val="center"/>
          </w:tcPr>
          <w:p w:rsidR="00557E2D" w:rsidRDefault="00557E2D" w:rsidP="00200D46">
            <w:pPr>
              <w:pStyle w:val="tabletext"/>
              <w:keepNext/>
              <w:jc w:val="right"/>
            </w:pPr>
            <w:r>
              <w:t>$785</w:t>
            </w:r>
          </w:p>
        </w:tc>
        <w:tc>
          <w:tcPr>
            <w:tcW w:w="1038" w:type="dxa"/>
            <w:tcBorders>
              <w:top w:val="nil"/>
              <w:bottom w:val="single" w:sz="4" w:space="0" w:color="auto"/>
            </w:tcBorders>
            <w:vAlign w:val="center"/>
          </w:tcPr>
          <w:p w:rsidR="00557E2D" w:rsidRDefault="00557E2D" w:rsidP="00200D46">
            <w:pPr>
              <w:pStyle w:val="tabletext"/>
              <w:keepNext/>
              <w:jc w:val="right"/>
            </w:pPr>
            <w:r>
              <w:t>$1 964</w:t>
            </w:r>
          </w:p>
        </w:tc>
        <w:tc>
          <w:tcPr>
            <w:tcW w:w="1038" w:type="dxa"/>
            <w:tcBorders>
              <w:top w:val="nil"/>
              <w:bottom w:val="single" w:sz="4" w:space="0" w:color="auto"/>
            </w:tcBorders>
            <w:vAlign w:val="center"/>
          </w:tcPr>
          <w:p w:rsidR="00557E2D" w:rsidRDefault="00557E2D" w:rsidP="00200D46">
            <w:pPr>
              <w:pStyle w:val="tabletext"/>
              <w:keepNext/>
              <w:jc w:val="right"/>
            </w:pPr>
            <w:r>
              <w:t>$982</w:t>
            </w:r>
          </w:p>
        </w:tc>
        <w:tc>
          <w:tcPr>
            <w:tcW w:w="1039" w:type="dxa"/>
            <w:tcBorders>
              <w:top w:val="nil"/>
              <w:bottom w:val="single" w:sz="4" w:space="0" w:color="auto"/>
            </w:tcBorders>
            <w:vAlign w:val="center"/>
          </w:tcPr>
          <w:p w:rsidR="00557E2D" w:rsidRDefault="00557E2D" w:rsidP="00200D46">
            <w:pPr>
              <w:pStyle w:val="tabletext"/>
              <w:keepNext/>
              <w:jc w:val="right"/>
            </w:pPr>
            <w:r>
              <w:t>$1 178</w:t>
            </w:r>
          </w:p>
        </w:tc>
        <w:tc>
          <w:tcPr>
            <w:tcW w:w="1038" w:type="dxa"/>
            <w:tcBorders>
              <w:top w:val="nil"/>
              <w:bottom w:val="single" w:sz="4" w:space="0" w:color="auto"/>
            </w:tcBorders>
            <w:vAlign w:val="center"/>
          </w:tcPr>
          <w:p w:rsidR="00557E2D" w:rsidRDefault="00557E2D" w:rsidP="00200D46">
            <w:pPr>
              <w:pStyle w:val="tabletext"/>
              <w:keepNext/>
              <w:jc w:val="right"/>
            </w:pPr>
            <w:r>
              <w:t>$4 909</w:t>
            </w:r>
          </w:p>
        </w:tc>
      </w:tr>
      <w:tr w:rsidR="00557E2D" w:rsidTr="005B0005">
        <w:trPr>
          <w:trHeight w:val="456"/>
        </w:trPr>
        <w:tc>
          <w:tcPr>
            <w:tcW w:w="9310" w:type="dxa"/>
            <w:gridSpan w:val="6"/>
            <w:tcBorders>
              <w:top w:val="single" w:sz="4" w:space="0" w:color="auto"/>
              <w:bottom w:val="single" w:sz="4" w:space="0" w:color="auto"/>
            </w:tcBorders>
            <w:vAlign w:val="center"/>
          </w:tcPr>
          <w:p w:rsidR="00557E2D" w:rsidRPr="00B6775C" w:rsidRDefault="00557E2D" w:rsidP="00200D46">
            <w:pPr>
              <w:pStyle w:val="tabletext"/>
              <w:keepNext/>
              <w:rPr>
                <w:b/>
              </w:rPr>
            </w:pPr>
            <w:r w:rsidRPr="00B6775C">
              <w:rPr>
                <w:b/>
              </w:rPr>
              <w:t>Legal costs relating to operators</w:t>
            </w:r>
            <w:r w:rsidR="00C6733C">
              <w:rPr>
                <w:b/>
              </w:rPr>
              <w:t xml:space="preserve"> </w:t>
            </w:r>
            <w:r w:rsidRPr="00B6775C">
              <w:rPr>
                <w:b/>
              </w:rPr>
              <w:t>understanding obligations under the proposed changes</w:t>
            </w:r>
          </w:p>
        </w:tc>
      </w:tr>
      <w:tr w:rsidR="00557E2D" w:rsidTr="005B0005">
        <w:trPr>
          <w:trHeight w:val="456"/>
        </w:trPr>
        <w:tc>
          <w:tcPr>
            <w:tcW w:w="4119" w:type="dxa"/>
            <w:tcBorders>
              <w:top w:val="single" w:sz="4" w:space="0" w:color="auto"/>
            </w:tcBorders>
            <w:vAlign w:val="center"/>
          </w:tcPr>
          <w:p w:rsidR="00557E2D" w:rsidRPr="00B6775C" w:rsidRDefault="00557E2D" w:rsidP="00200D46">
            <w:pPr>
              <w:pStyle w:val="tabletext"/>
              <w:keepNext/>
              <w:ind w:left="142"/>
            </w:pPr>
            <w:r w:rsidRPr="00B6775C">
              <w:t>Average legal hours commissioned per operator</w:t>
            </w:r>
          </w:p>
        </w:tc>
        <w:tc>
          <w:tcPr>
            <w:tcW w:w="1038" w:type="dxa"/>
            <w:tcBorders>
              <w:top w:val="single" w:sz="4" w:space="0" w:color="auto"/>
            </w:tcBorders>
            <w:vAlign w:val="center"/>
          </w:tcPr>
          <w:p w:rsidR="00557E2D" w:rsidRDefault="00557E2D" w:rsidP="00200D46">
            <w:pPr>
              <w:pStyle w:val="tabletext"/>
              <w:keepNext/>
              <w:jc w:val="right"/>
            </w:pPr>
            <w:r>
              <w:t>n/a</w:t>
            </w:r>
          </w:p>
        </w:tc>
        <w:tc>
          <w:tcPr>
            <w:tcW w:w="1038" w:type="dxa"/>
            <w:tcBorders>
              <w:top w:val="single" w:sz="4" w:space="0" w:color="auto"/>
            </w:tcBorders>
            <w:vAlign w:val="center"/>
          </w:tcPr>
          <w:p w:rsidR="00557E2D" w:rsidRDefault="00557E2D" w:rsidP="00200D46">
            <w:pPr>
              <w:pStyle w:val="tabletext"/>
              <w:keepNext/>
              <w:jc w:val="right"/>
            </w:pPr>
            <w:r>
              <w:t>n/a</w:t>
            </w:r>
          </w:p>
        </w:tc>
        <w:tc>
          <w:tcPr>
            <w:tcW w:w="1038" w:type="dxa"/>
            <w:tcBorders>
              <w:top w:val="single" w:sz="4" w:space="0" w:color="auto"/>
            </w:tcBorders>
            <w:vAlign w:val="center"/>
          </w:tcPr>
          <w:p w:rsidR="00557E2D" w:rsidRDefault="00557E2D" w:rsidP="00200D46">
            <w:pPr>
              <w:pStyle w:val="tabletext"/>
              <w:keepNext/>
              <w:jc w:val="right"/>
            </w:pPr>
            <w:r>
              <w:t>20</w:t>
            </w:r>
          </w:p>
        </w:tc>
        <w:tc>
          <w:tcPr>
            <w:tcW w:w="1039" w:type="dxa"/>
            <w:tcBorders>
              <w:top w:val="single" w:sz="4" w:space="0" w:color="auto"/>
            </w:tcBorders>
            <w:vAlign w:val="center"/>
          </w:tcPr>
          <w:p w:rsidR="00557E2D" w:rsidRDefault="00557E2D" w:rsidP="00200D46">
            <w:pPr>
              <w:pStyle w:val="tabletext"/>
              <w:keepNext/>
              <w:jc w:val="right"/>
            </w:pPr>
            <w:r>
              <w:t>20</w:t>
            </w:r>
          </w:p>
        </w:tc>
        <w:tc>
          <w:tcPr>
            <w:tcW w:w="1038" w:type="dxa"/>
            <w:tcBorders>
              <w:top w:val="single" w:sz="4" w:space="0" w:color="auto"/>
            </w:tcBorders>
            <w:vAlign w:val="center"/>
          </w:tcPr>
          <w:p w:rsidR="00557E2D" w:rsidRDefault="00557E2D" w:rsidP="00200D46">
            <w:pPr>
              <w:pStyle w:val="tabletext"/>
              <w:keepNext/>
            </w:pPr>
          </w:p>
        </w:tc>
      </w:tr>
      <w:tr w:rsidR="00557E2D" w:rsidTr="005B0005">
        <w:trPr>
          <w:trHeight w:val="456"/>
        </w:trPr>
        <w:tc>
          <w:tcPr>
            <w:tcW w:w="4119" w:type="dxa"/>
            <w:vAlign w:val="center"/>
          </w:tcPr>
          <w:p w:rsidR="00557E2D" w:rsidRPr="00B6775C" w:rsidRDefault="00557E2D" w:rsidP="00200D46">
            <w:pPr>
              <w:pStyle w:val="tabletext"/>
              <w:keepNext/>
              <w:ind w:left="142"/>
            </w:pPr>
            <w:r w:rsidRPr="00B6775C">
              <w:t>Average cost of legal advice per hour</w:t>
            </w:r>
          </w:p>
        </w:tc>
        <w:tc>
          <w:tcPr>
            <w:tcW w:w="1038" w:type="dxa"/>
            <w:vAlign w:val="center"/>
          </w:tcPr>
          <w:p w:rsidR="00557E2D" w:rsidRDefault="00557E2D" w:rsidP="00200D46">
            <w:pPr>
              <w:pStyle w:val="tabletext"/>
              <w:keepNext/>
              <w:jc w:val="right"/>
            </w:pPr>
            <w:r>
              <w:t>n/a</w:t>
            </w:r>
          </w:p>
        </w:tc>
        <w:tc>
          <w:tcPr>
            <w:tcW w:w="1038" w:type="dxa"/>
            <w:vAlign w:val="center"/>
          </w:tcPr>
          <w:p w:rsidR="00557E2D" w:rsidRDefault="00557E2D" w:rsidP="00200D46">
            <w:pPr>
              <w:pStyle w:val="tabletext"/>
              <w:keepNext/>
              <w:jc w:val="right"/>
            </w:pPr>
            <w:r>
              <w:t>n/a</w:t>
            </w:r>
          </w:p>
        </w:tc>
        <w:tc>
          <w:tcPr>
            <w:tcW w:w="1038" w:type="dxa"/>
            <w:vAlign w:val="center"/>
          </w:tcPr>
          <w:p w:rsidR="00557E2D" w:rsidRDefault="00557E2D" w:rsidP="00200D46">
            <w:pPr>
              <w:pStyle w:val="tabletext"/>
              <w:keepNext/>
              <w:jc w:val="right"/>
            </w:pPr>
            <w:r>
              <w:t>$550</w:t>
            </w:r>
          </w:p>
        </w:tc>
        <w:tc>
          <w:tcPr>
            <w:tcW w:w="1039" w:type="dxa"/>
            <w:vAlign w:val="center"/>
          </w:tcPr>
          <w:p w:rsidR="00557E2D" w:rsidRDefault="00557E2D" w:rsidP="00200D46">
            <w:pPr>
              <w:pStyle w:val="tabletext"/>
              <w:keepNext/>
              <w:jc w:val="right"/>
            </w:pPr>
            <w:r>
              <w:t>$550</w:t>
            </w:r>
          </w:p>
        </w:tc>
        <w:tc>
          <w:tcPr>
            <w:tcW w:w="1038" w:type="dxa"/>
            <w:vAlign w:val="center"/>
          </w:tcPr>
          <w:p w:rsidR="00557E2D" w:rsidRDefault="00557E2D" w:rsidP="00200D46">
            <w:pPr>
              <w:pStyle w:val="tabletext"/>
              <w:keepNext/>
            </w:pPr>
          </w:p>
        </w:tc>
      </w:tr>
      <w:tr w:rsidR="00557E2D" w:rsidTr="005B0005">
        <w:trPr>
          <w:trHeight w:val="456"/>
        </w:trPr>
        <w:tc>
          <w:tcPr>
            <w:tcW w:w="4119" w:type="dxa"/>
            <w:tcBorders>
              <w:bottom w:val="single" w:sz="4" w:space="0" w:color="auto"/>
            </w:tcBorders>
            <w:vAlign w:val="center"/>
          </w:tcPr>
          <w:p w:rsidR="00557E2D" w:rsidRPr="00C834E8" w:rsidRDefault="00557E2D" w:rsidP="00200D46">
            <w:pPr>
              <w:pStyle w:val="tabletext"/>
              <w:keepNext/>
              <w:ind w:left="142"/>
            </w:pPr>
            <w:r>
              <w:t>Annualised change in regulatory cost—legal services</w:t>
            </w:r>
          </w:p>
        </w:tc>
        <w:tc>
          <w:tcPr>
            <w:tcW w:w="1038" w:type="dxa"/>
            <w:tcBorders>
              <w:bottom w:val="single" w:sz="4" w:space="0" w:color="auto"/>
            </w:tcBorders>
            <w:vAlign w:val="center"/>
          </w:tcPr>
          <w:p w:rsidR="00557E2D" w:rsidRDefault="00557E2D" w:rsidP="00200D46">
            <w:pPr>
              <w:pStyle w:val="tabletext"/>
              <w:keepNext/>
              <w:jc w:val="right"/>
            </w:pPr>
            <w:r>
              <w:t>n/a</w:t>
            </w:r>
          </w:p>
        </w:tc>
        <w:tc>
          <w:tcPr>
            <w:tcW w:w="1038" w:type="dxa"/>
            <w:tcBorders>
              <w:bottom w:val="single" w:sz="4" w:space="0" w:color="auto"/>
            </w:tcBorders>
            <w:vAlign w:val="center"/>
          </w:tcPr>
          <w:p w:rsidR="00557E2D" w:rsidRDefault="00557E2D" w:rsidP="00200D46">
            <w:pPr>
              <w:pStyle w:val="tabletext"/>
              <w:keepNext/>
              <w:jc w:val="right"/>
            </w:pPr>
            <w:r>
              <w:t>n/a</w:t>
            </w:r>
          </w:p>
        </w:tc>
        <w:tc>
          <w:tcPr>
            <w:tcW w:w="1038" w:type="dxa"/>
            <w:tcBorders>
              <w:bottom w:val="single" w:sz="4" w:space="0" w:color="auto"/>
            </w:tcBorders>
            <w:vAlign w:val="center"/>
          </w:tcPr>
          <w:p w:rsidR="00557E2D" w:rsidRDefault="00557E2D" w:rsidP="00200D46">
            <w:pPr>
              <w:pStyle w:val="tabletext"/>
              <w:keepNext/>
              <w:jc w:val="right"/>
            </w:pPr>
            <w:r>
              <w:t>$5 500</w:t>
            </w:r>
          </w:p>
        </w:tc>
        <w:tc>
          <w:tcPr>
            <w:tcW w:w="1039" w:type="dxa"/>
            <w:tcBorders>
              <w:bottom w:val="single" w:sz="4" w:space="0" w:color="auto"/>
            </w:tcBorders>
            <w:vAlign w:val="center"/>
          </w:tcPr>
          <w:p w:rsidR="00557E2D" w:rsidRDefault="00557E2D" w:rsidP="00200D46">
            <w:pPr>
              <w:pStyle w:val="tabletext"/>
              <w:keepNext/>
              <w:jc w:val="right"/>
            </w:pPr>
            <w:r>
              <w:t>$6 600</w:t>
            </w:r>
          </w:p>
        </w:tc>
        <w:tc>
          <w:tcPr>
            <w:tcW w:w="1038" w:type="dxa"/>
            <w:tcBorders>
              <w:bottom w:val="single" w:sz="4" w:space="0" w:color="auto"/>
            </w:tcBorders>
            <w:vAlign w:val="center"/>
          </w:tcPr>
          <w:p w:rsidR="00557E2D" w:rsidRDefault="00557E2D" w:rsidP="00200D46">
            <w:pPr>
              <w:pStyle w:val="tabletext"/>
              <w:keepNext/>
              <w:jc w:val="right"/>
            </w:pPr>
            <w:r>
              <w:t>$12 100</w:t>
            </w:r>
          </w:p>
        </w:tc>
      </w:tr>
      <w:tr w:rsidR="00557E2D" w:rsidTr="005B0005">
        <w:trPr>
          <w:trHeight w:val="456"/>
        </w:trPr>
        <w:tc>
          <w:tcPr>
            <w:tcW w:w="9310" w:type="dxa"/>
            <w:gridSpan w:val="6"/>
            <w:tcBorders>
              <w:top w:val="single" w:sz="4" w:space="0" w:color="auto"/>
              <w:bottom w:val="single" w:sz="4" w:space="0" w:color="auto"/>
            </w:tcBorders>
            <w:vAlign w:val="center"/>
          </w:tcPr>
          <w:p w:rsidR="00557E2D" w:rsidRPr="00B6775C" w:rsidRDefault="00557E2D" w:rsidP="00200D46">
            <w:pPr>
              <w:pStyle w:val="tabletext"/>
              <w:keepNext/>
              <w:rPr>
                <w:b/>
              </w:rPr>
            </w:pPr>
            <w:r w:rsidRPr="00B6775C">
              <w:rPr>
                <w:b/>
              </w:rPr>
              <w:t>Consultant costs relating to revision of charging methodology under the proposed changes</w:t>
            </w:r>
          </w:p>
        </w:tc>
      </w:tr>
      <w:tr w:rsidR="00557E2D" w:rsidTr="005B0005">
        <w:trPr>
          <w:trHeight w:val="456"/>
        </w:trPr>
        <w:tc>
          <w:tcPr>
            <w:tcW w:w="4119" w:type="dxa"/>
            <w:tcBorders>
              <w:top w:val="single" w:sz="4" w:space="0" w:color="auto"/>
              <w:bottom w:val="nil"/>
            </w:tcBorders>
            <w:vAlign w:val="center"/>
          </w:tcPr>
          <w:p w:rsidR="00557E2D" w:rsidRPr="00B6775C" w:rsidRDefault="00557E2D" w:rsidP="00200D46">
            <w:pPr>
              <w:pStyle w:val="tabletext"/>
              <w:keepNext/>
              <w:ind w:left="142"/>
            </w:pPr>
            <w:r w:rsidRPr="00B6775C">
              <w:t>Average consulting hours commissioned per operator</w:t>
            </w:r>
          </w:p>
        </w:tc>
        <w:tc>
          <w:tcPr>
            <w:tcW w:w="1038" w:type="dxa"/>
            <w:tcBorders>
              <w:top w:val="single" w:sz="4" w:space="0" w:color="auto"/>
              <w:bottom w:val="nil"/>
            </w:tcBorders>
            <w:vAlign w:val="center"/>
          </w:tcPr>
          <w:p w:rsidR="00557E2D" w:rsidRDefault="00557E2D" w:rsidP="00200D46">
            <w:pPr>
              <w:pStyle w:val="tabletext"/>
              <w:keepNext/>
              <w:jc w:val="right"/>
            </w:pPr>
            <w:r>
              <w:t>n/a</w:t>
            </w:r>
          </w:p>
        </w:tc>
        <w:tc>
          <w:tcPr>
            <w:tcW w:w="1038" w:type="dxa"/>
            <w:tcBorders>
              <w:top w:val="single" w:sz="4" w:space="0" w:color="auto"/>
              <w:bottom w:val="nil"/>
            </w:tcBorders>
            <w:vAlign w:val="center"/>
          </w:tcPr>
          <w:p w:rsidR="00557E2D" w:rsidRDefault="00557E2D" w:rsidP="00200D46">
            <w:pPr>
              <w:pStyle w:val="tabletext"/>
              <w:keepNext/>
              <w:jc w:val="right"/>
            </w:pPr>
            <w:r>
              <w:t>n/a</w:t>
            </w:r>
          </w:p>
        </w:tc>
        <w:tc>
          <w:tcPr>
            <w:tcW w:w="1038" w:type="dxa"/>
            <w:tcBorders>
              <w:top w:val="single" w:sz="4" w:space="0" w:color="auto"/>
              <w:bottom w:val="nil"/>
            </w:tcBorders>
            <w:vAlign w:val="center"/>
          </w:tcPr>
          <w:p w:rsidR="00557E2D" w:rsidRDefault="00557E2D" w:rsidP="00200D46">
            <w:pPr>
              <w:pStyle w:val="tabletext"/>
              <w:keepNext/>
              <w:jc w:val="right"/>
            </w:pPr>
            <w:r>
              <w:t>40</w:t>
            </w:r>
          </w:p>
        </w:tc>
        <w:tc>
          <w:tcPr>
            <w:tcW w:w="1039" w:type="dxa"/>
            <w:tcBorders>
              <w:top w:val="single" w:sz="4" w:space="0" w:color="auto"/>
              <w:bottom w:val="nil"/>
            </w:tcBorders>
            <w:vAlign w:val="center"/>
          </w:tcPr>
          <w:p w:rsidR="00557E2D" w:rsidRDefault="00557E2D" w:rsidP="00200D46">
            <w:pPr>
              <w:pStyle w:val="tabletext"/>
              <w:keepNext/>
              <w:jc w:val="right"/>
            </w:pPr>
            <w:r>
              <w:t>40</w:t>
            </w:r>
          </w:p>
        </w:tc>
        <w:tc>
          <w:tcPr>
            <w:tcW w:w="1038" w:type="dxa"/>
            <w:tcBorders>
              <w:top w:val="single" w:sz="4" w:space="0" w:color="auto"/>
              <w:bottom w:val="nil"/>
            </w:tcBorders>
            <w:vAlign w:val="center"/>
          </w:tcPr>
          <w:p w:rsidR="00557E2D" w:rsidRDefault="00557E2D" w:rsidP="00200D46">
            <w:pPr>
              <w:pStyle w:val="tabletext"/>
              <w:keepNext/>
            </w:pPr>
          </w:p>
        </w:tc>
      </w:tr>
      <w:tr w:rsidR="00557E2D" w:rsidTr="005B0005">
        <w:trPr>
          <w:trHeight w:val="456"/>
        </w:trPr>
        <w:tc>
          <w:tcPr>
            <w:tcW w:w="4119" w:type="dxa"/>
            <w:tcBorders>
              <w:top w:val="nil"/>
              <w:bottom w:val="nil"/>
            </w:tcBorders>
            <w:vAlign w:val="center"/>
          </w:tcPr>
          <w:p w:rsidR="00557E2D" w:rsidRPr="00B6775C" w:rsidRDefault="00557E2D" w:rsidP="00200D46">
            <w:pPr>
              <w:pStyle w:val="tabletext"/>
              <w:keepNext/>
              <w:ind w:left="142"/>
            </w:pPr>
            <w:r w:rsidRPr="00B6775C">
              <w:t>Average cost of consulting advice per hour</w:t>
            </w:r>
          </w:p>
        </w:tc>
        <w:tc>
          <w:tcPr>
            <w:tcW w:w="1038" w:type="dxa"/>
            <w:tcBorders>
              <w:top w:val="nil"/>
              <w:bottom w:val="nil"/>
            </w:tcBorders>
            <w:vAlign w:val="center"/>
          </w:tcPr>
          <w:p w:rsidR="00557E2D" w:rsidRDefault="00557E2D" w:rsidP="00200D46">
            <w:pPr>
              <w:pStyle w:val="tabletext"/>
              <w:keepNext/>
              <w:jc w:val="right"/>
            </w:pPr>
            <w:r>
              <w:t>n/a</w:t>
            </w:r>
          </w:p>
        </w:tc>
        <w:tc>
          <w:tcPr>
            <w:tcW w:w="1038" w:type="dxa"/>
            <w:tcBorders>
              <w:top w:val="nil"/>
              <w:bottom w:val="nil"/>
            </w:tcBorders>
            <w:vAlign w:val="center"/>
          </w:tcPr>
          <w:p w:rsidR="00557E2D" w:rsidRDefault="00557E2D" w:rsidP="00200D46">
            <w:pPr>
              <w:pStyle w:val="tabletext"/>
              <w:keepNext/>
              <w:jc w:val="right"/>
            </w:pPr>
            <w:r>
              <w:t>n/a</w:t>
            </w:r>
          </w:p>
        </w:tc>
        <w:tc>
          <w:tcPr>
            <w:tcW w:w="1038" w:type="dxa"/>
            <w:tcBorders>
              <w:top w:val="nil"/>
              <w:bottom w:val="nil"/>
            </w:tcBorders>
            <w:vAlign w:val="center"/>
          </w:tcPr>
          <w:p w:rsidR="00557E2D" w:rsidRDefault="00557E2D" w:rsidP="00200D46">
            <w:pPr>
              <w:pStyle w:val="tabletext"/>
              <w:keepNext/>
              <w:jc w:val="right"/>
            </w:pPr>
            <w:r>
              <w:t>$300</w:t>
            </w:r>
          </w:p>
        </w:tc>
        <w:tc>
          <w:tcPr>
            <w:tcW w:w="1039" w:type="dxa"/>
            <w:tcBorders>
              <w:top w:val="nil"/>
              <w:bottom w:val="nil"/>
            </w:tcBorders>
            <w:vAlign w:val="center"/>
          </w:tcPr>
          <w:p w:rsidR="00557E2D" w:rsidRDefault="00557E2D" w:rsidP="00200D46">
            <w:pPr>
              <w:pStyle w:val="tabletext"/>
              <w:keepNext/>
              <w:jc w:val="right"/>
            </w:pPr>
            <w:r>
              <w:t>$300</w:t>
            </w:r>
          </w:p>
        </w:tc>
        <w:tc>
          <w:tcPr>
            <w:tcW w:w="1038" w:type="dxa"/>
            <w:tcBorders>
              <w:top w:val="nil"/>
              <w:bottom w:val="nil"/>
            </w:tcBorders>
            <w:vAlign w:val="center"/>
          </w:tcPr>
          <w:p w:rsidR="00557E2D" w:rsidRDefault="00557E2D" w:rsidP="00200D46">
            <w:pPr>
              <w:pStyle w:val="tabletext"/>
              <w:keepNext/>
            </w:pPr>
          </w:p>
        </w:tc>
      </w:tr>
      <w:tr w:rsidR="00557E2D" w:rsidTr="005B0005">
        <w:trPr>
          <w:trHeight w:val="456"/>
        </w:trPr>
        <w:tc>
          <w:tcPr>
            <w:tcW w:w="4119" w:type="dxa"/>
            <w:tcBorders>
              <w:top w:val="nil"/>
              <w:bottom w:val="single" w:sz="4" w:space="0" w:color="auto"/>
            </w:tcBorders>
            <w:vAlign w:val="center"/>
          </w:tcPr>
          <w:p w:rsidR="00557E2D" w:rsidRDefault="00557E2D" w:rsidP="00200D46">
            <w:pPr>
              <w:pStyle w:val="tabletext"/>
              <w:keepNext/>
              <w:ind w:left="142"/>
            </w:pPr>
            <w:r>
              <w:t>Annualised change in regulatory cost—consultancy services</w:t>
            </w:r>
            <w:r w:rsidDel="00B6775C">
              <w:t xml:space="preserve"> </w:t>
            </w:r>
          </w:p>
        </w:tc>
        <w:tc>
          <w:tcPr>
            <w:tcW w:w="1038" w:type="dxa"/>
            <w:tcBorders>
              <w:top w:val="nil"/>
              <w:bottom w:val="single" w:sz="4" w:space="0" w:color="auto"/>
            </w:tcBorders>
            <w:vAlign w:val="center"/>
          </w:tcPr>
          <w:p w:rsidR="00557E2D" w:rsidRDefault="00557E2D" w:rsidP="00200D46">
            <w:pPr>
              <w:pStyle w:val="tabletext"/>
              <w:keepNext/>
              <w:jc w:val="right"/>
            </w:pPr>
            <w:r>
              <w:t>n/a</w:t>
            </w:r>
          </w:p>
        </w:tc>
        <w:tc>
          <w:tcPr>
            <w:tcW w:w="1038" w:type="dxa"/>
            <w:tcBorders>
              <w:top w:val="nil"/>
              <w:bottom w:val="single" w:sz="4" w:space="0" w:color="auto"/>
            </w:tcBorders>
            <w:vAlign w:val="center"/>
          </w:tcPr>
          <w:p w:rsidR="00557E2D" w:rsidRDefault="00557E2D" w:rsidP="00200D46">
            <w:pPr>
              <w:pStyle w:val="tabletext"/>
              <w:keepNext/>
              <w:jc w:val="right"/>
            </w:pPr>
            <w:r>
              <w:t>n/a</w:t>
            </w:r>
          </w:p>
        </w:tc>
        <w:tc>
          <w:tcPr>
            <w:tcW w:w="1038" w:type="dxa"/>
            <w:tcBorders>
              <w:top w:val="nil"/>
              <w:bottom w:val="single" w:sz="4" w:space="0" w:color="auto"/>
            </w:tcBorders>
            <w:vAlign w:val="center"/>
          </w:tcPr>
          <w:p w:rsidR="00557E2D" w:rsidRDefault="00557E2D" w:rsidP="00200D46">
            <w:pPr>
              <w:pStyle w:val="tabletext"/>
              <w:keepNext/>
              <w:jc w:val="right"/>
            </w:pPr>
            <w:r>
              <w:t>$6 000</w:t>
            </w:r>
          </w:p>
        </w:tc>
        <w:tc>
          <w:tcPr>
            <w:tcW w:w="1039" w:type="dxa"/>
            <w:tcBorders>
              <w:top w:val="nil"/>
              <w:bottom w:val="single" w:sz="4" w:space="0" w:color="auto"/>
            </w:tcBorders>
            <w:vAlign w:val="center"/>
          </w:tcPr>
          <w:p w:rsidR="00557E2D" w:rsidRDefault="00557E2D" w:rsidP="00200D46">
            <w:pPr>
              <w:pStyle w:val="tabletext"/>
              <w:keepNext/>
              <w:jc w:val="right"/>
            </w:pPr>
            <w:r>
              <w:t>$7 200</w:t>
            </w:r>
          </w:p>
        </w:tc>
        <w:tc>
          <w:tcPr>
            <w:tcW w:w="1038" w:type="dxa"/>
            <w:tcBorders>
              <w:top w:val="nil"/>
              <w:bottom w:val="single" w:sz="4" w:space="0" w:color="auto"/>
            </w:tcBorders>
            <w:vAlign w:val="center"/>
          </w:tcPr>
          <w:p w:rsidR="00557E2D" w:rsidRDefault="00557E2D" w:rsidP="00200D46">
            <w:pPr>
              <w:pStyle w:val="tabletext"/>
              <w:keepNext/>
              <w:jc w:val="right"/>
            </w:pPr>
            <w:r>
              <w:t>$13 200</w:t>
            </w:r>
          </w:p>
        </w:tc>
      </w:tr>
      <w:tr w:rsidR="00557E2D" w:rsidTr="005B0005">
        <w:trPr>
          <w:trHeight w:val="456"/>
        </w:trPr>
        <w:tc>
          <w:tcPr>
            <w:tcW w:w="4119" w:type="dxa"/>
            <w:tcBorders>
              <w:top w:val="nil"/>
              <w:bottom w:val="single" w:sz="4" w:space="0" w:color="auto"/>
            </w:tcBorders>
            <w:vAlign w:val="center"/>
          </w:tcPr>
          <w:p w:rsidR="00557E2D" w:rsidRDefault="00557E2D" w:rsidP="00200D46">
            <w:pPr>
              <w:pStyle w:val="tabletext"/>
              <w:keepNext/>
              <w:ind w:left="142"/>
            </w:pPr>
            <w:r w:rsidRPr="00B6775C">
              <w:rPr>
                <w:b/>
              </w:rPr>
              <w:t>Total net annualised change in regulatory cost ($/yr)</w:t>
            </w:r>
          </w:p>
        </w:tc>
        <w:tc>
          <w:tcPr>
            <w:tcW w:w="1038" w:type="dxa"/>
            <w:tcBorders>
              <w:top w:val="nil"/>
              <w:bottom w:val="single" w:sz="4" w:space="0" w:color="auto"/>
            </w:tcBorders>
            <w:vAlign w:val="center"/>
          </w:tcPr>
          <w:p w:rsidR="00557E2D" w:rsidRPr="000B7B7B" w:rsidRDefault="00557E2D" w:rsidP="00200D46">
            <w:pPr>
              <w:keepNext/>
              <w:jc w:val="right"/>
              <w:rPr>
                <w:rFonts w:ascii="Calibri" w:hAnsi="Calibri"/>
                <w:b/>
                <w:color w:val="000000"/>
              </w:rPr>
            </w:pPr>
            <w:r w:rsidRPr="000B7B7B">
              <w:rPr>
                <w:rFonts w:ascii="Calibri" w:hAnsi="Calibri"/>
                <w:b/>
                <w:color w:val="000000"/>
              </w:rPr>
              <w:t>$ 785</w:t>
            </w:r>
          </w:p>
        </w:tc>
        <w:tc>
          <w:tcPr>
            <w:tcW w:w="1038" w:type="dxa"/>
            <w:tcBorders>
              <w:top w:val="nil"/>
              <w:bottom w:val="single" w:sz="4" w:space="0" w:color="auto"/>
            </w:tcBorders>
            <w:vAlign w:val="center"/>
          </w:tcPr>
          <w:p w:rsidR="00557E2D" w:rsidRPr="000B7B7B" w:rsidRDefault="00557E2D" w:rsidP="00200D46">
            <w:pPr>
              <w:keepNext/>
              <w:jc w:val="right"/>
              <w:rPr>
                <w:rFonts w:ascii="Calibri" w:hAnsi="Calibri"/>
                <w:b/>
                <w:color w:val="000000"/>
              </w:rPr>
            </w:pPr>
            <w:r w:rsidRPr="000B7B7B">
              <w:rPr>
                <w:rFonts w:ascii="Calibri" w:hAnsi="Calibri"/>
                <w:b/>
                <w:color w:val="000000"/>
              </w:rPr>
              <w:t>$1 964</w:t>
            </w:r>
          </w:p>
        </w:tc>
        <w:tc>
          <w:tcPr>
            <w:tcW w:w="1038" w:type="dxa"/>
            <w:tcBorders>
              <w:top w:val="nil"/>
              <w:bottom w:val="single" w:sz="4" w:space="0" w:color="auto"/>
            </w:tcBorders>
            <w:vAlign w:val="center"/>
          </w:tcPr>
          <w:p w:rsidR="00557E2D" w:rsidRPr="000B7B7B" w:rsidRDefault="00557E2D" w:rsidP="00200D46">
            <w:pPr>
              <w:keepNext/>
              <w:jc w:val="right"/>
              <w:rPr>
                <w:rFonts w:ascii="Calibri" w:hAnsi="Calibri"/>
                <w:b/>
                <w:color w:val="000000"/>
              </w:rPr>
            </w:pPr>
            <w:r w:rsidRPr="000B7B7B">
              <w:rPr>
                <w:rFonts w:ascii="Calibri" w:hAnsi="Calibri"/>
                <w:b/>
                <w:color w:val="000000"/>
              </w:rPr>
              <w:t>$12 482</w:t>
            </w:r>
          </w:p>
        </w:tc>
        <w:tc>
          <w:tcPr>
            <w:tcW w:w="1039" w:type="dxa"/>
            <w:tcBorders>
              <w:top w:val="nil"/>
              <w:bottom w:val="single" w:sz="4" w:space="0" w:color="auto"/>
            </w:tcBorders>
            <w:vAlign w:val="center"/>
          </w:tcPr>
          <w:p w:rsidR="00557E2D" w:rsidRPr="000B7B7B" w:rsidRDefault="00557E2D" w:rsidP="00200D46">
            <w:pPr>
              <w:keepNext/>
              <w:jc w:val="right"/>
              <w:rPr>
                <w:rFonts w:ascii="Calibri" w:hAnsi="Calibri"/>
                <w:b/>
                <w:color w:val="000000"/>
              </w:rPr>
            </w:pPr>
            <w:r w:rsidRPr="000B7B7B">
              <w:rPr>
                <w:rFonts w:ascii="Calibri" w:hAnsi="Calibri"/>
                <w:b/>
                <w:color w:val="000000"/>
              </w:rPr>
              <w:t>$14 978</w:t>
            </w:r>
          </w:p>
        </w:tc>
        <w:tc>
          <w:tcPr>
            <w:tcW w:w="1038" w:type="dxa"/>
            <w:tcBorders>
              <w:top w:val="nil"/>
              <w:bottom w:val="single" w:sz="4" w:space="0" w:color="auto"/>
            </w:tcBorders>
            <w:vAlign w:val="center"/>
          </w:tcPr>
          <w:p w:rsidR="00557E2D" w:rsidRPr="000B7B7B" w:rsidRDefault="00557E2D" w:rsidP="00200D46">
            <w:pPr>
              <w:keepNext/>
              <w:jc w:val="right"/>
              <w:rPr>
                <w:rFonts w:ascii="Calibri" w:hAnsi="Calibri"/>
                <w:b/>
              </w:rPr>
            </w:pPr>
            <w:r w:rsidRPr="000B7B7B">
              <w:rPr>
                <w:rFonts w:ascii="Calibri" w:hAnsi="Calibri"/>
                <w:b/>
              </w:rPr>
              <w:t>$30 209</w:t>
            </w:r>
          </w:p>
        </w:tc>
      </w:tr>
    </w:tbl>
    <w:p w:rsidR="00557E2D" w:rsidRPr="003E20C1" w:rsidRDefault="00557E2D" w:rsidP="00557E2D"/>
    <w:p w:rsidR="00557E2D" w:rsidRPr="00D714FC" w:rsidRDefault="00557E2D" w:rsidP="00557E2D">
      <w:pPr>
        <w:rPr>
          <w:rFonts w:cs="Times New Roman"/>
        </w:rPr>
      </w:pPr>
    </w:p>
    <w:p w:rsidR="00C43D4B" w:rsidRPr="00D714FC" w:rsidRDefault="00C43D4B" w:rsidP="004232BA">
      <w:r w:rsidRPr="00D714FC">
        <w:br w:type="page"/>
      </w:r>
    </w:p>
    <w:p w:rsidR="00BB173F" w:rsidRPr="00D714FC" w:rsidRDefault="00BB173F" w:rsidP="00BB173F">
      <w:pPr>
        <w:pStyle w:val="Heading1"/>
        <w:numPr>
          <w:ilvl w:val="0"/>
          <w:numId w:val="0"/>
        </w:numPr>
        <w:ind w:left="432" w:hanging="432"/>
        <w:rPr>
          <w:rFonts w:ascii="Times New Roman" w:hAnsi="Times New Roman" w:cs="Times New Roman"/>
        </w:rPr>
      </w:pPr>
      <w:bookmarkStart w:id="1537" w:name="_Toc418500490"/>
      <w:bookmarkStart w:id="1538" w:name="_Toc436122354"/>
      <w:bookmarkStart w:id="1539" w:name="_Toc436122849"/>
      <w:bookmarkStart w:id="1540" w:name="_Toc436124204"/>
      <w:bookmarkStart w:id="1541" w:name="_Toc456785862"/>
      <w:bookmarkStart w:id="1542" w:name="_Toc461630774"/>
      <w:bookmarkStart w:id="1543" w:name="_Toc415559673"/>
      <w:r w:rsidRPr="00D714FC">
        <w:rPr>
          <w:rFonts w:ascii="Times New Roman" w:hAnsi="Times New Roman" w:cs="Times New Roman"/>
        </w:rPr>
        <w:t>Appendix A—Request for advice and terms of reference</w:t>
      </w:r>
      <w:bookmarkEnd w:id="1537"/>
      <w:bookmarkEnd w:id="1538"/>
      <w:bookmarkEnd w:id="1539"/>
      <w:bookmarkEnd w:id="1540"/>
      <w:bookmarkEnd w:id="1541"/>
      <w:bookmarkEnd w:id="1542"/>
    </w:p>
    <w:p w:rsidR="00BB173F" w:rsidRPr="007C4E98" w:rsidRDefault="00BB173F" w:rsidP="007C4E98">
      <w:pPr>
        <w:ind w:left="709"/>
        <w:rPr>
          <w:b/>
        </w:rPr>
      </w:pPr>
      <w:bookmarkStart w:id="1544" w:name="_Toc415559674"/>
      <w:bookmarkStart w:id="1545" w:name="_Toc418500491"/>
      <w:bookmarkStart w:id="1546" w:name="_Toc436122355"/>
      <w:bookmarkStart w:id="1547" w:name="_Toc436122850"/>
      <w:bookmarkStart w:id="1548" w:name="_Toc436124205"/>
      <w:bookmarkStart w:id="1549" w:name="_Toc456785863"/>
      <w:bookmarkEnd w:id="1543"/>
      <w:r w:rsidRPr="007C4E98">
        <w:rPr>
          <w:b/>
        </w:rPr>
        <w:t>Review of Commonwealth water charge rules</w:t>
      </w:r>
      <w:bookmarkEnd w:id="1544"/>
      <w:bookmarkEnd w:id="1545"/>
      <w:bookmarkEnd w:id="1546"/>
      <w:bookmarkEnd w:id="1547"/>
      <w:bookmarkEnd w:id="1548"/>
      <w:bookmarkEnd w:id="1549"/>
    </w:p>
    <w:p w:rsidR="00BB173F" w:rsidRPr="007C4E98" w:rsidRDefault="00BB173F" w:rsidP="007C4E98">
      <w:pPr>
        <w:ind w:left="709"/>
        <w:rPr>
          <w:b/>
        </w:rPr>
      </w:pPr>
      <w:bookmarkStart w:id="1550" w:name="_Toc418500492"/>
      <w:bookmarkStart w:id="1551" w:name="_Toc436122356"/>
      <w:bookmarkStart w:id="1552" w:name="_Toc436122851"/>
      <w:bookmarkStart w:id="1553" w:name="_Toc436124206"/>
      <w:bookmarkStart w:id="1554" w:name="_Toc456785864"/>
      <w:r w:rsidRPr="007C4E98">
        <w:rPr>
          <w:b/>
        </w:rPr>
        <w:t>Context</w:t>
      </w:r>
      <w:bookmarkEnd w:id="1550"/>
      <w:bookmarkEnd w:id="1551"/>
      <w:bookmarkEnd w:id="1552"/>
      <w:bookmarkEnd w:id="1553"/>
      <w:bookmarkEnd w:id="1554"/>
    </w:p>
    <w:p w:rsidR="00BB173F" w:rsidRPr="00D714FC" w:rsidRDefault="00BB173F" w:rsidP="00BB173F">
      <w:pPr>
        <w:rPr>
          <w:rFonts w:cs="Times New Roman"/>
        </w:rPr>
      </w:pPr>
      <w:r w:rsidRPr="00D714FC">
        <w:rPr>
          <w:rFonts w:cs="Times New Roman"/>
        </w:rPr>
        <w:t xml:space="preserve">The government engaged an independent panel of experts to review the Commonwealth Water Act. The Independent Review of the </w:t>
      </w:r>
      <w:r w:rsidRPr="00D714FC">
        <w:rPr>
          <w:rFonts w:cs="Times New Roman"/>
          <w:i/>
        </w:rPr>
        <w:t>Water Act 2007</w:t>
      </w:r>
      <w:r w:rsidRPr="00D714FC">
        <w:rPr>
          <w:rFonts w:cs="Times New Roman"/>
        </w:rPr>
        <w:t xml:space="preserve"> (the Review) found that significant progress has been made in improving Australia’s water management since the Act commenced in 2008, but that further work was required to assess and address stakeholder concerns about the reporting burden imposed under the Act. </w:t>
      </w:r>
    </w:p>
    <w:p w:rsidR="00BB173F" w:rsidRPr="00D714FC" w:rsidRDefault="00BB173F" w:rsidP="00BB173F">
      <w:pPr>
        <w:rPr>
          <w:rFonts w:cs="Times New Roman"/>
        </w:rPr>
      </w:pPr>
      <w:r w:rsidRPr="00D714FC">
        <w:rPr>
          <w:rFonts w:cs="Times New Roman"/>
        </w:rPr>
        <w:t xml:space="preserve">The government accepts recommendation 11 of the Review regarding a review of the Water Charge (Infrastructure) Rules, the Water Charge (Termination Fees) Rules and the Water Charge (Planning and Management Information) Rules. The review is to be undertaken by the Australian Competition and Consumer Commission in consultation with the industry and Basin State governments. </w:t>
      </w:r>
    </w:p>
    <w:p w:rsidR="00BB173F" w:rsidRPr="007C4E98" w:rsidRDefault="00BB173F" w:rsidP="007C4E98">
      <w:pPr>
        <w:ind w:left="709"/>
        <w:rPr>
          <w:b/>
        </w:rPr>
      </w:pPr>
      <w:bookmarkStart w:id="1555" w:name="_Toc418500493"/>
      <w:bookmarkStart w:id="1556" w:name="_Toc436122357"/>
      <w:bookmarkStart w:id="1557" w:name="_Toc436122852"/>
      <w:bookmarkStart w:id="1558" w:name="_Toc436124207"/>
      <w:bookmarkStart w:id="1559" w:name="_Toc456785865"/>
      <w:r w:rsidRPr="007C4E98">
        <w:rPr>
          <w:b/>
        </w:rPr>
        <w:t>Terms of Reference</w:t>
      </w:r>
      <w:bookmarkEnd w:id="1555"/>
      <w:bookmarkEnd w:id="1556"/>
      <w:bookmarkEnd w:id="1557"/>
      <w:bookmarkEnd w:id="1558"/>
      <w:bookmarkEnd w:id="1559"/>
    </w:p>
    <w:p w:rsidR="00BB173F" w:rsidRPr="00D714FC" w:rsidRDefault="00BB173F" w:rsidP="00BB173F">
      <w:pPr>
        <w:ind w:left="720" w:hanging="720"/>
        <w:rPr>
          <w:rFonts w:cs="Times New Roman"/>
        </w:rPr>
      </w:pPr>
      <w:r w:rsidRPr="00D714FC">
        <w:rPr>
          <w:rFonts w:cs="Times New Roman"/>
        </w:rPr>
        <w:t>1)</w:t>
      </w:r>
      <w:r w:rsidRPr="00D714FC">
        <w:rPr>
          <w:rFonts w:cs="Times New Roman"/>
        </w:rPr>
        <w:tab/>
        <w:t>The Australian Competition and Consumer Commission (ACCC) is requested to provide advice on possible amendments to the Water Charge (Infrastructure) Rules 2010, Water Charge (Planning and Management Information) Rules 2010 and Water Charge (Termination Fees) Rules 2009, in accordance with section 93 and section 98 of the Water Act 2007.</w:t>
      </w:r>
    </w:p>
    <w:p w:rsidR="00BB173F" w:rsidRPr="00D714FC" w:rsidRDefault="00BB173F" w:rsidP="005B0005">
      <w:pPr>
        <w:spacing w:after="120"/>
        <w:ind w:left="720" w:hanging="720"/>
        <w:rPr>
          <w:rFonts w:cs="Times New Roman"/>
        </w:rPr>
      </w:pPr>
      <w:r w:rsidRPr="00D714FC">
        <w:rPr>
          <w:rFonts w:cs="Times New Roman"/>
        </w:rPr>
        <w:t>2)</w:t>
      </w:r>
      <w:r w:rsidRPr="00D714FC">
        <w:rPr>
          <w:rFonts w:cs="Times New Roman"/>
        </w:rPr>
        <w:tab/>
        <w:t>The advice should address the merits of amending the rules in response to matters raised in the Report of the Independent Review of the Water 2007, as tabled on 19 December 2014; specifically, recommendation 11 in the report, proposing that the rules be reviewed to assess opportunities to reduce cost to industry and governments. Matters to consider include:</w:t>
      </w:r>
    </w:p>
    <w:p w:rsidR="00BB173F" w:rsidRPr="00D714FC" w:rsidRDefault="00BB173F" w:rsidP="00A946C7">
      <w:pPr>
        <w:pStyle w:val="ListBullet"/>
        <w:numPr>
          <w:ilvl w:val="1"/>
          <w:numId w:val="30"/>
        </w:numPr>
        <w:spacing w:before="120" w:after="120" w:line="240" w:lineRule="auto"/>
        <w:contextualSpacing w:val="0"/>
        <w:rPr>
          <w:rFonts w:cs="Times New Roman"/>
        </w:rPr>
      </w:pPr>
      <w:r w:rsidRPr="00D714FC">
        <w:rPr>
          <w:rFonts w:cs="Times New Roman"/>
        </w:rPr>
        <w:t>the continuing appropriateness of tiered regulation of infrastructure operators and the potential for streamlining or eliminating regulation, including whether to remove the current requirements for member owned operators under Part 5 of the Water Charge (Infrastructure) Rules</w:t>
      </w:r>
    </w:p>
    <w:p w:rsidR="00BB173F" w:rsidRPr="00D714FC" w:rsidRDefault="00BB173F" w:rsidP="00A946C7">
      <w:pPr>
        <w:pStyle w:val="ListBullet"/>
        <w:numPr>
          <w:ilvl w:val="1"/>
          <w:numId w:val="30"/>
        </w:numPr>
        <w:spacing w:before="120" w:after="120" w:line="240" w:lineRule="auto"/>
        <w:contextualSpacing w:val="0"/>
        <w:rPr>
          <w:rFonts w:cs="Times New Roman"/>
        </w:rPr>
      </w:pPr>
      <w:r w:rsidRPr="00D714FC">
        <w:rPr>
          <w:rFonts w:cs="Times New Roman"/>
        </w:rPr>
        <w:t>the current process for accreditation of Basin States’ regulators, the effectiveness in applying water charging regimes by different regulators, and the form and content of charge determinations by all regulators</w:t>
      </w:r>
    </w:p>
    <w:p w:rsidR="00BB173F" w:rsidRPr="00D714FC" w:rsidRDefault="00BB173F" w:rsidP="00A946C7">
      <w:pPr>
        <w:pStyle w:val="ListBullet"/>
        <w:numPr>
          <w:ilvl w:val="1"/>
          <w:numId w:val="30"/>
        </w:numPr>
        <w:spacing w:before="120" w:after="120" w:line="240" w:lineRule="auto"/>
        <w:contextualSpacing w:val="0"/>
        <w:rPr>
          <w:rFonts w:cs="Times New Roman"/>
        </w:rPr>
      </w:pPr>
      <w:r w:rsidRPr="00D714FC">
        <w:rPr>
          <w:rFonts w:cs="Times New Roman"/>
        </w:rPr>
        <w:t xml:space="preserve">opportunities for advancing the consistent application of the water charging objectives and principles, including options to rank objectives and define terms </w:t>
      </w:r>
    </w:p>
    <w:p w:rsidR="00BB173F" w:rsidRPr="00D714FC" w:rsidRDefault="00BB173F" w:rsidP="00A946C7">
      <w:pPr>
        <w:pStyle w:val="ListBullet"/>
        <w:numPr>
          <w:ilvl w:val="1"/>
          <w:numId w:val="30"/>
        </w:numPr>
        <w:spacing w:before="120" w:after="120" w:line="240" w:lineRule="auto"/>
        <w:contextualSpacing w:val="0"/>
        <w:rPr>
          <w:rFonts w:cs="Times New Roman"/>
        </w:rPr>
      </w:pPr>
      <w:r w:rsidRPr="00D714FC">
        <w:rPr>
          <w:rFonts w:cs="Times New Roman"/>
        </w:rPr>
        <w:t>lessons learned from other sectors in relation to appeal mechanisms</w:t>
      </w:r>
    </w:p>
    <w:p w:rsidR="00BB173F" w:rsidRPr="00D714FC" w:rsidRDefault="00BB173F" w:rsidP="00A946C7">
      <w:pPr>
        <w:pStyle w:val="ListBullet"/>
        <w:numPr>
          <w:ilvl w:val="1"/>
          <w:numId w:val="30"/>
        </w:numPr>
        <w:spacing w:before="120" w:after="120" w:line="240" w:lineRule="auto"/>
        <w:contextualSpacing w:val="0"/>
        <w:rPr>
          <w:rFonts w:cs="Times New Roman"/>
        </w:rPr>
      </w:pPr>
      <w:r w:rsidRPr="00D714FC">
        <w:rPr>
          <w:rFonts w:cs="Times New Roman"/>
        </w:rPr>
        <w:t xml:space="preserve">opportunities to combine the water charge rules and Water Market Rules in one instrument </w:t>
      </w:r>
    </w:p>
    <w:p w:rsidR="00BB173F" w:rsidRPr="00D714FC" w:rsidRDefault="00BB173F" w:rsidP="00A946C7">
      <w:pPr>
        <w:pStyle w:val="ListBullet"/>
        <w:numPr>
          <w:ilvl w:val="1"/>
          <w:numId w:val="30"/>
        </w:numPr>
        <w:spacing w:before="120" w:after="120" w:line="240" w:lineRule="auto"/>
        <w:contextualSpacing w:val="0"/>
        <w:rPr>
          <w:rFonts w:cs="Times New Roman"/>
        </w:rPr>
      </w:pPr>
      <w:r w:rsidRPr="00D714FC">
        <w:rPr>
          <w:rFonts w:cs="Times New Roman"/>
        </w:rPr>
        <w:t>consistency with the Australian Government’s deregulation objectives</w:t>
      </w:r>
    </w:p>
    <w:p w:rsidR="00BB173F" w:rsidRPr="00D714FC" w:rsidRDefault="00BB173F" w:rsidP="00A946C7">
      <w:pPr>
        <w:pStyle w:val="ListBullet"/>
        <w:numPr>
          <w:ilvl w:val="1"/>
          <w:numId w:val="30"/>
        </w:numPr>
        <w:spacing w:before="120" w:after="120" w:line="240" w:lineRule="auto"/>
        <w:contextualSpacing w:val="0"/>
        <w:rPr>
          <w:rFonts w:cs="Times New Roman"/>
        </w:rPr>
      </w:pPr>
      <w:r w:rsidRPr="00D714FC">
        <w:rPr>
          <w:rFonts w:cs="Times New Roman"/>
        </w:rPr>
        <w:t>the effectiveness of the Water Charge (Planning and Management Information) Rules, the extent to which their effectiveness could be enhanced and the likely impacts if they were to be repealed.</w:t>
      </w:r>
    </w:p>
    <w:p w:rsidR="00BB173F" w:rsidRPr="00D714FC" w:rsidRDefault="00BB173F" w:rsidP="00BB173F">
      <w:pPr>
        <w:ind w:left="720" w:hanging="720"/>
        <w:rPr>
          <w:rFonts w:cs="Times New Roman"/>
        </w:rPr>
      </w:pPr>
      <w:r w:rsidRPr="00D714FC">
        <w:rPr>
          <w:rFonts w:cs="Times New Roman"/>
        </w:rPr>
        <w:t>3)</w:t>
      </w:r>
      <w:r w:rsidRPr="00D714FC">
        <w:rPr>
          <w:rFonts w:cs="Times New Roman"/>
        </w:rPr>
        <w:tab/>
        <w:t xml:space="preserve">The ACCC’s advice is also requested on other opportunities for amending the rules to improve regulatory clarity or efficiency, or to reduce regulatory burdens while maintaining effective standards. </w:t>
      </w:r>
    </w:p>
    <w:p w:rsidR="00BB173F" w:rsidRPr="00D714FC" w:rsidRDefault="00BB173F" w:rsidP="00BB173F">
      <w:pPr>
        <w:ind w:left="720" w:hanging="720"/>
        <w:rPr>
          <w:rFonts w:cs="Times New Roman"/>
        </w:rPr>
      </w:pPr>
      <w:r w:rsidRPr="00D714FC">
        <w:rPr>
          <w:rFonts w:cs="Times New Roman"/>
        </w:rPr>
        <w:t>4)</w:t>
      </w:r>
      <w:r w:rsidRPr="00D714FC">
        <w:rPr>
          <w:rFonts w:cs="Times New Roman"/>
        </w:rPr>
        <w:tab/>
        <w:t>The ACCC should undertake the relevant consultation required by s93 and s98 of the Act and Water Regulations 2008.</w:t>
      </w:r>
    </w:p>
    <w:p w:rsidR="00BB173F" w:rsidRPr="00D714FC" w:rsidRDefault="00BB173F" w:rsidP="00BB173F">
      <w:pPr>
        <w:ind w:left="720" w:hanging="720"/>
        <w:rPr>
          <w:rFonts w:cs="Times New Roman"/>
        </w:rPr>
      </w:pPr>
      <w:r w:rsidRPr="00D714FC">
        <w:rPr>
          <w:rFonts w:cs="Times New Roman"/>
        </w:rPr>
        <w:t>5)</w:t>
      </w:r>
      <w:r w:rsidRPr="00D714FC">
        <w:rPr>
          <w:rFonts w:cs="Times New Roman"/>
        </w:rPr>
        <w:tab/>
        <w:t>In preparing advice and draft amendments in response to this request, the ACCC should take into account the views of the Water Act Review Panel, as expressed in their report, the submissions made to the Water Act Review and any further matters raised during the ACCC’s consultations.</w:t>
      </w:r>
    </w:p>
    <w:p w:rsidR="00BB173F" w:rsidRPr="00D714FC" w:rsidRDefault="00BB173F" w:rsidP="00BB173F">
      <w:pPr>
        <w:ind w:left="720" w:hanging="720"/>
        <w:rPr>
          <w:rFonts w:cs="Times New Roman"/>
        </w:rPr>
      </w:pPr>
      <w:r w:rsidRPr="00D714FC">
        <w:rPr>
          <w:rFonts w:cs="Times New Roman"/>
        </w:rPr>
        <w:t>6)</w:t>
      </w:r>
      <w:r w:rsidRPr="00D714FC">
        <w:rPr>
          <w:rFonts w:cs="Times New Roman"/>
        </w:rPr>
        <w:tab/>
        <w:t>The ACCC should provide this advice, including draft rule amendments, by the end of December 2015.</w:t>
      </w:r>
    </w:p>
    <w:p w:rsidR="00BB173F" w:rsidRPr="00D714FC" w:rsidRDefault="00BB173F" w:rsidP="00BB173F">
      <w:pPr>
        <w:pBdr>
          <w:top w:val="single" w:sz="4" w:space="1" w:color="auto"/>
          <w:left w:val="single" w:sz="4" w:space="4" w:color="auto"/>
          <w:bottom w:val="single" w:sz="4" w:space="1" w:color="auto"/>
          <w:right w:val="single" w:sz="4" w:space="4" w:color="auto"/>
        </w:pBdr>
        <w:rPr>
          <w:rFonts w:cs="Times New Roman"/>
        </w:rPr>
      </w:pPr>
      <w:r w:rsidRPr="00D714FC">
        <w:rPr>
          <w:rFonts w:cs="Times New Roman"/>
        </w:rPr>
        <w:t xml:space="preserve">Where appropriate throughout </w:t>
      </w:r>
      <w:r w:rsidR="00084380">
        <w:rPr>
          <w:rFonts w:cs="Times New Roman"/>
        </w:rPr>
        <w:t>the Final Advice</w:t>
      </w:r>
      <w:r w:rsidRPr="00D714FC">
        <w:rPr>
          <w:rFonts w:cs="Times New Roman"/>
        </w:rPr>
        <w:t xml:space="preserve">, the relevant item(s) of the terms of reference are noted. </w:t>
      </w:r>
      <w:r w:rsidR="00075B70">
        <w:rPr>
          <w:rFonts w:cs="Times New Roman"/>
        </w:rPr>
        <w:t>See, in particular, section 1.1.</w:t>
      </w:r>
    </w:p>
    <w:p w:rsidR="00BB173F" w:rsidRPr="00D714FC" w:rsidRDefault="00BB173F" w:rsidP="00BB173F">
      <w:pPr>
        <w:spacing w:after="0"/>
        <w:rPr>
          <w:rFonts w:eastAsia="Arial" w:cs="Times New Roman"/>
          <w:lang w:eastAsia="en-US"/>
        </w:rPr>
      </w:pPr>
      <w:r w:rsidRPr="00D714FC">
        <w:rPr>
          <w:rFonts w:cs="Times New Roman"/>
        </w:rPr>
        <w:br w:type="page"/>
      </w:r>
    </w:p>
    <w:p w:rsidR="00BB173F" w:rsidRPr="00D714FC" w:rsidRDefault="00BB173F" w:rsidP="00BB173F">
      <w:pPr>
        <w:pStyle w:val="Heading1"/>
        <w:numPr>
          <w:ilvl w:val="0"/>
          <w:numId w:val="0"/>
        </w:numPr>
        <w:ind w:left="432" w:hanging="432"/>
        <w:rPr>
          <w:rFonts w:ascii="Times New Roman" w:hAnsi="Times New Roman" w:cs="Times New Roman"/>
        </w:rPr>
      </w:pPr>
      <w:bookmarkStart w:id="1560" w:name="_Toc436122358"/>
      <w:bookmarkStart w:id="1561" w:name="_Toc436122853"/>
      <w:bookmarkStart w:id="1562" w:name="_Toc436124208"/>
      <w:bookmarkStart w:id="1563" w:name="_Toc456785866"/>
      <w:bookmarkStart w:id="1564" w:name="_Toc461630775"/>
      <w:bookmarkStart w:id="1565" w:name="_Toc418500494"/>
      <w:r w:rsidRPr="00D714FC">
        <w:rPr>
          <w:rFonts w:ascii="Times New Roman" w:hAnsi="Times New Roman" w:cs="Times New Roman"/>
        </w:rPr>
        <w:t>Appendix B—Basin water charging objectives and principles</w:t>
      </w:r>
      <w:bookmarkEnd w:id="1560"/>
      <w:bookmarkEnd w:id="1561"/>
      <w:bookmarkEnd w:id="1562"/>
      <w:bookmarkEnd w:id="1563"/>
      <w:bookmarkEnd w:id="1564"/>
      <w:r w:rsidRPr="00D714FC">
        <w:rPr>
          <w:rFonts w:ascii="Times New Roman" w:hAnsi="Times New Roman" w:cs="Times New Roman"/>
        </w:rPr>
        <w:t xml:space="preserve"> </w:t>
      </w:r>
      <w:bookmarkEnd w:id="1565"/>
    </w:p>
    <w:p w:rsidR="00BB173F" w:rsidRPr="00736AD9" w:rsidRDefault="00BB173F" w:rsidP="00736AD9">
      <w:pPr>
        <w:spacing w:before="720" w:after="0"/>
        <w:rPr>
          <w:b/>
        </w:rPr>
      </w:pPr>
      <w:bookmarkStart w:id="1566" w:name="_Toc402259388"/>
      <w:bookmarkStart w:id="1567" w:name="_Toc418500495"/>
      <w:bookmarkStart w:id="1568" w:name="_Toc436122359"/>
      <w:r w:rsidRPr="00736AD9">
        <w:rPr>
          <w:b/>
        </w:rPr>
        <w:t>Part 1—Preliminary</w:t>
      </w:r>
      <w:bookmarkEnd w:id="1566"/>
      <w:bookmarkEnd w:id="1567"/>
      <w:bookmarkEnd w:id="1568"/>
    </w:p>
    <w:p w:rsidR="00BB173F" w:rsidRPr="00736AD9" w:rsidRDefault="00BB173F" w:rsidP="00736AD9">
      <w:pPr>
        <w:spacing w:before="480" w:after="0"/>
        <w:rPr>
          <w:b/>
        </w:rPr>
      </w:pPr>
      <w:bookmarkStart w:id="1569" w:name="_Toc402259389"/>
      <w:bookmarkStart w:id="1570" w:name="_Toc418500496"/>
      <w:bookmarkStart w:id="1571" w:name="_Toc436122360"/>
      <w:r w:rsidRPr="00736AD9">
        <w:rPr>
          <w:b/>
        </w:rPr>
        <w:t>1 Objectives and principles</w:t>
      </w:r>
      <w:bookmarkEnd w:id="1569"/>
      <w:bookmarkEnd w:id="1570"/>
      <w:bookmarkEnd w:id="1571"/>
    </w:p>
    <w:p w:rsidR="00BB173F" w:rsidRPr="00D714FC" w:rsidRDefault="00BB173F" w:rsidP="005B0005">
      <w:pPr>
        <w:spacing w:after="120"/>
        <w:ind w:firstLine="720"/>
        <w:rPr>
          <w:rFonts w:cs="Times New Roman"/>
          <w:b/>
        </w:rPr>
      </w:pPr>
      <w:r w:rsidRPr="00D714FC">
        <w:rPr>
          <w:rFonts w:cs="Times New Roman"/>
        </w:rPr>
        <w:t>This Schedule sets out:</w:t>
      </w:r>
    </w:p>
    <w:p w:rsidR="00BB173F" w:rsidRPr="00D714FC" w:rsidRDefault="00BB173F" w:rsidP="00A946C7">
      <w:pPr>
        <w:pStyle w:val="ListParagraph"/>
        <w:numPr>
          <w:ilvl w:val="0"/>
          <w:numId w:val="31"/>
        </w:numPr>
        <w:spacing w:before="120" w:after="0" w:line="240" w:lineRule="auto"/>
        <w:contextualSpacing w:val="0"/>
        <w:rPr>
          <w:rFonts w:cs="Times New Roman"/>
        </w:rPr>
      </w:pPr>
      <w:r w:rsidRPr="00D714FC">
        <w:rPr>
          <w:rFonts w:cs="Times New Roman"/>
        </w:rPr>
        <w:t>the Basin water charging objectives; and</w:t>
      </w:r>
    </w:p>
    <w:p w:rsidR="00BB173F" w:rsidRPr="00D714FC" w:rsidRDefault="00BB173F" w:rsidP="00A946C7">
      <w:pPr>
        <w:pStyle w:val="ListParagraph"/>
        <w:numPr>
          <w:ilvl w:val="0"/>
          <w:numId w:val="31"/>
        </w:numPr>
        <w:spacing w:before="120" w:after="0" w:line="240" w:lineRule="auto"/>
        <w:contextualSpacing w:val="0"/>
        <w:rPr>
          <w:rFonts w:cs="Times New Roman"/>
        </w:rPr>
      </w:pPr>
      <w:r w:rsidRPr="00D714FC">
        <w:rPr>
          <w:rFonts w:cs="Times New Roman"/>
        </w:rPr>
        <w:t>the Basin water charging principles.</w:t>
      </w:r>
    </w:p>
    <w:p w:rsidR="00BB173F" w:rsidRPr="00D714FC" w:rsidRDefault="00BB173F" w:rsidP="00C6733C">
      <w:pPr>
        <w:tabs>
          <w:tab w:val="left" w:pos="2410"/>
        </w:tabs>
        <w:ind w:left="1440"/>
        <w:rPr>
          <w:rFonts w:cs="Times New Roman"/>
        </w:rPr>
      </w:pPr>
      <w:r w:rsidRPr="00D714FC">
        <w:rPr>
          <w:rFonts w:cs="Times New Roman"/>
        </w:rPr>
        <w:t>Note 1:</w:t>
      </w:r>
      <w:r w:rsidR="00C6733C">
        <w:rPr>
          <w:rFonts w:cs="Times New Roman"/>
        </w:rPr>
        <w:tab/>
      </w:r>
      <w:r w:rsidRPr="00D714FC">
        <w:rPr>
          <w:rFonts w:cs="Times New Roman"/>
        </w:rPr>
        <w:t>These objectives and principles are relevant to the formulation of water charge rules under section 92 of this Act.</w:t>
      </w:r>
    </w:p>
    <w:p w:rsidR="00BB173F" w:rsidRPr="00D714FC" w:rsidRDefault="00BB173F" w:rsidP="00C6733C">
      <w:pPr>
        <w:tabs>
          <w:tab w:val="left" w:pos="2410"/>
        </w:tabs>
        <w:ind w:left="1440"/>
        <w:rPr>
          <w:rFonts w:cs="Times New Roman"/>
        </w:rPr>
      </w:pPr>
      <w:r w:rsidRPr="00D714FC">
        <w:rPr>
          <w:rFonts w:cs="Times New Roman"/>
        </w:rPr>
        <w:t>Note 2:</w:t>
      </w:r>
      <w:r w:rsidR="00C6733C">
        <w:rPr>
          <w:rFonts w:cs="Times New Roman"/>
        </w:rPr>
        <w:tab/>
      </w:r>
      <w:r w:rsidRPr="00D714FC">
        <w:rPr>
          <w:rFonts w:cs="Times New Roman"/>
        </w:rPr>
        <w:t>These objectives and principles are based on those set out in clauses 64 to 77 of the National Water Initiative when Part 2 of this Act commences.</w:t>
      </w:r>
    </w:p>
    <w:p w:rsidR="00BB173F" w:rsidRPr="00736AD9" w:rsidRDefault="00BB173F" w:rsidP="00736AD9">
      <w:pPr>
        <w:spacing w:before="720" w:after="0"/>
        <w:rPr>
          <w:b/>
        </w:rPr>
      </w:pPr>
      <w:bookmarkStart w:id="1572" w:name="_Toc402259390"/>
      <w:bookmarkStart w:id="1573" w:name="_Toc418500497"/>
      <w:bookmarkStart w:id="1574" w:name="_Toc436122361"/>
      <w:r w:rsidRPr="00736AD9">
        <w:rPr>
          <w:b/>
        </w:rPr>
        <w:t>Part 2—Water charging objectives</w:t>
      </w:r>
      <w:bookmarkEnd w:id="1572"/>
      <w:bookmarkEnd w:id="1573"/>
      <w:bookmarkEnd w:id="1574"/>
    </w:p>
    <w:p w:rsidR="00BB173F" w:rsidRPr="00D714FC" w:rsidRDefault="00BB173F" w:rsidP="00736AD9">
      <w:pPr>
        <w:tabs>
          <w:tab w:val="left" w:pos="284"/>
        </w:tabs>
        <w:spacing w:before="480" w:after="0"/>
        <w:rPr>
          <w:rFonts w:cs="Times New Roman"/>
        </w:rPr>
      </w:pPr>
      <w:bookmarkStart w:id="1575" w:name="_Toc402259391"/>
      <w:bookmarkStart w:id="1576" w:name="_Toc418500498"/>
      <w:bookmarkStart w:id="1577" w:name="_Toc436122362"/>
      <w:r w:rsidRPr="00736AD9">
        <w:rPr>
          <w:b/>
        </w:rPr>
        <w:t>2</w:t>
      </w:r>
      <w:r w:rsidR="00736AD9">
        <w:rPr>
          <w:b/>
        </w:rPr>
        <w:tab/>
      </w:r>
      <w:r w:rsidRPr="00736AD9">
        <w:rPr>
          <w:b/>
        </w:rPr>
        <w:t>Water charging objectives</w:t>
      </w:r>
      <w:bookmarkEnd w:id="1575"/>
      <w:bookmarkEnd w:id="1576"/>
      <w:bookmarkEnd w:id="1577"/>
    </w:p>
    <w:p w:rsidR="00BB173F" w:rsidRPr="00D714FC" w:rsidRDefault="00BB173F" w:rsidP="005B0005">
      <w:pPr>
        <w:spacing w:after="120"/>
        <w:ind w:firstLine="720"/>
        <w:rPr>
          <w:rFonts w:cs="Times New Roman"/>
        </w:rPr>
      </w:pPr>
      <w:r w:rsidRPr="00D714FC">
        <w:rPr>
          <w:rFonts w:cs="Times New Roman"/>
        </w:rPr>
        <w:t xml:space="preserve">The </w:t>
      </w:r>
      <w:r w:rsidRPr="00D714FC">
        <w:rPr>
          <w:rFonts w:cs="Times New Roman"/>
          <w:b/>
          <w:bCs/>
          <w:i/>
          <w:iCs/>
        </w:rPr>
        <w:t>water charging objectives</w:t>
      </w:r>
      <w:r w:rsidRPr="00D714FC">
        <w:rPr>
          <w:rFonts w:cs="Times New Roman"/>
        </w:rPr>
        <w:t xml:space="preserve"> are:</w:t>
      </w:r>
    </w:p>
    <w:p w:rsidR="00BB173F" w:rsidRPr="00D714FC" w:rsidRDefault="00BB173F" w:rsidP="00A946C7">
      <w:pPr>
        <w:pStyle w:val="ListParagraph"/>
        <w:numPr>
          <w:ilvl w:val="0"/>
          <w:numId w:val="32"/>
        </w:numPr>
        <w:spacing w:before="120" w:after="0" w:line="240" w:lineRule="auto"/>
        <w:contextualSpacing w:val="0"/>
        <w:rPr>
          <w:rFonts w:cs="Times New Roman"/>
        </w:rPr>
      </w:pPr>
      <w:r w:rsidRPr="00D714FC">
        <w:rPr>
          <w:rFonts w:cs="Times New Roman"/>
        </w:rPr>
        <w:t>to promote the economically efficient and sustainable use of:</w:t>
      </w:r>
    </w:p>
    <w:p w:rsidR="00BB173F" w:rsidRPr="00D714FC" w:rsidRDefault="00BB173F" w:rsidP="00BB173F">
      <w:pPr>
        <w:ind w:left="1800"/>
        <w:rPr>
          <w:rFonts w:cs="Times New Roman"/>
        </w:rPr>
      </w:pPr>
      <w:r w:rsidRPr="00D714FC">
        <w:rPr>
          <w:rFonts w:cs="Times New Roman"/>
        </w:rPr>
        <w:t>(i)</w:t>
      </w:r>
      <w:r w:rsidR="0011610B">
        <w:rPr>
          <w:rFonts w:cs="Times New Roman"/>
        </w:rPr>
        <w:t xml:space="preserve"> </w:t>
      </w:r>
      <w:r w:rsidRPr="00D714FC">
        <w:rPr>
          <w:rFonts w:cs="Times New Roman"/>
        </w:rPr>
        <w:t>water resources; and</w:t>
      </w:r>
    </w:p>
    <w:p w:rsidR="00BB173F" w:rsidRPr="00D714FC" w:rsidRDefault="00BB173F" w:rsidP="00BB173F">
      <w:pPr>
        <w:ind w:left="1800"/>
        <w:rPr>
          <w:rFonts w:cs="Times New Roman"/>
        </w:rPr>
      </w:pPr>
      <w:r w:rsidRPr="00D714FC">
        <w:rPr>
          <w:rFonts w:cs="Times New Roman"/>
        </w:rPr>
        <w:t>(ii)</w:t>
      </w:r>
      <w:r w:rsidR="0011610B">
        <w:rPr>
          <w:rFonts w:cs="Times New Roman"/>
        </w:rPr>
        <w:t xml:space="preserve"> </w:t>
      </w:r>
      <w:r w:rsidRPr="00D714FC">
        <w:rPr>
          <w:rFonts w:cs="Times New Roman"/>
        </w:rPr>
        <w:t>water infrastructure assets; and</w:t>
      </w:r>
    </w:p>
    <w:p w:rsidR="00BB173F" w:rsidRPr="00D714FC" w:rsidRDefault="00BB173F" w:rsidP="00BB173F">
      <w:pPr>
        <w:ind w:left="1800"/>
        <w:rPr>
          <w:rFonts w:cs="Times New Roman"/>
        </w:rPr>
      </w:pPr>
      <w:r w:rsidRPr="00D714FC">
        <w:rPr>
          <w:rFonts w:cs="Times New Roman"/>
        </w:rPr>
        <w:t>(iii)</w:t>
      </w:r>
      <w:r w:rsidR="0011610B">
        <w:rPr>
          <w:rFonts w:cs="Times New Roman"/>
        </w:rPr>
        <w:t xml:space="preserve"> </w:t>
      </w:r>
      <w:r w:rsidRPr="00D714FC">
        <w:rPr>
          <w:rFonts w:cs="Times New Roman"/>
        </w:rPr>
        <w:t>government resources devoted to the management of water</w:t>
      </w:r>
      <w:r w:rsidR="0011610B">
        <w:rPr>
          <w:rFonts w:cs="Times New Roman"/>
        </w:rPr>
        <w:t xml:space="preserve"> </w:t>
      </w:r>
      <w:r w:rsidRPr="00D714FC">
        <w:rPr>
          <w:rFonts w:cs="Times New Roman"/>
        </w:rPr>
        <w:t>resources; and</w:t>
      </w:r>
    </w:p>
    <w:p w:rsidR="00BB173F" w:rsidRPr="00D714FC" w:rsidRDefault="00BB173F" w:rsidP="00A946C7">
      <w:pPr>
        <w:pStyle w:val="ListParagraph"/>
        <w:numPr>
          <w:ilvl w:val="0"/>
          <w:numId w:val="32"/>
        </w:numPr>
        <w:spacing w:before="120" w:after="0" w:line="240" w:lineRule="auto"/>
        <w:contextualSpacing w:val="0"/>
        <w:rPr>
          <w:rFonts w:cs="Times New Roman"/>
        </w:rPr>
      </w:pPr>
      <w:r w:rsidRPr="00D714FC">
        <w:rPr>
          <w:rFonts w:cs="Times New Roman"/>
        </w:rPr>
        <w:t>to ensure sufficient revenue streams to allow efficient delivery of the required services; and</w:t>
      </w:r>
    </w:p>
    <w:p w:rsidR="00BB173F" w:rsidRPr="00D714FC" w:rsidRDefault="00BB173F" w:rsidP="00A946C7">
      <w:pPr>
        <w:pStyle w:val="ListParagraph"/>
        <w:numPr>
          <w:ilvl w:val="0"/>
          <w:numId w:val="32"/>
        </w:numPr>
        <w:spacing w:before="120" w:after="0" w:line="240" w:lineRule="auto"/>
        <w:contextualSpacing w:val="0"/>
        <w:rPr>
          <w:rFonts w:cs="Times New Roman"/>
        </w:rPr>
      </w:pPr>
      <w:r w:rsidRPr="00D714FC">
        <w:rPr>
          <w:rFonts w:cs="Times New Roman"/>
        </w:rPr>
        <w:t>to facilitate the efficient functioning of water markets (including inter</w:t>
      </w:r>
      <w:r w:rsidRPr="00D714FC">
        <w:rPr>
          <w:rFonts w:cs="Times New Roman"/>
        </w:rPr>
        <w:noBreakHyphen/>
        <w:t>jurisdictional water markets, and in both rural and urban settings); and</w:t>
      </w:r>
    </w:p>
    <w:p w:rsidR="00BB173F" w:rsidRPr="00D714FC" w:rsidRDefault="00BB173F" w:rsidP="00A946C7">
      <w:pPr>
        <w:pStyle w:val="ListParagraph"/>
        <w:numPr>
          <w:ilvl w:val="0"/>
          <w:numId w:val="32"/>
        </w:numPr>
        <w:spacing w:before="120" w:after="0" w:line="240" w:lineRule="auto"/>
        <w:contextualSpacing w:val="0"/>
        <w:rPr>
          <w:rFonts w:cs="Times New Roman"/>
        </w:rPr>
      </w:pPr>
      <w:r w:rsidRPr="00D714FC">
        <w:rPr>
          <w:rFonts w:cs="Times New Roman"/>
        </w:rPr>
        <w:t>to give effect to the principles of user</w:t>
      </w:r>
      <w:r w:rsidRPr="00D714FC">
        <w:rPr>
          <w:rFonts w:cs="Times New Roman"/>
        </w:rPr>
        <w:noBreakHyphen/>
        <w:t>pays and achieve pricing transparency in respect of water storage and delivery in irrigation systems and cost recovery for water planning and management; and</w:t>
      </w:r>
    </w:p>
    <w:p w:rsidR="00BB173F" w:rsidRPr="00D714FC" w:rsidRDefault="00BB173F" w:rsidP="00A946C7">
      <w:pPr>
        <w:pStyle w:val="ListParagraph"/>
        <w:numPr>
          <w:ilvl w:val="0"/>
          <w:numId w:val="32"/>
        </w:numPr>
        <w:spacing w:before="120" w:after="0" w:line="240" w:lineRule="auto"/>
        <w:contextualSpacing w:val="0"/>
        <w:rPr>
          <w:rFonts w:cs="Times New Roman"/>
        </w:rPr>
      </w:pPr>
      <w:r w:rsidRPr="00D714FC">
        <w:rPr>
          <w:rFonts w:cs="Times New Roman"/>
        </w:rPr>
        <w:t>to avoid perverse or unintended pricing outcomes.</w:t>
      </w:r>
    </w:p>
    <w:p w:rsidR="00BB173F" w:rsidRPr="00736AD9" w:rsidRDefault="00BB173F" w:rsidP="00736AD9">
      <w:pPr>
        <w:keepNext/>
        <w:spacing w:before="720" w:after="0"/>
        <w:rPr>
          <w:b/>
        </w:rPr>
      </w:pPr>
      <w:bookmarkStart w:id="1578" w:name="_Toc402259392"/>
      <w:bookmarkStart w:id="1579" w:name="_Toc418500499"/>
      <w:bookmarkStart w:id="1580" w:name="_Toc436122363"/>
      <w:r w:rsidRPr="00736AD9">
        <w:rPr>
          <w:b/>
        </w:rPr>
        <w:t>Part 3—Water charging principles</w:t>
      </w:r>
      <w:bookmarkEnd w:id="1578"/>
      <w:bookmarkEnd w:id="1579"/>
      <w:bookmarkEnd w:id="1580"/>
    </w:p>
    <w:p w:rsidR="00BB173F" w:rsidRPr="00736AD9" w:rsidRDefault="00BB173F" w:rsidP="00736AD9">
      <w:pPr>
        <w:keepNext/>
        <w:tabs>
          <w:tab w:val="left" w:pos="284"/>
        </w:tabs>
        <w:spacing w:before="480" w:after="0"/>
        <w:rPr>
          <w:b/>
        </w:rPr>
      </w:pPr>
      <w:bookmarkStart w:id="1581" w:name="_Toc402259393"/>
      <w:bookmarkStart w:id="1582" w:name="_Toc418500500"/>
      <w:bookmarkStart w:id="1583" w:name="_Toc436122364"/>
      <w:r w:rsidRPr="00736AD9">
        <w:rPr>
          <w:b/>
        </w:rPr>
        <w:t>3</w:t>
      </w:r>
      <w:r w:rsidR="00736AD9">
        <w:rPr>
          <w:b/>
        </w:rPr>
        <w:tab/>
      </w:r>
      <w:r w:rsidRPr="00736AD9">
        <w:rPr>
          <w:b/>
        </w:rPr>
        <w:t>Water storage and delivery</w:t>
      </w:r>
      <w:bookmarkEnd w:id="1581"/>
      <w:bookmarkEnd w:id="1582"/>
      <w:bookmarkEnd w:id="1583"/>
    </w:p>
    <w:p w:rsidR="00BB173F" w:rsidRPr="00D714FC" w:rsidRDefault="00BB173F" w:rsidP="00A946C7">
      <w:pPr>
        <w:pStyle w:val="ListParagraph"/>
        <w:keepNext/>
        <w:numPr>
          <w:ilvl w:val="0"/>
          <w:numId w:val="33"/>
        </w:numPr>
        <w:spacing w:before="120" w:after="0" w:line="240" w:lineRule="auto"/>
        <w:contextualSpacing w:val="0"/>
        <w:rPr>
          <w:rFonts w:cs="Times New Roman"/>
        </w:rPr>
      </w:pPr>
      <w:r w:rsidRPr="00D714FC">
        <w:rPr>
          <w:rFonts w:cs="Times New Roman"/>
        </w:rPr>
        <w:t>Pricing policies for water storage and delivery in rural systems are to be developed to facilitate efficient water use and trade in water entitlements.</w:t>
      </w:r>
    </w:p>
    <w:p w:rsidR="00BB173F" w:rsidRPr="00D714FC" w:rsidRDefault="00BB173F" w:rsidP="00A946C7">
      <w:pPr>
        <w:pStyle w:val="ListParagraph"/>
        <w:keepNext/>
        <w:numPr>
          <w:ilvl w:val="0"/>
          <w:numId w:val="33"/>
        </w:numPr>
        <w:spacing w:before="120" w:after="0" w:line="240" w:lineRule="auto"/>
        <w:contextualSpacing w:val="0"/>
        <w:rPr>
          <w:rFonts w:cs="Times New Roman"/>
        </w:rPr>
      </w:pPr>
      <w:r w:rsidRPr="00D714FC">
        <w:rPr>
          <w:rFonts w:cs="Times New Roman"/>
        </w:rPr>
        <w:t>Water charges are to include a consumption</w:t>
      </w:r>
      <w:r w:rsidRPr="00D714FC">
        <w:rPr>
          <w:rFonts w:cs="Times New Roman"/>
        </w:rPr>
        <w:noBreakHyphen/>
        <w:t>based component.</w:t>
      </w:r>
    </w:p>
    <w:p w:rsidR="00BB173F" w:rsidRPr="00D714FC" w:rsidRDefault="00BB173F" w:rsidP="00A946C7">
      <w:pPr>
        <w:pStyle w:val="ListParagraph"/>
        <w:keepNext/>
        <w:numPr>
          <w:ilvl w:val="0"/>
          <w:numId w:val="33"/>
        </w:numPr>
        <w:spacing w:before="120" w:after="0" w:line="240" w:lineRule="auto"/>
        <w:contextualSpacing w:val="0"/>
        <w:rPr>
          <w:rFonts w:cs="Times New Roman"/>
        </w:rPr>
      </w:pPr>
      <w:r w:rsidRPr="00D714FC">
        <w:rPr>
          <w:rFonts w:cs="Times New Roman"/>
        </w:rPr>
        <w:t>Water charges are to be based on full cost recovery for water services to ensure business viability and avoid monopoly rents, including recovery of environmental externalities where feasible and practical.</w:t>
      </w:r>
    </w:p>
    <w:p w:rsidR="00BB173F" w:rsidRPr="00D714FC" w:rsidRDefault="00BB173F" w:rsidP="00A946C7">
      <w:pPr>
        <w:pStyle w:val="ListParagraph"/>
        <w:numPr>
          <w:ilvl w:val="0"/>
          <w:numId w:val="33"/>
        </w:numPr>
        <w:spacing w:before="120" w:after="0" w:line="240" w:lineRule="auto"/>
        <w:contextualSpacing w:val="0"/>
        <w:rPr>
          <w:rFonts w:cs="Times New Roman"/>
        </w:rPr>
      </w:pPr>
      <w:r w:rsidRPr="00D714FC">
        <w:rPr>
          <w:rFonts w:cs="Times New Roman"/>
        </w:rPr>
        <w:t>Water charges in the rural water sector are to continue to move towards upper bound pricing where practicable.</w:t>
      </w:r>
    </w:p>
    <w:p w:rsidR="00BB173F" w:rsidRPr="00D714FC" w:rsidRDefault="00BB173F" w:rsidP="00A946C7">
      <w:pPr>
        <w:pStyle w:val="ListParagraph"/>
        <w:numPr>
          <w:ilvl w:val="0"/>
          <w:numId w:val="33"/>
        </w:numPr>
        <w:spacing w:before="120" w:after="0" w:line="240" w:lineRule="auto"/>
        <w:contextualSpacing w:val="0"/>
        <w:rPr>
          <w:rFonts w:cs="Times New Roman"/>
        </w:rPr>
      </w:pPr>
      <w:r w:rsidRPr="00D714FC">
        <w:rPr>
          <w:rFonts w:cs="Times New Roman"/>
        </w:rPr>
        <w:t>In subclause (4):</w:t>
      </w:r>
    </w:p>
    <w:p w:rsidR="00BB173F" w:rsidRPr="00D714FC" w:rsidRDefault="00BB173F" w:rsidP="00BB173F">
      <w:pPr>
        <w:ind w:left="720"/>
        <w:rPr>
          <w:rFonts w:cs="Times New Roman"/>
        </w:rPr>
      </w:pPr>
      <w:r w:rsidRPr="00D714FC">
        <w:rPr>
          <w:rFonts w:cs="Times New Roman"/>
          <w:b/>
          <w:bCs/>
          <w:i/>
          <w:iCs/>
        </w:rPr>
        <w:t>upper bound pricing</w:t>
      </w:r>
      <w:r w:rsidRPr="00D714FC">
        <w:rPr>
          <w:rFonts w:cs="Times New Roman"/>
        </w:rPr>
        <w:t xml:space="preserve"> means the level at which, to avoid monopoly rents, a water business should not recover more than:</w:t>
      </w:r>
    </w:p>
    <w:p w:rsidR="00BB173F" w:rsidRPr="00D714FC" w:rsidRDefault="00BB173F" w:rsidP="00A946C7">
      <w:pPr>
        <w:pStyle w:val="ListParagraph"/>
        <w:numPr>
          <w:ilvl w:val="1"/>
          <w:numId w:val="34"/>
        </w:numPr>
        <w:spacing w:before="120" w:after="0" w:line="240" w:lineRule="auto"/>
        <w:contextualSpacing w:val="0"/>
        <w:rPr>
          <w:rFonts w:cs="Times New Roman"/>
        </w:rPr>
      </w:pPr>
      <w:r w:rsidRPr="00D714FC">
        <w:rPr>
          <w:rFonts w:cs="Times New Roman"/>
        </w:rPr>
        <w:t>the operational, maintenance and administrative costs, externalities, taxes or tax equivalent regimes; and</w:t>
      </w:r>
    </w:p>
    <w:p w:rsidR="00BB173F" w:rsidRPr="00D714FC" w:rsidRDefault="00BB173F" w:rsidP="00A946C7">
      <w:pPr>
        <w:pStyle w:val="ListParagraph"/>
        <w:numPr>
          <w:ilvl w:val="1"/>
          <w:numId w:val="34"/>
        </w:numPr>
        <w:spacing w:before="120" w:after="0" w:line="240" w:lineRule="auto"/>
        <w:contextualSpacing w:val="0"/>
        <w:rPr>
          <w:rFonts w:cs="Times New Roman"/>
        </w:rPr>
      </w:pPr>
      <w:r w:rsidRPr="00D714FC">
        <w:rPr>
          <w:rFonts w:cs="Times New Roman"/>
        </w:rPr>
        <w:t>provision for the cost of asset consumption; and</w:t>
      </w:r>
    </w:p>
    <w:p w:rsidR="00BB173F" w:rsidRPr="00D714FC" w:rsidRDefault="00BB173F" w:rsidP="00A946C7">
      <w:pPr>
        <w:pStyle w:val="ListParagraph"/>
        <w:numPr>
          <w:ilvl w:val="1"/>
          <w:numId w:val="34"/>
        </w:numPr>
        <w:spacing w:before="120" w:after="0" w:line="240" w:lineRule="auto"/>
        <w:contextualSpacing w:val="0"/>
        <w:rPr>
          <w:rFonts w:cs="Times New Roman"/>
        </w:rPr>
      </w:pPr>
      <w:r w:rsidRPr="00D714FC">
        <w:rPr>
          <w:rFonts w:cs="Times New Roman"/>
        </w:rPr>
        <w:t>provision for the cost of capital (calculated using a weighted average cost of capital).</w:t>
      </w:r>
    </w:p>
    <w:p w:rsidR="00BB173F" w:rsidRPr="00D714FC" w:rsidRDefault="00BB173F" w:rsidP="00A946C7">
      <w:pPr>
        <w:pStyle w:val="ListParagraph"/>
        <w:numPr>
          <w:ilvl w:val="0"/>
          <w:numId w:val="33"/>
        </w:numPr>
        <w:spacing w:before="120" w:after="0" w:line="240" w:lineRule="auto"/>
        <w:contextualSpacing w:val="0"/>
        <w:rPr>
          <w:rFonts w:cs="Times New Roman"/>
        </w:rPr>
      </w:pPr>
      <w:r w:rsidRPr="00D714FC">
        <w:rPr>
          <w:rFonts w:cs="Times New Roman"/>
        </w:rPr>
        <w:t>If full cost recovery is unlikely to be achieved and a Community Service Obligation is deemed necessary:</w:t>
      </w:r>
    </w:p>
    <w:p w:rsidR="00BB173F" w:rsidRPr="00D714FC" w:rsidRDefault="00BB173F" w:rsidP="00A946C7">
      <w:pPr>
        <w:pStyle w:val="ListParagraph"/>
        <w:numPr>
          <w:ilvl w:val="1"/>
          <w:numId w:val="33"/>
        </w:numPr>
        <w:spacing w:before="120" w:after="0" w:line="240" w:lineRule="auto"/>
        <w:contextualSpacing w:val="0"/>
        <w:rPr>
          <w:rFonts w:cs="Times New Roman"/>
        </w:rPr>
      </w:pPr>
      <w:r w:rsidRPr="00D714FC">
        <w:rPr>
          <w:rFonts w:cs="Times New Roman"/>
        </w:rPr>
        <w:t>the size of the subsidy is to be reported publicly; and</w:t>
      </w:r>
    </w:p>
    <w:p w:rsidR="00BB173F" w:rsidRPr="00D714FC" w:rsidRDefault="00BB173F" w:rsidP="00A946C7">
      <w:pPr>
        <w:pStyle w:val="ListParagraph"/>
        <w:numPr>
          <w:ilvl w:val="1"/>
          <w:numId w:val="33"/>
        </w:numPr>
        <w:spacing w:before="120" w:after="0" w:line="240" w:lineRule="auto"/>
        <w:contextualSpacing w:val="0"/>
        <w:rPr>
          <w:rFonts w:cs="Times New Roman"/>
        </w:rPr>
      </w:pPr>
      <w:r w:rsidRPr="00D714FC">
        <w:rPr>
          <w:rFonts w:cs="Times New Roman"/>
        </w:rPr>
        <w:t>where practicable, subsidies or Community Service Obligations are to be reduced or eliminated</w:t>
      </w:r>
    </w:p>
    <w:p w:rsidR="00BB173F" w:rsidRPr="00D714FC" w:rsidRDefault="00BB173F" w:rsidP="00A946C7">
      <w:pPr>
        <w:pStyle w:val="ListParagraph"/>
        <w:numPr>
          <w:ilvl w:val="0"/>
          <w:numId w:val="33"/>
        </w:numPr>
        <w:spacing w:before="120" w:after="0" w:line="240" w:lineRule="auto"/>
        <w:contextualSpacing w:val="0"/>
        <w:rPr>
          <w:rFonts w:cs="Times New Roman"/>
        </w:rPr>
      </w:pPr>
      <w:r w:rsidRPr="00D714FC">
        <w:rPr>
          <w:rFonts w:cs="Times New Roman"/>
        </w:rPr>
        <w:t>Pricing policies should ensure consistency across sectors and jurisdictions where entitlements are able to be traded.</w:t>
      </w:r>
    </w:p>
    <w:p w:rsidR="00BB173F" w:rsidRPr="00736AD9" w:rsidRDefault="00BB173F" w:rsidP="00736AD9">
      <w:pPr>
        <w:tabs>
          <w:tab w:val="left" w:pos="284"/>
        </w:tabs>
        <w:spacing w:before="480" w:after="0"/>
        <w:rPr>
          <w:b/>
        </w:rPr>
      </w:pPr>
      <w:bookmarkStart w:id="1584" w:name="_Toc402259394"/>
      <w:bookmarkStart w:id="1585" w:name="_Toc418500501"/>
      <w:bookmarkStart w:id="1586" w:name="_Toc436122365"/>
      <w:r w:rsidRPr="00736AD9">
        <w:rPr>
          <w:b/>
        </w:rPr>
        <w:t>4</w:t>
      </w:r>
      <w:r w:rsidR="00736AD9">
        <w:rPr>
          <w:b/>
        </w:rPr>
        <w:tab/>
      </w:r>
      <w:r w:rsidRPr="00736AD9">
        <w:rPr>
          <w:b/>
        </w:rPr>
        <w:t>Cost recovery for planning and management</w:t>
      </w:r>
      <w:bookmarkEnd w:id="1584"/>
      <w:bookmarkEnd w:id="1585"/>
      <w:bookmarkEnd w:id="1586"/>
    </w:p>
    <w:p w:rsidR="00BB173F" w:rsidRPr="00D714FC" w:rsidRDefault="00BB173F" w:rsidP="00A946C7">
      <w:pPr>
        <w:pStyle w:val="ListParagraph"/>
        <w:numPr>
          <w:ilvl w:val="0"/>
          <w:numId w:val="35"/>
        </w:numPr>
        <w:spacing w:before="120" w:after="0" w:line="240" w:lineRule="auto"/>
        <w:contextualSpacing w:val="0"/>
        <w:rPr>
          <w:rFonts w:cs="Times New Roman"/>
        </w:rPr>
      </w:pPr>
      <w:r w:rsidRPr="00D714FC">
        <w:rPr>
          <w:rFonts w:cs="Times New Roman"/>
        </w:rPr>
        <w:t>All costs associated with water planning and management must be identified, including the costs of underpinning water markets (such as the provision of registers, accounting and measurement frameworks and performance monitoring and benchmarking).</w:t>
      </w:r>
    </w:p>
    <w:p w:rsidR="00BB173F" w:rsidRPr="00D714FC" w:rsidRDefault="00BB173F" w:rsidP="00A946C7">
      <w:pPr>
        <w:pStyle w:val="ListParagraph"/>
        <w:numPr>
          <w:ilvl w:val="0"/>
          <w:numId w:val="35"/>
        </w:numPr>
        <w:spacing w:before="120" w:after="0" w:line="240" w:lineRule="auto"/>
        <w:contextualSpacing w:val="0"/>
        <w:rPr>
          <w:rFonts w:cs="Times New Roman"/>
        </w:rPr>
      </w:pPr>
      <w:r w:rsidRPr="00D714FC">
        <w:rPr>
          <w:rFonts w:cs="Times New Roman"/>
        </w:rPr>
        <w:t>The proportion of costs that can be attributed to water access entitlement holders is to be identified consistently with the principles set out in subclauses (3) and (4).</w:t>
      </w:r>
    </w:p>
    <w:p w:rsidR="00BB173F" w:rsidRPr="00D714FC" w:rsidRDefault="00BB173F" w:rsidP="00A946C7">
      <w:pPr>
        <w:pStyle w:val="ListParagraph"/>
        <w:numPr>
          <w:ilvl w:val="0"/>
          <w:numId w:val="35"/>
        </w:numPr>
        <w:spacing w:before="120" w:after="0" w:line="240" w:lineRule="auto"/>
        <w:contextualSpacing w:val="0"/>
        <w:rPr>
          <w:rFonts w:cs="Times New Roman"/>
        </w:rPr>
      </w:pPr>
      <w:r w:rsidRPr="00D714FC">
        <w:rPr>
          <w:rFonts w:cs="Times New Roman"/>
        </w:rPr>
        <w:t>Water planning and management charges are to be linked as closely as possible to the costs of activities or products.</w:t>
      </w:r>
    </w:p>
    <w:p w:rsidR="00BB173F" w:rsidRPr="00D714FC" w:rsidRDefault="00BB173F" w:rsidP="00A946C7">
      <w:pPr>
        <w:pStyle w:val="ListParagraph"/>
        <w:numPr>
          <w:ilvl w:val="0"/>
          <w:numId w:val="35"/>
        </w:numPr>
        <w:spacing w:before="120" w:after="0" w:line="240" w:lineRule="auto"/>
        <w:contextualSpacing w:val="0"/>
        <w:rPr>
          <w:rFonts w:cs="Times New Roman"/>
        </w:rPr>
      </w:pPr>
      <w:r w:rsidRPr="00D714FC">
        <w:rPr>
          <w:rFonts w:cs="Times New Roman"/>
        </w:rPr>
        <w:t>Water planning and management charges are to exclude activities undertaken for the Government (such as policy development and Ministerial or Parliamentary services).</w:t>
      </w:r>
    </w:p>
    <w:p w:rsidR="00BB173F" w:rsidRPr="00D714FC" w:rsidRDefault="00BB173F" w:rsidP="00A946C7">
      <w:pPr>
        <w:pStyle w:val="ListParagraph"/>
        <w:numPr>
          <w:ilvl w:val="0"/>
          <w:numId w:val="35"/>
        </w:numPr>
        <w:spacing w:before="120" w:after="0" w:line="240" w:lineRule="auto"/>
        <w:contextualSpacing w:val="0"/>
        <w:rPr>
          <w:rFonts w:cs="Times New Roman"/>
        </w:rPr>
      </w:pPr>
      <w:r w:rsidRPr="00D714FC">
        <w:rPr>
          <w:rFonts w:cs="Times New Roman"/>
        </w:rPr>
        <w:t>States and Territories are to report publicly on cost recovery for water planning and management annually. The reports are to include:</w:t>
      </w:r>
    </w:p>
    <w:p w:rsidR="00BB173F" w:rsidRPr="00D714FC" w:rsidRDefault="00BB173F" w:rsidP="00A946C7">
      <w:pPr>
        <w:pStyle w:val="ListParagraph"/>
        <w:numPr>
          <w:ilvl w:val="1"/>
          <w:numId w:val="35"/>
        </w:numPr>
        <w:spacing w:before="120" w:after="0" w:line="240" w:lineRule="auto"/>
        <w:contextualSpacing w:val="0"/>
        <w:rPr>
          <w:rFonts w:cs="Times New Roman"/>
        </w:rPr>
      </w:pPr>
      <w:r w:rsidRPr="00D714FC">
        <w:rPr>
          <w:rFonts w:cs="Times New Roman"/>
        </w:rPr>
        <w:t>the total cost of water planning and management; and</w:t>
      </w:r>
    </w:p>
    <w:p w:rsidR="00BB173F" w:rsidRPr="00D714FC" w:rsidRDefault="00BB173F" w:rsidP="00A946C7">
      <w:pPr>
        <w:pStyle w:val="ListParagraph"/>
        <w:numPr>
          <w:ilvl w:val="1"/>
          <w:numId w:val="35"/>
        </w:numPr>
        <w:spacing w:before="120" w:after="0" w:line="240" w:lineRule="auto"/>
        <w:contextualSpacing w:val="0"/>
        <w:rPr>
          <w:rFonts w:cs="Times New Roman"/>
        </w:rPr>
      </w:pPr>
      <w:r w:rsidRPr="00D714FC">
        <w:rPr>
          <w:rFonts w:cs="Times New Roman"/>
        </w:rPr>
        <w:t>the proportion of the total cost of water planning and management attributed to water access entitlement holders, and the basis upon which this proportion is determined.</w:t>
      </w:r>
    </w:p>
    <w:p w:rsidR="00BB173F" w:rsidRPr="00736AD9" w:rsidRDefault="00BB173F" w:rsidP="00736AD9">
      <w:pPr>
        <w:tabs>
          <w:tab w:val="left" w:pos="284"/>
        </w:tabs>
        <w:spacing w:before="480" w:after="0"/>
        <w:rPr>
          <w:b/>
        </w:rPr>
      </w:pPr>
      <w:bookmarkStart w:id="1587" w:name="_Toc402259395"/>
      <w:bookmarkStart w:id="1588" w:name="_Toc418500502"/>
      <w:bookmarkStart w:id="1589" w:name="_Toc436122366"/>
      <w:r w:rsidRPr="00736AD9">
        <w:rPr>
          <w:b/>
        </w:rPr>
        <w:t>5</w:t>
      </w:r>
      <w:r w:rsidR="00736AD9">
        <w:rPr>
          <w:b/>
        </w:rPr>
        <w:tab/>
      </w:r>
      <w:r w:rsidRPr="00736AD9">
        <w:rPr>
          <w:b/>
        </w:rPr>
        <w:t>Environmental externalities</w:t>
      </w:r>
      <w:bookmarkEnd w:id="1587"/>
      <w:bookmarkEnd w:id="1588"/>
      <w:bookmarkEnd w:id="1589"/>
    </w:p>
    <w:p w:rsidR="00BB173F" w:rsidRPr="00D714FC" w:rsidRDefault="00BB173F" w:rsidP="00A946C7">
      <w:pPr>
        <w:pStyle w:val="ListParagraph"/>
        <w:numPr>
          <w:ilvl w:val="0"/>
          <w:numId w:val="36"/>
        </w:numPr>
        <w:spacing w:before="120" w:after="0" w:line="240" w:lineRule="auto"/>
        <w:contextualSpacing w:val="0"/>
        <w:rPr>
          <w:rFonts w:cs="Times New Roman"/>
        </w:rPr>
      </w:pPr>
      <w:r w:rsidRPr="00D714FC">
        <w:rPr>
          <w:rFonts w:cs="Times New Roman"/>
        </w:rPr>
        <w:t>Market</w:t>
      </w:r>
      <w:r w:rsidRPr="00D714FC">
        <w:rPr>
          <w:rFonts w:cs="Times New Roman"/>
        </w:rPr>
        <w:noBreakHyphen/>
        <w:t>based mechanisms (such as pricing to account for positive and negative environmental externalities associated with water use) are to be pursued where feasible.</w:t>
      </w:r>
    </w:p>
    <w:p w:rsidR="00BB173F" w:rsidRPr="00D714FC" w:rsidRDefault="00BB173F" w:rsidP="00A946C7">
      <w:pPr>
        <w:pStyle w:val="ListParagraph"/>
        <w:numPr>
          <w:ilvl w:val="0"/>
          <w:numId w:val="36"/>
        </w:numPr>
        <w:spacing w:before="120" w:after="0" w:line="240" w:lineRule="auto"/>
        <w:contextualSpacing w:val="0"/>
        <w:rPr>
          <w:rFonts w:cs="Times New Roman"/>
        </w:rPr>
      </w:pPr>
      <w:r w:rsidRPr="00D714FC">
        <w:rPr>
          <w:rFonts w:cs="Times New Roman"/>
        </w:rPr>
        <w:t>The cost of environmental externalities is to be included in water charges where found to be feasible.</w:t>
      </w:r>
    </w:p>
    <w:p w:rsidR="00BB173F" w:rsidRPr="00736AD9" w:rsidRDefault="00BB173F" w:rsidP="00736AD9">
      <w:pPr>
        <w:tabs>
          <w:tab w:val="left" w:pos="284"/>
        </w:tabs>
        <w:spacing w:before="480" w:after="0"/>
        <w:rPr>
          <w:b/>
        </w:rPr>
      </w:pPr>
      <w:bookmarkStart w:id="1590" w:name="_Toc402259396"/>
      <w:bookmarkStart w:id="1591" w:name="_Toc418500503"/>
      <w:bookmarkStart w:id="1592" w:name="_Toc436122367"/>
      <w:r w:rsidRPr="00736AD9">
        <w:rPr>
          <w:b/>
        </w:rPr>
        <w:t>6</w:t>
      </w:r>
      <w:r w:rsidR="00736AD9">
        <w:rPr>
          <w:b/>
        </w:rPr>
        <w:tab/>
      </w:r>
      <w:r w:rsidRPr="00736AD9">
        <w:rPr>
          <w:b/>
        </w:rPr>
        <w:t>Benchmarking and efficiency reviews</w:t>
      </w:r>
      <w:bookmarkEnd w:id="1590"/>
      <w:bookmarkEnd w:id="1591"/>
      <w:bookmarkEnd w:id="1592"/>
    </w:p>
    <w:p w:rsidR="00BB173F" w:rsidRPr="00D714FC" w:rsidRDefault="00BB173F" w:rsidP="00A946C7">
      <w:pPr>
        <w:pStyle w:val="ListParagraph"/>
        <w:numPr>
          <w:ilvl w:val="0"/>
          <w:numId w:val="37"/>
        </w:numPr>
        <w:spacing w:before="120" w:after="0" w:line="240" w:lineRule="auto"/>
        <w:contextualSpacing w:val="0"/>
        <w:rPr>
          <w:rFonts w:cs="Times New Roman"/>
        </w:rPr>
      </w:pPr>
      <w:r w:rsidRPr="00D714FC">
        <w:rPr>
          <w:rFonts w:cs="Times New Roman"/>
        </w:rPr>
        <w:t>Independent and public benchmarking or efficiency reviews of pricing and service quality relevant to regulated water charges is or are to be undertaken based on a nationally consistent framework.</w:t>
      </w:r>
    </w:p>
    <w:p w:rsidR="00BB173F" w:rsidRDefault="00BB173F" w:rsidP="00A946C7">
      <w:pPr>
        <w:pStyle w:val="ListParagraph"/>
        <w:numPr>
          <w:ilvl w:val="0"/>
          <w:numId w:val="37"/>
        </w:numPr>
        <w:spacing w:before="120" w:after="0" w:line="240" w:lineRule="auto"/>
        <w:contextualSpacing w:val="0"/>
        <w:rPr>
          <w:rFonts w:cs="Times New Roman"/>
        </w:rPr>
      </w:pPr>
      <w:r w:rsidRPr="00D714FC">
        <w:rPr>
          <w:rFonts w:cs="Times New Roman"/>
        </w:rPr>
        <w:t>The costs of operating these benchmarking and efficiency review systems are to be met through recovery of regulated water charge</w:t>
      </w:r>
      <w:r w:rsidR="008E611C">
        <w:rPr>
          <w:rFonts w:cs="Times New Roman"/>
        </w:rPr>
        <w:t>s.</w:t>
      </w:r>
    </w:p>
    <w:sectPr w:rsidR="00BB173F" w:rsidSect="00E560FF">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B07" w:rsidRDefault="00C06B07" w:rsidP="00A81A70">
      <w:pPr>
        <w:spacing w:after="0" w:line="240" w:lineRule="auto"/>
      </w:pPr>
      <w:r>
        <w:separator/>
      </w:r>
    </w:p>
  </w:endnote>
  <w:endnote w:type="continuationSeparator" w:id="0">
    <w:p w:rsidR="00C06B07" w:rsidRDefault="00C06B07" w:rsidP="00A8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157753050"/>
      <w:docPartObj>
        <w:docPartGallery w:val="Page Numbers (Bottom of Page)"/>
        <w:docPartUnique/>
      </w:docPartObj>
    </w:sdtPr>
    <w:sdtEndPr>
      <w:rPr>
        <w:noProof/>
      </w:rPr>
    </w:sdtEndPr>
    <w:sdtContent>
      <w:p w:rsidR="00C06B07" w:rsidRDefault="00C06B07">
        <w:pPr>
          <w:pStyle w:val="Footer"/>
          <w:jc w:val="center"/>
        </w:pPr>
        <w:r>
          <w:fldChar w:fldCharType="begin"/>
        </w:r>
        <w:r>
          <w:instrText xml:space="preserve"> PAGE   \* MERGEFORMAT </w:instrText>
        </w:r>
        <w:r>
          <w:fldChar w:fldCharType="separate"/>
        </w:r>
        <w:r w:rsidR="007751F1">
          <w:rPr>
            <w:noProof/>
          </w:rPr>
          <w:t>ii</w:t>
        </w:r>
        <w:r>
          <w:rPr>
            <w:noProof/>
          </w:rPr>
          <w:fldChar w:fldCharType="end"/>
        </w:r>
      </w:p>
    </w:sdtContent>
  </w:sdt>
  <w:p w:rsidR="00C06B07" w:rsidRDefault="00C06B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377392522"/>
      <w:docPartObj>
        <w:docPartGallery w:val="Page Numbers (Bottom of Page)"/>
        <w:docPartUnique/>
      </w:docPartObj>
    </w:sdtPr>
    <w:sdtEndPr>
      <w:rPr>
        <w:noProof/>
      </w:rPr>
    </w:sdtEndPr>
    <w:sdtContent>
      <w:p w:rsidR="00C06B07" w:rsidRDefault="00C06B07">
        <w:pPr>
          <w:pStyle w:val="Footer"/>
          <w:jc w:val="center"/>
        </w:pPr>
        <w:r>
          <w:fldChar w:fldCharType="begin"/>
        </w:r>
        <w:r>
          <w:instrText xml:space="preserve"> PAGE   \* MERGEFORMAT </w:instrText>
        </w:r>
        <w:r>
          <w:fldChar w:fldCharType="separate"/>
        </w:r>
        <w:r w:rsidR="00BD218B">
          <w:rPr>
            <w:noProof/>
          </w:rPr>
          <w:t>xxi</w:t>
        </w:r>
        <w:r>
          <w:rPr>
            <w:noProof/>
          </w:rPr>
          <w:fldChar w:fldCharType="end"/>
        </w:r>
      </w:p>
    </w:sdtContent>
  </w:sdt>
  <w:p w:rsidR="00C06B07" w:rsidRDefault="00C06B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721163029"/>
      <w:docPartObj>
        <w:docPartGallery w:val="Page Numbers (Bottom of Page)"/>
        <w:docPartUnique/>
      </w:docPartObj>
    </w:sdtPr>
    <w:sdtEndPr>
      <w:rPr>
        <w:noProof/>
      </w:rPr>
    </w:sdtEndPr>
    <w:sdtContent>
      <w:p w:rsidR="00C06B07" w:rsidRDefault="00C06B07">
        <w:pPr>
          <w:pStyle w:val="Footer"/>
          <w:jc w:val="center"/>
        </w:pPr>
        <w:r>
          <w:fldChar w:fldCharType="begin"/>
        </w:r>
        <w:r>
          <w:instrText xml:space="preserve"> PAGE   \* MERGEFORMAT </w:instrText>
        </w:r>
        <w:r>
          <w:fldChar w:fldCharType="separate"/>
        </w:r>
        <w:r w:rsidR="00BD218B">
          <w:rPr>
            <w:noProof/>
          </w:rPr>
          <w:t>15</w:t>
        </w:r>
        <w:r>
          <w:rPr>
            <w:noProof/>
          </w:rPr>
          <w:fldChar w:fldCharType="end"/>
        </w:r>
      </w:p>
    </w:sdtContent>
  </w:sdt>
  <w:p w:rsidR="00C06B07" w:rsidRDefault="00C06B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928545165"/>
      <w:docPartObj>
        <w:docPartGallery w:val="Page Numbers (Bottom of Page)"/>
        <w:docPartUnique/>
      </w:docPartObj>
    </w:sdtPr>
    <w:sdtEndPr>
      <w:rPr>
        <w:noProof/>
      </w:rPr>
    </w:sdtEndPr>
    <w:sdtContent>
      <w:p w:rsidR="00C06B07" w:rsidRDefault="00C06B07">
        <w:pPr>
          <w:pStyle w:val="Footer"/>
          <w:jc w:val="center"/>
        </w:pPr>
        <w:r>
          <w:fldChar w:fldCharType="begin"/>
        </w:r>
        <w:r>
          <w:instrText xml:space="preserve"> PAGE   \* MERGEFORMAT </w:instrText>
        </w:r>
        <w:r>
          <w:fldChar w:fldCharType="separate"/>
        </w:r>
        <w:r w:rsidR="00BD218B">
          <w:rPr>
            <w:noProof/>
          </w:rPr>
          <w:t>300</w:t>
        </w:r>
        <w:r>
          <w:rPr>
            <w:noProof/>
          </w:rPr>
          <w:fldChar w:fldCharType="end"/>
        </w:r>
      </w:p>
    </w:sdtContent>
  </w:sdt>
  <w:p w:rsidR="00C06B07" w:rsidRDefault="00C06B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B07" w:rsidRDefault="00C06B07" w:rsidP="00A81A70">
      <w:pPr>
        <w:spacing w:after="0" w:line="240" w:lineRule="auto"/>
      </w:pPr>
      <w:r>
        <w:separator/>
      </w:r>
    </w:p>
  </w:footnote>
  <w:footnote w:type="continuationSeparator" w:id="0">
    <w:p w:rsidR="00C06B07" w:rsidRPr="002C2757" w:rsidRDefault="00C06B07" w:rsidP="002C2757">
      <w:pPr>
        <w:spacing w:after="0" w:line="240" w:lineRule="auto"/>
      </w:pPr>
      <w:r>
        <w:separator/>
      </w:r>
    </w:p>
  </w:footnote>
  <w:footnote w:id="1">
    <w:p w:rsidR="00C06B07" w:rsidRPr="00310970" w:rsidRDefault="00C06B07" w:rsidP="009845D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Where the draft and final rule advice / recommendation differs due only to the use of acronyms or other non-substantive changes, this has been marked as ‘no change’.</w:t>
      </w:r>
    </w:p>
  </w:footnote>
  <w:footnote w:id="2">
    <w:p w:rsidR="00C06B07" w:rsidRPr="00310970" w:rsidRDefault="00C06B07" w:rsidP="009845D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five grounds recommended for this rule in the Draft Advice were: (i) the purpose for which water has been, is, or will be, used; (ii) whether a tradeable water right has been traded or transformed; (iii) the holding, volume or use of a tradeable water right or separate location-related right; (iv) whether there is an association between a separate location-related right and a water access right; (v) the area of land owned or occupied.</w:t>
      </w:r>
    </w:p>
  </w:footnote>
  <w:footnote w:id="3">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Available at: </w:t>
      </w:r>
      <w:hyperlink r:id="rId1" w:history="1">
        <w:r w:rsidRPr="00310970">
          <w:rPr>
            <w:rStyle w:val="Hyperlink"/>
            <w:rFonts w:cs="Times New Roman"/>
            <w:sz w:val="16"/>
            <w:szCs w:val="16"/>
          </w:rPr>
          <w:t>http://www.comlaw.gov.au/Details/F2011L00058</w:t>
        </w:r>
      </w:hyperlink>
      <w:r w:rsidRPr="00310970">
        <w:rPr>
          <w:rFonts w:cs="Times New Roman"/>
          <w:sz w:val="16"/>
          <w:szCs w:val="16"/>
        </w:rPr>
        <w:t xml:space="preserve"> </w:t>
      </w:r>
    </w:p>
  </w:footnote>
  <w:footnote w:id="4">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Available at: </w:t>
      </w:r>
      <w:hyperlink r:id="rId2" w:history="1">
        <w:r w:rsidRPr="00310970">
          <w:rPr>
            <w:rStyle w:val="Hyperlink"/>
            <w:rFonts w:cs="Times New Roman"/>
            <w:sz w:val="16"/>
            <w:szCs w:val="16"/>
          </w:rPr>
          <w:t>http://www.comlaw.gov.au/Details/F2013C00160</w:t>
        </w:r>
      </w:hyperlink>
      <w:r w:rsidRPr="00310970">
        <w:rPr>
          <w:rFonts w:cs="Times New Roman"/>
          <w:sz w:val="16"/>
          <w:szCs w:val="16"/>
        </w:rPr>
        <w:t xml:space="preserve"> </w:t>
      </w:r>
    </w:p>
  </w:footnote>
  <w:footnote w:id="5">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Available at: </w:t>
      </w:r>
      <w:hyperlink r:id="rId3" w:history="1">
        <w:r w:rsidRPr="00310970">
          <w:rPr>
            <w:rStyle w:val="Hyperlink"/>
            <w:rFonts w:cs="Times New Roman"/>
            <w:sz w:val="16"/>
            <w:szCs w:val="16"/>
          </w:rPr>
          <w:t>http://www.comlaw.gov.au/Details/F2010L02133</w:t>
        </w:r>
      </w:hyperlink>
      <w:r w:rsidRPr="00310970">
        <w:rPr>
          <w:rFonts w:cs="Times New Roman"/>
          <w:sz w:val="16"/>
          <w:szCs w:val="16"/>
        </w:rPr>
        <w:t xml:space="preserve"> </w:t>
      </w:r>
    </w:p>
  </w:footnote>
  <w:footnote w:id="6">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recommendation 11: Independent Expert Panel reviewing the Water Act 2007, </w:t>
      </w:r>
      <w:r w:rsidRPr="00310970">
        <w:rPr>
          <w:rFonts w:cs="Times New Roman"/>
          <w:i/>
          <w:sz w:val="16"/>
          <w:szCs w:val="16"/>
        </w:rPr>
        <w:t>Report of the Independent Review of the Water Act 2007</w:t>
      </w:r>
      <w:r w:rsidRPr="00310970">
        <w:rPr>
          <w:rFonts w:cs="Times New Roman"/>
          <w:sz w:val="16"/>
          <w:szCs w:val="16"/>
        </w:rPr>
        <w:t xml:space="preserve">, 2014. </w:t>
      </w:r>
    </w:p>
  </w:footnote>
  <w:footnote w:id="7">
    <w:p w:rsidR="00C06B07" w:rsidRPr="00310970" w:rsidRDefault="00C06B07" w:rsidP="00E260C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Dale Ashton, </w:t>
      </w:r>
      <w:r w:rsidRPr="00310970">
        <w:rPr>
          <w:rFonts w:cs="Times New Roman"/>
          <w:i/>
          <w:sz w:val="16"/>
          <w:szCs w:val="16"/>
        </w:rPr>
        <w:t>Water trading and water charge rules: a survey of irrigators in the Murray–Darling Basin</w:t>
      </w:r>
      <w:r w:rsidRPr="00310970">
        <w:rPr>
          <w:rFonts w:cs="Times New Roman"/>
          <w:sz w:val="16"/>
          <w:szCs w:val="16"/>
        </w:rPr>
        <w:t>,</w:t>
      </w:r>
    </w:p>
    <w:p w:rsidR="00C06B07" w:rsidRPr="00310970" w:rsidRDefault="00C06B07" w:rsidP="00E260C2">
      <w:pPr>
        <w:pStyle w:val="FootnoteText"/>
        <w:rPr>
          <w:rFonts w:cs="Times New Roman"/>
          <w:sz w:val="16"/>
          <w:szCs w:val="16"/>
        </w:rPr>
      </w:pPr>
      <w:r w:rsidRPr="00310970">
        <w:rPr>
          <w:rFonts w:cs="Times New Roman"/>
          <w:sz w:val="16"/>
          <w:szCs w:val="16"/>
        </w:rPr>
        <w:t xml:space="preserve">ABARES report to client prepared for the Australian Competition and Consumer Commission, Canberra, June 2016, viewed June 2016, </w:t>
      </w:r>
      <w:hyperlink r:id="rId4" w:history="1">
        <w:r w:rsidRPr="00310970">
          <w:rPr>
            <w:rStyle w:val="Hyperlink"/>
            <w:rFonts w:cs="Times New Roman"/>
            <w:sz w:val="16"/>
            <w:szCs w:val="16"/>
          </w:rPr>
          <w:t>https://www.accc.gov.au/regulated-infrastructure/water/water-projects/review-of-the-water-charge-rules-advice-development/issues-paper</w:t>
        </w:r>
      </w:hyperlink>
      <w:r w:rsidRPr="00310970">
        <w:rPr>
          <w:rFonts w:cs="Times New Roman"/>
          <w:sz w:val="16"/>
          <w:szCs w:val="16"/>
        </w:rPr>
        <w:t xml:space="preserve">; A Zuo, S Wheeler and A Loch, </w:t>
      </w:r>
      <w:r w:rsidRPr="00310970">
        <w:rPr>
          <w:rFonts w:cs="Times New Roman"/>
          <w:i/>
          <w:sz w:val="16"/>
          <w:szCs w:val="16"/>
        </w:rPr>
        <w:t>Short survey of southern Murray-Darling Basin irrigators’ views on the review of the water charge rules – Final Report</w:t>
      </w:r>
      <w:r w:rsidRPr="00310970">
        <w:rPr>
          <w:rFonts w:cs="Times New Roman"/>
          <w:sz w:val="16"/>
          <w:szCs w:val="16"/>
        </w:rPr>
        <w:t>, University of Adelaide report to client prepared for the ACCC, Adelaide, May 2016.</w:t>
      </w:r>
    </w:p>
  </w:footnote>
  <w:footnote w:id="8">
    <w:p w:rsidR="00C06B07" w:rsidRPr="00310970" w:rsidRDefault="00C06B07" w:rsidP="0091193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Division 4.1, </w:t>
      </w:r>
      <w:r w:rsidRPr="00310970">
        <w:rPr>
          <w:rFonts w:cs="Times New Roman"/>
          <w:i/>
          <w:sz w:val="16"/>
          <w:szCs w:val="16"/>
        </w:rPr>
        <w:t>Water Regulations 2008</w:t>
      </w:r>
      <w:r w:rsidRPr="00310970">
        <w:rPr>
          <w:rFonts w:cs="Times New Roman"/>
          <w:sz w:val="16"/>
          <w:szCs w:val="16"/>
        </w:rPr>
        <w:t>.</w:t>
      </w:r>
    </w:p>
  </w:footnote>
  <w:footnote w:id="9">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Charge Rules Review Issues Paper</w:t>
      </w:r>
      <w:r w:rsidRPr="00310970">
        <w:rPr>
          <w:rFonts w:cs="Times New Roman"/>
          <w:sz w:val="16"/>
          <w:szCs w:val="16"/>
        </w:rPr>
        <w:t xml:space="preserve">, Canberra, May 2015, viewed June 2016, </w:t>
      </w:r>
      <w:hyperlink r:id="rId5" w:history="1">
        <w:r w:rsidRPr="00310970">
          <w:rPr>
            <w:rStyle w:val="Hyperlink"/>
            <w:rFonts w:cs="Times New Roman"/>
            <w:sz w:val="16"/>
            <w:szCs w:val="16"/>
          </w:rPr>
          <w:t>https://www.accc.gov.au/regulated-infrastructure/water/water-projects/review-of-the-water-charge-rules-advice-development/issues-paper</w:t>
        </w:r>
      </w:hyperlink>
      <w:r w:rsidRPr="00310970">
        <w:rPr>
          <w:rStyle w:val="Hyperlink"/>
          <w:rFonts w:cs="Times New Roman"/>
          <w:sz w:val="16"/>
          <w:szCs w:val="16"/>
        </w:rPr>
        <w:t>.</w:t>
      </w:r>
      <w:r w:rsidRPr="00310970">
        <w:rPr>
          <w:rFonts w:cs="Times New Roman"/>
          <w:sz w:val="16"/>
          <w:szCs w:val="16"/>
        </w:rPr>
        <w:t xml:space="preserve"> </w:t>
      </w:r>
    </w:p>
  </w:footnote>
  <w:footnote w:id="10">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w:t>
      </w:r>
    </w:p>
  </w:footnote>
  <w:footnote w:id="11">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Charge Rules Review Draft Advice</w:t>
      </w:r>
      <w:r w:rsidRPr="00310970">
        <w:rPr>
          <w:rFonts w:cs="Times New Roman"/>
          <w:sz w:val="16"/>
          <w:szCs w:val="16"/>
        </w:rPr>
        <w:t xml:space="preserve">, Canberra, November 2015, viewed July 2016, </w:t>
      </w:r>
      <w:hyperlink r:id="rId6" w:history="1">
        <w:r w:rsidRPr="00310970">
          <w:rPr>
            <w:rStyle w:val="Hyperlink"/>
            <w:rFonts w:cs="Times New Roman"/>
            <w:sz w:val="16"/>
            <w:szCs w:val="16"/>
          </w:rPr>
          <w:t>https://www.accc.gov.au/regulated-infrastructure/water/water-projects/review-of-the-water-charge-rules-advice-development/draft-advice</w:t>
        </w:r>
      </w:hyperlink>
      <w:r w:rsidRPr="00310970">
        <w:rPr>
          <w:rStyle w:val="Hyperlink"/>
          <w:rFonts w:cs="Times New Roman"/>
          <w:sz w:val="16"/>
          <w:szCs w:val="16"/>
        </w:rPr>
        <w:t>.</w:t>
      </w:r>
      <w:r w:rsidRPr="00310970">
        <w:rPr>
          <w:rFonts w:cs="Times New Roman"/>
          <w:sz w:val="16"/>
          <w:szCs w:val="16"/>
        </w:rPr>
        <w:t xml:space="preserve"> </w:t>
      </w:r>
    </w:p>
  </w:footnote>
  <w:footnote w:id="1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‘Proposed Water Charge Rules’ is the legislative instrument that would result if the amendments proposed by the ACCC were adopted.</w:t>
      </w:r>
    </w:p>
  </w:footnote>
  <w:footnote w:id="13">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has published submissions to the Draft Advice at: </w:t>
      </w:r>
      <w:hyperlink r:id="rId7" w:anchor="public-submissions-to-the-draft-advice" w:history="1">
        <w:r w:rsidRPr="00310970">
          <w:rPr>
            <w:rStyle w:val="Hyperlink"/>
            <w:rFonts w:cs="Times New Roman"/>
            <w:sz w:val="16"/>
            <w:szCs w:val="16"/>
          </w:rPr>
          <w:t>http://accc.gov.au/regulated-infrastructure/water/water-projects/review-of-the-water-charge-rules-advice-development/draft-advice#public-submissions-to-the-draft-advice</w:t>
        </w:r>
      </w:hyperlink>
      <w:r w:rsidRPr="00310970">
        <w:rPr>
          <w:rFonts w:cs="Times New Roman"/>
          <w:sz w:val="16"/>
          <w:szCs w:val="16"/>
        </w:rPr>
        <w:t>.</w:t>
      </w:r>
    </w:p>
  </w:footnote>
  <w:footnote w:id="14">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Some infrastructure operators that provide an off-river infrastructure service for the delivery of water will also provide a service for the (off-river) storage of water or drainage of water.</w:t>
      </w:r>
    </w:p>
  </w:footnote>
  <w:footnote w:id="15">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Australian Bureau of Statistics, </w:t>
      </w:r>
      <w:r w:rsidRPr="00310970">
        <w:rPr>
          <w:rFonts w:cs="Times New Roman"/>
          <w:i/>
          <w:sz w:val="16"/>
          <w:szCs w:val="16"/>
        </w:rPr>
        <w:t>Water use on Australian Farms, 2014-15</w:t>
      </w:r>
      <w:r w:rsidRPr="00310970">
        <w:rPr>
          <w:rFonts w:cs="Times New Roman"/>
          <w:sz w:val="16"/>
          <w:szCs w:val="16"/>
        </w:rPr>
        <w:t xml:space="preserve">, Cat. No. 4618.0, viewed October 2015, </w:t>
      </w:r>
      <w:hyperlink r:id="rId8" w:history="1">
        <w:r w:rsidRPr="00310970">
          <w:rPr>
            <w:rStyle w:val="Hyperlink"/>
            <w:rFonts w:cs="Times New Roman"/>
            <w:sz w:val="16"/>
            <w:szCs w:val="16"/>
          </w:rPr>
          <w:t>http://www.abs.gov.au/AUSSTATS/abs@.nsf/allprimarymainfeatures/A5A4DA2DF9F997A0CA2571AD007DDFD4?opendocument</w:t>
        </w:r>
      </w:hyperlink>
      <w:r w:rsidRPr="00310970">
        <w:rPr>
          <w:rFonts w:cs="Times New Roman"/>
          <w:sz w:val="16"/>
          <w:szCs w:val="16"/>
        </w:rPr>
        <w:t>.</w:t>
      </w:r>
    </w:p>
  </w:footnote>
  <w:footnote w:id="16">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Charges in respect of urban water supply activities beyond the point at which water has been removed from a Basin water resource are not covered by the water charge rules. However, regulated water charges incurred by an urban water supplier (and imposed by another infrastructure operator) may nevertheless be subject to the water charge rules.</w:t>
      </w:r>
    </w:p>
  </w:footnote>
  <w:footnote w:id="17">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definition of ‘water access right’ in the </w:t>
      </w:r>
      <w:r w:rsidRPr="00310970">
        <w:rPr>
          <w:rFonts w:cs="Times New Roman"/>
          <w:i/>
          <w:sz w:val="16"/>
          <w:szCs w:val="16"/>
        </w:rPr>
        <w:t>Water Act 2007</w:t>
      </w:r>
      <w:r w:rsidRPr="00310970">
        <w:rPr>
          <w:rFonts w:cs="Times New Roman"/>
          <w:sz w:val="16"/>
          <w:szCs w:val="16"/>
        </w:rPr>
        <w:t xml:space="preserve"> also includes stock and domestic rights, riparian rights and any other right to the take or use of water prescribed by the </w:t>
      </w:r>
      <w:r w:rsidRPr="00310970">
        <w:rPr>
          <w:rFonts w:cs="Times New Roman"/>
          <w:i/>
          <w:sz w:val="16"/>
          <w:szCs w:val="16"/>
        </w:rPr>
        <w:t>Water Regulations 2008</w:t>
      </w:r>
      <w:r w:rsidRPr="00310970">
        <w:rPr>
          <w:rFonts w:cs="Times New Roman"/>
          <w:sz w:val="16"/>
          <w:szCs w:val="16"/>
        </w:rPr>
        <w:t>.</w:t>
      </w:r>
    </w:p>
  </w:footnote>
  <w:footnote w:id="18">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Basin Plan water trading rules, rule 12.48.</w:t>
      </w:r>
    </w:p>
  </w:footnote>
  <w:footnote w:id="19">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 water delivery right may be measured in a number of different ways, including in ML or number of delivery entitlements (where a delivery entitlement may entitle the irrigator to the delivery of a particular volume of water in ML/day, or as a share of capacity of the network). Water delivery rights can also be held against infrastructure operators.</w:t>
      </w:r>
    </w:p>
  </w:footnote>
  <w:footnote w:id="20">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Basin Plan water trading rules are limited to those water delivery rights held against infrastructure operators that meet the definition of ‘irrigation infrastructure operator’.</w:t>
      </w:r>
    </w:p>
  </w:footnote>
  <w:footnote w:id="21">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would include water access right, irrigation right, water delivery right and other water-related rights, such as a right to drainage or a water use approval or a works approval. It would not include, for example, a holding of land.</w:t>
      </w:r>
    </w:p>
  </w:footnote>
  <w:footnote w:id="22">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Variable volumetric charges could also be levied on the basis of the volume of water allocation (pursuant to a water access entitlement or an irrigation right) that is credited as a result of an allocation announcement, stored, carried over, forfeited, surrendered or traded.</w:t>
      </w:r>
    </w:p>
  </w:footnote>
  <w:footnote w:id="23">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includes flood mitigation and asset management of dams, lakes, weirs and other water storage structures.</w:t>
      </w:r>
    </w:p>
  </w:footnote>
  <w:footnote w:id="24">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includes taking customers’ orders, determining and implementing storage releases, monitoring water usage and administering customers' water accounts.</w:t>
      </w:r>
    </w:p>
  </w:footnote>
  <w:footnote w:id="25">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Usually with higher charges for volumes delivered in excess of the volume of water delivery right held (sometimes referred to as casual usage charges). </w:t>
      </w:r>
    </w:p>
  </w:footnote>
  <w:footnote w:id="26">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Water Act 2007 (Cth)</w:t>
      </w:r>
      <w:r w:rsidRPr="00310970">
        <w:rPr>
          <w:rFonts w:cs="Times New Roman"/>
          <w:sz w:val="16"/>
          <w:szCs w:val="16"/>
        </w:rPr>
        <w:t>, subsection 91(3).</w:t>
      </w:r>
    </w:p>
  </w:footnote>
  <w:footnote w:id="27">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Available at </w:t>
      </w:r>
      <w:hyperlink r:id="rId9" w:history="1">
        <w:r w:rsidRPr="00310970">
          <w:rPr>
            <w:rStyle w:val="Hyperlink"/>
            <w:rFonts w:cs="Times New Roman"/>
            <w:sz w:val="16"/>
            <w:szCs w:val="16"/>
          </w:rPr>
          <w:t>http://www.accc.gov.au/regulated-infrastructure/water/water-projects</w:t>
        </w:r>
      </w:hyperlink>
      <w:r w:rsidRPr="00310970">
        <w:rPr>
          <w:rStyle w:val="Hyperlink"/>
          <w:rFonts w:cs="Times New Roman"/>
          <w:color w:val="auto"/>
          <w:sz w:val="16"/>
          <w:szCs w:val="16"/>
          <w:u w:val="none"/>
        </w:rPr>
        <w:t>,</w:t>
      </w:r>
      <w:r w:rsidRPr="00310970">
        <w:rPr>
          <w:rStyle w:val="Hyperlink"/>
          <w:rFonts w:cs="Times New Roman"/>
          <w:sz w:val="16"/>
          <w:szCs w:val="16"/>
        </w:rPr>
        <w:t xml:space="preserve"> </w:t>
      </w:r>
      <w:r w:rsidRPr="00310970">
        <w:rPr>
          <w:rFonts w:cs="Times New Roman"/>
          <w:sz w:val="16"/>
          <w:szCs w:val="16"/>
        </w:rPr>
        <w:t>viewed June 2016.</w:t>
      </w:r>
    </w:p>
  </w:footnote>
  <w:footnote w:id="28">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Basin Plan 2012</w:t>
      </w:r>
      <w:r w:rsidRPr="00310970">
        <w:rPr>
          <w:rFonts w:cs="Times New Roman"/>
          <w:sz w:val="16"/>
          <w:szCs w:val="16"/>
        </w:rPr>
        <w:t xml:space="preserve">, part 12, </w:t>
      </w:r>
      <w:hyperlink r:id="rId10" w:history="1">
        <w:r w:rsidRPr="00310970">
          <w:rPr>
            <w:rStyle w:val="Hyperlink"/>
            <w:rFonts w:cs="Times New Roman"/>
            <w:sz w:val="16"/>
            <w:szCs w:val="16"/>
          </w:rPr>
          <w:t>http://www.comlaw.gov.au/Details/F2012L02240</w:t>
        </w:r>
      </w:hyperlink>
      <w:r w:rsidRPr="00310970">
        <w:rPr>
          <w:rFonts w:cs="Times New Roman"/>
          <w:sz w:val="16"/>
          <w:szCs w:val="16"/>
        </w:rPr>
        <w:t>, viewed June 2016.</w:t>
      </w:r>
    </w:p>
  </w:footnote>
  <w:footnote w:id="29">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Water Act 2007 (Cth)</w:t>
      </w:r>
      <w:r w:rsidRPr="00310970">
        <w:rPr>
          <w:rFonts w:cs="Times New Roman"/>
          <w:sz w:val="16"/>
          <w:szCs w:val="16"/>
        </w:rPr>
        <w:t>, section 137. The Murray-Darling Basin Authority enforce the Basin Plan water trading rules.</w:t>
      </w:r>
    </w:p>
  </w:footnote>
  <w:footnote w:id="30">
    <w:p w:rsidR="00C06B07" w:rsidRPr="00310970" w:rsidRDefault="00C06B07" w:rsidP="006B4C7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Available at: </w:t>
      </w:r>
      <w:hyperlink r:id="rId11" w:history="1">
        <w:r w:rsidRPr="00310970">
          <w:rPr>
            <w:rStyle w:val="Hyperlink"/>
            <w:rFonts w:cs="Times New Roman"/>
            <w:sz w:val="16"/>
            <w:szCs w:val="16"/>
          </w:rPr>
          <w:t>http://www.accc.gov.au/regulated-infrastructure/water/water-guides</w:t>
        </w:r>
      </w:hyperlink>
      <w:r w:rsidRPr="00310970">
        <w:rPr>
          <w:rFonts w:cs="Times New Roman"/>
          <w:sz w:val="16"/>
          <w:szCs w:val="16"/>
        </w:rPr>
        <w:t xml:space="preserve">, viewed June 2016. </w:t>
      </w:r>
    </w:p>
  </w:footnote>
  <w:footnote w:id="31">
    <w:p w:rsidR="00C06B07" w:rsidRPr="00310970" w:rsidRDefault="00C06B07" w:rsidP="005012D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Department of Agriculture and Water Resources, </w:t>
      </w:r>
      <w:r w:rsidRPr="00310970">
        <w:rPr>
          <w:rFonts w:cs="Times New Roman"/>
          <w:i/>
          <w:sz w:val="16"/>
          <w:szCs w:val="16"/>
        </w:rPr>
        <w:t>Report of the Independent Review of the Water Act 2007 Australian Government Response</w:t>
      </w:r>
      <w:r w:rsidRPr="00310970">
        <w:rPr>
          <w:rFonts w:cs="Times New Roman"/>
          <w:sz w:val="16"/>
          <w:szCs w:val="16"/>
        </w:rPr>
        <w:t xml:space="preserve">, Canberra, 2015, viewed June 2016, </w:t>
      </w:r>
      <w:hyperlink r:id="rId12" w:history="1">
        <w:r w:rsidRPr="00310970">
          <w:rPr>
            <w:rStyle w:val="Hyperlink"/>
            <w:rFonts w:cs="Times New Roman"/>
            <w:sz w:val="16"/>
            <w:szCs w:val="16"/>
          </w:rPr>
          <w:t>https://www.environment.gov.au/water/publications/water-act-review-govt-response</w:t>
        </w:r>
      </w:hyperlink>
      <w:r w:rsidRPr="00310970">
        <w:rPr>
          <w:rFonts w:cs="Times New Roman"/>
          <w:sz w:val="16"/>
          <w:szCs w:val="16"/>
        </w:rPr>
        <w:t xml:space="preserve">. </w:t>
      </w:r>
    </w:p>
  </w:footnote>
  <w:footnote w:id="32">
    <w:p w:rsidR="00C06B07" w:rsidRPr="00310970" w:rsidRDefault="00C06B07" w:rsidP="00D4356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Farmers’ Federation, Draft Advice Submission, March 2016, p.2.</w:t>
      </w:r>
    </w:p>
  </w:footnote>
  <w:footnote w:id="33">
    <w:p w:rsidR="00C06B07" w:rsidRPr="00310970" w:rsidRDefault="00C06B07" w:rsidP="00D4356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NSWIC was also of the view that the ACCC’s Draft Advice is inconsistent with the intent of the Review of the </w:t>
      </w:r>
      <w:r w:rsidRPr="00310970">
        <w:rPr>
          <w:rFonts w:cs="Times New Roman"/>
          <w:i/>
          <w:sz w:val="16"/>
          <w:szCs w:val="16"/>
        </w:rPr>
        <w:t>Water Act 2007</w:t>
      </w:r>
      <w:r w:rsidRPr="00310970">
        <w:rPr>
          <w:rFonts w:cs="Times New Roman"/>
          <w:sz w:val="16"/>
          <w:szCs w:val="16"/>
        </w:rPr>
        <w:t xml:space="preserve"> “to simplify the current regulatory framework – including the WCR [water charge rules]”. NSW Irrigators’ Council, Draft Advice Submission, March 2016, pp.1-2; National Irrigators’ Council, Draft Advice Submission, March 2016, pp.5,8.</w:t>
      </w:r>
    </w:p>
  </w:footnote>
  <w:footnote w:id="34">
    <w:p w:rsidR="00C06B07" w:rsidRPr="00310970" w:rsidRDefault="00C06B07" w:rsidP="009B5A8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Western Murray Irrigation, Draft Advice Submission, March 2016, p.2.</w:t>
      </w:r>
    </w:p>
  </w:footnote>
  <w:footnote w:id="35">
    <w:p w:rsidR="00C06B07" w:rsidRPr="00310970" w:rsidRDefault="00C06B07" w:rsidP="008924A1">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p.6.</w:t>
      </w:r>
    </w:p>
  </w:footnote>
  <w:footnote w:id="36">
    <w:p w:rsidR="00C06B07" w:rsidRPr="00310970" w:rsidRDefault="00C06B07" w:rsidP="00D4356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p.16.</w:t>
      </w:r>
    </w:p>
  </w:footnote>
  <w:footnote w:id="37">
    <w:p w:rsidR="00C06B07" w:rsidRPr="00310970" w:rsidRDefault="00C06B07" w:rsidP="009376B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Frontier Economics, Submission to the Independent Review of the Water Act 2007, June 2014, p.1; State Water, Submission to the Independent Review of the Water Act 2007, July 2014, pp.12-24.</w:t>
      </w:r>
    </w:p>
  </w:footnote>
  <w:footnote w:id="38">
    <w:p w:rsidR="00C06B07" w:rsidRPr="00310970" w:rsidRDefault="00C06B07" w:rsidP="009376B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4.2 of the ACCC’s Draft Advice: ACCC, </w:t>
      </w:r>
      <w:r w:rsidRPr="00310970">
        <w:rPr>
          <w:rFonts w:cs="Times New Roman"/>
          <w:i/>
          <w:sz w:val="16"/>
          <w:szCs w:val="16"/>
        </w:rPr>
        <w:t>Water Charge Rules Review Draft Advice</w:t>
      </w:r>
      <w:r w:rsidRPr="00310970">
        <w:rPr>
          <w:rFonts w:cs="Times New Roman"/>
          <w:sz w:val="16"/>
          <w:szCs w:val="16"/>
        </w:rPr>
        <w:t>, Canberra, November 2015, pp.37-38.</w:t>
      </w:r>
    </w:p>
  </w:footnote>
  <w:footnote w:id="39">
    <w:p w:rsidR="00C06B07" w:rsidRPr="00310970" w:rsidRDefault="00C06B07" w:rsidP="00D24CB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pp.1-2.</w:t>
      </w:r>
    </w:p>
  </w:footnote>
  <w:footnote w:id="40">
    <w:p w:rsidR="00C06B07" w:rsidRPr="00310970" w:rsidRDefault="00C06B07" w:rsidP="00D24CB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GMW noted that the Essential Services Commission of Victoria approved in its Draft Decision common prices between districts where the difference in costs is up to 19 per cent. This is the case in five of GMW’s districts.</w:t>
      </w:r>
    </w:p>
  </w:footnote>
  <w:footnote w:id="41">
    <w:p w:rsidR="00C06B07" w:rsidRPr="00310970" w:rsidRDefault="00C06B07" w:rsidP="00D24CB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Tamworth Regional Council, Draft Advice Submission, March 2016, p.5.</w:t>
      </w:r>
    </w:p>
  </w:footnote>
  <w:footnote w:id="42">
    <w:p w:rsidR="00C06B07" w:rsidRPr="00310970" w:rsidRDefault="00C06B07" w:rsidP="00D24CB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Peel Valley Water Users Association, Draft Advice Submission, March 2016, pp.3-4.</w:t>
      </w:r>
    </w:p>
  </w:footnote>
  <w:footnote w:id="43">
    <w:p w:rsidR="00C06B07" w:rsidRPr="00310970" w:rsidRDefault="00C06B07" w:rsidP="007E1B3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Peel Valley Users Association, Issues Paper Submission, May 2015.</w:t>
      </w:r>
    </w:p>
  </w:footnote>
  <w:footnote w:id="44">
    <w:p w:rsidR="00C06B07" w:rsidRPr="00310970" w:rsidRDefault="00C06B07" w:rsidP="007E1B3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public forum on the review of the water charge rules, Tamworth, 24 August 2015.</w:t>
      </w:r>
    </w:p>
  </w:footnote>
  <w:footnote w:id="45">
    <w:p w:rsidR="00C06B07" w:rsidRPr="00310970" w:rsidRDefault="00C06B07" w:rsidP="003A5F1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In this case, ‘non-regulated tributary inflow’ refers to flows from tributaries entering the Peel River below Chaffey Dam.</w:t>
      </w:r>
    </w:p>
  </w:footnote>
  <w:footnote w:id="46">
    <w:p w:rsidR="00C06B07" w:rsidRPr="00310970" w:rsidRDefault="00C06B07" w:rsidP="003A5F1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public forum on the review of the water charge rules, Tamworth, 24 August 2015.</w:t>
      </w:r>
    </w:p>
  </w:footnote>
  <w:footnote w:id="47">
    <w:p w:rsidR="00C06B07" w:rsidRPr="00310970" w:rsidRDefault="00C06B07" w:rsidP="003A5F1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Email from David Gee (Split Rock Water Users Association) to Mr Barnaby Joyce (Minister for Agriculture), ‘Peel/Namoi Water Pricing: Split Rock Water Users Assoc. comment’, 27 August 2015.</w:t>
      </w:r>
    </w:p>
  </w:footnote>
  <w:footnote w:id="48">
    <w:p w:rsidR="00C06B07" w:rsidRPr="00310970" w:rsidRDefault="00C06B07" w:rsidP="003A5F1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public forum on the review of the water charge rules, Tamworth, 24 August 2015. </w:t>
      </w:r>
    </w:p>
  </w:footnote>
  <w:footnote w:id="49">
    <w:p w:rsidR="00C06B07" w:rsidRPr="00310970" w:rsidRDefault="00C06B07" w:rsidP="00E63C1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w:t>
      </w:r>
      <w:r w:rsidRPr="00310970">
        <w:rPr>
          <w:rFonts w:cs="Times New Roman"/>
          <w:i/>
          <w:sz w:val="16"/>
          <w:szCs w:val="16"/>
        </w:rPr>
        <w:t>Department of Land and Water Conservation Bulk Water Prices from 1 October 2001</w:t>
      </w:r>
      <w:r w:rsidRPr="00310970">
        <w:rPr>
          <w:rFonts w:cs="Times New Roman"/>
          <w:sz w:val="16"/>
          <w:szCs w:val="16"/>
        </w:rPr>
        <w:t>, 2001, p.69.</w:t>
      </w:r>
    </w:p>
  </w:footnote>
  <w:footnote w:id="50">
    <w:p w:rsidR="00C06B07" w:rsidRPr="00310970" w:rsidRDefault="00C06B07" w:rsidP="009E5ED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Final decision on State Water Pricing Application: 2014-15 – 2015-17</w:t>
      </w:r>
      <w:r w:rsidRPr="00310970">
        <w:rPr>
          <w:rFonts w:cs="Times New Roman"/>
          <w:sz w:val="16"/>
          <w:szCs w:val="16"/>
        </w:rPr>
        <w:t>, Canberra, June 2014, p.49. As detailed in its 2014 final decision on State Water’s infrastructure charges, operating expenditure (“opex”) represents the vast majority of costs in this valley.</w:t>
      </w:r>
    </w:p>
  </w:footnote>
  <w:footnote w:id="51">
    <w:p w:rsidR="00C06B07" w:rsidRPr="00310970" w:rsidRDefault="00C06B07" w:rsidP="00D9185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4.3 of ACCC, </w:t>
      </w:r>
      <w:r w:rsidRPr="00310970">
        <w:rPr>
          <w:rFonts w:cs="Times New Roman"/>
          <w:i/>
          <w:sz w:val="16"/>
          <w:szCs w:val="16"/>
        </w:rPr>
        <w:t>Water Charge Rules Review Draft Advice</w:t>
      </w:r>
      <w:r w:rsidRPr="00310970">
        <w:rPr>
          <w:rFonts w:cs="Times New Roman"/>
          <w:sz w:val="16"/>
          <w:szCs w:val="16"/>
        </w:rPr>
        <w:t>, Canberra, November 2015, p.44.</w:t>
      </w:r>
    </w:p>
  </w:footnote>
  <w:footnote w:id="52">
    <w:p w:rsidR="00C06B07" w:rsidRPr="00310970" w:rsidRDefault="00C06B07" w:rsidP="00834F2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Water Act 2007</w:t>
      </w:r>
      <w:r w:rsidRPr="00310970">
        <w:rPr>
          <w:rFonts w:cs="Times New Roman"/>
          <w:sz w:val="16"/>
          <w:szCs w:val="16"/>
        </w:rPr>
        <w:t xml:space="preserve"> (Cth), section 92.</w:t>
      </w:r>
    </w:p>
  </w:footnote>
  <w:footnote w:id="53">
    <w:p w:rsidR="00C06B07" w:rsidRPr="00310970" w:rsidRDefault="00C06B07" w:rsidP="00834F2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however, the proposed further clarification of the meaning of ‘planning and management charge’ proposed in section 7.2.</w:t>
      </w:r>
    </w:p>
  </w:footnote>
  <w:footnote w:id="54">
    <w:p w:rsidR="00C06B07" w:rsidRPr="00310970" w:rsidRDefault="00C06B07" w:rsidP="00F94EB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4.3.1 of ACCC, </w:t>
      </w:r>
      <w:r w:rsidRPr="00310970">
        <w:rPr>
          <w:rFonts w:cs="Times New Roman"/>
          <w:i/>
          <w:sz w:val="16"/>
          <w:szCs w:val="16"/>
        </w:rPr>
        <w:t>Water Charge Rules Review Draft Advice</w:t>
      </w:r>
      <w:r w:rsidRPr="00310970">
        <w:rPr>
          <w:rFonts w:cs="Times New Roman"/>
          <w:sz w:val="16"/>
          <w:szCs w:val="16"/>
        </w:rPr>
        <w:t xml:space="preserve">, Canberra, November 2015,p.45. </w:t>
      </w:r>
    </w:p>
  </w:footnote>
  <w:footnote w:id="55">
    <w:p w:rsidR="00C06B07" w:rsidRPr="00310970" w:rsidRDefault="00C06B07" w:rsidP="00E55E3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p.2.</w:t>
      </w:r>
    </w:p>
  </w:footnote>
  <w:footnote w:id="56">
    <w:p w:rsidR="00C06B07" w:rsidRPr="00310970" w:rsidRDefault="00C06B07" w:rsidP="00E55E3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Draft Advice Submission, March 2016, p.3.</w:t>
      </w:r>
    </w:p>
  </w:footnote>
  <w:footnote w:id="57">
    <w:p w:rsidR="00C06B07" w:rsidRPr="00310970" w:rsidRDefault="00C06B07" w:rsidP="00E55E3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p.2.</w:t>
      </w:r>
    </w:p>
  </w:footnote>
  <w:footnote w:id="58">
    <w:p w:rsidR="00C06B07" w:rsidRPr="00310970" w:rsidRDefault="00C06B07" w:rsidP="00E55E3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59">
    <w:p w:rsidR="00C06B07" w:rsidRPr="00310970" w:rsidRDefault="00C06B07" w:rsidP="00E55E3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p.9.</w:t>
      </w:r>
    </w:p>
  </w:footnote>
  <w:footnote w:id="60">
    <w:p w:rsidR="00C06B07" w:rsidRPr="00310970" w:rsidRDefault="00C06B07" w:rsidP="00E55E3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p.2.</w:t>
      </w:r>
    </w:p>
  </w:footnote>
  <w:footnote w:id="61">
    <w:p w:rsidR="00C06B07" w:rsidRPr="00310970" w:rsidRDefault="00C06B07" w:rsidP="0031097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Draft Advice Submission, March 2016, p.2.</w:t>
      </w:r>
    </w:p>
  </w:footnote>
  <w:footnote w:id="62">
    <w:p w:rsidR="00C06B07" w:rsidRPr="00310970" w:rsidRDefault="00C06B07" w:rsidP="00E55E3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p.3.</w:t>
      </w:r>
    </w:p>
  </w:footnote>
  <w:footnote w:id="63">
    <w:p w:rsidR="00C06B07" w:rsidRPr="00310970" w:rsidRDefault="00C06B07" w:rsidP="00EE75E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in particular clauses 67 and 68 in the Intergovernmental Agreement on a National Water Initiative, 2004, viewed July 2016, </w:t>
      </w:r>
      <w:hyperlink r:id="rId13" w:history="1">
        <w:r w:rsidRPr="00310970">
          <w:rPr>
            <w:rStyle w:val="Hyperlink"/>
            <w:rFonts w:cs="Times New Roman"/>
            <w:sz w:val="16"/>
            <w:szCs w:val="16"/>
          </w:rPr>
          <w:t>http://www.nwc.gov.au/__data/assets/pdf_file/0008/24749/Intergovernmental-Agreement-on-a-national-water-initiative.pdf</w:t>
        </w:r>
      </w:hyperlink>
      <w:r w:rsidRPr="00310970">
        <w:rPr>
          <w:rFonts w:cs="Times New Roman"/>
          <w:sz w:val="16"/>
          <w:szCs w:val="16"/>
        </w:rPr>
        <w:t>.</w:t>
      </w:r>
    </w:p>
  </w:footnote>
  <w:footnote w:id="64">
    <w:p w:rsidR="00C06B07" w:rsidRPr="00310970" w:rsidRDefault="00C06B07" w:rsidP="00F94EB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Available at: </w:t>
      </w:r>
      <w:hyperlink r:id="rId14" w:history="1">
        <w:r w:rsidRPr="00310970">
          <w:rPr>
            <w:rStyle w:val="Hyperlink"/>
            <w:rFonts w:cs="Times New Roman"/>
            <w:sz w:val="16"/>
            <w:szCs w:val="16"/>
          </w:rPr>
          <w:t>http://accc.gov.au/regulated-infrastructure/water/water-guides</w:t>
        </w:r>
      </w:hyperlink>
      <w:r w:rsidRPr="00310970">
        <w:rPr>
          <w:rStyle w:val="Hyperlink"/>
          <w:rFonts w:cs="Times New Roman"/>
          <w:color w:val="auto"/>
          <w:sz w:val="16"/>
          <w:szCs w:val="16"/>
          <w:u w:val="none"/>
        </w:rPr>
        <w:t>,</w:t>
      </w:r>
      <w:r w:rsidRPr="00310970">
        <w:rPr>
          <w:rFonts w:cs="Times New Roman"/>
          <w:sz w:val="16"/>
          <w:szCs w:val="16"/>
        </w:rPr>
        <w:t xml:space="preserve"> viewed October 2015. </w:t>
      </w:r>
    </w:p>
  </w:footnote>
  <w:footnote w:id="65">
    <w:p w:rsidR="00C06B07" w:rsidRPr="00310970" w:rsidRDefault="00C06B07" w:rsidP="008412C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Regulatory Performance Framework, released by the Australian Government in October 2014, aims to reduce the cost of regulation imposed on individuals, business and community organisations. It sets out a framework for Commonwealth regulators to consider as part of policy making and regulatory processes.</w:t>
      </w:r>
    </w:p>
  </w:footnote>
  <w:footnote w:id="66">
    <w:p w:rsidR="00C06B07" w:rsidRPr="00310970" w:rsidRDefault="00C06B07" w:rsidP="008412C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Targeted communication is one of the key performance indicators listed in the Regulatory Performance Framework. The ACCC will be required to consider and report to the Australian Government on how it is meeting this indicator in creating new guidance material.</w:t>
      </w:r>
    </w:p>
  </w:footnote>
  <w:footnote w:id="67">
    <w:p w:rsidR="00C06B07" w:rsidRPr="00310970" w:rsidRDefault="00C06B07" w:rsidP="00F94EB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4.4 of ACCC, </w:t>
      </w:r>
      <w:r w:rsidRPr="00310970">
        <w:rPr>
          <w:rFonts w:cs="Times New Roman"/>
          <w:i/>
          <w:sz w:val="16"/>
          <w:szCs w:val="16"/>
        </w:rPr>
        <w:t>Water Charge Rules Review Draft Advice</w:t>
      </w:r>
      <w:r w:rsidRPr="00310970">
        <w:rPr>
          <w:rFonts w:cs="Times New Roman"/>
          <w:sz w:val="16"/>
          <w:szCs w:val="16"/>
        </w:rPr>
        <w:t>, Canberra, November 2015, pp.47</w:t>
      </w:r>
      <w:r w:rsidRPr="00310970">
        <w:rPr>
          <w:rFonts w:cs="Times New Roman"/>
          <w:sz w:val="16"/>
          <w:szCs w:val="16"/>
        </w:rPr>
        <w:noBreakHyphen/>
        <w:t xml:space="preserve">48.  </w:t>
      </w:r>
    </w:p>
  </w:footnote>
  <w:footnote w:id="68">
    <w:p w:rsidR="00C06B07" w:rsidRPr="00310970" w:rsidRDefault="00C06B07" w:rsidP="0043431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p.6.</w:t>
      </w:r>
    </w:p>
  </w:footnote>
  <w:footnote w:id="69">
    <w:p w:rsidR="00C06B07" w:rsidRPr="00310970" w:rsidRDefault="00C06B07" w:rsidP="0043431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Tom Loffler, Draft Advice Submission, March 2016, p.2.</w:t>
      </w:r>
    </w:p>
  </w:footnote>
  <w:footnote w:id="70">
    <w:p w:rsidR="00C06B07" w:rsidRPr="00310970" w:rsidRDefault="00C06B07" w:rsidP="0043431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p.3.</w:t>
      </w:r>
    </w:p>
  </w:footnote>
  <w:footnote w:id="71">
    <w:p w:rsidR="00C06B07" w:rsidRPr="00310970" w:rsidRDefault="00C06B07" w:rsidP="00BE531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p.2; Commonwealth Environmental Water Holder, Draft Advice Submission, March 2016, p.3.</w:t>
      </w:r>
    </w:p>
  </w:footnote>
  <w:footnote w:id="72">
    <w:p w:rsidR="00C06B07" w:rsidRPr="00310970" w:rsidRDefault="00C06B07" w:rsidP="00BE531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p.6:</w:t>
      </w:r>
    </w:p>
    <w:p w:rsidR="00C06B07" w:rsidRPr="00310970" w:rsidRDefault="00C06B07" w:rsidP="00BE5310">
      <w:pPr>
        <w:pStyle w:val="FootnoteText"/>
        <w:rPr>
          <w:rFonts w:cs="Times New Roman"/>
          <w:sz w:val="16"/>
          <w:szCs w:val="16"/>
        </w:rPr>
      </w:pPr>
      <w:r w:rsidRPr="00310970">
        <w:rPr>
          <w:rFonts w:cs="Times New Roman"/>
          <w:sz w:val="16"/>
          <w:szCs w:val="16"/>
        </w:rPr>
        <w:t>QTDEWS, Draft Advice Submission, March 2016, p.3.</w:t>
      </w:r>
    </w:p>
  </w:footnote>
  <w:footnote w:id="73">
    <w:p w:rsidR="00C06B07" w:rsidRPr="00310970" w:rsidRDefault="00C06B07" w:rsidP="00BE531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p.6; QTDEWS, Draft Advice Submission, March 2016, p.3.</w:t>
      </w:r>
    </w:p>
  </w:footnote>
  <w:footnote w:id="74">
    <w:p w:rsidR="00C06B07" w:rsidRPr="00310970" w:rsidRDefault="00C06B07" w:rsidP="0067096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section 6.1 of the ACCC, </w:t>
      </w:r>
      <w:r w:rsidRPr="00310970">
        <w:rPr>
          <w:rFonts w:cs="Times New Roman"/>
          <w:i/>
          <w:sz w:val="16"/>
          <w:szCs w:val="16"/>
        </w:rPr>
        <w:t xml:space="preserve">Enforcement Guideline - Water Market and Water Charge Rules, </w:t>
      </w:r>
      <w:r w:rsidRPr="00310970">
        <w:rPr>
          <w:rFonts w:cs="Times New Roman"/>
          <w:sz w:val="16"/>
          <w:szCs w:val="16"/>
        </w:rPr>
        <w:t xml:space="preserve">Canberra, April 2011, viewed October 2015, </w:t>
      </w:r>
      <w:hyperlink r:id="rId15" w:history="1">
        <w:r w:rsidRPr="00310970">
          <w:rPr>
            <w:rStyle w:val="Hyperlink"/>
            <w:rFonts w:cs="Times New Roman"/>
            <w:sz w:val="16"/>
            <w:szCs w:val="16"/>
          </w:rPr>
          <w:t>https://www.accc.gov.au/system/files/ACCC%20enforcement%20guide%20to%20water%20rules.pdf</w:t>
        </w:r>
      </w:hyperlink>
      <w:r w:rsidRPr="00310970">
        <w:rPr>
          <w:rFonts w:cs="Times New Roman"/>
          <w:sz w:val="16"/>
          <w:szCs w:val="16"/>
        </w:rPr>
        <w:t>.</w:t>
      </w:r>
    </w:p>
  </w:footnote>
  <w:footnote w:id="75">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Report of the Independent Review of the Water Act 2007</w:t>
      </w:r>
      <w:r w:rsidRPr="00310970">
        <w:rPr>
          <w:rFonts w:cs="Times New Roman"/>
          <w:sz w:val="16"/>
          <w:szCs w:val="16"/>
        </w:rPr>
        <w:t>, Conclusion 8.1.</w:t>
      </w:r>
    </w:p>
  </w:footnote>
  <w:footnote w:id="76">
    <w:p w:rsidR="00C06B07" w:rsidRPr="00310970" w:rsidRDefault="00C06B07" w:rsidP="00344A4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Report of the Independent Review of the Water Act 2007</w:t>
      </w:r>
      <w:r w:rsidRPr="00310970">
        <w:rPr>
          <w:rFonts w:cs="Times New Roman"/>
          <w:sz w:val="16"/>
          <w:szCs w:val="16"/>
        </w:rPr>
        <w:t xml:space="preserve">, Recommendation 19 proposed that regulations prescribe (specific) types of enforceable undertakings, in consultation with stakeholders. The Australian Government agreed with this recommendation in its response to the Review, see: Department of Agriculture and Water Resources, </w:t>
      </w:r>
      <w:r w:rsidRPr="00310970">
        <w:rPr>
          <w:rFonts w:cs="Times New Roman"/>
          <w:i/>
          <w:sz w:val="16"/>
          <w:szCs w:val="16"/>
        </w:rPr>
        <w:t>Report of the Independent Review of the Water Act 2007 Australian Government Response,</w:t>
      </w:r>
      <w:r w:rsidRPr="00310970">
        <w:rPr>
          <w:rFonts w:cs="Times New Roman"/>
          <w:sz w:val="16"/>
          <w:szCs w:val="16"/>
        </w:rPr>
        <w:t xml:space="preserve"> Canberra, 2015, p.12.</w:t>
      </w:r>
    </w:p>
  </w:footnote>
  <w:footnote w:id="77">
    <w:p w:rsidR="00C06B07" w:rsidRPr="00310970" w:rsidRDefault="00C06B07" w:rsidP="0067096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Report of the Independent Review of the Water Act 2007</w:t>
      </w:r>
      <w:r w:rsidRPr="00310970">
        <w:rPr>
          <w:rFonts w:cs="Times New Roman"/>
          <w:sz w:val="16"/>
          <w:szCs w:val="16"/>
        </w:rPr>
        <w:t>, Conclusion 7.2.</w:t>
      </w:r>
    </w:p>
  </w:footnote>
  <w:footnote w:id="78">
    <w:p w:rsidR="00C06B07" w:rsidRPr="00310970" w:rsidRDefault="00C06B07" w:rsidP="0067096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Report of the Independent Review of the Water Act 2007</w:t>
      </w:r>
      <w:r w:rsidRPr="00310970">
        <w:rPr>
          <w:rFonts w:cs="Times New Roman"/>
          <w:sz w:val="16"/>
          <w:szCs w:val="16"/>
        </w:rPr>
        <w:t xml:space="preserve">, Recommendation 18. See also: ‘Interagency Working Group on Review of Water Information Reporting Burdens’, viewed November 2015, </w:t>
      </w:r>
      <w:hyperlink r:id="rId16" w:history="1">
        <w:r w:rsidRPr="00310970">
          <w:rPr>
            <w:rStyle w:val="Hyperlink"/>
            <w:rFonts w:cs="Times New Roman"/>
            <w:sz w:val="16"/>
            <w:szCs w:val="16"/>
          </w:rPr>
          <w:t>https://www.environment.gov.au/system/files/pages/117d6268-6372-42dc-9ed5-e3f5be5dfa15/files/review-water-information-reporting-18-tor.pdf</w:t>
        </w:r>
      </w:hyperlink>
      <w:r w:rsidRPr="00310970">
        <w:rPr>
          <w:rFonts w:cs="Times New Roman"/>
          <w:sz w:val="16"/>
          <w:szCs w:val="16"/>
        </w:rPr>
        <w:t xml:space="preserve">. </w:t>
      </w:r>
    </w:p>
  </w:footnote>
  <w:footnote w:id="79">
    <w:p w:rsidR="00C06B07" w:rsidRPr="00310970" w:rsidRDefault="00C06B07" w:rsidP="00492DC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4.5 of ACCC, </w:t>
      </w:r>
      <w:r w:rsidRPr="00310970">
        <w:rPr>
          <w:rFonts w:cs="Times New Roman"/>
          <w:i/>
          <w:sz w:val="16"/>
          <w:szCs w:val="16"/>
        </w:rPr>
        <w:t>Water Charge Rules Review Draft Advice</w:t>
      </w:r>
      <w:r w:rsidRPr="00310970">
        <w:rPr>
          <w:rFonts w:cs="Times New Roman"/>
          <w:sz w:val="16"/>
          <w:szCs w:val="16"/>
        </w:rPr>
        <w:t>, Canberra, November 2015, pp.49-50.</w:t>
      </w:r>
    </w:p>
  </w:footnote>
  <w:footnote w:id="80">
    <w:p w:rsidR="00C06B07" w:rsidRPr="00310970" w:rsidRDefault="00C06B07" w:rsidP="008E5FA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p.7.</w:t>
      </w:r>
    </w:p>
  </w:footnote>
  <w:footnote w:id="81">
    <w:p w:rsidR="00C06B07" w:rsidRPr="00310970" w:rsidRDefault="00C06B07" w:rsidP="008E5FA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p.6.</w:t>
      </w:r>
    </w:p>
  </w:footnote>
  <w:footnote w:id="8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Department of Prime Minister and Cabinet, </w:t>
      </w:r>
      <w:r w:rsidRPr="00310970">
        <w:rPr>
          <w:rFonts w:cs="Times New Roman"/>
          <w:i/>
          <w:sz w:val="16"/>
          <w:szCs w:val="16"/>
        </w:rPr>
        <w:t xml:space="preserve">The Australian Government Guide to Regulation, </w:t>
      </w:r>
      <w:r w:rsidRPr="00310970">
        <w:rPr>
          <w:rFonts w:cs="Times New Roman"/>
          <w:sz w:val="16"/>
          <w:szCs w:val="16"/>
        </w:rPr>
        <w:t xml:space="preserve">Canberra, 2014, viewed June 2016, </w:t>
      </w:r>
      <w:hyperlink r:id="rId17" w:history="1">
        <w:r w:rsidRPr="00310970">
          <w:rPr>
            <w:rStyle w:val="Hyperlink"/>
            <w:rFonts w:cs="Times New Roman"/>
            <w:sz w:val="16"/>
            <w:szCs w:val="16"/>
          </w:rPr>
          <w:t>https://www.cuttingredtape.gov.au/handbook/australian-government-guide-regulation</w:t>
        </w:r>
      </w:hyperlink>
      <w:r w:rsidRPr="00310970">
        <w:rPr>
          <w:rStyle w:val="Hyperlink"/>
          <w:rFonts w:cs="Times New Roman"/>
          <w:sz w:val="16"/>
          <w:szCs w:val="16"/>
        </w:rPr>
        <w:t>.</w:t>
      </w:r>
      <w:r w:rsidRPr="00310970">
        <w:rPr>
          <w:rFonts w:cs="Times New Roman"/>
          <w:sz w:val="16"/>
          <w:szCs w:val="16"/>
        </w:rPr>
        <w:t xml:space="preserve"> </w:t>
      </w:r>
    </w:p>
  </w:footnote>
  <w:footnote w:id="83">
    <w:p w:rsidR="00C06B07" w:rsidRPr="00310970" w:rsidRDefault="00C06B07" w:rsidP="00E91CF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Water Act 2007 (Cth)</w:t>
      </w:r>
      <w:r w:rsidRPr="00310970">
        <w:rPr>
          <w:rFonts w:cs="Times New Roman"/>
          <w:sz w:val="16"/>
          <w:szCs w:val="16"/>
        </w:rPr>
        <w:t>, section 93.</w:t>
      </w:r>
    </w:p>
  </w:footnote>
  <w:footnote w:id="84">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4.6 of ACCC, </w:t>
      </w:r>
      <w:r w:rsidRPr="00310970">
        <w:rPr>
          <w:rFonts w:cs="Times New Roman"/>
          <w:i/>
          <w:sz w:val="16"/>
          <w:szCs w:val="16"/>
        </w:rPr>
        <w:t>Water Charge Rules Review Draft Advice</w:t>
      </w:r>
      <w:r w:rsidRPr="00310970">
        <w:rPr>
          <w:rFonts w:cs="Times New Roman"/>
          <w:sz w:val="16"/>
          <w:szCs w:val="16"/>
        </w:rPr>
        <w:t>, Canberra, November 2015, p.52.</w:t>
      </w:r>
    </w:p>
  </w:footnote>
  <w:footnote w:id="85">
    <w:p w:rsidR="00C06B07" w:rsidRPr="00310970" w:rsidRDefault="00C06B07" w:rsidP="00861A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section 93 of the </w:t>
      </w:r>
      <w:r w:rsidRPr="00310970">
        <w:rPr>
          <w:rFonts w:cs="Times New Roman"/>
          <w:i/>
          <w:sz w:val="16"/>
          <w:szCs w:val="16"/>
        </w:rPr>
        <w:t>Water Act 2007</w:t>
      </w:r>
      <w:r w:rsidRPr="00310970">
        <w:rPr>
          <w:rFonts w:cs="Times New Roman"/>
          <w:sz w:val="16"/>
          <w:szCs w:val="16"/>
        </w:rPr>
        <w:t xml:space="preserve"> (Cth). </w:t>
      </w:r>
    </w:p>
  </w:footnote>
  <w:footnote w:id="86">
    <w:p w:rsidR="00C06B07" w:rsidRPr="00310970" w:rsidRDefault="00C06B07" w:rsidP="00861A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regulation 4.02 of the Water Regulations 2008. </w:t>
      </w:r>
    </w:p>
  </w:footnote>
  <w:footnote w:id="87">
    <w:p w:rsidR="00C06B07" w:rsidRPr="00310970" w:rsidRDefault="00C06B07" w:rsidP="00861A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regulation 4.03 and regulation 4.06 of the Water Regulations 2008. </w:t>
      </w:r>
    </w:p>
  </w:footnote>
  <w:footnote w:id="88">
    <w:p w:rsidR="00C06B07" w:rsidRPr="00310970" w:rsidRDefault="00C06B07" w:rsidP="00861A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regulation 4.07 of the Water Regulations 2008.</w:t>
      </w:r>
    </w:p>
  </w:footnote>
  <w:footnote w:id="89">
    <w:p w:rsidR="00C06B07" w:rsidRPr="00310970" w:rsidRDefault="00C06B07" w:rsidP="00861A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regulation 4.08 of the Water Regulations 2008.</w:t>
      </w:r>
    </w:p>
  </w:footnote>
  <w:footnote w:id="90">
    <w:p w:rsidR="00C06B07" w:rsidRPr="00310970" w:rsidRDefault="00C06B07" w:rsidP="00861A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regulation 4.04 of the Water Regulations 2008.</w:t>
      </w:r>
    </w:p>
  </w:footnote>
  <w:footnote w:id="91">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proposed Water Charge Rules also contain transitional provisions for any Schedules of Charges given to customers in accordance with rules 11, 12 or 13 of the existing Water Charge (Infrastructure) Rules 2010 (see Part 11 of the proposed Water Charge Rules). </w:t>
      </w:r>
    </w:p>
  </w:footnote>
  <w:footnote w:id="9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 infrastructure charges should be distinguished from commodity input prices paid by agricultural businesses, such as prices for fertiliser, seed, feed and other inputs for agricultural business. </w:t>
      </w:r>
    </w:p>
  </w:footnote>
  <w:footnote w:id="93">
    <w:p w:rsidR="00C06B07" w:rsidRPr="00310970" w:rsidRDefault="00C06B07" w:rsidP="00285B2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Queensland Government is currently implementing local management arrangements under which SunWater will transfer ownership and operation of eight irrigation areas to a corporate entity run by local irrigators. The new entities are likely to meet the definition of irrigation infrastructure operator under the </w:t>
      </w:r>
      <w:r w:rsidRPr="00310970">
        <w:rPr>
          <w:rFonts w:cs="Times New Roman"/>
          <w:i/>
          <w:sz w:val="16"/>
          <w:szCs w:val="16"/>
        </w:rPr>
        <w:t>Water Act 2007</w:t>
      </w:r>
      <w:r w:rsidRPr="00310970">
        <w:rPr>
          <w:rFonts w:cs="Times New Roman"/>
          <w:sz w:val="16"/>
          <w:szCs w:val="16"/>
        </w:rPr>
        <w:t xml:space="preserve"> and, where they operate within the Murray-Darling Basin, such as the St George irrigation scheme, will be subject to regulation under the water charge rules.</w:t>
      </w:r>
    </w:p>
  </w:footnote>
  <w:footnote w:id="94">
    <w:p w:rsidR="00C06B07" w:rsidRPr="00310970" w:rsidRDefault="00C06B07" w:rsidP="008F777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rule 6</w:t>
      </w:r>
    </w:p>
  </w:footnote>
  <w:footnote w:id="95">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5.2 of ACCC, </w:t>
      </w:r>
      <w:r w:rsidRPr="00310970">
        <w:rPr>
          <w:rFonts w:cs="Times New Roman"/>
          <w:i/>
          <w:sz w:val="16"/>
          <w:szCs w:val="16"/>
        </w:rPr>
        <w:t>Water Charge Rules Review Draft Advice</w:t>
      </w:r>
      <w:r w:rsidRPr="00310970">
        <w:rPr>
          <w:rFonts w:cs="Times New Roman"/>
          <w:sz w:val="16"/>
          <w:szCs w:val="16"/>
        </w:rPr>
        <w:t>, Canberra, November 2015,  pp.56-57.</w:t>
      </w:r>
    </w:p>
  </w:footnote>
  <w:footnote w:id="96">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p.2.</w:t>
      </w:r>
    </w:p>
  </w:footnote>
  <w:footnote w:id="97">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p.2.</w:t>
      </w:r>
    </w:p>
  </w:footnote>
  <w:footnote w:id="98">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p.2.</w:t>
      </w:r>
    </w:p>
  </w:footnote>
  <w:footnote w:id="99">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Draft Advice Submission, March 2016, p.5.</w:t>
      </w:r>
    </w:p>
  </w:footnote>
  <w:footnote w:id="100">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p.2.</w:t>
      </w:r>
    </w:p>
  </w:footnote>
  <w:footnote w:id="101">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LMW notes that under the existing tiered approach, it does not meet the volumetric criteria for Tier 2 or Tier 3. This is based on LMW’s assertion that the 300 GL of water extracted by private diverters from Nyah to the South Australian border, which it manages under delegated powers, should not be included in the assessment of the volume of water LMW manages. LMW argues that this water should not be included because the private diverters own and operate their own infrastructure. </w:t>
      </w:r>
    </w:p>
  </w:footnote>
  <w:footnote w:id="102">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NIC argues that smaller operators do not benefit from some offsets in regulatory costs as a result of the repeal of the Network Service Plan requirements. </w:t>
      </w:r>
    </w:p>
  </w:footnote>
  <w:footnote w:id="103">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NIC considers that this is the case in relation to proposed, or amendments to existing, rules: 10, 9A, 72, 74, 45, 45A, 45B, 45C, 46.</w:t>
      </w:r>
    </w:p>
    <w:p w:rsidR="00C06B07" w:rsidRPr="00310970" w:rsidRDefault="00C06B07" w:rsidP="006D11D6">
      <w:pPr>
        <w:pStyle w:val="FootnoteText"/>
        <w:rPr>
          <w:rFonts w:cs="Times New Roman"/>
          <w:sz w:val="16"/>
          <w:szCs w:val="16"/>
        </w:rPr>
      </w:pPr>
      <w:r w:rsidRPr="00310970">
        <w:rPr>
          <w:rFonts w:cs="Times New Roman"/>
          <w:sz w:val="16"/>
          <w:szCs w:val="16"/>
        </w:rPr>
        <w:t>National Irrigators’ Council, Draft Advice Submission, March 2016, pp.6-7.</w:t>
      </w:r>
    </w:p>
  </w:footnote>
  <w:footnote w:id="104">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pp.7,17. The NIC refers in particular to the ACCC’s views on pages 57, 58 and 187 of the Draft Advice about member-owned operators and their use of market power.</w:t>
      </w:r>
    </w:p>
  </w:footnote>
  <w:footnote w:id="105">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comment was echoed by Western Murray Irrigation who added that the additional proposed regulations will increase both costs and complexity. Western Murray Irrigation noted that this is inconsistent with the terms of reference for the review and the water charge rules. </w:t>
      </w:r>
    </w:p>
    <w:p w:rsidR="00C06B07" w:rsidRPr="00310970" w:rsidRDefault="00C06B07" w:rsidP="006D11D6">
      <w:pPr>
        <w:pStyle w:val="FootnoteText"/>
        <w:rPr>
          <w:rFonts w:cs="Times New Roman"/>
          <w:sz w:val="16"/>
          <w:szCs w:val="16"/>
        </w:rPr>
      </w:pPr>
      <w:r w:rsidRPr="00310970">
        <w:rPr>
          <w:rFonts w:cs="Times New Roman"/>
          <w:sz w:val="16"/>
          <w:szCs w:val="16"/>
        </w:rPr>
        <w:t>National Irrigators’ Council, Draft Advice Submission, March 2016, p.8; Western Murray Irrigation, Draft Advice Submission, March 2016, p.1.</w:t>
      </w:r>
    </w:p>
  </w:footnote>
  <w:footnote w:id="106">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p.7.</w:t>
      </w:r>
    </w:p>
  </w:footnote>
  <w:footnote w:id="107">
    <w:p w:rsidR="00C06B07" w:rsidRPr="00310970" w:rsidRDefault="00C06B07" w:rsidP="00D91A1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p.8.</w:t>
      </w:r>
    </w:p>
  </w:footnote>
  <w:footnote w:id="108">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Specifically, Western Murray Irrigation noted that its charges only recover the “long-term costs of doing business”.</w:t>
      </w:r>
    </w:p>
  </w:footnote>
  <w:footnote w:id="109">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p.3.</w:t>
      </w:r>
    </w:p>
  </w:footnote>
  <w:footnote w:id="110">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Tom Loffler, Draft Advice Submission, March 2016, p.1.</w:t>
      </w:r>
    </w:p>
  </w:footnote>
  <w:footnote w:id="111">
    <w:p w:rsidR="00C06B07" w:rsidRPr="00310970" w:rsidRDefault="00C06B07" w:rsidP="006D11D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Farmers’ Federation, Draft Advice Submission, March 2016, pp.3-4.</w:t>
      </w:r>
    </w:p>
  </w:footnote>
  <w:footnote w:id="11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report is available on the ACCC’s website.</w:t>
      </w:r>
    </w:p>
  </w:footnote>
  <w:footnote w:id="113">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As explained further below, the current non-discrimination rule prevents a member-owned operator </w:t>
      </w:r>
      <w:r w:rsidRPr="00310970">
        <w:rPr>
          <w:rFonts w:eastAsia="Arial" w:cs="Times New Roman"/>
          <w:sz w:val="16"/>
          <w:szCs w:val="16"/>
        </w:rPr>
        <w:t>from levying a different infrastructure charge to a customer based on whether or not that customer holds an irrigation right against the operator, unless differences in charges reflect underlying differences in the cost of providing an infrastructure service to a customer who holds an irrigation right compared to one who does not.</w:t>
      </w:r>
    </w:p>
  </w:footnote>
  <w:footnote w:id="11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infrastructure charge rules – Advice to the Minister for Climate Change and Water</w:t>
      </w:r>
      <w:r w:rsidRPr="00310970">
        <w:rPr>
          <w:rFonts w:cs="Times New Roman"/>
          <w:sz w:val="16"/>
          <w:szCs w:val="16"/>
        </w:rPr>
        <w:t xml:space="preserve">, Canberra, June 2009, p.54. </w:t>
      </w:r>
    </w:p>
  </w:footnote>
  <w:footnote w:id="11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p.55. Note: transformation of irrigation rights is dealt with in the Water Market Rules 2009. </w:t>
      </w:r>
    </w:p>
  </w:footnote>
  <w:footnote w:id="11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p.54. </w:t>
      </w:r>
    </w:p>
  </w:footnote>
  <w:footnote w:id="11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p.28.</w:t>
      </w:r>
    </w:p>
  </w:footnote>
  <w:footnote w:id="11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ACCC, </w:t>
      </w:r>
      <w:r w:rsidRPr="00310970">
        <w:rPr>
          <w:rFonts w:cs="Times New Roman"/>
          <w:i/>
          <w:sz w:val="16"/>
          <w:szCs w:val="16"/>
        </w:rPr>
        <w:t>Water Charge Rules Review Draft Advice</w:t>
      </w:r>
      <w:r w:rsidRPr="00310970">
        <w:rPr>
          <w:rFonts w:cs="Times New Roman"/>
          <w:sz w:val="16"/>
          <w:szCs w:val="16"/>
        </w:rPr>
        <w:t>, Canberra, November 2015, pp.62-65 for the ACCC’s rationales for each of these proposed grounds.</w:t>
      </w:r>
    </w:p>
  </w:footnote>
  <w:footnote w:id="11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rule advice 5-D, while forming part of the proposed non-discrimination provisions, is discussed separately in section 5.3.2.</w:t>
      </w:r>
    </w:p>
  </w:footnote>
  <w:footnote w:id="12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5.3 of ACCC, </w:t>
      </w:r>
      <w:r w:rsidRPr="00310970">
        <w:rPr>
          <w:rFonts w:cs="Times New Roman"/>
          <w:i/>
          <w:sz w:val="16"/>
          <w:szCs w:val="16"/>
        </w:rPr>
        <w:t>Water Charge Rules Review Draft Advice</w:t>
      </w:r>
      <w:r w:rsidRPr="00310970">
        <w:rPr>
          <w:rFonts w:cs="Times New Roman"/>
          <w:sz w:val="16"/>
          <w:szCs w:val="16"/>
        </w:rPr>
        <w:t>, Canberra, November 2015, pp.60-62.</w:t>
      </w:r>
    </w:p>
  </w:footnote>
  <w:footnote w:id="121">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Issues Paper Submission, July 2015, p.3.</w:t>
      </w:r>
    </w:p>
  </w:footnote>
  <w:footnote w:id="12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p.2.</w:t>
      </w:r>
    </w:p>
  </w:footnote>
  <w:footnote w:id="12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p.7.</w:t>
      </w:r>
    </w:p>
  </w:footnote>
  <w:footnote w:id="12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Draft Advice Submission, March 2016, p.5.</w:t>
      </w:r>
    </w:p>
  </w:footnote>
  <w:footnote w:id="12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p.1.</w:t>
      </w:r>
    </w:p>
  </w:footnote>
  <w:footnote w:id="12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Draft Advice Submission, March 2016, p.3.</w:t>
      </w:r>
    </w:p>
  </w:footnote>
  <w:footnote w:id="12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Murray-Darling Basin Authority, Draft Advice Submission, March 2016, p.2.</w:t>
      </w:r>
    </w:p>
  </w:footnote>
  <w:footnote w:id="12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pp.2-3.</w:t>
      </w:r>
    </w:p>
  </w:footnote>
  <w:footnote w:id="12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 Zuo, S Wheeler and A Loch, </w:t>
      </w:r>
      <w:r w:rsidRPr="00310970">
        <w:rPr>
          <w:rFonts w:cs="Times New Roman"/>
          <w:i/>
          <w:sz w:val="16"/>
          <w:szCs w:val="16"/>
        </w:rPr>
        <w:t>Short survey of southern Murray-Darling Basin irrigators’ views on the review of the water charge rules – Final Report</w:t>
      </w:r>
      <w:r w:rsidRPr="00310970">
        <w:rPr>
          <w:rFonts w:cs="Times New Roman"/>
          <w:sz w:val="16"/>
          <w:szCs w:val="16"/>
        </w:rPr>
        <w:t>, University of Adelaide report to client prepared for the ACCC, Adelaide, May 2016,  p. 4.</w:t>
      </w:r>
    </w:p>
  </w:footnote>
  <w:footnote w:id="13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also section 5.2, which discusses the NIC’s arguments that the ACCC is proposing increased regulation on member-owned operators despite certain results from the ABARES irrigator survey, conclusions from the Marsden Jacob Associates report in relation to member-owned operators (quoted on pp.57- 58 of the Draft Advice) and the ACCC’s assessment (stated on p.187 of the Draft Advice),that “[t]he ACCC has not found evidence that the general price level of operators are being set to achieve monopolistic profits at the expense of irrigators”. National Irrigators’ Council, Draft Advice Submission, March 2016, pp.7-8.</w:t>
      </w:r>
    </w:p>
  </w:footnote>
  <w:footnote w:id="13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pp.5,9,17.</w:t>
      </w:r>
    </w:p>
  </w:footnote>
  <w:footnote w:id="13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p.3.</w:t>
      </w:r>
    </w:p>
  </w:footnote>
  <w:footnote w:id="13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To support this observation, SunWater referred to:</w:t>
      </w:r>
    </w:p>
    <w:p w:rsidR="00C06B07" w:rsidRPr="00310970" w:rsidRDefault="00C06B07" w:rsidP="007F3874">
      <w:pPr>
        <w:pStyle w:val="FNBullet"/>
      </w:pPr>
      <w:r w:rsidRPr="00310970">
        <w:t>the 2006 COAG Competition and Infrastructure Reform Agreement, which allowed for price discrimination and multi-part pricing “where it aids efficiency”.</w:t>
      </w:r>
    </w:p>
    <w:p w:rsidR="00C06B07" w:rsidRPr="00310970" w:rsidRDefault="00C06B07" w:rsidP="007F3874">
      <w:pPr>
        <w:pStyle w:val="FNBullet"/>
      </w:pPr>
      <w:r w:rsidRPr="00310970">
        <w:t xml:space="preserve">the Harper Review recommendation that price discrimination prohibitions should not be re-introduced into the </w:t>
      </w:r>
      <w:r w:rsidRPr="00310970">
        <w:rPr>
          <w:i/>
        </w:rPr>
        <w:t>Competition and Consumer Act 2010</w:t>
      </w:r>
      <w:r w:rsidRPr="00310970">
        <w:t>.</w:t>
      </w:r>
    </w:p>
    <w:p w:rsidR="00C06B07" w:rsidRPr="00310970" w:rsidRDefault="00C06B07" w:rsidP="00844E39">
      <w:pPr>
        <w:pStyle w:val="FootnoteText"/>
        <w:rPr>
          <w:rFonts w:cs="Times New Roman"/>
          <w:sz w:val="16"/>
          <w:szCs w:val="16"/>
        </w:rPr>
      </w:pPr>
      <w:r w:rsidRPr="00310970">
        <w:rPr>
          <w:rFonts w:cs="Times New Roman"/>
          <w:sz w:val="16"/>
          <w:szCs w:val="16"/>
        </w:rPr>
        <w:t>SunWater, Draft Advice Submission, March 2016, p.2.</w:t>
      </w:r>
    </w:p>
  </w:footnote>
  <w:footnote w:id="13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p.2; Waterfind, Draft Advice Submission, March 2016, p.3; Local Government Association of Queensland, Draft Advice Submission, March 2016, p.7; Goulburn-Murray Water, Draft Advice Submission, March 2016, p.2.</w:t>
      </w:r>
    </w:p>
  </w:footnote>
  <w:footnote w:id="13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pp.2-3; IPART, Draft Advice Submission, March 2016, p.1.</w:t>
      </w:r>
    </w:p>
  </w:footnote>
  <w:footnote w:id="13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Draft Advice Submission, March 2016, p.6.</w:t>
      </w:r>
    </w:p>
  </w:footnote>
  <w:footnote w:id="13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Farmers’ Federation, Draft Advice Submission, March 2016, p.1.</w:t>
      </w:r>
    </w:p>
  </w:footnote>
  <w:footnote w:id="13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p.9.</w:t>
      </w:r>
    </w:p>
  </w:footnote>
  <w:footnote w:id="13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p.9.</w:t>
      </w:r>
    </w:p>
  </w:footnote>
  <w:footnote w:id="14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Farmers’ Federation, Draft Advice Submission, March 2016, pp.1-2.</w:t>
      </w:r>
    </w:p>
  </w:footnote>
  <w:footnote w:id="14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p.3.</w:t>
      </w:r>
    </w:p>
  </w:footnote>
  <w:footnote w:id="14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Draft Advice Submission, March 2016, pp.5-6.</w:t>
      </w:r>
    </w:p>
  </w:footnote>
  <w:footnote w:id="14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Patrick Connolly, Draft Advice Submission</w:t>
      </w:r>
      <w:r>
        <w:rPr>
          <w:rFonts w:cs="Times New Roman"/>
          <w:sz w:val="16"/>
          <w:szCs w:val="16"/>
        </w:rPr>
        <w:t xml:space="preserve"> 1</w:t>
      </w:r>
      <w:r w:rsidRPr="00310970">
        <w:rPr>
          <w:rFonts w:cs="Times New Roman"/>
          <w:sz w:val="16"/>
          <w:szCs w:val="16"/>
        </w:rPr>
        <w:t>, February 2016, p.1.</w:t>
      </w:r>
    </w:p>
  </w:footnote>
  <w:footnote w:id="14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Pr>
          <w:rFonts w:cs="Times New Roman"/>
          <w:sz w:val="16"/>
          <w:szCs w:val="16"/>
        </w:rPr>
        <w:t>OEH</w:t>
      </w:r>
      <w:r w:rsidRPr="00310970">
        <w:rPr>
          <w:rFonts w:cs="Times New Roman"/>
          <w:sz w:val="16"/>
          <w:szCs w:val="16"/>
        </w:rPr>
        <w:t xml:space="preserve"> also noted that it does not receive any reimbursements from the NSW Department of Primary Industries. </w:t>
      </w:r>
      <w:r>
        <w:rPr>
          <w:rFonts w:cs="Times New Roman"/>
          <w:sz w:val="16"/>
          <w:szCs w:val="16"/>
        </w:rPr>
        <w:t>OEH</w:t>
      </w:r>
      <w:r w:rsidRPr="00310970">
        <w:rPr>
          <w:rFonts w:cs="Times New Roman"/>
          <w:sz w:val="16"/>
          <w:szCs w:val="16"/>
        </w:rPr>
        <w:t xml:space="preserve"> noted that the portion of planning and management charges that it pays benefits consumptive water users because it contributes to the costs associated with mitigating the environmental impacts of consumptive water use. NSW Office of Environment and Heritage, Draft Advice Submission, March 2016, p.1; Commonwealth Environmental Water Holder, Draft Advice Submission, March 2016, p.1.</w:t>
      </w:r>
    </w:p>
  </w:footnote>
  <w:footnote w:id="14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Environmental Water Holder, Draft Advice Submission, March 2016, p.1. The VEWH submitted that these points can be clarified within the context of the figure on page 32 of the Draft Advice, which the VEWH argue</w:t>
      </w:r>
      <w:r>
        <w:rPr>
          <w:rFonts w:cs="Times New Roman"/>
          <w:sz w:val="16"/>
          <w:szCs w:val="16"/>
        </w:rPr>
        <w:t>d</w:t>
      </w:r>
      <w:r w:rsidRPr="00310970">
        <w:rPr>
          <w:rFonts w:cs="Times New Roman"/>
          <w:sz w:val="16"/>
          <w:szCs w:val="16"/>
        </w:rPr>
        <w:t xml:space="preserve"> is “potentially misleading” as to whether environmental water holders do pay off-river infrastructure charges. In response, the ACCC has updated the relevant figure</w:t>
      </w:r>
      <w:r>
        <w:rPr>
          <w:rFonts w:cs="Times New Roman"/>
          <w:sz w:val="16"/>
          <w:szCs w:val="16"/>
        </w:rPr>
        <w:t xml:space="preserve"> (figure 2.3)</w:t>
      </w:r>
      <w:r w:rsidRPr="00310970">
        <w:rPr>
          <w:rFonts w:cs="Times New Roman"/>
          <w:sz w:val="16"/>
          <w:szCs w:val="16"/>
        </w:rPr>
        <w:t>. Similarly, the VEWH responded to a statement made in a submission to the Issues Paper, an excerpt of which was provided in the Draft Advice, that “environmental flows are prioritised” and “environmental flows are not paid for and [the environmental water holder] does not have to pay storage costs or per megalitre”. The VEWH commented that “[t]his is also incorrect. Water delivered for environmental water holders sometimes receives lower priority than other water users, and environmental water holders do pay headworks and delivery charges. As mentioned above, environmental water holders (including VEWH) paid around $12.1 million in infrastructure charges in Victoria in 2014-15.” The ACCC notes in relation to this stakeholder feedback, that some stakeholders did not appear to distinguish between ‘planned environmental water’ (also known as ‘rules-based water’) and ‘held environmental water’. ‘Planned environmental water’ is defined in section 6 of the Act and is water that is committed by relevant water laws, plans or other instruments to achieving environmental outcomes and other environmental purposes, and which cannot be used for any other purpose (see section 6 of the Act for the complete definition). In contrast, ‘held environmental water’ is defined under the Act as water available under (a) a water access right; (b) a water delivery right; or (c) an irrigation right; for the purposes of achieving environmental outcomes. Held environmental water retains the same characteristics as tradeable water rights used for consumptive uses. Stakeholder perceptions about preferential treatment for environmental water may not take the different types of environmental water into account.</w:t>
      </w:r>
    </w:p>
  </w:footnote>
  <w:footnote w:id="14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Environmental Water Holder, Draft Advice Submission, March 2016, p.1.</w:t>
      </w:r>
    </w:p>
  </w:footnote>
  <w:footnote w:id="14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pp.2,4.</w:t>
      </w:r>
    </w:p>
  </w:footnote>
  <w:footnote w:id="14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w:t>
      </w:r>
    </w:p>
  </w:footnote>
  <w:footnote w:id="14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p.4.</w:t>
      </w:r>
    </w:p>
  </w:footnote>
  <w:footnote w:id="15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Draft Advice Submission, March 2016, p.6.QTDEWS explained ‘lower bound target’ and ‘upper bound targe’ as follows: “The initial cost recovery target was set to the very minimum level of cost recovery for a water business to be viable. In essence, these are the ongoing cash costs of supply (lower bound costs). This is in contrast to an ‘upper bound’ pricing level which would include a rate of return on the existing asset base.”</w:t>
      </w:r>
    </w:p>
  </w:footnote>
  <w:footnote w:id="15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pp.5-7.</w:t>
      </w:r>
    </w:p>
  </w:footnote>
  <w:footnote w:id="15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p.7.</w:t>
      </w:r>
    </w:p>
  </w:footnote>
  <w:footnote w:id="15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noted that the exemption could be supported with greater transparency about government subsidies and CSOs via further amendments to the information to be included on a Schedule of Charges. See section 5.4.1. SunWater, Draft Advice Submission, March 2016, pp.4-5; QTDEWS, Draft Advice Submission, March 2016, pp.6-7, 10.</w:t>
      </w:r>
    </w:p>
  </w:footnote>
  <w:footnote w:id="15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More generally, QTDEWS submitted that the non-discrimination provisions seek to address discrimination where the outcome can result in the inefficient allocation of resources, and water not being traded to its highest value use e.g. discrimination towards non-members or environmental water holders. QTDEWS submitted that these examples of price discrimination are not prevalent in the Queensland Murray-Darling Basin. QTDEWS, Draft Advice Submission, March 2016, pp.5, 7; SunWater, Draft Advice Submission, March 2016, pp.2,5.</w:t>
      </w:r>
    </w:p>
  </w:footnote>
  <w:footnote w:id="15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commented generally on the impact that all the proposed amendments, particularly in relation to non-discrimination and Part 6, may have on Queensland stakeholders. QTDEWS was concerned about the extent to which state specific policies and circumstances have been taken into consideration. These issues are discussed in section 4.2. QTDEWS, Draft Advice Submission, March 2016, p.5.</w:t>
      </w:r>
    </w:p>
  </w:footnote>
  <w:footnote w:id="15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p.6.</w:t>
      </w:r>
    </w:p>
  </w:footnote>
  <w:footnote w:id="15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p.5.</w:t>
      </w:r>
    </w:p>
  </w:footnote>
  <w:footnote w:id="15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p.5; QTDEWS, Draft Advice Submission, March 2016, p.7.</w:t>
      </w:r>
    </w:p>
  </w:footnote>
  <w:footnote w:id="15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Draft Advice Submission, March 2016, pp.5-6.</w:t>
      </w:r>
    </w:p>
  </w:footnote>
  <w:footnote w:id="16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p.4.</w:t>
      </w:r>
    </w:p>
    <w:p w:rsidR="00C06B07" w:rsidRPr="00310970" w:rsidRDefault="00C06B07" w:rsidP="00844E39">
      <w:pPr>
        <w:pStyle w:val="FootnoteText"/>
        <w:rPr>
          <w:rFonts w:cs="Times New Roman"/>
          <w:sz w:val="16"/>
          <w:szCs w:val="16"/>
        </w:rPr>
      </w:pPr>
      <w:r w:rsidRPr="00310970">
        <w:rPr>
          <w:rFonts w:cs="Times New Roman"/>
          <w:sz w:val="16"/>
          <w:szCs w:val="16"/>
        </w:rPr>
        <w:t>The Local Government Association of Queensland (LGAQ) also commented on the cost allocation methodology that the Queensland Competition Authority adopted in recommending SunWater’s irrigation charges. The LGAQ has concerns about the approach, which allocates a greater proportion of costs to high priority licence holders, which are typically councils and non-irrigation customers, in the absence of the Queensland Competition Authority being able to consider the regulatory asset base and the impact of the recommendation on urban water customers. The LGAQ considers that the approach “is inherently tied to the valuation of storage assets, the Regulatory Asset Base, rather than the real or reasonably estimated costs to provide the difference classes of service”. LGAQ, Draft Advice Submission, March 2016, p.7.</w:t>
      </w:r>
    </w:p>
  </w:footnote>
  <w:footnote w:id="16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Draft Advice Submission, March 2016, p.7.</w:t>
      </w:r>
    </w:p>
  </w:footnote>
  <w:footnote w:id="16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referred to the ACCC’s Draft Advice in making this argument. </w:t>
      </w:r>
    </w:p>
  </w:footnote>
  <w:footnote w:id="16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Farmers’ Federation, Draft Advice Submission, March 2016, p.4.</w:t>
      </w:r>
    </w:p>
  </w:footnote>
  <w:footnote w:id="16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pp.3-4,12; QTDEWS, Draft Advice Submission, March 2016, pp.6-7.</w:t>
      </w:r>
    </w:p>
  </w:footnote>
  <w:footnote w:id="165">
    <w:p w:rsidR="00C06B07" w:rsidRPr="00310970" w:rsidRDefault="00C06B07" w:rsidP="00517E8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noted that the Queensland Government set transitional price paths in a price review in 2000, and that these price paths have been updated in subsequent reviews thereafter, including the Queensland Competition Authority’s recommendation of SunWater’s irrigation charges for 2012-2017.</w:t>
      </w:r>
    </w:p>
  </w:footnote>
  <w:footnote w:id="166">
    <w:p w:rsidR="00C06B07" w:rsidRPr="00310970" w:rsidRDefault="00C06B07" w:rsidP="00517E8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Draft Advice Submission, March 2016, p.6.</w:t>
      </w:r>
    </w:p>
  </w:footnote>
  <w:footnote w:id="167">
    <w:p w:rsidR="00C06B07" w:rsidRPr="00310970" w:rsidRDefault="00C06B07" w:rsidP="00517E8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is a different objective to the charging arrangements for irrigation customers. Under Queensland Government policy, irrigation charges must not exceed the lower-bound level of cost recovery, and where charges are above this level, they should be capped in real terms. The level and structure of irrigation charges are recommended by the Queensland Competition Authority, with the relevant Queensland Minister making the final decision. </w:t>
      </w:r>
    </w:p>
  </w:footnote>
  <w:footnote w:id="16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Office of Environment and Heritage, Draft Advice Submission, March 2016, p.1; Murray-Darling Basin Authority, Draft Advice Submission, March 2016, p.2.</w:t>
      </w:r>
    </w:p>
  </w:footnote>
  <w:footnote w:id="16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Office of Environment and Heritage, Draft Advice Submission, March 2016, p.2.</w:t>
      </w:r>
    </w:p>
  </w:footnote>
  <w:footnote w:id="17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Murray-Darling Basin Authority, Draft Advice Submission, March 2016, p.2.</w:t>
      </w:r>
    </w:p>
  </w:footnote>
  <w:footnote w:id="17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p.9; Western Murray Irrigation, Draft Advice Submission, March 2016, p.2.</w:t>
      </w:r>
    </w:p>
  </w:footnote>
  <w:footnote w:id="17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Office of Environment and Heritage, Draft Advice Submission, March 2016, p.1.</w:t>
      </w:r>
    </w:p>
  </w:footnote>
  <w:footnote w:id="173">
    <w:p w:rsidR="00C06B07" w:rsidRPr="00310970" w:rsidRDefault="00C06B07" w:rsidP="002055D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p.10.</w:t>
      </w:r>
    </w:p>
  </w:footnote>
  <w:footnote w:id="17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Murrumbidgee Irrigation Limited, 2015, ‘Company Overview (printable factsheet)’, viewed June 2016, </w:t>
      </w:r>
      <w:hyperlink r:id="rId18" w:history="1">
        <w:r w:rsidRPr="00310970">
          <w:rPr>
            <w:rStyle w:val="Hyperlink"/>
            <w:rFonts w:cs="Times New Roman"/>
            <w:sz w:val="16"/>
            <w:szCs w:val="16"/>
          </w:rPr>
          <w:t>http://www.mirrigation.com.au/About-Us/Company-Overview</w:t>
        </w:r>
      </w:hyperlink>
      <w:r w:rsidRPr="00310970">
        <w:rPr>
          <w:rFonts w:cs="Times New Roman"/>
          <w:sz w:val="16"/>
          <w:szCs w:val="16"/>
        </w:rPr>
        <w:t xml:space="preserve">. Note: in this publication (last updated 10 June 2015), MI listed its number of shareholders by class as: A class: 1135; B class: 751; C class: 709. </w:t>
      </w:r>
    </w:p>
    <w:p w:rsidR="00C06B07" w:rsidRPr="00310970" w:rsidRDefault="00C06B07" w:rsidP="00844E39">
      <w:pPr>
        <w:pStyle w:val="FootnoteText"/>
        <w:rPr>
          <w:rFonts w:cs="Times New Roman"/>
          <w:sz w:val="16"/>
          <w:szCs w:val="16"/>
        </w:rPr>
      </w:pPr>
      <w:r w:rsidRPr="00310970">
        <w:rPr>
          <w:rFonts w:cs="Times New Roman"/>
          <w:sz w:val="16"/>
          <w:szCs w:val="16"/>
        </w:rPr>
        <w:t xml:space="preserve">MI’s 2013 Annual Report (p.52) provides the following further information: “A Class and B Class shareholders have voting rights at general meetings and for the election of Member Directors in their voting college. Where a shareholder holds dual securities, being both ‘A’ Class and ‘B’ Class shares, the holder votes in the college in which they hold the greater number of shares. C Class shareholders generally have no voting rights other than in respect of matters affecting their class rights.” See Murrumbidgee Irrigation Limited, 2015, Annual Reports, viewed June 2016, </w:t>
      </w:r>
      <w:hyperlink r:id="rId19" w:history="1">
        <w:r w:rsidRPr="00310970">
          <w:rPr>
            <w:rStyle w:val="Hyperlink"/>
            <w:rFonts w:cs="Times New Roman"/>
            <w:sz w:val="16"/>
            <w:szCs w:val="16"/>
          </w:rPr>
          <w:t>www.mirrigation.com.au/About-Us/Annual-Reports</w:t>
        </w:r>
      </w:hyperlink>
      <w:r w:rsidRPr="00310970">
        <w:rPr>
          <w:rFonts w:cs="Times New Roman"/>
          <w:sz w:val="16"/>
          <w:szCs w:val="16"/>
        </w:rPr>
        <w:t>.</w:t>
      </w:r>
    </w:p>
  </w:footnote>
  <w:footnote w:id="175">
    <w:p w:rsidR="00C06B07" w:rsidRPr="00310970" w:rsidRDefault="00C06B07" w:rsidP="0042738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 Irrigation Limited, 2011, ‘Customer Information Kit – January 2011’, p.3, viewed June 2016, </w:t>
      </w:r>
      <w:hyperlink r:id="rId20" w:history="1">
        <w:r w:rsidRPr="00310970">
          <w:rPr>
            <w:rStyle w:val="Hyperlink"/>
            <w:rFonts w:cs="Times New Roman"/>
            <w:sz w:val="16"/>
            <w:szCs w:val="16"/>
          </w:rPr>
          <w:t>http://www.murrayirrigation.com.au/media/3552/Customer%20Infomation%20Kit.pdf</w:t>
        </w:r>
      </w:hyperlink>
      <w:r w:rsidRPr="00310970">
        <w:rPr>
          <w:rFonts w:cs="Times New Roman"/>
          <w:sz w:val="16"/>
          <w:szCs w:val="16"/>
        </w:rPr>
        <w:t xml:space="preserve">. Data on the current number of MIL non-shareholder customers is not available. However, MIL’s 2012-2017 Network Service Plan lists the number of customers with &lt;2 ML of water use as 246, and notes that “Murray Irrigation is currently finalising arrangements to provide domestic customers with the option of a consumer style contract for a domestic (untreated) water supply service which includes lower fees. This would also involve a domestic customer electing to no longer hold Murray Irrigation water entitlements, delivery entitlements and shares, and the customer owning and maintaining their own metered pipe outlet instead of the company.” (p.16). This is likely to have the effect that domestic customers either have no vote (because they are not shareholders), or are required to retain ‘delivery entitlements’ (water delivery rights) that are at least double their actual water use, and pay ongoing fixed charges in relation to these rights. See: Murray Irrigation Limited, 2012, ‘Network Service Plan – A requirement of the Water Charge (Infrastructure) Rules 2010 (Cth) 1 July 2012 – 30 June 2017’, viewed June 2016, </w:t>
      </w:r>
      <w:hyperlink r:id="rId21" w:history="1">
        <w:r w:rsidRPr="00310970">
          <w:rPr>
            <w:rStyle w:val="Hyperlink"/>
            <w:rFonts w:cs="Times New Roman"/>
            <w:sz w:val="16"/>
            <w:szCs w:val="16"/>
          </w:rPr>
          <w:t>http://www.murrayirrigation.com.au/media/1758/Network%20Service%20Plan.pdf</w:t>
        </w:r>
      </w:hyperlink>
      <w:r w:rsidRPr="00310970">
        <w:rPr>
          <w:rStyle w:val="Hyperlink"/>
          <w:rFonts w:cs="Times New Roman"/>
          <w:color w:val="auto"/>
          <w:sz w:val="16"/>
          <w:szCs w:val="16"/>
          <w:u w:val="none"/>
        </w:rPr>
        <w:t>.</w:t>
      </w:r>
      <w:r w:rsidRPr="00310970">
        <w:rPr>
          <w:rFonts w:cs="Times New Roman"/>
          <w:sz w:val="16"/>
          <w:szCs w:val="16"/>
        </w:rPr>
        <w:t xml:space="preserve"> </w:t>
      </w:r>
    </w:p>
    <w:p w:rsidR="00C06B07" w:rsidRPr="00310970" w:rsidRDefault="00C06B07" w:rsidP="00427380">
      <w:pPr>
        <w:pStyle w:val="FootnoteText"/>
        <w:rPr>
          <w:rFonts w:cs="Times New Roman"/>
          <w:sz w:val="16"/>
          <w:szCs w:val="16"/>
        </w:rPr>
      </w:pPr>
      <w:r w:rsidRPr="00310970">
        <w:rPr>
          <w:rFonts w:cs="Times New Roman"/>
          <w:sz w:val="16"/>
          <w:szCs w:val="16"/>
        </w:rPr>
        <w:t>Further, during consultation discussions with MIL, MIL advised the ACCC that its town customers are generally not shareholders and as such also do not have a vote.</w:t>
      </w:r>
    </w:p>
  </w:footnote>
  <w:footnote w:id="17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p.3.</w:t>
      </w:r>
    </w:p>
  </w:footnote>
  <w:footnote w:id="17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Tom Loffler, Draft Advice Submission, March 2016, p.1.</w:t>
      </w:r>
    </w:p>
  </w:footnote>
  <w:footnote w:id="17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Patrick Connolly, Draft Advice Submission 1, February 2016, pp.1-4.</w:t>
      </w:r>
    </w:p>
  </w:footnote>
  <w:footnote w:id="17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Connolly also compares this to the termination fee, where there is consistency in the multiple of the termination fee, even though the amount of the termination fee can vary. Mr Connolly considers that this approach (to termination fees) is consistent with the Basin Water Charging Objectives and Principles. </w:t>
      </w:r>
    </w:p>
  </w:footnote>
  <w:footnote w:id="18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20 September 2008, ‘G-MW Board defers start date for Basin Pricing to prepare transition program’, viewed June 2016, </w:t>
      </w:r>
      <w:hyperlink r:id="rId22" w:history="1">
        <w:r w:rsidRPr="00310970">
          <w:rPr>
            <w:rStyle w:val="Hyperlink"/>
            <w:rFonts w:cs="Times New Roman"/>
            <w:sz w:val="16"/>
            <w:szCs w:val="16"/>
          </w:rPr>
          <w:t>http://www.g-mwater.com.au/news/media-releases/media-releases-2008/gmw_board_defers_start_date_basin_pricing.html</w:t>
        </w:r>
      </w:hyperlink>
      <w:r w:rsidRPr="00310970">
        <w:rPr>
          <w:rFonts w:cs="Times New Roman"/>
          <w:sz w:val="16"/>
          <w:szCs w:val="16"/>
        </w:rPr>
        <w:t xml:space="preserve">. </w:t>
      </w:r>
    </w:p>
  </w:footnote>
  <w:footnote w:id="18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Victorian Water Register defines ‘un-associated’ water shares as “[w]ater shares whose owner does not also own or occupy land covered by a water-use licence and are nominated for the water allocation use.” See Victorian Water Register, viewed June 2016, </w:t>
      </w:r>
      <w:hyperlink r:id="rId23" w:history="1">
        <w:r w:rsidRPr="00310970">
          <w:rPr>
            <w:rStyle w:val="Hyperlink"/>
            <w:rFonts w:cs="Times New Roman"/>
            <w:sz w:val="16"/>
            <w:szCs w:val="16"/>
          </w:rPr>
          <w:t>http://waterregister.vic.gov.au/about/water-dictionary?view=items&amp;start=80</w:t>
        </w:r>
      </w:hyperlink>
      <w:r w:rsidRPr="00310970">
        <w:rPr>
          <w:rFonts w:cs="Times New Roman"/>
          <w:sz w:val="16"/>
          <w:szCs w:val="16"/>
        </w:rPr>
        <w:t xml:space="preserve">. </w:t>
      </w:r>
    </w:p>
  </w:footnote>
  <w:footnote w:id="18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for example, GMW’s 2015-16 Schedule of Charges, viewed June 2016, </w:t>
      </w:r>
      <w:hyperlink r:id="rId24" w:history="1">
        <w:r w:rsidRPr="00310970">
          <w:rPr>
            <w:rStyle w:val="Hyperlink"/>
            <w:rFonts w:cs="Times New Roman"/>
            <w:sz w:val="16"/>
            <w:szCs w:val="16"/>
          </w:rPr>
          <w:t>http://www.g-mwater.com.au/downloads/gmw/Pricing_Table_June15.pdf</w:t>
        </w:r>
      </w:hyperlink>
      <w:r w:rsidRPr="00310970">
        <w:rPr>
          <w:rFonts w:cs="Times New Roman"/>
          <w:sz w:val="16"/>
          <w:szCs w:val="16"/>
        </w:rPr>
        <w:t xml:space="preserve">. </w:t>
      </w:r>
    </w:p>
  </w:footnote>
  <w:footnote w:id="183">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Essential Services Commission of Victoria, </w:t>
      </w:r>
      <w:r w:rsidRPr="00310970">
        <w:rPr>
          <w:rFonts w:cs="Times New Roman"/>
          <w:i/>
          <w:iCs/>
          <w:sz w:val="16"/>
          <w:szCs w:val="16"/>
        </w:rPr>
        <w:t>Goulburn-Murray Water Price Review 2016 — final decision</w:t>
      </w:r>
      <w:r w:rsidRPr="00310970">
        <w:rPr>
          <w:rFonts w:cs="Times New Roman"/>
          <w:sz w:val="16"/>
          <w:szCs w:val="16"/>
        </w:rPr>
        <w:t xml:space="preserve">, June 2016, p.xi, viewed June 2016, </w:t>
      </w:r>
      <w:hyperlink r:id="rId25" w:history="1">
        <w:r w:rsidRPr="00310970">
          <w:rPr>
            <w:rStyle w:val="Hyperlink"/>
            <w:rFonts w:cs="Times New Roman"/>
            <w:sz w:val="16"/>
            <w:szCs w:val="16"/>
          </w:rPr>
          <w:t>http://www.esc.vic.gov.au/wp-content/uploads/2016/06/Water-Price-Review-2016-20-G-MW-Final-Decision.pdf</w:t>
        </w:r>
      </w:hyperlink>
      <w:r w:rsidRPr="00310970">
        <w:rPr>
          <w:rFonts w:cs="Times New Roman"/>
          <w:sz w:val="16"/>
          <w:szCs w:val="16"/>
        </w:rPr>
        <w:t>.</w:t>
      </w:r>
    </w:p>
  </w:footnote>
  <w:footnote w:id="18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Since the ‘system’ charges are calculated as a weighted average of the ‘basin’ charges, whether non-water users face higher or lower charges than water users depends on which particular basin the non-water user’s entitlements relate to.</w:t>
      </w:r>
    </w:p>
  </w:footnote>
  <w:footnote w:id="185">
    <w:p w:rsidR="00C06B07" w:rsidRPr="00310970" w:rsidRDefault="00C06B07" w:rsidP="00744997">
      <w:pPr>
        <w:pStyle w:val="Default"/>
        <w:rPr>
          <w:rFonts w:ascii="Times New Roman" w:hAnsi="Times New Roman" w:cs="Times New Roman"/>
          <w:sz w:val="16"/>
          <w:szCs w:val="16"/>
        </w:rPr>
      </w:pPr>
      <w:r w:rsidRPr="00310970">
        <w:rPr>
          <w:rStyle w:val="FootnoteReference"/>
          <w:rFonts w:ascii="Times New Roman" w:hAnsi="Times New Roman" w:cs="Times New Roman"/>
          <w:sz w:val="16"/>
          <w:szCs w:val="16"/>
        </w:rPr>
        <w:footnoteRef/>
      </w:r>
      <w:r w:rsidRPr="00310970">
        <w:rPr>
          <w:rFonts w:ascii="Times New Roman" w:hAnsi="Times New Roman" w:cs="Times New Roman"/>
          <w:sz w:val="16"/>
          <w:szCs w:val="16"/>
        </w:rPr>
        <w:t xml:space="preserve"> Essential Services Commission of Victoria, </w:t>
      </w:r>
      <w:r w:rsidRPr="00310970">
        <w:rPr>
          <w:rFonts w:ascii="Times New Roman" w:hAnsi="Times New Roman" w:cs="Times New Roman"/>
          <w:i/>
          <w:iCs/>
          <w:sz w:val="16"/>
          <w:szCs w:val="16"/>
        </w:rPr>
        <w:t>Goulburn-Murray Water Price Review 2016 — final decision</w:t>
      </w:r>
      <w:r w:rsidRPr="00310970">
        <w:rPr>
          <w:rFonts w:ascii="Times New Roman" w:hAnsi="Times New Roman" w:cs="Times New Roman"/>
          <w:sz w:val="16"/>
          <w:szCs w:val="16"/>
        </w:rPr>
        <w:t xml:space="preserve">, June 2016, p.59, viewed June 2016, </w:t>
      </w:r>
      <w:hyperlink r:id="rId26" w:history="1">
        <w:r w:rsidRPr="00310970">
          <w:rPr>
            <w:rStyle w:val="Hyperlink"/>
            <w:rFonts w:ascii="Times New Roman" w:hAnsi="Times New Roman" w:cs="Times New Roman"/>
            <w:sz w:val="16"/>
            <w:szCs w:val="16"/>
          </w:rPr>
          <w:t>http://www.esc.vic.gov.au/wp-content/uploads/2016/06/Water-Price-Review-2016-20-G-MW-Final-Decision.pdf</w:t>
        </w:r>
      </w:hyperlink>
      <w:r w:rsidRPr="00310970">
        <w:rPr>
          <w:rFonts w:ascii="Times New Roman" w:hAnsi="Times New Roman" w:cs="Times New Roman"/>
          <w:sz w:val="16"/>
          <w:szCs w:val="16"/>
        </w:rPr>
        <w:t xml:space="preserve">. The ESCV commented that “[s]takeholders were concerned basin and system charging enables customers who move from </w:t>
      </w:r>
      <w:r w:rsidRPr="00310970">
        <w:rPr>
          <w:rFonts w:ascii="Times New Roman" w:eastAsiaTheme="minorEastAsia" w:hAnsi="Times New Roman" w:cs="Times New Roman"/>
          <w:color w:val="auto"/>
          <w:sz w:val="16"/>
          <w:szCs w:val="16"/>
          <w:lang w:eastAsia="en-AU"/>
        </w:rPr>
        <w:t>water to non-water user status to save on Entitlement Storage Fees. The [ESCV]’s view is that Goulburn-Murray Water is responsible for consulting with its customers to determine how to balance the system and basin charging approaches. The [ESCV]’s guidance indicated that where Goulburn-Murray Water proposed to retain its charges, a lower level of consultation was required. In addition, through consultation, the [ESCV] did not receive indications of widespread dissatisfaction with this method of charging.”</w:t>
      </w:r>
      <w:r w:rsidRPr="00310970">
        <w:rPr>
          <w:rFonts w:ascii="Times New Roman" w:hAnsi="Times New Roman" w:cs="Times New Roman"/>
          <w:sz w:val="16"/>
          <w:szCs w:val="16"/>
        </w:rPr>
        <w:t xml:space="preserve"> </w:t>
      </w:r>
    </w:p>
  </w:footnote>
  <w:footnote w:id="18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p.10.</w:t>
      </w:r>
    </w:p>
  </w:footnote>
  <w:footnote w:id="18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Farmers’ Federation, Draft Advice Submission, March 2016, pp.1-2.</w:t>
      </w:r>
    </w:p>
  </w:footnote>
  <w:footnote w:id="18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pp.6-7.</w:t>
      </w:r>
    </w:p>
  </w:footnote>
  <w:footnote w:id="18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Gas Rules, Part 9, rule 96, viewed June 2016, </w:t>
      </w:r>
      <w:hyperlink r:id="rId27" w:history="1">
        <w:r w:rsidRPr="00310970">
          <w:rPr>
            <w:rStyle w:val="Hyperlink"/>
            <w:rFonts w:cs="Times New Roman"/>
            <w:sz w:val="16"/>
            <w:szCs w:val="16"/>
          </w:rPr>
          <w:t>http://www.aemc.gov.au/getattachment/8d0f72eb-7950-4b96-9a08-134e9de26b86/National-Gas-Rules-Version-27.aspx</w:t>
        </w:r>
      </w:hyperlink>
      <w:r w:rsidRPr="00310970">
        <w:rPr>
          <w:rFonts w:cs="Times New Roman"/>
          <w:sz w:val="16"/>
          <w:szCs w:val="16"/>
        </w:rPr>
        <w:t>.</w:t>
      </w:r>
    </w:p>
  </w:footnote>
  <w:footnote w:id="19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provided the qualification that the discounted price must be greater than incremental costs and contribute to fixed costs. </w:t>
      </w:r>
    </w:p>
  </w:footnote>
  <w:footnote w:id="19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p.7.</w:t>
      </w:r>
    </w:p>
  </w:footnote>
  <w:footnote w:id="19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Office of Environment and Heritage, Draft Advice Submission, March 2016, pp.1-2.</w:t>
      </w:r>
    </w:p>
  </w:footnote>
  <w:footnote w:id="19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p.11.</w:t>
      </w:r>
    </w:p>
  </w:footnote>
  <w:footnote w:id="19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pp.10-11.</w:t>
      </w:r>
    </w:p>
  </w:footnote>
  <w:footnote w:id="19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19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Tom Loffler, Draft Advice Submission, March 2016, pp.1-2.</w:t>
      </w:r>
    </w:p>
  </w:footnote>
  <w:footnote w:id="19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Loffler noted that the requirement to have a domestic meter is in CIT’s policies and rules. However, an exemption can be provided. Mr Loffler argued that the requirements in the Natural Resource Management Act exempt his property.</w:t>
      </w:r>
    </w:p>
  </w:footnote>
  <w:footnote w:id="19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notes that, as per Renmark Irrigation Trust’s 2015-16 Schedule of Charges, it appears that Renmark Irrigation Trust </w:t>
      </w:r>
      <w:r w:rsidRPr="00310970">
        <w:rPr>
          <w:rFonts w:cs="Times New Roman"/>
          <w:i/>
          <w:sz w:val="16"/>
          <w:szCs w:val="16"/>
        </w:rPr>
        <w:t>does</w:t>
      </w:r>
      <w:r w:rsidRPr="00310970">
        <w:rPr>
          <w:rFonts w:cs="Times New Roman"/>
          <w:sz w:val="16"/>
          <w:szCs w:val="16"/>
        </w:rPr>
        <w:t xml:space="preserve"> in fact levy different charges for domestic and irrigation services. </w:t>
      </w:r>
    </w:p>
  </w:footnote>
  <w:footnote w:id="19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Tom Loffler, Draft Advice Submission, March 2016, p.1.</w:t>
      </w:r>
    </w:p>
  </w:footnote>
  <w:footnote w:id="20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pp.3-4.</w:t>
      </w:r>
    </w:p>
  </w:footnote>
  <w:footnote w:id="20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pp.3-4.</w:t>
      </w:r>
    </w:p>
  </w:footnote>
  <w:footnote w:id="20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Don Low, Draft Advice Submission, March 2016, pp.1-2, 4.</w:t>
      </w:r>
    </w:p>
  </w:footnote>
  <w:footnote w:id="20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pp.3-4.</w:t>
      </w:r>
    </w:p>
  </w:footnote>
  <w:footnote w:id="20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Farmers’ Federation, Draft Advice Submission, March 2016, pp.1-2.</w:t>
      </w:r>
    </w:p>
  </w:footnote>
  <w:footnote w:id="20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20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p.9.</w:t>
      </w:r>
    </w:p>
  </w:footnote>
  <w:footnote w:id="20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Draft Advice Submission, March 2016, p.6.</w:t>
      </w:r>
    </w:p>
  </w:footnote>
  <w:footnote w:id="20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p.9.</w:t>
      </w:r>
    </w:p>
  </w:footnote>
  <w:footnote w:id="20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Western Murray Irrigation (WMI) submitted that it will incur “significant costs” to implement the proposed non-discrimination provisions. These costs are related to:</w:t>
      </w:r>
    </w:p>
    <w:p w:rsidR="00C06B07" w:rsidRPr="00310970" w:rsidRDefault="00C06B07" w:rsidP="00A82DE6">
      <w:pPr>
        <w:pStyle w:val="FNBullet"/>
        <w:rPr>
          <w:rFonts w:cs="Times New Roman"/>
        </w:rPr>
      </w:pPr>
      <w:r w:rsidRPr="00310970">
        <w:rPr>
          <w:rFonts w:cs="Times New Roman"/>
        </w:rPr>
        <w:t>considering how the proposed amendments will affect is charging arrangements</w:t>
      </w:r>
    </w:p>
    <w:p w:rsidR="00C06B07" w:rsidRPr="00310970" w:rsidRDefault="00C06B07" w:rsidP="00A82DE6">
      <w:pPr>
        <w:pStyle w:val="FNBullet"/>
        <w:rPr>
          <w:rFonts w:cs="Times New Roman"/>
        </w:rPr>
      </w:pPr>
      <w:r w:rsidRPr="00310970">
        <w:rPr>
          <w:rFonts w:cs="Times New Roman"/>
        </w:rPr>
        <w:t>adapting its charging arrangements while maintaining its revenue</w:t>
      </w:r>
    </w:p>
    <w:p w:rsidR="00C06B07" w:rsidRPr="00310970" w:rsidRDefault="00C06B07" w:rsidP="00A82DE6">
      <w:pPr>
        <w:pStyle w:val="FNBullet"/>
        <w:rPr>
          <w:rFonts w:cs="Times New Roman"/>
        </w:rPr>
      </w:pPr>
      <w:r w:rsidRPr="00310970">
        <w:rPr>
          <w:rFonts w:cs="Times New Roman"/>
        </w:rPr>
        <w:t>amending its Schedule of Charges</w:t>
      </w:r>
    </w:p>
    <w:p w:rsidR="00C06B07" w:rsidRPr="00310970" w:rsidRDefault="00C06B07" w:rsidP="00A82DE6">
      <w:pPr>
        <w:pStyle w:val="FNBullet"/>
        <w:rPr>
          <w:rFonts w:cs="Times New Roman"/>
        </w:rPr>
      </w:pPr>
      <w:r w:rsidRPr="00310970">
        <w:rPr>
          <w:rFonts w:cs="Times New Roman"/>
        </w:rPr>
        <w:t>communicating changes to its customers</w:t>
      </w:r>
    </w:p>
    <w:p w:rsidR="00C06B07" w:rsidRPr="00310970" w:rsidRDefault="00C06B07" w:rsidP="00A82DE6">
      <w:pPr>
        <w:pStyle w:val="FNBullet"/>
        <w:rPr>
          <w:rFonts w:cs="Times New Roman"/>
        </w:rPr>
      </w:pPr>
      <w:r w:rsidRPr="00310970">
        <w:rPr>
          <w:rFonts w:cs="Times New Roman"/>
        </w:rPr>
        <w:t>“many other costs which are not yet foreseeable”.</w:t>
      </w:r>
    </w:p>
    <w:p w:rsidR="00C06B07" w:rsidRPr="00310970" w:rsidRDefault="00C06B07" w:rsidP="00844E39">
      <w:pPr>
        <w:pStyle w:val="FootnoteText"/>
        <w:rPr>
          <w:rFonts w:cs="Times New Roman"/>
          <w:sz w:val="16"/>
          <w:szCs w:val="16"/>
        </w:rPr>
      </w:pPr>
      <w:r w:rsidRPr="00310970">
        <w:rPr>
          <w:rFonts w:cs="Times New Roman"/>
          <w:sz w:val="16"/>
          <w:szCs w:val="16"/>
        </w:rPr>
        <w:t>For example, WMI submitted that it imposes different charges to different groups of customers that is based on their location and the nature of infrastructure service that they receive. WMI was of the view that it will need “to make the difficult and uncertain decision in re-formulating its charging structures as to whether these constitute different classes of service”.</w:t>
      </w:r>
    </w:p>
    <w:p w:rsidR="00C06B07" w:rsidRPr="00310970" w:rsidRDefault="00C06B07" w:rsidP="00844E39">
      <w:pPr>
        <w:pStyle w:val="FootnoteText"/>
        <w:rPr>
          <w:rFonts w:cs="Times New Roman"/>
          <w:sz w:val="16"/>
          <w:szCs w:val="16"/>
        </w:rPr>
      </w:pPr>
      <w:r w:rsidRPr="00310970">
        <w:rPr>
          <w:rFonts w:cs="Times New Roman"/>
          <w:sz w:val="16"/>
          <w:szCs w:val="16"/>
        </w:rPr>
        <w:t>Western Murray Irrigation, Draft Advice Submission, March 2016, p.2; National Irrigators’ Council, Draft Advice Submission, March 2016, p.9.</w:t>
      </w:r>
    </w:p>
  </w:footnote>
  <w:footnote w:id="21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p.3.</w:t>
      </w:r>
    </w:p>
  </w:footnote>
  <w:footnote w:id="21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pp.2-3.</w:t>
      </w:r>
    </w:p>
  </w:footnote>
  <w:footnote w:id="21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Draft Advice Submission, March 2016, pp.1-2; WaterNSW, Draft Advice Submission, March 2016, p.1.</w:t>
      </w:r>
    </w:p>
  </w:footnote>
  <w:footnote w:id="21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example, section 15 of the </w:t>
      </w:r>
      <w:r w:rsidRPr="00310970">
        <w:rPr>
          <w:rFonts w:cs="Times New Roman"/>
          <w:i/>
          <w:sz w:val="16"/>
          <w:szCs w:val="16"/>
        </w:rPr>
        <w:t>IPART Act 1992</w:t>
      </w:r>
      <w:r w:rsidRPr="00310970">
        <w:rPr>
          <w:rFonts w:cs="Times New Roman"/>
          <w:sz w:val="16"/>
          <w:szCs w:val="16"/>
        </w:rPr>
        <w:t xml:space="preserve"> requires IPART to give consideration to “the protection of customers from abuses of monopoly power in terms of prices, pricing policies and standard of services”. </w:t>
      </w:r>
    </w:p>
  </w:footnote>
  <w:footnote w:id="21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example, WaterNSW noted that IPART could be constrained in relation to setting different pricing methodologies (e.g. scarcity pricing), different fixed / variable tariff structures for different customer groups that are not necessarily cost-reflective and the ability to offer new services or use prices to provide incentives for certain customer behaviours.</w:t>
      </w:r>
    </w:p>
  </w:footnote>
  <w:footnote w:id="21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p.2.</w:t>
      </w:r>
    </w:p>
  </w:footnote>
  <w:footnote w:id="21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pp.4,5-6,12.</w:t>
      </w:r>
    </w:p>
  </w:footnote>
  <w:footnote w:id="21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p.15.</w:t>
      </w:r>
    </w:p>
  </w:footnote>
  <w:footnote w:id="218">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w:t>
      </w:r>
    </w:p>
  </w:footnote>
  <w:footnote w:id="21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pp.4,6,15.</w:t>
      </w:r>
    </w:p>
  </w:footnote>
  <w:footnote w:id="22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pp. 6,15. SunWater identified two precedents where pre-existing contracts have been honoured when new regulations have been introduced; in relation to the </w:t>
      </w:r>
      <w:r w:rsidRPr="00310970">
        <w:rPr>
          <w:rFonts w:cs="Times New Roman"/>
          <w:i/>
          <w:sz w:val="16"/>
          <w:szCs w:val="16"/>
        </w:rPr>
        <w:t>Treasury Legislation Amendment (Small Business and Unfair Contract Terms) Act 2015</w:t>
      </w:r>
      <w:r w:rsidRPr="00310970">
        <w:rPr>
          <w:rFonts w:cs="Times New Roman"/>
          <w:sz w:val="16"/>
          <w:szCs w:val="16"/>
        </w:rPr>
        <w:t xml:space="preserve"> and s 44W(1)(c) under Part IIIA of the </w:t>
      </w:r>
      <w:r w:rsidRPr="00310970">
        <w:rPr>
          <w:rFonts w:cs="Times New Roman"/>
          <w:i/>
          <w:sz w:val="16"/>
          <w:szCs w:val="16"/>
        </w:rPr>
        <w:t>Competition and Consumer Act 2010</w:t>
      </w:r>
      <w:r w:rsidRPr="00310970">
        <w:rPr>
          <w:rFonts w:cs="Times New Roman"/>
          <w:sz w:val="16"/>
          <w:szCs w:val="16"/>
        </w:rPr>
        <w:t xml:space="preserve"> (CCA).</w:t>
      </w:r>
    </w:p>
  </w:footnote>
  <w:footnote w:id="22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pp.8,16.</w:t>
      </w:r>
    </w:p>
  </w:footnote>
  <w:footnote w:id="22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Draft Advice Submission, March 2016, p.7.</w:t>
      </w:r>
    </w:p>
  </w:footnote>
  <w:footnote w:id="22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for example, National Electricity Rules version 81, sections 2.11.1(b)(4); 7.2.3(g)(2); B2B principle (c)). </w:t>
      </w:r>
    </w:p>
  </w:footnote>
  <w:footnote w:id="22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for example, National Gas Rules Version 29, section 135CA.</w:t>
      </w:r>
    </w:p>
  </w:footnote>
  <w:footnote w:id="22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for example Access Undertakings (2009) for CBH and Graincorp accepted by the ACCC, viewed June 2016, </w:t>
      </w:r>
      <w:hyperlink r:id="rId28" w:history="1">
        <w:r w:rsidRPr="00310970">
          <w:rPr>
            <w:rStyle w:val="Hyperlink"/>
            <w:rFonts w:cs="Times New Roman"/>
            <w:sz w:val="16"/>
            <w:szCs w:val="16"/>
          </w:rPr>
          <w:t>https://www.accc.gov.au/regulated-infrastructure/regulatory-projects?field_accc_industry_sector_tid_selective=339</w:t>
        </w:r>
      </w:hyperlink>
      <w:r w:rsidRPr="00310970">
        <w:rPr>
          <w:rFonts w:cs="Times New Roman"/>
          <w:sz w:val="16"/>
          <w:szCs w:val="16"/>
        </w:rPr>
        <w:t>.</w:t>
      </w:r>
    </w:p>
  </w:footnote>
  <w:footnote w:id="22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Part XIC of the </w:t>
      </w:r>
      <w:r w:rsidRPr="00310970">
        <w:rPr>
          <w:rFonts w:cs="Times New Roman"/>
          <w:i/>
          <w:sz w:val="16"/>
          <w:szCs w:val="16"/>
        </w:rPr>
        <w:t>Competition and Consumer Act</w:t>
      </w:r>
      <w:r w:rsidRPr="00310970">
        <w:rPr>
          <w:rFonts w:cs="Times New Roman"/>
          <w:sz w:val="16"/>
          <w:szCs w:val="16"/>
        </w:rPr>
        <w:t xml:space="preserve"> 2010.</w:t>
      </w:r>
    </w:p>
  </w:footnote>
  <w:footnote w:id="227">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for example, Article 82 of the European Community Treaty (which forms part of EU energy law), viewed June 2016, </w:t>
      </w:r>
      <w:hyperlink r:id="rId29" w:history="1">
        <w:r w:rsidRPr="00310970">
          <w:rPr>
            <w:rStyle w:val="Hyperlink"/>
            <w:rFonts w:cs="Times New Roman"/>
            <w:sz w:val="16"/>
            <w:szCs w:val="16"/>
          </w:rPr>
          <w:t>http://ec.europa.eu/competition/legislation/treaties/ec/art82_en.html</w:t>
        </w:r>
      </w:hyperlink>
      <w:r w:rsidRPr="00310970">
        <w:rPr>
          <w:rFonts w:cs="Times New Roman"/>
          <w:sz w:val="16"/>
          <w:szCs w:val="16"/>
        </w:rPr>
        <w:t xml:space="preserve">. See also the United States Robinson-Patman Act 15 U.S. Code § 13, viewed June 2016,  </w:t>
      </w:r>
      <w:hyperlink r:id="rId30" w:history="1">
        <w:r w:rsidRPr="00310970">
          <w:rPr>
            <w:rStyle w:val="Hyperlink"/>
            <w:rFonts w:cs="Times New Roman"/>
            <w:sz w:val="16"/>
            <w:szCs w:val="16"/>
          </w:rPr>
          <w:t>https://www.law.cornell.edu/uscode/text/15/13</w:t>
        </w:r>
      </w:hyperlink>
      <w:r w:rsidRPr="00310970">
        <w:rPr>
          <w:rFonts w:cs="Times New Roman"/>
          <w:sz w:val="16"/>
          <w:szCs w:val="16"/>
        </w:rPr>
        <w:t xml:space="preserve">. </w:t>
      </w:r>
    </w:p>
  </w:footnote>
  <w:footnote w:id="228">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Harper Review of Australian Competition and Consumer Law considered that—while it is not desirable to reinstate in the </w:t>
      </w:r>
      <w:r w:rsidRPr="00310970">
        <w:rPr>
          <w:rFonts w:cs="Times New Roman"/>
          <w:i/>
          <w:sz w:val="16"/>
          <w:szCs w:val="16"/>
        </w:rPr>
        <w:t>Competition and Consumer Act</w:t>
      </w:r>
      <w:r w:rsidRPr="00310970">
        <w:rPr>
          <w:rFonts w:cs="Times New Roman"/>
          <w:sz w:val="16"/>
          <w:szCs w:val="16"/>
        </w:rPr>
        <w:t xml:space="preserve"> </w:t>
      </w:r>
      <w:r w:rsidRPr="00310970">
        <w:rPr>
          <w:rFonts w:cs="Times New Roman"/>
          <w:i/>
          <w:sz w:val="16"/>
          <w:szCs w:val="16"/>
        </w:rPr>
        <w:t>2010</w:t>
      </w:r>
      <w:r w:rsidRPr="00310970">
        <w:rPr>
          <w:rFonts w:cs="Times New Roman"/>
          <w:sz w:val="16"/>
          <w:szCs w:val="16"/>
        </w:rPr>
        <w:t xml:space="preserve"> (CCA) a direct provision of the former </w:t>
      </w:r>
      <w:r w:rsidRPr="00310970">
        <w:rPr>
          <w:rFonts w:cs="Times New Roman"/>
          <w:i/>
          <w:sz w:val="16"/>
          <w:szCs w:val="16"/>
        </w:rPr>
        <w:t>Trade Practices Act 1974</w:t>
      </w:r>
      <w:r w:rsidRPr="00310970">
        <w:rPr>
          <w:rFonts w:cs="Times New Roman"/>
          <w:sz w:val="16"/>
          <w:szCs w:val="16"/>
        </w:rPr>
        <w:t xml:space="preserve"> which specifically prohibited all forms of price discrimination—in a competitive context price discrimination that substantially lessens competition should be illegal. However, the Review considered that such forms of price discrimination can be dealt with under section 46 of the CCA, which concerns abuse of monopoly power. See: </w:t>
      </w:r>
      <w:r w:rsidRPr="00310970">
        <w:rPr>
          <w:rFonts w:cs="Times New Roman"/>
          <w:i/>
          <w:sz w:val="16"/>
          <w:szCs w:val="16"/>
        </w:rPr>
        <w:t>Competition Policy Review – Final Report</w:t>
      </w:r>
      <w:r w:rsidRPr="00310970">
        <w:rPr>
          <w:rFonts w:cs="Times New Roman"/>
          <w:sz w:val="16"/>
          <w:szCs w:val="16"/>
        </w:rPr>
        <w:t xml:space="preserve">, March 2015, pp.351-354, viewed June 2016, </w:t>
      </w:r>
      <w:hyperlink r:id="rId31" w:history="1">
        <w:r w:rsidRPr="00310970">
          <w:rPr>
            <w:rStyle w:val="Hyperlink"/>
            <w:rFonts w:cs="Times New Roman"/>
            <w:sz w:val="16"/>
            <w:szCs w:val="16"/>
          </w:rPr>
          <w:t>http://competitionpolicyreview.gov.au/files/2015/03/Competition-policy-review-report_online.pdf</w:t>
        </w:r>
      </w:hyperlink>
      <w:r w:rsidRPr="00310970">
        <w:rPr>
          <w:rStyle w:val="Hyperlink"/>
          <w:rFonts w:cs="Times New Roman"/>
          <w:sz w:val="16"/>
          <w:szCs w:val="16"/>
        </w:rPr>
        <w:t>.</w:t>
      </w:r>
    </w:p>
  </w:footnote>
  <w:footnote w:id="229">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notes, relevantly, that off-river infrastructure operators are also customers of on-river operators to whom this rule would apply.</w:t>
      </w:r>
    </w:p>
  </w:footnote>
  <w:footnote w:id="230">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however, the ACCC’s recommendation to allow for ‘prudent discounts’ below.</w:t>
      </w:r>
    </w:p>
  </w:footnote>
  <w:footnote w:id="231">
    <w:p w:rsidR="00C06B07" w:rsidRPr="00310970" w:rsidRDefault="00C06B07" w:rsidP="0042738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p.3.</w:t>
      </w:r>
    </w:p>
  </w:footnote>
  <w:footnote w:id="232">
    <w:p w:rsidR="00C06B07" w:rsidRPr="00310970" w:rsidRDefault="00C06B07" w:rsidP="0042738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 Zuo, S Wheeler and A Loch, </w:t>
      </w:r>
      <w:r w:rsidRPr="00310970">
        <w:rPr>
          <w:rFonts w:cs="Times New Roman"/>
          <w:i/>
          <w:sz w:val="16"/>
          <w:szCs w:val="16"/>
        </w:rPr>
        <w:t>Short survey of southern Murray-Darling Basin irrigators’ views on the review of the water charge rules – Final Report</w:t>
      </w:r>
      <w:r w:rsidRPr="00310970">
        <w:rPr>
          <w:rFonts w:cs="Times New Roman"/>
          <w:sz w:val="16"/>
          <w:szCs w:val="16"/>
        </w:rPr>
        <w:t>, University of Adelaide report to client prepared for the ACCC, Adelaide, May 2016, p. 4.</w:t>
      </w:r>
    </w:p>
  </w:footnote>
  <w:footnote w:id="23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Operators use a variety of terms to describe the charges they levy, and generally do not link charges with a specific infrastructure service. However, often operators levy a single fixed ‘access’ charge and a single volumetric ‘variable’ charge to recover costs of running their own business (possibly with additional fixed and variable charges for passing through on-river infrastructure charges and / or planning and management charges incurred by the operator) (see 5.13 for an assessment of arrangements for such ‘pass-through charges’). The ACCC understands that this type of charging arrangement reflects the provision of a single infrastructure service used by all customers, which provides customers with access to the network and delivery of water through the network. The ACCC has used the term ‘access and delivery service’ to describe this situation.</w:t>
      </w:r>
    </w:p>
  </w:footnote>
  <w:footnote w:id="23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has made this assessment based on the infrastructure charges specified in the operator’s 2015-16 or 2014-15 Schedule of Charges. Where an operator fails to list charges (including discounted charges or commercially negotiated charges) on its Schedule of Charges, it is possible that the rules will require additional changes in relation to these currently un-listed charges. </w:t>
      </w:r>
    </w:p>
  </w:footnote>
  <w:footnote w:id="235">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has made this assessment based on the infrastructure charges specified in the operator’s 2015-16 or 2014-15 Schedule of Charges. Where an operator fails to list charges (including discounted charges or commercially negotiated charges) on its Schedule of Charges, it is possible that the rules will require additional changes in relation to these currently un-listed charges. </w:t>
      </w:r>
    </w:p>
  </w:footnote>
  <w:footnote w:id="23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however, discussion in section 5.3.2 relating to Jemalong Irrigation Limited’s imposition of an ‘exit fee’ for temporary trade out of Jemalong Irrigation Limited’s irrigation area.</w:t>
      </w:r>
    </w:p>
  </w:footnote>
  <w:footnote w:id="237">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proposed amendments relating to Schedules of Charges will ensure operators provide information about the types of services their infrastructure charges relate to.</w:t>
      </w:r>
    </w:p>
  </w:footnote>
  <w:footnote w:id="238">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is working with operators to rectify the instances it is aware of where operators have not listed regulated charges and / or discounts on their Schedules of Charges as part of its ongoing compliance activities.</w:t>
      </w:r>
    </w:p>
  </w:footnote>
  <w:footnote w:id="239">
    <w:p w:rsidR="00C06B07" w:rsidRPr="00310970" w:rsidRDefault="00C06B07" w:rsidP="00B1147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ACCC’s revised rule advice follows the same general approach used in sections 12.28 and 12.29 of the Basin Plan water trading rules. Section 12.28 provides that ‘An irrigation infrastructure operator must not unreasonably restrict the trade of a water delivery right’. Section 12.29 then provides a non-exhaustive list of ‘factors to be taken into account whether a restriction is reasonable’ for the purposes of section 12.28.</w:t>
      </w:r>
    </w:p>
  </w:footnote>
  <w:footnote w:id="240">
    <w:p w:rsidR="00C06B07" w:rsidRPr="00310970" w:rsidRDefault="00C06B07" w:rsidP="007F0263">
      <w:pPr>
        <w:spacing w:after="0"/>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Some examples are:</w:t>
      </w:r>
    </w:p>
    <w:p w:rsidR="00C06B07" w:rsidRPr="00310970" w:rsidRDefault="00C06B07" w:rsidP="00A82DE6">
      <w:pPr>
        <w:pStyle w:val="FNBullet"/>
        <w:rPr>
          <w:rFonts w:cs="Times New Roman"/>
          <w:b/>
          <w:u w:val="single"/>
        </w:rPr>
      </w:pPr>
      <w:r w:rsidRPr="00310970">
        <w:rPr>
          <w:rFonts w:cs="Times New Roman"/>
        </w:rPr>
        <w:t xml:space="preserve">Sections 152 ARA and 152AXC of the </w:t>
      </w:r>
      <w:r w:rsidRPr="00310970">
        <w:rPr>
          <w:rFonts w:cs="Times New Roman"/>
          <w:i/>
        </w:rPr>
        <w:t>Competition and Consumer Act</w:t>
      </w:r>
      <w:r w:rsidRPr="00310970">
        <w:rPr>
          <w:rFonts w:cs="Times New Roman"/>
        </w:rPr>
        <w:t xml:space="preserve"> 2010 (Cth) preclude an NBN corporation and other network providers from discriminating between access seekers. The wording of the legislation is direct and high level, stating that: “</w:t>
      </w:r>
      <w:r w:rsidRPr="00310970">
        <w:rPr>
          <w:rFonts w:cs="Times New Roman"/>
          <w:i/>
        </w:rPr>
        <w:t>a carrier…must not…discriminate between access seekers</w:t>
      </w:r>
      <w:r w:rsidRPr="00310970">
        <w:rPr>
          <w:rFonts w:cs="Times New Roman"/>
        </w:rPr>
        <w:t xml:space="preserve">”.  </w:t>
      </w:r>
    </w:p>
    <w:p w:rsidR="00C06B07" w:rsidRPr="00310970" w:rsidRDefault="00C06B07" w:rsidP="00A82DE6">
      <w:pPr>
        <w:pStyle w:val="FNBullet"/>
        <w:rPr>
          <w:rFonts w:cs="Times New Roman"/>
        </w:rPr>
      </w:pPr>
      <w:r w:rsidRPr="00310970">
        <w:rPr>
          <w:rFonts w:cs="Times New Roman"/>
        </w:rPr>
        <w:t xml:space="preserve">Section 136 of the </w:t>
      </w:r>
      <w:r w:rsidRPr="00310970">
        <w:rPr>
          <w:rFonts w:cs="Times New Roman"/>
          <w:i/>
        </w:rPr>
        <w:t>National Gas (South Australia) Act</w:t>
      </w:r>
      <w:r w:rsidRPr="00310970">
        <w:rPr>
          <w:rFonts w:cs="Times New Roman"/>
        </w:rPr>
        <w:t xml:space="preserve"> 2008 (SA) states that</w:t>
      </w:r>
      <w:r w:rsidRPr="00310970">
        <w:rPr>
          <w:rFonts w:cs="Times New Roman"/>
          <w:b/>
        </w:rPr>
        <w:t>:</w:t>
      </w:r>
    </w:p>
    <w:p w:rsidR="00C06B07" w:rsidRPr="00310970" w:rsidRDefault="00C06B07" w:rsidP="00A82DE6">
      <w:pPr>
        <w:pStyle w:val="FNBullet"/>
        <w:rPr>
          <w:rFonts w:cs="Times New Roman"/>
        </w:rPr>
      </w:pPr>
      <w:r w:rsidRPr="00310970">
        <w:rPr>
          <w:rFonts w:cs="Times New Roman"/>
        </w:rPr>
        <w:t xml:space="preserve">(1) A covered pipeline service provider must not engage in price discrimination when providing light regulation services. </w:t>
      </w:r>
    </w:p>
    <w:p w:rsidR="00C06B07" w:rsidRPr="00310970" w:rsidRDefault="00C06B07" w:rsidP="00A82DE6">
      <w:pPr>
        <w:pStyle w:val="FNBullet"/>
        <w:rPr>
          <w:rFonts w:cs="Times New Roman"/>
        </w:rPr>
      </w:pPr>
      <w:r w:rsidRPr="00310970">
        <w:rPr>
          <w:rFonts w:cs="Times New Roman"/>
        </w:rPr>
        <w:t>(2) Subsection (1) does not apply if the covered pipeline service provider engages in price discrimination that is conducive to efficient service provision.</w:t>
      </w:r>
    </w:p>
    <w:p w:rsidR="00C06B07" w:rsidRPr="00310970" w:rsidRDefault="00C06B07">
      <w:pPr>
        <w:pStyle w:val="FootnoteText"/>
        <w:rPr>
          <w:rFonts w:cs="Times New Roman"/>
          <w:sz w:val="16"/>
          <w:szCs w:val="16"/>
        </w:rPr>
      </w:pPr>
    </w:p>
  </w:footnote>
  <w:footnote w:id="241">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notes, however, that if an operator restricts the availability of an infrastructure service, then it may be relevant to consider what other services (and the charges for those other services) a customer has access to.</w:t>
      </w:r>
    </w:p>
  </w:footnote>
  <w:footnote w:id="242">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An example is where a different charge for the same infrastructure service applies for irrigation customers versus other users as a result of, and in proportion to, a state government subsidy to irrigators.</w:t>
      </w:r>
    </w:p>
  </w:footnote>
  <w:footnote w:id="243">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Schedule 2, Part 3, subsection 3(6) of the </w:t>
      </w:r>
      <w:r w:rsidRPr="00310970">
        <w:rPr>
          <w:rFonts w:cs="Times New Roman"/>
          <w:i/>
          <w:sz w:val="16"/>
          <w:szCs w:val="16"/>
        </w:rPr>
        <w:t>Water Act 2007</w:t>
      </w:r>
      <w:r w:rsidRPr="00310970">
        <w:rPr>
          <w:rFonts w:cs="Times New Roman"/>
          <w:sz w:val="16"/>
          <w:szCs w:val="16"/>
        </w:rPr>
        <w:t xml:space="preserve"> (Cth).</w:t>
      </w:r>
    </w:p>
  </w:footnote>
  <w:footnote w:id="244">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As an example, the difference between a ‘standard’ usage charge applied for delivery of water up to the volume of a customer’s water delivery right, and a higher ‘casual’ usage charge applied to delivery of water above that volume would be likely to be reasonable.</w:t>
      </w:r>
    </w:p>
    <w:p w:rsidR="00C06B07" w:rsidRPr="00310970" w:rsidRDefault="00C06B07" w:rsidP="00844E39">
      <w:pPr>
        <w:pStyle w:val="FootnoteText"/>
        <w:rPr>
          <w:rFonts w:cs="Times New Roman"/>
          <w:sz w:val="16"/>
          <w:szCs w:val="16"/>
        </w:rPr>
      </w:pPr>
      <w:r w:rsidRPr="00310970">
        <w:rPr>
          <w:rFonts w:cs="Times New Roman"/>
          <w:sz w:val="16"/>
          <w:szCs w:val="16"/>
        </w:rPr>
        <w:t>See also section 6.2.2 for further discussion.</w:t>
      </w:r>
    </w:p>
  </w:footnote>
  <w:footnote w:id="245">
    <w:p w:rsidR="00C06B07" w:rsidRPr="00310970" w:rsidRDefault="00C06B07" w:rsidP="00844E39">
      <w:pPr>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‘factor’ is similar to Basin Plan water trading rule 12.29(1)(e).</w:t>
      </w:r>
    </w:p>
  </w:footnote>
  <w:footnote w:id="246">
    <w:p w:rsidR="00C06B07" w:rsidRPr="00310970" w:rsidRDefault="00C06B07" w:rsidP="00844E39">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For this rule, the relevant Part IIIA arrangements are: (a) an access undertaking or access code; (b) a declared service; (c) an effective access regime; (d) a competitive tender process.</w:t>
      </w:r>
    </w:p>
  </w:footnote>
  <w:footnote w:id="247">
    <w:p w:rsidR="00C06B07" w:rsidRPr="00310970" w:rsidRDefault="00C06B07" w:rsidP="0070036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section 6.1 of the ACCC, </w:t>
      </w:r>
      <w:r w:rsidRPr="00310970">
        <w:rPr>
          <w:rFonts w:cs="Times New Roman"/>
          <w:i/>
          <w:sz w:val="16"/>
          <w:szCs w:val="16"/>
        </w:rPr>
        <w:t xml:space="preserve">Enforcement Guideline - Water Market and Water Charge Rules, </w:t>
      </w:r>
      <w:r w:rsidRPr="00310970">
        <w:rPr>
          <w:rFonts w:cs="Times New Roman"/>
          <w:sz w:val="16"/>
          <w:szCs w:val="16"/>
        </w:rPr>
        <w:t xml:space="preserve">Canberra, April 2011, p.4, viewed October 2015, </w:t>
      </w:r>
      <w:hyperlink r:id="rId32" w:history="1">
        <w:r w:rsidRPr="00310970">
          <w:rPr>
            <w:rStyle w:val="Hyperlink"/>
            <w:rFonts w:cs="Times New Roman"/>
            <w:sz w:val="16"/>
            <w:szCs w:val="16"/>
          </w:rPr>
          <w:t>https://www.accc.gov.au/system/files/ACCC%20enforcement%20guide%20to%20water%20rules.pdf</w:t>
        </w:r>
      </w:hyperlink>
      <w:r w:rsidRPr="00310970">
        <w:rPr>
          <w:rStyle w:val="Hyperlink"/>
          <w:rFonts w:cs="Times New Roman"/>
          <w:color w:val="auto"/>
          <w:sz w:val="16"/>
          <w:szCs w:val="16"/>
          <w:u w:val="none"/>
        </w:rPr>
        <w:t>.</w:t>
      </w:r>
      <w:r w:rsidRPr="00310970">
        <w:rPr>
          <w:rFonts w:cs="Times New Roman"/>
          <w:sz w:val="16"/>
          <w:szCs w:val="16"/>
        </w:rPr>
        <w:t xml:space="preserve"> </w:t>
      </w:r>
    </w:p>
  </w:footnote>
  <w:footnote w:id="248">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Where the ACCC refers to a trade of a tradeable water right, this includes a transfer. This is consistent with the definition of ‘trade’ in the Basin Plan water trading rules (see rule 1.07(2)-(3)).</w:t>
      </w:r>
    </w:p>
  </w:footnote>
  <w:footnote w:id="249">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 Market Rules 2009, rule 13. Note also that a fee to which water market rule 13 applies is not included in the definition of infrastructure charge.</w:t>
      </w:r>
    </w:p>
  </w:footnote>
  <w:footnote w:id="250">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Issues Paper Submission, July 2015, p.4.</w:t>
      </w:r>
    </w:p>
  </w:footnote>
  <w:footnote w:id="251">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Murray-Darling Basin Authority, Issues Paper Submission, July 2015, pp.6-7.</w:t>
      </w:r>
    </w:p>
  </w:footnote>
  <w:footnote w:id="252">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Draft Advice Submission, March 2016, p.3.</w:t>
      </w:r>
    </w:p>
  </w:footnote>
  <w:footnote w:id="253">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p.4.</w:t>
      </w:r>
    </w:p>
  </w:footnote>
  <w:footnote w:id="254">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Office of Environment and Heritage, Draft Advice Submission, March 2016, p.2.</w:t>
      </w:r>
    </w:p>
  </w:footnote>
  <w:footnote w:id="255">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256">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p.2.</w:t>
      </w:r>
    </w:p>
  </w:footnote>
  <w:footnote w:id="257">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p.2.</w:t>
      </w:r>
    </w:p>
  </w:footnote>
  <w:footnote w:id="258">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p.12.</w:t>
      </w:r>
    </w:p>
    <w:p w:rsidR="00C06B07" w:rsidRPr="00310970" w:rsidRDefault="00C06B07" w:rsidP="00BA1234">
      <w:pPr>
        <w:pStyle w:val="FootnoteText"/>
        <w:rPr>
          <w:rFonts w:cs="Times New Roman"/>
          <w:sz w:val="16"/>
          <w:szCs w:val="16"/>
        </w:rPr>
      </w:pPr>
      <w:r w:rsidRPr="00310970">
        <w:rPr>
          <w:rFonts w:cs="Times New Roman"/>
          <w:sz w:val="16"/>
          <w:szCs w:val="16"/>
        </w:rPr>
        <w:t>Some of the processes and therefore costs that the NIC argues infrastructure operators will need to undertake include:</w:t>
      </w:r>
    </w:p>
    <w:p w:rsidR="00C06B07" w:rsidRPr="00310970" w:rsidRDefault="00C06B07" w:rsidP="00F43856">
      <w:pPr>
        <w:pStyle w:val="FootnoteText"/>
        <w:numPr>
          <w:ilvl w:val="0"/>
          <w:numId w:val="58"/>
        </w:numPr>
        <w:tabs>
          <w:tab w:val="left" w:pos="340"/>
        </w:tabs>
        <w:spacing w:before="60"/>
        <w:rPr>
          <w:rFonts w:cs="Times New Roman"/>
          <w:sz w:val="16"/>
          <w:szCs w:val="16"/>
        </w:rPr>
      </w:pPr>
      <w:r w:rsidRPr="00310970">
        <w:rPr>
          <w:rFonts w:cs="Times New Roman"/>
          <w:sz w:val="16"/>
          <w:szCs w:val="16"/>
        </w:rPr>
        <w:t>“a very detailed analysis of all the steps in the process to which the fee relates”</w:t>
      </w:r>
    </w:p>
    <w:p w:rsidR="00C06B07" w:rsidRPr="00310970" w:rsidRDefault="00C06B07" w:rsidP="00F43856">
      <w:pPr>
        <w:pStyle w:val="FootnoteText"/>
        <w:numPr>
          <w:ilvl w:val="0"/>
          <w:numId w:val="58"/>
        </w:numPr>
        <w:tabs>
          <w:tab w:val="left" w:pos="340"/>
        </w:tabs>
        <w:spacing w:before="60"/>
        <w:rPr>
          <w:rFonts w:cs="Times New Roman"/>
          <w:sz w:val="16"/>
          <w:szCs w:val="16"/>
        </w:rPr>
      </w:pPr>
      <w:r w:rsidRPr="00310970">
        <w:rPr>
          <w:rFonts w:cs="Times New Roman"/>
          <w:sz w:val="16"/>
          <w:szCs w:val="16"/>
        </w:rPr>
        <w:t>“the appropriate levels of seniority of the personnel involved at each stage”</w:t>
      </w:r>
    </w:p>
    <w:p w:rsidR="00C06B07" w:rsidRPr="00310970" w:rsidRDefault="00C06B07" w:rsidP="00F43856">
      <w:pPr>
        <w:pStyle w:val="FootnoteText"/>
        <w:numPr>
          <w:ilvl w:val="0"/>
          <w:numId w:val="58"/>
        </w:numPr>
        <w:tabs>
          <w:tab w:val="left" w:pos="340"/>
        </w:tabs>
        <w:spacing w:before="60"/>
        <w:rPr>
          <w:rFonts w:cs="Times New Roman"/>
          <w:sz w:val="16"/>
          <w:szCs w:val="16"/>
        </w:rPr>
      </w:pPr>
      <w:r w:rsidRPr="00310970">
        <w:rPr>
          <w:rFonts w:cs="Times New Roman"/>
          <w:sz w:val="16"/>
          <w:szCs w:val="16"/>
        </w:rPr>
        <w:t>“the appropriate amount of time to be spent on each stage”</w:t>
      </w:r>
    </w:p>
    <w:p w:rsidR="00C06B07" w:rsidRPr="00310970" w:rsidRDefault="00C06B07" w:rsidP="00F43856">
      <w:pPr>
        <w:pStyle w:val="FootnoteText"/>
        <w:numPr>
          <w:ilvl w:val="0"/>
          <w:numId w:val="58"/>
        </w:numPr>
        <w:tabs>
          <w:tab w:val="left" w:pos="340"/>
        </w:tabs>
        <w:spacing w:before="60"/>
        <w:rPr>
          <w:rFonts w:cs="Times New Roman"/>
          <w:sz w:val="16"/>
          <w:szCs w:val="16"/>
        </w:rPr>
      </w:pPr>
      <w:r w:rsidRPr="00310970">
        <w:rPr>
          <w:rFonts w:cs="Times New Roman"/>
          <w:sz w:val="16"/>
          <w:szCs w:val="16"/>
        </w:rPr>
        <w:t>“the costs (and on-costs) associated with these personnel”.</w:t>
      </w:r>
    </w:p>
  </w:footnote>
  <w:footnote w:id="259">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p.3.</w:t>
      </w:r>
    </w:p>
  </w:footnote>
  <w:footnote w:id="260">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Draft Advice Submission, March 2016, p.3.</w:t>
      </w:r>
    </w:p>
  </w:footnote>
  <w:footnote w:id="261">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p.4.</w:t>
      </w:r>
    </w:p>
  </w:footnote>
  <w:footnote w:id="262">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p.12; Western Murray Irrigation, Draft Advice Submission, March 2016, p.2.</w:t>
      </w:r>
    </w:p>
  </w:footnote>
  <w:footnote w:id="263">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discussion uses the term ‘buyer’ to refer to the person that will hold the water allocation after the trade / transfer. The ACCC recognises that a trade may not involve any consideration, including where a person is trading to move water between their properties.</w:t>
      </w:r>
    </w:p>
  </w:footnote>
  <w:footnote w:id="264">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also noted that it agrees with Marsden Jacob Associates finding that WaterNSW’s policy to levy its variable usage charge on interstate trade has led to a differential in the asking price (posted by NSW sellers) for NSW water allocations in NSW and Victorian / South Australian markets of around $5-$7. Waterfind, Draft Advice Submission, March 2016, p.4.</w:t>
      </w:r>
    </w:p>
  </w:footnote>
  <w:footnote w:id="265">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p.5.</w:t>
      </w:r>
    </w:p>
  </w:footnote>
  <w:footnote w:id="266">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Draft Advice Submission, March 2016, pp.4-5.</w:t>
      </w:r>
    </w:p>
  </w:footnote>
  <w:footnote w:id="267">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notes that while a buyer can claim the fee back, the process to do so is “overly cumbersome” and “too difficult” and therefore many people who could claim it, have not.</w:t>
      </w:r>
    </w:p>
  </w:footnote>
  <w:footnote w:id="268">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pp.4-5.</w:t>
      </w:r>
    </w:p>
  </w:footnote>
  <w:footnote w:id="269">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p.5.</w:t>
      </w:r>
    </w:p>
  </w:footnote>
  <w:footnote w:id="270">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Queensland trade application charges are set under the </w:t>
      </w:r>
      <w:r w:rsidRPr="00310970">
        <w:rPr>
          <w:rFonts w:cs="Times New Roman"/>
          <w:i/>
          <w:sz w:val="16"/>
          <w:szCs w:val="16"/>
        </w:rPr>
        <w:t>Water Regulations</w:t>
      </w:r>
      <w:r w:rsidRPr="00310970">
        <w:rPr>
          <w:rFonts w:cs="Times New Roman"/>
          <w:sz w:val="16"/>
          <w:szCs w:val="16"/>
        </w:rPr>
        <w:t xml:space="preserve"> </w:t>
      </w:r>
      <w:r w:rsidRPr="00310970">
        <w:rPr>
          <w:rFonts w:cs="Times New Roman"/>
          <w:i/>
          <w:sz w:val="16"/>
          <w:szCs w:val="16"/>
        </w:rPr>
        <w:t xml:space="preserve">2002 </w:t>
      </w:r>
      <w:r w:rsidRPr="00310970">
        <w:rPr>
          <w:rFonts w:cs="Times New Roman"/>
          <w:sz w:val="16"/>
          <w:szCs w:val="16"/>
        </w:rPr>
        <w:t xml:space="preserve">(Qld), Schedule 16, viewed June 2016, </w:t>
      </w:r>
      <w:hyperlink r:id="rId33" w:history="1">
        <w:r w:rsidRPr="00310970">
          <w:rPr>
            <w:rStyle w:val="Hyperlink"/>
            <w:rFonts w:cs="Times New Roman"/>
            <w:sz w:val="16"/>
            <w:szCs w:val="16"/>
          </w:rPr>
          <w:t>https://www.legislation.qld.gov.au/LEGISLTN/CURRENT/W/WaterR02.pdf</w:t>
        </w:r>
      </w:hyperlink>
      <w:r w:rsidRPr="00310970">
        <w:rPr>
          <w:rFonts w:cs="Times New Roman"/>
          <w:sz w:val="16"/>
          <w:szCs w:val="16"/>
        </w:rPr>
        <w:t xml:space="preserve">. Victorian trade application charges are set under the </w:t>
      </w:r>
      <w:r w:rsidRPr="00310970">
        <w:rPr>
          <w:rFonts w:cs="Times New Roman"/>
          <w:i/>
          <w:sz w:val="16"/>
          <w:szCs w:val="16"/>
        </w:rPr>
        <w:t>Water (Resource Management) Regulations</w:t>
      </w:r>
      <w:r w:rsidRPr="00310970">
        <w:rPr>
          <w:rFonts w:cs="Times New Roman"/>
          <w:sz w:val="16"/>
          <w:szCs w:val="16"/>
        </w:rPr>
        <w:t xml:space="preserve"> </w:t>
      </w:r>
      <w:r w:rsidRPr="00310970">
        <w:rPr>
          <w:rFonts w:cs="Times New Roman"/>
          <w:i/>
          <w:sz w:val="16"/>
          <w:szCs w:val="16"/>
        </w:rPr>
        <w:t>2007</w:t>
      </w:r>
      <w:r w:rsidRPr="00310970">
        <w:rPr>
          <w:rFonts w:cs="Times New Roman"/>
          <w:sz w:val="16"/>
          <w:szCs w:val="16"/>
        </w:rPr>
        <w:t xml:space="preserve"> (Vic) and the </w:t>
      </w:r>
      <w:r w:rsidRPr="00310970">
        <w:rPr>
          <w:rFonts w:cs="Times New Roman"/>
          <w:i/>
          <w:sz w:val="16"/>
          <w:szCs w:val="16"/>
        </w:rPr>
        <w:t>Water (Resource Management) Amendment Regulations</w:t>
      </w:r>
      <w:r w:rsidRPr="00310970">
        <w:rPr>
          <w:rFonts w:cs="Times New Roman"/>
          <w:sz w:val="16"/>
          <w:szCs w:val="16"/>
        </w:rPr>
        <w:t xml:space="preserve"> </w:t>
      </w:r>
      <w:r w:rsidRPr="00310970">
        <w:rPr>
          <w:rFonts w:cs="Times New Roman"/>
          <w:i/>
          <w:sz w:val="16"/>
          <w:szCs w:val="16"/>
        </w:rPr>
        <w:t>2009</w:t>
      </w:r>
      <w:r w:rsidRPr="00310970">
        <w:rPr>
          <w:rFonts w:cs="Times New Roman"/>
          <w:sz w:val="16"/>
          <w:szCs w:val="16"/>
        </w:rPr>
        <w:t xml:space="preserve"> (Vic), </w:t>
      </w:r>
      <w:hyperlink r:id="rId34" w:history="1">
        <w:r w:rsidRPr="00310970">
          <w:rPr>
            <w:rStyle w:val="Hyperlink"/>
            <w:rFonts w:cs="Times New Roman"/>
            <w:sz w:val="16"/>
            <w:szCs w:val="16"/>
          </w:rPr>
          <w:t>http://waterregister.vic.gov.au/about/forms-and-fees/fees</w:t>
        </w:r>
      </w:hyperlink>
      <w:r w:rsidRPr="00310970">
        <w:rPr>
          <w:rFonts w:cs="Times New Roman"/>
          <w:sz w:val="16"/>
          <w:szCs w:val="16"/>
        </w:rPr>
        <w:t xml:space="preserve">; NSW trade application charges are set by IPART, viewed June 2016, </w:t>
      </w:r>
      <w:hyperlink r:id="rId35" w:history="1">
        <w:r w:rsidRPr="00310970">
          <w:rPr>
            <w:rStyle w:val="Hyperlink"/>
            <w:rFonts w:cs="Times New Roman"/>
            <w:sz w:val="16"/>
            <w:szCs w:val="16"/>
          </w:rPr>
          <w:t>http://www.water.nsw.gov.au/water-management/fees-and-charges/price-setting</w:t>
        </w:r>
      </w:hyperlink>
      <w:r w:rsidRPr="00310970">
        <w:rPr>
          <w:rFonts w:cs="Times New Roman"/>
          <w:sz w:val="16"/>
          <w:szCs w:val="16"/>
        </w:rPr>
        <w:t xml:space="preserve">. </w:t>
      </w:r>
    </w:p>
  </w:footnote>
  <w:footnote w:id="271">
    <w:p w:rsidR="00C06B07" w:rsidRPr="00310970" w:rsidRDefault="00C06B07" w:rsidP="008E52CD">
      <w:pPr>
        <w:widowControl w:val="0"/>
        <w:autoSpaceDE w:val="0"/>
        <w:autoSpaceDN w:val="0"/>
        <w:adjustRightInd w:val="0"/>
        <w:spacing w:after="0" w:line="240" w:lineRule="auto"/>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for example, ACCC, </w:t>
      </w:r>
      <w:r w:rsidRPr="00310970">
        <w:rPr>
          <w:rFonts w:cs="Times New Roman"/>
          <w:i/>
          <w:sz w:val="16"/>
          <w:szCs w:val="16"/>
        </w:rPr>
        <w:t>Permanently selling your water and terminating your delivery right—a guide for irrigators about the water market rules and rules on termination fees</w:t>
      </w:r>
      <w:r w:rsidRPr="00310970">
        <w:rPr>
          <w:rFonts w:cs="Times New Roman"/>
          <w:sz w:val="16"/>
          <w:szCs w:val="16"/>
        </w:rPr>
        <w:t xml:space="preserve">, Canberra, 2009, p. 9, viewed June 2016, </w:t>
      </w:r>
      <w:hyperlink r:id="rId36" w:history="1">
        <w:r w:rsidRPr="00310970">
          <w:rPr>
            <w:rStyle w:val="Hyperlink"/>
            <w:rFonts w:cs="Times New Roman"/>
            <w:sz w:val="16"/>
            <w:szCs w:val="16"/>
          </w:rPr>
          <w:t>https://www.accc.gov.au/system/files/Permanently%20selling%20your%20water%20and%20terminating%20your%20delivery%20right.pdf</w:t>
        </w:r>
      </w:hyperlink>
    </w:p>
  </w:footnote>
  <w:footnote w:id="272">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As indicated previously, payment of the NSW valley-of-origin variable charge is payable when the buyer does not hold a NSW water access licence linked to a NSW works approval. In this discussion, the ACCC restricts attention to the case where the buyer does not hold the required NSW rights because they are located interstate.</w:t>
      </w:r>
    </w:p>
  </w:footnote>
  <w:footnote w:id="273">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acknowledges that, since stored water may eventually be used in a subsequent period, variable charges may be paid in a future period. Similarly, since forfeited water is returned to the consumptive pool and is available to be allocated in a future period, variable charges may also be paid in relation to previously forfeited water at a future date. Thus these mechanisms potentially have the effect of delaying (rather than foregoing) recovery of costs.</w:t>
      </w:r>
    </w:p>
  </w:footnote>
  <w:footnote w:id="274">
    <w:p w:rsidR="00C06B07" w:rsidRPr="00310970" w:rsidRDefault="00C06B07" w:rsidP="00BA1234">
      <w:pPr>
        <w:pStyle w:val="Default"/>
        <w:rPr>
          <w:rFonts w:ascii="Times New Roman" w:hAnsi="Times New Roman" w:cs="Times New Roman"/>
          <w:color w:val="auto"/>
          <w:sz w:val="16"/>
          <w:szCs w:val="16"/>
        </w:rPr>
      </w:pPr>
      <w:r w:rsidRPr="00310970">
        <w:rPr>
          <w:rFonts w:ascii="Times New Roman" w:eastAsiaTheme="minorEastAsia" w:hAnsi="Times New Roman" w:cs="Times New Roman"/>
          <w:color w:val="auto"/>
          <w:sz w:val="16"/>
          <w:szCs w:val="16"/>
          <w:vertAlign w:val="superscript"/>
          <w:lang w:eastAsia="en-AU"/>
        </w:rPr>
        <w:footnoteRef/>
      </w:r>
      <w:r w:rsidRPr="00310970">
        <w:rPr>
          <w:rFonts w:ascii="Times New Roman" w:eastAsiaTheme="minorEastAsia" w:hAnsi="Times New Roman" w:cs="Times New Roman"/>
          <w:color w:val="auto"/>
          <w:sz w:val="16"/>
          <w:szCs w:val="16"/>
          <w:lang w:eastAsia="en-AU"/>
        </w:rPr>
        <w:t xml:space="preserve"> Marsden Jacob Associates, </w:t>
      </w:r>
      <w:r w:rsidRPr="00310970">
        <w:rPr>
          <w:rFonts w:ascii="Times New Roman" w:hAnsi="Times New Roman" w:cs="Times New Roman"/>
          <w:i/>
          <w:color w:val="auto"/>
          <w:sz w:val="16"/>
          <w:szCs w:val="16"/>
        </w:rPr>
        <w:t>The Impact of Infrastructure Charge Structures on Water Trade in the Murray Darling Basin,</w:t>
      </w:r>
      <w:r w:rsidRPr="00310970">
        <w:rPr>
          <w:rFonts w:ascii="Times New Roman" w:hAnsi="Times New Roman" w:cs="Times New Roman"/>
          <w:color w:val="auto"/>
          <w:sz w:val="16"/>
          <w:szCs w:val="16"/>
        </w:rPr>
        <w:t xml:space="preserve"> </w:t>
      </w:r>
    </w:p>
    <w:p w:rsidR="00C06B07" w:rsidRPr="00310970" w:rsidRDefault="00C06B07" w:rsidP="00BA1234">
      <w:pPr>
        <w:pStyle w:val="FootnoteText"/>
        <w:rPr>
          <w:rFonts w:cs="Times New Roman"/>
          <w:sz w:val="16"/>
          <w:szCs w:val="16"/>
        </w:rPr>
      </w:pPr>
      <w:r w:rsidRPr="00310970">
        <w:rPr>
          <w:rFonts w:cs="Times New Roman"/>
          <w:sz w:val="16"/>
          <w:szCs w:val="16"/>
        </w:rPr>
        <w:t xml:space="preserve">Report prepared for ACCC, June 2015, pp.15-17, 21, </w:t>
      </w:r>
      <w:hyperlink r:id="rId37" w:history="1">
        <w:r w:rsidRPr="00310970">
          <w:rPr>
            <w:rStyle w:val="Hyperlink"/>
            <w:rFonts w:cs="Times New Roman"/>
            <w:sz w:val="16"/>
            <w:szCs w:val="16"/>
          </w:rPr>
          <w:t>https://www.accc.gov.au/system/files/Marsden%20Jacobs%20Associates%20-%20impact%20of%20infrastructure%20charges%20on%20water%20trade%20in%20the%20MDB.pdf</w:t>
        </w:r>
      </w:hyperlink>
      <w:r w:rsidRPr="00310970">
        <w:rPr>
          <w:rStyle w:val="Hyperlink"/>
          <w:rFonts w:cs="Times New Roman"/>
          <w:sz w:val="16"/>
          <w:szCs w:val="16"/>
        </w:rPr>
        <w:t>.</w:t>
      </w:r>
      <w:r w:rsidRPr="00310970">
        <w:rPr>
          <w:rFonts w:cs="Times New Roman"/>
          <w:sz w:val="16"/>
          <w:szCs w:val="16"/>
        </w:rPr>
        <w:t xml:space="preserve"> </w:t>
      </w:r>
    </w:p>
  </w:footnote>
  <w:footnote w:id="275">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example, because the buyer is located in a different jurisdiction to the infrastructure operator providing the service.</w:t>
      </w:r>
    </w:p>
  </w:footnote>
  <w:footnote w:id="276">
    <w:p w:rsidR="00C06B07" w:rsidRPr="00310970" w:rsidRDefault="00C06B07" w:rsidP="00BA123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Both the Water Charge (Infrastructure) Rules 2010 (WCIR) and NSW state legislation require IPART to be satisfied that the forecast revenue from regulated charges is reasonably likely to meet that part of prudent and efficient costs of providing infrastructure services that are not met from other sources.</w:t>
      </w:r>
    </w:p>
  </w:footnote>
  <w:footnote w:id="277">
    <w:p w:rsidR="00C06B07" w:rsidRPr="00310970" w:rsidRDefault="00C06B07" w:rsidP="002C0BDA">
      <w:pPr>
        <w:spacing w:after="0" w:line="240" w:lineRule="auto"/>
        <w:rPr>
          <w:rFonts w:cs="Times New Roman"/>
          <w:b/>
          <w:sz w:val="16"/>
          <w:szCs w:val="16"/>
        </w:rPr>
      </w:pPr>
      <w:r w:rsidRPr="00310970">
        <w:rPr>
          <w:rStyle w:val="FootnoteReference"/>
          <w:rFonts w:cs="Times New Roman"/>
          <w:sz w:val="16"/>
          <w:szCs w:val="16"/>
        </w:rPr>
        <w:footnoteRef/>
      </w:r>
      <w:r w:rsidRPr="00310970">
        <w:rPr>
          <w:rFonts w:cs="Times New Roman"/>
          <w:sz w:val="16"/>
          <w:szCs w:val="16"/>
        </w:rPr>
        <w:t xml:space="preserve"> The ACCC does not share stakeholder views that this charging practice would introduce a ‘price floor’ into NSW water allocation markets. The ACCC notes that from a trade perspective this proposal is akin to moving towards a higher fixed-variable split. In Victoria, where on-river charges are 100 per cent fixed, a ‘price floor’ does not appear to have emerged—which is expected given that ‘fixed’ charges should be viewed as sunk costs when making trading decisions.</w:t>
      </w:r>
    </w:p>
  </w:footnote>
  <w:footnote w:id="278">
    <w:p w:rsidR="00C06B07" w:rsidRPr="00310970" w:rsidRDefault="00C06B07" w:rsidP="00BA1234">
      <w:pPr>
        <w:tabs>
          <w:tab w:val="left" w:pos="340"/>
        </w:tabs>
        <w:spacing w:after="0" w:line="240" w:lineRule="auto"/>
        <w:rPr>
          <w:rFonts w:cs="Times New Roman"/>
          <w:b/>
          <w:sz w:val="16"/>
          <w:szCs w:val="16"/>
        </w:rPr>
      </w:pPr>
      <w:r w:rsidRPr="00310970">
        <w:rPr>
          <w:rStyle w:val="FootnoteReference"/>
          <w:rFonts w:cs="Times New Roman"/>
          <w:sz w:val="16"/>
          <w:szCs w:val="16"/>
        </w:rPr>
        <w:footnoteRef/>
      </w:r>
      <w:r w:rsidRPr="00310970">
        <w:rPr>
          <w:rFonts w:cs="Times New Roman"/>
          <w:sz w:val="16"/>
          <w:szCs w:val="16"/>
        </w:rPr>
        <w:t xml:space="preserve"> Under current arrangements, users who forfeit can avoid contributions toward fixed costs that are recovered through variable charges. This has the effect of raising variable charges for customers in that valley who do use water.</w:t>
      </w:r>
    </w:p>
    <w:p w:rsidR="00C06B07" w:rsidRPr="00310970" w:rsidRDefault="00C06B07" w:rsidP="00BA1234">
      <w:pPr>
        <w:pStyle w:val="FootnoteText"/>
        <w:rPr>
          <w:rFonts w:cs="Times New Roman"/>
          <w:sz w:val="16"/>
          <w:szCs w:val="16"/>
        </w:rPr>
      </w:pPr>
    </w:p>
  </w:footnote>
  <w:footnote w:id="279">
    <w:p w:rsidR="00C06B07" w:rsidRPr="00310970" w:rsidRDefault="00C06B07" w:rsidP="004504E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WCIR define a regulated charge as a subset of ‘regulated water charges’ as defined in section 91 of the </w:t>
      </w:r>
      <w:r w:rsidRPr="00310970">
        <w:rPr>
          <w:rFonts w:cs="Times New Roman"/>
          <w:i/>
          <w:sz w:val="16"/>
          <w:szCs w:val="16"/>
        </w:rPr>
        <w:t>Water Act 2007</w:t>
      </w:r>
      <w:r w:rsidRPr="00310970">
        <w:rPr>
          <w:rFonts w:cs="Times New Roman"/>
          <w:sz w:val="16"/>
          <w:szCs w:val="16"/>
        </w:rPr>
        <w:t xml:space="preserve"> (Cth). More specifically, it means a charge of a kind referred to in paragraph 91(1)(a), (b) or (d) of the </w:t>
      </w:r>
      <w:r w:rsidRPr="00310970">
        <w:rPr>
          <w:rFonts w:cs="Times New Roman"/>
          <w:i/>
          <w:sz w:val="16"/>
          <w:szCs w:val="16"/>
        </w:rPr>
        <w:t>Water Act 2007</w:t>
      </w:r>
      <w:r w:rsidRPr="00310970">
        <w:rPr>
          <w:rFonts w:cs="Times New Roman"/>
          <w:sz w:val="16"/>
          <w:szCs w:val="16"/>
        </w:rPr>
        <w:t>, but does not include:</w:t>
      </w:r>
    </w:p>
    <w:p w:rsidR="00C06B07" w:rsidRPr="00310970" w:rsidRDefault="00C06B07" w:rsidP="004504E8">
      <w:pPr>
        <w:pStyle w:val="FootnoteText"/>
        <w:ind w:left="648"/>
        <w:rPr>
          <w:rFonts w:cs="Times New Roman"/>
          <w:sz w:val="16"/>
          <w:szCs w:val="16"/>
        </w:rPr>
      </w:pPr>
      <w:r w:rsidRPr="00310970">
        <w:rPr>
          <w:rFonts w:cs="Times New Roman"/>
          <w:sz w:val="16"/>
          <w:szCs w:val="16"/>
        </w:rPr>
        <w:t>(a) a fee to which rule 13 of the Water Market Rules 2009</w:t>
      </w:r>
      <w:r w:rsidRPr="00310970">
        <w:rPr>
          <w:rFonts w:cs="Times New Roman"/>
          <w:i/>
          <w:sz w:val="16"/>
          <w:szCs w:val="16"/>
        </w:rPr>
        <w:t xml:space="preserve"> </w:t>
      </w:r>
      <w:r w:rsidRPr="00310970">
        <w:rPr>
          <w:rFonts w:cs="Times New Roman"/>
          <w:sz w:val="16"/>
          <w:szCs w:val="16"/>
        </w:rPr>
        <w:t>applies; or</w:t>
      </w:r>
    </w:p>
    <w:p w:rsidR="00C06B07" w:rsidRPr="00310970" w:rsidRDefault="00C06B07" w:rsidP="004504E8">
      <w:pPr>
        <w:pStyle w:val="FootnoteText"/>
        <w:ind w:left="648"/>
        <w:rPr>
          <w:rFonts w:cs="Times New Roman"/>
          <w:sz w:val="16"/>
          <w:szCs w:val="16"/>
        </w:rPr>
      </w:pPr>
      <w:r w:rsidRPr="00310970">
        <w:rPr>
          <w:rFonts w:cs="Times New Roman"/>
          <w:sz w:val="16"/>
          <w:szCs w:val="16"/>
        </w:rPr>
        <w:t>(b) a fee to which rule 6 or 8 of the Water Charge (Termination Fees) Rules 2010</w:t>
      </w:r>
      <w:r w:rsidRPr="00310970">
        <w:rPr>
          <w:rFonts w:cs="Times New Roman"/>
          <w:i/>
          <w:sz w:val="16"/>
          <w:szCs w:val="16"/>
        </w:rPr>
        <w:t xml:space="preserve"> </w:t>
      </w:r>
      <w:r w:rsidRPr="00310970">
        <w:rPr>
          <w:rFonts w:cs="Times New Roman"/>
          <w:sz w:val="16"/>
          <w:szCs w:val="16"/>
        </w:rPr>
        <w:t>applies.</w:t>
      </w:r>
    </w:p>
    <w:p w:rsidR="00C06B07" w:rsidRPr="00310970" w:rsidRDefault="00C06B07" w:rsidP="00CE5043">
      <w:pPr>
        <w:pStyle w:val="FootnoteText"/>
        <w:rPr>
          <w:rFonts w:cs="Times New Roman"/>
          <w:sz w:val="16"/>
          <w:szCs w:val="16"/>
        </w:rPr>
      </w:pPr>
      <w:r w:rsidRPr="00310970">
        <w:rPr>
          <w:rFonts w:cs="Times New Roman"/>
          <w:sz w:val="16"/>
          <w:szCs w:val="16"/>
        </w:rPr>
        <w:t xml:space="preserve"> As set out in section 4.3.1, the ACCC has proposed to rename such charges as ‘infrastructure charges’.</w:t>
      </w:r>
    </w:p>
  </w:footnote>
  <w:footnote w:id="280">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Subsection 91(1)(a) refers to fees or charges payable to an IIO for access to the IIO’s irrigation network, changing or terminating access to the irrigation network, or surrendering a right to the delivery of water through the irrigation network.</w:t>
      </w:r>
    </w:p>
  </w:footnote>
  <w:footnote w:id="281">
    <w:p w:rsidR="00C06B07" w:rsidRPr="00310970" w:rsidRDefault="00C06B07" w:rsidP="00A84A61">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rule 4 subparagraph (b), definition of </w:t>
      </w:r>
      <w:r w:rsidRPr="00310970">
        <w:rPr>
          <w:rFonts w:cs="Times New Roman"/>
          <w:b/>
          <w:i/>
          <w:sz w:val="16"/>
          <w:szCs w:val="16"/>
        </w:rPr>
        <w:t>schedule of charges</w:t>
      </w:r>
      <w:r w:rsidRPr="00310970">
        <w:rPr>
          <w:rFonts w:cs="Times New Roman"/>
          <w:sz w:val="16"/>
          <w:szCs w:val="16"/>
        </w:rPr>
        <w:t>.</w:t>
      </w:r>
    </w:p>
  </w:footnote>
  <w:footnote w:id="282">
    <w:p w:rsidR="00C06B07" w:rsidRPr="00310970" w:rsidRDefault="00C06B07" w:rsidP="00A84A61">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the ACCC proposes to repeal the requirements to publish information about water planning and management activities related to planning and management charges and the costs of those activities. See chapter 7 for further discussion. </w:t>
      </w:r>
    </w:p>
  </w:footnote>
  <w:footnote w:id="283">
    <w:p w:rsidR="00C06B07" w:rsidRPr="00310970" w:rsidRDefault="00C06B07" w:rsidP="00FD0F1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Issues Paper Submission, July 2015, p.3.</w:t>
      </w:r>
    </w:p>
  </w:footnote>
  <w:footnote w:id="284">
    <w:p w:rsidR="00C06B07" w:rsidRPr="00310970" w:rsidRDefault="00C06B07" w:rsidP="00FD0F1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Issues Paper Submission, July 2015, pp.8-9.</w:t>
      </w:r>
    </w:p>
  </w:footnote>
  <w:footnote w:id="285">
    <w:p w:rsidR="00C06B07" w:rsidRPr="00310970" w:rsidRDefault="00C06B07" w:rsidP="008B3520">
      <w:pPr>
        <w:spacing w:after="0" w:line="240" w:lineRule="auto"/>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National Farmers’ Federation submitted its view that the recovery of MDBA costs is the “greatest area of inconsistency in water charging”. National Farmers’ Federation, Submission to the Independent Review of the Water Act 2007, 2014, pp.3,9, 16. Murray Irrigation Limited, Submission to the Independent Review of the Water Act 2007, July 2014, p.8; NSW Government, Submission to the Independent Review of the Water Act 2007, 2014, p.2; NSW Irrigators’ Council, Submission to the Independent Review of the Water Act 2007, 2014, pp.3, 9; Southern Riverina Irrigators, Submission to the Independent Review of the Water Act 2007, 2014, pp.2-3; State Water, Submission to the Independent Review of the Water Act 2007, July 2014, pp.39-41.</w:t>
      </w:r>
    </w:p>
  </w:footnote>
  <w:footnote w:id="286">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5.4.1 of ACCC, </w:t>
      </w:r>
      <w:r w:rsidRPr="00310970">
        <w:rPr>
          <w:rFonts w:cs="Times New Roman"/>
          <w:i/>
          <w:sz w:val="16"/>
          <w:szCs w:val="16"/>
        </w:rPr>
        <w:t>Water Charge Rules Review Draft Advice</w:t>
      </w:r>
      <w:r w:rsidRPr="00310970">
        <w:rPr>
          <w:rFonts w:cs="Times New Roman"/>
          <w:sz w:val="16"/>
          <w:szCs w:val="16"/>
        </w:rPr>
        <w:t>, Canberra, November 2015, pp.60-62.</w:t>
      </w:r>
    </w:p>
  </w:footnote>
  <w:footnote w:id="287">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the Commonwealth Environmental Water Holder, Goulburn-Murray Water, the Local Government Association of Queensland.</w:t>
      </w:r>
    </w:p>
  </w:footnote>
  <w:footnote w:id="288">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Goulburn-Murray Irrigators, Draft Advice Submission, March 2016, p.2.</w:t>
      </w:r>
    </w:p>
  </w:footnote>
  <w:footnote w:id="289">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ibid.</w:t>
      </w:r>
    </w:p>
  </w:footnote>
  <w:footnote w:id="290">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p.2.</w:t>
      </w:r>
    </w:p>
  </w:footnote>
  <w:footnote w:id="291">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ibid, p.4.</w:t>
      </w:r>
    </w:p>
  </w:footnote>
  <w:footnote w:id="292">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p.8.</w:t>
      </w:r>
    </w:p>
  </w:footnote>
  <w:footnote w:id="293">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National Irrigators’ Council, Draft Advice Submission, March 2016, p.12.</w:t>
      </w:r>
    </w:p>
  </w:footnote>
  <w:footnote w:id="294">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National Farmers’ Federation, Draft Advice Submission, March 2016, p.2.</w:t>
      </w:r>
    </w:p>
  </w:footnote>
  <w:footnote w:id="295">
    <w:p w:rsidR="00C06B07" w:rsidRPr="00310970" w:rsidRDefault="00C06B07" w:rsidP="00AD7D23">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Local Government Association of Queensland, Draft Advice Submission, March 2016, p.8.</w:t>
      </w:r>
    </w:p>
  </w:footnote>
  <w:footnote w:id="296">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National Farmers’ Federation, Draft Advice Submission, March 2016, p.2.</w:t>
      </w:r>
    </w:p>
  </w:footnote>
  <w:footnote w:id="297">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Western Murray Irrigation, Draft Advice Submission, March 2016, p.2; National Irrigators’ Council, Draft Advice Submission, March 2016, p.12.</w:t>
      </w:r>
    </w:p>
  </w:footnote>
  <w:footnote w:id="298">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Western Murray Irrigation, Draft Advice Submission, March 2016, p.2.</w:t>
      </w:r>
    </w:p>
  </w:footnote>
  <w:footnote w:id="299">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National Irrigators’ Council, Draft Advice Submission, March 2016, p.12.</w:t>
      </w:r>
    </w:p>
  </w:footnote>
  <w:footnote w:id="300">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Queensland Farmers’ Federation, Draft Advice Submission, March 2016, p.4.</w:t>
      </w:r>
    </w:p>
    <w:p w:rsidR="00C06B07" w:rsidRPr="00310970" w:rsidRDefault="00C06B07" w:rsidP="00903932">
      <w:pPr>
        <w:pStyle w:val="FootnoteText"/>
        <w:rPr>
          <w:rFonts w:cs="Times New Roman"/>
          <w:sz w:val="16"/>
          <w:szCs w:val="16"/>
        </w:rPr>
      </w:pPr>
      <w:r w:rsidRPr="00310970">
        <w:rPr>
          <w:rFonts w:cs="Times New Roman"/>
          <w:sz w:val="16"/>
          <w:szCs w:val="16"/>
        </w:rPr>
        <w:t>The Queensland Farmers’ Federation added that it “has supported the preparation of the Network Service Plans for this period to provide a transparency annual reporting process on the implementation of the prices recommended by the Queensland Competition Authority (QCA). The annual plans will also provide data for and efficiencies in the conduct the next price investigation”.</w:t>
      </w:r>
    </w:p>
  </w:footnote>
  <w:footnote w:id="301">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p.5.</w:t>
      </w:r>
    </w:p>
  </w:footnote>
  <w:footnote w:id="302">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The ACCC is proposing further amendments to rules 7 and 11 such that the requirement to ‘not levy a charge that is not listed on the Schedule of Charges’, is separate from the requirement to ‘send / publish a Schedule of Charges’. </w:t>
      </w:r>
    </w:p>
  </w:footnote>
  <w:footnote w:id="303">
    <w:p w:rsidR="00C06B07" w:rsidRPr="00310970" w:rsidRDefault="00C06B07" w:rsidP="001C678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the term “regulated charges” in the current WCIR has been re-labelled as “infrastructure charges” in the proposed water charge rules. See rule advice 4-B.</w:t>
      </w:r>
    </w:p>
  </w:footnote>
  <w:footnote w:id="304">
    <w:p w:rsidR="00C06B07" w:rsidRPr="00310970" w:rsidRDefault="00C06B07" w:rsidP="001C678D">
      <w:pPr>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ACCC, </w:t>
      </w:r>
      <w:r w:rsidRPr="00310970">
        <w:rPr>
          <w:rFonts w:cs="Times New Roman"/>
          <w:i/>
          <w:sz w:val="16"/>
          <w:szCs w:val="16"/>
        </w:rPr>
        <w:t>A guide to the water charge (infrastructure) rules: Publishing and non-discriminatory charging requirements</w:t>
      </w:r>
      <w:r w:rsidRPr="00310970">
        <w:rPr>
          <w:rFonts w:cs="Times New Roman"/>
          <w:sz w:val="16"/>
          <w:szCs w:val="16"/>
        </w:rPr>
        <w:t>, June 2011, pp.19</w:t>
      </w:r>
      <w:r w:rsidRPr="00310970">
        <w:rPr>
          <w:rFonts w:cs="Times New Roman"/>
          <w:sz w:val="16"/>
          <w:szCs w:val="16"/>
        </w:rPr>
        <w:noBreakHyphen/>
        <w:t xml:space="preserve">20, viewed June 2016, </w:t>
      </w:r>
      <w:hyperlink r:id="rId38" w:history="1">
        <w:r w:rsidRPr="00310970">
          <w:rPr>
            <w:rStyle w:val="Hyperlink"/>
            <w:rFonts w:cs="Times New Roman"/>
            <w:sz w:val="16"/>
            <w:szCs w:val="16"/>
          </w:rPr>
          <w:t>https://www.accc.gov.au/system/files/Water%20charge%20rules%20-%20infrastructure%20-%20guide%20to%20publishing%20and%20non-discriminatory%20charging%20requireme_0.pdf</w:t>
        </w:r>
      </w:hyperlink>
      <w:r w:rsidRPr="00310970">
        <w:rPr>
          <w:rFonts w:cs="Times New Roman"/>
          <w:sz w:val="16"/>
          <w:szCs w:val="16"/>
        </w:rPr>
        <w:t xml:space="preserve">. </w:t>
      </w:r>
    </w:p>
  </w:footnote>
  <w:footnote w:id="305">
    <w:p w:rsidR="00C06B07" w:rsidRPr="00310970" w:rsidRDefault="00C06B07" w:rsidP="00C912D6">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Under existing rule 7, all infrastructure operators (regardless of their size or ownership status) must provide their customers with a Schedule of Charges (which meets the definition of a Schedule of Charges in rule 4). </w:t>
      </w:r>
    </w:p>
  </w:footnote>
  <w:footnote w:id="306">
    <w:p w:rsidR="00C06B07" w:rsidRPr="00310970" w:rsidRDefault="00C06B07" w:rsidP="00903932">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For example, the Schedule of Charges may have been sent to the customer but: the customer received it with only five business days’ notice instead of the required 10 or it was lost in the mail. This complements another proposed amendment to the publication requirements to clarify that an operator is taken to have given a Schedule of Charges on the day it is sent, rather than the day it is received by the customer (see section 5.4.2).</w:t>
      </w:r>
    </w:p>
  </w:footnote>
  <w:footnote w:id="307">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test should apply regardless of whether or not the operator’s infrastructure charges are approved or determined by the ACCC under these rules or a single State Agency under a law of the State.</w:t>
      </w:r>
    </w:p>
  </w:footnote>
  <w:footnote w:id="308">
    <w:p w:rsidR="00C06B07" w:rsidRPr="00310970" w:rsidRDefault="00C06B07" w:rsidP="00863EF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if an operator has gained an exemption under rule 9 from the requirement to include a particular charge on its Schedule of Charges, rule 7 does not apply in relation to that charge.</w:t>
      </w:r>
    </w:p>
  </w:footnote>
  <w:footnote w:id="309">
    <w:p w:rsidR="00C06B07" w:rsidRPr="00310970" w:rsidRDefault="00C06B07" w:rsidP="0008163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rule applies whenever subrule 11(1) or rule 12 applies; that is, when an infrastructure operator is required to provide its Schedule of Charges to a customer, certain operators (those with more than 10 GL) are further required to make the Schedule of Charges publicly available as per rule 15. Currently, infrastructure operators with less than 10 GL are not required to publish their Schedule of Charges.</w:t>
      </w:r>
    </w:p>
  </w:footnote>
  <w:footnote w:id="310">
    <w:p w:rsidR="00C06B07" w:rsidRPr="00310970" w:rsidRDefault="00C06B07" w:rsidP="0008163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term ‘managed water resources’ is defined in rule 3 of the WCIR.</w:t>
      </w:r>
    </w:p>
  </w:footnote>
  <w:footnote w:id="311">
    <w:p w:rsidR="00C06B07" w:rsidRPr="00310970" w:rsidRDefault="00C06B07" w:rsidP="00A7663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 Irrigation Limited, Submission to the Independent Review of the Water Act 2007, July 2014, p.12. MIL added that printing and postage costs amount to approximately $5000 to mail-out their Schedule and information statement; National Irrigators’ Council, Submission to the Independent Review of the Water Act 2007, July 2014, pp.14-15; NSW Irrigators’ Council, Submission to the Independent Review of the Water Act 2007, July 2014, pp.13-14.</w:t>
      </w:r>
    </w:p>
  </w:footnote>
  <w:footnote w:id="31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5.4.2 of ACCC, </w:t>
      </w:r>
      <w:r w:rsidRPr="00310970">
        <w:rPr>
          <w:rFonts w:cs="Times New Roman"/>
          <w:i/>
          <w:sz w:val="16"/>
          <w:szCs w:val="16"/>
        </w:rPr>
        <w:t>Water Charge Rules Review Draft Advice</w:t>
      </w:r>
      <w:r w:rsidRPr="00310970">
        <w:rPr>
          <w:rFonts w:cs="Times New Roman"/>
          <w:sz w:val="16"/>
          <w:szCs w:val="16"/>
        </w:rPr>
        <w:t>, Canberra, November 2015pp.81-83.</w:t>
      </w:r>
    </w:p>
  </w:footnote>
  <w:footnote w:id="313">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Commonwealth Environmental Water Holder, Draft Advice Submission, March 2016, p.2.</w:t>
      </w:r>
    </w:p>
  </w:footnote>
  <w:footnote w:id="314">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Tom Loffler, Draft Advice Submission, March 2016, p.2.</w:t>
      </w:r>
    </w:p>
  </w:footnote>
  <w:footnote w:id="315">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Queensland Farmers’ Federation, Draft Advice Submission, March 2016, p.4.</w:t>
      </w:r>
    </w:p>
  </w:footnote>
  <w:footnote w:id="316">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p.2.</w:t>
      </w:r>
    </w:p>
  </w:footnote>
  <w:footnote w:id="317">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p.8.</w:t>
      </w:r>
    </w:p>
  </w:footnote>
  <w:footnote w:id="318">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ibid.</w:t>
      </w:r>
    </w:p>
  </w:footnote>
  <w:footnote w:id="319">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Commonwealth Environmental Water Holder, Draft Advice Submission, March 2016, p.2.</w:t>
      </w:r>
    </w:p>
  </w:footnote>
  <w:footnote w:id="320">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p.4.</w:t>
      </w:r>
    </w:p>
  </w:footnote>
  <w:footnote w:id="321">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p.6; Goulburn-Murray Water, Draft Advice Submission, March 2016, p.3.</w:t>
      </w:r>
    </w:p>
  </w:footnote>
  <w:footnote w:id="322">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GMW supports the rationale for the proposed amendments to the timeframe for sending the Schedule of Charges and for the regulator to finalise its decision (rule advice 5-N).</w:t>
      </w:r>
    </w:p>
  </w:footnote>
  <w:footnote w:id="323">
    <w:p w:rsidR="00C06B07" w:rsidRPr="00310970" w:rsidRDefault="00C06B07" w:rsidP="00514B0F">
      <w:pPr>
        <w:pStyle w:val="FootnoteText"/>
        <w:rPr>
          <w:rStyle w:val="FootnoteReference"/>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National Irrigators’ Council, Draft Advice Submission, March 2016, p.13.</w:t>
      </w:r>
    </w:p>
  </w:footnote>
  <w:footnote w:id="324">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p.5.</w:t>
      </w:r>
    </w:p>
  </w:footnote>
  <w:footnote w:id="325">
    <w:p w:rsidR="00C06B07" w:rsidRPr="00310970" w:rsidRDefault="00C06B07" w:rsidP="0046630D">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ibid.</w:t>
      </w:r>
    </w:p>
  </w:footnote>
  <w:footnote w:id="326">
    <w:p w:rsidR="00C06B07" w:rsidRPr="00310970" w:rsidRDefault="00C06B07" w:rsidP="0046630D">
      <w:pPr>
        <w:spacing w:after="0"/>
        <w:rPr>
          <w:rFonts w:cs="Times New Roman"/>
          <w:color w:val="1F497D"/>
          <w:sz w:val="16"/>
          <w:szCs w:val="16"/>
        </w:rPr>
      </w:pPr>
      <w:r w:rsidRPr="00310970">
        <w:rPr>
          <w:rStyle w:val="FootnoteReference"/>
          <w:rFonts w:cs="Times New Roman"/>
          <w:sz w:val="16"/>
          <w:szCs w:val="16"/>
        </w:rPr>
        <w:footnoteRef/>
      </w:r>
      <w:r w:rsidRPr="00310970">
        <w:rPr>
          <w:rFonts w:cs="Times New Roman"/>
          <w:sz w:val="16"/>
          <w:szCs w:val="16"/>
        </w:rPr>
        <w:t xml:space="preserve"> The ACCC notes that the wording of the existing and proposed rules both refer to an operator “giving” the Schedule of Charges to customers (the existing WCIR also uses ‘provide’ interchangeably with ‘give’). The ACCC proposes that the rules should explicitly clarify that if the Schedule of Charges is sent by post or electronic form, an operator should be taken to have “given” its Schedule on the date that it is sent. This is in contrast to how “give” has been interpreted under the current rules. In particular, the ACCC’s guidance on the existing rules states that: “infrastructure operators must ensure that all customers and interested parties receive the schedule of charges in accordance with the WCIR.” ACCC, A guide to the water charge (infrastructure) rules: Publishing and non-discriminatory charging requirements, June 2011,p.21, </w:t>
      </w:r>
      <w:r>
        <w:rPr>
          <w:rFonts w:cs="Times New Roman"/>
          <w:sz w:val="16"/>
          <w:szCs w:val="16"/>
        </w:rPr>
        <w:t>viewed</w:t>
      </w:r>
      <w:r w:rsidRPr="00310970">
        <w:rPr>
          <w:rFonts w:cs="Times New Roman"/>
          <w:sz w:val="16"/>
          <w:szCs w:val="16"/>
        </w:rPr>
        <w:t xml:space="preserve"> July 2016, </w:t>
      </w:r>
      <w:hyperlink r:id="rId39" w:history="1">
        <w:r w:rsidRPr="00310970">
          <w:rPr>
            <w:rStyle w:val="Hyperlink"/>
            <w:rFonts w:cs="Times New Roman"/>
            <w:sz w:val="16"/>
            <w:szCs w:val="16"/>
          </w:rPr>
          <w:t>http://accc.gov.au/system/files/Water%20charge%20rules%20-%20infrastructure%20-%20guide%20to%20publishing%20and%20non-discriminatory%20charging%20requireme_0.pdf</w:t>
        </w:r>
      </w:hyperlink>
      <w:r w:rsidRPr="00310970">
        <w:rPr>
          <w:rFonts w:cs="Times New Roman"/>
          <w:color w:val="1F497D"/>
          <w:sz w:val="16"/>
          <w:szCs w:val="16"/>
        </w:rPr>
        <w:t>.</w:t>
      </w:r>
    </w:p>
  </w:footnote>
  <w:footnote w:id="327">
    <w:p w:rsidR="00C06B07" w:rsidRPr="00310970" w:rsidRDefault="00C06B07" w:rsidP="00DA5F2B">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Part 4 of the WCIR currently imposes the same publication timeframes on on-river, and off-river, infrastructure operators. Further, the WCPMIR impose no specific timeframes for persons, other than infrastructure operators, determining planning and management charges to publish planning and management charges (subrule 5(3)(d) only requires that the charge is published before it takes effect). Additionally, the timeframes in rule 30 that apply to the ACCC or accredited regulators for approving / determining charges do not reference the start of the regulatory period to which the approval / determination relates. Off-river infrastructure operators are likely to pass through the cost of planning and management charges, and an on-river infrastructure operators’ infrastructure charges.</w:t>
      </w:r>
    </w:p>
  </w:footnote>
  <w:footnote w:id="328">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The ACCC notes that under the existing rule 7 and the ACCC’s proposed amendments in Rule Advice 5-E, an infrastructure operator cannot levy a charge unless it is listed on the Schedule of Charges. A delay in a regulatory decision could mean that the on-river infrastructure operator or other person is unable to update their Schedule of Charges until after the date the determined charge is to apply from. </w:t>
      </w:r>
    </w:p>
  </w:footnote>
  <w:footnote w:id="329">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According to the Australian Energy Regulator in its Retail Pricing Information Guidelines, “[s]tanding offers are available to small customers for the sale and supply of energy under a standard retail contract (National Energy Retail Law section 22(1)). Standing offers protect small customers who are able to choose their energy retailer but have not exercised that choice. Model terms and conditions for standing offer contracts are set out in the National Energy Retail Rules.  In jurisdictions with full retail competition, customers can  negotiate the terms and conditions of their contract with their retailer of choice. These contracts are market offers made under a market retail contract”. Australian Energy Regulator, </w:t>
      </w:r>
      <w:r w:rsidRPr="00310970">
        <w:rPr>
          <w:rFonts w:cs="Times New Roman"/>
          <w:i/>
          <w:sz w:val="16"/>
          <w:szCs w:val="16"/>
        </w:rPr>
        <w:t>AER Retail Pricing Information Guidelines</w:t>
      </w:r>
      <w:r w:rsidRPr="00310970">
        <w:rPr>
          <w:rFonts w:cs="Times New Roman"/>
          <w:sz w:val="16"/>
          <w:szCs w:val="16"/>
        </w:rPr>
        <w:t>, version 4.0, Canberra, August 2015, p.4.</w:t>
      </w:r>
    </w:p>
  </w:footnote>
  <w:footnote w:id="330">
    <w:p w:rsidR="00C06B07" w:rsidRPr="00310970" w:rsidRDefault="00C06B07" w:rsidP="00514B0F">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See: Australian Energy Regulator, </w:t>
      </w:r>
      <w:r w:rsidRPr="00310970">
        <w:rPr>
          <w:rFonts w:cs="Times New Roman"/>
          <w:i/>
          <w:sz w:val="16"/>
          <w:szCs w:val="16"/>
        </w:rPr>
        <w:t>AER Retail Pricing Information Guidelines</w:t>
      </w:r>
      <w:r w:rsidRPr="00310970">
        <w:rPr>
          <w:rFonts w:cs="Times New Roman"/>
          <w:sz w:val="16"/>
          <w:szCs w:val="16"/>
        </w:rPr>
        <w:t xml:space="preserve">, version 4.0, Canberra, August 2015, viewed June 2016, </w:t>
      </w:r>
      <w:hyperlink r:id="rId40" w:history="1">
        <w:r w:rsidRPr="00310970">
          <w:rPr>
            <w:rStyle w:val="Hyperlink"/>
            <w:rFonts w:cs="Times New Roman"/>
            <w:sz w:val="16"/>
            <w:szCs w:val="16"/>
          </w:rPr>
          <w:t>https://www.aer.gov.au/system/files/AER%20Retail%20Pricing%20Information%20Guidelines%20-%20August%202015.PDF</w:t>
        </w:r>
      </w:hyperlink>
      <w:r w:rsidRPr="00310970">
        <w:rPr>
          <w:rFonts w:cs="Times New Roman"/>
          <w:sz w:val="16"/>
          <w:szCs w:val="16"/>
        </w:rPr>
        <w:t xml:space="preserve">. </w:t>
      </w:r>
    </w:p>
  </w:footnote>
  <w:footnote w:id="331">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infrastructure charge rules – Advice to the Minister for Climate Change and Water</w:t>
      </w:r>
      <w:r w:rsidRPr="00310970">
        <w:rPr>
          <w:rFonts w:cs="Times New Roman"/>
          <w:sz w:val="16"/>
          <w:szCs w:val="16"/>
        </w:rPr>
        <w:t>, Canberra, June 2009.</w:t>
      </w:r>
    </w:p>
  </w:footnote>
  <w:footnote w:id="33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considers that, where an operator has been granted an exemption under rule 9, inclusion of a link to the ACCC’s public notice as published on its website on the operator’s Schedule of Charges would be sufficient to satisfy this proposed rule requirement.</w:t>
      </w:r>
    </w:p>
  </w:footnote>
  <w:footnote w:id="333">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Department of Treasury and Finance, Draft Advice Submission, March 2016, p.1.</w:t>
      </w:r>
    </w:p>
  </w:footnote>
  <w:footnote w:id="334">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w:t>
      </w:r>
      <w:r w:rsidRPr="00310970">
        <w:rPr>
          <w:rFonts w:cs="Times New Roman"/>
          <w:i/>
          <w:sz w:val="16"/>
          <w:szCs w:val="16"/>
        </w:rPr>
        <w:t>Water Industry (Third Party Access) Amendment Act 2015</w:t>
      </w:r>
      <w:r w:rsidRPr="00310970">
        <w:rPr>
          <w:rFonts w:cs="Times New Roman"/>
          <w:sz w:val="16"/>
          <w:szCs w:val="16"/>
        </w:rPr>
        <w:t xml:space="preserve"> (South Australia) establishes a (negotiate / arbitrate) third-party access regime for water or sewage infrastructure and infrastructure services in SA. The South Australian Government intends to apply to the National Competition Council to have the regime certified as an ‘effective state or territory regime’ for the purposes of Part IIIA of the </w:t>
      </w:r>
      <w:r w:rsidRPr="00310970">
        <w:rPr>
          <w:rFonts w:cs="Times New Roman"/>
          <w:i/>
          <w:sz w:val="16"/>
          <w:szCs w:val="16"/>
        </w:rPr>
        <w:t>Competition and Consumer Act 2010</w:t>
      </w:r>
      <w:r w:rsidRPr="00310970">
        <w:rPr>
          <w:rFonts w:cs="Times New Roman"/>
          <w:sz w:val="16"/>
          <w:szCs w:val="16"/>
        </w:rPr>
        <w:t xml:space="preserve">. Section 5.11 provides further background information about the </w:t>
      </w:r>
      <w:r w:rsidRPr="00310970">
        <w:rPr>
          <w:rFonts w:cs="Times New Roman"/>
          <w:i/>
          <w:sz w:val="16"/>
          <w:szCs w:val="16"/>
        </w:rPr>
        <w:t>Water Industry (Third Party Access) Amendment Act 2015</w:t>
      </w:r>
      <w:r w:rsidRPr="00310970">
        <w:rPr>
          <w:rFonts w:cs="Times New Roman"/>
          <w:sz w:val="16"/>
          <w:szCs w:val="16"/>
        </w:rPr>
        <w:t>.</w:t>
      </w:r>
    </w:p>
  </w:footnote>
  <w:footnote w:id="335">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p.13.</w:t>
      </w:r>
    </w:p>
  </w:footnote>
  <w:footnote w:id="336">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p.4.</w:t>
      </w:r>
    </w:p>
  </w:footnote>
  <w:footnote w:id="337">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Patrick Connolly, Draft Advice Submission 1, February 2016, p.1.</w:t>
      </w:r>
    </w:p>
  </w:footnote>
  <w:footnote w:id="338">
    <w:p w:rsidR="00C06B07" w:rsidRPr="00310970" w:rsidRDefault="00C06B07" w:rsidP="00396FD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Environmental Water Holder, Draft Advice Submission, March 2016, p.1.</w:t>
      </w:r>
    </w:p>
  </w:footnote>
  <w:footnote w:id="339">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In relation to the information to be included on a Schedule of Charges, the Queensland Farmers’ Federation submitted that the proposed requirements are unnecessary and duplicate the information that SunWater is required to publish on its annual Network Service Plan for irrigation schemes. Queensland Farmers’ Federation, Draft Advice Submission, March 2016, p.4.</w:t>
      </w:r>
    </w:p>
  </w:footnote>
  <w:footnote w:id="340">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consultation meeting with National Irrigators’ Council members on the Draft Advice for the review of the water charge rules, Griffith, 12 January 2016.</w:t>
      </w:r>
    </w:p>
  </w:footnote>
  <w:footnote w:id="341">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 </w:t>
      </w:r>
      <w:r w:rsidRPr="00310970">
        <w:rPr>
          <w:rFonts w:cs="Times New Roman"/>
          <w:b/>
          <w:i/>
          <w:sz w:val="16"/>
          <w:szCs w:val="16"/>
        </w:rPr>
        <w:t>prudent discount</w:t>
      </w:r>
      <w:r w:rsidRPr="00310970">
        <w:rPr>
          <w:rFonts w:cs="Times New Roman"/>
          <w:sz w:val="16"/>
          <w:szCs w:val="16"/>
        </w:rPr>
        <w:t xml:space="preserve"> is where an infrastructure operator offers an infrastructure service at a discounted rate to a particular customer or group of customers, which will / is likely to result in charges for the infrastructure operator’s other customers being lower than they would otherwise have been. This includes where an operator credibly believes that a customer would not obtain infrastructure services at the standard charge for that infrastructure service, but would, with the provision of a discount, obtain infrastructure services and pay charges that would contribute towards the operator’s fixed costs.</w:t>
      </w:r>
    </w:p>
  </w:footnote>
  <w:footnote w:id="342">
    <w:p w:rsidR="00C06B07" w:rsidRPr="00310970" w:rsidRDefault="00C06B07" w:rsidP="00E83EC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ability to use the </w:t>
      </w:r>
      <w:r w:rsidRPr="00310970">
        <w:rPr>
          <w:rFonts w:cs="Times New Roman"/>
          <w:i/>
          <w:sz w:val="16"/>
          <w:szCs w:val="16"/>
        </w:rPr>
        <w:t>Freedom of Information Act1982</w:t>
      </w:r>
      <w:r w:rsidRPr="00310970">
        <w:rPr>
          <w:rFonts w:cs="Times New Roman"/>
          <w:sz w:val="16"/>
          <w:szCs w:val="16"/>
        </w:rPr>
        <w:t xml:space="preserve"> was noted by LMW as a reason to not publish commercially negotiated charges.</w:t>
      </w:r>
    </w:p>
  </w:footnote>
  <w:footnote w:id="343">
    <w:p w:rsidR="00C06B07" w:rsidRPr="00310970" w:rsidRDefault="00C06B07" w:rsidP="007E1F87">
      <w:pPr>
        <w:spacing w:after="0" w:line="240" w:lineRule="auto"/>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Where an operator incurs a transaction charge on behalf of a customer (for example a trade application charge) the ACCC considers it is reasonable and desirable for the operator to recover the cost of such a transaction charge directly from the customer(s) responsible for it being incurred. Section 5.13 details proposed rule 9A, for how an operator should pass through the cost of infrastructure charges or planning and management charges it incurs—including transaction charges—onto its customers. </w:t>
      </w:r>
    </w:p>
  </w:footnote>
  <w:footnote w:id="344">
    <w:p w:rsidR="00C06B07" w:rsidRPr="00310970" w:rsidRDefault="00C06B07" w:rsidP="003054B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However, as discussed in section 5.4.1, an operator should still be required to set out on its Schedule of Charges, details of any </w:t>
      </w:r>
      <w:r w:rsidRPr="00310970">
        <w:rPr>
          <w:rFonts w:cs="Times New Roman"/>
          <w:i/>
          <w:sz w:val="16"/>
          <w:szCs w:val="16"/>
        </w:rPr>
        <w:t>generally available</w:t>
      </w:r>
      <w:r w:rsidRPr="00310970">
        <w:rPr>
          <w:rFonts w:cs="Times New Roman"/>
          <w:sz w:val="16"/>
          <w:szCs w:val="16"/>
        </w:rPr>
        <w:t xml:space="preserve"> discount or surcharge, including the circumstances in which they apply (e.g. a discount for early payment).</w:t>
      </w:r>
    </w:p>
  </w:footnote>
  <w:footnote w:id="345">
    <w:p w:rsidR="00C06B07" w:rsidRPr="00310970" w:rsidRDefault="00C06B07" w:rsidP="00213F8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rule 18 sets out the specific consultation requirements.</w:t>
      </w:r>
    </w:p>
  </w:footnote>
  <w:footnote w:id="346">
    <w:p w:rsidR="00C06B07" w:rsidRPr="00310970" w:rsidRDefault="00C06B07" w:rsidP="00213F8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Part 5 operators must ensure that all customers receive the NSP in accordance with the WCIR. However, the WCIR is not prescriptive in how the operator must provide the NSP to is customers; an operator may offer customers different options for receiving the NSP e.g. via email or post. See: ACCC, </w:t>
      </w:r>
      <w:r w:rsidRPr="00310970">
        <w:rPr>
          <w:rFonts w:cs="Times New Roman"/>
          <w:i/>
          <w:sz w:val="16"/>
          <w:szCs w:val="16"/>
        </w:rPr>
        <w:t>A guide to the water charge infrastructure rules: tier 2 requirements</w:t>
      </w:r>
      <w:r w:rsidRPr="00310970">
        <w:rPr>
          <w:rFonts w:cs="Times New Roman"/>
          <w:sz w:val="16"/>
          <w:szCs w:val="16"/>
        </w:rPr>
        <w:t>, Canberra</w:t>
      </w:r>
      <w:r w:rsidRPr="00310970">
        <w:rPr>
          <w:rFonts w:cs="Times New Roman"/>
          <w:sz w:val="16"/>
          <w:szCs w:val="16"/>
          <w:lang w:val="en"/>
        </w:rPr>
        <w:t>, June 2011</w:t>
      </w:r>
      <w:r w:rsidRPr="00310970">
        <w:rPr>
          <w:rFonts w:cs="Times New Roman"/>
          <w:sz w:val="16"/>
          <w:szCs w:val="16"/>
        </w:rPr>
        <w:t xml:space="preserve">, p.19, viewed July 2016, </w:t>
      </w:r>
      <w:hyperlink r:id="rId41" w:history="1">
        <w:r w:rsidRPr="00310970">
          <w:rPr>
            <w:rStyle w:val="Hyperlink"/>
            <w:rFonts w:cs="Times New Roman"/>
            <w:sz w:val="16"/>
            <w:szCs w:val="16"/>
          </w:rPr>
          <w:t>http://www.accc.gov.au/publications/water-charge-infrastructure-rules/a-guide-to-the-water-charge-infrastructure-rules-tier-2-requirements</w:t>
        </w:r>
      </w:hyperlink>
      <w:r w:rsidRPr="00310970">
        <w:rPr>
          <w:rFonts w:cs="Times New Roman"/>
          <w:sz w:val="16"/>
          <w:szCs w:val="16"/>
        </w:rPr>
        <w:t>.</w:t>
      </w:r>
    </w:p>
  </w:footnote>
  <w:footnote w:id="347">
    <w:p w:rsidR="00C06B07" w:rsidRPr="00310970" w:rsidRDefault="00C06B07" w:rsidP="00213F8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rule 18.</w:t>
      </w:r>
    </w:p>
  </w:footnote>
  <w:footnote w:id="348">
    <w:p w:rsidR="00C06B07" w:rsidRPr="00310970" w:rsidRDefault="00C06B07" w:rsidP="00213F83">
      <w:pPr>
        <w:autoSpaceDE w:val="0"/>
        <w:autoSpaceDN w:val="0"/>
        <w:adjustRightInd w:val="0"/>
        <w:spacing w:after="0"/>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information statement must explain: </w:t>
      </w:r>
    </w:p>
    <w:p w:rsidR="00C06B07" w:rsidRPr="00310970" w:rsidRDefault="00C06B07" w:rsidP="00A82DE6">
      <w:pPr>
        <w:pStyle w:val="FNBullet"/>
        <w:rPr>
          <w:rFonts w:cs="Times New Roman"/>
        </w:rPr>
      </w:pPr>
      <w:r w:rsidRPr="00310970">
        <w:rPr>
          <w:rFonts w:cs="Times New Roman"/>
        </w:rPr>
        <w:t>any changes to the regulated charges contained in the NSP</w:t>
      </w:r>
    </w:p>
    <w:p w:rsidR="00C06B07" w:rsidRPr="00310970" w:rsidRDefault="00C06B07" w:rsidP="00A82DE6">
      <w:pPr>
        <w:pStyle w:val="FNBullet"/>
        <w:rPr>
          <w:rFonts w:cs="Times New Roman"/>
        </w:rPr>
      </w:pPr>
      <w:r w:rsidRPr="00310970">
        <w:rPr>
          <w:rFonts w:cs="Times New Roman"/>
        </w:rPr>
        <w:t>the operator’s actual and anticipated revenue from regulated charges</w:t>
      </w:r>
    </w:p>
    <w:p w:rsidR="00C06B07" w:rsidRPr="00310970" w:rsidRDefault="00C06B07" w:rsidP="00A82DE6">
      <w:pPr>
        <w:pStyle w:val="FNBullet"/>
        <w:rPr>
          <w:rFonts w:cs="Times New Roman"/>
        </w:rPr>
      </w:pPr>
      <w:r w:rsidRPr="00310970">
        <w:rPr>
          <w:rFonts w:cs="Times New Roman"/>
        </w:rPr>
        <w:t>details of and reasons for any adjustments made in respect of the charges set out in the NSP for that year</w:t>
      </w:r>
    </w:p>
    <w:p w:rsidR="00C06B07" w:rsidRPr="00310970" w:rsidRDefault="00C06B07" w:rsidP="00A82DE6">
      <w:pPr>
        <w:pStyle w:val="FNBullet"/>
        <w:rPr>
          <w:rFonts w:cs="Times New Roman"/>
        </w:rPr>
      </w:pPr>
      <w:r w:rsidRPr="00310970">
        <w:rPr>
          <w:rFonts w:cs="Times New Roman"/>
        </w:rPr>
        <w:t xml:space="preserve">an explanation of the reasons for differences in regulated charges imposed on irrigation right holders versus other customers. </w:t>
      </w:r>
    </w:p>
  </w:footnote>
  <w:footnote w:id="349">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5.5 of ACCC, </w:t>
      </w:r>
      <w:r w:rsidRPr="00310970">
        <w:rPr>
          <w:rFonts w:cs="Times New Roman"/>
          <w:i/>
          <w:sz w:val="16"/>
          <w:szCs w:val="16"/>
        </w:rPr>
        <w:t>Water Charge Rules Review Draft Advice</w:t>
      </w:r>
      <w:r w:rsidRPr="00310970">
        <w:rPr>
          <w:rFonts w:cs="Times New Roman"/>
          <w:sz w:val="16"/>
          <w:szCs w:val="16"/>
        </w:rPr>
        <w:t>, Canberra, November 2015, pp.88-92.</w:t>
      </w:r>
    </w:p>
  </w:footnote>
  <w:footnote w:id="350">
    <w:p w:rsidR="00C06B07" w:rsidRPr="00310970" w:rsidRDefault="00C06B07" w:rsidP="00BD267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Farmers’ Federation, Draft Advice Submission, March 2016, p.1.</w:t>
      </w:r>
    </w:p>
  </w:footnote>
  <w:footnote w:id="351">
    <w:p w:rsidR="00C06B07" w:rsidRPr="00310970" w:rsidRDefault="00C06B07" w:rsidP="00BD267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p.6.</w:t>
      </w:r>
    </w:p>
  </w:footnote>
  <w:footnote w:id="352">
    <w:p w:rsidR="00C06B07" w:rsidRPr="00310970" w:rsidRDefault="00C06B07" w:rsidP="00BD267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p.8.</w:t>
      </w:r>
    </w:p>
  </w:footnote>
  <w:footnote w:id="353">
    <w:p w:rsidR="00C06B07" w:rsidRPr="00310970" w:rsidRDefault="00C06B07" w:rsidP="00BD267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p.9; Western Murray Irrigation, Draft Advice Submission, March 2016, p.2.</w:t>
      </w:r>
    </w:p>
  </w:footnote>
  <w:footnote w:id="354">
    <w:p w:rsidR="00C06B07" w:rsidRPr="00310970" w:rsidRDefault="00C06B07" w:rsidP="00BD267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Local Government Association of Queensland, Draft Advice Submission, March 2016, p.8.</w:t>
      </w:r>
    </w:p>
  </w:footnote>
  <w:footnote w:id="355">
    <w:p w:rsidR="00C06B07" w:rsidRPr="00310970" w:rsidRDefault="00C06B07" w:rsidP="00BD267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Farmers’ Federation, Draft Advice Submission, March 2016, p.4.</w:t>
      </w:r>
    </w:p>
  </w:footnote>
  <w:footnote w:id="356">
    <w:p w:rsidR="00C06B07" w:rsidRPr="00310970" w:rsidRDefault="00C06B07" w:rsidP="00BD267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Tom Loffler, Draft Advice Submission, March 2016, p.2.</w:t>
      </w:r>
    </w:p>
  </w:footnote>
  <w:footnote w:id="357">
    <w:p w:rsidR="00C06B07" w:rsidRPr="00310970" w:rsidRDefault="00C06B07" w:rsidP="00213F8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Item 3, water charge rules review terms of reference.</w:t>
      </w:r>
    </w:p>
  </w:footnote>
  <w:footnote w:id="358">
    <w:p w:rsidR="00C06B07" w:rsidRPr="00310970" w:rsidRDefault="00C06B07" w:rsidP="00AB20F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infrastructure charge rules – Advice to the Minister for Climate Change and Water</w:t>
      </w:r>
      <w:r w:rsidRPr="00310970">
        <w:rPr>
          <w:rFonts w:cs="Times New Roman"/>
          <w:sz w:val="16"/>
          <w:szCs w:val="16"/>
        </w:rPr>
        <w:t>, Canberra, June 2009, pp.26,29.</w:t>
      </w:r>
    </w:p>
  </w:footnote>
  <w:footnote w:id="359">
    <w:p w:rsidR="00C06B07" w:rsidRPr="00310970" w:rsidRDefault="00C06B07" w:rsidP="003023B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subrule 8(1) in the WCIR.</w:t>
      </w:r>
    </w:p>
  </w:footnote>
  <w:footnote w:id="360">
    <w:p w:rsidR="00C06B07" w:rsidRPr="00310970" w:rsidRDefault="00C06B07" w:rsidP="003023B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rule 17 in the WCIR.</w:t>
      </w:r>
    </w:p>
  </w:footnote>
  <w:footnote w:id="361">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Rule 23 in the WCIR.</w:t>
      </w:r>
    </w:p>
  </w:footnote>
  <w:footnote w:id="362">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MDBA does not currently impose charges, and as such is not currently subject to the water charge rules.</w:t>
      </w:r>
    </w:p>
  </w:footnote>
  <w:footnote w:id="363">
    <w:p w:rsidR="00C06B07" w:rsidRPr="00310970" w:rsidRDefault="00C06B07" w:rsidP="00EB0021">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w:t>
      </w:r>
      <w:r w:rsidRPr="00310970">
        <w:rPr>
          <w:rFonts w:cs="Times New Roman"/>
          <w:i/>
          <w:sz w:val="16"/>
          <w:szCs w:val="16"/>
        </w:rPr>
        <w:t>Water Act 2007</w:t>
      </w:r>
      <w:r w:rsidRPr="00310970">
        <w:rPr>
          <w:rFonts w:cs="Times New Roman"/>
          <w:sz w:val="16"/>
          <w:szCs w:val="16"/>
        </w:rPr>
        <w:t xml:space="preserve"> already provides for Basin States to ‘opt-in’ the non-MDB parts of their states to the coverage of the water charge rules (and the Water Market Rules 2009). No Basin State has expressed an interest in this option to date.</w:t>
      </w:r>
    </w:p>
  </w:footnote>
  <w:footnote w:id="364">
    <w:p w:rsidR="00C06B07" w:rsidRPr="00310970" w:rsidRDefault="00C06B07" w:rsidP="00EB0021">
      <w:pPr>
        <w:keepNext/>
        <w:spacing w:after="0"/>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In its Draft Advice, the ACCC recognised that this approach will require guidance on terms such as “class of water access rights”. The ACCC generally considers a ‘class of water access right’ to be defined by reference to the following characteristics:</w:t>
      </w:r>
    </w:p>
    <w:p w:rsidR="00C06B07" w:rsidRPr="00310970" w:rsidRDefault="00C06B07" w:rsidP="00A946C7">
      <w:pPr>
        <w:pStyle w:val="ListParagraph"/>
        <w:keepNext/>
        <w:numPr>
          <w:ilvl w:val="1"/>
          <w:numId w:val="45"/>
        </w:numPr>
        <w:spacing w:after="0"/>
        <w:ind w:left="714" w:hanging="357"/>
        <w:rPr>
          <w:rFonts w:cs="Times New Roman"/>
          <w:sz w:val="16"/>
          <w:szCs w:val="16"/>
        </w:rPr>
      </w:pPr>
      <w:r w:rsidRPr="00310970">
        <w:rPr>
          <w:rFonts w:cs="Times New Roman"/>
          <w:sz w:val="16"/>
          <w:szCs w:val="16"/>
        </w:rPr>
        <w:t>the water resource to which the right relates</w:t>
      </w:r>
    </w:p>
    <w:p w:rsidR="00C06B07" w:rsidRPr="00310970" w:rsidRDefault="00C06B07" w:rsidP="00A946C7">
      <w:pPr>
        <w:pStyle w:val="ListParagraph"/>
        <w:keepNext/>
        <w:numPr>
          <w:ilvl w:val="1"/>
          <w:numId w:val="45"/>
        </w:numPr>
        <w:spacing w:after="0"/>
        <w:ind w:left="714" w:hanging="357"/>
        <w:rPr>
          <w:rFonts w:cs="Times New Roman"/>
          <w:sz w:val="16"/>
          <w:szCs w:val="16"/>
        </w:rPr>
      </w:pPr>
      <w:r w:rsidRPr="00310970">
        <w:rPr>
          <w:rFonts w:cs="Times New Roman"/>
          <w:sz w:val="16"/>
          <w:szCs w:val="16"/>
        </w:rPr>
        <w:t>the SDL resource unit</w:t>
      </w:r>
    </w:p>
    <w:p w:rsidR="00C06B07" w:rsidRPr="00310970" w:rsidRDefault="00C06B07" w:rsidP="00A946C7">
      <w:pPr>
        <w:pStyle w:val="ListParagraph"/>
        <w:keepNext/>
        <w:numPr>
          <w:ilvl w:val="1"/>
          <w:numId w:val="45"/>
        </w:numPr>
        <w:spacing w:after="0"/>
        <w:ind w:left="714" w:hanging="357"/>
        <w:rPr>
          <w:rFonts w:cs="Times New Roman"/>
          <w:sz w:val="16"/>
          <w:szCs w:val="16"/>
        </w:rPr>
      </w:pPr>
      <w:r w:rsidRPr="00310970">
        <w:rPr>
          <w:rFonts w:cs="Times New Roman"/>
          <w:sz w:val="16"/>
          <w:szCs w:val="16"/>
        </w:rPr>
        <w:t>its priority or reliability</w:t>
      </w:r>
    </w:p>
    <w:p w:rsidR="00C06B07" w:rsidRPr="00310970" w:rsidRDefault="00C06B07" w:rsidP="00A946C7">
      <w:pPr>
        <w:pStyle w:val="ListParagraph"/>
        <w:keepNext/>
        <w:numPr>
          <w:ilvl w:val="1"/>
          <w:numId w:val="45"/>
        </w:numPr>
        <w:spacing w:after="0"/>
        <w:ind w:left="714" w:hanging="357"/>
        <w:rPr>
          <w:rFonts w:cs="Times New Roman"/>
          <w:sz w:val="16"/>
          <w:szCs w:val="16"/>
        </w:rPr>
      </w:pPr>
      <w:r w:rsidRPr="00310970">
        <w:rPr>
          <w:rFonts w:cs="Times New Roman"/>
          <w:sz w:val="16"/>
          <w:szCs w:val="16"/>
        </w:rPr>
        <w:t>the form of take</w:t>
      </w:r>
    </w:p>
    <w:p w:rsidR="00C06B07" w:rsidRPr="00310970" w:rsidRDefault="00C06B07" w:rsidP="00830F3D">
      <w:pPr>
        <w:keepNext/>
        <w:spacing w:after="0" w:line="240" w:lineRule="auto"/>
        <w:ind w:left="709"/>
        <w:rPr>
          <w:rFonts w:cs="Times New Roman"/>
          <w:sz w:val="16"/>
          <w:szCs w:val="16"/>
        </w:rPr>
      </w:pPr>
      <w:r w:rsidRPr="00310970">
        <w:rPr>
          <w:rFonts w:cs="Times New Roman"/>
          <w:i/>
          <w:sz w:val="16"/>
          <w:szCs w:val="16"/>
        </w:rPr>
        <w:t xml:space="preserve">Note: </w:t>
      </w:r>
      <w:r w:rsidRPr="00310970">
        <w:rPr>
          <w:rFonts w:cs="Times New Roman"/>
          <w:sz w:val="16"/>
          <w:szCs w:val="16"/>
        </w:rPr>
        <w:t>‘form of take’ is defined in section 1.07 of the Basin Plan.</w:t>
      </w:r>
    </w:p>
    <w:p w:rsidR="00C06B07" w:rsidRPr="00310970" w:rsidRDefault="00C06B07" w:rsidP="00A946C7">
      <w:pPr>
        <w:pStyle w:val="ListParagraph"/>
        <w:keepNext/>
        <w:numPr>
          <w:ilvl w:val="1"/>
          <w:numId w:val="45"/>
        </w:numPr>
        <w:spacing w:after="0"/>
        <w:ind w:left="714" w:hanging="357"/>
        <w:rPr>
          <w:rFonts w:cs="Times New Roman"/>
          <w:sz w:val="16"/>
          <w:szCs w:val="16"/>
        </w:rPr>
      </w:pPr>
      <w:r w:rsidRPr="00310970">
        <w:rPr>
          <w:rFonts w:cs="Times New Roman"/>
          <w:sz w:val="16"/>
          <w:szCs w:val="16"/>
        </w:rPr>
        <w:t>access to carryover arrangements (where applicable)</w:t>
      </w:r>
    </w:p>
    <w:p w:rsidR="00C06B07" w:rsidRPr="00310970" w:rsidRDefault="00C06B07" w:rsidP="00A946C7">
      <w:pPr>
        <w:pStyle w:val="ListParagraph"/>
        <w:keepNext/>
        <w:numPr>
          <w:ilvl w:val="1"/>
          <w:numId w:val="45"/>
        </w:numPr>
        <w:spacing w:after="0"/>
        <w:ind w:left="714" w:hanging="357"/>
        <w:rPr>
          <w:rFonts w:cs="Times New Roman"/>
          <w:sz w:val="16"/>
          <w:szCs w:val="16"/>
        </w:rPr>
      </w:pPr>
      <w:r w:rsidRPr="00310970">
        <w:rPr>
          <w:rFonts w:cs="Times New Roman"/>
          <w:sz w:val="16"/>
          <w:szCs w:val="16"/>
        </w:rPr>
        <w:t>tradeability.</w:t>
      </w:r>
    </w:p>
  </w:footnote>
  <w:footnote w:id="365">
    <w:p w:rsidR="00C06B07" w:rsidRPr="00310970" w:rsidRDefault="00C06B07" w:rsidP="00C8266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a summary of relevant submissions, see discussion in section 5.6 of ACCC, </w:t>
      </w:r>
      <w:r w:rsidRPr="00310970">
        <w:rPr>
          <w:rFonts w:cs="Times New Roman"/>
          <w:i/>
          <w:sz w:val="16"/>
          <w:szCs w:val="16"/>
        </w:rPr>
        <w:t>Water Charge Rules Review Draft Advice</w:t>
      </w:r>
      <w:r w:rsidRPr="00310970">
        <w:rPr>
          <w:rFonts w:cs="Times New Roman"/>
          <w:sz w:val="16"/>
          <w:szCs w:val="16"/>
        </w:rPr>
        <w:t xml:space="preserve">, Canberra, November 2015, p.94. </w:t>
      </w:r>
    </w:p>
  </w:footnote>
  <w:footnote w:id="366">
    <w:p w:rsidR="00C06B07" w:rsidRPr="00310970" w:rsidRDefault="00C06B07" w:rsidP="008C686D">
      <w:pPr>
        <w:spacing w:after="0"/>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Issues Paper Submission, July 2015, p.2.</w:t>
      </w:r>
    </w:p>
  </w:footnote>
  <w:footnote w:id="367">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p.7.</w:t>
      </w:r>
    </w:p>
  </w:footnote>
  <w:footnote w:id="368">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p.1; WaterNSW, Draft Advice Submission, March 2016, p.7; IPART, Draft Advice Submission, March 2016, p.1.</w:t>
      </w:r>
    </w:p>
  </w:footnote>
  <w:footnote w:id="369">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p.2.</w:t>
      </w:r>
    </w:p>
  </w:footnote>
  <w:footnote w:id="370">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p.1.</w:t>
      </w:r>
    </w:p>
  </w:footnote>
  <w:footnote w:id="371">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Draft Advice Submission, March 2016, p.1.</w:t>
      </w:r>
    </w:p>
  </w:footnote>
  <w:footnote w:id="37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Draft Advice Submission, March 2016, pp.6-7.</w:t>
      </w:r>
    </w:p>
  </w:footnote>
  <w:footnote w:id="373">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Irrigators’ Council, Draft Advice Submission, March 2016, p.1.</w:t>
      </w:r>
    </w:p>
  </w:footnote>
  <w:footnote w:id="374">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NIC, LMW and QTDEWS.</w:t>
      </w:r>
    </w:p>
  </w:footnote>
  <w:footnote w:id="375">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p.16.</w:t>
      </w:r>
    </w:p>
  </w:footnote>
  <w:footnote w:id="376">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p.2.</w:t>
      </w:r>
    </w:p>
  </w:footnote>
  <w:footnote w:id="377">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QTDEWS, Draft Advice Submission, March 2016, pp.9-10.</w:t>
      </w:r>
    </w:p>
  </w:footnote>
  <w:footnote w:id="378">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Draft Advice Submission, March 2016, p.2.</w:t>
      </w:r>
    </w:p>
  </w:footnote>
  <w:footnote w:id="379">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p.11.</w:t>
      </w:r>
    </w:p>
  </w:footnote>
  <w:footnote w:id="380">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WaterNSW lodged its application for that regulatory period in June 2016.</w:t>
      </w:r>
    </w:p>
  </w:footnote>
  <w:footnote w:id="381">
    <w:p w:rsidR="00C06B07" w:rsidRPr="00310970" w:rsidRDefault="00C06B07" w:rsidP="00CD71A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p.10.</w:t>
      </w:r>
    </w:p>
  </w:footnote>
  <w:footnote w:id="382">
    <w:p w:rsidR="00C06B07" w:rsidRPr="00310970" w:rsidRDefault="00C06B07" w:rsidP="00C4601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Charge Rules Review Draft Advice</w:t>
      </w:r>
      <w:r w:rsidRPr="00310970">
        <w:rPr>
          <w:rFonts w:cs="Times New Roman"/>
          <w:sz w:val="16"/>
          <w:szCs w:val="16"/>
        </w:rPr>
        <w:t>, Canberra, November 2015, p.96.</w:t>
      </w:r>
    </w:p>
  </w:footnote>
  <w:footnote w:id="383">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section 4 of the </w:t>
      </w:r>
      <w:r w:rsidRPr="00310970">
        <w:rPr>
          <w:rFonts w:cs="Times New Roman"/>
          <w:i/>
          <w:sz w:val="16"/>
          <w:szCs w:val="16"/>
        </w:rPr>
        <w:t>Water Act 2007</w:t>
      </w:r>
      <w:r w:rsidRPr="00310970">
        <w:rPr>
          <w:rFonts w:cs="Times New Roman"/>
          <w:sz w:val="16"/>
          <w:szCs w:val="16"/>
        </w:rPr>
        <w:t xml:space="preserve"> (Cth).</w:t>
      </w:r>
    </w:p>
  </w:footnote>
  <w:footnote w:id="384">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proposed wording for subrule 23(b)(ii), relating to water sharing arrangements between States, in considered below.</w:t>
      </w:r>
    </w:p>
  </w:footnote>
  <w:footnote w:id="385">
    <w:p w:rsidR="00C06B07" w:rsidRPr="00310970" w:rsidRDefault="00C06B07" w:rsidP="003475C0">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At present neither the MDBA nor the Border Rivers Commission levy regulated charges, as both are funded by lump-sum contributions by member States. However, in NSW, WaterNSW levies the charges to recover part of the MDBA contributions, and these charges are considered ‘regulated charges’, regulated under Part 6.  </w:t>
      </w:r>
    </w:p>
  </w:footnote>
  <w:footnote w:id="386">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operator may still meet the criteria for being a Part 6 operator if the infrastructure charges it levies are in relation to a bulk water service in respect of water access rights (see the ‘Application to irrigation infrastructure operators’ section above).</w:t>
      </w:r>
    </w:p>
  </w:footnote>
  <w:footnote w:id="387">
    <w:p w:rsidR="00C06B07" w:rsidRPr="00310970" w:rsidRDefault="00C06B07" w:rsidP="00EE169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expects that regulatory arrangements under NSW legislation in relation to WaterNSW will not trigger the criteria in proposed subrule 23(a) (meaning that WaterNSW would no longer meet the definition of a Part 6 operator). </w:t>
      </w:r>
    </w:p>
  </w:footnote>
  <w:footnote w:id="388">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Rule 30 in the WCIR.</w:t>
      </w:r>
    </w:p>
  </w:footnote>
  <w:footnote w:id="389">
    <w:p w:rsidR="00C06B07" w:rsidRPr="00310970" w:rsidRDefault="00C06B07" w:rsidP="00061C7E">
      <w:pPr>
        <w:pStyle w:val="FootnoteText"/>
        <w:tabs>
          <w:tab w:val="left" w:pos="1265"/>
        </w:tabs>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Schedule 1, in particular, sets out requirements for applications by a Part 6 operator, covering: consultation; regulatory and legislative obligations; infrastructure service standards; revenue; regulatory asset base; rate of return; renewals annuity (if relevant); capital expenditure; operating expenditure; tax; demand or consumption; and current and proposed regulated charges.</w:t>
      </w:r>
    </w:p>
  </w:footnote>
  <w:footnote w:id="390">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 xml:space="preserve">A guide to the water charge infrastructure rules: pricing application for part 6 operators, </w:t>
      </w:r>
      <w:r w:rsidRPr="00310970">
        <w:rPr>
          <w:rFonts w:cs="Times New Roman"/>
          <w:sz w:val="16"/>
          <w:szCs w:val="16"/>
        </w:rPr>
        <w:t xml:space="preserve">Canberra, </w:t>
      </w:r>
      <w:r w:rsidRPr="00310970">
        <w:rPr>
          <w:rFonts w:cs="Times New Roman"/>
          <w:sz w:val="16"/>
          <w:szCs w:val="16"/>
          <w:lang w:val="en"/>
        </w:rPr>
        <w:t xml:space="preserve">October 2011, viewed July 2016, </w:t>
      </w:r>
      <w:hyperlink r:id="rId42" w:history="1">
        <w:r w:rsidRPr="00310970">
          <w:rPr>
            <w:rStyle w:val="Hyperlink"/>
            <w:rFonts w:cs="Times New Roman"/>
            <w:sz w:val="16"/>
            <w:szCs w:val="16"/>
            <w:lang w:val="en"/>
          </w:rPr>
          <w:t>http://www.accc.gov.au/publications/water-charge-infrastructure-rules/a-guide-to-the-water-charge-infrastructure-rules-pricing-application-for-part-6-operators</w:t>
        </w:r>
      </w:hyperlink>
      <w:r w:rsidRPr="00310970">
        <w:rPr>
          <w:rFonts w:cs="Times New Roman"/>
          <w:sz w:val="16"/>
          <w:szCs w:val="16"/>
          <w:lang w:val="en"/>
        </w:rPr>
        <w:t>.</w:t>
      </w:r>
    </w:p>
  </w:footnote>
  <w:footnote w:id="391">
    <w:p w:rsidR="00C06B07" w:rsidRPr="00310970" w:rsidRDefault="00C06B07" w:rsidP="008F239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 xml:space="preserve">Pricing Principles for price approvals and determinations under the Water Charge (Infrastructure) Rules 2010, </w:t>
      </w:r>
      <w:r w:rsidRPr="00310970">
        <w:rPr>
          <w:rFonts w:cs="Times New Roman"/>
          <w:sz w:val="16"/>
          <w:szCs w:val="16"/>
        </w:rPr>
        <w:t>Canberra,</w:t>
      </w:r>
      <w:r w:rsidRPr="00310970">
        <w:rPr>
          <w:rFonts w:cs="Times New Roman"/>
          <w:i/>
          <w:sz w:val="16"/>
          <w:szCs w:val="16"/>
        </w:rPr>
        <w:t xml:space="preserve"> </w:t>
      </w:r>
      <w:r w:rsidRPr="00310970">
        <w:rPr>
          <w:rFonts w:cs="Times New Roman"/>
          <w:sz w:val="16"/>
          <w:szCs w:val="16"/>
        </w:rPr>
        <w:t>July 2010,</w:t>
      </w:r>
      <w:r w:rsidRPr="00310970" w:rsidDel="00355F4D">
        <w:rPr>
          <w:rFonts w:cs="Times New Roman"/>
          <w:sz w:val="16"/>
          <w:szCs w:val="16"/>
        </w:rPr>
        <w:t xml:space="preserve"> </w:t>
      </w:r>
      <w:r w:rsidRPr="00310970">
        <w:rPr>
          <w:rFonts w:cs="Times New Roman"/>
          <w:sz w:val="16"/>
          <w:szCs w:val="16"/>
        </w:rPr>
        <w:t>p.55.</w:t>
      </w:r>
    </w:p>
  </w:footnote>
  <w:footnote w:id="392">
    <w:p w:rsidR="00C06B07" w:rsidRPr="00310970" w:rsidRDefault="00C06B07" w:rsidP="00A458F7">
      <w:pPr>
        <w:spacing w:after="0"/>
        <w:rPr>
          <w:rFonts w:cs="Times New Roman"/>
          <w:color w:val="000000"/>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color w:val="000000"/>
          <w:sz w:val="16"/>
          <w:szCs w:val="16"/>
        </w:rPr>
        <w:t>For this and other reasons the ACCC has recommended the repeal of Part 5 in its entirety (see section 5.5).</w:t>
      </w:r>
    </w:p>
  </w:footnote>
  <w:footnote w:id="393">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5.6.1 of ACCC, </w:t>
      </w:r>
      <w:r w:rsidRPr="00310970">
        <w:rPr>
          <w:rFonts w:cs="Times New Roman"/>
          <w:i/>
          <w:sz w:val="16"/>
          <w:szCs w:val="16"/>
        </w:rPr>
        <w:t>Water Charge Rules Review Draft Advice</w:t>
      </w:r>
      <w:r w:rsidRPr="00310970">
        <w:rPr>
          <w:rFonts w:cs="Times New Roman"/>
          <w:sz w:val="16"/>
          <w:szCs w:val="16"/>
        </w:rPr>
        <w:t>, Canberra, November 2015, pp.100</w:t>
      </w:r>
      <w:r w:rsidRPr="00310970">
        <w:rPr>
          <w:rFonts w:cs="Times New Roman"/>
          <w:sz w:val="16"/>
          <w:szCs w:val="16"/>
        </w:rPr>
        <w:noBreakHyphen/>
        <w:t>101.</w:t>
      </w:r>
    </w:p>
  </w:footnote>
  <w:footnote w:id="394">
    <w:p w:rsidR="00C06B07" w:rsidRPr="00310970" w:rsidRDefault="00C06B07" w:rsidP="00C61CA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p.6; Goulburn-Murray Water, Draft Advice Submission, March 2016, p.3.</w:t>
      </w:r>
    </w:p>
  </w:footnote>
  <w:footnote w:id="395">
    <w:p w:rsidR="00C06B07" w:rsidRPr="00310970" w:rsidRDefault="00C06B07" w:rsidP="00C61CA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made the following suggestions:</w:t>
      </w:r>
    </w:p>
    <w:p w:rsidR="00C06B07" w:rsidRPr="00310970" w:rsidRDefault="00C06B07" w:rsidP="00A82DE6">
      <w:pPr>
        <w:pStyle w:val="FNBullet"/>
        <w:rPr>
          <w:rFonts w:cs="Times New Roman"/>
        </w:rPr>
      </w:pPr>
      <w:r w:rsidRPr="00310970">
        <w:rPr>
          <w:rFonts w:cs="Times New Roman"/>
        </w:rPr>
        <w:t>reduce the number of days in advance that the Schedule of Charges must be sent from 25 business days to 15.</w:t>
      </w:r>
    </w:p>
    <w:p w:rsidR="00C06B07" w:rsidRPr="00310970" w:rsidRDefault="00C06B07" w:rsidP="00A82DE6">
      <w:pPr>
        <w:pStyle w:val="FNBullet"/>
        <w:rPr>
          <w:rFonts w:cs="Times New Roman"/>
        </w:rPr>
      </w:pPr>
      <w:r w:rsidRPr="00310970">
        <w:rPr>
          <w:rFonts w:cs="Times New Roman"/>
        </w:rPr>
        <w:t>exemption for infrastructure operators to meet the timeframes when their charges are approved or determined by an economic regulator.</w:t>
      </w:r>
    </w:p>
    <w:p w:rsidR="00C06B07" w:rsidRPr="00310970" w:rsidRDefault="00C06B07" w:rsidP="00A82DE6">
      <w:pPr>
        <w:pStyle w:val="FNBullet"/>
        <w:rPr>
          <w:rFonts w:cs="Times New Roman"/>
        </w:rPr>
      </w:pPr>
      <w:r w:rsidRPr="00310970">
        <w:rPr>
          <w:rFonts w:cs="Times New Roman"/>
        </w:rPr>
        <w:t>timeframes only triggered when the regulator publishes their final decision; at such time, the operator has 15 business days to send the Schedule of Charges.</w:t>
      </w:r>
    </w:p>
  </w:footnote>
  <w:footnote w:id="396">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Issues Paper Submission, July 2015, p.4. </w:t>
      </w:r>
    </w:p>
  </w:footnote>
  <w:footnote w:id="397">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5.6.1 of ACCC, </w:t>
      </w:r>
      <w:r w:rsidRPr="00310970">
        <w:rPr>
          <w:rFonts w:cs="Times New Roman"/>
          <w:i/>
          <w:sz w:val="16"/>
          <w:szCs w:val="16"/>
        </w:rPr>
        <w:t>Water Charge Rules Review Draft Advice</w:t>
      </w:r>
      <w:r w:rsidRPr="00310970">
        <w:rPr>
          <w:rFonts w:cs="Times New Roman"/>
          <w:sz w:val="16"/>
          <w:szCs w:val="16"/>
        </w:rPr>
        <w:t>, Canberra, November 2015, pp.101-102.</w:t>
      </w:r>
    </w:p>
  </w:footnote>
  <w:footnote w:id="398">
    <w:p w:rsidR="00C06B07" w:rsidRPr="00310970" w:rsidRDefault="00C06B07" w:rsidP="00A049A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p.3.</w:t>
      </w:r>
    </w:p>
  </w:footnote>
  <w:footnote w:id="399">
    <w:p w:rsidR="00C06B07" w:rsidRPr="00310970" w:rsidRDefault="00C06B07" w:rsidP="00A049A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Publication dates in recent decisions were: </w:t>
      </w:r>
    </w:p>
    <w:p w:rsidR="00C06B07" w:rsidRPr="00310970" w:rsidRDefault="00C06B07" w:rsidP="00F43856">
      <w:pPr>
        <w:pStyle w:val="FootnoteText"/>
        <w:numPr>
          <w:ilvl w:val="0"/>
          <w:numId w:val="70"/>
        </w:numPr>
        <w:rPr>
          <w:rFonts w:cs="Times New Roman"/>
          <w:sz w:val="16"/>
          <w:szCs w:val="16"/>
        </w:rPr>
      </w:pPr>
      <w:r w:rsidRPr="00310970">
        <w:rPr>
          <w:rFonts w:cs="Times New Roman"/>
          <w:sz w:val="16"/>
          <w:szCs w:val="16"/>
        </w:rPr>
        <w:t xml:space="preserve">ACCC annual review of WaterNSW’s 2015-16 charges – 5 June 2015;  </w:t>
      </w:r>
    </w:p>
    <w:p w:rsidR="00C06B07" w:rsidRPr="00310970" w:rsidRDefault="00C06B07" w:rsidP="00F43856">
      <w:pPr>
        <w:pStyle w:val="FootnoteText"/>
        <w:numPr>
          <w:ilvl w:val="0"/>
          <w:numId w:val="70"/>
        </w:numPr>
        <w:rPr>
          <w:rFonts w:cs="Times New Roman"/>
          <w:sz w:val="16"/>
          <w:szCs w:val="16"/>
        </w:rPr>
      </w:pPr>
      <w:r w:rsidRPr="00310970">
        <w:rPr>
          <w:rFonts w:cs="Times New Roman"/>
          <w:sz w:val="16"/>
          <w:szCs w:val="16"/>
        </w:rPr>
        <w:t xml:space="preserve">ACCC 2014 determination of State Water’s 2014-17 charges - 26 June 2014, </w:t>
      </w:r>
    </w:p>
    <w:p w:rsidR="00C06B07" w:rsidRPr="00310970" w:rsidRDefault="00C06B07" w:rsidP="00F43856">
      <w:pPr>
        <w:pStyle w:val="FootnoteText"/>
        <w:numPr>
          <w:ilvl w:val="0"/>
          <w:numId w:val="70"/>
        </w:numPr>
        <w:rPr>
          <w:rFonts w:cs="Times New Roman"/>
          <w:sz w:val="16"/>
          <w:szCs w:val="16"/>
        </w:rPr>
      </w:pPr>
      <w:r w:rsidRPr="00310970">
        <w:rPr>
          <w:rFonts w:cs="Times New Roman"/>
          <w:sz w:val="16"/>
          <w:szCs w:val="16"/>
        </w:rPr>
        <w:t xml:space="preserve">ESCV 2013 determination of GMW’s 2013-16 charges - 21 June 2013, </w:t>
      </w:r>
    </w:p>
    <w:p w:rsidR="00C06B07" w:rsidRPr="00310970" w:rsidRDefault="00C06B07" w:rsidP="00F43856">
      <w:pPr>
        <w:pStyle w:val="FootnoteText"/>
        <w:numPr>
          <w:ilvl w:val="0"/>
          <w:numId w:val="70"/>
        </w:numPr>
        <w:rPr>
          <w:rFonts w:cs="Times New Roman"/>
          <w:sz w:val="16"/>
          <w:szCs w:val="16"/>
        </w:rPr>
      </w:pPr>
      <w:r w:rsidRPr="00310970">
        <w:rPr>
          <w:rFonts w:cs="Times New Roman"/>
          <w:sz w:val="16"/>
          <w:szCs w:val="16"/>
        </w:rPr>
        <w:t>IPART 2010 determination of State Water’s charges - 18 June 2010.</w:t>
      </w:r>
    </w:p>
  </w:footnote>
  <w:footnote w:id="400">
    <w:p w:rsidR="00C06B07" w:rsidRPr="00310970" w:rsidRDefault="00C06B07" w:rsidP="00A049A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is because under proposed rule 15, infrastructure operators levying infrastructure charges in relation to either:</w:t>
      </w:r>
    </w:p>
    <w:p w:rsidR="00C06B07" w:rsidRPr="00310970" w:rsidRDefault="00C06B07" w:rsidP="00F43856">
      <w:pPr>
        <w:pStyle w:val="FootnoteText"/>
        <w:numPr>
          <w:ilvl w:val="0"/>
          <w:numId w:val="70"/>
        </w:numPr>
        <w:rPr>
          <w:rFonts w:cs="Times New Roman"/>
          <w:sz w:val="16"/>
          <w:szCs w:val="16"/>
        </w:rPr>
      </w:pPr>
      <w:r w:rsidRPr="00310970">
        <w:rPr>
          <w:rFonts w:cs="Times New Roman"/>
          <w:sz w:val="16"/>
          <w:szCs w:val="16"/>
        </w:rPr>
        <w:t xml:space="preserve">bulk water service; or </w:t>
      </w:r>
    </w:p>
    <w:p w:rsidR="00C06B07" w:rsidRPr="00310970" w:rsidRDefault="00C06B07" w:rsidP="00F43856">
      <w:pPr>
        <w:pStyle w:val="FootnoteText"/>
        <w:numPr>
          <w:ilvl w:val="0"/>
          <w:numId w:val="70"/>
        </w:numPr>
        <w:rPr>
          <w:rFonts w:cs="Times New Roman"/>
          <w:sz w:val="16"/>
          <w:szCs w:val="16"/>
        </w:rPr>
      </w:pPr>
      <w:r w:rsidRPr="00310970">
        <w:rPr>
          <w:rFonts w:cs="Times New Roman"/>
          <w:sz w:val="16"/>
          <w:szCs w:val="16"/>
        </w:rPr>
        <w:t>infrastructure services in relation to the storage or delivery of water that is necessary to give effect to an arrangement for the sharing of water between more than one Basin State ;</w:t>
      </w:r>
    </w:p>
    <w:p w:rsidR="00C06B07" w:rsidRPr="00310970" w:rsidRDefault="00C06B07" w:rsidP="009B6ED8">
      <w:pPr>
        <w:pStyle w:val="FootnoteText"/>
        <w:ind w:left="284"/>
        <w:rPr>
          <w:rFonts w:cs="Times New Roman"/>
          <w:sz w:val="16"/>
          <w:szCs w:val="16"/>
        </w:rPr>
      </w:pPr>
      <w:r w:rsidRPr="00310970">
        <w:rPr>
          <w:rFonts w:cs="Times New Roman"/>
          <w:sz w:val="16"/>
          <w:szCs w:val="16"/>
        </w:rPr>
        <w:t>have to publish their Schedule of Charges at least 25 business days before the Schedule takes effect (rule 15(3)), while other infrastructure operators have to publish at least 10 business days before the charges take effect (rule 15(4)).</w:t>
      </w:r>
    </w:p>
  </w:footnote>
  <w:footnote w:id="401">
    <w:p w:rsidR="00C06B07" w:rsidRPr="00310970" w:rsidRDefault="00C06B07" w:rsidP="007D107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rule 33 in the WCIR.</w:t>
      </w:r>
    </w:p>
  </w:footnote>
  <w:footnote w:id="402">
    <w:p w:rsidR="00C06B07" w:rsidRPr="00310970" w:rsidRDefault="00C06B07" w:rsidP="00061C7E">
      <w:pPr>
        <w:spacing w:after="0"/>
        <w:rPr>
          <w:rFonts w:cs="Times New Roman"/>
          <w:color w:val="000000"/>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color w:val="000000"/>
          <w:sz w:val="16"/>
          <w:szCs w:val="16"/>
        </w:rPr>
        <w:t>The Panel stated:</w:t>
      </w:r>
    </w:p>
    <w:p w:rsidR="00C06B07" w:rsidRPr="00310970" w:rsidRDefault="00C06B07" w:rsidP="00564F18">
      <w:pPr>
        <w:spacing w:after="0"/>
        <w:ind w:left="567"/>
        <w:rPr>
          <w:rFonts w:cs="Times New Roman"/>
          <w:i/>
          <w:sz w:val="16"/>
          <w:szCs w:val="16"/>
        </w:rPr>
      </w:pPr>
      <w:r w:rsidRPr="00310970">
        <w:rPr>
          <w:rFonts w:cs="Times New Roman"/>
          <w:sz w:val="16"/>
          <w:szCs w:val="16"/>
        </w:rPr>
        <w:t>“</w:t>
      </w:r>
      <w:r w:rsidRPr="00310970">
        <w:rPr>
          <w:rFonts w:cs="Times New Roman"/>
          <w:i/>
          <w:sz w:val="16"/>
          <w:szCs w:val="16"/>
        </w:rPr>
        <w:t>The ACCC suggested amendments to the Act to enable regulators to set the duration of a pricing determination or approval of charges, in order to be more responsive to wider economic conditions, or other factors that may influence the efficiency and operation of existing or future determinations. The ACCC proposes that section 92(4) be redrafted to provide that the water charge rules may also provide for the duration to be determined by the ACCC or relevant accredited regulator.</w:t>
      </w:r>
    </w:p>
    <w:p w:rsidR="00C06B07" w:rsidRPr="00310970" w:rsidRDefault="00C06B07" w:rsidP="00564F18">
      <w:pPr>
        <w:spacing w:after="0"/>
        <w:ind w:left="567"/>
        <w:rPr>
          <w:rFonts w:cs="Times New Roman"/>
          <w:color w:val="000000"/>
          <w:sz w:val="16"/>
          <w:szCs w:val="16"/>
        </w:rPr>
      </w:pPr>
      <w:r w:rsidRPr="00310970">
        <w:rPr>
          <w:rFonts w:cs="Times New Roman"/>
          <w:i/>
          <w:sz w:val="16"/>
          <w:szCs w:val="16"/>
        </w:rPr>
        <w:t>…</w:t>
      </w:r>
      <w:r w:rsidRPr="00310970">
        <w:rPr>
          <w:rFonts w:cs="Times New Roman"/>
          <w:i/>
          <w:color w:val="000000"/>
          <w:sz w:val="16"/>
          <w:szCs w:val="16"/>
        </w:rPr>
        <w:t>The Panel considers that consultation should be undertaken on amending section 92(4) to allow the ACCC or an ACCC accredited regulator to determine the regulatory period applying to a price determination or charge approval. The Panel recommends that regulators’ discretion to amend the regulatory period be limited to extending the period relative to the periods specified in the rules, to provide flexibility for regulators without reducing certainty or increasing costs for regulated entities and their customers</w:t>
      </w:r>
      <w:r w:rsidRPr="00310970">
        <w:rPr>
          <w:rFonts w:cs="Times New Roman"/>
          <w:color w:val="000000"/>
          <w:sz w:val="16"/>
          <w:szCs w:val="16"/>
        </w:rPr>
        <w:t>.” (</w:t>
      </w:r>
      <w:r w:rsidRPr="00310970">
        <w:rPr>
          <w:rFonts w:cs="Times New Roman"/>
          <w:i/>
          <w:color w:val="000000"/>
          <w:sz w:val="16"/>
          <w:szCs w:val="16"/>
        </w:rPr>
        <w:t>Report of the Independent Review of the Water Act 2007</w:t>
      </w:r>
      <w:r w:rsidRPr="00310970">
        <w:rPr>
          <w:rFonts w:cs="Times New Roman"/>
          <w:color w:val="000000"/>
          <w:sz w:val="16"/>
          <w:szCs w:val="16"/>
        </w:rPr>
        <w:t>, pp.65-66).</w:t>
      </w:r>
    </w:p>
  </w:footnote>
  <w:footnote w:id="403">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notes that a shorter period could also be desirable where there is uncertainty about the information provided by the regulated entity, although this was not raised in the Draft Advice.</w:t>
      </w:r>
    </w:p>
  </w:footnote>
  <w:footnote w:id="404">
    <w:p w:rsidR="00C06B07" w:rsidRPr="00310970" w:rsidRDefault="00C06B07" w:rsidP="001C51B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On 23</w:t>
      </w:r>
      <w:r w:rsidRPr="00310970">
        <w:rPr>
          <w:rFonts w:cs="Times New Roman"/>
          <w:sz w:val="16"/>
          <w:szCs w:val="16"/>
          <w:vertAlign w:val="superscript"/>
        </w:rPr>
        <w:t>rd</w:t>
      </w:r>
      <w:r w:rsidRPr="00310970">
        <w:rPr>
          <w:rFonts w:cs="Times New Roman"/>
          <w:sz w:val="16"/>
          <w:szCs w:val="16"/>
        </w:rPr>
        <w:t xml:space="preserve"> September 2015, the ACCC approved IPART’s application for accreditation. </w:t>
      </w:r>
    </w:p>
  </w:footnote>
  <w:footnote w:id="405">
    <w:p w:rsidR="00C06B07" w:rsidRPr="00310970" w:rsidRDefault="00C06B07" w:rsidP="001C51B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5.6.2 of ACCC, </w:t>
      </w:r>
      <w:r w:rsidRPr="00310970">
        <w:rPr>
          <w:rFonts w:cs="Times New Roman"/>
          <w:i/>
          <w:sz w:val="16"/>
          <w:szCs w:val="16"/>
        </w:rPr>
        <w:t>Water Charge Rules Review Draft Advice</w:t>
      </w:r>
      <w:r w:rsidRPr="00310970">
        <w:rPr>
          <w:rFonts w:cs="Times New Roman"/>
          <w:sz w:val="16"/>
          <w:szCs w:val="16"/>
        </w:rPr>
        <w:t>, Canberra, November 2015, pp.106-107.</w:t>
      </w:r>
    </w:p>
  </w:footnote>
  <w:footnote w:id="406">
    <w:p w:rsidR="00C06B07" w:rsidRPr="00310970" w:rsidRDefault="00C06B07" w:rsidP="00FB6B7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p.3; Queensland Farmers’ Federation, Draft Advice Submission, March 2016, p.5; IPART, Draft Advice Submission, March 2016, p.2.</w:t>
      </w:r>
    </w:p>
  </w:footnote>
  <w:footnote w:id="407">
    <w:p w:rsidR="00C06B07" w:rsidRPr="00310970" w:rsidRDefault="00C06B07" w:rsidP="00FB6B7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Issues Paper Submission, June 2015, pp.5-7.</w:t>
      </w:r>
    </w:p>
  </w:footnote>
  <w:footnote w:id="408">
    <w:p w:rsidR="00C06B07" w:rsidRPr="00310970" w:rsidRDefault="00C06B07" w:rsidP="00FB6B74">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pp.8-9.</w:t>
      </w:r>
    </w:p>
  </w:footnote>
  <w:footnote w:id="409">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 number of submissions to the Review of the </w:t>
      </w:r>
      <w:r w:rsidRPr="00310970">
        <w:rPr>
          <w:rFonts w:cs="Times New Roman"/>
          <w:i/>
          <w:sz w:val="16"/>
          <w:szCs w:val="16"/>
        </w:rPr>
        <w:t>Water Act 2007</w:t>
      </w:r>
      <w:r w:rsidRPr="00310970">
        <w:rPr>
          <w:rFonts w:cs="Times New Roman"/>
          <w:sz w:val="16"/>
          <w:szCs w:val="16"/>
        </w:rPr>
        <w:t xml:space="preserve"> noted issues associated with the interpretation of the BWCOP by different regulators and the relative importance given to them by regulators. The interaction between the BWCOP and the water charge rules generally is discussed in section 4.2.</w:t>
      </w:r>
    </w:p>
  </w:footnote>
  <w:footnote w:id="410">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Pricing principles for price approvals and determinations under the Water Charge Infrastructure Rules 2010</w:t>
      </w:r>
      <w:r w:rsidRPr="00310970">
        <w:rPr>
          <w:rFonts w:cs="Times New Roman"/>
          <w:bCs/>
          <w:sz w:val="16"/>
          <w:szCs w:val="16"/>
        </w:rPr>
        <w:t>, Canberra, July 2011</w:t>
      </w:r>
      <w:r w:rsidRPr="00310970">
        <w:rPr>
          <w:rFonts w:cs="Times New Roman"/>
          <w:sz w:val="16"/>
          <w:szCs w:val="16"/>
        </w:rPr>
        <w:t>.</w:t>
      </w:r>
    </w:p>
  </w:footnote>
  <w:footnote w:id="411">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the ACCC’s website for the final decision on the accreditation of the Essential Services Commission of Victoria, viewed June 2016, </w:t>
      </w:r>
      <w:hyperlink r:id="rId43" w:history="1">
        <w:r w:rsidRPr="00310970">
          <w:rPr>
            <w:rStyle w:val="Hyperlink"/>
            <w:rFonts w:cs="Times New Roman"/>
            <w:sz w:val="16"/>
            <w:szCs w:val="16"/>
          </w:rPr>
          <w:t>http://www.accc.gov.au/regulated-infrastructure/water/water-charge-infrastructure-rules-accreditation-arrangements/accreditation-escv</w:t>
        </w:r>
      </w:hyperlink>
      <w:r w:rsidRPr="00310970">
        <w:rPr>
          <w:rFonts w:cs="Times New Roman"/>
          <w:sz w:val="16"/>
          <w:szCs w:val="16"/>
        </w:rPr>
        <w:t xml:space="preserve">. </w:t>
      </w:r>
    </w:p>
  </w:footnote>
  <w:footnote w:id="41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is partially because under the current rule, the non-discrimination provisions in Part 3 (which address discrimination against customers based on whether the customer holds an irrigation right) only applies to member-owned operators, and under the current rules, member-owned operators cannot be Part 6 operators. Also, other requirements in the rules are placed on infrastructure operators rather than on the regulator directly.</w:t>
      </w:r>
    </w:p>
  </w:footnote>
  <w:footnote w:id="413">
    <w:p w:rsidR="00C06B07" w:rsidRPr="00310970" w:rsidRDefault="00C06B07" w:rsidP="00950E5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SunWater, Draft Advice Submission, March 2016, p.6.</w:t>
      </w:r>
    </w:p>
  </w:footnote>
  <w:footnote w:id="414">
    <w:p w:rsidR="00C06B07" w:rsidRPr="00310970" w:rsidRDefault="00C06B07" w:rsidP="00950E5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p.11.</w:t>
      </w:r>
    </w:p>
  </w:footnote>
  <w:footnote w:id="415">
    <w:p w:rsidR="00C06B07" w:rsidRPr="00310970" w:rsidRDefault="00C06B07" w:rsidP="00950E5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p.11; Local Government Association of Queensland, Draft Advice Submission, March 2016, p.5.</w:t>
      </w:r>
    </w:p>
  </w:footnote>
  <w:footnote w:id="416">
    <w:p w:rsidR="00C06B07" w:rsidRPr="00310970" w:rsidRDefault="00C06B07" w:rsidP="00950E5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Draft Advice Submission, March 2016, p.2.</w:t>
      </w:r>
    </w:p>
  </w:footnote>
  <w:footnote w:id="417">
    <w:p w:rsidR="00C06B07" w:rsidRPr="00310970" w:rsidRDefault="00C06B07" w:rsidP="00950E5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p.3.</w:t>
      </w:r>
    </w:p>
  </w:footnote>
  <w:footnote w:id="418">
    <w:p w:rsidR="00C06B07" w:rsidRPr="00310970" w:rsidRDefault="00C06B07" w:rsidP="00950E5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419">
    <w:p w:rsidR="00C06B07" w:rsidRPr="00310970" w:rsidRDefault="00C06B07" w:rsidP="0022735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p.3.</w:t>
      </w:r>
    </w:p>
  </w:footnote>
  <w:footnote w:id="420">
    <w:p w:rsidR="00C06B07" w:rsidRPr="00310970" w:rsidRDefault="00C06B07" w:rsidP="0022735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GMW cited one possible adjustment: “charges could be adjusted annually to account for the prior year’s actual capex rather than being based on forecast capex until updates are made at the end of the regulatory period”. Goulburn-Murray Water, Draft Advice Submission, March 2016, p.3.</w:t>
      </w:r>
    </w:p>
  </w:footnote>
  <w:footnote w:id="421">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There are a range of different approaches to asset valuation that might be proposed by the operator, but the ACCC would have regard to the BWCOP and its Pricing Principles in deciding an acceptable approach.</w:t>
      </w:r>
    </w:p>
  </w:footnote>
  <w:footnote w:id="422">
    <w:p w:rsidR="00C06B07" w:rsidRPr="00310970" w:rsidRDefault="00C06B07" w:rsidP="006D41A2">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and ‘discussion’ in section 5.6.4 of ACCC, </w:t>
      </w:r>
      <w:r w:rsidRPr="00310970">
        <w:rPr>
          <w:rFonts w:cs="Times New Roman"/>
          <w:i/>
          <w:sz w:val="16"/>
          <w:szCs w:val="16"/>
        </w:rPr>
        <w:t>Water Charge Rules Review Draft Advice</w:t>
      </w:r>
      <w:r w:rsidRPr="00310970">
        <w:rPr>
          <w:rFonts w:cs="Times New Roman"/>
          <w:sz w:val="16"/>
          <w:szCs w:val="16"/>
        </w:rPr>
        <w:t>, Canberra, November 2015, pp.113-116.</w:t>
      </w:r>
    </w:p>
  </w:footnote>
  <w:footnote w:id="423">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vertAlign w:val="baseline"/>
        </w:rPr>
        <w:t xml:space="preserve"> </w:t>
      </w:r>
      <w:r w:rsidRPr="00310970">
        <w:rPr>
          <w:rFonts w:cs="Times New Roman"/>
          <w:sz w:val="16"/>
          <w:szCs w:val="16"/>
        </w:rPr>
        <w:t xml:space="preserve">NSW Irrigators’ Council, Submission to the Independent Review of the Water Act 2007, July 2014, p.9. NSWIC also noted that there was no annual review process when IPART determined WaterNSW’s charges under State water management law and that IPART determined the prices for the entire regulatory period with CPI adjustments. </w:t>
      </w:r>
    </w:p>
  </w:footnote>
  <w:footnote w:id="424">
    <w:p w:rsidR="00C06B07" w:rsidRPr="00310970" w:rsidRDefault="00C06B07" w:rsidP="00061C7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Issues Paper Submission, July 2015, pp.8-9.</w:t>
      </w:r>
    </w:p>
  </w:footnote>
  <w:footnote w:id="425">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5.6.5 of ACCC, </w:t>
      </w:r>
      <w:r w:rsidRPr="00310970">
        <w:rPr>
          <w:rFonts w:cs="Times New Roman"/>
          <w:i/>
          <w:sz w:val="16"/>
          <w:szCs w:val="16"/>
        </w:rPr>
        <w:t>Water Charge Rules Review Draft Advice</w:t>
      </w:r>
      <w:r w:rsidRPr="00310970">
        <w:rPr>
          <w:rFonts w:cs="Times New Roman"/>
          <w:sz w:val="16"/>
          <w:szCs w:val="16"/>
        </w:rPr>
        <w:t>, Canberra, November 2015, pp.113-114.</w:t>
      </w:r>
    </w:p>
  </w:footnote>
  <w:footnote w:id="426">
    <w:p w:rsidR="00C06B07" w:rsidRPr="00310970" w:rsidRDefault="00C06B07" w:rsidP="000724B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p.3.</w:t>
      </w:r>
    </w:p>
  </w:footnote>
  <w:footnote w:id="427">
    <w:p w:rsidR="00C06B07" w:rsidRPr="00310970" w:rsidRDefault="00C06B07" w:rsidP="000724B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p.9.</w:t>
      </w:r>
    </w:p>
  </w:footnote>
  <w:footnote w:id="428">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example, the ACCC’s annual review of WaterNSW’s charges for 2015-16 noted that the demand forecasts used to calculate the indicative charges in the original decision did not include volumes of water allocation traded out of NSW (upon which WaterNSW applied its variable charge). The ACCC was able to vary charges (downwards) during the annual review process, having regard to this update in the demand / consumption forecasts. See: ACCC, </w:t>
      </w:r>
      <w:r w:rsidRPr="00310970">
        <w:rPr>
          <w:rFonts w:cs="Times New Roman"/>
          <w:i/>
          <w:sz w:val="16"/>
          <w:szCs w:val="16"/>
        </w:rPr>
        <w:t>WaterNSW: Annual review of regulated charges: Final Decision 2015-16</w:t>
      </w:r>
      <w:r w:rsidRPr="00310970">
        <w:rPr>
          <w:rFonts w:cs="Times New Roman"/>
          <w:sz w:val="16"/>
          <w:szCs w:val="16"/>
        </w:rPr>
        <w:t xml:space="preserve">, Canberra, June 2015,  viewed June 2016, </w:t>
      </w:r>
      <w:hyperlink r:id="rId44" w:history="1">
        <w:r w:rsidRPr="00310970">
          <w:rPr>
            <w:rStyle w:val="Hyperlink"/>
            <w:rFonts w:cs="Times New Roman"/>
            <w:sz w:val="16"/>
            <w:szCs w:val="16"/>
          </w:rPr>
          <w:t>http://accc.gov.au/regulated-infrastructure/water/water-projects/water-nsw-formerly-state-water-annual-price-review-2015-16/final-decision</w:t>
        </w:r>
      </w:hyperlink>
      <w:r w:rsidRPr="00310970">
        <w:rPr>
          <w:rFonts w:cs="Times New Roman"/>
          <w:sz w:val="16"/>
          <w:szCs w:val="16"/>
        </w:rPr>
        <w:t>.</w:t>
      </w:r>
    </w:p>
  </w:footnote>
  <w:footnote w:id="429">
    <w:p w:rsidR="00C06B07" w:rsidRPr="00310970" w:rsidRDefault="00C06B07" w:rsidP="00D3128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sidDel="00D3128D">
        <w:rPr>
          <w:rFonts w:cs="Times New Roman"/>
          <w:sz w:val="16"/>
          <w:szCs w:val="16"/>
        </w:rPr>
        <w:t xml:space="preserve"> </w:t>
      </w:r>
      <w:r w:rsidRPr="00310970">
        <w:rPr>
          <w:rFonts w:cs="Times New Roman"/>
          <w:sz w:val="16"/>
          <w:szCs w:val="16"/>
        </w:rPr>
        <w:t xml:space="preserve">A </w:t>
      </w:r>
      <w:r w:rsidRPr="00310970">
        <w:rPr>
          <w:rFonts w:cs="Times New Roman"/>
          <w:b/>
          <w:sz w:val="16"/>
          <w:szCs w:val="16"/>
        </w:rPr>
        <w:t>taxation event</w:t>
      </w:r>
      <w:r w:rsidRPr="00310970">
        <w:rPr>
          <w:rFonts w:cs="Times New Roman"/>
          <w:sz w:val="16"/>
          <w:szCs w:val="16"/>
        </w:rPr>
        <w:t xml:space="preserve"> occurs if: </w:t>
      </w:r>
    </w:p>
    <w:p w:rsidR="00C06B07" w:rsidRPr="00310970" w:rsidRDefault="00C06B07" w:rsidP="00F43856">
      <w:pPr>
        <w:pStyle w:val="FootnoteText"/>
        <w:numPr>
          <w:ilvl w:val="0"/>
          <w:numId w:val="71"/>
        </w:numPr>
        <w:rPr>
          <w:rFonts w:cs="Times New Roman"/>
          <w:sz w:val="16"/>
          <w:szCs w:val="16"/>
        </w:rPr>
      </w:pPr>
      <w:r w:rsidRPr="00310970">
        <w:rPr>
          <w:rFonts w:cs="Times New Roman"/>
          <w:sz w:val="16"/>
          <w:szCs w:val="16"/>
        </w:rPr>
        <w:t xml:space="preserve">any of the following occurs during the course of a regulatory period for a Part 6 operator: </w:t>
      </w:r>
    </w:p>
    <w:p w:rsidR="00C06B07" w:rsidRPr="00310970" w:rsidRDefault="00C06B07" w:rsidP="00F43856">
      <w:pPr>
        <w:pStyle w:val="FootnoteText"/>
        <w:numPr>
          <w:ilvl w:val="1"/>
          <w:numId w:val="71"/>
        </w:numPr>
        <w:ind w:left="1208" w:hanging="357"/>
        <w:rPr>
          <w:rFonts w:cs="Times New Roman"/>
          <w:sz w:val="16"/>
          <w:szCs w:val="16"/>
        </w:rPr>
      </w:pPr>
      <w:r w:rsidRPr="00310970">
        <w:rPr>
          <w:rFonts w:cs="Times New Roman"/>
          <w:sz w:val="16"/>
          <w:szCs w:val="16"/>
        </w:rPr>
        <w:t xml:space="preserve">a change in a relevant tax, in the application or official interpretation of a relevant tax, in the rate of a relevant tax, or in the way a relevant tax is calculated; </w:t>
      </w:r>
    </w:p>
    <w:p w:rsidR="00C06B07" w:rsidRPr="00310970" w:rsidRDefault="00C06B07" w:rsidP="00F43856">
      <w:pPr>
        <w:pStyle w:val="FootnoteText"/>
        <w:numPr>
          <w:ilvl w:val="1"/>
          <w:numId w:val="71"/>
        </w:numPr>
        <w:ind w:left="1208" w:hanging="357"/>
        <w:rPr>
          <w:rFonts w:cs="Times New Roman"/>
          <w:sz w:val="16"/>
          <w:szCs w:val="16"/>
        </w:rPr>
      </w:pPr>
      <w:r w:rsidRPr="00310970">
        <w:rPr>
          <w:rFonts w:cs="Times New Roman"/>
          <w:sz w:val="16"/>
          <w:szCs w:val="16"/>
        </w:rPr>
        <w:t xml:space="preserve">the removal of a relevant tax; </w:t>
      </w:r>
    </w:p>
    <w:p w:rsidR="00C06B07" w:rsidRPr="00310970" w:rsidRDefault="00C06B07" w:rsidP="00F43856">
      <w:pPr>
        <w:pStyle w:val="FootnoteText"/>
        <w:numPr>
          <w:ilvl w:val="1"/>
          <w:numId w:val="71"/>
        </w:numPr>
        <w:ind w:left="1208" w:hanging="357"/>
        <w:rPr>
          <w:rFonts w:cs="Times New Roman"/>
          <w:sz w:val="16"/>
          <w:szCs w:val="16"/>
        </w:rPr>
      </w:pPr>
      <w:r w:rsidRPr="00310970">
        <w:rPr>
          <w:rFonts w:cs="Times New Roman"/>
          <w:sz w:val="16"/>
          <w:szCs w:val="16"/>
        </w:rPr>
        <w:t xml:space="preserve">the imposition of a relevant tax; and </w:t>
      </w:r>
    </w:p>
    <w:p w:rsidR="00C06B07" w:rsidRPr="00310970" w:rsidRDefault="00C06B07" w:rsidP="00F43856">
      <w:pPr>
        <w:pStyle w:val="FootnoteText"/>
        <w:numPr>
          <w:ilvl w:val="0"/>
          <w:numId w:val="71"/>
        </w:numPr>
        <w:tabs>
          <w:tab w:val="left" w:pos="426"/>
        </w:tabs>
        <w:rPr>
          <w:rFonts w:cs="Times New Roman"/>
          <w:sz w:val="16"/>
          <w:szCs w:val="16"/>
        </w:rPr>
      </w:pPr>
      <w:r w:rsidRPr="00310970">
        <w:rPr>
          <w:rFonts w:cs="Times New Roman"/>
          <w:sz w:val="16"/>
          <w:szCs w:val="16"/>
        </w:rPr>
        <w:t>in consequence, the costs to the Part 6 operator of providing regulated infrastructure services meet the materiality threshold for taxation and regulatory events.</w:t>
      </w:r>
    </w:p>
    <w:p w:rsidR="00C06B07" w:rsidRPr="00310970" w:rsidRDefault="00C06B07" w:rsidP="00D23323">
      <w:pPr>
        <w:pStyle w:val="FootnoteText"/>
        <w:ind w:left="284" w:hanging="142"/>
        <w:rPr>
          <w:rFonts w:cs="Times New Roman"/>
          <w:sz w:val="16"/>
          <w:szCs w:val="16"/>
        </w:rPr>
      </w:pPr>
      <w:r w:rsidRPr="00310970">
        <w:rPr>
          <w:rFonts w:cs="Times New Roman"/>
          <w:sz w:val="16"/>
          <w:szCs w:val="16"/>
        </w:rPr>
        <w:t xml:space="preserve">A </w:t>
      </w:r>
      <w:r w:rsidRPr="00310970">
        <w:rPr>
          <w:rFonts w:cs="Times New Roman"/>
          <w:b/>
          <w:sz w:val="16"/>
          <w:szCs w:val="16"/>
        </w:rPr>
        <w:t>relevant tax</w:t>
      </w:r>
      <w:r w:rsidRPr="00310970">
        <w:rPr>
          <w:rFonts w:cs="Times New Roman"/>
          <w:sz w:val="16"/>
          <w:szCs w:val="16"/>
        </w:rPr>
        <w:t xml:space="preserve"> is any tax payable by a Part 6 operator other than: </w:t>
      </w:r>
    </w:p>
    <w:p w:rsidR="00C06B07" w:rsidRPr="00310970" w:rsidRDefault="00C06B07" w:rsidP="00F43856">
      <w:pPr>
        <w:pStyle w:val="FootnoteText"/>
        <w:numPr>
          <w:ilvl w:val="1"/>
          <w:numId w:val="72"/>
        </w:numPr>
        <w:ind w:left="714" w:hanging="357"/>
        <w:rPr>
          <w:rFonts w:cs="Times New Roman"/>
          <w:sz w:val="16"/>
          <w:szCs w:val="16"/>
        </w:rPr>
      </w:pPr>
      <w:r w:rsidRPr="00310970">
        <w:rPr>
          <w:rFonts w:cs="Times New Roman"/>
          <w:sz w:val="16"/>
          <w:szCs w:val="16"/>
        </w:rPr>
        <w:t xml:space="preserve">income tax and capital gains tax; </w:t>
      </w:r>
    </w:p>
    <w:p w:rsidR="00C06B07" w:rsidRPr="00310970" w:rsidRDefault="00C06B07" w:rsidP="00F43856">
      <w:pPr>
        <w:pStyle w:val="FootnoteText"/>
        <w:numPr>
          <w:ilvl w:val="1"/>
          <w:numId w:val="72"/>
        </w:numPr>
        <w:ind w:left="714" w:hanging="357"/>
        <w:rPr>
          <w:rFonts w:cs="Times New Roman"/>
          <w:sz w:val="16"/>
          <w:szCs w:val="16"/>
        </w:rPr>
      </w:pPr>
      <w:r w:rsidRPr="00310970">
        <w:rPr>
          <w:rFonts w:cs="Times New Roman"/>
          <w:sz w:val="16"/>
          <w:szCs w:val="16"/>
        </w:rPr>
        <w:t xml:space="preserve">stamp duty, financial institutions duty and bank accounts debits tax; </w:t>
      </w:r>
    </w:p>
    <w:p w:rsidR="00C06B07" w:rsidRPr="00310970" w:rsidRDefault="00C06B07" w:rsidP="00F43856">
      <w:pPr>
        <w:pStyle w:val="FootnoteText"/>
        <w:numPr>
          <w:ilvl w:val="1"/>
          <w:numId w:val="72"/>
        </w:numPr>
        <w:ind w:left="714" w:hanging="357"/>
        <w:rPr>
          <w:rFonts w:cs="Times New Roman"/>
          <w:sz w:val="16"/>
          <w:szCs w:val="16"/>
        </w:rPr>
      </w:pPr>
      <w:r w:rsidRPr="00310970">
        <w:rPr>
          <w:rFonts w:cs="Times New Roman"/>
          <w:sz w:val="16"/>
          <w:szCs w:val="16"/>
        </w:rPr>
        <w:t>penalties, charges, fees and interest on late payments, or deficiencies in payments, relating to any tax; or</w:t>
      </w:r>
    </w:p>
    <w:p w:rsidR="00C06B07" w:rsidRPr="00310970" w:rsidRDefault="00C06B07" w:rsidP="00F43856">
      <w:pPr>
        <w:pStyle w:val="FootnoteText"/>
        <w:numPr>
          <w:ilvl w:val="1"/>
          <w:numId w:val="72"/>
        </w:numPr>
        <w:tabs>
          <w:tab w:val="left" w:pos="709"/>
        </w:tabs>
        <w:ind w:left="714" w:hanging="357"/>
        <w:rPr>
          <w:rFonts w:cs="Times New Roman"/>
          <w:sz w:val="16"/>
          <w:szCs w:val="16"/>
        </w:rPr>
      </w:pPr>
      <w:r w:rsidRPr="00310970">
        <w:rPr>
          <w:rFonts w:cs="Times New Roman"/>
          <w:sz w:val="16"/>
          <w:szCs w:val="16"/>
        </w:rPr>
        <w:t>any tax that replaces or is the equivalent of or similar to any of the taxes referred to in paragraphs (a) to (b) (including any State equivalent tax).</w:t>
      </w:r>
    </w:p>
  </w:footnote>
  <w:footnote w:id="430">
    <w:p w:rsidR="00C06B07" w:rsidRPr="00310970" w:rsidRDefault="00C06B07" w:rsidP="00D23323">
      <w:pPr>
        <w:pStyle w:val="FootnoteText"/>
        <w:ind w:left="284" w:hanging="284"/>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In this context, the ACCC considers a </w:t>
      </w:r>
      <w:r w:rsidRPr="00310970">
        <w:rPr>
          <w:rFonts w:cs="Times New Roman"/>
          <w:b/>
          <w:sz w:val="16"/>
          <w:szCs w:val="16"/>
        </w:rPr>
        <w:t>regulatory event</w:t>
      </w:r>
      <w:r w:rsidRPr="00310970">
        <w:rPr>
          <w:rFonts w:cs="Times New Roman"/>
          <w:sz w:val="16"/>
          <w:szCs w:val="16"/>
        </w:rPr>
        <w:t>:</w:t>
      </w:r>
    </w:p>
    <w:p w:rsidR="00C06B07" w:rsidRPr="00310970" w:rsidRDefault="00C06B07" w:rsidP="00A82DE6">
      <w:pPr>
        <w:pStyle w:val="FNBullet"/>
        <w:rPr>
          <w:rFonts w:cs="Times New Roman"/>
        </w:rPr>
      </w:pPr>
      <w:r w:rsidRPr="00310970">
        <w:rPr>
          <w:rFonts w:cs="Times New Roman"/>
        </w:rPr>
        <w:t>includes a change to regulatory requirements on the Part 6 operator that relates to the provision of infrastructure services</w:t>
      </w:r>
    </w:p>
    <w:p w:rsidR="00C06B07" w:rsidRPr="00310970" w:rsidRDefault="00C06B07" w:rsidP="00A82DE6">
      <w:pPr>
        <w:pStyle w:val="FNBullet"/>
        <w:rPr>
          <w:rFonts w:cs="Times New Roman"/>
        </w:rPr>
      </w:pPr>
      <w:r w:rsidRPr="00310970">
        <w:rPr>
          <w:rFonts w:cs="Times New Roman"/>
        </w:rPr>
        <w:t xml:space="preserve">includes the approval or determination of regulated water charges incurred by the infrastructure operator, by the ACCC or State Agency under State water management law. This includes where an infrastructure operator imposes regulated charges on other Part 6 operators, for example Murray-Darling Basin Authority / Border River Commission charges. </w:t>
      </w:r>
    </w:p>
    <w:p w:rsidR="00C06B07" w:rsidRPr="00310970" w:rsidRDefault="00C06B07" w:rsidP="00A82DE6">
      <w:pPr>
        <w:pStyle w:val="FNBullet"/>
        <w:rPr>
          <w:rFonts w:cs="Times New Roman"/>
        </w:rPr>
      </w:pPr>
      <w:r w:rsidRPr="00310970">
        <w:rPr>
          <w:rFonts w:cs="Times New Roman"/>
        </w:rPr>
        <w:t>does not include an obligation to pay a fine, a penalty or compensation in response to any breach of law.</w:t>
      </w:r>
    </w:p>
  </w:footnote>
  <w:footnote w:id="431">
    <w:p w:rsidR="00C06B07" w:rsidRPr="00310970" w:rsidRDefault="00C06B07" w:rsidP="007E6558">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In contrast, providing an incentive for the Part 6 operator to seek efficiencies is only a limited consideration for taxation and regulatory changes because the gains from such unforeseen events are likely to be windfall in nature and are beyond the operator’s control. Therefore, there is no reason to restrict a regulator’s ability to initiate a variation review on these grounds of taxation and regulatory changes.</w:t>
      </w:r>
    </w:p>
  </w:footnote>
  <w:footnote w:id="432">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subrule 40(2)(c)(ii).</w:t>
      </w:r>
    </w:p>
  </w:footnote>
  <w:footnote w:id="433">
    <w:p w:rsidR="00C06B07" w:rsidRPr="00310970" w:rsidRDefault="00C06B07" w:rsidP="007E6558">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a full discussion of the ACCC’s reasoning in the Draft Advice regarding materiality thresholds, see section 5.6.5 in ACCC, </w:t>
      </w:r>
      <w:r w:rsidRPr="00310970">
        <w:rPr>
          <w:rFonts w:cs="Times New Roman"/>
          <w:i/>
          <w:sz w:val="16"/>
          <w:szCs w:val="16"/>
        </w:rPr>
        <w:t>Water Charge Rules Review Draft Advice</w:t>
      </w:r>
      <w:r w:rsidRPr="00310970">
        <w:rPr>
          <w:rFonts w:cs="Times New Roman"/>
          <w:sz w:val="16"/>
          <w:szCs w:val="16"/>
        </w:rPr>
        <w:t>, Canberra, November 2015, pp.123-126.</w:t>
      </w:r>
    </w:p>
  </w:footnote>
  <w:footnote w:id="434">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for example, WCIR, subrule 29(2)(b).</w:t>
      </w:r>
    </w:p>
  </w:footnote>
  <w:footnote w:id="435">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As opposed to the current threshold which is set, in part, at five per cent of the opening regulatory asset base for the operator.</w:t>
      </w:r>
    </w:p>
  </w:footnote>
  <w:footnote w:id="436">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subrule 43(5)(b)(ii).</w:t>
      </w:r>
    </w:p>
  </w:footnote>
  <w:footnote w:id="437">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subrule 43(5)(c).</w:t>
      </w:r>
    </w:p>
  </w:footnote>
  <w:footnote w:id="438">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subrule 43(5)(b)(i).</w:t>
      </w:r>
    </w:p>
  </w:footnote>
  <w:footnote w:id="439">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Farmers’ Federation, Draft Advice Submission, March 2016, p.5.</w:t>
      </w:r>
    </w:p>
  </w:footnote>
  <w:footnote w:id="440">
    <w:p w:rsidR="00C06B07" w:rsidRPr="00310970" w:rsidRDefault="00C06B07" w:rsidP="007E6558">
      <w:pPr>
        <w:pStyle w:val="FootnoteText"/>
        <w:rPr>
          <w:rFonts w:cs="Times New Roman"/>
          <w:sz w:val="16"/>
          <w:szCs w:val="16"/>
        </w:rPr>
      </w:pPr>
      <w:r w:rsidRPr="00310970">
        <w:rPr>
          <w:rFonts w:cs="Times New Roman"/>
          <w:sz w:val="16"/>
          <w:szCs w:val="16"/>
          <w:vertAlign w:val="superscript"/>
        </w:rPr>
        <w:footnoteRef/>
      </w:r>
      <w:r w:rsidRPr="00310970">
        <w:rPr>
          <w:rFonts w:cs="Times New Roman"/>
          <w:sz w:val="16"/>
          <w:szCs w:val="16"/>
        </w:rPr>
        <w:t xml:space="preserve"> State Water, Submission to the Independent Review of the Water Act 2007, July 2014, p.35.</w:t>
      </w:r>
    </w:p>
  </w:footnote>
  <w:footnote w:id="441">
    <w:p w:rsidR="00C06B07" w:rsidRPr="00310970" w:rsidRDefault="00C06B07" w:rsidP="007E6558">
      <w:pPr>
        <w:pStyle w:val="FootnoteText"/>
        <w:rPr>
          <w:rFonts w:cs="Times New Roman"/>
          <w:sz w:val="16"/>
          <w:szCs w:val="16"/>
        </w:rPr>
      </w:pPr>
      <w:r w:rsidRPr="00310970">
        <w:rPr>
          <w:rFonts w:cs="Times New Roman"/>
          <w:sz w:val="16"/>
          <w:szCs w:val="16"/>
          <w:vertAlign w:val="superscript"/>
        </w:rPr>
        <w:footnoteRef/>
      </w:r>
      <w:r w:rsidRPr="00310970">
        <w:rPr>
          <w:rFonts w:cs="Times New Roman"/>
          <w:sz w:val="16"/>
          <w:szCs w:val="16"/>
        </w:rPr>
        <w:t xml:space="preserve"> Goulburn Murray Water, Issues Paper Submission, July 2015, p.2.</w:t>
      </w:r>
    </w:p>
  </w:footnote>
  <w:footnote w:id="442">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p.1.</w:t>
      </w:r>
    </w:p>
  </w:footnote>
  <w:footnote w:id="443">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444">
    <w:p w:rsidR="00C06B07" w:rsidRPr="00310970" w:rsidRDefault="00C06B07" w:rsidP="007E6558">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vertAlign w:val="baseline"/>
        </w:rPr>
        <w:t xml:space="preserve"> Goulburn-Murray Water, Draft Advice Submission, March 2016, p.4. GMW had called for a lower materiality threshold in its Issues Paper submission, arguing that the current threshold imposes a significant risk on the operator. Goulburn Murray Water, Issues Paper Submission, July 2015, p.4.</w:t>
      </w:r>
    </w:p>
  </w:footnote>
  <w:footnote w:id="445">
    <w:p w:rsidR="00C06B07" w:rsidRPr="00310970" w:rsidRDefault="00C06B07" w:rsidP="007E6558">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example, GMW argued that the threshold would increase in the first year of their current regulatory period from $11.7 million to $18.6 million. GMW added that this issue is “exacerbated” because it has a “very low RAB to annual revenue ratio” due to the “RAB being substantially below book asset value”.</w:t>
      </w:r>
    </w:p>
  </w:footnote>
  <w:footnote w:id="446">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p.4.</w:t>
      </w:r>
    </w:p>
  </w:footnote>
  <w:footnote w:id="447">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448">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449">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w:t>
      </w:r>
    </w:p>
  </w:footnote>
  <w:footnote w:id="450">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Issues Paper Submission, June 2015, p.5.</w:t>
      </w:r>
    </w:p>
  </w:footnote>
  <w:footnote w:id="451">
    <w:p w:rsidR="00C06B07" w:rsidRPr="00310970" w:rsidRDefault="00C06B07" w:rsidP="00326F95">
      <w:pPr>
        <w:autoSpaceDE w:val="0"/>
        <w:autoSpaceDN w:val="0"/>
        <w:adjustRightInd w:val="0"/>
        <w:spacing w:after="0" w:line="240" w:lineRule="auto"/>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IPART, Draft Advice Submission, March 2016, p. 2.</w:t>
      </w:r>
    </w:p>
  </w:footnote>
  <w:footnote w:id="452">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Draft Advice Submission, March 2016, p.2.</w:t>
      </w:r>
    </w:p>
  </w:footnote>
  <w:footnote w:id="453">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Issues Paper Submission, July 2015, p.5.</w:t>
      </w:r>
    </w:p>
  </w:footnote>
  <w:footnote w:id="454">
    <w:p w:rsidR="00C06B07" w:rsidRPr="00310970" w:rsidRDefault="00C06B07" w:rsidP="007E6558">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In contrast, the current threshold is set at five per cent of the opening RAB for the operator, or $15 million, whichever is the lesser, and an operator may only apply for a variation of an approval or determination if the relevant event could not have been reasonably foreseen.</w:t>
      </w:r>
    </w:p>
  </w:footnote>
  <w:footnote w:id="455">
    <w:p w:rsidR="00C06B07" w:rsidRPr="00310970" w:rsidRDefault="00C06B07" w:rsidP="007E655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Draft Water Charge Rules</w:t>
      </w:r>
      <w:r w:rsidRPr="00310970">
        <w:rPr>
          <w:rFonts w:cs="Times New Roman"/>
          <w:sz w:val="16"/>
          <w:szCs w:val="16"/>
        </w:rPr>
        <w:t xml:space="preserve">, November 2015, subrule 40(5).   </w:t>
      </w:r>
    </w:p>
  </w:footnote>
  <w:footnote w:id="456">
    <w:p w:rsidR="00C06B07" w:rsidRPr="00310970" w:rsidRDefault="00C06B07" w:rsidP="00B13B1B">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ACCC Final Decision on State Water Pricing Application: 2014-15 to 2016</w:t>
      </w:r>
      <w:r w:rsidRPr="00310970">
        <w:rPr>
          <w:rFonts w:cs="Times New Roman"/>
          <w:i/>
          <w:sz w:val="16"/>
          <w:szCs w:val="16"/>
        </w:rPr>
        <w:noBreakHyphen/>
        <w:t>17</w:t>
      </w:r>
      <w:r w:rsidRPr="00310970">
        <w:rPr>
          <w:rFonts w:cs="Times New Roman"/>
          <w:sz w:val="16"/>
          <w:szCs w:val="16"/>
        </w:rPr>
        <w:t xml:space="preserve">, Canberra, June 2014, p.34. </w:t>
      </w:r>
    </w:p>
  </w:footnote>
  <w:footnote w:id="457">
    <w:p w:rsidR="00C06B07" w:rsidRPr="00310970" w:rsidRDefault="00C06B07" w:rsidP="00B13B1B">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ACCC Final Decision on State Water Pricing Application: 2014-15 to 2016</w:t>
      </w:r>
      <w:r w:rsidRPr="00310970">
        <w:rPr>
          <w:rFonts w:cs="Times New Roman"/>
          <w:i/>
          <w:sz w:val="16"/>
          <w:szCs w:val="16"/>
        </w:rPr>
        <w:noBreakHyphen/>
        <w:t>17</w:t>
      </w:r>
      <w:r w:rsidRPr="00310970">
        <w:rPr>
          <w:rFonts w:cs="Times New Roman"/>
          <w:sz w:val="16"/>
          <w:szCs w:val="16"/>
        </w:rPr>
        <w:t xml:space="preserve">, Canberra, June 2014, p.184. </w:t>
      </w:r>
    </w:p>
  </w:footnote>
  <w:footnote w:id="458">
    <w:p w:rsidR="00C06B07" w:rsidRPr="00310970" w:rsidRDefault="00C06B07" w:rsidP="00C8321B">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Essential Services Commission of Victoria, 2</w:t>
      </w:r>
      <w:r w:rsidRPr="00310970">
        <w:rPr>
          <w:rFonts w:cs="Times New Roman"/>
          <w:i/>
          <w:sz w:val="16"/>
          <w:szCs w:val="16"/>
        </w:rPr>
        <w:t>013 Water Price Review- Goulburn-Murray Water Determination 1 July 2013 - 30 June 2016</w:t>
      </w:r>
      <w:r w:rsidRPr="00310970">
        <w:rPr>
          <w:rFonts w:cs="Times New Roman"/>
          <w:sz w:val="16"/>
          <w:szCs w:val="16"/>
        </w:rPr>
        <w:t>, June 2013, p. 32.</w:t>
      </w:r>
    </w:p>
  </w:footnote>
  <w:footnote w:id="459">
    <w:p w:rsidR="00C06B07" w:rsidRPr="00310970" w:rsidRDefault="00C06B07" w:rsidP="00C8321B">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Essential Services Commission of Victoria, 2</w:t>
      </w:r>
      <w:r w:rsidRPr="00310970">
        <w:rPr>
          <w:rFonts w:cs="Times New Roman"/>
          <w:i/>
          <w:sz w:val="16"/>
          <w:szCs w:val="16"/>
        </w:rPr>
        <w:t>013 Water Price Review- Goulburn-Murray Water Determination 1 July 2013 - 30 June 2016</w:t>
      </w:r>
      <w:r w:rsidRPr="00310970">
        <w:rPr>
          <w:rFonts w:cs="Times New Roman"/>
          <w:sz w:val="16"/>
          <w:szCs w:val="16"/>
        </w:rPr>
        <w:t>, June 2013, p. 25.</w:t>
      </w:r>
    </w:p>
  </w:footnote>
  <w:footnote w:id="460">
    <w:p w:rsidR="00C06B07" w:rsidRPr="00310970" w:rsidRDefault="00C06B07" w:rsidP="00C8321B">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Essential Services Commission of Victoria, 2</w:t>
      </w:r>
      <w:r w:rsidRPr="00310970">
        <w:rPr>
          <w:rFonts w:cs="Times New Roman"/>
          <w:i/>
          <w:sz w:val="16"/>
          <w:szCs w:val="16"/>
        </w:rPr>
        <w:t>013 Water Price Review- Goulburn-Murray Water Determination 1 July 2013 - 30 June 2016</w:t>
      </w:r>
      <w:r w:rsidRPr="00310970">
        <w:rPr>
          <w:rFonts w:cs="Times New Roman"/>
          <w:sz w:val="16"/>
          <w:szCs w:val="16"/>
        </w:rPr>
        <w:t>, June 2013, p. 32.</w:t>
      </w:r>
    </w:p>
  </w:footnote>
  <w:footnote w:id="461">
    <w:p w:rsidR="00C06B07" w:rsidRPr="00310970" w:rsidRDefault="00C06B07" w:rsidP="00C8321B">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Essential Services Commission of Victoria, 2</w:t>
      </w:r>
      <w:r w:rsidRPr="00310970">
        <w:rPr>
          <w:rFonts w:cs="Times New Roman"/>
          <w:i/>
          <w:sz w:val="16"/>
          <w:szCs w:val="16"/>
        </w:rPr>
        <w:t>013 Water Price Review- Goulburn-Murray Water Determination 1 July 2013 - 30 June 2016</w:t>
      </w:r>
      <w:r w:rsidRPr="00310970">
        <w:rPr>
          <w:rFonts w:cs="Times New Roman"/>
          <w:sz w:val="16"/>
          <w:szCs w:val="16"/>
        </w:rPr>
        <w:t>, June 2013, p. 25.</w:t>
      </w:r>
    </w:p>
  </w:footnote>
  <w:footnote w:id="462">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Part 7 of the WCIR applies to a member-owned infrastructure operator servicing more than 10 GL of water held under water access entitlements. </w:t>
      </w:r>
    </w:p>
  </w:footnote>
  <w:footnote w:id="463">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WCIR rule 6 states that: In these Rules, a customer of an infrastructure operator is a related customer if:</w:t>
      </w:r>
    </w:p>
    <w:p w:rsidR="00C06B07" w:rsidRPr="00310970" w:rsidRDefault="00C06B07" w:rsidP="00D23323">
      <w:pPr>
        <w:pStyle w:val="FootnoteText"/>
        <w:numPr>
          <w:ilvl w:val="0"/>
          <w:numId w:val="2"/>
        </w:numPr>
        <w:tabs>
          <w:tab w:val="left" w:pos="284"/>
        </w:tabs>
        <w:ind w:left="567"/>
        <w:contextualSpacing/>
        <w:rPr>
          <w:rFonts w:cs="Times New Roman"/>
          <w:sz w:val="16"/>
          <w:szCs w:val="16"/>
        </w:rPr>
      </w:pPr>
      <w:r w:rsidRPr="00310970">
        <w:rPr>
          <w:rFonts w:cs="Times New Roman"/>
          <w:sz w:val="16"/>
          <w:szCs w:val="16"/>
        </w:rPr>
        <w:t>The customer is a beneficiary of a trust of which the infrastructure operator is a trustee; or</w:t>
      </w:r>
    </w:p>
    <w:p w:rsidR="00C06B07" w:rsidRPr="00310970" w:rsidRDefault="00C06B07" w:rsidP="00D23323">
      <w:pPr>
        <w:pStyle w:val="FootnoteText"/>
        <w:numPr>
          <w:ilvl w:val="0"/>
          <w:numId w:val="2"/>
        </w:numPr>
        <w:tabs>
          <w:tab w:val="left" w:pos="284"/>
        </w:tabs>
        <w:ind w:left="567"/>
        <w:contextualSpacing/>
        <w:rPr>
          <w:rFonts w:cs="Times New Roman"/>
          <w:sz w:val="16"/>
          <w:szCs w:val="16"/>
        </w:rPr>
      </w:pPr>
      <w:r w:rsidRPr="00310970">
        <w:rPr>
          <w:rFonts w:cs="Times New Roman"/>
          <w:sz w:val="16"/>
          <w:szCs w:val="16"/>
        </w:rPr>
        <w:t xml:space="preserve">Where the infrastructure operator is a company within the meaning of the </w:t>
      </w:r>
      <w:r w:rsidRPr="00310970">
        <w:rPr>
          <w:rFonts w:cs="Times New Roman"/>
          <w:i/>
          <w:sz w:val="16"/>
          <w:szCs w:val="16"/>
        </w:rPr>
        <w:t>Corporations Act 2001</w:t>
      </w:r>
      <w:r w:rsidRPr="00310970">
        <w:rPr>
          <w:rFonts w:cs="Times New Roman"/>
          <w:sz w:val="16"/>
          <w:szCs w:val="16"/>
        </w:rPr>
        <w:t>, the customer is–</w:t>
      </w:r>
    </w:p>
    <w:p w:rsidR="00C06B07" w:rsidRPr="00310970" w:rsidRDefault="00C06B07" w:rsidP="00D23323">
      <w:pPr>
        <w:pStyle w:val="FootnoteText"/>
        <w:numPr>
          <w:ilvl w:val="1"/>
          <w:numId w:val="2"/>
        </w:numPr>
        <w:tabs>
          <w:tab w:val="left" w:pos="284"/>
        </w:tabs>
        <w:ind w:left="851" w:hanging="142"/>
        <w:contextualSpacing/>
        <w:rPr>
          <w:rFonts w:cs="Times New Roman"/>
          <w:sz w:val="16"/>
          <w:szCs w:val="16"/>
        </w:rPr>
      </w:pPr>
      <w:r w:rsidRPr="00310970">
        <w:rPr>
          <w:rFonts w:cs="Times New Roman"/>
          <w:sz w:val="16"/>
          <w:szCs w:val="16"/>
        </w:rPr>
        <w:t>a related body corporate within the meaning of that Act in relation to the infrastructure operator; or</w:t>
      </w:r>
    </w:p>
    <w:p w:rsidR="00C06B07" w:rsidRPr="00310970" w:rsidRDefault="00C06B07" w:rsidP="00D23323">
      <w:pPr>
        <w:pStyle w:val="FootnoteText"/>
        <w:numPr>
          <w:ilvl w:val="1"/>
          <w:numId w:val="2"/>
        </w:numPr>
        <w:tabs>
          <w:tab w:val="left" w:pos="284"/>
        </w:tabs>
        <w:ind w:left="851" w:hanging="142"/>
        <w:contextualSpacing/>
        <w:rPr>
          <w:rFonts w:cs="Times New Roman"/>
          <w:sz w:val="16"/>
          <w:szCs w:val="16"/>
        </w:rPr>
      </w:pPr>
      <w:r w:rsidRPr="00310970">
        <w:rPr>
          <w:rFonts w:cs="Times New Roman"/>
          <w:sz w:val="16"/>
          <w:szCs w:val="16"/>
        </w:rPr>
        <w:t>a member of the company; or</w:t>
      </w:r>
    </w:p>
    <w:p w:rsidR="00C06B07" w:rsidRPr="00310970" w:rsidRDefault="00C06B07" w:rsidP="00D23323">
      <w:pPr>
        <w:pStyle w:val="FootnoteText"/>
        <w:numPr>
          <w:ilvl w:val="0"/>
          <w:numId w:val="2"/>
        </w:numPr>
        <w:tabs>
          <w:tab w:val="left" w:pos="284"/>
        </w:tabs>
        <w:ind w:left="567"/>
        <w:contextualSpacing/>
        <w:rPr>
          <w:rFonts w:cs="Times New Roman"/>
          <w:sz w:val="16"/>
          <w:szCs w:val="16"/>
        </w:rPr>
      </w:pPr>
      <w:r w:rsidRPr="00310970">
        <w:rPr>
          <w:rFonts w:cs="Times New Roman"/>
          <w:sz w:val="16"/>
          <w:szCs w:val="16"/>
        </w:rPr>
        <w:t xml:space="preserve">where the infrastructure operator is a body corporate incorporated under a law of a State or of the Commonwealth (other than the </w:t>
      </w:r>
      <w:r w:rsidRPr="00310970">
        <w:rPr>
          <w:rFonts w:cs="Times New Roman"/>
          <w:i/>
          <w:sz w:val="16"/>
          <w:szCs w:val="16"/>
        </w:rPr>
        <w:t>Corporations Act 2001</w:t>
      </w:r>
      <w:r w:rsidRPr="00310970">
        <w:rPr>
          <w:rFonts w:cs="Times New Roman"/>
          <w:sz w:val="16"/>
          <w:szCs w:val="16"/>
        </w:rPr>
        <w:t>), the customer is a member of the body corporate; or</w:t>
      </w:r>
    </w:p>
    <w:p w:rsidR="00C06B07" w:rsidRPr="00310970" w:rsidRDefault="00C06B07" w:rsidP="00D23323">
      <w:pPr>
        <w:pStyle w:val="FootnoteText"/>
        <w:numPr>
          <w:ilvl w:val="0"/>
          <w:numId w:val="2"/>
        </w:numPr>
        <w:tabs>
          <w:tab w:val="left" w:pos="284"/>
        </w:tabs>
        <w:ind w:left="567"/>
        <w:contextualSpacing/>
        <w:rPr>
          <w:rFonts w:cs="Times New Roman"/>
          <w:sz w:val="16"/>
          <w:szCs w:val="16"/>
        </w:rPr>
      </w:pPr>
      <w:r w:rsidRPr="00310970">
        <w:rPr>
          <w:rFonts w:cs="Times New Roman"/>
          <w:sz w:val="16"/>
          <w:szCs w:val="16"/>
        </w:rPr>
        <w:t>the customer has any other legal or equitable interest in the infrastructure operator.</w:t>
      </w:r>
    </w:p>
  </w:footnote>
  <w:footnote w:id="464">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that this definition does not extend to where distributions are made without distinction between related customers and other customers or only to some of an operator’s related customers but not others.</w:t>
      </w:r>
    </w:p>
  </w:footnote>
  <w:footnote w:id="465">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 full discussion of the ACCC’s reasoning for this draft rule advice is provided in section 5.7 of ACCC, </w:t>
      </w:r>
      <w:r w:rsidRPr="00310970">
        <w:rPr>
          <w:rFonts w:cs="Times New Roman"/>
          <w:i/>
          <w:sz w:val="16"/>
          <w:szCs w:val="16"/>
        </w:rPr>
        <w:t>Water Charge Rules Review Draft Advice</w:t>
      </w:r>
      <w:r w:rsidRPr="00310970">
        <w:rPr>
          <w:rFonts w:cs="Times New Roman"/>
          <w:sz w:val="16"/>
          <w:szCs w:val="16"/>
        </w:rPr>
        <w:t>, Canberra, November 2015, pp.129-131.</w:t>
      </w:r>
    </w:p>
  </w:footnote>
  <w:footnote w:id="466">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Murrumbidgee Irrigation Limited, Issues Paper Submission, July 2015, p.7; Western Murray Irrigation, Issues Paper Submission, July 2015, p.5.</w:t>
      </w:r>
    </w:p>
  </w:footnote>
  <w:footnote w:id="467">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Coleambally Irrigation Cooperative Limited, Issues Paper Submission, July 2015, pp.7-8.</w:t>
      </w:r>
    </w:p>
  </w:footnote>
  <w:footnote w:id="468">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Draft Advice Submission, March 2016, p.6.</w:t>
      </w:r>
    </w:p>
  </w:footnote>
  <w:footnote w:id="469">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p.14; Western Murray Irrigation, Draft Advice Submission, March 2016, p.3.</w:t>
      </w:r>
    </w:p>
  </w:footnote>
  <w:footnote w:id="470">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p.14.</w:t>
      </w:r>
    </w:p>
  </w:footnote>
  <w:footnote w:id="471">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Western Murray Irrigation, Draft Advice Submission, March 2016, p.3.</w:t>
      </w:r>
    </w:p>
  </w:footnote>
  <w:footnote w:id="472">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p.8.</w:t>
      </w:r>
    </w:p>
  </w:footnote>
  <w:footnote w:id="473">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WMI also noted its view that it would become a Part 7 operator because it would not meet any of the exemption criteria. </w:t>
      </w:r>
    </w:p>
  </w:footnote>
  <w:footnote w:id="474">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p.14.</w:t>
      </w:r>
    </w:p>
  </w:footnote>
  <w:footnote w:id="475">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Western Murray Irrigation, Submission to the water charge rules Issues Paper, July 2008, p.12, viewed June 2016, </w:t>
      </w:r>
      <w:hyperlink r:id="rId45" w:history="1">
        <w:r w:rsidRPr="00310970">
          <w:rPr>
            <w:rStyle w:val="Hyperlink"/>
            <w:rFonts w:cs="Times New Roman"/>
            <w:sz w:val="16"/>
            <w:szCs w:val="16"/>
          </w:rPr>
          <w:t>https://www.accc.gov.au/system/files/Western%20Murray%20Irrigation.doc</w:t>
        </w:r>
      </w:hyperlink>
      <w:r w:rsidRPr="00310970">
        <w:rPr>
          <w:rFonts w:cs="Times New Roman"/>
          <w:sz w:val="16"/>
          <w:szCs w:val="16"/>
        </w:rPr>
        <w:t>.</w:t>
      </w:r>
    </w:p>
  </w:footnote>
  <w:footnote w:id="476">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Western Murray Irrigation, </w:t>
      </w:r>
      <w:r w:rsidRPr="00310970">
        <w:rPr>
          <w:rFonts w:cs="Times New Roman"/>
          <w:i/>
          <w:sz w:val="16"/>
          <w:szCs w:val="16"/>
        </w:rPr>
        <w:t>Annual Report 2014-15</w:t>
      </w:r>
      <w:r w:rsidRPr="00310970">
        <w:rPr>
          <w:rFonts w:cs="Times New Roman"/>
          <w:sz w:val="16"/>
          <w:szCs w:val="16"/>
        </w:rPr>
        <w:t xml:space="preserve">, p.12, viewed June 2016, </w:t>
      </w:r>
      <w:hyperlink r:id="rId46" w:history="1">
        <w:r w:rsidRPr="00310970">
          <w:rPr>
            <w:rStyle w:val="Hyperlink"/>
            <w:rFonts w:cs="Times New Roman"/>
            <w:sz w:val="16"/>
            <w:szCs w:val="16"/>
          </w:rPr>
          <w:t>http://www.westernmurray.com.au/</w:t>
        </w:r>
      </w:hyperlink>
      <w:r w:rsidRPr="00310970">
        <w:rPr>
          <w:rFonts w:cs="Times New Roman"/>
          <w:sz w:val="16"/>
          <w:szCs w:val="16"/>
        </w:rPr>
        <w:t>.</w:t>
      </w:r>
    </w:p>
  </w:footnote>
  <w:footnote w:id="477">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pp.14-15.</w:t>
      </w:r>
    </w:p>
  </w:footnote>
  <w:footnote w:id="478">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NIC provided three examples of different types of rights of access that an operator might issue to customers:</w:t>
      </w:r>
    </w:p>
    <w:p w:rsidR="00C06B07" w:rsidRPr="00310970" w:rsidRDefault="00C06B07" w:rsidP="00F43856">
      <w:pPr>
        <w:pStyle w:val="FootnoteText"/>
        <w:numPr>
          <w:ilvl w:val="0"/>
          <w:numId w:val="53"/>
        </w:numPr>
        <w:tabs>
          <w:tab w:val="left" w:pos="426"/>
        </w:tabs>
        <w:ind w:left="426" w:hanging="219"/>
        <w:rPr>
          <w:rFonts w:cs="Times New Roman"/>
          <w:sz w:val="16"/>
          <w:szCs w:val="16"/>
        </w:rPr>
      </w:pPr>
      <w:r w:rsidRPr="00310970">
        <w:rPr>
          <w:rFonts w:cs="Times New Roman"/>
          <w:sz w:val="16"/>
          <w:szCs w:val="16"/>
        </w:rPr>
        <w:t>the right to the delivery of a certain volume of water within one year</w:t>
      </w:r>
    </w:p>
    <w:p w:rsidR="00C06B07" w:rsidRPr="00310970" w:rsidRDefault="00C06B07" w:rsidP="00F43856">
      <w:pPr>
        <w:pStyle w:val="FootnoteText"/>
        <w:numPr>
          <w:ilvl w:val="0"/>
          <w:numId w:val="53"/>
        </w:numPr>
        <w:tabs>
          <w:tab w:val="left" w:pos="426"/>
        </w:tabs>
        <w:ind w:left="426" w:hanging="219"/>
        <w:rPr>
          <w:rFonts w:cs="Times New Roman"/>
          <w:sz w:val="16"/>
          <w:szCs w:val="16"/>
        </w:rPr>
      </w:pPr>
      <w:r w:rsidRPr="00310970">
        <w:rPr>
          <w:rFonts w:cs="Times New Roman"/>
          <w:sz w:val="16"/>
          <w:szCs w:val="16"/>
        </w:rPr>
        <w:t>the right to have delivered or to take an unlimited volume of water when a channel or body reaches a certain trigger point and remains above that point.</w:t>
      </w:r>
    </w:p>
    <w:p w:rsidR="00C06B07" w:rsidRPr="00310970" w:rsidRDefault="00C06B07" w:rsidP="00F43856">
      <w:pPr>
        <w:pStyle w:val="FootnoteText"/>
        <w:numPr>
          <w:ilvl w:val="0"/>
          <w:numId w:val="53"/>
        </w:numPr>
        <w:tabs>
          <w:tab w:val="left" w:pos="426"/>
        </w:tabs>
        <w:ind w:left="426" w:hanging="219"/>
        <w:rPr>
          <w:rFonts w:cs="Times New Roman"/>
          <w:sz w:val="16"/>
          <w:szCs w:val="16"/>
        </w:rPr>
      </w:pPr>
      <w:r w:rsidRPr="00310970">
        <w:rPr>
          <w:rFonts w:cs="Times New Roman"/>
          <w:sz w:val="16"/>
          <w:szCs w:val="16"/>
        </w:rPr>
        <w:t>a right defined by reference to a share of the available capacity (e.g. a flow rate share) in a constrained part of the operator’s network.</w:t>
      </w:r>
    </w:p>
  </w:footnote>
  <w:footnote w:id="479">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pp.14-15.</w:t>
      </w:r>
    </w:p>
  </w:footnote>
  <w:footnote w:id="480">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p.15.</w:t>
      </w:r>
    </w:p>
  </w:footnote>
  <w:footnote w:id="481">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NIC noted for example, that an operator could source all of its water by purchasing water allocations from the market.</w:t>
      </w:r>
    </w:p>
  </w:footnote>
  <w:footnote w:id="482">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p.15.</w:t>
      </w:r>
    </w:p>
  </w:footnote>
  <w:footnote w:id="483">
    <w:p w:rsidR="00C06B07" w:rsidRPr="00310970" w:rsidRDefault="00C06B07" w:rsidP="00C875DA">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the current non-discrimination rule (Part 3) relates to different charges being levied on customers who hold irrigation rights versus those who do not. In contrast, the current application of Part 7 refers to ‘related customers’ (which operators generally refer to as ‘members’). The ACCC understands that there is a large degree of overlap between membership and customers who hold irrigation right for most operators, and as such, that there is a high degree of linkage between the types of discriminatory activity that Parts 3 and 7 seek to deter.</w:t>
      </w:r>
    </w:p>
  </w:footnote>
  <w:footnote w:id="484">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p.15.</w:t>
      </w:r>
    </w:p>
  </w:footnote>
  <w:footnote w:id="485">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notes that Basin Plan water trading rule 12.34 requires irrigation infrastructure operators to clearly specify irrigation rights of their customers.</w:t>
      </w:r>
    </w:p>
  </w:footnote>
  <w:footnote w:id="486">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The operator can also choose to make or offer a distribution in proportion to each customer’s right of access. See subrule 45(5)(a) in the proposed Water Charge Rules. </w:t>
      </w:r>
    </w:p>
  </w:footnote>
  <w:footnote w:id="487">
    <w:p w:rsidR="00C06B07" w:rsidRPr="00310970" w:rsidRDefault="00C06B07" w:rsidP="00C875D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p.14.</w:t>
      </w:r>
    </w:p>
  </w:footnote>
  <w:footnote w:id="488">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‘Discussion’ in section 5.8 of ACCC, </w:t>
      </w:r>
      <w:r w:rsidRPr="00310970">
        <w:rPr>
          <w:rFonts w:cs="Times New Roman"/>
          <w:i/>
          <w:sz w:val="16"/>
          <w:szCs w:val="16"/>
        </w:rPr>
        <w:t>Water Charge Rules Review Draft Advice</w:t>
      </w:r>
      <w:r w:rsidRPr="00310970">
        <w:rPr>
          <w:rFonts w:cs="Times New Roman"/>
          <w:sz w:val="16"/>
          <w:szCs w:val="16"/>
        </w:rPr>
        <w:t>, Canberra, November 2015, pp.136-138.</w:t>
      </w:r>
    </w:p>
  </w:footnote>
  <w:footnote w:id="489">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5.8 of ACCC, </w:t>
      </w:r>
      <w:r w:rsidRPr="00310970">
        <w:rPr>
          <w:rFonts w:cs="Times New Roman"/>
          <w:i/>
          <w:sz w:val="16"/>
          <w:szCs w:val="16"/>
        </w:rPr>
        <w:t>Water Charge Rules Review Draft Advice</w:t>
      </w:r>
      <w:r w:rsidRPr="00310970">
        <w:rPr>
          <w:rFonts w:cs="Times New Roman"/>
          <w:sz w:val="16"/>
          <w:szCs w:val="16"/>
        </w:rPr>
        <w:t>, Canberra, November 2015, pp.135-136.</w:t>
      </w:r>
    </w:p>
  </w:footnote>
  <w:footnote w:id="490">
    <w:p w:rsidR="00C06B07" w:rsidRPr="00310970" w:rsidRDefault="00C06B07" w:rsidP="005A3C9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Issues Paper Submission, July 2015, pp.6,7,10; State Water, Submission to the Independent Review of the Water Act 2007, July 2014; Goulburn-Murray Water, Issues Paper Submission, July 2015, p.4.</w:t>
      </w:r>
    </w:p>
  </w:footnote>
  <w:footnote w:id="491">
    <w:p w:rsidR="00C06B07" w:rsidRPr="00310970" w:rsidRDefault="00C06B07" w:rsidP="0005156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Issues Paper Submission, July 2015, pp.7-8; National Irrigators’ Council, Issues Paper Submission, July 2015, p.12; Central Irrigation Trust, Issues Paper Submission, July 2015, p.6.</w:t>
      </w:r>
    </w:p>
  </w:footnote>
  <w:footnote w:id="492">
    <w:p w:rsidR="00C06B07" w:rsidRPr="00310970" w:rsidRDefault="00C06B07" w:rsidP="0059041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Issues Paper Submission, July 2015, p.7. State Water (now WaterNSW) also expressed this position in its submission to the Act Review. State Water also noted that the right to judicial review is explicitly set out in the energy sector. State Water, Submission to the Independent Review of the Water Act 2007, July 2014, pp.30-32.</w:t>
      </w:r>
    </w:p>
  </w:footnote>
  <w:footnote w:id="493">
    <w:p w:rsidR="00C06B07" w:rsidRPr="00310970" w:rsidRDefault="00C06B07" w:rsidP="00786316">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GMW noted for example that it would reduce the need for interstate travel and excessive legal costs. </w:t>
      </w:r>
    </w:p>
  </w:footnote>
  <w:footnote w:id="494">
    <w:p w:rsidR="00C06B07" w:rsidRPr="00310970" w:rsidRDefault="00C06B07" w:rsidP="0005156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Issues Paper Submission, July 2015, p.12; Central Irrigation Trust, Issues Paper Submission, July 2015, p.6; Waterfind, Issues Paper Submission, July 2015, p.2; Western Murray Irrigation, Submission to the Independent Review of the Water Act 2007, June 2014, p.6.</w:t>
      </w:r>
    </w:p>
  </w:footnote>
  <w:footnote w:id="495">
    <w:p w:rsidR="00C06B07" w:rsidRPr="00310970" w:rsidRDefault="00C06B07" w:rsidP="004F7C9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Draft Advice Submission, March 2016, p.10.</w:t>
      </w:r>
    </w:p>
  </w:footnote>
  <w:footnote w:id="496">
    <w:p w:rsidR="00C06B07" w:rsidRPr="00310970" w:rsidRDefault="00C06B07" w:rsidP="004F7C9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Issues Paper Submission, July 2015, pp.6-7.</w:t>
      </w:r>
    </w:p>
  </w:footnote>
  <w:footnote w:id="497">
    <w:p w:rsidR="00C06B07" w:rsidRPr="00310970" w:rsidRDefault="00C06B07" w:rsidP="004F7C9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p.4.</w:t>
      </w:r>
    </w:p>
  </w:footnote>
  <w:footnote w:id="498">
    <w:p w:rsidR="00C06B07" w:rsidRPr="00310970" w:rsidRDefault="00C06B07" w:rsidP="00AB3252">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ACCC Final Decision on State Water Pricing application: 2014-15 to 2016-17</w:t>
      </w:r>
      <w:r w:rsidRPr="00310970">
        <w:rPr>
          <w:rFonts w:cs="Times New Roman"/>
          <w:sz w:val="16"/>
          <w:szCs w:val="16"/>
        </w:rPr>
        <w:t xml:space="preserve">, Canberra, June 2014, p.18. Essential Services Commission of Victoria, </w:t>
      </w:r>
      <w:r w:rsidRPr="00310970">
        <w:rPr>
          <w:rFonts w:cs="Times New Roman"/>
          <w:i/>
          <w:sz w:val="16"/>
          <w:szCs w:val="16"/>
        </w:rPr>
        <w:t>Price Review 2013: Rural Water Businesses Final Decision</w:t>
      </w:r>
      <w:r w:rsidRPr="00310970">
        <w:rPr>
          <w:rFonts w:cs="Times New Roman"/>
          <w:sz w:val="16"/>
          <w:szCs w:val="16"/>
        </w:rPr>
        <w:t>, June 2013, p.18.</w:t>
      </w:r>
    </w:p>
  </w:footnote>
  <w:footnote w:id="499">
    <w:p w:rsidR="00C06B07" w:rsidRPr="00310970" w:rsidRDefault="00C06B07" w:rsidP="0032609A">
      <w:pPr>
        <w:pStyle w:val="FootnoteText"/>
        <w:tabs>
          <w:tab w:val="left" w:pos="0"/>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however, that the ‘correct’ balance between these objectives may be a matter of opinion and may differ across stakeholders.</w:t>
      </w:r>
    </w:p>
  </w:footnote>
  <w:footnote w:id="500">
    <w:p w:rsidR="00C06B07" w:rsidRPr="00310970" w:rsidRDefault="00C06B07" w:rsidP="00AB3252">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Standing Council on Energy and Resources, </w:t>
      </w:r>
      <w:r w:rsidRPr="00310970">
        <w:rPr>
          <w:rFonts w:cs="Times New Roman"/>
          <w:i/>
          <w:sz w:val="16"/>
          <w:szCs w:val="16"/>
        </w:rPr>
        <w:t>Regulation Impact Statement: Limited Merits Review of Decision-Making in the Electricity and Gas Regulatory Frameworks – Decision Paper</w:t>
      </w:r>
      <w:r w:rsidRPr="00310970">
        <w:rPr>
          <w:rFonts w:cs="Times New Roman"/>
          <w:sz w:val="16"/>
          <w:szCs w:val="16"/>
        </w:rPr>
        <w:t xml:space="preserve">, June 2013, p.34. Professor George Yarrow, The Hon Michael Egan and Dr John Tamblyn, </w:t>
      </w:r>
      <w:r w:rsidRPr="00310970">
        <w:rPr>
          <w:rFonts w:cs="Times New Roman"/>
          <w:i/>
          <w:sz w:val="16"/>
          <w:szCs w:val="16"/>
        </w:rPr>
        <w:t>Review of the Limited Merits Review Regime – Stage Two Report,</w:t>
      </w:r>
      <w:r w:rsidRPr="00310970">
        <w:rPr>
          <w:rFonts w:cs="Times New Roman"/>
          <w:sz w:val="16"/>
          <w:szCs w:val="16"/>
        </w:rPr>
        <w:t xml:space="preserve"> 30 September 2012, p.15.</w:t>
      </w:r>
      <w:r w:rsidRPr="00310970">
        <w:rPr>
          <w:rFonts w:cs="Times New Roman"/>
          <w:i/>
          <w:sz w:val="16"/>
          <w:szCs w:val="16"/>
        </w:rPr>
        <w:t xml:space="preserve"> </w:t>
      </w:r>
    </w:p>
  </w:footnote>
  <w:footnote w:id="501">
    <w:p w:rsidR="00C06B07" w:rsidRPr="00310970" w:rsidRDefault="00C06B07" w:rsidP="0032609A">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is particularly relevant in the context of three regulatory periods under the WCIR: in the energy sector, appeals processes generally take up to two years, compared to a five year regulatory period. </w:t>
      </w:r>
    </w:p>
  </w:footnote>
  <w:footnote w:id="502">
    <w:p w:rsidR="00C06B07" w:rsidRPr="00310970" w:rsidRDefault="00C06B07" w:rsidP="0032609A">
      <w:pPr>
        <w:pStyle w:val="FootnoteText"/>
        <w:tabs>
          <w:tab w:val="left" w:pos="142"/>
        </w:tabs>
        <w:ind w:left="142" w:hanging="142"/>
        <w:rPr>
          <w:rFonts w:cs="Times New Roman"/>
          <w:i/>
          <w:sz w:val="16"/>
          <w:szCs w:val="16"/>
        </w:rPr>
      </w:pPr>
      <w:r w:rsidRPr="00310970">
        <w:rPr>
          <w:rStyle w:val="FootnoteReference"/>
          <w:rFonts w:cs="Times New Roman"/>
          <w:sz w:val="16"/>
          <w:szCs w:val="16"/>
        </w:rPr>
        <w:footnoteRef/>
      </w:r>
      <w:r w:rsidRPr="00310970">
        <w:rPr>
          <w:rFonts w:cs="Times New Roman"/>
          <w:sz w:val="16"/>
          <w:szCs w:val="16"/>
        </w:rPr>
        <w:t xml:space="preserve"> Professor George Yarrow, The Hon Michael Egan and Dr John Tamblyn, </w:t>
      </w:r>
      <w:r w:rsidRPr="00310970">
        <w:rPr>
          <w:rFonts w:cs="Times New Roman"/>
          <w:i/>
          <w:sz w:val="16"/>
          <w:szCs w:val="16"/>
        </w:rPr>
        <w:t xml:space="preserve">Review of the Limited Merits Review Regime – Stage Two Report, </w:t>
      </w:r>
      <w:r w:rsidRPr="00310970">
        <w:rPr>
          <w:rFonts w:cs="Times New Roman"/>
          <w:sz w:val="16"/>
          <w:szCs w:val="16"/>
        </w:rPr>
        <w:t>30 September 2012, p.13.</w:t>
      </w:r>
      <w:r w:rsidRPr="00310970">
        <w:rPr>
          <w:rFonts w:cs="Times New Roman"/>
          <w:i/>
          <w:sz w:val="16"/>
          <w:szCs w:val="16"/>
        </w:rPr>
        <w:t xml:space="preserve"> </w:t>
      </w:r>
    </w:p>
  </w:footnote>
  <w:footnote w:id="503">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A State Agency is a body established or appointed for a public purpose by or under a law of the State, such as a Basin State regulator.</w:t>
      </w:r>
    </w:p>
  </w:footnote>
  <w:footnote w:id="504">
    <w:p w:rsidR="00C06B07" w:rsidRPr="00310970" w:rsidRDefault="00C06B07" w:rsidP="008A7F92">
      <w:pPr>
        <w:pStyle w:val="Footnote"/>
      </w:pPr>
      <w:r w:rsidRPr="00310970">
        <w:rPr>
          <w:rStyle w:val="FootnoteReference"/>
        </w:rPr>
        <w:footnoteRef/>
      </w:r>
      <w:r w:rsidRPr="00310970">
        <w:t xml:space="preserve"> See: the ACCC’s website for the final decision on the accreditation of the Essential Services Commission of Victoria, viewed June 2016, </w:t>
      </w:r>
      <w:hyperlink r:id="rId47" w:history="1">
        <w:r w:rsidRPr="00310970">
          <w:rPr>
            <w:rStyle w:val="Hyperlink"/>
          </w:rPr>
          <w:t>http://www.accc.gov.au/regulated-infrastructure/water/water-charge-infrastructure-rules-accreditation-arrangements/accreditation-escv</w:t>
        </w:r>
      </w:hyperlink>
      <w:r w:rsidRPr="00310970">
        <w:rPr>
          <w:rStyle w:val="Hyperlink"/>
          <w:color w:val="auto"/>
          <w:u w:val="none"/>
        </w:rPr>
        <w:t xml:space="preserve">. </w:t>
      </w:r>
      <w:r w:rsidRPr="00310970">
        <w:t xml:space="preserve"> </w:t>
      </w:r>
    </w:p>
  </w:footnote>
  <w:footnote w:id="505">
    <w:p w:rsidR="00C06B07" w:rsidRPr="00310970" w:rsidRDefault="00C06B07" w:rsidP="008A7F92">
      <w:pPr>
        <w:pStyle w:val="Footnote"/>
      </w:pPr>
      <w:r w:rsidRPr="00310970">
        <w:rPr>
          <w:rStyle w:val="FootnoteReference"/>
        </w:rPr>
        <w:footnoteRef/>
      </w:r>
      <w:r w:rsidRPr="00310970">
        <w:t xml:space="preserve"> ACCC, </w:t>
      </w:r>
      <w:r w:rsidRPr="00310970">
        <w:rPr>
          <w:i/>
        </w:rPr>
        <w:t>IPART application for accreditation under the water charge (infrastructure) rules</w:t>
      </w:r>
      <w:r w:rsidRPr="00310970">
        <w:t xml:space="preserve">, September 2015, viewed June 2016, </w:t>
      </w:r>
      <w:hyperlink r:id="rId48" w:history="1">
        <w:r w:rsidRPr="00310970">
          <w:rPr>
            <w:rStyle w:val="Hyperlink"/>
          </w:rPr>
          <w:t>http://www.accc.gov.au/regulated-infrastructure/water/water-projects/ipart-application-for-accreditation-under-the-water-charge-infrastructure-rules</w:t>
        </w:r>
      </w:hyperlink>
      <w:r w:rsidRPr="00310970">
        <w:t xml:space="preserve">. </w:t>
      </w:r>
    </w:p>
  </w:footnote>
  <w:footnote w:id="506">
    <w:p w:rsidR="00C06B07" w:rsidRPr="00310970" w:rsidRDefault="00C06B07" w:rsidP="00F33AF9">
      <w:pPr>
        <w:pStyle w:val="Footnote"/>
      </w:pPr>
      <w:r w:rsidRPr="00310970">
        <w:rPr>
          <w:rStyle w:val="FootnoteReference"/>
        </w:rPr>
        <w:footnoteRef/>
      </w:r>
      <w:r w:rsidRPr="00310970">
        <w:t xml:space="preserve"> The ACCC’s assessment of an application is limited to the consideration of whether the requirements of Schedule 5 of the WCIR are met (WCIR subrule 63(2)), and whether the applicant must also satisfy certain information requirements as set out in Schedule 4.</w:t>
      </w:r>
    </w:p>
  </w:footnote>
  <w:footnote w:id="507">
    <w:p w:rsidR="00C06B07" w:rsidRPr="00310970" w:rsidRDefault="00C06B07" w:rsidP="008A7F92">
      <w:pPr>
        <w:pStyle w:val="Footnote"/>
      </w:pPr>
      <w:r w:rsidRPr="00310970">
        <w:rPr>
          <w:rStyle w:val="FootnoteReference"/>
        </w:rPr>
        <w:footnoteRef/>
      </w:r>
      <w:r w:rsidRPr="00310970">
        <w:t xml:space="preserve"> </w:t>
      </w:r>
      <w:r w:rsidRPr="00310970">
        <w:rPr>
          <w:i/>
        </w:rPr>
        <w:t>Report of the Independent Review of the Water Act 2007</w:t>
      </w:r>
      <w:r w:rsidRPr="00310970">
        <w:t>, p.63</w:t>
      </w:r>
    </w:p>
  </w:footnote>
  <w:footnote w:id="508">
    <w:p w:rsidR="00C06B07" w:rsidRPr="00310970" w:rsidRDefault="00C06B07" w:rsidP="008A7F92">
      <w:pPr>
        <w:pStyle w:val="Footnote"/>
      </w:pPr>
      <w:r w:rsidRPr="00310970">
        <w:rPr>
          <w:rStyle w:val="FootnoteReference"/>
        </w:rPr>
        <w:footnoteRef/>
      </w:r>
      <w:r w:rsidRPr="00310970">
        <w:t xml:space="preserve"> See section 5.9 of ACCC, </w:t>
      </w:r>
      <w:r w:rsidRPr="00310970">
        <w:rPr>
          <w:i/>
        </w:rPr>
        <w:t>Water Charge Rules Review Draft Advice</w:t>
      </w:r>
      <w:r w:rsidRPr="00310970">
        <w:t>, Canberra, November 2015, p.139.</w:t>
      </w:r>
    </w:p>
  </w:footnote>
  <w:footnote w:id="509">
    <w:p w:rsidR="00C06B07" w:rsidRPr="00310970" w:rsidRDefault="00C06B07" w:rsidP="008A7F92">
      <w:pPr>
        <w:pStyle w:val="Footnote"/>
      </w:pPr>
      <w:r w:rsidRPr="00310970">
        <w:rPr>
          <w:rStyle w:val="FootnoteReference"/>
        </w:rPr>
        <w:footnoteRef/>
      </w:r>
      <w:r w:rsidRPr="00310970">
        <w:t xml:space="preserve"> See ‘Stakeholder feedback’ in section 5.9 of ACCC, </w:t>
      </w:r>
      <w:r w:rsidRPr="00310970">
        <w:rPr>
          <w:i/>
        </w:rPr>
        <w:t>Water Charge Rules Review Draft Advice</w:t>
      </w:r>
      <w:r w:rsidRPr="00310970">
        <w:t>, Canberra, November 2015, pp139</w:t>
      </w:r>
      <w:r w:rsidRPr="00310970">
        <w:noBreakHyphen/>
        <w:t>140.</w:t>
      </w:r>
    </w:p>
  </w:footnote>
  <w:footnote w:id="510">
    <w:p w:rsidR="00C06B07" w:rsidRPr="00310970" w:rsidRDefault="00C06B07" w:rsidP="008A7F92">
      <w:pPr>
        <w:pStyle w:val="Footnote"/>
      </w:pPr>
      <w:r w:rsidRPr="00310970">
        <w:rPr>
          <w:rStyle w:val="FootnoteReference"/>
        </w:rPr>
        <w:footnoteRef/>
      </w:r>
      <w:r w:rsidRPr="00310970">
        <w:t xml:space="preserve"> Queensland Farmers’ Federation, Draft Advice Submission, March 2016, p.5. </w:t>
      </w:r>
    </w:p>
  </w:footnote>
  <w:footnote w:id="511">
    <w:p w:rsidR="00C06B07" w:rsidRPr="00310970" w:rsidRDefault="00C06B07" w:rsidP="008A7F92">
      <w:pPr>
        <w:pStyle w:val="Footnote"/>
      </w:pPr>
      <w:r w:rsidRPr="00310970">
        <w:rPr>
          <w:rStyle w:val="FootnoteReference"/>
        </w:rPr>
        <w:footnoteRef/>
      </w:r>
      <w:r w:rsidRPr="00310970">
        <w:t xml:space="preserve"> In response to the Queensland Farmers’ Federation’s submission, the rule advice set out in this section is not directly conditional on the adoption of rule advices 5-A to 5-E. Rather, the ACCC (in section 5.6) advises that rule advice 5-M (regarding changes to the application criteria for Part 6) should only be adopted if rule advices 5</w:t>
      </w:r>
      <w:r w:rsidRPr="00310970">
        <w:noBreakHyphen/>
        <w:t>A to 5-E are adopted. However, in any case, if rule advice 5-M is adopted then rule advice 5-W should also be adopted.</w:t>
      </w:r>
    </w:p>
  </w:footnote>
  <w:footnote w:id="512">
    <w:p w:rsidR="00C06B07" w:rsidRPr="00310970" w:rsidRDefault="00C06B07" w:rsidP="008A7F92">
      <w:pPr>
        <w:pStyle w:val="Footnote"/>
      </w:pPr>
      <w:r w:rsidRPr="00310970">
        <w:rPr>
          <w:rStyle w:val="FootnoteReference"/>
        </w:rPr>
        <w:footnoteRef/>
      </w:r>
      <w:r w:rsidRPr="00310970">
        <w:t xml:space="preserve"> Currently, IPART and the ESCV must apply the ACCC Pricing Principles as a condition of their accreditation.</w:t>
      </w:r>
    </w:p>
  </w:footnote>
  <w:footnote w:id="513">
    <w:p w:rsidR="00C06B07" w:rsidRPr="00310970" w:rsidRDefault="00C06B07" w:rsidP="008A7F92">
      <w:pPr>
        <w:pStyle w:val="Footnote"/>
      </w:pPr>
      <w:r w:rsidRPr="00310970">
        <w:rPr>
          <w:rStyle w:val="FootnoteReference"/>
        </w:rPr>
        <w:footnoteRef/>
      </w:r>
      <w:r w:rsidRPr="00310970">
        <w:t xml:space="preserve"> Schedule 2, Part 3, Clause 3(7) of the Act.</w:t>
      </w:r>
    </w:p>
  </w:footnote>
  <w:footnote w:id="514">
    <w:p w:rsidR="00C06B07" w:rsidRPr="00310970" w:rsidRDefault="00C06B07" w:rsidP="008A7F92">
      <w:pPr>
        <w:pStyle w:val="Footnote"/>
      </w:pPr>
      <w:r w:rsidRPr="00310970">
        <w:rPr>
          <w:rStyle w:val="FootnoteReference"/>
        </w:rPr>
        <w:footnoteRef/>
      </w:r>
      <w:r w:rsidRPr="00310970">
        <w:t xml:space="preserve"> </w:t>
      </w:r>
      <w:r w:rsidRPr="00310970">
        <w:rPr>
          <w:i/>
        </w:rPr>
        <w:t>Report of the Independent Review of the Water Act 2007</w:t>
      </w:r>
      <w:r w:rsidRPr="00310970">
        <w:t>, p.43.</w:t>
      </w:r>
    </w:p>
  </w:footnote>
  <w:footnote w:id="515">
    <w:p w:rsidR="00C06B07" w:rsidRPr="00310970" w:rsidRDefault="00C06B07" w:rsidP="008A7F92">
      <w:pPr>
        <w:pStyle w:val="Footnote"/>
      </w:pPr>
      <w:r w:rsidRPr="00310970">
        <w:rPr>
          <w:rStyle w:val="FootnoteReference"/>
        </w:rPr>
        <w:footnoteRef/>
      </w:r>
      <w:r w:rsidRPr="00310970">
        <w:t xml:space="preserve"> See clauses 58-63 and 64-77 in the Intergovernmental Agreement on a National Water Initiative, 2004, p.10-11, 13.</w:t>
      </w:r>
    </w:p>
  </w:footnote>
  <w:footnote w:id="516">
    <w:p w:rsidR="00C06B07" w:rsidRPr="00310970" w:rsidRDefault="00C06B07" w:rsidP="008A7F92">
      <w:pPr>
        <w:pStyle w:val="Footnote"/>
      </w:pPr>
      <w:r w:rsidRPr="00310970">
        <w:rPr>
          <w:rStyle w:val="FootnoteReference"/>
        </w:rPr>
        <w:footnoteRef/>
      </w:r>
      <w:r w:rsidRPr="00310970">
        <w:t xml:space="preserve"> </w:t>
      </w:r>
      <w:r w:rsidRPr="00310970">
        <w:rPr>
          <w:i/>
        </w:rPr>
        <w:t>Report of the Independent Review of the Water Act 2007</w:t>
      </w:r>
      <w:r w:rsidRPr="00310970">
        <w:t>, p.58.</w:t>
      </w:r>
    </w:p>
  </w:footnote>
  <w:footnote w:id="517">
    <w:p w:rsidR="00C06B07" w:rsidRPr="00310970" w:rsidRDefault="00C06B07" w:rsidP="008A7F92">
      <w:pPr>
        <w:pStyle w:val="Footnote"/>
      </w:pPr>
      <w:r w:rsidRPr="00310970">
        <w:rPr>
          <w:rStyle w:val="FootnoteReference"/>
        </w:rPr>
        <w:footnoteRef/>
      </w:r>
      <w:r w:rsidRPr="00310970">
        <w:t xml:space="preserve"> </w:t>
      </w:r>
      <w:r w:rsidRPr="00310970">
        <w:rPr>
          <w:i/>
        </w:rPr>
        <w:t>Report of the Independent Review of the Water Act 2007</w:t>
      </w:r>
      <w:r w:rsidRPr="00310970">
        <w:t xml:space="preserve">, p.6. </w:t>
      </w:r>
    </w:p>
  </w:footnote>
  <w:footnote w:id="518">
    <w:p w:rsidR="00C06B07" w:rsidRPr="00310970" w:rsidRDefault="00C06B07" w:rsidP="008A7F92">
      <w:pPr>
        <w:pStyle w:val="Footnote"/>
      </w:pPr>
      <w:r w:rsidRPr="00310970">
        <w:rPr>
          <w:rStyle w:val="FootnoteReference"/>
        </w:rPr>
        <w:footnoteRef/>
      </w:r>
      <w:r w:rsidRPr="00310970">
        <w:t xml:space="preserve"> Operators not subject to Part 6 or Part 7 of the current WCIR. See section 5.2 for further information.</w:t>
      </w:r>
    </w:p>
  </w:footnote>
  <w:footnote w:id="519">
    <w:p w:rsidR="00C06B07" w:rsidRPr="00310970" w:rsidRDefault="00C06B07" w:rsidP="008A7F92">
      <w:pPr>
        <w:pStyle w:val="Footnote"/>
        <w:rPr>
          <w:lang w:eastAsia="ja-JP"/>
        </w:rPr>
      </w:pPr>
      <w:r w:rsidRPr="00310970">
        <w:rPr>
          <w:rStyle w:val="FootnoteReference"/>
        </w:rPr>
        <w:footnoteRef/>
      </w:r>
      <w:r w:rsidRPr="00310970">
        <w:t xml:space="preserve"> </w:t>
      </w:r>
      <w:r w:rsidRPr="00310970">
        <w:rPr>
          <w:lang w:eastAsia="ja-JP"/>
        </w:rPr>
        <w:t>In Victoria, charges for on-river infrastructure services (often called ‘bulk water charges’) are 100 per cent fixed (that is, they do not vary with the volume of water delivered), while such charges in NSW and Queensland are both fixed and variable. Charges for on-river infrastructure services are not levied in SA.</w:t>
      </w:r>
    </w:p>
    <w:p w:rsidR="00C06B07" w:rsidRPr="00310970" w:rsidRDefault="00C06B07" w:rsidP="008A7F92">
      <w:pPr>
        <w:pStyle w:val="Footnote"/>
        <w:rPr>
          <w:lang w:eastAsia="ja-JP"/>
        </w:rPr>
      </w:pPr>
      <w:r w:rsidRPr="00310970">
        <w:rPr>
          <w:lang w:eastAsia="ja-JP"/>
        </w:rPr>
        <w:t>Nearly all irrigation infrastructure operators (IIOs) who provide off-river infrastructure services employ fixed charges levied on the volume of water delivery right held and variable charges on the amount of water used. Some IIOs also impose account or connection fees, casual water usage charges and / or a tiered tariff structure. The relative weighting between these charges varies across operators and over time.</w:t>
      </w:r>
    </w:p>
  </w:footnote>
  <w:footnote w:id="520">
    <w:p w:rsidR="00C06B07" w:rsidRPr="00310970" w:rsidRDefault="00C06B07" w:rsidP="008A7F92">
      <w:pPr>
        <w:pStyle w:val="Footnote"/>
      </w:pPr>
      <w:r w:rsidRPr="00310970">
        <w:rPr>
          <w:rStyle w:val="FootnoteReference"/>
        </w:rPr>
        <w:footnoteRef/>
      </w:r>
      <w:r w:rsidRPr="00310970">
        <w:t xml:space="preserve"> Western Murray Irrigation, Issues Paper Submission, July 2015, p.4. WMI submitted that each infrastructure operator is unique and there should be no expectation that its charging regime will be consistent with another; </w:t>
      </w:r>
    </w:p>
    <w:p w:rsidR="00C06B07" w:rsidRPr="00310970" w:rsidRDefault="00C06B07" w:rsidP="008A7F92">
      <w:pPr>
        <w:pStyle w:val="Footnote"/>
      </w:pPr>
      <w:r w:rsidRPr="00310970">
        <w:t>National Irrigators’ Council, Issues Paper Submission, July 2015, pp.3,12; Central Irrigation Trust, Issues Paper Submission, July 2015, p.2.</w:t>
      </w:r>
    </w:p>
  </w:footnote>
  <w:footnote w:id="521">
    <w:p w:rsidR="00C06B07" w:rsidRPr="00310970" w:rsidRDefault="00C06B07" w:rsidP="008A7F92">
      <w:pPr>
        <w:pStyle w:val="Footnote"/>
      </w:pPr>
      <w:r w:rsidRPr="00310970">
        <w:rPr>
          <w:rStyle w:val="FootnoteReference"/>
        </w:rPr>
        <w:footnoteRef/>
      </w:r>
      <w:r w:rsidRPr="00310970">
        <w:t xml:space="preserve"> Queensland Farmers’ Federation, Issues Paper Submission, July 2015, p.5.</w:t>
      </w:r>
    </w:p>
  </w:footnote>
  <w:footnote w:id="522">
    <w:p w:rsidR="00C06B07" w:rsidRPr="00310970" w:rsidRDefault="00C06B07" w:rsidP="008A7F92">
      <w:pPr>
        <w:pStyle w:val="Footnote"/>
      </w:pPr>
      <w:r w:rsidRPr="00310970">
        <w:rPr>
          <w:rStyle w:val="FootnoteReference"/>
        </w:rPr>
        <w:footnoteRef/>
      </w:r>
      <w:r w:rsidRPr="00310970">
        <w:t xml:space="preserve"> National Irrigators’ Council, Issues Paper Submission, July 2015, p.3; Central Irrigation Trust, Issues Paper Submission, July 2015, p.2. Coleambally Irrigation Cooperative Limited, Issues Paper Submission, July 2015, p.6.</w:t>
      </w:r>
    </w:p>
  </w:footnote>
  <w:footnote w:id="523">
    <w:p w:rsidR="00C06B07" w:rsidRPr="00310970" w:rsidRDefault="00C06B07" w:rsidP="008A7F92">
      <w:pPr>
        <w:pStyle w:val="Footnote"/>
      </w:pPr>
      <w:r w:rsidRPr="00310970">
        <w:rPr>
          <w:rStyle w:val="FootnoteReference"/>
        </w:rPr>
        <w:footnoteRef/>
      </w:r>
      <w:r w:rsidRPr="00310970">
        <w:t xml:space="preserve"> Central Irrigation Trust, Issues Paper Submission, July 2015, p.2. CIT labelled “consistent pricing” an “aspirational target” that is impossible to achieve; National Irrigators’ Council, Issues Paper Submission, July 2015, p.3. NIC submitted that the BWCOP, to ensure consistency in pricing policies, is “aspirational rather than achievable”; Western Murray Irrigation, Issues Paper Submission, July 2015, p.4; WMI submitted their view that as an objective, consistency is impossible to achieve. </w:t>
      </w:r>
    </w:p>
  </w:footnote>
  <w:footnote w:id="524">
    <w:p w:rsidR="00C06B07" w:rsidRPr="00310970" w:rsidRDefault="00C06B07" w:rsidP="008A7F92">
      <w:pPr>
        <w:pStyle w:val="Footnote"/>
      </w:pPr>
      <w:r w:rsidRPr="00310970">
        <w:rPr>
          <w:rStyle w:val="FootnoteReference"/>
        </w:rPr>
        <w:footnoteRef/>
      </w:r>
      <w:r w:rsidRPr="00310970">
        <w:t xml:space="preserve"> Murrumbidgee Irrigation Limited, Issues Paper Submission, July 2015, p.7.</w:t>
      </w:r>
    </w:p>
  </w:footnote>
  <w:footnote w:id="525">
    <w:p w:rsidR="00C06B07" w:rsidRPr="00310970" w:rsidRDefault="00C06B07" w:rsidP="008A7F92">
      <w:pPr>
        <w:pStyle w:val="Footnote"/>
      </w:pPr>
      <w:r w:rsidRPr="00310970">
        <w:rPr>
          <w:rStyle w:val="FootnoteReference"/>
        </w:rPr>
        <w:footnoteRef/>
      </w:r>
      <w:r w:rsidRPr="00310970">
        <w:t xml:space="preserve"> Coleambally Irrigation Cooperative Limited, Issues Paper Submission, July 2015, p.7 CICL acknowledged, however, that this does not mean the ACCC’s comparisons between IIOs should be avoided, but rather that the limitations should be clearly stated and the “extent of the effort that the ACCC might devote to this exercise should be limited.”</w:t>
      </w:r>
    </w:p>
  </w:footnote>
  <w:footnote w:id="526">
    <w:p w:rsidR="00C06B07" w:rsidRPr="00310970" w:rsidRDefault="00C06B07" w:rsidP="008A7F92">
      <w:pPr>
        <w:pStyle w:val="Footnote"/>
      </w:pPr>
      <w:r w:rsidRPr="00310970">
        <w:rPr>
          <w:rStyle w:val="FootnoteReference"/>
        </w:rPr>
        <w:footnoteRef/>
      </w:r>
      <w:r w:rsidRPr="00310970">
        <w:t xml:space="preserve"> Coleambally Irrigation Cooperative Limited, Issues Paper Submission, July 2015, p.7.</w:t>
      </w:r>
    </w:p>
  </w:footnote>
  <w:footnote w:id="527">
    <w:p w:rsidR="00C06B07" w:rsidRPr="00310970" w:rsidRDefault="00C06B07" w:rsidP="008A7F92">
      <w:pPr>
        <w:pStyle w:val="Footnote"/>
      </w:pPr>
      <w:r w:rsidRPr="00310970">
        <w:rPr>
          <w:rStyle w:val="FootnoteReference"/>
        </w:rPr>
        <w:footnoteRef/>
      </w:r>
      <w:r w:rsidRPr="00310970">
        <w:t xml:space="preserve"> National Irrigators’ Council, Issues Paper Submission, July 2015, p.3.</w:t>
      </w:r>
    </w:p>
  </w:footnote>
  <w:footnote w:id="528">
    <w:p w:rsidR="00C06B07" w:rsidRPr="00310970" w:rsidRDefault="00C06B07" w:rsidP="008A7F92">
      <w:pPr>
        <w:pStyle w:val="Footnote"/>
      </w:pPr>
      <w:r w:rsidRPr="00310970">
        <w:rPr>
          <w:rStyle w:val="FootnoteReference"/>
        </w:rPr>
        <w:footnoteRef/>
      </w:r>
      <w:r w:rsidRPr="00310970">
        <w:t xml:space="preserve"> Western Murray Irrigation, Submission to the Independent Review of the Water Act 2007, June 2014, p.4.</w:t>
      </w:r>
    </w:p>
  </w:footnote>
  <w:footnote w:id="529">
    <w:p w:rsidR="00C06B07" w:rsidRPr="00310970" w:rsidRDefault="00C06B07" w:rsidP="008A7F92">
      <w:pPr>
        <w:pStyle w:val="Footnote"/>
      </w:pPr>
      <w:r w:rsidRPr="00310970">
        <w:rPr>
          <w:rStyle w:val="FootnoteReference"/>
        </w:rPr>
        <w:footnoteRef/>
      </w:r>
      <w:r w:rsidRPr="00310970">
        <w:t xml:space="preserve"> State Water, Submission to the Independent Review of the Water Act 2007, July 2014, pp.36,38-39. </w:t>
      </w:r>
    </w:p>
  </w:footnote>
  <w:footnote w:id="530">
    <w:p w:rsidR="00C06B07" w:rsidRPr="00310970" w:rsidRDefault="00C06B07" w:rsidP="008A7F92">
      <w:pPr>
        <w:pStyle w:val="Footnote"/>
      </w:pPr>
      <w:r w:rsidRPr="00310970">
        <w:rPr>
          <w:rStyle w:val="FootnoteReference"/>
        </w:rPr>
        <w:footnoteRef/>
      </w:r>
      <w:r w:rsidRPr="00310970">
        <w:t xml:space="preserve"> Daniel Mongan, Issues Paper Submission, July 2015, p.5</w:t>
      </w:r>
    </w:p>
  </w:footnote>
  <w:footnote w:id="531">
    <w:p w:rsidR="00C06B07" w:rsidRPr="00310970" w:rsidRDefault="00C06B07" w:rsidP="008A7F92">
      <w:pPr>
        <w:pStyle w:val="Footnote"/>
      </w:pPr>
      <w:r w:rsidRPr="00310970">
        <w:rPr>
          <w:rStyle w:val="FootnoteReference"/>
        </w:rPr>
        <w:footnoteRef/>
      </w:r>
      <w:r w:rsidRPr="00310970">
        <w:t xml:space="preserve"> Victorian Farmers’ Federation, Issues Paper Submission, July 2015, p.7.</w:t>
      </w:r>
    </w:p>
  </w:footnote>
  <w:footnote w:id="532">
    <w:p w:rsidR="00C06B07" w:rsidRPr="00310970" w:rsidRDefault="00C06B07" w:rsidP="008A7F92">
      <w:pPr>
        <w:pStyle w:val="Footnote"/>
      </w:pPr>
      <w:r w:rsidRPr="00310970">
        <w:rPr>
          <w:rStyle w:val="FootnoteReference"/>
        </w:rPr>
        <w:footnoteRef/>
      </w:r>
      <w:r w:rsidRPr="00310970">
        <w:t xml:space="preserve"> National Irrigators’ Council, Issues Paper Submission, July 2015, p13.</w:t>
      </w:r>
    </w:p>
  </w:footnote>
  <w:footnote w:id="533">
    <w:p w:rsidR="00C06B07" w:rsidRPr="00310970" w:rsidRDefault="00C06B07" w:rsidP="008A7F92">
      <w:pPr>
        <w:pStyle w:val="Footnote"/>
      </w:pPr>
      <w:r w:rsidRPr="00310970">
        <w:rPr>
          <w:rStyle w:val="FootnoteReference"/>
        </w:rPr>
        <w:footnoteRef/>
      </w:r>
      <w:r w:rsidRPr="00310970">
        <w:t xml:space="preserve"> Victorian Farmers’ Federation, Issues Paper Submission, July 2015, p.7.</w:t>
      </w:r>
    </w:p>
  </w:footnote>
  <w:footnote w:id="534">
    <w:p w:rsidR="00C06B07" w:rsidRPr="00310970" w:rsidRDefault="00C06B07" w:rsidP="008A7F92">
      <w:pPr>
        <w:pStyle w:val="Footnote"/>
      </w:pPr>
      <w:r w:rsidRPr="00310970">
        <w:rPr>
          <w:rStyle w:val="FootnoteReference"/>
        </w:rPr>
        <w:footnoteRef/>
      </w:r>
      <w:r w:rsidRPr="00310970">
        <w:t xml:space="preserve"> ibid, pp.6-7. The Victorian Farmers’ Federation also stated its support for using price benchmarking between Victorian rural water corporations. </w:t>
      </w:r>
    </w:p>
  </w:footnote>
  <w:footnote w:id="535">
    <w:p w:rsidR="00C06B07" w:rsidRPr="00310970" w:rsidRDefault="00C06B07" w:rsidP="008A7F92">
      <w:pPr>
        <w:pStyle w:val="Footnote"/>
      </w:pPr>
      <w:r w:rsidRPr="00310970">
        <w:rPr>
          <w:rStyle w:val="FootnoteReference"/>
        </w:rPr>
        <w:footnoteRef/>
      </w:r>
      <w:r w:rsidRPr="00310970">
        <w:t xml:space="preserve"> Queensland Farmers’ Federation, Issues Paper Submission, July 2015, p.2.</w:t>
      </w:r>
    </w:p>
  </w:footnote>
  <w:footnote w:id="536">
    <w:p w:rsidR="00C06B07" w:rsidRPr="00310970" w:rsidRDefault="00C06B07" w:rsidP="008A7F92">
      <w:pPr>
        <w:pStyle w:val="Footnote"/>
      </w:pPr>
      <w:r w:rsidRPr="00310970">
        <w:rPr>
          <w:rStyle w:val="FootnoteReference"/>
        </w:rPr>
        <w:footnoteRef/>
      </w:r>
      <w:r w:rsidRPr="00310970">
        <w:t xml:space="preserve"> IPART, Issues Paper Submission, July 2015, p.1.</w:t>
      </w:r>
    </w:p>
  </w:footnote>
  <w:footnote w:id="537">
    <w:p w:rsidR="00C06B07" w:rsidRPr="00310970" w:rsidRDefault="00C06B07" w:rsidP="008A7F92">
      <w:pPr>
        <w:pStyle w:val="Footnote"/>
      </w:pPr>
      <w:r w:rsidRPr="00310970">
        <w:rPr>
          <w:rStyle w:val="FootnoteReference"/>
        </w:rPr>
        <w:footnoteRef/>
      </w:r>
      <w:r w:rsidRPr="00310970">
        <w:t xml:space="preserve"> Murray Irrigation Limited, Issues Paper Submission, July 2015, p.7. MIL also noted this in its Submission to the Independent Review of the Water Act 2007.</w:t>
      </w:r>
    </w:p>
  </w:footnote>
  <w:footnote w:id="538">
    <w:p w:rsidR="00C06B07" w:rsidRPr="00310970" w:rsidRDefault="00C06B07" w:rsidP="008A7F92">
      <w:pPr>
        <w:pStyle w:val="Footnote"/>
      </w:pPr>
      <w:r w:rsidRPr="00310970">
        <w:rPr>
          <w:rStyle w:val="FootnoteReference"/>
        </w:rPr>
        <w:footnoteRef/>
      </w:r>
      <w:r w:rsidRPr="00310970">
        <w:t xml:space="preserve"> Murray Irrigation Limited, Submission to the Independent Review of the Water Act 2007, July 2014, p.8; Murray Irrigation Limited, Issues Paper Submission, July 2015, pp.7-8.</w:t>
      </w:r>
    </w:p>
  </w:footnote>
  <w:footnote w:id="539">
    <w:p w:rsidR="00C06B07" w:rsidRPr="00310970" w:rsidRDefault="00C06B07" w:rsidP="008A7F92">
      <w:pPr>
        <w:pStyle w:val="Footnote"/>
        <w:rPr>
          <w:b/>
        </w:rPr>
      </w:pPr>
      <w:r w:rsidRPr="00310970">
        <w:rPr>
          <w:rStyle w:val="FootnoteReference"/>
        </w:rPr>
        <w:footnoteRef/>
      </w:r>
      <w:r w:rsidRPr="00310970">
        <w:t xml:space="preserve"> WaterNSW, Issues Paper Submission, July 2015, p.5.</w:t>
      </w:r>
    </w:p>
  </w:footnote>
  <w:footnote w:id="540">
    <w:p w:rsidR="00C06B07" w:rsidRPr="00310970" w:rsidRDefault="00C06B07" w:rsidP="008A7F92">
      <w:pPr>
        <w:pStyle w:val="Footnote"/>
      </w:pPr>
      <w:r w:rsidRPr="00310970">
        <w:rPr>
          <w:rStyle w:val="FootnoteReference"/>
        </w:rPr>
        <w:footnoteRef/>
      </w:r>
      <w:r w:rsidRPr="00310970">
        <w:t xml:space="preserve"> WaterNSW, Issues Paper Submission, July 2015, p.5.</w:t>
      </w:r>
    </w:p>
  </w:footnote>
  <w:footnote w:id="541">
    <w:p w:rsidR="00C06B07" w:rsidRPr="00310970" w:rsidRDefault="00C06B07" w:rsidP="008A7F92">
      <w:pPr>
        <w:pStyle w:val="Footnote"/>
      </w:pPr>
      <w:r w:rsidRPr="00310970">
        <w:rPr>
          <w:rStyle w:val="FootnoteReference"/>
        </w:rPr>
        <w:footnoteRef/>
      </w:r>
      <w:r w:rsidRPr="00310970">
        <w:t xml:space="preserve"> Western Murray Irrigation, Submission to the Independent Review of the Water Act 2007, June 2014, p.4.</w:t>
      </w:r>
    </w:p>
  </w:footnote>
  <w:footnote w:id="542">
    <w:p w:rsidR="00C06B07" w:rsidRPr="00310970" w:rsidRDefault="00C06B07" w:rsidP="008A7F92">
      <w:pPr>
        <w:pStyle w:val="Footnote"/>
      </w:pPr>
      <w:r w:rsidRPr="00310970">
        <w:rPr>
          <w:rStyle w:val="FootnoteReference"/>
        </w:rPr>
        <w:footnoteRef/>
      </w:r>
      <w:r w:rsidRPr="00310970">
        <w:rPr>
          <w:rStyle w:val="FootnoteReference"/>
          <w:vertAlign w:val="baseline"/>
        </w:rPr>
        <w:t xml:space="preserve"> </w:t>
      </w:r>
      <w:r w:rsidRPr="00310970">
        <w:t>The MDBA also noted that the absence of a “level playing field” has resulted in “different charges for similar products, and implications for competitive neutrality”.</w:t>
      </w:r>
    </w:p>
  </w:footnote>
  <w:footnote w:id="543">
    <w:p w:rsidR="00C06B07" w:rsidRPr="00310970" w:rsidRDefault="00C06B07" w:rsidP="008A7F92">
      <w:pPr>
        <w:pStyle w:val="Footnote"/>
      </w:pPr>
      <w:r w:rsidRPr="00310970">
        <w:rPr>
          <w:rStyle w:val="FootnoteReference"/>
        </w:rPr>
        <w:footnoteRef/>
      </w:r>
      <w:r w:rsidRPr="00310970">
        <w:t xml:space="preserve"> Murray-Darling Basin Authority, Submission to the Independent Review of the Water Act 2007, June 2014, p.8.</w:t>
      </w:r>
    </w:p>
  </w:footnote>
  <w:footnote w:id="544">
    <w:p w:rsidR="00C06B07" w:rsidRPr="00310970" w:rsidRDefault="00C06B07" w:rsidP="008A7F92">
      <w:pPr>
        <w:pStyle w:val="Footnote"/>
      </w:pPr>
      <w:r w:rsidRPr="00310970">
        <w:rPr>
          <w:rStyle w:val="FootnoteReference"/>
        </w:rPr>
        <w:footnoteRef/>
      </w:r>
      <w:r w:rsidRPr="00310970">
        <w:t xml:space="preserve"> Western Murray Irrigation, Submission to the Independent Review of the Water Act 2007, June 2014, p.4; Murray Irrigation Limited, Submission to the Independent Review of the Water Act 2007, July 2014, p.7; NSW Irrigators’ Council, Submission to the Independent Review of the Water Act 2007, July 2014, p.6.</w:t>
      </w:r>
    </w:p>
  </w:footnote>
  <w:footnote w:id="545">
    <w:p w:rsidR="00C06B07" w:rsidRPr="00310970" w:rsidRDefault="00C06B07" w:rsidP="008A7F92">
      <w:pPr>
        <w:pStyle w:val="Footnote"/>
      </w:pPr>
      <w:r w:rsidRPr="00310970">
        <w:rPr>
          <w:rStyle w:val="FootnoteReference"/>
        </w:rPr>
        <w:footnoteRef/>
      </w:r>
      <w:r w:rsidRPr="00310970">
        <w:t xml:space="preserve"> Western Murray Irrigation, Submission to the Independent Review of the Water Act 2007, June 2014, p.4.</w:t>
      </w:r>
    </w:p>
  </w:footnote>
  <w:footnote w:id="546">
    <w:p w:rsidR="00C06B07" w:rsidRPr="00310970" w:rsidRDefault="00C06B07" w:rsidP="008A7F92">
      <w:pPr>
        <w:pStyle w:val="Footnote"/>
      </w:pPr>
      <w:r w:rsidRPr="00310970">
        <w:rPr>
          <w:rStyle w:val="FootnoteReference"/>
        </w:rPr>
        <w:footnoteRef/>
      </w:r>
      <w:r w:rsidRPr="00310970">
        <w:t xml:space="preserve"> Murray-Darling Basin Authority, Submission to the Independent Review of the Water Act 2007, June 2014.</w:t>
      </w:r>
    </w:p>
  </w:footnote>
  <w:footnote w:id="547">
    <w:p w:rsidR="00C06B07" w:rsidRPr="00310970" w:rsidRDefault="00C06B07" w:rsidP="008A7F92">
      <w:pPr>
        <w:pStyle w:val="Footnote"/>
      </w:pPr>
      <w:r w:rsidRPr="00310970">
        <w:rPr>
          <w:rStyle w:val="FootnoteReference"/>
        </w:rPr>
        <w:footnoteRef/>
      </w:r>
      <w:r w:rsidRPr="00310970">
        <w:rPr>
          <w:rStyle w:val="FootnoteReference"/>
          <w:vertAlign w:val="baseline"/>
        </w:rPr>
        <w:t xml:space="preserve"> </w:t>
      </w:r>
      <w:r w:rsidRPr="00310970">
        <w:t>Murray Valley Private Diverters, Submission to the Independent Review of the Water Act 2007, June 2014, pp.4-5.</w:t>
      </w:r>
    </w:p>
  </w:footnote>
  <w:footnote w:id="548">
    <w:p w:rsidR="00C06B07" w:rsidRPr="00310970" w:rsidRDefault="00C06B07" w:rsidP="008A7F92">
      <w:pPr>
        <w:pStyle w:val="Footnote"/>
      </w:pPr>
      <w:r w:rsidRPr="00310970">
        <w:rPr>
          <w:rStyle w:val="FootnoteReference"/>
        </w:rPr>
        <w:footnoteRef/>
      </w:r>
      <w:r w:rsidRPr="00310970">
        <w:t xml:space="preserve"> South Australian Government, Submission to the Independent Review of the Water Act 2007, June 2014, p.16.</w:t>
      </w:r>
    </w:p>
  </w:footnote>
  <w:footnote w:id="549">
    <w:p w:rsidR="00C06B07" w:rsidRPr="00310970" w:rsidRDefault="00C06B07" w:rsidP="008A7F92">
      <w:pPr>
        <w:pStyle w:val="Footnote"/>
      </w:pPr>
      <w:r w:rsidRPr="00310970">
        <w:rPr>
          <w:rStyle w:val="FootnoteReference"/>
        </w:rPr>
        <w:footnoteRef/>
      </w:r>
      <w:r w:rsidRPr="00310970">
        <w:t xml:space="preserve"> For a summary of submissions on this option, see ACCC, </w:t>
      </w:r>
      <w:r w:rsidRPr="00310970">
        <w:rPr>
          <w:i/>
        </w:rPr>
        <w:t>Water Charge Rules Review Draft Advice</w:t>
      </w:r>
      <w:r w:rsidRPr="00310970">
        <w:t>, Canberra, November 2015, p.147.</w:t>
      </w:r>
    </w:p>
  </w:footnote>
  <w:footnote w:id="550">
    <w:p w:rsidR="00C06B07" w:rsidRPr="00310970" w:rsidRDefault="00C06B07" w:rsidP="008A7F92">
      <w:pPr>
        <w:pStyle w:val="Footnote"/>
      </w:pPr>
      <w:r w:rsidRPr="00310970">
        <w:rPr>
          <w:rStyle w:val="FootnoteReference"/>
        </w:rPr>
        <w:footnoteRef/>
      </w:r>
      <w:r w:rsidRPr="00310970">
        <w:t xml:space="preserve"> ‘Postage stamp pricing’ refers to where all users are charged the same charge, especially in the situation where there are likely to be underlying differences in the cost of supply to different user groups – for example, because of differences across geographical areas.</w:t>
      </w:r>
    </w:p>
  </w:footnote>
  <w:footnote w:id="551">
    <w:p w:rsidR="00C06B07" w:rsidRPr="00310970" w:rsidRDefault="00C06B07" w:rsidP="008A7F92">
      <w:pPr>
        <w:pStyle w:val="Footnote"/>
      </w:pPr>
      <w:r w:rsidRPr="00310970">
        <w:rPr>
          <w:rStyle w:val="FootnoteReference"/>
        </w:rPr>
        <w:footnoteRef/>
      </w:r>
      <w:r w:rsidRPr="00310970">
        <w:t xml:space="preserve"> Goulburn-Murray Water, Draft Advice Submission, March 2016, pp.1-2,4.</w:t>
      </w:r>
    </w:p>
  </w:footnote>
  <w:footnote w:id="552">
    <w:p w:rsidR="00C06B07" w:rsidRPr="00310970" w:rsidRDefault="00C06B07" w:rsidP="008A7F92">
      <w:pPr>
        <w:pStyle w:val="Footnote"/>
      </w:pPr>
      <w:r w:rsidRPr="00310970">
        <w:rPr>
          <w:rStyle w:val="FootnoteReference"/>
        </w:rPr>
        <w:footnoteRef/>
      </w:r>
      <w:r w:rsidRPr="00310970">
        <w:t xml:space="preserve"> Peter Beex, Issues Paper Submission, July 2015, pp.1, 6.</w:t>
      </w:r>
    </w:p>
  </w:footnote>
  <w:footnote w:id="553">
    <w:p w:rsidR="00C06B07" w:rsidRPr="00310970" w:rsidRDefault="00C06B07" w:rsidP="008A7F92">
      <w:pPr>
        <w:pStyle w:val="Footnote"/>
      </w:pPr>
      <w:r w:rsidRPr="00310970">
        <w:rPr>
          <w:rStyle w:val="FootnoteReference"/>
        </w:rPr>
        <w:footnoteRef/>
      </w:r>
      <w:r w:rsidRPr="00310970">
        <w:t xml:space="preserve"> ibid, p.3. Mr Beex also noted that over the last financial year, the infrastructure usage fee has increased by 11 per cent in the Murray Valley, and decreased by 16 per cent in Shepparton. </w:t>
      </w:r>
    </w:p>
  </w:footnote>
  <w:footnote w:id="554">
    <w:p w:rsidR="00C06B07" w:rsidRPr="00310970" w:rsidRDefault="00C06B07" w:rsidP="008A7F92">
      <w:pPr>
        <w:pStyle w:val="Footnote"/>
      </w:pPr>
      <w:r w:rsidRPr="00310970">
        <w:rPr>
          <w:rStyle w:val="FootnoteReference"/>
        </w:rPr>
        <w:footnoteRef/>
      </w:r>
      <w:r w:rsidRPr="00310970">
        <w:t xml:space="preserve"> Daniel Mongan, Issues Paper Submission, July 2015; Victorian Farmers’ Federation, Issues Paper Submission, July 2015.</w:t>
      </w:r>
    </w:p>
  </w:footnote>
  <w:footnote w:id="555">
    <w:p w:rsidR="00C06B07" w:rsidRPr="00310970" w:rsidRDefault="00C06B07" w:rsidP="008A7F92">
      <w:pPr>
        <w:pStyle w:val="Footnote"/>
      </w:pPr>
      <w:r w:rsidRPr="00310970">
        <w:rPr>
          <w:rStyle w:val="FootnoteReference"/>
        </w:rPr>
        <w:footnoteRef/>
      </w:r>
      <w:r w:rsidRPr="00310970">
        <w:t xml:space="preserve"> Peel Valley Water Users Association, Issues Paper Submission, July 2015, p.5.</w:t>
      </w:r>
    </w:p>
  </w:footnote>
  <w:footnote w:id="556">
    <w:p w:rsidR="00C06B07" w:rsidRPr="00310970" w:rsidRDefault="00C06B07" w:rsidP="008A7F92">
      <w:pPr>
        <w:pStyle w:val="Footnote"/>
      </w:pPr>
      <w:r w:rsidRPr="00310970">
        <w:rPr>
          <w:rStyle w:val="FootnoteReference"/>
        </w:rPr>
        <w:footnoteRef/>
      </w:r>
      <w:r w:rsidRPr="00310970">
        <w:t xml:space="preserve"> Peel Valley Water Users Association, Submission to the Independent Review of the Water Act 2007, June 2014, p.2.</w:t>
      </w:r>
    </w:p>
  </w:footnote>
  <w:footnote w:id="557">
    <w:p w:rsidR="00C06B07" w:rsidRPr="00310970" w:rsidRDefault="00C06B07" w:rsidP="008A7F92">
      <w:pPr>
        <w:pStyle w:val="Footnote"/>
      </w:pPr>
      <w:r w:rsidRPr="00310970">
        <w:rPr>
          <w:rStyle w:val="FootnoteReference"/>
        </w:rPr>
        <w:footnoteRef/>
      </w:r>
      <w:r w:rsidRPr="00310970">
        <w:t xml:space="preserve"> Peel Valley Water Users Association, Issues Paper Submission, July 2015, p.4; Peel Valley Water Users Association, Submission to the Independent Review of the Water Act 2007, June 2014, p.2.</w:t>
      </w:r>
    </w:p>
  </w:footnote>
  <w:footnote w:id="558">
    <w:p w:rsidR="00C06B07" w:rsidRPr="00310970" w:rsidRDefault="00C06B07" w:rsidP="008A7F92">
      <w:pPr>
        <w:pStyle w:val="Footnote"/>
      </w:pPr>
      <w:r w:rsidRPr="00310970">
        <w:rPr>
          <w:rStyle w:val="FootnoteReference"/>
        </w:rPr>
        <w:footnoteRef/>
      </w:r>
      <w:r w:rsidRPr="00310970">
        <w:t xml:space="preserve"> Peel Valley Water Users Association, Submission to the Independent Review of the Water Act 2007, June 2014, p.2; Peel Valley Water Users Association, Issues Paper Submission, July 2015, p.4. Emphasis added.</w:t>
      </w:r>
    </w:p>
  </w:footnote>
  <w:footnote w:id="559">
    <w:p w:rsidR="00C06B07" w:rsidRPr="00310970" w:rsidRDefault="00C06B07" w:rsidP="008A7F92">
      <w:pPr>
        <w:pStyle w:val="Footnote"/>
      </w:pPr>
      <w:r w:rsidRPr="00310970">
        <w:rPr>
          <w:rStyle w:val="FootnoteReference"/>
        </w:rPr>
        <w:footnoteRef/>
      </w:r>
      <w:r w:rsidRPr="00310970">
        <w:t xml:space="preserve"> Peel Valley Water Users Association, Submission to the Independent Review of the Water Act 2007, June 2014, pp.1,3.</w:t>
      </w:r>
    </w:p>
  </w:footnote>
  <w:footnote w:id="560">
    <w:p w:rsidR="00C06B07" w:rsidRPr="00310970" w:rsidRDefault="00C06B07" w:rsidP="008A7F92">
      <w:pPr>
        <w:pStyle w:val="Footnote"/>
      </w:pPr>
      <w:r w:rsidRPr="00310970">
        <w:rPr>
          <w:rStyle w:val="FootnoteReference"/>
        </w:rPr>
        <w:footnoteRef/>
      </w:r>
      <w:r w:rsidRPr="00310970">
        <w:t xml:space="preserve"> ibid, p.3. The PVWUA also noted that it releases 95 per cent of its water to other downstream valleys. See section 4.2 for further discussion on this issue.</w:t>
      </w:r>
    </w:p>
  </w:footnote>
  <w:footnote w:id="561">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Tamworth Regional Council, Draft Advice Submission, March 2016, p.5.</w:t>
      </w:r>
    </w:p>
  </w:footnote>
  <w:footnote w:id="562">
    <w:p w:rsidR="00C06B07" w:rsidRPr="00310970" w:rsidRDefault="00C06B07" w:rsidP="00D14538">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Peel Valley Water Users Association, Draft Advice Submission, March 2016, p.1.</w:t>
      </w:r>
    </w:p>
  </w:footnote>
  <w:footnote w:id="563">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p.2.</w:t>
      </w:r>
    </w:p>
  </w:footnote>
  <w:footnote w:id="564">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PVWUA also noted that the differential between charges in the Peel Valley and other NSW valleys will continue to increase as Peel Valley charges further progress along the transition path to their cost-reflective level while the charges in other valleys will only increase at the rate of the Consumer Price Index. Peel Valley Water Users Association, Draft Advice Submission, March 2016, p.3.</w:t>
      </w:r>
    </w:p>
  </w:footnote>
  <w:footnote w:id="565">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Tamworth Regional Council, Draft Advice Submission, March 2016, p.5.</w:t>
      </w:r>
    </w:p>
  </w:footnote>
  <w:footnote w:id="566">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Peel Valley Water Users Association, Draft Advice Submission, March 2016, pp.3-4.</w:t>
      </w:r>
    </w:p>
  </w:footnote>
  <w:footnote w:id="567">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pp.3-5.</w:t>
      </w:r>
    </w:p>
  </w:footnote>
  <w:footnote w:id="568">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Tamworth Regional Council, Draft Advice Submission, March 2016, p.5.</w:t>
      </w:r>
    </w:p>
  </w:footnote>
  <w:footnote w:id="569">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Tamworth Regional Council, Draft Advice Submission, March 2016, pp.5-6.</w:t>
      </w:r>
    </w:p>
  </w:footnote>
  <w:footnote w:id="570">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clauses 58-60 in the Intergovernmental Agreement on a National Water Initiative, 2004, p.10-11, 13, viewed July 2016, </w:t>
      </w:r>
      <w:hyperlink r:id="rId49" w:history="1">
        <w:r w:rsidRPr="00310970">
          <w:rPr>
            <w:rStyle w:val="Hyperlink"/>
            <w:rFonts w:cs="Times New Roman"/>
            <w:sz w:val="16"/>
            <w:szCs w:val="16"/>
          </w:rPr>
          <w:t>http://www.nwc.gov.au/__data/assets/pdf_file/0008/24749/Intergovernmental-Agreement-on-a-national-water-initiative.pdf</w:t>
        </w:r>
      </w:hyperlink>
      <w:r w:rsidRPr="00310970">
        <w:rPr>
          <w:rFonts w:cs="Times New Roman"/>
          <w:sz w:val="16"/>
          <w:szCs w:val="16"/>
        </w:rPr>
        <w:t xml:space="preserve">. </w:t>
      </w:r>
    </w:p>
  </w:footnote>
  <w:footnote w:id="571">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Report of the Independent Review of the Water Act 2007</w:t>
      </w:r>
      <w:r w:rsidRPr="00310970">
        <w:rPr>
          <w:rFonts w:cs="Times New Roman"/>
          <w:sz w:val="16"/>
          <w:szCs w:val="16"/>
        </w:rPr>
        <w:t xml:space="preserve">, p.60. </w:t>
      </w:r>
    </w:p>
  </w:footnote>
  <w:footnote w:id="572">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Report of the Independent Review of the Water Act 2007</w:t>
      </w:r>
      <w:r w:rsidRPr="00310970">
        <w:rPr>
          <w:rFonts w:cs="Times New Roman"/>
          <w:sz w:val="16"/>
          <w:szCs w:val="16"/>
        </w:rPr>
        <w:t xml:space="preserve">, p.60. </w:t>
      </w:r>
    </w:p>
  </w:footnote>
  <w:footnote w:id="573">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Essential Services Commission of Victoria, </w:t>
      </w:r>
      <w:r w:rsidRPr="00310970">
        <w:rPr>
          <w:rFonts w:cs="Times New Roman"/>
          <w:i/>
          <w:iCs/>
          <w:sz w:val="16"/>
          <w:szCs w:val="16"/>
        </w:rPr>
        <w:t>Goulburn-Murray Water Price Review 2016 — final decision</w:t>
      </w:r>
      <w:r w:rsidRPr="00310970">
        <w:rPr>
          <w:rFonts w:cs="Times New Roman"/>
          <w:sz w:val="16"/>
          <w:szCs w:val="16"/>
        </w:rPr>
        <w:t xml:space="preserve">, June 2016, viewed June 2016, </w:t>
      </w:r>
      <w:hyperlink r:id="rId50" w:history="1">
        <w:r w:rsidRPr="00310970">
          <w:rPr>
            <w:rStyle w:val="Hyperlink"/>
            <w:rFonts w:cs="Times New Roman"/>
            <w:sz w:val="16"/>
            <w:szCs w:val="16"/>
          </w:rPr>
          <w:t>http://www.esc.vic.gov.au/wp-content/uploads/2016/06/Water-Price-Review-2016-20-G-MW-Final-Decision.pdf</w:t>
        </w:r>
      </w:hyperlink>
      <w:r w:rsidRPr="00310970">
        <w:rPr>
          <w:rFonts w:cs="Times New Roman"/>
          <w:sz w:val="16"/>
          <w:szCs w:val="16"/>
        </w:rPr>
        <w:t>.</w:t>
      </w:r>
    </w:p>
  </w:footnote>
  <w:footnote w:id="574">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vertAlign w:val="baseline"/>
        </w:rPr>
        <w:t xml:space="preserve"> </w:t>
      </w:r>
      <w:r w:rsidRPr="00310970">
        <w:rPr>
          <w:rFonts w:cs="Times New Roman"/>
          <w:sz w:val="16"/>
          <w:szCs w:val="16"/>
        </w:rPr>
        <w:t>State Water, Submission to the Independent Review of the Water Act 2007, July 2014, p.1.</w:t>
      </w:r>
    </w:p>
  </w:footnote>
  <w:footnote w:id="575">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pp.12-24.</w:t>
      </w:r>
    </w:p>
  </w:footnote>
  <w:footnote w:id="576">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State Water, Submission to the Independent Review of the Water Act 2007, July 2014, pp.26. WaterNSW reiterated this in its Issues Paper Submission, July 2015. State Water further submitted that the merits review process could improve the quality of regulatory decisions and the achievement of the BWCOP, and that over time, a body of precedent would develop and that would also improve consistency in water charging arrangements (pp.26-27).</w:t>
      </w:r>
    </w:p>
  </w:footnote>
  <w:footnote w:id="577">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Issues Paper Submission, July 2015, p.3-5.</w:t>
      </w:r>
    </w:p>
  </w:footnote>
  <w:footnote w:id="578">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p.9.</w:t>
      </w:r>
    </w:p>
  </w:footnote>
  <w:footnote w:id="579">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WaterNSW, Issues Paper Submission, July 2015, p.9; NSWIC also submitted its view that the “plans and rules made under Part 1, section 10(1) [of the Act] have not improved the Basin-wide consistency of water charges but, to the contrary, have added additional complexity and costs …”, NSW Irrigators’ Council, submission to the Water Act Review, June 2014, p.7.</w:t>
      </w:r>
    </w:p>
  </w:footnote>
  <w:footnote w:id="580">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Irrigators’ Council, Submission to the Independent Review of the Water Act 2007, June 2014, p.8.</w:t>
      </w:r>
    </w:p>
  </w:footnote>
  <w:footnote w:id="581">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 Irrigation Limited, Issues Paper Submission, July 2015, p.7.</w:t>
      </w:r>
    </w:p>
  </w:footnote>
  <w:footnote w:id="582">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a full summary of these submissions, see ACCC, </w:t>
      </w:r>
      <w:r w:rsidRPr="00310970">
        <w:rPr>
          <w:rFonts w:cs="Times New Roman"/>
          <w:i/>
          <w:sz w:val="16"/>
          <w:szCs w:val="16"/>
        </w:rPr>
        <w:t>Water Charge Rules Review Draft Advice</w:t>
      </w:r>
      <w:r w:rsidRPr="00310970">
        <w:rPr>
          <w:rFonts w:cs="Times New Roman"/>
          <w:sz w:val="16"/>
          <w:szCs w:val="16"/>
        </w:rPr>
        <w:t>, Canberra, November 2015, pp.151-153.</w:t>
      </w:r>
    </w:p>
  </w:footnote>
  <w:footnote w:id="583">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Southern Riverina Irrigators, Submission to the Independent Review of the Water Act 2007, July 2014, p.3; NSW Irrigators’ Council, Submission to the Independent Review of the Water Act 2007, June 2014, p.6; Western Murray Irrigation, Submission to the Independent Review of the Water Act 2007, June 2014, p.4; Murray Irrigation, Submission to the Independent Review of the Water Act 2007, June 2014, p.7; Murray Irrigation, Submission to the Independent Review of the Water Act 2007, June 2014, p.7; Peter Beex, Issues Paper Submission, July 2015, pp.6-7. Mr Beex contended that one reason that there is a significant volume of trade out of zone 6 (in Victoria) to SA is because water users in SA can avoid the Victorian on-river infrastructure charge (“bulk water charge”) of $11.80 ML by transferring it into SA.</w:t>
      </w:r>
    </w:p>
  </w:footnote>
  <w:footnote w:id="584">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Submission to the Independent Review of the Water Act 2007, June 2014, p.6 ; Murray Irrigation Limited, Submission to the Independent Review of the Water Act 2007, June 2014, p.7; NSW Irrigators’ Council, Submission to the Independent Review of the Water Act 2007, June 2014, pp.6-7. NSWIC also noted that there is a “sophisticated bulk water charging regime” in NSW and that other states do not pay comparable water charges.</w:t>
      </w:r>
    </w:p>
  </w:footnote>
  <w:footnote w:id="585">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Peter Beex, Issues Paper Submission, July 2015, p.3.</w:t>
      </w:r>
    </w:p>
  </w:footnote>
  <w:footnote w:id="586">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John Girdwood, Issues Paper Submission, July 2015, p.1</w:t>
      </w:r>
    </w:p>
  </w:footnote>
  <w:footnote w:id="587">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Frontier Economics, Submission to the Independent Review of the Water Act 2007, June 2014, p.3; MDBA, Issues Paper Submission, July 2015, p.6.</w:t>
      </w:r>
    </w:p>
  </w:footnote>
  <w:footnote w:id="588">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State Water, Submission to the Independent Review of the Water Act 2007, July 2014, p.46. State Water (now WaterNSW) submitted that because of the relatively higher proportion of variable to fixed charges set for State Water’s charges by the ACCC’s 2014 price determination, it faces financial risk in being unable to recover its usage charge when water allocations are traded interstate. State Water submitted that it cannot levy its usage charge on customers in interstate jurisdictions because “there is no specific agreement or mechanism for recovery of revenue” and customers in other jurisdictions are accustomed to paying fixed charges. State Water added that it is difficult to assess “usage of water on the opposite border” and debit it from the NSW water accounts to “access meters and/or readings to accurately measure the amount of water taken at the respective location” in relation to tagged water access entitlements.</w:t>
      </w:r>
    </w:p>
  </w:footnote>
  <w:footnote w:id="589">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Farmers’ Federation, Issues Paper Submission, July 2015, p.5.</w:t>
      </w:r>
    </w:p>
  </w:footnote>
  <w:footnote w:id="590">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Central Irrigation Trust, Issues Paper Submission</w:t>
      </w:r>
      <w:r>
        <w:rPr>
          <w:rFonts w:cs="Times New Roman"/>
          <w:sz w:val="16"/>
          <w:szCs w:val="16"/>
        </w:rPr>
        <w:t>, July 2015, pp.3,</w:t>
      </w:r>
      <w:r w:rsidRPr="00310970">
        <w:rPr>
          <w:rFonts w:cs="Times New Roman"/>
          <w:sz w:val="16"/>
          <w:szCs w:val="16"/>
        </w:rPr>
        <w:t>6; National Irrigators’ Council, Issues Paper Submission, July 2015, p.6.</w:t>
      </w:r>
    </w:p>
  </w:footnote>
  <w:footnote w:id="591">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Issues Paper Submission, July 2015, p.13.</w:t>
      </w:r>
    </w:p>
  </w:footnote>
  <w:footnote w:id="592">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CICL, Issues Paper Submission, July 2015, pp.8-9.</w:t>
      </w:r>
    </w:p>
  </w:footnote>
  <w:footnote w:id="593">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D Ashton, </w:t>
      </w:r>
      <w:r w:rsidRPr="00310970">
        <w:rPr>
          <w:rFonts w:cs="Times New Roman"/>
          <w:i/>
          <w:sz w:val="16"/>
          <w:szCs w:val="16"/>
        </w:rPr>
        <w:t>Water trading and water charge rules: a survey of irrigators in the Murray–Darling Basin</w:t>
      </w:r>
      <w:r w:rsidRPr="00310970">
        <w:rPr>
          <w:rFonts w:cs="Times New Roman"/>
          <w:sz w:val="16"/>
          <w:szCs w:val="16"/>
        </w:rPr>
        <w:t>,</w:t>
      </w:r>
    </w:p>
    <w:p w:rsidR="00C06B07" w:rsidRPr="00310970" w:rsidRDefault="00C06B07" w:rsidP="00364BDE">
      <w:pPr>
        <w:pStyle w:val="FootnoteText"/>
        <w:rPr>
          <w:rFonts w:cs="Times New Roman"/>
          <w:sz w:val="16"/>
          <w:szCs w:val="16"/>
        </w:rPr>
      </w:pPr>
      <w:r w:rsidRPr="00310970">
        <w:rPr>
          <w:rFonts w:cs="Times New Roman"/>
          <w:sz w:val="16"/>
          <w:szCs w:val="16"/>
        </w:rPr>
        <w:t>ABARES report to client prepared for the Australian Competition and Consumer Commission, Canberra, June 2015, Table 1.</w:t>
      </w:r>
    </w:p>
  </w:footnote>
  <w:footnote w:id="594">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Issues Paper Submission, July 2015, pp.3-4.</w:t>
      </w:r>
    </w:p>
  </w:footnote>
  <w:footnote w:id="595">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Murray-Darling Basin Authority, Issues Paper Submission, July 2015, p.7.</w:t>
      </w:r>
    </w:p>
  </w:footnote>
  <w:footnote w:id="596">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National Water Brokers further submitted that one way to reduce costs would be to have a National Standard of Water Registers. The National Water Brokers, Submission to Independent Review of the Water Act 2007, June 2014, p.5.</w:t>
      </w:r>
    </w:p>
  </w:footnote>
  <w:footnote w:id="597">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More specifically on this last point, rule advice 5-D proposes that an operator should not be prevented from imposing an infrastructure charge in relation to an infrastructure service for the: (i) harvesting or storage of water before a trade; (ii) storage or delivery of water in the course of giving effect to the trade; or (iii) storage or delivery of water in relation to the traded water access right after a trade but is not able to levy a charge on the customer after the trade occurs.  </w:t>
      </w:r>
    </w:p>
  </w:footnote>
  <w:footnote w:id="598">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section 5.3 and rule advice 5-B and rule advice 5-D.</w:t>
      </w:r>
    </w:p>
  </w:footnote>
  <w:footnote w:id="599">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SMK Consultants on behalf of Mr John Seery, Draft Advice Submission, March 2016, pp.1-2.</w:t>
      </w:r>
    </w:p>
  </w:footnote>
  <w:footnote w:id="600">
    <w:p w:rsidR="00C06B07" w:rsidRPr="00310970" w:rsidRDefault="00C06B07" w:rsidP="00364BD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WJ and A Seery Partnership, Draft Advice Submission, February 2016, pp.1-2.</w:t>
      </w:r>
    </w:p>
  </w:footnote>
  <w:footnote w:id="601">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includes where access to the infrastructure is subject to an arbitration or other dispute resolution process. </w:t>
      </w:r>
    </w:p>
  </w:footnote>
  <w:footnote w:id="60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includes where the charge is arbitrated, determined, negotiated or otherwise arising as the outcome of a dispute resolution process. </w:t>
      </w:r>
    </w:p>
  </w:footnote>
  <w:footnote w:id="603">
    <w:p w:rsidR="00C06B07" w:rsidRPr="00310970" w:rsidRDefault="00C06B07" w:rsidP="006C1DB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has also made rule advice to allow an operator to seek an exemption in the case where publication requirements relating to the infrastructure charge would cause a materially adverse impact on the operator, but not the customer. Where an operator receives an exemption from publication requirements under rule 9, the ACCC’s proposed amendments to Schedule of Charge requirements will require the operator to include notice of the exemption on its Schedule of Charges. See rule advice 5-J and rule advice 5-K.</w:t>
      </w:r>
    </w:p>
  </w:footnote>
  <w:footnote w:id="604">
    <w:p w:rsidR="00C06B07" w:rsidRPr="00310970" w:rsidRDefault="00C06B07" w:rsidP="008660F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Section 44AA of the </w:t>
      </w:r>
      <w:r w:rsidRPr="00310970">
        <w:rPr>
          <w:rFonts w:cs="Times New Roman"/>
          <w:i/>
          <w:sz w:val="16"/>
          <w:szCs w:val="16"/>
        </w:rPr>
        <w:t>Competition and Consumer Act 2010</w:t>
      </w:r>
      <w:r w:rsidRPr="00310970">
        <w:rPr>
          <w:rFonts w:cs="Times New Roman"/>
          <w:sz w:val="16"/>
          <w:szCs w:val="16"/>
        </w:rPr>
        <w:t xml:space="preserve">. </w:t>
      </w:r>
    </w:p>
  </w:footnote>
  <w:footnote w:id="605">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As defined under section 44B, Part IIIA, </w:t>
      </w:r>
      <w:r w:rsidRPr="00310970">
        <w:rPr>
          <w:rFonts w:cs="Times New Roman"/>
          <w:i/>
          <w:sz w:val="16"/>
          <w:szCs w:val="16"/>
        </w:rPr>
        <w:t>Competition and Consumer Act 2010</w:t>
      </w:r>
      <w:r w:rsidRPr="00310970">
        <w:rPr>
          <w:rFonts w:cs="Times New Roman"/>
          <w:sz w:val="16"/>
          <w:szCs w:val="16"/>
        </w:rPr>
        <w:t xml:space="preserve">. </w:t>
      </w:r>
    </w:p>
  </w:footnote>
  <w:footnote w:id="606">
    <w:p w:rsidR="00C06B07" w:rsidRPr="00310970" w:rsidRDefault="00C06B07">
      <w:pPr>
        <w:pStyle w:val="FootnoteText"/>
        <w:rPr>
          <w:rFonts w:cs="Times New Roman"/>
          <w:i/>
          <w:sz w:val="16"/>
          <w:szCs w:val="16"/>
        </w:rPr>
      </w:pPr>
      <w:r w:rsidRPr="00310970">
        <w:rPr>
          <w:rStyle w:val="FootnoteReference"/>
          <w:rFonts w:cs="Times New Roman"/>
          <w:sz w:val="16"/>
          <w:szCs w:val="16"/>
        </w:rPr>
        <w:footnoteRef/>
      </w:r>
      <w:r w:rsidRPr="00310970">
        <w:rPr>
          <w:rFonts w:cs="Times New Roman"/>
          <w:sz w:val="16"/>
          <w:szCs w:val="16"/>
        </w:rPr>
        <w:t xml:space="preserve"> For example, NSW established an access regime under Part 3 of the Water Industry Competition Act 2006 (NSW) in relation to Sydney Water Corporation and Hunter Water Corporation; SA established a third-party access regime in the </w:t>
      </w:r>
      <w:r w:rsidRPr="00310970">
        <w:rPr>
          <w:rFonts w:cs="Times New Roman"/>
          <w:i/>
          <w:sz w:val="16"/>
          <w:szCs w:val="16"/>
        </w:rPr>
        <w:t>Water Industry (Third Party Access) Amendment Act 2015.</w:t>
      </w:r>
    </w:p>
  </w:footnote>
  <w:footnote w:id="607">
    <w:p w:rsidR="00C06B07" w:rsidRPr="00310970" w:rsidRDefault="00C06B07" w:rsidP="00E63E6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Section 250B of the </w:t>
      </w:r>
      <w:r w:rsidRPr="00310970">
        <w:rPr>
          <w:rFonts w:cs="Times New Roman"/>
          <w:i/>
          <w:sz w:val="16"/>
          <w:szCs w:val="16"/>
        </w:rPr>
        <w:t xml:space="preserve">Water Act 2007 </w:t>
      </w:r>
      <w:r w:rsidRPr="00310970">
        <w:rPr>
          <w:rFonts w:cs="Times New Roman"/>
          <w:sz w:val="16"/>
          <w:szCs w:val="16"/>
        </w:rPr>
        <w:t>(Cth). Note other sections in Part 11A deal with the interaction between Commonwealth water legislation and State laws.</w:t>
      </w:r>
    </w:p>
  </w:footnote>
  <w:footnote w:id="608">
    <w:p w:rsidR="00C06B07" w:rsidRPr="00310970" w:rsidRDefault="00C06B07" w:rsidP="00940A4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a full discussion of the ACCC’s reasoning underpinning its rule advice in relation to commercially negotiated charges and Part IIIA charges, see ‘discussion’ in section 5.11 of ACCC, </w:t>
      </w:r>
      <w:r w:rsidRPr="00310970">
        <w:rPr>
          <w:rFonts w:cs="Times New Roman"/>
          <w:i/>
          <w:sz w:val="16"/>
          <w:szCs w:val="16"/>
        </w:rPr>
        <w:t>Water Charge Rules Review Draft Advice</w:t>
      </w:r>
      <w:r w:rsidRPr="00310970">
        <w:rPr>
          <w:rFonts w:cs="Times New Roman"/>
          <w:sz w:val="16"/>
          <w:szCs w:val="16"/>
        </w:rPr>
        <w:t>, Canberra, November 2015, pp.159-161.</w:t>
      </w:r>
    </w:p>
  </w:footnote>
  <w:footnote w:id="609">
    <w:p w:rsidR="00C06B07" w:rsidRPr="00310970" w:rsidRDefault="00C06B07" w:rsidP="000B6B7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Central Irrigation Trust, Issues Paper Submission, July 2015, p.7; Murrumbidgee Irrigation Limited, Issues Paper Submission, July 2015, p.6.</w:t>
      </w:r>
    </w:p>
  </w:footnote>
  <w:footnote w:id="610">
    <w:p w:rsidR="00C06B07" w:rsidRPr="00310970" w:rsidRDefault="00C06B07" w:rsidP="000B6B7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Farmers’ Federation, Issues Paper Submission, July 2015, p.6.</w:t>
      </w:r>
    </w:p>
  </w:footnote>
  <w:footnote w:id="611">
    <w:p w:rsidR="00C06B07" w:rsidRPr="00310970" w:rsidRDefault="00C06B07" w:rsidP="00846503">
      <w:pPr>
        <w:spacing w:after="0"/>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w:t>
      </w:r>
      <w:r w:rsidRPr="00310970">
        <w:rPr>
          <w:rFonts w:cs="Times New Roman"/>
          <w:i/>
          <w:sz w:val="16"/>
          <w:szCs w:val="16"/>
        </w:rPr>
        <w:t xml:space="preserve">Water Industry (Third Party Access) Amendment Act 2015 </w:t>
      </w:r>
      <w:r w:rsidRPr="00310970">
        <w:rPr>
          <w:rFonts w:cs="Times New Roman"/>
          <w:sz w:val="16"/>
          <w:szCs w:val="16"/>
        </w:rPr>
        <w:t xml:space="preserve">passed both houses of the South Australian Parliament on 14 October 2015, viewed June 2016, </w:t>
      </w:r>
      <w:hyperlink r:id="rId51" w:history="1">
        <w:r w:rsidRPr="00310970">
          <w:rPr>
            <w:rStyle w:val="Hyperlink"/>
            <w:rFonts w:cs="Times New Roman"/>
            <w:sz w:val="16"/>
            <w:szCs w:val="16"/>
          </w:rPr>
          <w:t>https://www.legislation.sa.gov.au/LZ/V/A/2015/WATER%20INDUSTRY%20(THIRD%20PARTY%20ACCESS)%20AMENDMENT%20ACT%202015_28.aspx</w:t>
        </w:r>
      </w:hyperlink>
      <w:r w:rsidRPr="00310970">
        <w:rPr>
          <w:rFonts w:cs="Times New Roman"/>
          <w:sz w:val="16"/>
          <w:szCs w:val="16"/>
        </w:rPr>
        <w:t xml:space="preserve">. </w:t>
      </w:r>
    </w:p>
  </w:footnote>
  <w:footnote w:id="612">
    <w:p w:rsidR="00C06B07" w:rsidRPr="00310970" w:rsidRDefault="00C06B07" w:rsidP="00E63E6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Department of Treasury and Finance, </w:t>
      </w:r>
      <w:r w:rsidRPr="00310970">
        <w:rPr>
          <w:rFonts w:cs="Times New Roman"/>
          <w:i/>
          <w:sz w:val="16"/>
          <w:szCs w:val="16"/>
        </w:rPr>
        <w:t>Access to Water and Sewerage Infrastructure</w:t>
      </w:r>
      <w:r w:rsidRPr="00310970">
        <w:rPr>
          <w:rFonts w:cs="Times New Roman"/>
          <w:sz w:val="16"/>
          <w:szCs w:val="16"/>
        </w:rPr>
        <w:t>, Explanatory Memorandum, September 2013, p.4.</w:t>
      </w:r>
    </w:p>
  </w:footnote>
  <w:footnote w:id="613">
    <w:p w:rsidR="00C06B07" w:rsidRPr="00310970" w:rsidRDefault="00C06B07" w:rsidP="00E63E6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Department of Treasury and Finance, </w:t>
      </w:r>
      <w:r w:rsidRPr="00310970">
        <w:rPr>
          <w:rFonts w:cs="Times New Roman"/>
          <w:i/>
          <w:sz w:val="16"/>
          <w:szCs w:val="16"/>
        </w:rPr>
        <w:t>Access to Water and Sewerage Infrastructure</w:t>
      </w:r>
      <w:r w:rsidRPr="00310970">
        <w:rPr>
          <w:rFonts w:cs="Times New Roman"/>
          <w:sz w:val="16"/>
          <w:szCs w:val="16"/>
        </w:rPr>
        <w:t>, February 2013, pp.10-11.</w:t>
      </w:r>
    </w:p>
    <w:p w:rsidR="00C06B07" w:rsidRPr="00310970" w:rsidRDefault="00C06B07" w:rsidP="00E63E6E">
      <w:pPr>
        <w:pStyle w:val="FootnoteText"/>
        <w:rPr>
          <w:rFonts w:cs="Times New Roman"/>
          <w:sz w:val="16"/>
          <w:szCs w:val="16"/>
        </w:rPr>
      </w:pPr>
      <w:r w:rsidRPr="00310970">
        <w:rPr>
          <w:rFonts w:cs="Times New Roman"/>
          <w:sz w:val="16"/>
          <w:szCs w:val="16"/>
        </w:rPr>
        <w:t xml:space="preserve">The </w:t>
      </w:r>
      <w:r w:rsidRPr="00310970">
        <w:rPr>
          <w:rFonts w:cs="Times New Roman"/>
          <w:i/>
          <w:sz w:val="16"/>
          <w:szCs w:val="16"/>
        </w:rPr>
        <w:t>Water Industry (Third Party Access) Amendment Act 2015</w:t>
      </w:r>
      <w:r w:rsidRPr="00310970">
        <w:rPr>
          <w:rFonts w:cs="Times New Roman"/>
          <w:sz w:val="16"/>
          <w:szCs w:val="16"/>
        </w:rPr>
        <w:t xml:space="preserve"> does not apply to infrastructure operated by irrigation infrastructure operators (IIOs) in SA. South Australian Department of Treasury and Finance, </w:t>
      </w:r>
      <w:r w:rsidRPr="00310970">
        <w:rPr>
          <w:rFonts w:cs="Times New Roman"/>
          <w:i/>
          <w:sz w:val="16"/>
          <w:szCs w:val="16"/>
        </w:rPr>
        <w:t>Access to Water and Sewerage Infrastructure</w:t>
      </w:r>
      <w:r w:rsidRPr="00310970">
        <w:rPr>
          <w:rFonts w:cs="Times New Roman"/>
          <w:sz w:val="16"/>
          <w:szCs w:val="16"/>
        </w:rPr>
        <w:t>, Explanatory Memorandum, September 2013, pp.21-22.</w:t>
      </w:r>
    </w:p>
  </w:footnote>
  <w:footnote w:id="614">
    <w:p w:rsidR="00C06B07" w:rsidRPr="00310970" w:rsidRDefault="00C06B07" w:rsidP="00E63E6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Department of Treasury and Finance, </w:t>
      </w:r>
      <w:r w:rsidRPr="00310970">
        <w:rPr>
          <w:rFonts w:cs="Times New Roman"/>
          <w:i/>
          <w:sz w:val="16"/>
          <w:szCs w:val="16"/>
        </w:rPr>
        <w:t>Access to Water and Sewerage Infrastructure</w:t>
      </w:r>
      <w:r w:rsidRPr="00310970">
        <w:rPr>
          <w:rFonts w:cs="Times New Roman"/>
          <w:sz w:val="16"/>
          <w:szCs w:val="16"/>
        </w:rPr>
        <w:t>, February 2013, pp.10-11.</w:t>
      </w:r>
    </w:p>
    <w:p w:rsidR="00C06B07" w:rsidRPr="00310970" w:rsidRDefault="00C06B07" w:rsidP="00E63E6E">
      <w:pPr>
        <w:pStyle w:val="FootnoteText"/>
        <w:rPr>
          <w:rFonts w:cs="Times New Roman"/>
          <w:sz w:val="16"/>
          <w:szCs w:val="16"/>
        </w:rPr>
      </w:pPr>
      <w:r w:rsidRPr="00310970">
        <w:rPr>
          <w:rFonts w:cs="Times New Roman"/>
          <w:sz w:val="16"/>
          <w:szCs w:val="16"/>
        </w:rPr>
        <w:t>The areas where the South Australian Department of Treasury and Finance raised particular concerns about potential inconsistencies was in relation to an activity prohibited under state legislation that is not prohibited under the water charge rules - the Department cited non-discrimination as an example. Additionally, regulatory requirements may be more ‘onerous’ under the state legislation than the water charge rules – the Department cited the approval or determination of charges by an independent regulator as an example.</w:t>
      </w:r>
    </w:p>
    <w:p w:rsidR="00C06B07" w:rsidRPr="00310970" w:rsidRDefault="00C06B07" w:rsidP="00E63E6E">
      <w:pPr>
        <w:pStyle w:val="FootnoteText"/>
        <w:rPr>
          <w:rFonts w:cs="Times New Roman"/>
          <w:sz w:val="16"/>
          <w:szCs w:val="16"/>
        </w:rPr>
      </w:pPr>
      <w:r w:rsidRPr="00310970">
        <w:rPr>
          <w:rFonts w:cs="Times New Roman"/>
          <w:sz w:val="16"/>
          <w:szCs w:val="16"/>
        </w:rPr>
        <w:t xml:space="preserve">South Australian Department of Treasury and Finance, </w:t>
      </w:r>
      <w:r w:rsidRPr="00310970">
        <w:rPr>
          <w:rFonts w:cs="Times New Roman"/>
          <w:i/>
          <w:sz w:val="16"/>
          <w:szCs w:val="16"/>
        </w:rPr>
        <w:t>Access to Water and Sewerage Infrastructure</w:t>
      </w:r>
      <w:r w:rsidRPr="00310970">
        <w:rPr>
          <w:rFonts w:cs="Times New Roman"/>
          <w:sz w:val="16"/>
          <w:szCs w:val="16"/>
        </w:rPr>
        <w:t>, Explanatory Memorandum, September 2013, pp.21-22.</w:t>
      </w:r>
    </w:p>
  </w:footnote>
  <w:footnote w:id="615">
    <w:p w:rsidR="00C06B07" w:rsidRPr="00310970" w:rsidRDefault="00C06B07" w:rsidP="003F7AD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Department of Treasury and Finance, </w:t>
      </w:r>
      <w:r w:rsidRPr="00310970">
        <w:rPr>
          <w:rFonts w:cs="Times New Roman"/>
          <w:i/>
          <w:sz w:val="16"/>
          <w:szCs w:val="16"/>
        </w:rPr>
        <w:t>Access to Water and Sewerage Infrastructure</w:t>
      </w:r>
      <w:r w:rsidRPr="00310970">
        <w:rPr>
          <w:rFonts w:cs="Times New Roman"/>
          <w:sz w:val="16"/>
          <w:szCs w:val="16"/>
        </w:rPr>
        <w:t>, February 2013, pp.10-11.</w:t>
      </w:r>
    </w:p>
  </w:footnote>
  <w:footnote w:id="616">
    <w:p w:rsidR="00C06B07" w:rsidRPr="00310970" w:rsidRDefault="00C06B07" w:rsidP="00E63E6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Department of Treasury and Finance, </w:t>
      </w:r>
      <w:r w:rsidRPr="00310970">
        <w:rPr>
          <w:rFonts w:cs="Times New Roman"/>
          <w:i/>
          <w:sz w:val="16"/>
          <w:szCs w:val="16"/>
        </w:rPr>
        <w:t>Access to Water and Sewerage Infrastructure</w:t>
      </w:r>
      <w:r w:rsidRPr="00310970">
        <w:rPr>
          <w:rFonts w:cs="Times New Roman"/>
          <w:sz w:val="16"/>
          <w:szCs w:val="16"/>
        </w:rPr>
        <w:t>, Explanatory Memorandum, September 2013, pp.21</w:t>
      </w:r>
      <w:r w:rsidRPr="00310970">
        <w:rPr>
          <w:rFonts w:cs="Times New Roman"/>
          <w:sz w:val="16"/>
          <w:szCs w:val="16"/>
        </w:rPr>
        <w:noBreakHyphen/>
        <w:t xml:space="preserve">22. </w:t>
      </w:r>
    </w:p>
  </w:footnote>
  <w:footnote w:id="617">
    <w:p w:rsidR="00C06B07" w:rsidRPr="00310970" w:rsidRDefault="00C06B07" w:rsidP="00E5711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Department of Treasury and Finance, Draft Advice Submission, March 2016, p.1.</w:t>
      </w:r>
    </w:p>
  </w:footnote>
  <w:footnote w:id="618">
    <w:p w:rsidR="00C06B07" w:rsidRPr="00310970" w:rsidRDefault="00C06B07" w:rsidP="00E5711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dispute resolution processes will only typically apply where the dispute is not regarding a trivial matter or an unreasonable request from one of the parties to the negotiation.</w:t>
      </w:r>
    </w:p>
  </w:footnote>
  <w:footnote w:id="619">
    <w:p w:rsidR="00C06B07" w:rsidRPr="00310970" w:rsidRDefault="00C06B07" w:rsidP="0036189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Charge Rules Review Draft Advice</w:t>
      </w:r>
      <w:r w:rsidRPr="00310970">
        <w:rPr>
          <w:rFonts w:cs="Times New Roman"/>
          <w:sz w:val="16"/>
          <w:szCs w:val="16"/>
        </w:rPr>
        <w:t>, Canberra, November 2015, p.161.</w:t>
      </w:r>
    </w:p>
  </w:footnote>
  <w:footnote w:id="620">
    <w:p w:rsidR="00C06B07" w:rsidRPr="00310970" w:rsidRDefault="00C06B07" w:rsidP="0048377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Department of Treasury and Finance, Draft Advice Submission, March 2016, p.1.</w:t>
      </w:r>
    </w:p>
  </w:footnote>
  <w:footnote w:id="621">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Note: rule advice 5-J proposes grounds under which an operator can levy an infrastructure charge without contravening proposed rule 7 despite the charge not being listed on a Schedule of Charges at the time the infrastructure service is provided (rule advice 5-E, section 5.4.1 sets out the proposed amendments to rule 7). Under rule advice 5-J, depending on the infrastructure charge being levied, an operator is either exempt from ever listing the charge on the Schedule of Charges, or must include the charge on  the next Schedule of Charges it  adopts but within the next 12 months. See section 5.4.3 for further discussion about the intent and operation of rule advice 5-J. </w:t>
      </w:r>
    </w:p>
  </w:footnote>
  <w:footnote w:id="62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Rule advice 5-K proposes that an infrastructure operator should be required to provide the following information on a Schedule of Charges when the ACCC has granted an exemption under rule 9: (i) a notice of the exemption; (ii) the name of the customer or customers; (iii) the time period of the contract; and (iv) the infrastructure service to which the charge exempt from disclosure relates.</w:t>
      </w:r>
    </w:p>
  </w:footnote>
  <w:footnote w:id="623">
    <w:p w:rsidR="00C06B07" w:rsidRPr="00310970" w:rsidRDefault="00C06B07" w:rsidP="00F9576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that the MDBA has recently published the results of an efficiency review of its River Murray Operations, available at: </w:t>
      </w:r>
      <w:hyperlink r:id="rId52" w:history="1">
        <w:r w:rsidRPr="00310970">
          <w:rPr>
            <w:rStyle w:val="Hyperlink"/>
            <w:rFonts w:cs="Times New Roman"/>
            <w:sz w:val="16"/>
            <w:szCs w:val="16"/>
          </w:rPr>
          <w:t>http://www.mdba.gov.au/media-pubs/research-reports/reviewing-the-efficiency-of-river-murray-operations</w:t>
        </w:r>
      </w:hyperlink>
      <w:r w:rsidRPr="00310970">
        <w:rPr>
          <w:rFonts w:cs="Times New Roman"/>
          <w:sz w:val="16"/>
          <w:szCs w:val="16"/>
        </w:rPr>
        <w:t>, viewed June 2016.</w:t>
      </w:r>
    </w:p>
  </w:footnote>
  <w:footnote w:id="624">
    <w:p w:rsidR="00C06B07" w:rsidRPr="00310970" w:rsidRDefault="00C06B07" w:rsidP="00F9576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Section 212 of the </w:t>
      </w:r>
      <w:r w:rsidRPr="00310970">
        <w:rPr>
          <w:rFonts w:cs="Times New Roman"/>
          <w:i/>
          <w:sz w:val="16"/>
          <w:szCs w:val="16"/>
        </w:rPr>
        <w:t>Water Act 2007</w:t>
      </w:r>
      <w:r w:rsidRPr="00310970">
        <w:rPr>
          <w:rFonts w:cs="Times New Roman"/>
          <w:sz w:val="16"/>
          <w:szCs w:val="16"/>
        </w:rPr>
        <w:t xml:space="preserve"> (Cth).</w:t>
      </w:r>
    </w:p>
  </w:footnote>
  <w:footnote w:id="625">
    <w:p w:rsidR="00C06B07" w:rsidRPr="00310970" w:rsidRDefault="00C06B07" w:rsidP="00F9576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Murray-Darling Basin Agreement, Schedule 1 to the </w:t>
      </w:r>
      <w:r w:rsidRPr="00310970">
        <w:rPr>
          <w:rFonts w:cs="Times New Roman"/>
          <w:i/>
          <w:sz w:val="16"/>
          <w:szCs w:val="16"/>
        </w:rPr>
        <w:t>Water Act 2007</w:t>
      </w:r>
      <w:r w:rsidRPr="00310970">
        <w:rPr>
          <w:rFonts w:cs="Times New Roman"/>
          <w:sz w:val="16"/>
          <w:szCs w:val="16"/>
        </w:rPr>
        <w:t xml:space="preserve"> (Cth) </w:t>
      </w:r>
    </w:p>
  </w:footnote>
  <w:footnote w:id="626">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As at June 2016, no such fees have been specified in the regulations.</w:t>
      </w:r>
    </w:p>
  </w:footnote>
  <w:footnote w:id="627">
    <w:p w:rsidR="00C06B07" w:rsidRPr="00310970" w:rsidRDefault="00C06B07" w:rsidP="00F33AF9">
      <w:pPr>
        <w:pStyle w:val="Footnote"/>
      </w:pPr>
      <w:r w:rsidRPr="00310970">
        <w:rPr>
          <w:rStyle w:val="FootnoteReference"/>
        </w:rPr>
        <w:footnoteRef/>
      </w:r>
      <w:r w:rsidRPr="00310970">
        <w:t xml:space="preserve"> Queensland Department of Natural Resources and Mines, Submission to the ACCC water charge rules review, Draft Advice, March 2016, p.1.</w:t>
      </w:r>
    </w:p>
  </w:footnote>
  <w:footnote w:id="628">
    <w:p w:rsidR="00C06B07" w:rsidRPr="00310970" w:rsidRDefault="00C06B07" w:rsidP="00F33AF9">
      <w:pPr>
        <w:pStyle w:val="Footnote"/>
      </w:pPr>
      <w:r w:rsidRPr="00310970">
        <w:rPr>
          <w:rStyle w:val="FootnoteReference"/>
        </w:rPr>
        <w:footnoteRef/>
      </w:r>
      <w:r w:rsidRPr="00310970">
        <w:t xml:space="preserve"> The ACCC / AER conduct several types of reviews in other sectors. These include:</w:t>
      </w:r>
    </w:p>
    <w:p w:rsidR="00C06B07" w:rsidRPr="00310970" w:rsidRDefault="00C06B07" w:rsidP="00A82DE6">
      <w:pPr>
        <w:pStyle w:val="FNBullet"/>
        <w:rPr>
          <w:rFonts w:cs="Times New Roman"/>
        </w:rPr>
      </w:pPr>
      <w:r w:rsidRPr="00310970">
        <w:rPr>
          <w:rFonts w:cs="Times New Roman"/>
        </w:rPr>
        <w:t>prudency reviews of capital expenditure programs in electricity and gas network resets</w:t>
      </w:r>
    </w:p>
    <w:p w:rsidR="00C06B07" w:rsidRPr="00310970" w:rsidRDefault="00C06B07" w:rsidP="00A82DE6">
      <w:pPr>
        <w:pStyle w:val="FNBullet"/>
        <w:rPr>
          <w:rFonts w:cs="Times New Roman"/>
        </w:rPr>
      </w:pPr>
      <w:r w:rsidRPr="00310970">
        <w:rPr>
          <w:rFonts w:cs="Times New Roman"/>
        </w:rPr>
        <w:t>monitoring reviews of airports and container ports in terms of price, costs and quality of service</w:t>
      </w:r>
    </w:p>
    <w:p w:rsidR="00C06B07" w:rsidRPr="00310970" w:rsidRDefault="00C06B07" w:rsidP="00A82DE6">
      <w:pPr>
        <w:pStyle w:val="FNBullet"/>
        <w:rPr>
          <w:rFonts w:cs="Times New Roman"/>
        </w:rPr>
      </w:pPr>
      <w:r w:rsidRPr="00310970">
        <w:rPr>
          <w:rFonts w:cs="Times New Roman"/>
        </w:rPr>
        <w:t>a review of Australia Post’s reserved services and the degree to which these services might cross-subsidise other functions and</w:t>
      </w:r>
    </w:p>
    <w:p w:rsidR="00C06B07" w:rsidRPr="00310970" w:rsidRDefault="00C06B07" w:rsidP="00A82DE6">
      <w:pPr>
        <w:pStyle w:val="FNBullet"/>
        <w:rPr>
          <w:rFonts w:cs="Times New Roman"/>
        </w:rPr>
      </w:pPr>
      <w:r w:rsidRPr="00310970">
        <w:rPr>
          <w:rFonts w:cs="Times New Roman"/>
        </w:rPr>
        <w:t>annual reviews of some access regimes.</w:t>
      </w:r>
    </w:p>
    <w:p w:rsidR="00C06B07" w:rsidRPr="00310970" w:rsidRDefault="00C06B07" w:rsidP="00F33AF9">
      <w:pPr>
        <w:pStyle w:val="Footnote"/>
      </w:pPr>
      <w:r w:rsidRPr="00310970">
        <w:t xml:space="preserve">In each case, these reviews are either part of a regulated determination required in legislation, the product of a Ministerial direction under the </w:t>
      </w:r>
      <w:r w:rsidRPr="00310970">
        <w:rPr>
          <w:i/>
        </w:rPr>
        <w:t>Competition and Consumer Act 2010</w:t>
      </w:r>
      <w:r w:rsidRPr="00310970">
        <w:t xml:space="preserve"> (CCA) to monitor, or are part of an access determination under the CCA.</w:t>
      </w:r>
    </w:p>
  </w:footnote>
  <w:footnote w:id="629">
    <w:p w:rsidR="00C06B07" w:rsidRPr="00310970" w:rsidRDefault="00C06B07" w:rsidP="00F33AF9">
      <w:pPr>
        <w:pStyle w:val="Footnote"/>
      </w:pPr>
      <w:r w:rsidRPr="00310970">
        <w:rPr>
          <w:rStyle w:val="FootnoteReference"/>
        </w:rPr>
        <w:footnoteRef/>
      </w:r>
      <w:r w:rsidRPr="00310970">
        <w:t xml:space="preserve"> Murray Irrigation, Submission to the Independent Review of the Water Act 2007, July 2014, p.8; NSW Government, Submission to the Independent Review of the Water Act 2007, 2014, p.2; NSW Irrigators’ Council, Submission to the Independent Review of the Water Act 2007, 2014, pp.3,9; Southern Riverina Irrigators, Submission to the Independent Review of the Water Act 2007, 2014, pp.2-3; State Water, Submission to the Independent Review of the Water Act 2007, July 2014, pp.39-41. </w:t>
      </w:r>
    </w:p>
    <w:p w:rsidR="00C06B07" w:rsidRPr="00310970" w:rsidRDefault="00C06B07" w:rsidP="00F33AF9">
      <w:pPr>
        <w:pStyle w:val="Footnote"/>
      </w:pPr>
      <w:r w:rsidRPr="00310970">
        <w:t>The National Farmers’ Federation submitted its view that the recovery of MDBA costs is the “greatest area of inconsistency in water charging”. National Farmers’ Federation, Submission to the Independent Review of the Water Act 2007, 2014, pp.3, 9, 16.</w:t>
      </w:r>
    </w:p>
  </w:footnote>
  <w:footnote w:id="630">
    <w:p w:rsidR="00C06B07" w:rsidRPr="00310970" w:rsidRDefault="00C06B07" w:rsidP="00F33AF9">
      <w:pPr>
        <w:pStyle w:val="Footnote"/>
      </w:pPr>
      <w:r w:rsidRPr="00310970">
        <w:rPr>
          <w:rStyle w:val="FootnoteReference"/>
        </w:rPr>
        <w:footnoteRef/>
      </w:r>
      <w:r w:rsidRPr="00310970">
        <w:t xml:space="preserve"> See ‘stakeholder feedback’ in section 5.12 of ACCC, </w:t>
      </w:r>
      <w:r w:rsidRPr="00310970">
        <w:rPr>
          <w:i/>
        </w:rPr>
        <w:t>Water Charge Rules Review Draft Advice</w:t>
      </w:r>
      <w:r w:rsidRPr="00310970">
        <w:t>, Canberra, November 2015, pp.163-165.</w:t>
      </w:r>
    </w:p>
  </w:footnote>
  <w:footnote w:id="631">
    <w:p w:rsidR="00C06B07" w:rsidRPr="00310970" w:rsidRDefault="00C06B07" w:rsidP="00F33AF9">
      <w:pPr>
        <w:pStyle w:val="Footnote"/>
      </w:pPr>
      <w:r w:rsidRPr="00310970">
        <w:rPr>
          <w:rStyle w:val="FootnoteReference"/>
        </w:rPr>
        <w:footnoteRef/>
      </w:r>
      <w:r w:rsidRPr="00310970">
        <w:t xml:space="preserve"> Murray-Darling Basin Authority, Issues Paper Submission, August 2015, p.5.</w:t>
      </w:r>
    </w:p>
  </w:footnote>
  <w:footnote w:id="632">
    <w:p w:rsidR="00C06B07" w:rsidRPr="00310970" w:rsidRDefault="00C06B07" w:rsidP="00F33AF9">
      <w:pPr>
        <w:pStyle w:val="Footnote"/>
      </w:pPr>
      <w:r w:rsidRPr="00310970">
        <w:rPr>
          <w:rStyle w:val="FootnoteReference"/>
        </w:rPr>
        <w:footnoteRef/>
      </w:r>
      <w:r w:rsidRPr="00310970">
        <w:t xml:space="preserve"> WaterNSW, Draft Advice Submission, March 2016, p.10.</w:t>
      </w:r>
    </w:p>
  </w:footnote>
  <w:footnote w:id="633">
    <w:p w:rsidR="00C06B07" w:rsidRPr="00310970" w:rsidRDefault="00C06B07" w:rsidP="00F33AF9">
      <w:pPr>
        <w:pStyle w:val="Footnote"/>
      </w:pPr>
      <w:r w:rsidRPr="00310970">
        <w:rPr>
          <w:rStyle w:val="FootnoteReference"/>
        </w:rPr>
        <w:footnoteRef/>
      </w:r>
      <w:r w:rsidRPr="00310970">
        <w:t xml:space="preserve"> Goulburn-Murray Water, Draft Advice Submission, March 2016, p.5.</w:t>
      </w:r>
    </w:p>
  </w:footnote>
  <w:footnote w:id="634">
    <w:p w:rsidR="00C06B07" w:rsidRPr="00310970" w:rsidRDefault="00C06B07" w:rsidP="00F33AF9">
      <w:pPr>
        <w:pStyle w:val="Footnote"/>
      </w:pPr>
      <w:r w:rsidRPr="00310970">
        <w:rPr>
          <w:rStyle w:val="FootnoteReference"/>
        </w:rPr>
        <w:footnoteRef/>
      </w:r>
      <w:r w:rsidRPr="00310970">
        <w:t xml:space="preserve"> In the Murray-Darling Basin Authority’s view, this was the intention of the Australian Government when the rules were made. Murray-Darling Basin Authority, Draft Advice Submission, March 2016, p.1.</w:t>
      </w:r>
    </w:p>
  </w:footnote>
  <w:footnote w:id="635">
    <w:p w:rsidR="00C06B07" w:rsidRPr="00310970" w:rsidRDefault="00C06B07" w:rsidP="00F33AF9">
      <w:pPr>
        <w:pStyle w:val="Footnote"/>
      </w:pPr>
      <w:r w:rsidRPr="00310970">
        <w:rPr>
          <w:rStyle w:val="FootnoteReference"/>
        </w:rPr>
        <w:footnoteRef/>
      </w:r>
      <w:r w:rsidRPr="00310970">
        <w:t xml:space="preserve"> </w:t>
      </w:r>
      <w:r w:rsidRPr="00310970">
        <w:rPr>
          <w:i/>
        </w:rPr>
        <w:t>Australian Government Response to Report of the Independent Review of the Water Act 2007</w:t>
      </w:r>
      <w:r w:rsidRPr="00310970">
        <w:t xml:space="preserve">, December 2015, p.14. </w:t>
      </w:r>
    </w:p>
  </w:footnote>
  <w:footnote w:id="636">
    <w:p w:rsidR="00C06B07" w:rsidRPr="00310970" w:rsidRDefault="00C06B07" w:rsidP="00F33AF9">
      <w:pPr>
        <w:pStyle w:val="Footnote"/>
      </w:pPr>
      <w:r w:rsidRPr="00310970">
        <w:rPr>
          <w:rStyle w:val="FootnoteReference"/>
        </w:rPr>
        <w:footnoteRef/>
      </w:r>
      <w:r w:rsidRPr="00310970">
        <w:t xml:space="preserve"> The most recent reviews of River Murray Operations (RMO) were completed in 2014 by Synergies Economic Consulting in conjunction with Cardno and Economic Insights, concluding that RMO’s costs were generally efficient, except for a minor adjustment to a contingency allowance. High-level economic benchmarking performed by Economic Insights suggested RMO costs compared well to their peer group, though this should only be considered indicative and preliminary given the data constraints. See: Synergies Economic Consulting, </w:t>
      </w:r>
      <w:r w:rsidRPr="00310970">
        <w:rPr>
          <w:i/>
        </w:rPr>
        <w:t>Building Blocks Model, River Murray Operations</w:t>
      </w:r>
      <w:r w:rsidRPr="00310970">
        <w:t>, Final Report for Commonwealth Department of the Environment, November 2014, p.6.</w:t>
      </w:r>
    </w:p>
  </w:footnote>
  <w:footnote w:id="637">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That is, an operator </w:t>
      </w:r>
      <w:r w:rsidRPr="00310970">
        <w:rPr>
          <w:rFonts w:cs="Times New Roman"/>
          <w:i/>
          <w:sz w:val="16"/>
          <w:szCs w:val="16"/>
        </w:rPr>
        <w:t>must</w:t>
      </w:r>
      <w:r w:rsidRPr="00310970">
        <w:rPr>
          <w:rFonts w:cs="Times New Roman"/>
          <w:sz w:val="16"/>
          <w:szCs w:val="16"/>
        </w:rPr>
        <w:t xml:space="preserve"> determine infrastructure charges to recover the cost of pass-through charges it incurs in accordance with rule 9A </w:t>
      </w:r>
      <w:r w:rsidRPr="00310970">
        <w:rPr>
          <w:rFonts w:cs="Times New Roman"/>
          <w:i/>
          <w:sz w:val="16"/>
          <w:szCs w:val="16"/>
        </w:rPr>
        <w:t>within three months</w:t>
      </w:r>
      <w:r w:rsidRPr="00310970">
        <w:rPr>
          <w:rFonts w:cs="Times New Roman"/>
          <w:sz w:val="16"/>
          <w:szCs w:val="16"/>
        </w:rPr>
        <w:t xml:space="preserve"> of the effective date of any pass-through charges it incurs. The operator </w:t>
      </w:r>
      <w:r w:rsidRPr="00310970">
        <w:rPr>
          <w:rFonts w:cs="Times New Roman"/>
          <w:i/>
          <w:sz w:val="16"/>
          <w:szCs w:val="16"/>
        </w:rPr>
        <w:t>is not taken to have breached rule 9A in the intervening period</w:t>
      </w:r>
      <w:r w:rsidRPr="00310970">
        <w:rPr>
          <w:rFonts w:cs="Times New Roman"/>
          <w:sz w:val="16"/>
          <w:szCs w:val="16"/>
        </w:rPr>
        <w:t xml:space="preserve"> if it continues to levy infrastructure charges according to a prior Schedule of Charges that was previously consistent with rule 9A.</w:t>
      </w:r>
    </w:p>
  </w:footnote>
  <w:footnote w:id="638">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Subrule 4(d) in the WCIR. This rule requirement only applies to irrigation infrastructure operators.</w:t>
      </w:r>
    </w:p>
  </w:footnote>
  <w:footnote w:id="639">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infrastructure operators receive an ‘irrigation corporation and district (ICD) rebate’ on on-river infrastructure charges levied by WaterNSW. The rebate is based on the assumption that WaterNSW avoids incurring certain costs because ICD customers are not their own customers.</w:t>
      </w:r>
    </w:p>
  </w:footnote>
  <w:footnote w:id="640">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Where the ACCC and proposed water charge rules refer to a trade of a tradeable water right, this includes a transfer. This is consistent with the definition of ‘trade’ in the Basin Plan water trading rules (see rule 1.07(2)-(3)).</w:t>
      </w:r>
    </w:p>
  </w:footnote>
  <w:footnote w:id="641">
    <w:p w:rsidR="00C06B07" w:rsidRPr="00310970" w:rsidRDefault="00C06B07" w:rsidP="00E90E42">
      <w:pPr>
        <w:spacing w:after="0" w:line="240" w:lineRule="auto"/>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a full discussion of the ACCC’s reasoning underpinning its rule advice in relation to pass through of charges, see ‘discussion’ in section 5.13 of ACCC, </w:t>
      </w:r>
      <w:r w:rsidRPr="00310970">
        <w:rPr>
          <w:rFonts w:cs="Times New Roman"/>
          <w:i/>
          <w:sz w:val="16"/>
          <w:szCs w:val="16"/>
        </w:rPr>
        <w:t>Water Charge Rules Review Draft Advice</w:t>
      </w:r>
      <w:r w:rsidRPr="00310970">
        <w:rPr>
          <w:rFonts w:cs="Times New Roman"/>
          <w:sz w:val="16"/>
          <w:szCs w:val="16"/>
        </w:rPr>
        <w:t>, Canberra, November 2015, pp.170-174.</w:t>
      </w:r>
    </w:p>
  </w:footnote>
  <w:footnote w:id="642">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5.13 of ACCC, </w:t>
      </w:r>
      <w:r w:rsidRPr="00310970">
        <w:rPr>
          <w:rFonts w:cs="Times New Roman"/>
          <w:i/>
          <w:sz w:val="16"/>
          <w:szCs w:val="16"/>
        </w:rPr>
        <w:t>Water Charge Rules Review Draft Advice</w:t>
      </w:r>
      <w:r w:rsidRPr="00310970">
        <w:rPr>
          <w:rFonts w:cs="Times New Roman"/>
          <w:sz w:val="16"/>
          <w:szCs w:val="16"/>
        </w:rPr>
        <w:t>, Canberra, November 2015, pp.168</w:t>
      </w:r>
      <w:r w:rsidRPr="00310970">
        <w:rPr>
          <w:rFonts w:cs="Times New Roman"/>
          <w:sz w:val="16"/>
          <w:szCs w:val="16"/>
        </w:rPr>
        <w:noBreakHyphen/>
        <w:t>170.</w:t>
      </w:r>
    </w:p>
  </w:footnote>
  <w:footnote w:id="643">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vertAlign w:val="baseline"/>
        </w:rPr>
        <w:t xml:space="preserve"> </w:t>
      </w:r>
      <w:r w:rsidRPr="00310970">
        <w:rPr>
          <w:rFonts w:cs="Times New Roman"/>
          <w:sz w:val="16"/>
          <w:szCs w:val="16"/>
        </w:rPr>
        <w:t>Murrumbidgee Irrigation Limited, Issues Paper Submission, July 2015, p.7; Central Irrigation Trust, Issues Paper Submission, July 2015, p.7; Western Murray Irrigation, Issues Paper Submission, July 2015, p.6; National Irrigators’ Council, Issues Paper Submission, July 2015, p.13; Coleambally Irrigation Cooperative Limited, Issues Paper Submission, July 2015, p.10.</w:t>
      </w:r>
    </w:p>
  </w:footnote>
  <w:footnote w:id="644">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public forum on the review of the water charge rules, Deniliquin, 3 August 2015.</w:t>
      </w:r>
    </w:p>
  </w:footnote>
  <w:footnote w:id="645">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public forum on the review of the water charge rules, Shepparton, 3 August 2015.</w:t>
      </w:r>
    </w:p>
  </w:footnote>
  <w:footnote w:id="646">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p.5.</w:t>
      </w:r>
    </w:p>
  </w:footnote>
  <w:footnote w:id="647">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p.2.</w:t>
      </w:r>
    </w:p>
  </w:footnote>
  <w:footnote w:id="648">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Farmers’ Federation, Draft Advice Submission, March 2016, p.5.</w:t>
      </w:r>
    </w:p>
  </w:footnote>
  <w:footnote w:id="649">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pp.12-13.</w:t>
      </w:r>
    </w:p>
  </w:footnote>
  <w:footnote w:id="650">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Western Murray Irrigation, Draft Advice Submission, March 2016, p.2.</w:t>
      </w:r>
    </w:p>
  </w:footnote>
  <w:footnote w:id="651">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p.12; Western Murray Irrigation, Draft Advice Submission, March 2016, p.2.</w:t>
      </w:r>
    </w:p>
  </w:footnote>
  <w:footnote w:id="652">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p.13.</w:t>
      </w:r>
    </w:p>
  </w:footnote>
  <w:footnote w:id="653">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pp.4-5.</w:t>
      </w:r>
    </w:p>
  </w:footnote>
  <w:footnote w:id="654">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p.13.</w:t>
      </w:r>
    </w:p>
  </w:footnote>
  <w:footnote w:id="655">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p.12.</w:t>
      </w:r>
    </w:p>
  </w:footnote>
  <w:footnote w:id="656">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p.13; Western Murray Irrigation, Draft Advice Submission, March 2016, p.2.</w:t>
      </w:r>
    </w:p>
  </w:footnote>
  <w:footnote w:id="657">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Western Murray Irrigation, Draft Advice Submission, March 2016, p.2.</w:t>
      </w:r>
    </w:p>
  </w:footnote>
  <w:footnote w:id="658">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Draft Advice Submission, March 2016, p.13.</w:t>
      </w:r>
    </w:p>
  </w:footnote>
  <w:footnote w:id="659">
    <w:p w:rsidR="00C06B07" w:rsidRPr="00310970" w:rsidRDefault="00C06B07" w:rsidP="000677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p.6.</w:t>
      </w:r>
    </w:p>
  </w:footnote>
  <w:footnote w:id="660">
    <w:p w:rsidR="00C06B07" w:rsidRPr="00310970" w:rsidRDefault="00C06B07" w:rsidP="00437FC6">
      <w:pPr>
        <w:pStyle w:val="Footnote"/>
      </w:pPr>
      <w:r w:rsidRPr="00310970">
        <w:rPr>
          <w:rStyle w:val="FootnoteReference"/>
        </w:rPr>
        <w:footnoteRef/>
      </w:r>
      <w:r w:rsidRPr="00310970">
        <w:t xml:space="preserve"> National Irrigators’ Council, Draft Advice Submission, March 2016, p.13.</w:t>
      </w:r>
    </w:p>
  </w:footnote>
  <w:footnote w:id="661">
    <w:p w:rsidR="00C06B07" w:rsidRPr="00310970" w:rsidRDefault="00C06B07" w:rsidP="00437FC6">
      <w:pPr>
        <w:pStyle w:val="Footnote"/>
      </w:pPr>
      <w:r w:rsidRPr="00310970">
        <w:rPr>
          <w:rStyle w:val="FootnoteReference"/>
        </w:rPr>
        <w:footnoteRef/>
      </w:r>
      <w:r w:rsidRPr="00310970">
        <w:t xml:space="preserve"> Lower Murray Water, Draft Advice Submission, March 2016, p.6.</w:t>
      </w:r>
    </w:p>
  </w:footnote>
  <w:footnote w:id="662">
    <w:p w:rsidR="00C06B07" w:rsidRPr="00310970" w:rsidRDefault="00C06B07" w:rsidP="00437FC6">
      <w:pPr>
        <w:pStyle w:val="Footnote"/>
      </w:pPr>
      <w:r w:rsidRPr="00310970">
        <w:rPr>
          <w:rStyle w:val="FootnoteReference"/>
        </w:rPr>
        <w:footnoteRef/>
      </w:r>
      <w:r w:rsidRPr="00310970">
        <w:t xml:space="preserve"> Note, however, that since the proposed pass through rule will also apply to non-volumetric charges incurred by operators, there may be instances where operators are currently incurring non-volumetric charges that are not </w:t>
      </w:r>
      <w:r w:rsidRPr="00310970">
        <w:rPr>
          <w:i/>
        </w:rPr>
        <w:t>network operation charges</w:t>
      </w:r>
      <w:r w:rsidRPr="00310970">
        <w:t xml:space="preserve"> which the pass through rules will require an operator to separate out. The ACCC is not aware of any instances where this will be the case, but will work with operators and provide guidance to assist operators to comply if the rule is amended.</w:t>
      </w:r>
    </w:p>
  </w:footnote>
  <w:footnote w:id="663">
    <w:p w:rsidR="00C06B07" w:rsidRPr="00310970" w:rsidRDefault="00C06B07" w:rsidP="00437FC6">
      <w:pPr>
        <w:pStyle w:val="Footnote"/>
      </w:pPr>
      <w:r w:rsidRPr="00310970">
        <w:rPr>
          <w:rStyle w:val="FootnoteReference"/>
        </w:rPr>
        <w:footnoteRef/>
      </w:r>
      <w:r w:rsidRPr="00310970">
        <w:t xml:space="preserve"> Note: the proposed pass through rules will allow operators to aggregate charges levied to recover </w:t>
      </w:r>
      <w:r w:rsidRPr="00310970">
        <w:rPr>
          <w:i/>
        </w:rPr>
        <w:t>ancillary charges</w:t>
      </w:r>
      <w:r w:rsidRPr="00310970">
        <w:t>, as long as the operator provides information on its methodology for passing through charges. As such, separately listing charges levied to recover planning and management charges and those levied to recover on-river infrastructure charges (where the per ML amounts of these charges are the same as those incurred by the operator) would be compliant with the pass-through rules, but is not the only way an operator could comply.</w:t>
      </w:r>
    </w:p>
  </w:footnote>
  <w:footnote w:id="664">
    <w:p w:rsidR="00C06B07" w:rsidRPr="00310970" w:rsidRDefault="00C06B07" w:rsidP="00437FC6">
      <w:pPr>
        <w:pStyle w:val="Footnote"/>
      </w:pPr>
      <w:r w:rsidRPr="00310970">
        <w:rPr>
          <w:rStyle w:val="FootnoteReference"/>
        </w:rPr>
        <w:footnoteRef/>
      </w:r>
      <w:r w:rsidRPr="00310970">
        <w:t xml:space="preserve"> Narromine Irrigation Board of Management (NIBM) specifies separately a ‘State Water Corporation Usage Charge’ (reflecting the variable on-river infrastructure charge levied by WaterNSW) and a ‘NSW Water Usage Charge’ (reflecting the variable planning and management charge levied by DPI Water); however the per ML amounts of these charges do not reflect the amounts incurred by NIBM. Rather, the amounts are higher, which NIBM states is to ‘include estimated 20% losses’. </w:t>
      </w:r>
    </w:p>
  </w:footnote>
  <w:footnote w:id="665">
    <w:p w:rsidR="00C06B07" w:rsidRPr="00310970" w:rsidRDefault="00C06B07" w:rsidP="00437FC6">
      <w:pPr>
        <w:pStyle w:val="Footnote"/>
      </w:pPr>
      <w:r w:rsidRPr="00310970">
        <w:rPr>
          <w:rStyle w:val="FootnoteReference"/>
        </w:rPr>
        <w:footnoteRef/>
      </w:r>
      <w:r w:rsidRPr="00310970">
        <w:t xml:space="preserve"> WMI’s fixed ‘government charge’ – general security and variable usage are the sum of the relevant WaterNSW and DPI Water charges for general security users, but the fixed ‘government charge’ – for “high security” and “S&amp;G” [stock and garden] is less than the sum of the corresponding WaterNSW and DPI Water charges.</w:t>
      </w:r>
    </w:p>
  </w:footnote>
  <w:footnote w:id="666">
    <w:p w:rsidR="00C06B07" w:rsidRPr="00310970" w:rsidRDefault="00C06B07" w:rsidP="00437FC6">
      <w:pPr>
        <w:pStyle w:val="Footnote"/>
      </w:pPr>
      <w:r w:rsidRPr="00310970">
        <w:rPr>
          <w:rStyle w:val="FootnoteReference"/>
        </w:rPr>
        <w:footnoteRef/>
      </w:r>
      <w:r w:rsidRPr="00310970">
        <w:t xml:space="preserve"> MIL levies a highly tiered combined ‘government charge’ and offers no information on how these charges relate to on-river and planning and management charges incurred by MIL.</w:t>
      </w:r>
    </w:p>
  </w:footnote>
  <w:footnote w:id="667">
    <w:p w:rsidR="00C06B07" w:rsidRPr="00310970" w:rsidRDefault="00C06B07" w:rsidP="00437FC6">
      <w:pPr>
        <w:pStyle w:val="Footnote"/>
      </w:pPr>
      <w:r w:rsidRPr="00310970">
        <w:rPr>
          <w:rStyle w:val="FootnoteReference"/>
        </w:rPr>
        <w:footnoteRef/>
      </w:r>
      <w:r w:rsidRPr="00310970">
        <w:t xml:space="preserve"> MI’s fixed ‘government charges’ equal the sum of the corresponding WaterNSW and DPI Water charges, rounded up to the nearest 10 cents. MI’s variable ‘government charges’ are substantially higher than the sum of the corresponding WaterNSW and DPI Water charges.</w:t>
      </w:r>
    </w:p>
  </w:footnote>
  <w:footnote w:id="668">
    <w:p w:rsidR="00C06B07" w:rsidRPr="00310970" w:rsidRDefault="00C06B07" w:rsidP="00437FC6">
      <w:pPr>
        <w:pStyle w:val="Footnote"/>
      </w:pPr>
      <w:r w:rsidRPr="00310970">
        <w:rPr>
          <w:rStyle w:val="FootnoteReference"/>
        </w:rPr>
        <w:footnoteRef/>
      </w:r>
      <w:r w:rsidRPr="00310970">
        <w:t xml:space="preserve"> Murray Valley Private Diverters submitted that it was concerned that “[w]ater users are not receiving transparent information on government charges, particularly in relation to the MDBA and other Federal actions arising from the [Act]”. Murray Valley Private Diverters, Submission to the Independent Review of the Water Act 2007, June 2014, p.4. </w:t>
      </w:r>
    </w:p>
    <w:p w:rsidR="00C06B07" w:rsidRPr="00310970" w:rsidRDefault="00C06B07" w:rsidP="00437FC6">
      <w:pPr>
        <w:pStyle w:val="Footnote"/>
      </w:pPr>
      <w:r w:rsidRPr="00310970">
        <w:t>Southern Riverina Irrigators, Submission to the Independent Review of the Water Act 2007, 2014, pp.2-3; NSW Irrigators’ Council, Submission to the Independent Review of the Water Act 2007, 2014, pp.3,9; Murray Irrigation Limited, Submission to the Independent Review of the Water Act 2007, July 2014, p.8; National Farmers’ Federation, Submission to the Independent Review of the Water Act 2007, 2014, pp.3,9,16; NSW Government, Submission to the Independent Review of the Water Act 2007, June 2014, p.2; State Water, Submission to the Independent Review of the Water Act 2007, July 2014, pp.39-41.</w:t>
      </w:r>
    </w:p>
  </w:footnote>
  <w:footnote w:id="669">
    <w:p w:rsidR="00C06B07" w:rsidRPr="00310970" w:rsidRDefault="00C06B07" w:rsidP="00437FC6">
      <w:pPr>
        <w:pStyle w:val="Footnote"/>
      </w:pPr>
      <w:r w:rsidRPr="00310970">
        <w:rPr>
          <w:rStyle w:val="FootnoteReference"/>
        </w:rPr>
        <w:footnoteRef/>
      </w:r>
      <w:r w:rsidRPr="00310970">
        <w:t xml:space="preserve"> For details, see stakeholder feedback in section 5.13 of ACCC, </w:t>
      </w:r>
      <w:r w:rsidRPr="00310970">
        <w:rPr>
          <w:i/>
        </w:rPr>
        <w:t>Water Charge Rules Review Draft Advice</w:t>
      </w:r>
      <w:r w:rsidRPr="00310970">
        <w:t>, Canberra, November 2015.</w:t>
      </w:r>
    </w:p>
  </w:footnote>
  <w:footnote w:id="670">
    <w:p w:rsidR="00C06B07" w:rsidRPr="00310970" w:rsidRDefault="00C06B07" w:rsidP="00437FC6">
      <w:pPr>
        <w:pStyle w:val="Footnote"/>
      </w:pPr>
      <w:r w:rsidRPr="00310970">
        <w:rPr>
          <w:rStyle w:val="FootnoteReference"/>
        </w:rPr>
        <w:footnoteRef/>
      </w:r>
      <w:r w:rsidRPr="00310970">
        <w:t xml:space="preserve"> For example, on-river fixed and variable infrastructure charges levied by an on-river infrastructure operator; planning and management charges levied by a Basin State Department or water authority, where such charges are levied on water access rights held by the operator for the purpose of allocating water to irrigation right holders.</w:t>
      </w:r>
    </w:p>
  </w:footnote>
  <w:footnote w:id="671">
    <w:p w:rsidR="00C06B07" w:rsidRPr="00310970" w:rsidRDefault="00C06B07" w:rsidP="00437FC6">
      <w:pPr>
        <w:pStyle w:val="Footnote"/>
      </w:pPr>
      <w:r w:rsidRPr="00310970">
        <w:rPr>
          <w:rStyle w:val="FootnoteReference"/>
        </w:rPr>
        <w:footnoteRef/>
      </w:r>
      <w:r w:rsidRPr="00310970">
        <w:t xml:space="preserve"> For example, where an irrigation right holder wishes to conduct an external allocation trade, an operator might incur a trade application charge as this trade is facilitated by the operator trading water from its water allocation account to that of the external buyer.</w:t>
      </w:r>
    </w:p>
  </w:footnote>
  <w:footnote w:id="672">
    <w:p w:rsidR="00C06B07" w:rsidRPr="00310970" w:rsidRDefault="00C06B07" w:rsidP="00437FC6">
      <w:pPr>
        <w:pStyle w:val="Footnote"/>
      </w:pPr>
      <w:r w:rsidRPr="00310970">
        <w:rPr>
          <w:rStyle w:val="FootnoteReference"/>
        </w:rPr>
        <w:footnoteRef/>
      </w:r>
      <w:r w:rsidRPr="00310970">
        <w:t xml:space="preserve"> Note, the rules relating to termination fees preclude an operator from imposing a termination fee at all if a charge for the storage of water is included in the charges in respect of the right of access (which would include a charge levied on a water delivery right or water drainage right).</w:t>
      </w:r>
    </w:p>
  </w:footnote>
  <w:footnote w:id="673">
    <w:p w:rsidR="00C06B07" w:rsidRPr="00310970" w:rsidRDefault="00C06B07" w:rsidP="00437FC6">
      <w:pPr>
        <w:pStyle w:val="Footnote"/>
      </w:pPr>
      <w:r w:rsidRPr="00310970">
        <w:rPr>
          <w:rStyle w:val="FootnoteReference"/>
        </w:rPr>
        <w:footnoteRef/>
      </w:r>
      <w:r w:rsidRPr="00310970">
        <w:t xml:space="preserve"> For example, should rights, which are currently bundled in with water access rights be individually specified in future, charges levied on the basis of those unbundled rights would still be captured. Potential examples include rights to storage (such as capacity shares) and on-river water delivery rights.</w:t>
      </w:r>
    </w:p>
  </w:footnote>
  <w:footnote w:id="674">
    <w:p w:rsidR="00C06B07" w:rsidRPr="00310970" w:rsidRDefault="00C06B07" w:rsidP="00437FC6">
      <w:pPr>
        <w:pStyle w:val="Footnote"/>
      </w:pPr>
      <w:r w:rsidRPr="00310970">
        <w:rPr>
          <w:rStyle w:val="FootnoteReference"/>
        </w:rPr>
        <w:footnoteRef/>
      </w:r>
      <w:r w:rsidRPr="00310970">
        <w:t xml:space="preserve"> Note: in some cases associations with location-related rights such as works approvals or use approvals are made or changed during the process of trading or transferring a water access right, but this may not always be the case.</w:t>
      </w:r>
    </w:p>
  </w:footnote>
  <w:footnote w:id="675">
    <w:p w:rsidR="00C06B07" w:rsidRPr="00310970" w:rsidRDefault="00C06B07" w:rsidP="0004666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Subsection 7(4) of the Act states: </w:t>
      </w:r>
    </w:p>
    <w:p w:rsidR="00C06B07" w:rsidRPr="00310970" w:rsidRDefault="00C06B07" w:rsidP="007B4C0D">
      <w:pPr>
        <w:pStyle w:val="FootnoteText"/>
        <w:ind w:left="227"/>
        <w:rPr>
          <w:rFonts w:cs="Times New Roman"/>
          <w:sz w:val="16"/>
          <w:szCs w:val="16"/>
          <w:lang w:val="en-US"/>
        </w:rPr>
      </w:pPr>
      <w:r w:rsidRPr="00310970">
        <w:rPr>
          <w:rFonts w:cs="Times New Roman"/>
          <w:sz w:val="16"/>
          <w:szCs w:val="16"/>
        </w:rPr>
        <w:t>(4)  If water service infrastructure is operated for the purposes of delivering water for the primary purpose of being used for irrigation:</w:t>
      </w:r>
    </w:p>
    <w:p w:rsidR="00C06B07" w:rsidRPr="00310970" w:rsidRDefault="00C06B07" w:rsidP="007B4C0D">
      <w:pPr>
        <w:pStyle w:val="FootnoteText"/>
        <w:ind w:left="867" w:hanging="357"/>
        <w:rPr>
          <w:rFonts w:cs="Times New Roman"/>
          <w:sz w:val="16"/>
          <w:szCs w:val="16"/>
          <w:lang w:val="en-US"/>
        </w:rPr>
      </w:pPr>
      <w:r w:rsidRPr="00310970">
        <w:rPr>
          <w:rFonts w:cs="Times New Roman"/>
          <w:sz w:val="16"/>
          <w:szCs w:val="16"/>
        </w:rPr>
        <w:t xml:space="preserve">(a)  each infrastructure operator for the water service infrastructure is an </w:t>
      </w:r>
      <w:r w:rsidRPr="00310970">
        <w:rPr>
          <w:rFonts w:cs="Times New Roman"/>
          <w:b/>
          <w:bCs/>
          <w:i/>
          <w:iCs/>
          <w:sz w:val="16"/>
          <w:szCs w:val="16"/>
        </w:rPr>
        <w:t>irrigation infrastructure operator</w:t>
      </w:r>
      <w:r w:rsidRPr="00310970">
        <w:rPr>
          <w:rFonts w:cs="Times New Roman"/>
          <w:sz w:val="16"/>
          <w:szCs w:val="16"/>
        </w:rPr>
        <w:t>; and</w:t>
      </w:r>
    </w:p>
    <w:p w:rsidR="00C06B07" w:rsidRPr="00310970" w:rsidRDefault="00C06B07" w:rsidP="007B4C0D">
      <w:pPr>
        <w:pStyle w:val="FootnoteText"/>
        <w:ind w:left="867" w:hanging="357"/>
        <w:rPr>
          <w:rFonts w:cs="Times New Roman"/>
          <w:sz w:val="16"/>
          <w:szCs w:val="16"/>
          <w:lang w:val="en-US"/>
        </w:rPr>
      </w:pPr>
      <w:r w:rsidRPr="00310970">
        <w:rPr>
          <w:rFonts w:cs="Times New Roman"/>
          <w:sz w:val="16"/>
          <w:szCs w:val="16"/>
        </w:rPr>
        <w:t xml:space="preserve">(b)  the water service infrastructure is the </w:t>
      </w:r>
      <w:r w:rsidRPr="00310970">
        <w:rPr>
          <w:rFonts w:cs="Times New Roman"/>
          <w:b/>
          <w:bCs/>
          <w:i/>
          <w:iCs/>
          <w:sz w:val="16"/>
          <w:szCs w:val="16"/>
        </w:rPr>
        <w:t>irrigation network</w:t>
      </w:r>
      <w:r w:rsidRPr="00310970">
        <w:rPr>
          <w:rFonts w:cs="Times New Roman"/>
          <w:sz w:val="16"/>
          <w:szCs w:val="16"/>
        </w:rPr>
        <w:t xml:space="preserve"> of each of those irrigation infrastructure operators.</w:t>
      </w:r>
    </w:p>
    <w:p w:rsidR="00C06B07" w:rsidRPr="00310970" w:rsidRDefault="00C06B07" w:rsidP="007B4C0D">
      <w:pPr>
        <w:pStyle w:val="FootnoteText"/>
        <w:rPr>
          <w:rFonts w:cs="Times New Roman"/>
          <w:sz w:val="16"/>
          <w:szCs w:val="16"/>
        </w:rPr>
      </w:pPr>
      <w:r w:rsidRPr="00310970">
        <w:rPr>
          <w:rFonts w:cs="Times New Roman"/>
          <w:sz w:val="16"/>
          <w:szCs w:val="16"/>
        </w:rPr>
        <w:t>This ‘primary purpose’ test means, in effect, that an operator’s status as an irrigation infrastructure operator depends on the purpose(s) for which water delivered by the operator is used.</w:t>
      </w:r>
    </w:p>
  </w:footnote>
  <w:footnote w:id="676">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recognises that “termination fee” is not currently a defined term, and has made rule advice that this term be defined – see rule advice 4-B. In this advice, ‘termination fee’ is used to refer to fees payable for the termination of a right of access to an infrastructure operator’s water service infrastructure. At present, the WCTFR only regulate such fees for rights held against an irrigation infrastructure operators, rather than against infrastructure operators generally.</w:t>
      </w:r>
    </w:p>
  </w:footnote>
  <w:footnote w:id="677">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Coleambally Irrigation Cooperative Limited, Issues Paper Submission, July 2015, p.10; Murray Irrigation Limited, Issues Paper Submission, July 2015, p.9; Murrumbidgee Irrigation Limited, Issues Paper Submission, July 2015, p.7;</w:t>
      </w:r>
      <w:r w:rsidRPr="00310970">
        <w:rPr>
          <w:rFonts w:eastAsia="Calibri" w:cs="Times New Roman"/>
          <w:sz w:val="16"/>
          <w:szCs w:val="16"/>
        </w:rPr>
        <w:t xml:space="preserve"> Lower Murray Water also noted its support for the current approach to termination fees at the Mildura public forum.</w:t>
      </w:r>
    </w:p>
  </w:footnote>
  <w:footnote w:id="678">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vertAlign w:val="baseline"/>
        </w:rPr>
        <w:t xml:space="preserve"> </w:t>
      </w:r>
      <w:r w:rsidRPr="00310970">
        <w:rPr>
          <w:rFonts w:cs="Times New Roman"/>
          <w:sz w:val="16"/>
          <w:szCs w:val="16"/>
        </w:rPr>
        <w:t>National Irrigators’ Council, Issues Paper Submission, July 2015, p.13; Western Murray Irrigation, Issues Paper Submission, July 2015, p.6; Central Irrigation Trust, Issues Paper Submission, July 2015, p.7.</w:t>
      </w:r>
    </w:p>
  </w:footnote>
  <w:footnote w:id="679">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 Irrigation Limited, Issues Paper Submission, July 2015, p.9; National Irrigators’ Council, Issues Paper Submission, July 2015, p.4; Central Irrigation Trust, Issues Paper Submission, July 2015, p.2; Central Irrigation Trust, Issues Paper Submission, July 2015, p.2; Daniel Mongan, Issues Paper Submission, July 2015, p.6.</w:t>
      </w:r>
    </w:p>
  </w:footnote>
  <w:footnote w:id="680">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and ‘discussion’  in section 6.1 of ACCC, </w:t>
      </w:r>
      <w:r w:rsidRPr="00310970">
        <w:rPr>
          <w:rFonts w:cs="Times New Roman"/>
          <w:i/>
          <w:sz w:val="16"/>
          <w:szCs w:val="16"/>
        </w:rPr>
        <w:t>Water Charge Rules Review Draft Advice</w:t>
      </w:r>
      <w:r w:rsidRPr="00310970">
        <w:rPr>
          <w:rFonts w:cs="Times New Roman"/>
          <w:sz w:val="16"/>
          <w:szCs w:val="16"/>
        </w:rPr>
        <w:t>, Canberra, November 2015, pp.176-178.</w:t>
      </w:r>
    </w:p>
  </w:footnote>
  <w:footnote w:id="681">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‘stakeholder feedback’ in section 6.1 of ACCC, </w:t>
      </w:r>
      <w:r w:rsidRPr="00310970">
        <w:rPr>
          <w:rFonts w:cs="Times New Roman"/>
          <w:i/>
          <w:sz w:val="16"/>
          <w:szCs w:val="16"/>
        </w:rPr>
        <w:t>Water Charge Rules Review Draft Advice</w:t>
      </w:r>
      <w:r w:rsidRPr="00310970">
        <w:rPr>
          <w:rFonts w:cs="Times New Roman"/>
          <w:sz w:val="16"/>
          <w:szCs w:val="16"/>
        </w:rPr>
        <w:t>, Canberra, November 2015, pp.177-178.</w:t>
      </w:r>
    </w:p>
  </w:footnote>
  <w:footnote w:id="682">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Issues Paper Submission, July 2015, p.4; Central Irrigation Trust, Issues Paper Submission, July 2015, p.2; Western Murray Irrigation, Issues Paper Submission, July 2015, p.1.</w:t>
      </w:r>
    </w:p>
  </w:footnote>
  <w:footnote w:id="683">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Coleambally Irrigation Cooperative Limited, Issues Paper Submission, July 2015, p.9; Murray Irrigation Limited, Issues Paper Submission, July 2015, p.9.</w:t>
      </w:r>
    </w:p>
  </w:footnote>
  <w:footnote w:id="684">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Draft Advice Submission, March 2016, p.7.</w:t>
      </w:r>
    </w:p>
  </w:footnote>
  <w:footnote w:id="685">
    <w:p w:rsidR="00C06B07" w:rsidRPr="00310970" w:rsidRDefault="00C06B07" w:rsidP="00D1733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 Draft Advice Submission, March 2016, pp.5-6.</w:t>
      </w:r>
    </w:p>
  </w:footnote>
  <w:footnote w:id="686">
    <w:p w:rsidR="00C06B07" w:rsidRPr="00310970" w:rsidRDefault="00C06B07" w:rsidP="00437FC6">
      <w:pPr>
        <w:pStyle w:val="Footnote"/>
      </w:pPr>
      <w:r w:rsidRPr="00310970">
        <w:rPr>
          <w:rStyle w:val="FootnoteReference"/>
        </w:rPr>
        <w:footnoteRef/>
      </w:r>
      <w:r w:rsidRPr="00310970">
        <w:t xml:space="preserve"> TNAC is defined under current rule 3 of the WCTFR.</w:t>
      </w:r>
    </w:p>
  </w:footnote>
  <w:footnote w:id="687">
    <w:p w:rsidR="00C06B07" w:rsidRPr="00310970" w:rsidRDefault="00C06B07" w:rsidP="00437FC6">
      <w:pPr>
        <w:pStyle w:val="Footnote"/>
      </w:pPr>
      <w:r w:rsidRPr="00310970">
        <w:rPr>
          <w:rStyle w:val="FootnoteReference"/>
        </w:rPr>
        <w:footnoteRef/>
      </w:r>
      <w:r w:rsidRPr="00310970">
        <w:t xml:space="preserve"> Schedule 2, Part 2, subsection 2(a) of the </w:t>
      </w:r>
      <w:r w:rsidRPr="00310970">
        <w:rPr>
          <w:i/>
        </w:rPr>
        <w:t>Water Act 2007</w:t>
      </w:r>
      <w:r w:rsidRPr="00310970">
        <w:t>.</w:t>
      </w:r>
    </w:p>
  </w:footnote>
  <w:footnote w:id="688">
    <w:p w:rsidR="00C06B07" w:rsidRPr="00310970" w:rsidRDefault="00C06B07" w:rsidP="00437FC6">
      <w:pPr>
        <w:pStyle w:val="Footnote"/>
      </w:pPr>
      <w:r w:rsidRPr="00310970">
        <w:rPr>
          <w:rStyle w:val="FootnoteReference"/>
        </w:rPr>
        <w:footnoteRef/>
      </w:r>
      <w:r w:rsidRPr="00310970">
        <w:t xml:space="preserve"> The WCTFR currently allow the termination fee to exceed 10x TNAC in the limited circumstances where the ACCC has approved an additional termination fee relating to contracts negotiated between the operator and a customer for certain capital works. See rule 8 of the WCTFR.</w:t>
      </w:r>
    </w:p>
  </w:footnote>
  <w:footnote w:id="689">
    <w:p w:rsidR="00C06B07" w:rsidRPr="00310970" w:rsidRDefault="00C06B07" w:rsidP="00437FC6">
      <w:pPr>
        <w:pStyle w:val="Footnote"/>
      </w:pPr>
      <w:r w:rsidRPr="00310970">
        <w:rPr>
          <w:rStyle w:val="FootnoteReference"/>
        </w:rPr>
        <w:footnoteRef/>
      </w:r>
      <w:r w:rsidRPr="00310970">
        <w:t xml:space="preserve"> For a full discussion of the ACCC’s position on rules relating to calculation of termination fees, see ‘Discussion’ and rule advice 6-B in section 6.2.1 of ACCC, </w:t>
      </w:r>
      <w:r w:rsidRPr="00310970">
        <w:rPr>
          <w:i/>
        </w:rPr>
        <w:t>Water Charge Rules Review Draft Advice</w:t>
      </w:r>
      <w:r w:rsidRPr="00310970">
        <w:t>, Canberra, November 2015, pp.181-189. See also rule 72 of the proposed Water Charge Rules.</w:t>
      </w:r>
    </w:p>
  </w:footnote>
  <w:footnote w:id="690">
    <w:p w:rsidR="00C06B07" w:rsidRPr="00310970" w:rsidRDefault="00C06B07" w:rsidP="00437FC6">
      <w:pPr>
        <w:pStyle w:val="Footnote"/>
      </w:pPr>
      <w:r w:rsidRPr="00310970">
        <w:rPr>
          <w:rStyle w:val="FootnoteReference"/>
        </w:rPr>
        <w:footnoteRef/>
      </w:r>
      <w:r w:rsidRPr="00310970">
        <w:t xml:space="preserve"> Note: proposed rule 73 of the proposed Water Charge Rules replicates current rule 8 of the WCTFR, with minor changes as a consequence of the rules being amended and combined into a single instrument.</w:t>
      </w:r>
    </w:p>
  </w:footnote>
  <w:footnote w:id="691">
    <w:p w:rsidR="00C06B07" w:rsidRPr="00310970" w:rsidRDefault="00C06B07" w:rsidP="00437FC6">
      <w:pPr>
        <w:pStyle w:val="Footnote"/>
      </w:pPr>
      <w:r w:rsidRPr="00310970">
        <w:rPr>
          <w:rStyle w:val="FootnoteReference"/>
        </w:rPr>
        <w:footnoteRef/>
      </w:r>
      <w:r w:rsidRPr="00310970">
        <w:t xml:space="preserve"> See section 5.13 of ACCC, </w:t>
      </w:r>
      <w:r w:rsidRPr="00310970">
        <w:rPr>
          <w:i/>
        </w:rPr>
        <w:t>Water Charge Rules Review Draft Advice</w:t>
      </w:r>
      <w:r w:rsidRPr="00310970">
        <w:t>, Canberra, November 2015, pp.170-175. See also rule 9A of the proposed Water Charge Rules.</w:t>
      </w:r>
    </w:p>
  </w:footnote>
  <w:footnote w:id="692">
    <w:p w:rsidR="00C06B07" w:rsidRPr="00310970" w:rsidRDefault="00C06B07" w:rsidP="00437FC6">
      <w:pPr>
        <w:pStyle w:val="Footnote"/>
      </w:pPr>
      <w:r w:rsidRPr="00310970">
        <w:rPr>
          <w:rStyle w:val="FootnoteReference"/>
        </w:rPr>
        <w:footnoteRef/>
      </w:r>
      <w:r w:rsidRPr="00310970">
        <w:t xml:space="preserve"> For a full discussion of the ACCC’s position on this matter, see ‘Separate charges for dedicated infrastructure’ and rule advice 6-C in section 6.2.1 of ACCC, </w:t>
      </w:r>
      <w:r w:rsidRPr="00310970">
        <w:rPr>
          <w:i/>
        </w:rPr>
        <w:t>Water Charge Rules Review Draft Advice</w:t>
      </w:r>
      <w:r w:rsidRPr="00310970">
        <w:t>, Canberra, November 2015, pp.185-186,189. See also rule 72 of the proposed Water Charge Rules.</w:t>
      </w:r>
    </w:p>
  </w:footnote>
  <w:footnote w:id="693">
    <w:p w:rsidR="00C06B07" w:rsidRPr="00310970" w:rsidRDefault="00C06B07" w:rsidP="00437FC6">
      <w:pPr>
        <w:pStyle w:val="Footnote"/>
      </w:pPr>
      <w:r w:rsidRPr="00310970">
        <w:rPr>
          <w:rStyle w:val="FootnoteReference"/>
        </w:rPr>
        <w:footnoteRef/>
      </w:r>
      <w:r w:rsidRPr="00310970">
        <w:t xml:space="preserve"> For a full discussion of the ACCC’s position on shadow access fees, see ‘Shadow access fees’ in section 6.2.1 of ACCC, </w:t>
      </w:r>
      <w:r w:rsidRPr="00310970">
        <w:rPr>
          <w:i/>
        </w:rPr>
        <w:t>Water Charge Rules Review Draft Advice</w:t>
      </w:r>
      <w:r w:rsidRPr="00310970">
        <w:t>, Canberra, November 2015, pp.183-184.</w:t>
      </w:r>
    </w:p>
  </w:footnote>
  <w:footnote w:id="694">
    <w:p w:rsidR="00C06B07" w:rsidRPr="00310970" w:rsidRDefault="00C06B07" w:rsidP="00437FC6">
      <w:pPr>
        <w:pStyle w:val="Footnote"/>
      </w:pPr>
      <w:r w:rsidRPr="00310970">
        <w:rPr>
          <w:rStyle w:val="FootnoteReference"/>
        </w:rPr>
        <w:footnoteRef/>
      </w:r>
      <w:r w:rsidRPr="00310970">
        <w:t xml:space="preserve"> For a full summary of stakeholder feedback received prior to the release of the Draft Advice, see ‘stakeholder feedback’ in section 6.1 and ‘stakeholder feedback’ and ‘discussion’ in 6.2.1 of ACCC, </w:t>
      </w:r>
      <w:r w:rsidRPr="00310970">
        <w:rPr>
          <w:i/>
        </w:rPr>
        <w:t>Water Charge Rules Review Draft Advice</w:t>
      </w:r>
      <w:r w:rsidRPr="00310970">
        <w:t>, Canberra, November 2015, pp.179-178, 180-188.</w:t>
      </w:r>
    </w:p>
  </w:footnote>
  <w:footnote w:id="695">
    <w:p w:rsidR="00C06B07" w:rsidRPr="00310970" w:rsidRDefault="00C06B07" w:rsidP="00437FC6">
      <w:pPr>
        <w:pStyle w:val="Footnote"/>
      </w:pPr>
      <w:r w:rsidRPr="00310970">
        <w:rPr>
          <w:rStyle w:val="FootnoteReference"/>
        </w:rPr>
        <w:footnoteRef/>
      </w:r>
      <w:r w:rsidRPr="00310970">
        <w:rPr>
          <w:rStyle w:val="FootnoteReference"/>
          <w:vertAlign w:val="baseline"/>
        </w:rPr>
        <w:t xml:space="preserve"> </w:t>
      </w:r>
      <w:r w:rsidRPr="00310970">
        <w:t>National Irrigators’ Council, Issues Paper Submission, July 2015, p.13; Central Irrigation Trust, Issues Paper Submission, July 2015, p.7; Coleambally Irrigation Cooperative Limited, Issues Paper Submission, July 2015, pp.9-10.</w:t>
      </w:r>
    </w:p>
  </w:footnote>
  <w:footnote w:id="696">
    <w:p w:rsidR="00C06B07" w:rsidRPr="00310970" w:rsidRDefault="00C06B07" w:rsidP="00437FC6">
      <w:pPr>
        <w:pStyle w:val="Footnote"/>
      </w:pPr>
      <w:r w:rsidRPr="00310970">
        <w:rPr>
          <w:rStyle w:val="FootnoteReference"/>
        </w:rPr>
        <w:footnoteRef/>
      </w:r>
      <w:r w:rsidRPr="00310970">
        <w:t xml:space="preserve"> ACCC public forum on the review of the water charge rules, Mildura, 27 July 2015.</w:t>
      </w:r>
    </w:p>
  </w:footnote>
  <w:footnote w:id="697">
    <w:p w:rsidR="00C06B07" w:rsidRPr="00310970" w:rsidRDefault="00C06B07" w:rsidP="00437FC6">
      <w:pPr>
        <w:pStyle w:val="Footnote"/>
      </w:pPr>
      <w:r w:rsidRPr="00310970">
        <w:rPr>
          <w:rStyle w:val="FootnoteReference"/>
        </w:rPr>
        <w:footnoteRef/>
      </w:r>
      <w:r w:rsidRPr="00310970">
        <w:t xml:space="preserve"> ACCC public forum on the review of the water charge rules, Griffith, 4 August 2015.</w:t>
      </w:r>
    </w:p>
  </w:footnote>
  <w:footnote w:id="698">
    <w:p w:rsidR="00C06B07" w:rsidRPr="00310970" w:rsidRDefault="00C06B07" w:rsidP="00437FC6">
      <w:pPr>
        <w:pStyle w:val="Footnote"/>
      </w:pPr>
      <w:r w:rsidRPr="00310970">
        <w:rPr>
          <w:rStyle w:val="FootnoteReference"/>
        </w:rPr>
        <w:footnoteRef/>
      </w:r>
      <w:r w:rsidRPr="00310970">
        <w:t xml:space="preserve"> Goulburn-Murray Water, Draft Advice Submission, March 2016, p.6; Victorian Farmers’ Federation, Draft Advice Submission, March 2016, p.8; Queensland Farmers’ Federation, Draft Advice Submission, March 2016, p.6.</w:t>
      </w:r>
    </w:p>
  </w:footnote>
  <w:footnote w:id="699">
    <w:p w:rsidR="00C06B07" w:rsidRPr="00310970" w:rsidRDefault="00C06B07" w:rsidP="00437FC6">
      <w:pPr>
        <w:pStyle w:val="Footnote"/>
      </w:pPr>
      <w:r w:rsidRPr="00310970">
        <w:rPr>
          <w:rStyle w:val="FootnoteReference"/>
        </w:rPr>
        <w:footnoteRef/>
      </w:r>
      <w:r w:rsidRPr="00310970">
        <w:t xml:space="preserve"> Victorian Farmers’ Federation, Draft Advice Submission, March 2016, p.8.</w:t>
      </w:r>
    </w:p>
  </w:footnote>
  <w:footnote w:id="700">
    <w:p w:rsidR="00C06B07" w:rsidRPr="00310970" w:rsidRDefault="00C06B07" w:rsidP="00437FC6">
      <w:pPr>
        <w:pStyle w:val="Footnote"/>
      </w:pPr>
      <w:r w:rsidRPr="00310970">
        <w:rPr>
          <w:rStyle w:val="FootnoteReference"/>
        </w:rPr>
        <w:footnoteRef/>
      </w:r>
      <w:r w:rsidRPr="00310970">
        <w:t xml:space="preserve"> Queensland Farmers’ Federation, Draft Advice Submission, March 2016, p.6.</w:t>
      </w:r>
    </w:p>
  </w:footnote>
  <w:footnote w:id="701">
    <w:p w:rsidR="00C06B07" w:rsidRPr="00310970" w:rsidRDefault="00C06B07" w:rsidP="00437FC6">
      <w:pPr>
        <w:pStyle w:val="Footnote"/>
      </w:pPr>
      <w:r w:rsidRPr="00310970">
        <w:rPr>
          <w:rStyle w:val="FootnoteReference"/>
        </w:rPr>
        <w:footnoteRef/>
      </w:r>
      <w:r w:rsidRPr="00310970">
        <w:t xml:space="preserve"> ACCC consultation meeting with National Irrigators’ Council members on the Draft Advice for the review of the water charge rules, Griffith, 12 January 2016.</w:t>
      </w:r>
    </w:p>
  </w:footnote>
  <w:footnote w:id="702">
    <w:p w:rsidR="00C06B07" w:rsidRPr="00310970" w:rsidRDefault="00C06B07" w:rsidP="00437FC6">
      <w:pPr>
        <w:pStyle w:val="Footnote"/>
      </w:pPr>
      <w:r w:rsidRPr="00310970">
        <w:rPr>
          <w:rStyle w:val="FootnoteReference"/>
        </w:rPr>
        <w:footnoteRef/>
      </w:r>
      <w:r w:rsidRPr="00310970">
        <w:t xml:space="preserve"> National Irrigators’ Council, Draft Advice Submission, March 2016, p.15.</w:t>
      </w:r>
    </w:p>
  </w:footnote>
  <w:footnote w:id="703">
    <w:p w:rsidR="00C06B07" w:rsidRPr="00310970" w:rsidRDefault="00C06B07" w:rsidP="00437FC6">
      <w:pPr>
        <w:pStyle w:val="Footnote"/>
      </w:pPr>
      <w:r w:rsidRPr="00310970">
        <w:rPr>
          <w:rStyle w:val="FootnoteReference"/>
        </w:rPr>
        <w:footnoteRef/>
      </w:r>
      <w:r w:rsidRPr="00310970">
        <w:t xml:space="preserve"> Western Murray Irrigation, Draft Advice Submission, March 2016, p.3.</w:t>
      </w:r>
    </w:p>
  </w:footnote>
  <w:footnote w:id="704">
    <w:p w:rsidR="00C06B07" w:rsidRPr="00310970" w:rsidRDefault="00C06B07" w:rsidP="00437FC6">
      <w:pPr>
        <w:pStyle w:val="Footnote"/>
      </w:pPr>
      <w:r w:rsidRPr="00310970">
        <w:rPr>
          <w:rStyle w:val="FootnoteReference"/>
        </w:rPr>
        <w:footnoteRef/>
      </w:r>
      <w:r w:rsidRPr="00310970">
        <w:t xml:space="preserve"> A Zuo, S Wheeler and A Loch, </w:t>
      </w:r>
      <w:r w:rsidRPr="00310970">
        <w:rPr>
          <w:i/>
        </w:rPr>
        <w:t>Short survey of southern Murray-Darling Basin irrigators’ views on the review of the water charge rules – Final Report</w:t>
      </w:r>
      <w:r w:rsidRPr="00310970">
        <w:t>, University of Adelaide report to client prepared for the ACCC, Adelaide, May 2016, p. 14.</w:t>
      </w:r>
    </w:p>
  </w:footnote>
  <w:footnote w:id="705">
    <w:p w:rsidR="00C06B07" w:rsidRPr="00310970" w:rsidRDefault="00C06B07" w:rsidP="00437FC6">
      <w:pPr>
        <w:pStyle w:val="Footnote"/>
      </w:pPr>
      <w:r w:rsidRPr="00310970">
        <w:rPr>
          <w:rStyle w:val="FootnoteReference"/>
        </w:rPr>
        <w:footnoteRef/>
      </w:r>
      <w:r w:rsidRPr="00310970">
        <w:t xml:space="preserve"> ACCC, </w:t>
      </w:r>
      <w:r w:rsidRPr="00310970">
        <w:rPr>
          <w:i/>
        </w:rPr>
        <w:t>Water Monitoring Report 2014-15</w:t>
      </w:r>
      <w:r w:rsidRPr="00310970">
        <w:t xml:space="preserve">, Canberra, May 2016, pp. 82-86, 125-127, viewed June 2016, </w:t>
      </w:r>
      <w:hyperlink r:id="rId53" w:history="1">
        <w:r w:rsidRPr="00310970">
          <w:rPr>
            <w:rStyle w:val="Hyperlink"/>
          </w:rPr>
          <w:t>https://www.accc.gov.au/publications/accc-water-monitoring-report</w:t>
        </w:r>
      </w:hyperlink>
      <w:r w:rsidRPr="00310970">
        <w:t xml:space="preserve">. </w:t>
      </w:r>
    </w:p>
  </w:footnote>
  <w:footnote w:id="706">
    <w:p w:rsidR="00C06B07" w:rsidRPr="00310970" w:rsidRDefault="00C06B07" w:rsidP="00437FC6">
      <w:pPr>
        <w:pStyle w:val="Footnote"/>
      </w:pPr>
      <w:r w:rsidRPr="00310970">
        <w:rPr>
          <w:rStyle w:val="FootnoteReference"/>
        </w:rPr>
        <w:footnoteRef/>
      </w:r>
      <w:r w:rsidRPr="00310970">
        <w:t xml:space="preserve"> Victorian Farmers’ Federation, Draft Advice Submission, March 2016, p.8.</w:t>
      </w:r>
    </w:p>
  </w:footnote>
  <w:footnote w:id="707">
    <w:p w:rsidR="00C06B07" w:rsidRPr="00310970" w:rsidRDefault="00C06B07" w:rsidP="00437FC6">
      <w:pPr>
        <w:pStyle w:val="Footnote"/>
      </w:pPr>
      <w:r w:rsidRPr="00310970">
        <w:rPr>
          <w:rStyle w:val="FootnoteReference"/>
        </w:rPr>
        <w:footnoteRef/>
      </w:r>
      <w:r w:rsidRPr="00310970">
        <w:t xml:space="preserve"> Queensland Farmers’ Federation, Draft Advice Submission, March 2016, p.6.</w:t>
      </w:r>
    </w:p>
  </w:footnote>
  <w:footnote w:id="708">
    <w:p w:rsidR="00C06B07" w:rsidRPr="00310970" w:rsidRDefault="00C06B07" w:rsidP="00437FC6">
      <w:pPr>
        <w:pStyle w:val="Footnote"/>
      </w:pPr>
      <w:r w:rsidRPr="00310970">
        <w:rPr>
          <w:rStyle w:val="FootnoteReference"/>
        </w:rPr>
        <w:footnoteRef/>
      </w:r>
      <w:r w:rsidRPr="00310970">
        <w:t xml:space="preserve"> National Irrigators’ Council, Draft Advice Submission, March 2016, p.15.</w:t>
      </w:r>
    </w:p>
  </w:footnote>
  <w:footnote w:id="709">
    <w:p w:rsidR="00C06B07" w:rsidRPr="00310970" w:rsidRDefault="00C06B07" w:rsidP="00437FC6">
      <w:pPr>
        <w:pStyle w:val="Footnote"/>
      </w:pPr>
      <w:r w:rsidRPr="00310970">
        <w:rPr>
          <w:rStyle w:val="FootnoteReference"/>
        </w:rPr>
        <w:footnoteRef/>
      </w:r>
      <w:r w:rsidRPr="00310970">
        <w:t xml:space="preserve"> Western Murray Irrigation, Draft Advice Submission, March 2016, p.3.</w:t>
      </w:r>
    </w:p>
  </w:footnote>
  <w:footnote w:id="710">
    <w:p w:rsidR="00C06B07" w:rsidRPr="00310970" w:rsidRDefault="00C06B07" w:rsidP="00437FC6">
      <w:pPr>
        <w:pStyle w:val="Footnote"/>
      </w:pPr>
      <w:r w:rsidRPr="00310970">
        <w:rPr>
          <w:rStyle w:val="FootnoteReference"/>
        </w:rPr>
        <w:footnoteRef/>
      </w:r>
      <w:r w:rsidRPr="00310970">
        <w:t xml:space="preserve"> Lower Murray Water, Draft Advice Submission, March 2016, pp.6-7.</w:t>
      </w:r>
    </w:p>
  </w:footnote>
  <w:footnote w:id="711">
    <w:p w:rsidR="00C06B07" w:rsidRPr="00310970" w:rsidRDefault="00C06B07" w:rsidP="00F151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consultation meeting with National Irrigators’ Council members on the Draft Advice for the review of the water charge rules, Mildura, 14 January 2016.</w:t>
      </w:r>
    </w:p>
  </w:footnote>
  <w:footnote w:id="712">
    <w:p w:rsidR="00C06B07" w:rsidRPr="00310970" w:rsidRDefault="00C06B07" w:rsidP="00F151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Don Low, Draft Advice Submission, March 2016, pp.1-2,4.</w:t>
      </w:r>
    </w:p>
  </w:footnote>
  <w:footnote w:id="713">
    <w:p w:rsidR="00C06B07" w:rsidRPr="00310970" w:rsidRDefault="00C06B07" w:rsidP="00F151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Farmers’ Federation, Draft Advice Submission, March 2016, pp.8-9.</w:t>
      </w:r>
    </w:p>
  </w:footnote>
  <w:footnote w:id="714">
    <w:p w:rsidR="00C06B07" w:rsidRPr="00310970" w:rsidRDefault="00C06B07" w:rsidP="00F151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Peter and Barbara Tomlinson, Draft Advice Submission, March 2016, p.1.</w:t>
      </w:r>
    </w:p>
  </w:footnote>
  <w:footnote w:id="715">
    <w:p w:rsidR="00C06B07" w:rsidRPr="00310970" w:rsidRDefault="00C06B07" w:rsidP="00F151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Charge Termination Fee Rules Final Advice</w:t>
      </w:r>
      <w:r w:rsidRPr="00310970">
        <w:rPr>
          <w:rFonts w:cs="Times New Roman"/>
          <w:sz w:val="16"/>
          <w:szCs w:val="16"/>
        </w:rPr>
        <w:t xml:space="preserve">, Canberra, December 2008, p.46: “Termination fees are imposed to ensure departing irrigators make some level of contribution </w:t>
      </w:r>
      <w:r w:rsidRPr="00310970">
        <w:rPr>
          <w:rFonts w:cs="Times New Roman"/>
          <w:i/>
          <w:sz w:val="16"/>
          <w:szCs w:val="16"/>
        </w:rPr>
        <w:t>only</w:t>
      </w:r>
      <w:r w:rsidRPr="00310970">
        <w:rPr>
          <w:rFonts w:cs="Times New Roman"/>
          <w:sz w:val="16"/>
          <w:szCs w:val="16"/>
        </w:rPr>
        <w:t xml:space="preserve"> to an operator’s ongoing unavoidable costs.” [emphasis added]</w:t>
      </w:r>
    </w:p>
  </w:footnote>
  <w:footnote w:id="716">
    <w:p w:rsidR="00C06B07" w:rsidRPr="00310970" w:rsidRDefault="00C06B07" w:rsidP="00F151A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‘background’ section above, which sets out the full definition of TNAC in the current WCTFR. Item (d) specifies that operators must not include “any amount that exceeds an amount based on the recovery of the costs (whether recurrent or capital) incurred by the operator in relation to the provision of the right of access or services provided in relation to that right”.</w:t>
      </w:r>
    </w:p>
  </w:footnote>
  <w:footnote w:id="717">
    <w:p w:rsidR="00C06B07" w:rsidRPr="00310970" w:rsidRDefault="00C06B07" w:rsidP="00437FC6">
      <w:pPr>
        <w:pStyle w:val="Footnote"/>
      </w:pPr>
      <w:r w:rsidRPr="00310970">
        <w:rPr>
          <w:rStyle w:val="FootnoteReference"/>
        </w:rPr>
        <w:footnoteRef/>
      </w:r>
      <w:r w:rsidRPr="00310970">
        <w:t xml:space="preserve"> ACCC, </w:t>
      </w:r>
      <w:r w:rsidRPr="00310970">
        <w:rPr>
          <w:i/>
        </w:rPr>
        <w:t>Water Charge Termination Fee Rules Final Advice</w:t>
      </w:r>
      <w:r w:rsidRPr="00310970">
        <w:t>, Canberra, December 2008, p.51: “The recommended rules provide that only those fees and charges that are fixed charges should be included in the total network access charge. Fixed charges are those that do not vary with the quantity of water delivered or drained. Since termination fees are only required to cover unavoidable costs, they should not compensate operators for variable costs.”</w:t>
      </w:r>
    </w:p>
  </w:footnote>
  <w:footnote w:id="718">
    <w:p w:rsidR="00C06B07" w:rsidRPr="00310970" w:rsidRDefault="00C06B07" w:rsidP="00437FC6">
      <w:pPr>
        <w:pStyle w:val="Footnote"/>
      </w:pPr>
      <w:r w:rsidRPr="00310970">
        <w:rPr>
          <w:rStyle w:val="FootnoteReference"/>
        </w:rPr>
        <w:footnoteRef/>
      </w:r>
      <w:r w:rsidRPr="00310970">
        <w:t xml:space="preserve"> ACCC, </w:t>
      </w:r>
      <w:r w:rsidRPr="00310970">
        <w:rPr>
          <w:i/>
        </w:rPr>
        <w:t>Water Monitoring Report 2013-14</w:t>
      </w:r>
      <w:r w:rsidRPr="00310970">
        <w:t>, Canberra, April 2015, p.69.</w:t>
      </w:r>
    </w:p>
  </w:footnote>
  <w:footnote w:id="719">
    <w:p w:rsidR="00C06B07" w:rsidRPr="00310970" w:rsidRDefault="00C06B07" w:rsidP="00437FC6">
      <w:pPr>
        <w:pStyle w:val="Footnote"/>
      </w:pPr>
      <w:r w:rsidRPr="00310970">
        <w:rPr>
          <w:rStyle w:val="FootnoteReference"/>
        </w:rPr>
        <w:footnoteRef/>
      </w:r>
      <w:r w:rsidRPr="00310970">
        <w:t xml:space="preserve"> ACCC, </w:t>
      </w:r>
      <w:r w:rsidRPr="00310970">
        <w:rPr>
          <w:i/>
        </w:rPr>
        <w:t>Water Monitoring Report 2014-15</w:t>
      </w:r>
      <w:r w:rsidRPr="00310970">
        <w:t xml:space="preserve">, May 2016, section 6.2.2 (regarding the effect on termination fees) and 5.3.4 (regarding the impact on irrigator bills), viewed June 2016, </w:t>
      </w:r>
      <w:hyperlink r:id="rId54" w:history="1">
        <w:r w:rsidRPr="00310970">
          <w:rPr>
            <w:rStyle w:val="Hyperlink"/>
          </w:rPr>
          <w:t>https://www.accc.gov.au/publications/accc-water-monitoring-report</w:t>
        </w:r>
      </w:hyperlink>
      <w:r w:rsidRPr="00310970">
        <w:rPr>
          <w:rStyle w:val="Hyperlink"/>
          <w:color w:val="auto"/>
          <w:u w:val="none"/>
        </w:rPr>
        <w:t>.</w:t>
      </w:r>
    </w:p>
  </w:footnote>
  <w:footnote w:id="720">
    <w:p w:rsidR="00C06B07" w:rsidRPr="00310970" w:rsidRDefault="00C06B07" w:rsidP="00437FC6">
      <w:pPr>
        <w:pStyle w:val="Footnote"/>
      </w:pPr>
      <w:r w:rsidRPr="00310970">
        <w:rPr>
          <w:rStyle w:val="FootnoteReference"/>
        </w:rPr>
        <w:footnoteRef/>
      </w:r>
      <w:r w:rsidRPr="00310970">
        <w:t xml:space="preserve"> See discussion of ‘shadow access fees’ in chapter 6 of ACCC, </w:t>
      </w:r>
      <w:r w:rsidRPr="00310970">
        <w:rPr>
          <w:i/>
        </w:rPr>
        <w:t>Water Charge Rules Review Draft Advice</w:t>
      </w:r>
      <w:r w:rsidRPr="00310970">
        <w:t>, Canberra, November 2015, pp.183-184.</w:t>
      </w:r>
    </w:p>
  </w:footnote>
  <w:footnote w:id="721">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rule advice 6-F and subsection titled “Timeframe over which information given to a customer is valid” in section 6.3 regarding the advice that the termination fee information given by the operator should be valid for a period of 6 months.</w:t>
      </w:r>
    </w:p>
  </w:footnote>
  <w:footnote w:id="722">
    <w:p w:rsidR="00C06B07" w:rsidRPr="00310970" w:rsidRDefault="00C06B07" w:rsidP="00A9441A">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Note that the operator would still need to respond to the customer’s notice by providing a ‘termination information statement’ to the customer (see Rule Advice 6-F and section 6.3), and could only levy a termination fee if, after receiving this information, the customer confirms they wish to proceed with the termination or surrender.</w:t>
      </w:r>
    </w:p>
  </w:footnote>
  <w:footnote w:id="723">
    <w:p w:rsidR="00C06B07" w:rsidRPr="00310970" w:rsidRDefault="00C06B07" w:rsidP="00437FC6">
      <w:pPr>
        <w:pStyle w:val="Footnote"/>
      </w:pPr>
      <w:r w:rsidRPr="00310970">
        <w:rPr>
          <w:rStyle w:val="FootnoteReference"/>
        </w:rPr>
        <w:footnoteRef/>
      </w:r>
      <w:r w:rsidRPr="00310970">
        <w:t xml:space="preserve"> This should not otherwise limit the calculation of a maximum termination fee in relation to a right to drainage, or charging of termination fees in relation to infrastructure dedicated to the exclusive use of the terminating irrigator (where an infrastructure operator has a separate, specific charge in relation to that infrastructure). </w:t>
      </w:r>
    </w:p>
  </w:footnote>
  <w:footnote w:id="724">
    <w:p w:rsidR="00C06B07" w:rsidRPr="00310970" w:rsidRDefault="00C06B07" w:rsidP="00437FC6">
      <w:pPr>
        <w:pStyle w:val="Footnote"/>
      </w:pPr>
      <w:r w:rsidRPr="00310970">
        <w:rPr>
          <w:rStyle w:val="FootnoteReference"/>
        </w:rPr>
        <w:footnoteRef/>
      </w:r>
      <w:r w:rsidRPr="00310970">
        <w:t xml:space="preserve"> For a detailed discussion of the impacts of termination fees on trade of water access rights, see section 6.2.2 of ACCC, </w:t>
      </w:r>
      <w:r w:rsidRPr="00310970">
        <w:rPr>
          <w:i/>
        </w:rPr>
        <w:t>Water Charge Rules Review Draft Advice</w:t>
      </w:r>
      <w:r w:rsidRPr="00310970">
        <w:t>, Canberra, November 2015, p.191.</w:t>
      </w:r>
    </w:p>
  </w:footnote>
  <w:footnote w:id="725">
    <w:p w:rsidR="00C06B07" w:rsidRPr="00310970" w:rsidRDefault="00C06B07" w:rsidP="00437FC6">
      <w:pPr>
        <w:pStyle w:val="Footnote"/>
      </w:pPr>
      <w:r w:rsidRPr="00310970">
        <w:rPr>
          <w:rStyle w:val="FootnoteReference"/>
        </w:rPr>
        <w:footnoteRef/>
      </w:r>
      <w:r w:rsidRPr="00310970">
        <w:t xml:space="preserve"> For a detailed discussion of the relationships between termination fees and trade of water delivery rights, see section 6.2.2 of ACCC, </w:t>
      </w:r>
      <w:r w:rsidRPr="00310970">
        <w:rPr>
          <w:i/>
        </w:rPr>
        <w:t>Water Charge Rules Review Draft Advice</w:t>
      </w:r>
      <w:r w:rsidRPr="00310970">
        <w:t>, Canberra, November 2015, pp.191-193.</w:t>
      </w:r>
    </w:p>
  </w:footnote>
  <w:footnote w:id="726">
    <w:p w:rsidR="00C06B07" w:rsidRPr="00310970" w:rsidRDefault="00C06B07" w:rsidP="002A04F2">
      <w:pPr>
        <w:pStyle w:val="Footnote"/>
      </w:pPr>
      <w:r w:rsidRPr="00310970">
        <w:rPr>
          <w:rStyle w:val="FootnoteReference"/>
        </w:rPr>
        <w:footnoteRef/>
      </w:r>
      <w:r w:rsidRPr="00310970">
        <w:t xml:space="preserve"> The Draft Advice noted that the Basin Plan water trading rules require irrigation infrastructure operators to not unreasonably restrict the trade of a water delivery right (rule 12.28). The ACCC considers that reasonable restriction of water delivery right trade should be determined with reference to the factors explicitly listed under rule 12.29 of the Basin Plan water trading rules. </w:t>
      </w:r>
    </w:p>
  </w:footnote>
  <w:footnote w:id="727">
    <w:p w:rsidR="00C06B07" w:rsidRPr="00310970" w:rsidRDefault="00C06B07" w:rsidP="00437FC6">
      <w:pPr>
        <w:pStyle w:val="Footnote"/>
      </w:pPr>
      <w:r w:rsidRPr="00310970">
        <w:rPr>
          <w:rStyle w:val="FootnoteReference"/>
        </w:rPr>
        <w:footnoteRef/>
      </w:r>
      <w:r w:rsidRPr="00310970">
        <w:t xml:space="preserve"> Central Irrigation Trust, Issues Paper Submission, July 2015, p.7; National Irrigators’ Council, Issues Paper Submission, July 2015, p.13; Western Murray Irrigation, Issues Paper Submission, July 2015, p.6.</w:t>
      </w:r>
    </w:p>
  </w:footnote>
  <w:footnote w:id="728">
    <w:p w:rsidR="00C06B07" w:rsidRPr="00310970" w:rsidRDefault="00C06B07" w:rsidP="00437FC6">
      <w:pPr>
        <w:pStyle w:val="Footnote"/>
      </w:pPr>
      <w:r w:rsidRPr="00310970">
        <w:rPr>
          <w:rStyle w:val="FootnoteReference"/>
        </w:rPr>
        <w:footnoteRef/>
      </w:r>
      <w:r w:rsidRPr="00310970">
        <w:t xml:space="preserve"> Coleambally Irrigation Cooperative Limited, Issues Paper Submission, July 2015, p.10.</w:t>
      </w:r>
    </w:p>
  </w:footnote>
  <w:footnote w:id="729">
    <w:p w:rsidR="00C06B07" w:rsidRPr="00310970" w:rsidRDefault="00C06B07" w:rsidP="00437FC6">
      <w:pPr>
        <w:pStyle w:val="Footnote"/>
      </w:pPr>
      <w:r w:rsidRPr="00310970">
        <w:rPr>
          <w:rStyle w:val="FootnoteReference"/>
        </w:rPr>
        <w:footnoteRef/>
      </w:r>
      <w:r w:rsidRPr="00310970">
        <w:t xml:space="preserve"> Waterfind, Issues Paper Submission, July 2015, pp.4-5.</w:t>
      </w:r>
    </w:p>
  </w:footnote>
  <w:footnote w:id="730">
    <w:p w:rsidR="00C06B07" w:rsidRPr="00310970" w:rsidRDefault="00C06B07" w:rsidP="00437FC6">
      <w:pPr>
        <w:pStyle w:val="Footnote"/>
      </w:pPr>
      <w:r w:rsidRPr="00310970">
        <w:rPr>
          <w:rStyle w:val="FootnoteReference"/>
        </w:rPr>
        <w:footnoteRef/>
      </w:r>
      <w:r w:rsidRPr="00310970">
        <w:t xml:space="preserve"> Coleambally Irrigation Cooperative Limited, Issues Paper Submission, July 2015, p.9; Murray Irrigation, Issues Paper Submission, July 2015, p.9.</w:t>
      </w:r>
    </w:p>
  </w:footnote>
  <w:footnote w:id="731">
    <w:p w:rsidR="00C06B07" w:rsidRPr="00310970" w:rsidRDefault="00C06B07" w:rsidP="00437FC6">
      <w:pPr>
        <w:pStyle w:val="Footnote"/>
      </w:pPr>
      <w:r w:rsidRPr="00310970">
        <w:rPr>
          <w:rStyle w:val="FootnoteReference"/>
        </w:rPr>
        <w:footnoteRef/>
      </w:r>
      <w:r w:rsidRPr="00310970">
        <w:t xml:space="preserve"> Murray Irrigation Limited, Submission to the Independent Review of the Water Act 2007, July 2014, p.6.</w:t>
      </w:r>
    </w:p>
  </w:footnote>
  <w:footnote w:id="732">
    <w:p w:rsidR="00C06B07" w:rsidRPr="00310970" w:rsidRDefault="00C06B07" w:rsidP="00437FC6">
      <w:pPr>
        <w:pStyle w:val="Footnote"/>
      </w:pPr>
      <w:r w:rsidRPr="00310970">
        <w:rPr>
          <w:rStyle w:val="FootnoteReference"/>
        </w:rPr>
        <w:footnoteRef/>
      </w:r>
      <w:r w:rsidRPr="00310970">
        <w:t xml:space="preserve"> Wah Wah Stock and Domestic Water Users Association, Issues Paper Submission, July 2015, p59.</w:t>
      </w:r>
    </w:p>
  </w:footnote>
  <w:footnote w:id="733">
    <w:p w:rsidR="00C06B07" w:rsidRPr="00310970" w:rsidRDefault="00C06B07" w:rsidP="00007DF7">
      <w:pPr>
        <w:pStyle w:val="Footnote"/>
      </w:pPr>
      <w:r w:rsidRPr="00310970">
        <w:rPr>
          <w:rStyle w:val="FootnoteReference"/>
        </w:rPr>
        <w:footnoteRef/>
      </w:r>
      <w:r w:rsidRPr="00310970">
        <w:t xml:space="preserve"> Waterfind, Draft Advice Submission, March 2016, p.6.</w:t>
      </w:r>
    </w:p>
  </w:footnote>
  <w:footnote w:id="734">
    <w:p w:rsidR="00C06B07" w:rsidRPr="00310970" w:rsidRDefault="00C06B07" w:rsidP="00437FC6">
      <w:pPr>
        <w:pStyle w:val="Footnote"/>
      </w:pPr>
      <w:r w:rsidRPr="00310970">
        <w:rPr>
          <w:rStyle w:val="FootnoteReference"/>
        </w:rPr>
        <w:footnoteRef/>
      </w:r>
      <w:r w:rsidRPr="00310970">
        <w:t xml:space="preserve"> Queensland Farmers’ Federation, Draft Advice Submission, March 2016, p.6.</w:t>
      </w:r>
    </w:p>
  </w:footnote>
  <w:footnote w:id="735">
    <w:p w:rsidR="00C06B07" w:rsidRPr="00310970" w:rsidRDefault="00C06B07" w:rsidP="00437FC6">
      <w:pPr>
        <w:pStyle w:val="Footnote"/>
      </w:pPr>
      <w:r w:rsidRPr="00310970">
        <w:rPr>
          <w:rStyle w:val="FootnoteReference"/>
        </w:rPr>
        <w:footnoteRef/>
      </w:r>
      <w:r w:rsidRPr="00310970">
        <w:t xml:space="preserve"> The Queensland Farmers’ Federation also noted its view that the Queensland Competition Authority is compliant with the water charge rules in its price recommendation process. </w:t>
      </w:r>
    </w:p>
  </w:footnote>
  <w:footnote w:id="736">
    <w:p w:rsidR="00C06B07" w:rsidRPr="00310970" w:rsidRDefault="00C06B07" w:rsidP="00437FC6">
      <w:pPr>
        <w:pStyle w:val="Footnote"/>
      </w:pPr>
      <w:r w:rsidRPr="00310970">
        <w:rPr>
          <w:rStyle w:val="FootnoteReference"/>
        </w:rPr>
        <w:footnoteRef/>
      </w:r>
      <w:r w:rsidRPr="00310970">
        <w:t xml:space="preserve"> Patrick Connolly, Draft Advice Submission 1, February 2016, pp.2-4.</w:t>
      </w:r>
    </w:p>
  </w:footnote>
  <w:footnote w:id="737">
    <w:p w:rsidR="00C06B07" w:rsidRPr="00310970" w:rsidRDefault="00C06B07" w:rsidP="00437FC6">
      <w:pPr>
        <w:pStyle w:val="Footnote"/>
      </w:pPr>
      <w:r w:rsidRPr="00310970">
        <w:rPr>
          <w:rStyle w:val="FootnoteReference"/>
        </w:rPr>
        <w:footnoteRef/>
      </w:r>
      <w:r w:rsidRPr="00310970">
        <w:t xml:space="preserve"> Patrick Connolly, Draft Advice Submission 1, February 2016, pp.2-3.</w:t>
      </w:r>
    </w:p>
  </w:footnote>
  <w:footnote w:id="738">
    <w:p w:rsidR="00C06B07" w:rsidRPr="00310970" w:rsidRDefault="00C06B07" w:rsidP="0024558C">
      <w:pPr>
        <w:pStyle w:val="Footnote"/>
      </w:pPr>
      <w:r w:rsidRPr="00310970">
        <w:rPr>
          <w:rStyle w:val="FootnoteReference"/>
        </w:rPr>
        <w:footnoteRef/>
      </w:r>
      <w:r w:rsidRPr="00310970">
        <w:t xml:space="preserve"> Peter and Barbara Tomlinson, Draft Advice Submission, March 2016, p.1.</w:t>
      </w:r>
    </w:p>
  </w:footnote>
  <w:footnote w:id="739">
    <w:p w:rsidR="00C06B07" w:rsidRPr="00310970" w:rsidRDefault="00C06B07" w:rsidP="00437FC6">
      <w:pPr>
        <w:pStyle w:val="Footnote"/>
      </w:pPr>
      <w:r w:rsidRPr="00310970">
        <w:rPr>
          <w:rStyle w:val="FootnoteReference"/>
        </w:rPr>
        <w:footnoteRef/>
      </w:r>
      <w:r w:rsidRPr="00310970">
        <w:t xml:space="preserve"> P and B Tomlinson stated that in their case, the termination fees would be “half the value of [their] farm”.</w:t>
      </w:r>
    </w:p>
  </w:footnote>
  <w:footnote w:id="740">
    <w:p w:rsidR="00C06B07" w:rsidRPr="00310970" w:rsidRDefault="00C06B07" w:rsidP="00437FC6">
      <w:pPr>
        <w:pStyle w:val="Footnote"/>
      </w:pPr>
      <w:r w:rsidRPr="00310970">
        <w:rPr>
          <w:rStyle w:val="FootnoteReference"/>
        </w:rPr>
        <w:footnoteRef/>
      </w:r>
      <w:r w:rsidRPr="00310970">
        <w:t xml:space="preserve"> P and B Tomlinson note</w:t>
      </w:r>
      <w:r>
        <w:t>d</w:t>
      </w:r>
      <w:r w:rsidRPr="00310970">
        <w:t xml:space="preserve"> that there was a push during the 2013 price review from some farmer representative bodies and from within GMW itself, to reduce the right to water under each water delivery right back to 150 ML. However, this did not go ahead because many farmers had already reduced their water right holdings before unbundling, and therefore being issued with 270 ML for each water delivery right was “attractive” and GMW already made a number of its business decisions based on the 270 ML ratio. </w:t>
      </w:r>
    </w:p>
  </w:footnote>
  <w:footnote w:id="741">
    <w:p w:rsidR="00C06B07" w:rsidRPr="00310970" w:rsidRDefault="00C06B07" w:rsidP="007F1A8D">
      <w:pPr>
        <w:pStyle w:val="Footnote"/>
      </w:pPr>
      <w:r w:rsidRPr="00310970">
        <w:rPr>
          <w:rStyle w:val="FootnoteReference"/>
        </w:rPr>
        <w:footnoteRef/>
      </w:r>
      <w:r w:rsidRPr="00310970">
        <w:t xml:space="preserve"> The ACCC also notes that the Basin Plan water trading rules do not require Basin States to allow all kinds of water access rights to be tradeable, and that rule 12.02 exempts non-tradeable water rights from the protections of the water trading rules. Further rule 12.08(2) exempts the application of that rule to tradeable stock and domestic water access rights. As such, the current Basin Plan water trading rules also do not appear to be able to address this stakeholder concern.</w:t>
      </w:r>
    </w:p>
  </w:footnote>
  <w:footnote w:id="742">
    <w:p w:rsidR="00C06B07" w:rsidRPr="00310970" w:rsidRDefault="00C06B07" w:rsidP="007F1A8D">
      <w:pPr>
        <w:pStyle w:val="Footnote"/>
      </w:pPr>
      <w:r w:rsidRPr="00310970">
        <w:rPr>
          <w:rStyle w:val="FootnoteReference"/>
        </w:rPr>
        <w:footnoteRef/>
      </w:r>
      <w:r w:rsidRPr="00310970">
        <w:t xml:space="preserve"> Subrule 6(2)(a) of the WCTFR.</w:t>
      </w:r>
    </w:p>
  </w:footnote>
  <w:footnote w:id="743">
    <w:p w:rsidR="00C06B07" w:rsidRPr="00310970" w:rsidRDefault="00C06B07" w:rsidP="007F1A8D">
      <w:pPr>
        <w:pStyle w:val="Footnote"/>
      </w:pPr>
      <w:r w:rsidRPr="00310970">
        <w:rPr>
          <w:rStyle w:val="FootnoteReference"/>
        </w:rPr>
        <w:footnoteRef/>
      </w:r>
      <w:r w:rsidRPr="00310970">
        <w:t xml:space="preserve"> Subrule 6(2)(b) of the WCTFR.</w:t>
      </w:r>
    </w:p>
  </w:footnote>
  <w:footnote w:id="744">
    <w:p w:rsidR="00C06B07" w:rsidRPr="00310970" w:rsidRDefault="00C06B07" w:rsidP="007F1A8D">
      <w:pPr>
        <w:pStyle w:val="Footnote"/>
      </w:pPr>
      <w:r w:rsidRPr="00310970">
        <w:rPr>
          <w:rStyle w:val="FootnoteReference"/>
        </w:rPr>
        <w:footnoteRef/>
      </w:r>
      <w:r w:rsidRPr="00310970">
        <w:t xml:space="preserve"> See: ACCC, </w:t>
      </w:r>
      <w:r w:rsidRPr="00310970">
        <w:rPr>
          <w:i/>
        </w:rPr>
        <w:t>Water Charge Rules Review Draft Advice</w:t>
      </w:r>
      <w:r w:rsidRPr="00310970">
        <w:t>, Canberra, November, pp.194-195.</w:t>
      </w:r>
    </w:p>
  </w:footnote>
  <w:footnote w:id="745">
    <w:p w:rsidR="00C06B07" w:rsidRPr="00310970" w:rsidRDefault="00C06B07" w:rsidP="007F1A8D">
      <w:pPr>
        <w:pStyle w:val="Footnote"/>
      </w:pPr>
      <w:r w:rsidRPr="00310970">
        <w:rPr>
          <w:rStyle w:val="FootnoteReference"/>
        </w:rPr>
        <w:footnoteRef/>
      </w:r>
      <w:r w:rsidRPr="00310970">
        <w:t xml:space="preserve"> Western Murray Irrigation, Issues Paper Submission, July 2015, p.7; National Irrigators’ Council, Issues Paper Submission, July 2015, p.14; Central Irrigation Trust, Issues Paper Submission, July 2015, p.7; Murray Irrigation Limited, Issues Paper Submission, July 2015, p.9; Coleambally Irrigation Cooperative Limited, Issues Paper Submission, July 2015, p.10.</w:t>
      </w:r>
    </w:p>
    <w:p w:rsidR="00C06B07" w:rsidRPr="00310970" w:rsidRDefault="00C06B07" w:rsidP="007F1A8D">
      <w:pPr>
        <w:pStyle w:val="Footnote"/>
      </w:pPr>
      <w:r w:rsidRPr="00310970">
        <w:t>Coleambally Irrigation Cooperative Limited noted that “[r]ationalisation of group schemes is easily said but much harder to achieve because it inevitably comes down to some customers being pressed to accept relocation, reduced service levels and/or higher charges. That said, where an IIO is intent on rationalisation, access to a pool of termination fees that might be used [to] fund rationalisation is far more likely to assist [than] inhibit the process”.</w:t>
      </w:r>
    </w:p>
    <w:p w:rsidR="00C06B07" w:rsidRPr="00310970" w:rsidRDefault="00C06B07" w:rsidP="007F1A8D">
      <w:pPr>
        <w:pStyle w:val="Footnote"/>
      </w:pPr>
      <w:r w:rsidRPr="00310970">
        <w:t>Queensland Farmers’ Federation made a comment on the termination fee set by the Queensland Competition Authority, which falls outside the jurisdiction of the WCTFR. The Queensland Farmers’ Federation noted that the “[Queensland Competition Authority] imposed termination fees in some high cost schemes that would restrict opportunities for irrigators to take options to trade out of a scheme if they were wanting to address financial problems on farm and within the scheme. These changes may restrict an operator from rationalising sections of a scheme by allowing customers to trade out of the problem section of the scheme”. Queensland Farmers’ Federation, Issues Paper Submission, July 2015, p.6.</w:t>
      </w:r>
    </w:p>
  </w:footnote>
  <w:footnote w:id="746">
    <w:p w:rsidR="00C06B07" w:rsidRPr="00310970" w:rsidRDefault="00C06B07" w:rsidP="007F1A8D">
      <w:pPr>
        <w:pStyle w:val="Footnote"/>
      </w:pPr>
      <w:r w:rsidRPr="00310970">
        <w:rPr>
          <w:rStyle w:val="FootnoteReference"/>
        </w:rPr>
        <w:footnoteRef/>
      </w:r>
      <w:r w:rsidRPr="00310970">
        <w:t xml:space="preserve"> National Irrigators’ Council, Draft Advice Submission, March 2016, p.15.</w:t>
      </w:r>
    </w:p>
  </w:footnote>
  <w:footnote w:id="747">
    <w:p w:rsidR="00C06B07" w:rsidRPr="00310970" w:rsidRDefault="00C06B07" w:rsidP="007F1A8D">
      <w:pPr>
        <w:pStyle w:val="Footnote"/>
      </w:pPr>
      <w:r w:rsidRPr="00310970">
        <w:rPr>
          <w:rStyle w:val="FootnoteReference"/>
        </w:rPr>
        <w:footnoteRef/>
      </w:r>
      <w:r w:rsidRPr="00310970">
        <w:t xml:space="preserve"> National Irrigators’ Council, Issues Paper Submission, May 2015, p.15. </w:t>
      </w:r>
    </w:p>
  </w:footnote>
  <w:footnote w:id="748">
    <w:p w:rsidR="00C06B07" w:rsidRPr="00310970" w:rsidRDefault="00C06B07" w:rsidP="007F1A8D">
      <w:pPr>
        <w:pStyle w:val="Footnote"/>
      </w:pPr>
      <w:r w:rsidRPr="00310970">
        <w:rPr>
          <w:rStyle w:val="FootnoteReference"/>
        </w:rPr>
        <w:footnoteRef/>
      </w:r>
      <w:r w:rsidRPr="00310970">
        <w:t xml:space="preserve"> National Irrigators’ Council, Draft Advice Submission, March 2016, p.16.</w:t>
      </w:r>
    </w:p>
  </w:footnote>
  <w:footnote w:id="749">
    <w:p w:rsidR="00C06B07" w:rsidRPr="00310970" w:rsidRDefault="00C06B07" w:rsidP="007F1A8D">
      <w:pPr>
        <w:pStyle w:val="Footnote"/>
      </w:pPr>
      <w:r w:rsidRPr="00310970">
        <w:rPr>
          <w:rStyle w:val="FootnoteReference"/>
        </w:rPr>
        <w:footnoteRef/>
      </w:r>
      <w:r w:rsidRPr="00310970">
        <w:t xml:space="preserve"> Queensland Farmers’ Federation, Draft Advice Submission, March 2016, p.6.</w:t>
      </w:r>
    </w:p>
  </w:footnote>
  <w:footnote w:id="750">
    <w:p w:rsidR="00C06B07" w:rsidRPr="00310970" w:rsidRDefault="00C06B07" w:rsidP="007F1A8D">
      <w:pPr>
        <w:pStyle w:val="Footnote"/>
      </w:pPr>
      <w:r w:rsidRPr="00310970">
        <w:rPr>
          <w:rStyle w:val="FootnoteReference"/>
        </w:rPr>
        <w:footnoteRef/>
      </w:r>
      <w:r w:rsidRPr="00310970">
        <w:t xml:space="preserve"> ACCC consultation meeting with National Irrigators’ Council members on the Draft Advice for the review of the water charge rules, Griffith, 12 January 2016.</w:t>
      </w:r>
    </w:p>
  </w:footnote>
  <w:footnote w:id="751">
    <w:p w:rsidR="00C06B07" w:rsidRPr="00310970" w:rsidRDefault="00C06B07" w:rsidP="007F1A8D">
      <w:pPr>
        <w:pStyle w:val="Footnote"/>
      </w:pPr>
      <w:r w:rsidRPr="00310970">
        <w:rPr>
          <w:rStyle w:val="FootnoteReference"/>
        </w:rPr>
        <w:footnoteRef/>
      </w:r>
      <w:r w:rsidRPr="00310970">
        <w:t xml:space="preserve"> ACCC consultation meeting with National Irrigators’ Council members on the Draft Advice for the review of the water charge rules, Mildura, 14 January 2016.</w:t>
      </w:r>
    </w:p>
  </w:footnote>
  <w:footnote w:id="752">
    <w:p w:rsidR="00C06B07" w:rsidRPr="00310970" w:rsidRDefault="00C06B07" w:rsidP="004E1F9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A guide to the water charge (termination fees) rules</w:t>
      </w:r>
      <w:r w:rsidRPr="00310970">
        <w:rPr>
          <w:rFonts w:cs="Times New Roman"/>
          <w:sz w:val="16"/>
          <w:szCs w:val="16"/>
        </w:rPr>
        <w:t xml:space="preserve">, Canberra, December 2011, section 4.2.1, viewed June 2016, </w:t>
      </w:r>
      <w:hyperlink r:id="rId55" w:history="1">
        <w:r w:rsidRPr="00310970">
          <w:rPr>
            <w:rStyle w:val="Hyperlink"/>
            <w:rFonts w:cs="Times New Roman"/>
            <w:sz w:val="16"/>
            <w:szCs w:val="16"/>
          </w:rPr>
          <w:t>https://www.accc.gov.au/system/files/A%20guide%20to%20water%20charge%20termination%20fees%20rules_0.pdf</w:t>
        </w:r>
      </w:hyperlink>
      <w:r w:rsidRPr="00310970">
        <w:rPr>
          <w:rFonts w:cs="Times New Roman"/>
          <w:sz w:val="16"/>
          <w:szCs w:val="16"/>
        </w:rPr>
        <w:t>.</w:t>
      </w:r>
    </w:p>
  </w:footnote>
  <w:footnote w:id="753">
    <w:p w:rsidR="00C06B07" w:rsidRPr="00310970" w:rsidRDefault="00C06B07" w:rsidP="00D977D1">
      <w:pPr>
        <w:pStyle w:val="Footnote"/>
      </w:pPr>
      <w:r w:rsidRPr="00310970">
        <w:rPr>
          <w:rStyle w:val="FootnoteReference"/>
        </w:rPr>
        <w:footnoteRef/>
      </w:r>
      <w:r w:rsidRPr="00310970">
        <w:t xml:space="preserve"> This is particularly the case for Part 5 operators via the proposed repeal of Part 5.</w:t>
      </w:r>
    </w:p>
  </w:footnote>
  <w:footnote w:id="754">
    <w:p w:rsidR="00C06B07" w:rsidRPr="00310970" w:rsidRDefault="00C06B07" w:rsidP="00B532B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the subsection titled ‘Timeframe over which information given to a customer is valid’ below.</w:t>
      </w:r>
    </w:p>
  </w:footnote>
  <w:footnote w:id="755">
    <w:p w:rsidR="00C06B07" w:rsidRPr="00310970" w:rsidRDefault="00C06B07" w:rsidP="00437FC6">
      <w:pPr>
        <w:pStyle w:val="Footnote"/>
      </w:pPr>
      <w:r w:rsidRPr="00310970">
        <w:rPr>
          <w:rStyle w:val="FootnoteReference"/>
        </w:rPr>
        <w:footnoteRef/>
      </w:r>
      <w:r w:rsidRPr="00310970">
        <w:t xml:space="preserve"> The ACCC must decide whether or not to approve the additional termination fee within 30 business days, excepting any days on which an ACCC request for information to stakeholders is outstanding. The ACCC may extend its decision-making period by 30 business days.</w:t>
      </w:r>
    </w:p>
  </w:footnote>
  <w:footnote w:id="756">
    <w:p w:rsidR="00C06B07" w:rsidRPr="00310970" w:rsidRDefault="00C06B07" w:rsidP="00437FC6">
      <w:pPr>
        <w:pStyle w:val="Footnote"/>
      </w:pPr>
      <w:r w:rsidRPr="00310970">
        <w:rPr>
          <w:rStyle w:val="FootnoteReference"/>
        </w:rPr>
        <w:footnoteRef/>
      </w:r>
      <w:r w:rsidRPr="00310970">
        <w:t xml:space="preserve"> The ACCC found the application invalid, in part because the relevant capital works had commenced some years before the contract was entered into. The infrastructure operator declined to re-submit the application.</w:t>
      </w:r>
    </w:p>
  </w:footnote>
  <w:footnote w:id="757">
    <w:p w:rsidR="00C06B07" w:rsidRPr="00310970" w:rsidRDefault="00C06B07" w:rsidP="00437FC6">
      <w:pPr>
        <w:pStyle w:val="Footnote"/>
      </w:pPr>
      <w:r w:rsidRPr="00310970">
        <w:rPr>
          <w:rStyle w:val="FootnoteReference"/>
        </w:rPr>
        <w:footnoteRef/>
      </w:r>
      <w:r w:rsidRPr="00310970">
        <w:t xml:space="preserve"> WPM activities cover a broad range of activities, delivered by or on behalf of government, to plan for and manage water resources, to support sustainable water use and to maintain the health of natural ecosystems: for example, administering water entitlement registers, developing water sharing plans, monitoring and evaluating water quality and river health levels, building environmental works to mitigate the impacts of consumptive water use (e.g. fish ladders). The </w:t>
      </w:r>
      <w:r w:rsidRPr="00310970">
        <w:rPr>
          <w:i/>
        </w:rPr>
        <w:t>Water Act 2007</w:t>
      </w:r>
      <w:r w:rsidRPr="00310970">
        <w:t xml:space="preserve"> (the Act) does not define planning and management charges or WPM activities. The Act and the WCPMIR therefore currently rely upon the ordinary meaning of these terms; further guidance on defining and identifying WPM activities and planning and management charges can be found in the ACCC, </w:t>
      </w:r>
      <w:r w:rsidRPr="00310970">
        <w:rPr>
          <w:i/>
        </w:rPr>
        <w:t>A guide to the water charge planning &amp; management information rules 2010</w:t>
      </w:r>
      <w:r w:rsidRPr="00310970">
        <w:t xml:space="preserve">, Canberra, July 2010, viewed July 2016, </w:t>
      </w:r>
      <w:hyperlink r:id="rId56" w:history="1">
        <w:r w:rsidRPr="00310970">
          <w:rPr>
            <w:rStyle w:val="Hyperlink"/>
          </w:rPr>
          <w:t>http://accc.gov.au/publications/a-guide-to-the-water-charge-planning-management-information-rules-2010</w:t>
        </w:r>
      </w:hyperlink>
      <w:r w:rsidRPr="00310970">
        <w:t>.The guide adopts the definition and method for classifying water planning and water management activities set out in the ‘National Water Initiative Pricing Principles: Principles for cost recovery of water planning and management activities’. These pricing principles, developed jointly by the Australian, State and territory governments, were endorsed by the Natural Resource Management Ministerial Council in April 2010.</w:t>
      </w:r>
    </w:p>
  </w:footnote>
  <w:footnote w:id="758">
    <w:p w:rsidR="00C06B07" w:rsidRPr="00310970" w:rsidRDefault="00C06B07" w:rsidP="00437FC6">
      <w:pPr>
        <w:pStyle w:val="Footnote"/>
      </w:pPr>
      <w:r w:rsidRPr="00310970">
        <w:rPr>
          <w:rStyle w:val="FootnoteReference"/>
        </w:rPr>
        <w:footnoteRef/>
      </w:r>
      <w:r w:rsidRPr="00310970">
        <w:t xml:space="preserve"> Explanatory Statement, Water Charge (Planning and Management Information) Rules 2010.</w:t>
      </w:r>
    </w:p>
  </w:footnote>
  <w:footnote w:id="759">
    <w:p w:rsidR="00C06B07" w:rsidRPr="00310970" w:rsidRDefault="00C06B07" w:rsidP="00437FC6">
      <w:pPr>
        <w:pStyle w:val="Footnote"/>
      </w:pPr>
      <w:r w:rsidRPr="00310970">
        <w:rPr>
          <w:rStyle w:val="FootnoteReference"/>
        </w:rPr>
        <w:footnoteRef/>
      </w:r>
      <w:r w:rsidRPr="00310970">
        <w:t xml:space="preserve"> The ACCC calculates hypothetical irrigator bills to show changes in absolute amounts paid by irrigators and to track the relative proportions of the bill that relate to planning and management charges, bulk charges and irrigation infrastructure operator charges. Planning and management charges paid by irrigators differ across the Basin and the hypothetical bills assume only planning and management charges regularly applied rather than irregular transaction charges. In most Basin States, this means planning and management charges represent around five per cent of total hypothetical irrigator bills. See: ACCC, </w:t>
      </w:r>
      <w:r w:rsidRPr="00310970">
        <w:rPr>
          <w:i/>
        </w:rPr>
        <w:t>Water Monitoring Report 2013-14</w:t>
      </w:r>
      <w:r w:rsidRPr="00310970">
        <w:t xml:space="preserve">, 2015, pp.65-67, viewed July 2016, </w:t>
      </w:r>
      <w:hyperlink r:id="rId57" w:history="1">
        <w:r w:rsidRPr="00310970">
          <w:rPr>
            <w:rStyle w:val="Hyperlink"/>
          </w:rPr>
          <w:t>http://accc.gov.au/regulated-infrastructure/water/water-monitoring-reporting</w:t>
        </w:r>
      </w:hyperlink>
      <w:r w:rsidRPr="00310970">
        <w:t>.</w:t>
      </w:r>
    </w:p>
  </w:footnote>
  <w:footnote w:id="760">
    <w:p w:rsidR="00C06B07" w:rsidRPr="00310970" w:rsidRDefault="00C06B07" w:rsidP="00437FC6">
      <w:pPr>
        <w:pStyle w:val="Footnote"/>
      </w:pPr>
      <w:r w:rsidRPr="00310970">
        <w:rPr>
          <w:rStyle w:val="FootnoteReference"/>
        </w:rPr>
        <w:footnoteRef/>
      </w:r>
      <w:r w:rsidRPr="00310970">
        <w:t xml:space="preserve"> Queensland Department of Natural Resources and Mines, Issues Paper Submission, July 2015, p.2.</w:t>
      </w:r>
    </w:p>
  </w:footnote>
  <w:footnote w:id="761">
    <w:p w:rsidR="00C06B07" w:rsidRPr="00310970" w:rsidRDefault="00C06B07" w:rsidP="00437FC6">
      <w:pPr>
        <w:pStyle w:val="Footnote"/>
      </w:pPr>
      <w:r w:rsidRPr="00310970">
        <w:rPr>
          <w:rStyle w:val="FootnoteReference"/>
        </w:rPr>
        <w:footnoteRef/>
      </w:r>
      <w:r w:rsidRPr="00310970">
        <w:t xml:space="preserve"> See clauses 67 of the Intergovernmental Agreement on a National Water Initiative, 2004.</w:t>
      </w:r>
    </w:p>
  </w:footnote>
  <w:footnote w:id="762">
    <w:p w:rsidR="00C06B07" w:rsidRPr="00310970" w:rsidRDefault="00C06B07" w:rsidP="00437FC6">
      <w:pPr>
        <w:pStyle w:val="Footnote"/>
      </w:pPr>
      <w:r w:rsidRPr="00310970">
        <w:rPr>
          <w:rStyle w:val="FootnoteReference"/>
        </w:rPr>
        <w:footnoteRef/>
      </w:r>
      <w:r w:rsidRPr="00310970">
        <w:t xml:space="preserve"> ACCC, Submission to the Independent Review of the Water Act 2007, July 2014, p.6.</w:t>
      </w:r>
    </w:p>
  </w:footnote>
  <w:footnote w:id="763">
    <w:p w:rsidR="00C06B07" w:rsidRPr="00310970" w:rsidRDefault="00C06B07" w:rsidP="00437FC6">
      <w:pPr>
        <w:pStyle w:val="Footnote"/>
      </w:pPr>
      <w:r w:rsidRPr="00310970">
        <w:rPr>
          <w:rStyle w:val="FootnoteReference"/>
        </w:rPr>
        <w:footnoteRef/>
      </w:r>
      <w:r w:rsidRPr="00310970">
        <w:t xml:space="preserve"> ACCC</w:t>
      </w:r>
      <w:r w:rsidRPr="00310970">
        <w:rPr>
          <w:i/>
        </w:rPr>
        <w:t>, Water Monitoring Report 2010-11</w:t>
      </w:r>
      <w:r w:rsidRPr="00310970">
        <w:t xml:space="preserve">, Canberra, April 2012, pp.64-66; ACCC, </w:t>
      </w:r>
      <w:r w:rsidRPr="00310970">
        <w:rPr>
          <w:i/>
        </w:rPr>
        <w:t>Water Monitoring Report 2013-14</w:t>
      </w:r>
      <w:r w:rsidRPr="00310970">
        <w:t xml:space="preserve">, Canberra. May 2015, p.50. </w:t>
      </w:r>
    </w:p>
  </w:footnote>
  <w:footnote w:id="764">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ACCC, </w:t>
      </w:r>
      <w:r w:rsidRPr="00310970">
        <w:rPr>
          <w:rFonts w:cs="Times New Roman"/>
          <w:i/>
          <w:sz w:val="16"/>
          <w:szCs w:val="16"/>
        </w:rPr>
        <w:t>Water Charge Rules Review Draft Advice</w:t>
      </w:r>
      <w:r w:rsidRPr="00310970">
        <w:rPr>
          <w:rFonts w:cs="Times New Roman"/>
          <w:sz w:val="16"/>
          <w:szCs w:val="16"/>
        </w:rPr>
        <w:t>, Canberra, November 2015, pp.198-200.</w:t>
      </w:r>
    </w:p>
  </w:footnote>
  <w:footnote w:id="765">
    <w:p w:rsidR="00C06B07" w:rsidRPr="00310970" w:rsidRDefault="00C06B07" w:rsidP="00C349A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Issues Paper Submission, July 2015, p.9; Victorian Farmers’ Federation, Issues Paper Submission, July 2015, p.9; Waterfind, Issues Paper Submission, July 2015, p.5; Murray Irrigation Limited, Issues Paper Submission, July 2015, p.9.</w:t>
      </w:r>
    </w:p>
  </w:footnote>
  <w:footnote w:id="766">
    <w:p w:rsidR="00C06B07" w:rsidRPr="00310970" w:rsidRDefault="00C06B07" w:rsidP="00105399">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Department of Natural Resources and Mines, Issues Paper Submission, July 2015, p.2; Queensland Farmers’ Federation, Issues Paper Submission, July 2015, pp.2,7.</w:t>
      </w:r>
    </w:p>
  </w:footnote>
  <w:footnote w:id="767">
    <w:p w:rsidR="00C06B07" w:rsidRPr="00310970" w:rsidRDefault="00C06B07" w:rsidP="0001188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Issues Paper Submission, July 2015, p.5; Mr Mongan, Issues Paper Submission, July 2015.</w:t>
      </w:r>
    </w:p>
  </w:footnote>
  <w:footnote w:id="768">
    <w:p w:rsidR="00C06B07" w:rsidRPr="00310970" w:rsidRDefault="00C06B07" w:rsidP="00FC22E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IPART, Issues Paper Submission, July 2015, p.9; Goulburn-Murray Water, Issues Paper Submission, July 2015, p.5; Coliban Water, Issues Paper Submission, July 2015, p.1.</w:t>
      </w:r>
    </w:p>
  </w:footnote>
  <w:footnote w:id="769">
    <w:p w:rsidR="00C06B07" w:rsidRPr="00310970" w:rsidRDefault="00C06B07" w:rsidP="00A86C1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p.6.</w:t>
      </w:r>
    </w:p>
  </w:footnote>
  <w:footnote w:id="770">
    <w:p w:rsidR="00C06B07" w:rsidRPr="00310970" w:rsidRDefault="00C06B07" w:rsidP="0088194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Department of Natural Resources and Mines, Draft Advice Submission, March 2016, p.2.</w:t>
      </w:r>
    </w:p>
  </w:footnote>
  <w:footnote w:id="771">
    <w:p w:rsidR="00C06B07" w:rsidRPr="00310970" w:rsidRDefault="00C06B07" w:rsidP="00A86C1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In particular, the CEWH argues that there have been efficiency gains from the consolidation of many small water access entitlements used for consumptive purposes into a small number of large water access rights to now be used for environmental purposes.</w:t>
      </w:r>
    </w:p>
  </w:footnote>
  <w:footnote w:id="772">
    <w:p w:rsidR="00C06B07" w:rsidRPr="00310970" w:rsidRDefault="00C06B07" w:rsidP="00A86C13">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South Australian Murray Irrigators noted that irrigators with permanent plantings and water in other catchments “are ‘price takers’ when it comes to these fees as their business is dependent on the water arriving at their property”. Additionally, for irrigators making small trades, “the fixed trade costs are burdensome”.</w:t>
      </w:r>
    </w:p>
  </w:footnote>
  <w:footnote w:id="773">
    <w:p w:rsidR="00C06B07" w:rsidRPr="00310970" w:rsidRDefault="00C06B07" w:rsidP="00B66B6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example, the following information must be provided under rule 5 of the WCPMIR:</w:t>
      </w:r>
    </w:p>
    <w:p w:rsidR="00C06B07" w:rsidRPr="00310970" w:rsidRDefault="00C06B07" w:rsidP="005000E5">
      <w:pPr>
        <w:pStyle w:val="FNBullet"/>
      </w:pPr>
      <w:r w:rsidRPr="00310970">
        <w:t xml:space="preserve">the name and amount of the charge (or information necessary to determine the amount) </w:t>
      </w:r>
    </w:p>
    <w:p w:rsidR="00C06B07" w:rsidRPr="00310970" w:rsidRDefault="00C06B07" w:rsidP="005000E5">
      <w:pPr>
        <w:pStyle w:val="FNBullet"/>
      </w:pPr>
      <w:r w:rsidRPr="00310970">
        <w:t>who must pay the charge and to whom</w:t>
      </w:r>
    </w:p>
    <w:p w:rsidR="00C06B07" w:rsidRPr="00310970" w:rsidRDefault="00C06B07" w:rsidP="005000E5">
      <w:pPr>
        <w:pStyle w:val="FNBullet"/>
      </w:pPr>
      <w:r w:rsidRPr="00310970">
        <w:t>the details of the activities to which the charge relates including when the activities are being carried out, the costs of the activities and the relationship between the costs of the activities and the calculation of the charge</w:t>
      </w:r>
    </w:p>
    <w:p w:rsidR="00C06B07" w:rsidRPr="00310970" w:rsidRDefault="00C06B07" w:rsidP="005000E5">
      <w:pPr>
        <w:pStyle w:val="FNBullet"/>
      </w:pPr>
      <w:r w:rsidRPr="00310970">
        <w:t xml:space="preserve">information about the process for determining the charge, including cost allocation principles and whether the charge was the subject of consultation, review or audit, and </w:t>
      </w:r>
    </w:p>
    <w:p w:rsidR="00C06B07" w:rsidRPr="00310970" w:rsidRDefault="00C06B07" w:rsidP="005000E5">
      <w:pPr>
        <w:pStyle w:val="FNBullet"/>
      </w:pPr>
      <w:r w:rsidRPr="00310970">
        <w:t>other information, if applicable, such as the water resource or class of water access right to which the charge applies.</w:t>
      </w:r>
    </w:p>
    <w:p w:rsidR="00C06B07" w:rsidRPr="00310970" w:rsidRDefault="00C06B07" w:rsidP="00B66B6C">
      <w:pPr>
        <w:pStyle w:val="FootnoteText"/>
        <w:rPr>
          <w:rFonts w:cs="Times New Roman"/>
          <w:sz w:val="16"/>
          <w:szCs w:val="16"/>
          <w:u w:val="single"/>
        </w:rPr>
      </w:pPr>
      <w:r w:rsidRPr="00310970">
        <w:rPr>
          <w:rFonts w:cs="Times New Roman"/>
          <w:sz w:val="16"/>
          <w:szCs w:val="16"/>
        </w:rPr>
        <w:t xml:space="preserve"> The above summarises the requirements of the WCPMIR. The full WCPMIR requirements are available at: </w:t>
      </w:r>
      <w:hyperlink r:id="rId58" w:history="1">
        <w:r w:rsidRPr="00310970">
          <w:rPr>
            <w:rStyle w:val="Hyperlink"/>
            <w:rFonts w:cs="Times New Roman"/>
            <w:sz w:val="16"/>
            <w:szCs w:val="16"/>
          </w:rPr>
          <w:t>http://www.comlaw.gov.au/Details/F2010L02133</w:t>
        </w:r>
      </w:hyperlink>
      <w:r w:rsidRPr="00310970">
        <w:rPr>
          <w:rFonts w:cs="Times New Roman"/>
          <w:sz w:val="16"/>
          <w:szCs w:val="16"/>
        </w:rPr>
        <w:t>, viewed June 2016.</w:t>
      </w:r>
    </w:p>
  </w:footnote>
  <w:footnote w:id="774">
    <w:p w:rsidR="00C06B07" w:rsidRPr="00310970" w:rsidRDefault="00C06B07" w:rsidP="00C215B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current requirements in the WCPMIR relating to these matters are at subrules 5(2)(d)(i) and (5)(2)(j).</w:t>
      </w:r>
    </w:p>
  </w:footnote>
  <w:footnote w:id="775">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Issues Paper Submission, July 2015, pp.5-6.</w:t>
      </w:r>
    </w:p>
  </w:footnote>
  <w:footnote w:id="776">
    <w:p w:rsidR="00C06B07" w:rsidRPr="00310970" w:rsidRDefault="00C06B07" w:rsidP="00F40161">
      <w:pPr>
        <w:pStyle w:val="FootnoteText"/>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Government, Issues Paper Submission, August 2015, pp.1-2.</w:t>
      </w:r>
    </w:p>
  </w:footnote>
  <w:footnote w:id="777">
    <w:p w:rsidR="00C06B07" w:rsidRPr="00310970" w:rsidRDefault="00C06B07" w:rsidP="00B66B6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Victorian Auditor-General as cited in Victorian Farmers’ Federation, Issues Paper Submission, July 2015, p.9.</w:t>
      </w:r>
    </w:p>
  </w:footnote>
  <w:footnote w:id="778">
    <w:p w:rsidR="00C06B07" w:rsidRPr="00310970" w:rsidRDefault="00C06B07" w:rsidP="00297F0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Queensland Farmers’ Federation, Draft Advice Submission, March 2016, p.6; Queensland Department of Natural Resources and Mines, Draft Advice Submission, March 2016, p.2.</w:t>
      </w:r>
    </w:p>
  </w:footnote>
  <w:footnote w:id="779">
    <w:p w:rsidR="00C06B07" w:rsidRPr="00310970" w:rsidRDefault="00C06B07" w:rsidP="00297F0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Lower Murray Water’s support was conditional on the repeal of the WCPMIR. Lower Murray Water, Draft Advice Submission, March 2016, p.5; Queensland Farmers’ Federation, Draft Advice Submission, March 2016, p.6.</w:t>
      </w:r>
    </w:p>
  </w:footnote>
  <w:footnote w:id="780">
    <w:p w:rsidR="00C06B07" w:rsidRPr="00310970" w:rsidRDefault="00C06B07" w:rsidP="00297F0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p.6.</w:t>
      </w:r>
    </w:p>
  </w:footnote>
  <w:footnote w:id="781">
    <w:p w:rsidR="00C06B07" w:rsidRPr="00310970" w:rsidRDefault="00C06B07" w:rsidP="001604EC">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Commonwealth Environmental Water Holder, Draft Advice Submission, March 2016, p.3.</w:t>
      </w:r>
    </w:p>
  </w:footnote>
  <w:footnote w:id="782">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‘discussion’ and draft rule advices 5-H and 5-I in section 5.4.2 and ‘discussion’ in section 7.4 of ACCC, </w:t>
      </w:r>
      <w:r w:rsidRPr="00310970">
        <w:rPr>
          <w:rFonts w:cs="Times New Roman"/>
          <w:i/>
          <w:sz w:val="16"/>
          <w:szCs w:val="16"/>
        </w:rPr>
        <w:t>Water Charge Rules Review Draft Advice</w:t>
      </w:r>
      <w:r w:rsidRPr="00310970">
        <w:rPr>
          <w:rFonts w:cs="Times New Roman"/>
          <w:sz w:val="16"/>
          <w:szCs w:val="16"/>
        </w:rPr>
        <w:t>, Canberra, November 2015, pp.83-84, 205-206.</w:t>
      </w:r>
    </w:p>
  </w:footnote>
  <w:footnote w:id="783">
    <w:p w:rsidR="00C06B07" w:rsidRPr="00310970" w:rsidRDefault="00C06B07" w:rsidP="00E36BB4">
      <w:pPr>
        <w:pStyle w:val="FootnoteText"/>
        <w:rPr>
          <w:rFonts w:cs="Times New Roman"/>
          <w:sz w:val="16"/>
          <w:szCs w:val="16"/>
        </w:rPr>
      </w:pPr>
      <w:r w:rsidRPr="00310970">
        <w:rPr>
          <w:rStyle w:val="FootnoteReference"/>
          <w:rFonts w:cs="Times New Roman"/>
          <w:sz w:val="16"/>
          <w:szCs w:val="16"/>
        </w:rPr>
        <w:footnoteRef/>
      </w:r>
      <w:r w:rsidRPr="00310970">
        <w:rPr>
          <w:rStyle w:val="FootnoteReference"/>
          <w:rFonts w:cs="Times New Roman"/>
          <w:sz w:val="16"/>
          <w:szCs w:val="16"/>
        </w:rPr>
        <w:t xml:space="preserve"> </w:t>
      </w:r>
      <w:r w:rsidRPr="00310970">
        <w:rPr>
          <w:rFonts w:cs="Times New Roman"/>
          <w:sz w:val="16"/>
          <w:szCs w:val="16"/>
        </w:rPr>
        <w:t xml:space="preserve">Under the existing WCPMIR, a person determining planning and management charges does not need to adopt a Schedule of Charges per se; the person must publish the required information in the manner specified in the rules. In the Draft Advice, consistent with the objective to streamline the publication requirements relating to infrastructure charges and planning and management charges, the ACCC proposed that persons determining planning and management charges should be required to publish a ‘Schedule of Charges’ that contains all the relevant information set out in the rules and is published in the manner required. </w:t>
      </w:r>
    </w:p>
  </w:footnote>
  <w:footnote w:id="784">
    <w:p w:rsidR="00C06B07" w:rsidRPr="00310970" w:rsidRDefault="00C06B07" w:rsidP="009E49FF">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more detail on these positions see ACCC, </w:t>
      </w:r>
      <w:r w:rsidRPr="00310970">
        <w:rPr>
          <w:rFonts w:cs="Times New Roman"/>
          <w:i/>
          <w:sz w:val="16"/>
          <w:szCs w:val="16"/>
        </w:rPr>
        <w:t>Water Charge Rules Review Draft Advice</w:t>
      </w:r>
      <w:r w:rsidRPr="00310970">
        <w:rPr>
          <w:rFonts w:cs="Times New Roman"/>
          <w:sz w:val="16"/>
          <w:szCs w:val="16"/>
        </w:rPr>
        <w:t>, Canberra, November 2015, pp.205-206.</w:t>
      </w:r>
    </w:p>
  </w:footnote>
  <w:footnote w:id="785">
    <w:p w:rsidR="00C06B07" w:rsidRPr="00310970" w:rsidRDefault="00C06B07" w:rsidP="0099255E">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NSW Government, Issues Paper Submission, August 2015, p.2.</w:t>
      </w:r>
    </w:p>
  </w:footnote>
  <w:footnote w:id="786">
    <w:p w:rsidR="00C06B07" w:rsidRPr="00310970" w:rsidRDefault="00C06B07" w:rsidP="002917E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Goulburn-Murray Water, Draft Advice Submission, March 2016, p.6.</w:t>
      </w:r>
    </w:p>
  </w:footnote>
  <w:footnote w:id="787">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identified a list of areas that should be covered by such regulations (e.g. performance standards and some form of quality endorsed certification) and requirements that should be imposed on water market intermediaries (e.g. operate an independently audited trust account and hold professional indemnity insurance).  Waterfind, Draft Advice Submission, March 2016, p.8.</w:t>
      </w:r>
    </w:p>
  </w:footnote>
  <w:footnote w:id="788">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Australian Water Brokers Association Inc., Draft Advice Submission, March 2016, pp.5-6.</w:t>
      </w:r>
    </w:p>
  </w:footnote>
  <w:footnote w:id="789">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Department of Sustainability, Environment, Water, Population and Communities, </w:t>
      </w:r>
      <w:r w:rsidRPr="00310970">
        <w:rPr>
          <w:rFonts w:cs="Times New Roman"/>
          <w:i/>
          <w:sz w:val="16"/>
          <w:szCs w:val="16"/>
        </w:rPr>
        <w:t>Regulation of Water Market Intermediaries</w:t>
      </w:r>
      <w:r w:rsidRPr="00310970">
        <w:rPr>
          <w:rFonts w:cs="Times New Roman"/>
          <w:sz w:val="16"/>
          <w:szCs w:val="16"/>
        </w:rPr>
        <w:t xml:space="preserve">, Draft Council of Australian Governments regulation impact statement for consultation, April 2013, viewed June 2016, </w:t>
      </w:r>
      <w:hyperlink r:id="rId59" w:history="1">
        <w:r w:rsidRPr="00310970">
          <w:rPr>
            <w:rStyle w:val="Hyperlink"/>
            <w:rFonts w:cs="Times New Roman"/>
            <w:sz w:val="16"/>
            <w:szCs w:val="16"/>
          </w:rPr>
          <w:t>https://www.environment.gov.au/water/australian-government-water-leadership/coag/consultation-ris-2013</w:t>
        </w:r>
      </w:hyperlink>
      <w:r w:rsidRPr="00310970">
        <w:rPr>
          <w:rFonts w:cs="Times New Roman"/>
          <w:sz w:val="16"/>
          <w:szCs w:val="16"/>
        </w:rPr>
        <w:t>.</w:t>
      </w:r>
    </w:p>
  </w:footnote>
  <w:footnote w:id="790">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Report of the Independent Review of the Water Act 2007</w:t>
      </w:r>
      <w:r w:rsidRPr="00310970">
        <w:rPr>
          <w:rFonts w:cs="Times New Roman"/>
          <w:sz w:val="16"/>
          <w:szCs w:val="16"/>
        </w:rPr>
        <w:t>, Recommendation 9.</w:t>
      </w:r>
    </w:p>
  </w:footnote>
  <w:footnote w:id="791">
    <w:p w:rsidR="00C06B07" w:rsidRPr="00310970" w:rsidRDefault="00C06B07" w:rsidP="009845D5">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Australian Government Response to the Report of the Independent Review of the Water Act 2007</w:t>
      </w:r>
      <w:r w:rsidRPr="00310970">
        <w:rPr>
          <w:rFonts w:cs="Times New Roman"/>
          <w:sz w:val="16"/>
          <w:szCs w:val="16"/>
        </w:rPr>
        <w:t xml:space="preserve">, December 2015, p.7. </w:t>
      </w:r>
    </w:p>
  </w:footnote>
  <w:footnote w:id="792">
    <w:p w:rsidR="00C06B07" w:rsidRPr="00310970" w:rsidRDefault="00C06B07" w:rsidP="00437FC6">
      <w:pPr>
        <w:pStyle w:val="Footnote"/>
      </w:pPr>
      <w:r w:rsidRPr="00310970">
        <w:rPr>
          <w:rStyle w:val="FootnoteReference"/>
        </w:rPr>
        <w:footnoteRef/>
      </w:r>
      <w:r w:rsidRPr="00310970">
        <w:t xml:space="preserve"> Commonwealth Environmental Water Holder, Draft Advice Submission, March 2016, p.4.</w:t>
      </w:r>
    </w:p>
  </w:footnote>
  <w:footnote w:id="793">
    <w:p w:rsidR="00C06B07" w:rsidRPr="00310970" w:rsidRDefault="00C06B07" w:rsidP="00437FC6">
      <w:pPr>
        <w:pStyle w:val="Footnote"/>
      </w:pPr>
      <w:r w:rsidRPr="00310970">
        <w:rPr>
          <w:rStyle w:val="FootnoteReference"/>
        </w:rPr>
        <w:footnoteRef/>
      </w:r>
      <w:r w:rsidRPr="00310970">
        <w:t xml:space="preserve"> The requirement on the seller is under section 12.48 of the Murray-Darling Basin Plan. Waterfind, Draft Advice Submission, March 2016, pp.6-7.</w:t>
      </w:r>
    </w:p>
  </w:footnote>
  <w:footnote w:id="794">
    <w:p w:rsidR="00C06B07" w:rsidRPr="00310970" w:rsidRDefault="00C06B07" w:rsidP="00437FC6">
      <w:pPr>
        <w:pStyle w:val="Footnote"/>
      </w:pPr>
      <w:r w:rsidRPr="00310970">
        <w:rPr>
          <w:rStyle w:val="FootnoteReference"/>
        </w:rPr>
        <w:footnoteRef/>
      </w:r>
      <w:r w:rsidRPr="00310970">
        <w:t xml:space="preserve"> Waterfind, Draft Advice Submission, March 2016, p.7.</w:t>
      </w:r>
    </w:p>
  </w:footnote>
  <w:footnote w:id="795">
    <w:p w:rsidR="00C06B07" w:rsidRPr="00310970" w:rsidRDefault="00C06B07" w:rsidP="00437FC6">
      <w:pPr>
        <w:pStyle w:val="Footnote"/>
      </w:pPr>
      <w:r w:rsidRPr="00310970">
        <w:rPr>
          <w:rStyle w:val="FootnoteReference"/>
        </w:rPr>
        <w:footnoteRef/>
      </w:r>
      <w:r w:rsidRPr="00310970">
        <w:t xml:space="preserve"> See: ACCC, Submission to the Independent Review of the Water Act 2007, July 2014, p.4; ACCC, </w:t>
      </w:r>
      <w:r w:rsidRPr="00310970">
        <w:rPr>
          <w:i/>
        </w:rPr>
        <w:t>Water Monitoring Report 2012-13</w:t>
      </w:r>
      <w:r w:rsidRPr="00310970">
        <w:t>, April 2015, chapter 2.</w:t>
      </w:r>
    </w:p>
  </w:footnote>
  <w:footnote w:id="796">
    <w:p w:rsidR="00C06B07" w:rsidRPr="00310970" w:rsidRDefault="00C06B07" w:rsidP="00437FC6">
      <w:pPr>
        <w:pStyle w:val="Footnote"/>
      </w:pPr>
      <w:r w:rsidRPr="00310970">
        <w:rPr>
          <w:rStyle w:val="FootnoteReference"/>
        </w:rPr>
        <w:footnoteRef/>
      </w:r>
      <w:r w:rsidRPr="00310970">
        <w:t xml:space="preserve"> </w:t>
      </w:r>
      <w:r w:rsidRPr="00310970">
        <w:rPr>
          <w:i/>
        </w:rPr>
        <w:t>Report of the Independent Review of the Water Act 2007</w:t>
      </w:r>
      <w:r w:rsidRPr="00310970">
        <w:t>, Conclusion 4.3.</w:t>
      </w:r>
    </w:p>
  </w:footnote>
  <w:footnote w:id="797">
    <w:p w:rsidR="00C06B07" w:rsidRPr="00310970" w:rsidRDefault="00C06B07" w:rsidP="00437FC6">
      <w:pPr>
        <w:pStyle w:val="Footnote"/>
      </w:pPr>
      <w:r w:rsidRPr="00310970">
        <w:rPr>
          <w:rStyle w:val="FootnoteReference"/>
        </w:rPr>
        <w:footnoteRef/>
      </w:r>
      <w:r w:rsidRPr="00310970">
        <w:t xml:space="preserve"> Murray-Darling Basin Authority, Draft Advice Submission, March 2016, p.2.</w:t>
      </w:r>
    </w:p>
  </w:footnote>
  <w:footnote w:id="798">
    <w:p w:rsidR="00C06B07" w:rsidRPr="00310970" w:rsidRDefault="00C06B07" w:rsidP="00437FC6">
      <w:pPr>
        <w:pStyle w:val="Footnote"/>
      </w:pPr>
      <w:r w:rsidRPr="00310970">
        <w:rPr>
          <w:rStyle w:val="FootnoteReference"/>
        </w:rPr>
        <w:footnoteRef/>
      </w:r>
      <w:r w:rsidRPr="00310970">
        <w:t xml:space="preserve"> Queensland Farmers’ Federation, Draft Advice Submission, March 2016, p.7.</w:t>
      </w:r>
    </w:p>
  </w:footnote>
  <w:footnote w:id="799">
    <w:p w:rsidR="00C06B07" w:rsidRPr="00310970" w:rsidRDefault="00C06B07" w:rsidP="00437FC6">
      <w:pPr>
        <w:pStyle w:val="Footnote"/>
      </w:pPr>
      <w:r w:rsidRPr="00310970">
        <w:rPr>
          <w:rStyle w:val="FootnoteReference"/>
        </w:rPr>
        <w:footnoteRef/>
      </w:r>
      <w:r w:rsidRPr="00310970">
        <w:t xml:space="preserve"> </w:t>
      </w:r>
      <w:r w:rsidRPr="00310970">
        <w:rPr>
          <w:i/>
        </w:rPr>
        <w:t>Australian Government Response to the Report of the Independent Review of the Water Act 2007</w:t>
      </w:r>
      <w:r w:rsidRPr="00310970">
        <w:t>, December 2015, pp.9-10, 24.</w:t>
      </w:r>
    </w:p>
  </w:footnote>
  <w:footnote w:id="800">
    <w:p w:rsidR="00C06B07" w:rsidRPr="00310970" w:rsidRDefault="00C06B07" w:rsidP="00437FC6">
      <w:pPr>
        <w:pStyle w:val="Footnote"/>
      </w:pPr>
      <w:r w:rsidRPr="00310970">
        <w:rPr>
          <w:rStyle w:val="FootnoteReference"/>
        </w:rPr>
        <w:footnoteRef/>
      </w:r>
      <w:r w:rsidRPr="00310970">
        <w:t xml:space="preserve"> ibid, p.</w:t>
      </w:r>
      <w:r w:rsidRPr="00310970" w:rsidDel="003E65A2">
        <w:t xml:space="preserve"> </w:t>
      </w:r>
      <w:r w:rsidRPr="00310970">
        <w:t>23.</w:t>
      </w:r>
    </w:p>
  </w:footnote>
  <w:footnote w:id="801">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example, see the material published on the water held by the Commonwealth Environmental Water Holder (CEWH) at: </w:t>
      </w:r>
      <w:hyperlink r:id="rId60" w:history="1">
        <w:r w:rsidRPr="00310970">
          <w:rPr>
            <w:rStyle w:val="Hyperlink"/>
            <w:rFonts w:cs="Times New Roman"/>
            <w:sz w:val="16"/>
            <w:szCs w:val="16"/>
          </w:rPr>
          <w:t>http://www.environment.gov.au/water/cewo/about/water-holdings</w:t>
        </w:r>
      </w:hyperlink>
      <w:r w:rsidRPr="0024558C">
        <w:rPr>
          <w:rStyle w:val="Hyperlink"/>
          <w:rFonts w:cs="Times New Roman"/>
          <w:color w:val="auto"/>
          <w:sz w:val="16"/>
          <w:szCs w:val="16"/>
          <w:u w:val="none"/>
        </w:rPr>
        <w:t>.</w:t>
      </w:r>
      <w:r w:rsidRPr="00310970">
        <w:rPr>
          <w:rFonts w:cs="Times New Roman"/>
          <w:sz w:val="16"/>
          <w:szCs w:val="16"/>
        </w:rPr>
        <w:t xml:space="preserve"> </w:t>
      </w:r>
    </w:p>
  </w:footnote>
  <w:footnote w:id="802">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ACCC, </w:t>
      </w:r>
      <w:r w:rsidRPr="00310970">
        <w:rPr>
          <w:rFonts w:cs="Times New Roman"/>
          <w:i/>
          <w:sz w:val="16"/>
          <w:szCs w:val="16"/>
        </w:rPr>
        <w:t>Water Trading Rules: Final Advice</w:t>
      </w:r>
      <w:r w:rsidRPr="00310970">
        <w:rPr>
          <w:rFonts w:cs="Times New Roman"/>
          <w:sz w:val="16"/>
          <w:szCs w:val="16"/>
        </w:rPr>
        <w:t>, Canberra, March 2010, p.19.</w:t>
      </w:r>
    </w:p>
  </w:footnote>
  <w:footnote w:id="803">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Murray-Darling Basin Authority, Draft Advice Submission, March 2016, p.2.</w:t>
      </w:r>
    </w:p>
  </w:footnote>
  <w:footnote w:id="804">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In contrast, Waterfind quoted the definition of ‘speculation’ in the Oxford Dictionary as “Investment in stocks, property, etc. in the hope of gain but with the risk of loss”, and submitted to the Draft Advice that:</w:t>
      </w:r>
    </w:p>
    <w:p w:rsidR="00C06B07" w:rsidRPr="00310970" w:rsidRDefault="00C06B07" w:rsidP="009A7B9B">
      <w:pPr>
        <w:pStyle w:val="FootnoteText"/>
        <w:tabs>
          <w:tab w:val="left" w:pos="142"/>
        </w:tabs>
        <w:ind w:left="142" w:hanging="142"/>
        <w:rPr>
          <w:rFonts w:cs="Times New Roman"/>
          <w:sz w:val="16"/>
          <w:szCs w:val="16"/>
        </w:rPr>
      </w:pPr>
      <w:r w:rsidRPr="00310970">
        <w:rPr>
          <w:rFonts w:cs="Times New Roman"/>
          <w:sz w:val="16"/>
          <w:szCs w:val="16"/>
        </w:rPr>
        <w:t xml:space="preserve"> </w:t>
      </w:r>
      <w:r w:rsidRPr="00310970">
        <w:rPr>
          <w:rFonts w:cs="Times New Roman"/>
          <w:sz w:val="16"/>
          <w:szCs w:val="16"/>
        </w:rPr>
        <w:tab/>
        <w:t>“</w:t>
      </w:r>
      <w:r w:rsidRPr="00310970">
        <w:rPr>
          <w:rFonts w:cs="Times New Roman"/>
          <w:i/>
          <w:sz w:val="16"/>
          <w:szCs w:val="16"/>
        </w:rPr>
        <w:t>…most of Australian water right holders would be considered, in one form or another, speculators, and as Australian farming enterprises are continuing to be aggregated, Australia has over the last 10 years undergone an actual decline in the number of individuals speculating in holding water</w:t>
      </w:r>
      <w:r w:rsidRPr="00310970">
        <w:rPr>
          <w:rFonts w:cs="Times New Roman"/>
          <w:sz w:val="16"/>
          <w:szCs w:val="16"/>
        </w:rPr>
        <w:t>” (Waterfind, Draft Advice Submission, March 2016, p.8).</w:t>
      </w:r>
    </w:p>
  </w:footnote>
  <w:footnote w:id="805">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for example, Victorian Department of Environment, Land, Water and Planning, Water Market Trends, </w:t>
      </w:r>
      <w:r w:rsidRPr="00310970">
        <w:rPr>
          <w:rFonts w:cs="Times New Roman"/>
          <w:i/>
          <w:sz w:val="16"/>
          <w:szCs w:val="16"/>
        </w:rPr>
        <w:t>Trends in Northern Victorian Water Trade 2001-2015</w:t>
      </w:r>
      <w:r w:rsidRPr="00310970">
        <w:rPr>
          <w:rFonts w:cs="Times New Roman"/>
          <w:sz w:val="16"/>
          <w:szCs w:val="16"/>
        </w:rPr>
        <w:t xml:space="preserve">, 24 February 2016, section 4.4, </w:t>
      </w:r>
      <w:hyperlink r:id="rId61" w:history="1">
        <w:r w:rsidRPr="00310970">
          <w:rPr>
            <w:rStyle w:val="Hyperlink"/>
            <w:rFonts w:cs="Times New Roman"/>
            <w:sz w:val="16"/>
            <w:szCs w:val="16"/>
          </w:rPr>
          <w:t>https://waterregister.vic.gov.au/about/news/194-new-water-market-trends-report-available</w:t>
        </w:r>
      </w:hyperlink>
      <w:r w:rsidRPr="0024558C">
        <w:rPr>
          <w:rStyle w:val="Hyperlink"/>
          <w:rFonts w:cs="Times New Roman"/>
          <w:color w:val="auto"/>
          <w:sz w:val="16"/>
          <w:szCs w:val="16"/>
          <w:u w:val="none"/>
        </w:rPr>
        <w:t>.</w:t>
      </w:r>
      <w:r w:rsidRPr="0024558C">
        <w:rPr>
          <w:rFonts w:cs="Times New Roman"/>
          <w:sz w:val="16"/>
          <w:szCs w:val="16"/>
        </w:rPr>
        <w:t xml:space="preserve"> </w:t>
      </w:r>
    </w:p>
  </w:footnote>
  <w:footnote w:id="806">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Draft Advice Submission, March 2016, pp.8-9.</w:t>
      </w:r>
    </w:p>
  </w:footnote>
  <w:footnote w:id="807">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submitted</w:t>
      </w:r>
      <w:r>
        <w:rPr>
          <w:rFonts w:cs="Times New Roman"/>
          <w:sz w:val="16"/>
          <w:szCs w:val="16"/>
        </w:rPr>
        <w:t xml:space="preserve"> (ibid, p.9)</w:t>
      </w:r>
      <w:r w:rsidRPr="00310970">
        <w:rPr>
          <w:rFonts w:cs="Times New Roman"/>
          <w:sz w:val="16"/>
          <w:szCs w:val="16"/>
        </w:rPr>
        <w:t xml:space="preserve"> that in the NSW Murray and Murrumbidgee, interstate temporary trading closes at the end of April; intrastate temporary trading closes at the end of May. This is compared to Victoria and SA whereby intra-and-interstate trading does not close until 30 June. </w:t>
      </w:r>
    </w:p>
  </w:footnote>
  <w:footnote w:id="808">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Pr>
          <w:rFonts w:cs="Times New Roman"/>
          <w:sz w:val="16"/>
          <w:szCs w:val="16"/>
        </w:rPr>
        <w:t>ibid</w:t>
      </w:r>
      <w:r w:rsidRPr="00310970">
        <w:rPr>
          <w:rFonts w:cs="Times New Roman"/>
          <w:sz w:val="16"/>
          <w:szCs w:val="16"/>
        </w:rPr>
        <w:t>, p.5.</w:t>
      </w:r>
    </w:p>
  </w:footnote>
  <w:footnote w:id="809">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South Australian Murray Irrigators, Draft Advice Submission, March 2016, p.4.</w:t>
      </w:r>
    </w:p>
  </w:footnote>
  <w:footnote w:id="810">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ibid, p.3.</w:t>
      </w:r>
    </w:p>
  </w:footnote>
  <w:footnote w:id="811">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Pr>
          <w:rFonts w:cs="Times New Roman"/>
          <w:sz w:val="16"/>
          <w:szCs w:val="16"/>
        </w:rPr>
        <w:t>ibid</w:t>
      </w:r>
      <w:r w:rsidRPr="00310970">
        <w:rPr>
          <w:rFonts w:cs="Times New Roman"/>
          <w:sz w:val="16"/>
          <w:szCs w:val="16"/>
        </w:rPr>
        <w:t>, p.2.</w:t>
      </w:r>
    </w:p>
  </w:footnote>
  <w:footnote w:id="812">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w:t>
      </w:r>
      <w:r w:rsidRPr="00310970">
        <w:rPr>
          <w:rFonts w:cs="Times New Roman"/>
          <w:i/>
          <w:sz w:val="16"/>
          <w:szCs w:val="16"/>
        </w:rPr>
        <w:t>Water Monitoring Report 2013-14</w:t>
      </w:r>
      <w:r w:rsidRPr="00310970">
        <w:rPr>
          <w:rFonts w:cs="Times New Roman"/>
          <w:sz w:val="16"/>
          <w:szCs w:val="16"/>
        </w:rPr>
        <w:t xml:space="preserve">, Canberra, April 2015, p.30; ACCC, </w:t>
      </w:r>
      <w:r w:rsidRPr="00310970">
        <w:rPr>
          <w:rFonts w:cs="Times New Roman"/>
          <w:i/>
          <w:sz w:val="16"/>
          <w:szCs w:val="16"/>
        </w:rPr>
        <w:t>Water Monitoring Report 2014-15</w:t>
      </w:r>
      <w:r w:rsidRPr="00310970">
        <w:rPr>
          <w:rFonts w:cs="Times New Roman"/>
          <w:sz w:val="16"/>
          <w:szCs w:val="16"/>
        </w:rPr>
        <w:t>, Canberra, May 2016, pp.121-122.</w:t>
      </w:r>
    </w:p>
  </w:footnote>
  <w:footnote w:id="813">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Patrick Connolly, Draft Advice Submission 2, February 2016, p.2.</w:t>
      </w:r>
    </w:p>
  </w:footnote>
  <w:footnote w:id="814">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clauses 27(3) and (16) in </w:t>
      </w:r>
      <w:r w:rsidRPr="00310970">
        <w:rPr>
          <w:rFonts w:cs="Times New Roman"/>
          <w:i/>
          <w:sz w:val="16"/>
          <w:szCs w:val="16"/>
        </w:rPr>
        <w:t>Water Sharing Plan for the New South Wales Murray and Lower Darling Regulated Rivers Water Sources</w:t>
      </w:r>
      <w:r w:rsidRPr="00310970">
        <w:rPr>
          <w:rFonts w:cs="Times New Roman"/>
          <w:sz w:val="16"/>
          <w:szCs w:val="16"/>
        </w:rPr>
        <w:t xml:space="preserve"> </w:t>
      </w:r>
      <w:r w:rsidRPr="00310970">
        <w:rPr>
          <w:rFonts w:cs="Times New Roman"/>
          <w:i/>
          <w:sz w:val="16"/>
          <w:szCs w:val="16"/>
        </w:rPr>
        <w:t>2016</w:t>
      </w:r>
      <w:r w:rsidRPr="00310970">
        <w:rPr>
          <w:rFonts w:cs="Times New Roman"/>
          <w:sz w:val="16"/>
          <w:szCs w:val="16"/>
        </w:rPr>
        <w:t xml:space="preserve"> (NSW), viewed June 2016, </w:t>
      </w:r>
      <w:hyperlink r:id="rId62" w:history="1">
        <w:r w:rsidRPr="00310970">
          <w:rPr>
            <w:rStyle w:val="Hyperlink"/>
            <w:rFonts w:cs="Times New Roman"/>
            <w:sz w:val="16"/>
            <w:szCs w:val="16"/>
          </w:rPr>
          <w:t>http://www.legislation.nsw.gov.au/regulations/2016-366.pdf</w:t>
        </w:r>
      </w:hyperlink>
      <w:r w:rsidRPr="00310970">
        <w:rPr>
          <w:rFonts w:cs="Times New Roman"/>
          <w:sz w:val="16"/>
          <w:szCs w:val="16"/>
        </w:rPr>
        <w:t xml:space="preserve">. </w:t>
      </w:r>
    </w:p>
  </w:footnote>
  <w:footnote w:id="815">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See clauses 10.5-10.7 in </w:t>
      </w:r>
      <w:r w:rsidRPr="00310970">
        <w:rPr>
          <w:rFonts w:cs="Times New Roman"/>
          <w:i/>
          <w:sz w:val="16"/>
          <w:szCs w:val="16"/>
        </w:rPr>
        <w:t xml:space="preserve">Bulk Entitlement (River Murray—Goulburn-Murray Water) Conversion Order 1999 </w:t>
      </w:r>
      <w:r w:rsidRPr="00310970">
        <w:rPr>
          <w:rFonts w:cs="Times New Roman"/>
          <w:sz w:val="16"/>
          <w:szCs w:val="16"/>
        </w:rPr>
        <w:t>(Vic), viewed June 2016,</w:t>
      </w:r>
      <w:r w:rsidRPr="00310970">
        <w:rPr>
          <w:rFonts w:cs="Times New Roman"/>
          <w:color w:val="000000"/>
          <w:sz w:val="16"/>
          <w:szCs w:val="16"/>
        </w:rPr>
        <w:t xml:space="preserve"> </w:t>
      </w:r>
      <w:hyperlink r:id="rId63" w:history="1">
        <w:r w:rsidRPr="00310970">
          <w:rPr>
            <w:rStyle w:val="Hyperlink"/>
            <w:rFonts w:cs="Times New Roman"/>
            <w:iCs/>
            <w:sz w:val="16"/>
            <w:szCs w:val="16"/>
          </w:rPr>
          <w:t>http://waterregister.vic.gov.au/water-entitlements/bulk-entitlements</w:t>
        </w:r>
      </w:hyperlink>
      <w:r w:rsidRPr="00310970">
        <w:rPr>
          <w:rFonts w:cs="Times New Roman"/>
          <w:iCs/>
          <w:color w:val="000000"/>
          <w:sz w:val="16"/>
          <w:szCs w:val="16"/>
        </w:rPr>
        <w:t>.</w:t>
      </w:r>
      <w:r w:rsidRPr="00310970">
        <w:rPr>
          <w:rFonts w:cs="Times New Roman"/>
          <w:i/>
          <w:iCs/>
          <w:color w:val="000000"/>
          <w:sz w:val="16"/>
          <w:szCs w:val="16"/>
        </w:rPr>
        <w:t xml:space="preserve"> </w:t>
      </w:r>
    </w:p>
  </w:footnote>
  <w:footnote w:id="816">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Mr Tom Loffler, Draft Advice Submission, March 2016, p.2.</w:t>
      </w:r>
    </w:p>
  </w:footnote>
  <w:footnote w:id="817">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Further information about Sustainable Diversion Limits is available from the Murray-Darling Basin Authority’s website, see for example: </w:t>
      </w:r>
      <w:hyperlink r:id="rId64" w:history="1">
        <w:r w:rsidRPr="00310970">
          <w:rPr>
            <w:rStyle w:val="Hyperlink"/>
            <w:rFonts w:cs="Times New Roman"/>
            <w:sz w:val="16"/>
            <w:szCs w:val="16"/>
          </w:rPr>
          <w:t>http://www.mdba.gov.au/basin-plan-roll-out/sustainable-diversion-limits</w:t>
        </w:r>
      </w:hyperlink>
      <w:r w:rsidRPr="00310970">
        <w:rPr>
          <w:rFonts w:cs="Times New Roman"/>
          <w:sz w:val="16"/>
          <w:szCs w:val="16"/>
        </w:rPr>
        <w:t>, viewed June 2016.</w:t>
      </w:r>
    </w:p>
  </w:footnote>
  <w:footnote w:id="818">
    <w:p w:rsidR="00C06B07" w:rsidRPr="00310970" w:rsidRDefault="00C06B07" w:rsidP="009A7B9B">
      <w:pPr>
        <w:spacing w:after="0"/>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Ruth Angel, Issues Paper Submission, July 2015, p.1. In response to this submission, the Victorian Environmental Water Holder (VEWH) commented that this statement is incorrect, and further stated: “Water delivered for environmental water holders sometimes receives lower priority than other water users, and environmental water holders do pay headworks and delivery charges.” Victorian Environmental Water Holder, Draft Advice Submission, March 2016, p.1.</w:t>
      </w:r>
    </w:p>
  </w:footnote>
  <w:footnote w:id="819">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w:t>
      </w:r>
      <w:r w:rsidRPr="00310970">
        <w:rPr>
          <w:rFonts w:cs="Times New Roman"/>
          <w:i/>
          <w:sz w:val="16"/>
          <w:szCs w:val="16"/>
        </w:rPr>
        <w:t>Water (Amendment) Act 2015</w:t>
      </w:r>
      <w:r w:rsidRPr="00310970">
        <w:rPr>
          <w:rFonts w:cs="Times New Roman"/>
          <w:sz w:val="16"/>
          <w:szCs w:val="16"/>
        </w:rPr>
        <w:t xml:space="preserve"> received Royal Assent on 13 October 2015.</w:t>
      </w:r>
    </w:p>
  </w:footnote>
  <w:footnote w:id="820">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Michael Renehan, Murray Irrigation Limited, ACCC public forum on the review of the water charge rules, Deniliquin, 3 August 2015. </w:t>
      </w:r>
    </w:p>
  </w:footnote>
  <w:footnote w:id="821">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Andrew Goldman Excavations submitted that GMW is requiring businesses to put in tenders for “complete packages” (requiring specialised work to be subcontracted out), as compared to the previous approach where the project was split into smaller jobs. Andrew Goldman Excavations’ concern about the new approach is:</w:t>
      </w:r>
    </w:p>
    <w:p w:rsidR="00C06B07" w:rsidRPr="00310970" w:rsidRDefault="00C06B07" w:rsidP="00F43856">
      <w:pPr>
        <w:pStyle w:val="FootnoteText"/>
        <w:numPr>
          <w:ilvl w:val="0"/>
          <w:numId w:val="66"/>
        </w:numPr>
        <w:tabs>
          <w:tab w:val="left" w:pos="340"/>
        </w:tabs>
        <w:ind w:left="0" w:firstLine="142"/>
        <w:rPr>
          <w:rFonts w:cs="Times New Roman"/>
          <w:sz w:val="16"/>
          <w:szCs w:val="16"/>
        </w:rPr>
      </w:pPr>
      <w:r w:rsidRPr="00310970">
        <w:rPr>
          <w:rFonts w:cs="Times New Roman"/>
          <w:sz w:val="16"/>
          <w:szCs w:val="16"/>
        </w:rPr>
        <w:t>previously local businesses could undertake the smaller jobs rather than those jobs being sub contracted out to non-local businesses</w:t>
      </w:r>
    </w:p>
    <w:p w:rsidR="00C06B07" w:rsidRPr="00310970" w:rsidRDefault="00C06B07" w:rsidP="00F43856">
      <w:pPr>
        <w:pStyle w:val="FootnoteText"/>
        <w:numPr>
          <w:ilvl w:val="0"/>
          <w:numId w:val="66"/>
        </w:numPr>
        <w:tabs>
          <w:tab w:val="left" w:pos="340"/>
        </w:tabs>
        <w:ind w:left="0" w:firstLine="142"/>
        <w:rPr>
          <w:rFonts w:cs="Times New Roman"/>
          <w:sz w:val="16"/>
          <w:szCs w:val="16"/>
        </w:rPr>
      </w:pPr>
      <w:r w:rsidRPr="00310970">
        <w:rPr>
          <w:rFonts w:cs="Times New Roman"/>
          <w:sz w:val="16"/>
          <w:szCs w:val="16"/>
        </w:rPr>
        <w:t>the time lost preparing a tender under the new process (up to two weeks) for work that may not go ahead.</w:t>
      </w:r>
    </w:p>
    <w:p w:rsidR="00C06B07" w:rsidRPr="00310970" w:rsidRDefault="00C06B07" w:rsidP="009A7B9B">
      <w:pPr>
        <w:pStyle w:val="FootnoteText"/>
        <w:rPr>
          <w:rFonts w:cs="Times New Roman"/>
          <w:sz w:val="16"/>
          <w:szCs w:val="16"/>
        </w:rPr>
      </w:pPr>
      <w:r w:rsidRPr="00310970">
        <w:rPr>
          <w:rFonts w:cs="Times New Roman"/>
          <w:sz w:val="16"/>
          <w:szCs w:val="16"/>
        </w:rPr>
        <w:t>Andrew Goldman Excavations, Draft Advice Submission, February 2016, p.1.</w:t>
      </w:r>
    </w:p>
  </w:footnote>
  <w:footnote w:id="822">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WJ and A Seery Partnership, Draft Advice Submission, February 2016, p.1-2.</w:t>
      </w:r>
    </w:p>
  </w:footnote>
  <w:footnote w:id="823">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The ACCC raised the idea of an ombudsman in the context of appeals against regulatory decisions (ACCC, </w:t>
      </w:r>
      <w:r w:rsidRPr="00310970">
        <w:rPr>
          <w:rFonts w:cs="Times New Roman"/>
          <w:i/>
          <w:sz w:val="16"/>
          <w:szCs w:val="16"/>
        </w:rPr>
        <w:t>Water Charge Rules Review Issues Paper</w:t>
      </w:r>
      <w:r w:rsidRPr="00310970">
        <w:rPr>
          <w:rFonts w:cs="Times New Roman"/>
          <w:sz w:val="16"/>
          <w:szCs w:val="16"/>
        </w:rPr>
        <w:t>, Canberra, May 2015, p.26).</w:t>
      </w:r>
    </w:p>
  </w:footnote>
  <w:footnote w:id="824">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ACCC public forum on the review of the water charge rules, Griffith, 4 August 2015.</w:t>
      </w:r>
    </w:p>
  </w:footnote>
  <w:footnote w:id="825">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Issues Paper Submission, July 2015, p.2. </w:t>
      </w:r>
    </w:p>
  </w:footnote>
  <w:footnote w:id="826">
    <w:p w:rsidR="00C06B07" w:rsidRPr="00310970" w:rsidRDefault="00C06B07" w:rsidP="009A7B9B">
      <w:pPr>
        <w:pStyle w:val="FootnoteText"/>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Issues Paper Submission, July 2015, p.13.</w:t>
      </w:r>
    </w:p>
  </w:footnote>
  <w:footnote w:id="827">
    <w:p w:rsidR="00C06B07" w:rsidRPr="00310970" w:rsidRDefault="00C06B07" w:rsidP="009A7B9B">
      <w:pPr>
        <w:pStyle w:val="FootnoteText"/>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Central Irrigation Trust, Issues Paper Submission, July 2015, p.6.</w:t>
      </w:r>
    </w:p>
  </w:footnote>
  <w:footnote w:id="828">
    <w:p w:rsidR="00C06B07" w:rsidRPr="00310970" w:rsidRDefault="00C06B07" w:rsidP="009A7B9B">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t>
      </w:r>
      <w:r w:rsidRPr="00310970">
        <w:rPr>
          <w:rFonts w:cs="Times New Roman"/>
          <w:i/>
          <w:sz w:val="16"/>
          <w:szCs w:val="16"/>
        </w:rPr>
        <w:t>Report of the Independent Review of the Water Act 2007</w:t>
      </w:r>
      <w:r w:rsidRPr="00310970">
        <w:rPr>
          <w:rFonts w:cs="Times New Roman"/>
          <w:sz w:val="16"/>
          <w:szCs w:val="16"/>
        </w:rPr>
        <w:t>, p.64.</w:t>
      </w:r>
    </w:p>
  </w:footnote>
  <w:footnote w:id="829">
    <w:p w:rsidR="00C06B07" w:rsidRPr="00310970" w:rsidRDefault="00C06B07" w:rsidP="004A623F">
      <w:pPr>
        <w:pStyle w:val="Footnote"/>
      </w:pPr>
      <w:r w:rsidRPr="00310970">
        <w:rPr>
          <w:rStyle w:val="FootnoteReference"/>
        </w:rPr>
        <w:footnoteRef/>
      </w:r>
      <w:r w:rsidRPr="00310970">
        <w:t xml:space="preserve"> That is, EWOQ covers residential customers and small business customers with a consumption of less than 100 kilolitres (KL) in the Gold Coast Council, Logan City Council, Redland City Council, Queensland Urban Utilities and Unity water area (i.e. Moreton Bay, Sunshine Coast and Noosa local authority area). See: Electricity and Water Ombudsman of Queensland website, viewed June 2016, </w:t>
      </w:r>
      <w:hyperlink r:id="rId65" w:history="1">
        <w:r w:rsidRPr="00310970">
          <w:rPr>
            <w:rStyle w:val="Hyperlink"/>
          </w:rPr>
          <w:t>http://www.ewoq.com.au/types-of-complaints</w:t>
        </w:r>
      </w:hyperlink>
      <w:r w:rsidRPr="00310970">
        <w:t xml:space="preserve">. </w:t>
      </w:r>
    </w:p>
  </w:footnote>
  <w:footnote w:id="830">
    <w:p w:rsidR="00C06B07" w:rsidRPr="00310970" w:rsidRDefault="00C06B07" w:rsidP="004A623F">
      <w:pPr>
        <w:pStyle w:val="Footnote"/>
      </w:pPr>
      <w:r w:rsidRPr="00310970">
        <w:rPr>
          <w:rStyle w:val="FootnoteReference"/>
        </w:rPr>
        <w:footnoteRef/>
      </w:r>
      <w:r w:rsidRPr="00310970">
        <w:t xml:space="preserve"> </w:t>
      </w:r>
      <w:r w:rsidRPr="00310970">
        <w:rPr>
          <w:i/>
        </w:rPr>
        <w:t>Water Industry Competition Act 2006</w:t>
      </w:r>
      <w:r w:rsidRPr="00310970">
        <w:t xml:space="preserve">, section 49; and </w:t>
      </w:r>
      <w:r w:rsidRPr="00310970">
        <w:rPr>
          <w:i/>
        </w:rPr>
        <w:t>Water Competition (General) Regulation 2008</w:t>
      </w:r>
      <w:r w:rsidRPr="00310970">
        <w:t>, Regulation 5.</w:t>
      </w:r>
    </w:p>
  </w:footnote>
  <w:footnote w:id="831">
    <w:p w:rsidR="00C06B07" w:rsidRPr="00310970" w:rsidRDefault="00C06B07" w:rsidP="004A623F">
      <w:pPr>
        <w:pStyle w:val="Footnote"/>
      </w:pPr>
      <w:r w:rsidRPr="00310970">
        <w:rPr>
          <w:rStyle w:val="FootnoteReference"/>
        </w:rPr>
        <w:footnoteRef/>
      </w:r>
      <w:r w:rsidRPr="00310970">
        <w:t xml:space="preserve"> Discussion with Pia Bentick (Company Secretary of EWOOSA), 14 September 2015. </w:t>
      </w:r>
    </w:p>
  </w:footnote>
  <w:footnote w:id="832">
    <w:p w:rsidR="00C06B07" w:rsidRPr="00310970" w:rsidRDefault="00C06B07" w:rsidP="004A623F">
      <w:pPr>
        <w:pStyle w:val="Footnote"/>
      </w:pPr>
      <w:r w:rsidRPr="00310970">
        <w:rPr>
          <w:rStyle w:val="FootnoteReference"/>
        </w:rPr>
        <w:footnoteRef/>
      </w:r>
      <w:r w:rsidRPr="00310970">
        <w:t xml:space="preserve"> Current members of EWOV may be found at: Electricity and Water Ombudsman of Victoria website, viewed June 2016, </w:t>
      </w:r>
      <w:hyperlink r:id="rId66" w:history="1">
        <w:r w:rsidRPr="00310970">
          <w:rPr>
            <w:rStyle w:val="Hyperlink"/>
          </w:rPr>
          <w:t>https://www.ewov.com.au/providers/water-companies</w:t>
        </w:r>
      </w:hyperlink>
      <w:r w:rsidRPr="00310970">
        <w:t>.</w:t>
      </w:r>
    </w:p>
  </w:footnote>
  <w:footnote w:id="833">
    <w:p w:rsidR="00C06B07" w:rsidRPr="00310970" w:rsidRDefault="00C06B07" w:rsidP="004A623F">
      <w:pPr>
        <w:pStyle w:val="Footnote"/>
      </w:pPr>
      <w:r w:rsidRPr="00310970">
        <w:rPr>
          <w:rStyle w:val="FootnoteReference"/>
        </w:rPr>
        <w:footnoteRef/>
      </w:r>
      <w:r w:rsidRPr="00310970">
        <w:t xml:space="preserve"> Energy and Water Ombudsman Charter, rule 6.1.</w:t>
      </w:r>
    </w:p>
  </w:footnote>
  <w:footnote w:id="834">
    <w:p w:rsidR="00C06B07" w:rsidRPr="00310970" w:rsidRDefault="00C06B07" w:rsidP="004A623F">
      <w:pPr>
        <w:pStyle w:val="Footnote"/>
      </w:pPr>
      <w:r w:rsidRPr="00310970">
        <w:rPr>
          <w:rStyle w:val="FootnoteReference"/>
        </w:rPr>
        <w:footnoteRef/>
      </w:r>
      <w:r w:rsidRPr="00310970">
        <w:t xml:space="preserve"> ACCC, </w:t>
      </w:r>
      <w:r w:rsidRPr="00310970">
        <w:rPr>
          <w:i/>
        </w:rPr>
        <w:t>Water Charge Rules Review Draft Advice</w:t>
      </w:r>
      <w:r w:rsidRPr="00310970">
        <w:t>, Canberra, November 2015, p.215.</w:t>
      </w:r>
    </w:p>
  </w:footnote>
  <w:footnote w:id="835">
    <w:p w:rsidR="00C06B07" w:rsidRPr="00310970" w:rsidRDefault="00C06B07">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Waterfind, Draft Advice Submission, March 2016, p.7; Queensland Farmers’ Federation, Draft Advice Submission, March 2016, p.7.</w:t>
      </w:r>
    </w:p>
  </w:footnote>
  <w:footnote w:id="836">
    <w:p w:rsidR="00C06B07" w:rsidRPr="00310970" w:rsidRDefault="00C06B07" w:rsidP="004A623F">
      <w:pPr>
        <w:pStyle w:val="Footnote"/>
      </w:pPr>
      <w:r w:rsidRPr="00310970">
        <w:rPr>
          <w:rStyle w:val="FootnoteReference"/>
        </w:rPr>
        <w:footnoteRef/>
      </w:r>
      <w:r w:rsidRPr="00310970">
        <w:t xml:space="preserve"> South Australian Murray Irrigators, Draft Advice Submission, March 2016, p.3.</w:t>
      </w:r>
    </w:p>
  </w:footnote>
  <w:footnote w:id="837">
    <w:p w:rsidR="00C06B07" w:rsidRPr="00310970" w:rsidRDefault="00C06B07" w:rsidP="004A623F">
      <w:pPr>
        <w:pStyle w:val="Footnote"/>
      </w:pPr>
      <w:r w:rsidRPr="00310970">
        <w:rPr>
          <w:rStyle w:val="FootnoteReference"/>
        </w:rPr>
        <w:footnoteRef/>
      </w:r>
      <w:r w:rsidRPr="00310970">
        <w:t xml:space="preserve"> Waterfind, Draft Advice Submission, March 2016, p.5.</w:t>
      </w:r>
    </w:p>
  </w:footnote>
  <w:footnote w:id="838">
    <w:p w:rsidR="00C06B07" w:rsidRPr="00310970" w:rsidRDefault="00C06B07" w:rsidP="004A623F">
      <w:pPr>
        <w:pStyle w:val="Footnote"/>
      </w:pPr>
      <w:r w:rsidRPr="00310970">
        <w:rPr>
          <w:rStyle w:val="FootnoteReference"/>
        </w:rPr>
        <w:footnoteRef/>
      </w:r>
      <w:r w:rsidRPr="00310970">
        <w:t xml:space="preserve"> Wah Wah Stock and Domestic Water Users Association, Issues Paper Submission, July 2015, p.2.</w:t>
      </w:r>
    </w:p>
  </w:footnote>
  <w:footnote w:id="839">
    <w:p w:rsidR="00C06B07" w:rsidRPr="00310970" w:rsidRDefault="00C06B07" w:rsidP="004A623F">
      <w:pPr>
        <w:pStyle w:val="Footnote"/>
      </w:pPr>
      <w:r w:rsidRPr="00310970">
        <w:rPr>
          <w:rStyle w:val="FootnoteReference"/>
        </w:rPr>
        <w:footnoteRef/>
      </w:r>
      <w:r w:rsidRPr="00310970">
        <w:t xml:space="preserve"> </w:t>
      </w:r>
      <w:r w:rsidRPr="00310970">
        <w:rPr>
          <w:rStyle w:val="FootnoteTextChar"/>
          <w:sz w:val="16"/>
          <w:szCs w:val="16"/>
        </w:rPr>
        <w:t>Sally Jones, Issues Paper Submission, July 2015, p.1.</w:t>
      </w:r>
    </w:p>
  </w:footnote>
  <w:footnote w:id="840">
    <w:p w:rsidR="00C06B07" w:rsidRPr="00310970" w:rsidRDefault="00C06B07" w:rsidP="004A623F">
      <w:pPr>
        <w:pStyle w:val="Footnote"/>
      </w:pPr>
      <w:r w:rsidRPr="00310970">
        <w:rPr>
          <w:rStyle w:val="FootnoteReference"/>
        </w:rPr>
        <w:footnoteRef/>
      </w:r>
      <w:r w:rsidRPr="00310970">
        <w:t xml:space="preserve"> Office of Best Practice Regulation, </w:t>
      </w:r>
      <w:r w:rsidRPr="00310970">
        <w:rPr>
          <w:i/>
        </w:rPr>
        <w:t>Regulatory Burden Measurement Framework</w:t>
      </w:r>
      <w:r w:rsidRPr="00310970">
        <w:t xml:space="preserve">, February 2016, p. 1, </w:t>
      </w:r>
      <w:r>
        <w:t>viewed</w:t>
      </w:r>
      <w:r w:rsidRPr="00310970">
        <w:t xml:space="preserve"> June 2016, </w:t>
      </w:r>
      <w:hyperlink r:id="rId67" w:history="1">
        <w:r w:rsidRPr="00310970">
          <w:rPr>
            <w:rStyle w:val="Hyperlink"/>
          </w:rPr>
          <w:t>https://ris.govspace.gov.au/files/2016/02/Regulatory-Burden-Measurement-framework-guidance-note.pdf</w:t>
        </w:r>
      </w:hyperlink>
      <w:r w:rsidRPr="0024558C">
        <w:rPr>
          <w:rStyle w:val="Hyperlink"/>
          <w:color w:val="auto"/>
          <w:u w:val="none"/>
        </w:rPr>
        <w:t>.</w:t>
      </w:r>
    </w:p>
  </w:footnote>
  <w:footnote w:id="841">
    <w:p w:rsidR="00C06B07" w:rsidRPr="00310970" w:rsidRDefault="00C06B07" w:rsidP="004A623F">
      <w:pPr>
        <w:pStyle w:val="Footnote"/>
      </w:pPr>
      <w:r w:rsidRPr="00310970">
        <w:rPr>
          <w:rStyle w:val="FootnoteReference"/>
        </w:rPr>
        <w:footnoteRef/>
      </w:r>
      <w:r w:rsidRPr="00310970">
        <w:t xml:space="preserve"> Office of Best Practice Regulation, </w:t>
      </w:r>
      <w:r w:rsidRPr="00310970">
        <w:rPr>
          <w:i/>
        </w:rPr>
        <w:t>Regulatory Burden Measurement Framework</w:t>
      </w:r>
      <w:r w:rsidRPr="00310970">
        <w:t>, February 2016, pp. 2-3.</w:t>
      </w:r>
    </w:p>
  </w:footnote>
  <w:footnote w:id="842">
    <w:p w:rsidR="00C06B07" w:rsidRPr="00310970" w:rsidRDefault="00C06B07" w:rsidP="004A623F">
      <w:pPr>
        <w:pStyle w:val="Footnote"/>
      </w:pPr>
      <w:r w:rsidRPr="00310970">
        <w:rPr>
          <w:rStyle w:val="FootnoteReference"/>
        </w:rPr>
        <w:footnoteRef/>
      </w:r>
      <w:r w:rsidRPr="00310970">
        <w:t xml:space="preserve"> Office of Best Practice Regulation, </w:t>
      </w:r>
      <w:r w:rsidRPr="00310970">
        <w:rPr>
          <w:i/>
        </w:rPr>
        <w:t>Regulatory Burden Measurement Framework</w:t>
      </w:r>
      <w:r w:rsidRPr="00310970">
        <w:t>, February 2016, pp. 4-5</w:t>
      </w:r>
    </w:p>
  </w:footnote>
  <w:footnote w:id="843">
    <w:p w:rsidR="00C06B07" w:rsidRPr="00310970" w:rsidRDefault="00C06B07" w:rsidP="004A623F">
      <w:pPr>
        <w:pStyle w:val="Footnote"/>
      </w:pPr>
      <w:r w:rsidRPr="00310970">
        <w:rPr>
          <w:rStyle w:val="FootnoteReference"/>
        </w:rPr>
        <w:footnoteRef/>
      </w:r>
      <w:r w:rsidRPr="00310970">
        <w:t xml:space="preserve"> Irrigation infrastructure operator is defined in section 7 of the </w:t>
      </w:r>
      <w:r w:rsidRPr="00310970">
        <w:rPr>
          <w:i/>
        </w:rPr>
        <w:t>Water Act 2007</w:t>
      </w:r>
      <w:r w:rsidRPr="00310970">
        <w:t>.</w:t>
      </w:r>
    </w:p>
  </w:footnote>
  <w:footnote w:id="844">
    <w:p w:rsidR="00C06B07" w:rsidRPr="00310970" w:rsidRDefault="00C06B07" w:rsidP="004A623F">
      <w:pPr>
        <w:pStyle w:val="Footnote"/>
      </w:pPr>
      <w:r w:rsidRPr="00310970">
        <w:rPr>
          <w:rStyle w:val="FootnoteReference"/>
        </w:rPr>
        <w:footnoteRef/>
      </w:r>
      <w:r w:rsidRPr="00310970">
        <w:t xml:space="preserve"> ‘Member-owned operator’ is defined in rule 5 of the Water Charge (Infrastructure) Rules 2010 (WCIR).</w:t>
      </w:r>
    </w:p>
  </w:footnote>
  <w:footnote w:id="845">
    <w:p w:rsidR="00C06B07" w:rsidRPr="00310970" w:rsidRDefault="00C06B07" w:rsidP="004A623F">
      <w:pPr>
        <w:pStyle w:val="Footnote"/>
      </w:pPr>
      <w:r w:rsidRPr="00310970">
        <w:rPr>
          <w:rStyle w:val="FootnoteReference"/>
        </w:rPr>
        <w:footnoteRef/>
      </w:r>
      <w:r w:rsidRPr="00310970">
        <w:t xml:space="preserve"> Office of Best Practice Regulation, </w:t>
      </w:r>
      <w:r w:rsidRPr="00310970">
        <w:rPr>
          <w:i/>
        </w:rPr>
        <w:t>Regulatory Burden Measurement Framework</w:t>
      </w:r>
      <w:r w:rsidRPr="00310970">
        <w:t xml:space="preserve">, February 2015, </w:t>
      </w:r>
      <w:r>
        <w:t>viewed</w:t>
      </w:r>
      <w:r w:rsidRPr="00310970">
        <w:t xml:space="preserve"> June 2016, </w:t>
      </w:r>
      <w:hyperlink r:id="rId68" w:history="1">
        <w:r w:rsidRPr="00310970">
          <w:rPr>
            <w:rStyle w:val="Hyperlink"/>
          </w:rPr>
          <w:t>https://www.dpmc.gov.au/sites/default/files/publications/005_Regulatory_Burden_Measurement_Framework_1.pdf</w:t>
        </w:r>
      </w:hyperlink>
      <w:r w:rsidRPr="0024558C">
        <w:rPr>
          <w:rStyle w:val="Hyperlink"/>
          <w:color w:val="auto"/>
          <w:u w:val="none"/>
        </w:rPr>
        <w:t>.</w:t>
      </w:r>
      <w:r w:rsidRPr="0024558C">
        <w:t xml:space="preserve"> </w:t>
      </w:r>
    </w:p>
  </w:footnote>
  <w:footnote w:id="846">
    <w:p w:rsidR="00C06B07" w:rsidRPr="00310970" w:rsidRDefault="00C06B07" w:rsidP="004A623F">
      <w:pPr>
        <w:pStyle w:val="Footnote"/>
      </w:pPr>
      <w:r w:rsidRPr="00310970">
        <w:rPr>
          <w:rStyle w:val="FootnoteReference"/>
        </w:rPr>
        <w:footnoteRef/>
      </w:r>
      <w:r w:rsidRPr="00310970">
        <w:t xml:space="preserve"> Note: Individual cost categories include start-up costs that are specific to particular amendments. This final category includes general start-up costs not elsewhere included. A number of proposed relatively minor amendments will not result in any measurable change in regulatory burden. For example, those that increase clarity or align rule drafting with the practical enforcement of the rule rather than any substantial change to the intent or requirements under the current rules. The ACCC has nonetheless included some ‘start up’ costs relating to operators’ familiarising themselves with these changes. </w:t>
      </w:r>
    </w:p>
  </w:footnote>
  <w:footnote w:id="847">
    <w:p w:rsidR="00C06B07" w:rsidRPr="00310970" w:rsidRDefault="00C06B07" w:rsidP="004A623F">
      <w:pPr>
        <w:pStyle w:val="Footnote"/>
      </w:pPr>
      <w:r w:rsidRPr="00310970">
        <w:rPr>
          <w:rStyle w:val="FootnoteReference"/>
        </w:rPr>
        <w:footnoteRef/>
      </w:r>
      <w:r w:rsidRPr="00310970">
        <w:t xml:space="preserve"> As discussed in section 4.3.1, the ACCC’s advice is that the Water Charge (Infrastructure) Rules 2010 (WCIR), the Water Charge (Termination Fees) Rules 2009 (WCTFR) and the Water Charge (Planning and Management Information) Rules 2010 (WCPMIR) be combined into a single instrument.</w:t>
      </w:r>
    </w:p>
  </w:footnote>
  <w:footnote w:id="848">
    <w:p w:rsidR="00C06B07" w:rsidRPr="00310970" w:rsidRDefault="00C06B07" w:rsidP="004A623F">
      <w:pPr>
        <w:pStyle w:val="Footnote"/>
      </w:pPr>
      <w:r w:rsidRPr="00310970">
        <w:rPr>
          <w:rStyle w:val="FootnoteReference"/>
        </w:rPr>
        <w:footnoteRef/>
      </w:r>
      <w:r w:rsidRPr="00310970">
        <w:t xml:space="preserve"> Queensland Farmers’ Federation, Draft Advice Submission, March 2016, p.7.</w:t>
      </w:r>
    </w:p>
  </w:footnote>
  <w:footnote w:id="849">
    <w:p w:rsidR="00C06B07" w:rsidRPr="00310970" w:rsidRDefault="00C06B07" w:rsidP="004A623F">
      <w:pPr>
        <w:pStyle w:val="Footnote"/>
      </w:pPr>
      <w:r w:rsidRPr="00310970">
        <w:rPr>
          <w:rStyle w:val="FootnoteReference"/>
        </w:rPr>
        <w:footnoteRef/>
      </w:r>
      <w:r w:rsidRPr="00310970">
        <w:t xml:space="preserve"> Also, subsection 91(3) of the </w:t>
      </w:r>
      <w:r w:rsidRPr="00310970">
        <w:rPr>
          <w:i/>
        </w:rPr>
        <w:t>Water Act 2007</w:t>
      </w:r>
      <w:r w:rsidRPr="00310970">
        <w:t xml:space="preserve"> exempts from the application of the rules charges in respect of urban water supply activities beyond the point at which the water has been removed from a Basin water resource.</w:t>
      </w:r>
    </w:p>
  </w:footnote>
  <w:footnote w:id="850">
    <w:p w:rsidR="00C06B07" w:rsidRPr="00310970" w:rsidRDefault="00C06B07" w:rsidP="004A623F">
      <w:pPr>
        <w:pStyle w:val="Footnote"/>
      </w:pPr>
      <w:r w:rsidRPr="00310970">
        <w:rPr>
          <w:rStyle w:val="FootnoteReference"/>
        </w:rPr>
        <w:footnoteRef/>
      </w:r>
      <w:r w:rsidRPr="00310970">
        <w:t xml:space="preserve"> Office of Best Practice Regulation, </w:t>
      </w:r>
      <w:r w:rsidRPr="00310970">
        <w:rPr>
          <w:i/>
        </w:rPr>
        <w:t>Regulatory Burden Measurement Framework</w:t>
      </w:r>
      <w:r w:rsidRPr="00310970">
        <w:t>, February 2016, pp.1-2.</w:t>
      </w:r>
    </w:p>
  </w:footnote>
  <w:footnote w:id="851">
    <w:p w:rsidR="00C06B07" w:rsidRPr="00310970" w:rsidRDefault="00C06B07" w:rsidP="00EF587D">
      <w:pPr>
        <w:pStyle w:val="Footnote"/>
      </w:pPr>
      <w:r w:rsidRPr="00310970">
        <w:rPr>
          <w:rStyle w:val="FootnoteReference"/>
        </w:rPr>
        <w:footnoteRef/>
      </w:r>
      <w:r w:rsidRPr="00310970">
        <w:t xml:space="preserve"> A prudent discount is where an infrastructure operator offers an infrastructure service at a discounted rate to a particular customer or a group of customers  which can reasonably be expected to result in charges for the infrastructure operator’s other customers being lower than they otherwise would have been. See section 5.3.1 for full details.  </w:t>
      </w:r>
    </w:p>
  </w:footnote>
  <w:footnote w:id="852">
    <w:p w:rsidR="00C06B07" w:rsidRPr="00310970" w:rsidRDefault="00C06B07" w:rsidP="004A623F">
      <w:pPr>
        <w:pStyle w:val="Footnote"/>
      </w:pPr>
      <w:r w:rsidRPr="00310970">
        <w:rPr>
          <w:rStyle w:val="FootnoteReference"/>
        </w:rPr>
        <w:footnoteRef/>
      </w:r>
      <w:r w:rsidRPr="00310970">
        <w:t xml:space="preserve"> WaterNSW, Draft Advice Submission, March 2016, pp.1-2.</w:t>
      </w:r>
    </w:p>
  </w:footnote>
  <w:footnote w:id="853">
    <w:p w:rsidR="00C06B07" w:rsidRPr="00310970" w:rsidRDefault="00C06B07" w:rsidP="004A623F">
      <w:pPr>
        <w:pStyle w:val="Footnote"/>
      </w:pPr>
      <w:r w:rsidRPr="00310970">
        <w:rPr>
          <w:rStyle w:val="FootnoteReference"/>
        </w:rPr>
        <w:footnoteRef/>
      </w:r>
      <w:r w:rsidRPr="00310970">
        <w:t xml:space="preserve"> National Irrigators’ Council, Draft Advice Submission, March 2016, p.17.</w:t>
      </w:r>
    </w:p>
  </w:footnote>
  <w:footnote w:id="854">
    <w:p w:rsidR="00C06B07" w:rsidRPr="00310970" w:rsidRDefault="00C06B07" w:rsidP="004A623F">
      <w:pPr>
        <w:pStyle w:val="Footnote"/>
      </w:pPr>
      <w:r w:rsidRPr="00310970">
        <w:rPr>
          <w:rStyle w:val="FootnoteReference"/>
        </w:rPr>
        <w:footnoteRef/>
      </w:r>
      <w:r w:rsidRPr="00310970">
        <w:t xml:space="preserve"> See section 1.2, ‘Consultation process and timeline’.</w:t>
      </w:r>
    </w:p>
  </w:footnote>
  <w:footnote w:id="855">
    <w:p w:rsidR="00C06B07" w:rsidRPr="00310970" w:rsidRDefault="00C06B07" w:rsidP="004A623F">
      <w:pPr>
        <w:pStyle w:val="Footnote"/>
      </w:pPr>
      <w:r w:rsidRPr="00310970">
        <w:rPr>
          <w:rStyle w:val="FootnoteReference"/>
        </w:rPr>
        <w:footnoteRef/>
      </w:r>
      <w:r w:rsidRPr="00310970">
        <w:t xml:space="preserve"> See subrule 8(1) of  the WCIR</w:t>
      </w:r>
    </w:p>
  </w:footnote>
  <w:footnote w:id="856">
    <w:p w:rsidR="00C06B07" w:rsidRPr="00310970" w:rsidRDefault="00C06B07" w:rsidP="004A623F">
      <w:pPr>
        <w:pStyle w:val="Footnote"/>
      </w:pPr>
      <w:r w:rsidRPr="00310970">
        <w:rPr>
          <w:rStyle w:val="FootnoteReference"/>
        </w:rPr>
        <w:footnoteRef/>
      </w:r>
      <w:r w:rsidRPr="00310970">
        <w:t xml:space="preserve"> See rule 17 of the WCIR.</w:t>
      </w:r>
    </w:p>
  </w:footnote>
  <w:footnote w:id="857">
    <w:p w:rsidR="00C06B07" w:rsidRPr="00310970" w:rsidRDefault="00C06B07" w:rsidP="004A623F">
      <w:pPr>
        <w:pStyle w:val="Footnote"/>
      </w:pPr>
      <w:r w:rsidRPr="00310970">
        <w:rPr>
          <w:rStyle w:val="FootnoteReference"/>
        </w:rPr>
        <w:footnoteRef/>
      </w:r>
      <w:r w:rsidRPr="00310970">
        <w:t xml:space="preserve"> This reflects the assumption that: </w:t>
      </w:r>
    </w:p>
    <w:p w:rsidR="00C06B07" w:rsidRPr="00310970" w:rsidRDefault="00C06B07" w:rsidP="00A82DE6">
      <w:pPr>
        <w:pStyle w:val="FNBullet"/>
        <w:rPr>
          <w:rFonts w:cs="Times New Roman"/>
        </w:rPr>
      </w:pPr>
      <w:r w:rsidRPr="00310970">
        <w:rPr>
          <w:rFonts w:cs="Times New Roman"/>
        </w:rPr>
        <w:t>on average 80 per cent of the postage and printing costs of a full NSP cycle would be borne in the first year of planning, with the remainder occurring in the 2</w:t>
      </w:r>
      <w:r w:rsidRPr="00310970">
        <w:rPr>
          <w:rFonts w:cs="Times New Roman"/>
          <w:vertAlign w:val="superscript"/>
        </w:rPr>
        <w:t>nd</w:t>
      </w:r>
      <w:r w:rsidRPr="00310970">
        <w:rPr>
          <w:rFonts w:cs="Times New Roman"/>
        </w:rPr>
        <w:t xml:space="preserve"> year of planning and during the period for which the NSP is in effect and  </w:t>
      </w:r>
    </w:p>
    <w:p w:rsidR="00C06B07" w:rsidRPr="00310970" w:rsidRDefault="00C06B07" w:rsidP="00A82DE6">
      <w:pPr>
        <w:pStyle w:val="FNBullet"/>
        <w:rPr>
          <w:rFonts w:cs="Times New Roman"/>
        </w:rPr>
      </w:pPr>
      <w:r w:rsidRPr="00310970">
        <w:rPr>
          <w:rFonts w:cs="Times New Roman"/>
        </w:rPr>
        <w:t>over a 10 year period, two such NSP planning cycles would occur.</w:t>
      </w:r>
    </w:p>
  </w:footnote>
  <w:footnote w:id="858">
    <w:p w:rsidR="00C06B07" w:rsidRPr="00310970" w:rsidRDefault="00C06B07" w:rsidP="004A623F">
      <w:pPr>
        <w:pStyle w:val="Footnote"/>
      </w:pPr>
      <w:r w:rsidRPr="00310970">
        <w:rPr>
          <w:rStyle w:val="FootnoteReference"/>
        </w:rPr>
        <w:footnoteRef/>
      </w:r>
      <w:r w:rsidRPr="00310970">
        <w:t xml:space="preserve"> National Irrigators’ Council, </w:t>
      </w:r>
      <w:r>
        <w:t>Draft Advice Submission</w:t>
      </w:r>
      <w:r w:rsidRPr="00310970">
        <w:t>, March 2016</w:t>
      </w:r>
      <w:r w:rsidRPr="00310970">
        <w:rPr>
          <w:i/>
        </w:rPr>
        <w:t xml:space="preserve">, </w:t>
      </w:r>
      <w:r w:rsidRPr="00310970">
        <w:t>p.17.</w:t>
      </w:r>
    </w:p>
  </w:footnote>
  <w:footnote w:id="859">
    <w:p w:rsidR="00C06B07" w:rsidRPr="00310970" w:rsidRDefault="00C06B07" w:rsidP="004A623F">
      <w:pPr>
        <w:pStyle w:val="Footnote"/>
      </w:pPr>
      <w:r w:rsidRPr="00310970">
        <w:rPr>
          <w:rStyle w:val="FootnoteReference"/>
        </w:rPr>
        <w:footnoteRef/>
      </w:r>
      <w:r w:rsidRPr="00310970">
        <w:t xml:space="preserve"> Hours shown is per operator </w:t>
      </w:r>
      <w:r w:rsidRPr="00310970">
        <w:rPr>
          <w:i/>
        </w:rPr>
        <w:t>reduction</w:t>
      </w:r>
      <w:r w:rsidRPr="00310970">
        <w:t xml:space="preserve"> in NSP planning hours over a 10 year period, based on an assumption of 900 hours per operator per NSP (=1800 hours per operator over a 10 year period), and that 39 per cent of the total amount of hours (i.e.700 hours) will still be incurred due to an assumed need to incur some NSP planning costs prior to the assumed repeal of Part 5.</w:t>
      </w:r>
    </w:p>
  </w:footnote>
  <w:footnote w:id="860">
    <w:p w:rsidR="00C06B07" w:rsidRPr="00310970" w:rsidRDefault="00C06B07" w:rsidP="004A623F">
      <w:pPr>
        <w:pStyle w:val="Footnote"/>
      </w:pPr>
      <w:r w:rsidRPr="00310970">
        <w:rPr>
          <w:rStyle w:val="FootnoteReference"/>
        </w:rPr>
        <w:footnoteRef/>
      </w:r>
      <w:r w:rsidRPr="00310970">
        <w:t xml:space="preserve"> Hours shown is per operator </w:t>
      </w:r>
      <w:r w:rsidRPr="00310970">
        <w:rPr>
          <w:i/>
        </w:rPr>
        <w:t>reduction</w:t>
      </w:r>
      <w:r w:rsidRPr="00310970">
        <w:t xml:space="preserve"> in NSP planning hours over a 10 year period, based on an assumption of 35 hours per operator per NSP (=70 hours per operator over a 10 year period), and that 40 per cent of the total amount of hours (i.e. 28  hours) will still be incurred due to an assumed need to incur some NSP planning costs prior to the assumed repeal of Part 5.</w:t>
      </w:r>
    </w:p>
  </w:footnote>
  <w:footnote w:id="861">
    <w:p w:rsidR="00C06B07" w:rsidRPr="00310970" w:rsidRDefault="00C06B07" w:rsidP="004A623F">
      <w:pPr>
        <w:pStyle w:val="Footnote"/>
      </w:pPr>
      <w:r w:rsidRPr="00310970">
        <w:rPr>
          <w:rStyle w:val="FootnoteReference"/>
        </w:rPr>
        <w:footnoteRef/>
      </w:r>
      <w:r w:rsidRPr="00310970">
        <w:t xml:space="preserve"> WCIR, rule 23.</w:t>
      </w:r>
    </w:p>
  </w:footnote>
  <w:footnote w:id="862">
    <w:p w:rsidR="00C06B07" w:rsidRPr="00310970" w:rsidRDefault="00C06B07" w:rsidP="004A623F">
      <w:pPr>
        <w:pStyle w:val="Footnote"/>
      </w:pPr>
      <w:r w:rsidRPr="00310970">
        <w:rPr>
          <w:rStyle w:val="FootnoteReference"/>
        </w:rPr>
        <w:footnoteRef/>
      </w:r>
      <w:r w:rsidRPr="00310970">
        <w:t xml:space="preserve"> National Irrigators’ Council, </w:t>
      </w:r>
      <w:r>
        <w:t>Draft Advice Submission</w:t>
      </w:r>
      <w:r w:rsidRPr="00310970">
        <w:t>, March 2016, p.14.</w:t>
      </w:r>
    </w:p>
  </w:footnote>
  <w:footnote w:id="863">
    <w:p w:rsidR="00C06B07" w:rsidRPr="00310970" w:rsidRDefault="00C06B07" w:rsidP="004A623F">
      <w:pPr>
        <w:pStyle w:val="Footnote"/>
      </w:pPr>
      <w:r w:rsidRPr="00310970">
        <w:rPr>
          <w:rStyle w:val="FootnoteReference"/>
        </w:rPr>
        <w:footnoteRef/>
      </w:r>
      <w:r w:rsidRPr="00310970">
        <w:t xml:space="preserve"> Assumes 50 per cent of terminations include termination of rights of access relating to dedicated infrastructure (e.g. termination of outlets / meters). Assumption based on data reported by operators to the ACCC for 2009-10 to 2013-14.</w:t>
      </w:r>
    </w:p>
  </w:footnote>
  <w:footnote w:id="864">
    <w:p w:rsidR="00C06B07" w:rsidRPr="00310970" w:rsidRDefault="00C06B07" w:rsidP="004A623F">
      <w:pPr>
        <w:pStyle w:val="Footnote"/>
      </w:pPr>
      <w:r w:rsidRPr="00310970">
        <w:rPr>
          <w:rStyle w:val="FootnoteReference"/>
        </w:rPr>
        <w:footnoteRef/>
      </w:r>
      <w:r w:rsidRPr="00310970">
        <w:t xml:space="preserve"> These four water authorities (Goulburn-Murray Water, Lower Murray Water, Coliban Water and Goulburn Wimmera Mallee Water) are more widely considered to be infrastructure operators that determine planning and management charges.</w:t>
      </w:r>
    </w:p>
  </w:footnote>
  <w:footnote w:id="865">
    <w:p w:rsidR="00C06B07" w:rsidRPr="00310970" w:rsidRDefault="00C06B07" w:rsidP="004A623F">
      <w:pPr>
        <w:pStyle w:val="Footnote"/>
      </w:pPr>
      <w:r w:rsidRPr="00310970">
        <w:rPr>
          <w:rStyle w:val="FootnoteReference"/>
        </w:rPr>
        <w:footnoteRef/>
      </w:r>
      <w:r w:rsidRPr="00310970">
        <w:t xml:space="preserve"> The information set out here summarises the requirements of the WCPMIR. You can obtain a full version of the WCPMIR at: </w:t>
      </w:r>
      <w:hyperlink r:id="rId69" w:history="1">
        <w:r w:rsidRPr="00310970">
          <w:rPr>
            <w:rStyle w:val="Hyperlink"/>
          </w:rPr>
          <w:t>http://www.comlaw.gov.au/Details/F2010L02133</w:t>
        </w:r>
      </w:hyperlink>
      <w:r w:rsidRPr="0024558C">
        <w:rPr>
          <w:rStyle w:val="Hyperlink"/>
          <w:color w:val="auto"/>
          <w:u w:val="none"/>
        </w:rPr>
        <w:t>.</w:t>
      </w:r>
    </w:p>
  </w:footnote>
  <w:footnote w:id="866">
    <w:p w:rsidR="00C06B07" w:rsidRPr="00310970" w:rsidRDefault="00C06B07" w:rsidP="003B6BC1">
      <w:pPr>
        <w:pStyle w:val="FootnoteText"/>
        <w:tabs>
          <w:tab w:val="left" w:pos="142"/>
        </w:tabs>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This only accounts for change in regulatory burden for planning and management charges. Publication costs for other infrastructure charges are included in section 9.1.2.</w:t>
      </w:r>
    </w:p>
  </w:footnote>
  <w:footnote w:id="867">
    <w:p w:rsidR="00C06B07" w:rsidRPr="00310970" w:rsidRDefault="00C06B07" w:rsidP="00557E2D">
      <w:pPr>
        <w:pStyle w:val="FootnoteText"/>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For example, the National Irrigators’ Council (NIC) considered that the new rules would necessitate each operator substantially restructuring their charging arrangements to comply with the new rules. The NIC’s view was that this would “in many cases… involve changing the bases on which charges are levied or calculated. Reviews of an operator’s charging methodology are significant exercises, which can take months of work at the highest levels in an operator’s organisation, together with external professional advice”. The NIC considered that the ACCC was “seriously underestimating the initial and ongoing compliance burden”. As an example, the NIC stated that Central Irrigation Trust had spent $60 000 in assessing the ACCC’s Draft Advice in its attempt to understand the impact on CIT if proposals were implemented. The NIC stated,  “[t]his [estimate] does not include any of the actual implementation costs that would be incurred if the ACCC’s proposals were to become law”. National Irrigators’ Council, </w:t>
      </w:r>
      <w:r>
        <w:rPr>
          <w:rFonts w:cs="Times New Roman"/>
          <w:sz w:val="16"/>
          <w:szCs w:val="16"/>
        </w:rPr>
        <w:t>Draft Advice Submission</w:t>
      </w:r>
      <w:r w:rsidRPr="00310970">
        <w:rPr>
          <w:rFonts w:cs="Times New Roman"/>
          <w:sz w:val="16"/>
          <w:szCs w:val="16"/>
        </w:rPr>
        <w:t>, March 2016</w:t>
      </w:r>
      <w:r w:rsidRPr="00310970">
        <w:rPr>
          <w:rFonts w:cs="Times New Roman"/>
          <w:i/>
          <w:sz w:val="16"/>
          <w:szCs w:val="16"/>
        </w:rPr>
        <w:t xml:space="preserve">, </w:t>
      </w:r>
      <w:r w:rsidRPr="00310970">
        <w:rPr>
          <w:rFonts w:cs="Times New Roman"/>
          <w:sz w:val="16"/>
          <w:szCs w:val="16"/>
        </w:rPr>
        <w:t>p.14.</w:t>
      </w:r>
    </w:p>
  </w:footnote>
  <w:footnote w:id="868">
    <w:p w:rsidR="00C06B07" w:rsidRPr="00310970" w:rsidRDefault="00C06B07" w:rsidP="00557E2D">
      <w:pPr>
        <w:pStyle w:val="FootnoteText"/>
        <w:tabs>
          <w:tab w:val="left" w:pos="142"/>
        </w:tabs>
        <w:ind w:left="142" w:hanging="142"/>
        <w:rPr>
          <w:rFonts w:cs="Times New Roman"/>
          <w:sz w:val="16"/>
          <w:szCs w:val="16"/>
        </w:rPr>
      </w:pPr>
      <w:r w:rsidRPr="00310970">
        <w:rPr>
          <w:rStyle w:val="FootnoteReference"/>
          <w:rFonts w:cs="Times New Roman"/>
          <w:sz w:val="16"/>
          <w:szCs w:val="16"/>
        </w:rPr>
        <w:footnoteRef/>
      </w:r>
      <w:r w:rsidRPr="00310970">
        <w:rPr>
          <w:rFonts w:cs="Times New Roman"/>
          <w:sz w:val="16"/>
          <w:szCs w:val="16"/>
        </w:rPr>
        <w:t xml:space="preserve"> National Irrigators’ Council, </w:t>
      </w:r>
      <w:r>
        <w:rPr>
          <w:rFonts w:cs="Times New Roman"/>
          <w:sz w:val="16"/>
          <w:szCs w:val="16"/>
        </w:rPr>
        <w:t>Draft Advice Submission</w:t>
      </w:r>
      <w:r w:rsidRPr="00310970">
        <w:rPr>
          <w:rFonts w:cs="Times New Roman"/>
          <w:i/>
          <w:sz w:val="16"/>
          <w:szCs w:val="16"/>
        </w:rPr>
        <w:t xml:space="preserve">, </w:t>
      </w:r>
      <w:r w:rsidRPr="00310970">
        <w:rPr>
          <w:rFonts w:cs="Times New Roman"/>
          <w:sz w:val="16"/>
          <w:szCs w:val="16"/>
        </w:rPr>
        <w:t>March 2016</w:t>
      </w:r>
      <w:r w:rsidRPr="00310970">
        <w:rPr>
          <w:rFonts w:cs="Times New Roman"/>
          <w:i/>
          <w:sz w:val="16"/>
          <w:szCs w:val="16"/>
        </w:rPr>
        <w:t xml:space="preserve">, </w:t>
      </w:r>
      <w:r w:rsidRPr="00310970">
        <w:rPr>
          <w:rFonts w:cs="Times New Roman"/>
          <w:sz w:val="16"/>
          <w:szCs w:val="16"/>
        </w:rPr>
        <w:t>p.16.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07" w:rsidRDefault="00C06B07" w:rsidP="00E260C2">
    <w:pPr>
      <w:pStyle w:val="Heading1"/>
      <w:numPr>
        <w:ilvl w:val="0"/>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07" w:rsidRPr="00D65247" w:rsidRDefault="00C06B07" w:rsidP="00D652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15:restartNumberingAfterBreak="0">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15:restartNumberingAfterBreak="0">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15:restartNumberingAfterBreak="0">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15:restartNumberingAfterBreak="0">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B644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15:restartNumberingAfterBreak="0">
    <w:nsid w:val="01A018E0"/>
    <w:multiLevelType w:val="hybridMultilevel"/>
    <w:tmpl w:val="7C649BB8"/>
    <w:lvl w:ilvl="0" w:tplc="3FC60D2E">
      <w:start w:val="1"/>
      <w:numFmt w:val="lowerLetter"/>
      <w:lvlText w:val="(%1)"/>
      <w:lvlJc w:val="left"/>
      <w:pPr>
        <w:ind w:left="720" w:hanging="360"/>
      </w:pPr>
      <w:rPr>
        <w:rFonts w:hint="default"/>
      </w:rPr>
    </w:lvl>
    <w:lvl w:ilvl="1" w:tplc="3FC60D2E">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2F46C7E"/>
    <w:multiLevelType w:val="hybridMultilevel"/>
    <w:tmpl w:val="753C0FF8"/>
    <w:lvl w:ilvl="0" w:tplc="8DF468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1E2FCD"/>
    <w:multiLevelType w:val="hybridMultilevel"/>
    <w:tmpl w:val="051EBF9E"/>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15:restartNumberingAfterBreak="0">
    <w:nsid w:val="04347E2C"/>
    <w:multiLevelType w:val="hybridMultilevel"/>
    <w:tmpl w:val="C2C47916"/>
    <w:lvl w:ilvl="0" w:tplc="CC14B4B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8644D8"/>
    <w:multiLevelType w:val="hybridMultilevel"/>
    <w:tmpl w:val="FAEE1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BA7157"/>
    <w:multiLevelType w:val="hybridMultilevel"/>
    <w:tmpl w:val="55621A62"/>
    <w:lvl w:ilvl="0" w:tplc="3FC60D2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572152F"/>
    <w:multiLevelType w:val="hybridMultilevel"/>
    <w:tmpl w:val="18EA2CE8"/>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9715620"/>
    <w:multiLevelType w:val="hybridMultilevel"/>
    <w:tmpl w:val="18EA2CE8"/>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0A7605A5"/>
    <w:multiLevelType w:val="hybridMultilevel"/>
    <w:tmpl w:val="50D6B896"/>
    <w:lvl w:ilvl="0" w:tplc="02302B52">
      <w:start w:val="1"/>
      <w:numFmt w:val="lowerLetter"/>
      <w:lvlText w:val="(%1)"/>
      <w:lvlJc w:val="left"/>
      <w:pPr>
        <w:ind w:left="1040" w:hanging="360"/>
      </w:pPr>
      <w:rPr>
        <w:rFonts w:hint="default"/>
        <w:b w:val="0"/>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15:restartNumberingAfterBreak="0">
    <w:nsid w:val="0E13132F"/>
    <w:multiLevelType w:val="hybridMultilevel"/>
    <w:tmpl w:val="FCDC1740"/>
    <w:lvl w:ilvl="0" w:tplc="CC14B4B6">
      <w:start w:val="1"/>
      <w:numFmt w:val="lowerLetter"/>
      <w:lvlText w:val="(%1)"/>
      <w:lvlJc w:val="left"/>
      <w:pPr>
        <w:ind w:left="720" w:hanging="360"/>
      </w:pPr>
      <w:rPr>
        <w:rFonts w:hint="default"/>
      </w:rPr>
    </w:lvl>
    <w:lvl w:ilvl="1" w:tplc="66D44FE2">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FFC6D10"/>
    <w:multiLevelType w:val="hybridMultilevel"/>
    <w:tmpl w:val="8E6E9AD6"/>
    <w:lvl w:ilvl="0" w:tplc="66D44F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22" w15:restartNumberingAfterBreak="0">
    <w:nsid w:val="13A14AA5"/>
    <w:multiLevelType w:val="hybridMultilevel"/>
    <w:tmpl w:val="A9A48CCC"/>
    <w:lvl w:ilvl="0" w:tplc="3FC60D2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58F32EB"/>
    <w:multiLevelType w:val="hybridMultilevel"/>
    <w:tmpl w:val="57689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639368A"/>
    <w:multiLevelType w:val="hybridMultilevel"/>
    <w:tmpl w:val="6EDC4A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E8A6362">
      <w:start w:val="3"/>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6" w15:restartNumberingAfterBreak="0">
    <w:nsid w:val="1C6C235E"/>
    <w:multiLevelType w:val="hybridMultilevel"/>
    <w:tmpl w:val="1AF45D1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1D0F0151"/>
    <w:multiLevelType w:val="hybridMultilevel"/>
    <w:tmpl w:val="1E4C9D4E"/>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1E586078"/>
    <w:multiLevelType w:val="hybridMultilevel"/>
    <w:tmpl w:val="5A500FCC"/>
    <w:lvl w:ilvl="0" w:tplc="4B4058BA">
      <w:start w:val="1"/>
      <w:numFmt w:val="decimal"/>
      <w:lvlText w:val="(%1)"/>
      <w:lvlJc w:val="left"/>
      <w:pPr>
        <w:ind w:left="720" w:hanging="360"/>
      </w:pPr>
      <w:rPr>
        <w:rFonts w:asciiTheme="minorHAnsi" w:eastAsia="Times New Roman" w:hAnsiTheme="minorHAnsi" w:cs="Times New Roman" w:hint="default"/>
        <w:b/>
        <w:sz w:val="22"/>
        <w:szCs w:val="22"/>
      </w:rPr>
    </w:lvl>
    <w:lvl w:ilvl="1" w:tplc="1FB82062">
      <w:start w:val="1"/>
      <w:numFmt w:val="bullet"/>
      <w:lvlText w:val=""/>
      <w:lvlJc w:val="left"/>
      <w:pPr>
        <w:ind w:left="1440" w:hanging="360"/>
      </w:pPr>
      <w:rPr>
        <w:rFonts w:ascii="Symbol" w:hAnsi="Symbol" w:hint="default"/>
        <w:sz w:val="16"/>
        <w:szCs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B1344D"/>
    <w:multiLevelType w:val="hybridMultilevel"/>
    <w:tmpl w:val="5B06810E"/>
    <w:lvl w:ilvl="0" w:tplc="CC48A096">
      <w:start w:val="1"/>
      <w:numFmt w:val="bullet"/>
      <w:pStyle w:val="TableBulletLv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EC806FE"/>
    <w:multiLevelType w:val="hybridMultilevel"/>
    <w:tmpl w:val="9D9264A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1EE90729"/>
    <w:multiLevelType w:val="hybridMultilevel"/>
    <w:tmpl w:val="9EE68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EF42C5E"/>
    <w:multiLevelType w:val="hybridMultilevel"/>
    <w:tmpl w:val="8ADA42A6"/>
    <w:lvl w:ilvl="0" w:tplc="39248092">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1F1C27F4"/>
    <w:multiLevelType w:val="hybridMultilevel"/>
    <w:tmpl w:val="E8D00BB4"/>
    <w:lvl w:ilvl="0" w:tplc="0C090001">
      <w:start w:val="1"/>
      <w:numFmt w:val="bullet"/>
      <w:lvlText w:val=""/>
      <w:lvlJc w:val="left"/>
      <w:pPr>
        <w:ind w:left="1080" w:hanging="360"/>
      </w:pPr>
      <w:rPr>
        <w:rFonts w:ascii="Symbol" w:hAnsi="Symbol" w:hint="default"/>
      </w:rPr>
    </w:lvl>
    <w:lvl w:ilvl="1" w:tplc="70DE6FA2">
      <w:start w:val="1"/>
      <w:numFmt w:val="bullet"/>
      <w:lvlText w:val="o"/>
      <w:lvlJc w:val="left"/>
      <w:pPr>
        <w:ind w:left="1800" w:hanging="360"/>
      </w:pPr>
      <w:rPr>
        <w:rFonts w:ascii="Courier New" w:hAnsi="Courier New" w:cs="Courier New" w:hint="default"/>
        <w:sz w:val="18"/>
      </w:rPr>
    </w:lvl>
    <w:lvl w:ilvl="2" w:tplc="6B9CC9FA">
      <w:start w:val="1"/>
      <w:numFmt w:val="bullet"/>
      <w:pStyle w:val="Lvl3Bulletpoint"/>
      <w:lvlText w:val=""/>
      <w:lvlJc w:val="left"/>
      <w:pPr>
        <w:ind w:left="2520" w:hanging="360"/>
      </w:pPr>
      <w:rPr>
        <w:rFonts w:ascii="Wingdings" w:hAnsi="Wingdings" w:hint="default"/>
        <w:sz w:val="20"/>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200066A8"/>
    <w:multiLevelType w:val="hybridMultilevel"/>
    <w:tmpl w:val="1766F212"/>
    <w:lvl w:ilvl="0" w:tplc="4D288A76">
      <w:start w:val="1"/>
      <w:numFmt w:val="bullet"/>
      <w:pStyle w:val="FNBullet"/>
      <w:lvlText w:val=""/>
      <w:lvlJc w:val="left"/>
      <w:pPr>
        <w:ind w:left="1077" w:hanging="360"/>
      </w:pPr>
      <w:rPr>
        <w:rFonts w:ascii="Symbol" w:hAnsi="Symbol" w:hint="default"/>
        <w:sz w:val="16"/>
        <w:szCs w:val="16"/>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2110239B"/>
    <w:multiLevelType w:val="multilevel"/>
    <w:tmpl w:val="63288B42"/>
    <w:lvl w:ilvl="0">
      <w:start w:val="1"/>
      <w:numFmt w:val="bullet"/>
      <w:lvlText w:val=""/>
      <w:lvlJc w:val="left"/>
      <w:pPr>
        <w:ind w:left="360" w:hanging="360"/>
      </w:pPr>
      <w:rPr>
        <w:rFonts w:ascii="Symbol" w:hAnsi="Symbol" w:hint="default"/>
      </w:rPr>
    </w:lvl>
    <w:lvl w:ilvl="1">
      <w:start w:val="1"/>
      <w:numFmt w:val="bullet"/>
      <w:lvlText w:val="o"/>
      <w:lvlJc w:val="left"/>
      <w:pPr>
        <w:ind w:left="716" w:hanging="432"/>
      </w:pPr>
      <w:rPr>
        <w:rFonts w:ascii="Courier New" w:hAnsi="Courier New" w:cs="Courier New" w:hint="default"/>
        <w:sz w:val="18"/>
      </w:rPr>
    </w:lvl>
    <w:lvl w:ilvl="2">
      <w:start w:val="1"/>
      <w:numFmt w:val="bullet"/>
      <w:lvlText w:val=""/>
      <w:lvlJc w:val="left"/>
      <w:pPr>
        <w:ind w:left="1224" w:hanging="504"/>
      </w:pPr>
      <w:rPr>
        <w:rFonts w:ascii="Wingdings" w:hAnsi="Wingdings" w:hint="default"/>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24E3192"/>
    <w:multiLevelType w:val="hybridMultilevel"/>
    <w:tmpl w:val="44A619F4"/>
    <w:lvl w:ilvl="0" w:tplc="FBC69222">
      <w:start w:val="1"/>
      <w:numFmt w:val="bullet"/>
      <w:pStyle w:val="Ruleadvicebulletlevel2"/>
      <w:lvlText w:val="o"/>
      <w:lvlJc w:val="left"/>
      <w:pPr>
        <w:ind w:left="1146" w:hanging="360"/>
      </w:pPr>
      <w:rPr>
        <w:rFonts w:ascii="Courier New" w:hAnsi="Courier New" w:cs="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8" w15:restartNumberingAfterBreak="0">
    <w:nsid w:val="235A7A3E"/>
    <w:multiLevelType w:val="hybridMultilevel"/>
    <w:tmpl w:val="61D4562A"/>
    <w:lvl w:ilvl="0" w:tplc="2598A8A0">
      <w:start w:val="1"/>
      <w:numFmt w:val="bullet"/>
      <w:pStyle w:val="TableBulletLvl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25A2689F"/>
    <w:multiLevelType w:val="hybridMultilevel"/>
    <w:tmpl w:val="AAF0674C"/>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7B1B9C"/>
    <w:multiLevelType w:val="hybridMultilevel"/>
    <w:tmpl w:val="B756FE8C"/>
    <w:lvl w:ilvl="0" w:tplc="DF985C34">
      <w:numFmt w:val="bullet"/>
      <w:lvlText w:val="-"/>
      <w:lvlJc w:val="left"/>
      <w:pPr>
        <w:ind w:left="720" w:hanging="360"/>
      </w:pPr>
      <w:rPr>
        <w:rFonts w:ascii="Times New Roman" w:eastAsia="Times New Roman" w:hAnsi="Times New Roman" w:cs="Times New Roman" w:hint="default"/>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A4B3C17"/>
    <w:multiLevelType w:val="hybridMultilevel"/>
    <w:tmpl w:val="EC8A1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291123"/>
    <w:multiLevelType w:val="hybridMultilevel"/>
    <w:tmpl w:val="57967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C5C7A6D"/>
    <w:multiLevelType w:val="hybridMultilevel"/>
    <w:tmpl w:val="40986936"/>
    <w:lvl w:ilvl="0" w:tplc="CB7AB81E">
      <w:start w:val="1"/>
      <w:numFmt w:val="bullet"/>
      <w:pStyle w:val="Lvl1Bulletpoint"/>
      <w:lvlText w:val=""/>
      <w:lvlJc w:val="left"/>
      <w:pPr>
        <w:ind w:left="644" w:hanging="360"/>
      </w:pPr>
      <w:rPr>
        <w:rFonts w:ascii="Symbol" w:hAnsi="Symbol" w:hint="default"/>
        <w:sz w:val="20"/>
        <w:szCs w:val="16"/>
      </w:rPr>
    </w:lvl>
    <w:lvl w:ilvl="1" w:tplc="0C090003">
      <w:start w:val="1"/>
      <w:numFmt w:val="bullet"/>
      <w:lvlText w:val="o"/>
      <w:lvlJc w:val="left"/>
      <w:pPr>
        <w:ind w:left="1440" w:hanging="360"/>
      </w:pPr>
      <w:rPr>
        <w:rFonts w:ascii="Courier New" w:hAnsi="Courier New" w:cs="Courier New"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CA86302"/>
    <w:multiLevelType w:val="hybridMultilevel"/>
    <w:tmpl w:val="41E4287A"/>
    <w:lvl w:ilvl="0" w:tplc="AC4A0392">
      <w:start w:val="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3BE2C3E"/>
    <w:multiLevelType w:val="hybridMultilevel"/>
    <w:tmpl w:val="55621A62"/>
    <w:lvl w:ilvl="0" w:tplc="3FC60D2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47" w15:restartNumberingAfterBreak="0">
    <w:nsid w:val="35A06916"/>
    <w:multiLevelType w:val="hybridMultilevel"/>
    <w:tmpl w:val="D966C758"/>
    <w:lvl w:ilvl="0" w:tplc="C666D582">
      <w:start w:val="1"/>
      <w:numFmt w:val="lowerLetter"/>
      <w:pStyle w:val="NoSpacing"/>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364B1ED2"/>
    <w:multiLevelType w:val="hybridMultilevel"/>
    <w:tmpl w:val="3A484DD8"/>
    <w:lvl w:ilvl="0" w:tplc="572812C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0" w15:restartNumberingAfterBreak="0">
    <w:nsid w:val="374F23A7"/>
    <w:multiLevelType w:val="hybridMultilevel"/>
    <w:tmpl w:val="9D9264A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3755780F"/>
    <w:multiLevelType w:val="hybridMultilevel"/>
    <w:tmpl w:val="A68480D8"/>
    <w:lvl w:ilvl="0" w:tplc="3FC60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7B4409D"/>
    <w:multiLevelType w:val="hybridMultilevel"/>
    <w:tmpl w:val="1E4C9D4E"/>
    <w:lvl w:ilvl="0" w:tplc="F86034F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9CF02C7"/>
    <w:multiLevelType w:val="hybridMultilevel"/>
    <w:tmpl w:val="10B2CE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F5C930A">
      <w:start w:val="1"/>
      <w:numFmt w:val="bullet"/>
      <w:pStyle w:val="Ruleadvicebulletleve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56" w15:restartNumberingAfterBreak="0">
    <w:nsid w:val="41464E94"/>
    <w:multiLevelType w:val="hybridMultilevel"/>
    <w:tmpl w:val="C688E318"/>
    <w:lvl w:ilvl="0" w:tplc="930A86B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2660F68"/>
    <w:multiLevelType w:val="hybridMultilevel"/>
    <w:tmpl w:val="9D9264A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8" w15:restartNumberingAfterBreak="0">
    <w:nsid w:val="432F24B5"/>
    <w:multiLevelType w:val="multilevel"/>
    <w:tmpl w:val="E0D27536"/>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sz w:val="18"/>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43202EB"/>
    <w:multiLevelType w:val="hybridMultilevel"/>
    <w:tmpl w:val="C7FEE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575515F"/>
    <w:multiLevelType w:val="hybridMultilevel"/>
    <w:tmpl w:val="A04CEA06"/>
    <w:lvl w:ilvl="0" w:tplc="39248092">
      <w:start w:val="1"/>
      <w:numFmt w:val="lowerLetter"/>
      <w:lvlText w:val="(%1)"/>
      <w:lvlJc w:val="left"/>
      <w:pPr>
        <w:ind w:left="720" w:hanging="360"/>
      </w:pPr>
      <w:rPr>
        <w:rFonts w:hint="default"/>
      </w:rPr>
    </w:lvl>
    <w:lvl w:ilvl="1" w:tplc="B30413C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5797AF4"/>
    <w:multiLevelType w:val="hybridMultilevel"/>
    <w:tmpl w:val="051EBF9E"/>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2" w15:restartNumberingAfterBreak="0">
    <w:nsid w:val="46033428"/>
    <w:multiLevelType w:val="hybridMultilevel"/>
    <w:tmpl w:val="0046EF5A"/>
    <w:lvl w:ilvl="0" w:tplc="8C62F89A">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3F2013"/>
    <w:multiLevelType w:val="hybridMultilevel"/>
    <w:tmpl w:val="7E58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73741D7"/>
    <w:multiLevelType w:val="hybridMultilevel"/>
    <w:tmpl w:val="7AE4234C"/>
    <w:lvl w:ilvl="0" w:tplc="84948DFA">
      <w:start w:val="1"/>
      <w:numFmt w:val="lowerLetter"/>
      <w:pStyle w:val="TablelistLvl1"/>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81100D5"/>
    <w:multiLevelType w:val="hybridMultilevel"/>
    <w:tmpl w:val="C08E8ADA"/>
    <w:lvl w:ilvl="0" w:tplc="2F38DB02">
      <w:start w:val="1"/>
      <w:numFmt w:val="bullet"/>
      <w:pStyle w:val="tabletextindentbullet"/>
      <w:lvlText w:val="•"/>
      <w:lvlJc w:val="left"/>
      <w:pPr>
        <w:ind w:left="720" w:hanging="360"/>
      </w:pPr>
      <w:rPr>
        <w:rFonts w:ascii="Times New Roman" w:hAnsi="Times New Roman" w:cs="Times New Roman" w:hint="default"/>
        <w:color w:val="auto"/>
        <w:sz w:val="28"/>
      </w:rPr>
    </w:lvl>
    <w:lvl w:ilvl="1" w:tplc="CC14B4B6">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84B1FDF"/>
    <w:multiLevelType w:val="hybridMultilevel"/>
    <w:tmpl w:val="A9D4D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AB5468E"/>
    <w:multiLevelType w:val="hybridMultilevel"/>
    <w:tmpl w:val="83803FA0"/>
    <w:lvl w:ilvl="0" w:tplc="0C090001">
      <w:start w:val="1"/>
      <w:numFmt w:val="bullet"/>
      <w:lvlText w:val=""/>
      <w:lvlJc w:val="left"/>
      <w:pPr>
        <w:ind w:left="720" w:hanging="360"/>
      </w:pPr>
      <w:rPr>
        <w:rFonts w:ascii="Symbol" w:hAnsi="Symbol" w:hint="default"/>
      </w:rPr>
    </w:lvl>
    <w:lvl w:ilvl="1" w:tplc="62A486FA">
      <w:start w:val="1"/>
      <w:numFmt w:val="bullet"/>
      <w:lvlText w:val="o"/>
      <w:lvlJc w:val="left"/>
      <w:pPr>
        <w:ind w:left="1440" w:hanging="360"/>
      </w:pPr>
      <w:rPr>
        <w:rFonts w:ascii="Courier New" w:hAnsi="Courier New" w:cs="Courier New" w:hint="default"/>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C01150D"/>
    <w:multiLevelType w:val="hybridMultilevel"/>
    <w:tmpl w:val="B0AAF274"/>
    <w:lvl w:ilvl="0" w:tplc="3924809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0" w15:restartNumberingAfterBreak="0">
    <w:nsid w:val="4EC77D7F"/>
    <w:multiLevelType w:val="hybridMultilevel"/>
    <w:tmpl w:val="75804F2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1" w15:restartNumberingAfterBreak="0">
    <w:nsid w:val="504A72E4"/>
    <w:multiLevelType w:val="hybridMultilevel"/>
    <w:tmpl w:val="733E6D4E"/>
    <w:lvl w:ilvl="0" w:tplc="986E28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10576D2"/>
    <w:multiLevelType w:val="hybridMultilevel"/>
    <w:tmpl w:val="5D086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1416814"/>
    <w:multiLevelType w:val="hybridMultilevel"/>
    <w:tmpl w:val="4478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17A72F9"/>
    <w:multiLevelType w:val="hybridMultilevel"/>
    <w:tmpl w:val="0B869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2F00FB5"/>
    <w:multiLevelType w:val="hybridMultilevel"/>
    <w:tmpl w:val="50AC43D4"/>
    <w:lvl w:ilvl="0" w:tplc="0C090001">
      <w:start w:val="1"/>
      <w:numFmt w:val="bullet"/>
      <w:pStyle w:val="Boxed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36E6658"/>
    <w:multiLevelType w:val="hybridMultilevel"/>
    <w:tmpl w:val="6E4A9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5AA173F"/>
    <w:multiLevelType w:val="hybridMultilevel"/>
    <w:tmpl w:val="2ACAE98E"/>
    <w:lvl w:ilvl="0" w:tplc="CC14B4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60E269F"/>
    <w:multiLevelType w:val="hybridMultilevel"/>
    <w:tmpl w:val="A77CB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623524A"/>
    <w:multiLevelType w:val="hybridMultilevel"/>
    <w:tmpl w:val="6B3A1B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9D2114E"/>
    <w:multiLevelType w:val="hybridMultilevel"/>
    <w:tmpl w:val="DF3C8F9A"/>
    <w:lvl w:ilvl="0" w:tplc="66D44FE2">
      <w:start w:val="1"/>
      <w:numFmt w:val="lowerRoman"/>
      <w:lvlText w:val="(%1)"/>
      <w:lvlJc w:val="left"/>
      <w:pPr>
        <w:ind w:left="1440" w:hanging="360"/>
      </w:pPr>
      <w:rPr>
        <w:rFonts w:hint="default"/>
      </w:rPr>
    </w:lvl>
    <w:lvl w:ilvl="1" w:tplc="CC14B4B6">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9EF013F"/>
    <w:multiLevelType w:val="multilevel"/>
    <w:tmpl w:val="1D9C3B30"/>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A6D638A"/>
    <w:multiLevelType w:val="hybridMultilevel"/>
    <w:tmpl w:val="DF22AA66"/>
    <w:lvl w:ilvl="0" w:tplc="A7A86C22">
      <w:start w:val="1"/>
      <w:numFmt w:val="lowerLetter"/>
      <w:lvlText w:val="%1)"/>
      <w:lvlJc w:val="left"/>
      <w:pPr>
        <w:ind w:left="720" w:hanging="360"/>
      </w:pPr>
      <w:rPr>
        <w:rFonts w:hint="default"/>
        <w:sz w:val="22"/>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B5503FA"/>
    <w:multiLevelType w:val="hybridMultilevel"/>
    <w:tmpl w:val="18EA2CE8"/>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BEE77CB"/>
    <w:multiLevelType w:val="hybridMultilevel"/>
    <w:tmpl w:val="AAF0674C"/>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6" w15:restartNumberingAfterBreak="0">
    <w:nsid w:val="5EC446E2"/>
    <w:multiLevelType w:val="hybridMultilevel"/>
    <w:tmpl w:val="67A0ED6A"/>
    <w:lvl w:ilvl="0" w:tplc="CC882872">
      <w:start w:val="1"/>
      <w:numFmt w:val="decimal"/>
      <w:lvlText w:val="(%1)"/>
      <w:lvlJc w:val="left"/>
      <w:pPr>
        <w:ind w:left="720" w:hanging="360"/>
      </w:pPr>
      <w:rPr>
        <w:rFonts w:hint="default"/>
      </w:rPr>
    </w:lvl>
    <w:lvl w:ilvl="1" w:tplc="79786ECE">
      <w:start w:val="1"/>
      <w:numFmt w:val="lowerLetter"/>
      <w:lvlText w:val="(%2)"/>
      <w:lvlJc w:val="left"/>
      <w:pPr>
        <w:ind w:left="1470" w:hanging="39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FD25437"/>
    <w:multiLevelType w:val="hybridMultilevel"/>
    <w:tmpl w:val="445AA762"/>
    <w:lvl w:ilvl="0" w:tplc="CFFEC6EA">
      <w:start w:val="3"/>
      <w:numFmt w:val="lowerRoman"/>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04217C1"/>
    <w:multiLevelType w:val="hybridMultilevel"/>
    <w:tmpl w:val="18EA2CE8"/>
    <w:lvl w:ilvl="0" w:tplc="F86034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1124A8F"/>
    <w:multiLevelType w:val="hybridMultilevel"/>
    <w:tmpl w:val="E250B756"/>
    <w:lvl w:ilvl="0" w:tplc="D92AAF9A">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61CE58DB"/>
    <w:multiLevelType w:val="hybridMultilevel"/>
    <w:tmpl w:val="EE888214"/>
    <w:lvl w:ilvl="0" w:tplc="34B8051E">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2105220"/>
    <w:multiLevelType w:val="multilevel"/>
    <w:tmpl w:val="681ECA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bullet"/>
      <w:lvlText w:val=""/>
      <w:lvlJc w:val="left"/>
      <w:pPr>
        <w:ind w:left="1152" w:hanging="1152"/>
      </w:pPr>
      <w:rPr>
        <w:rFonts w:ascii="Symbol" w:hAnsi="Symbol" w:hint="default"/>
      </w:rPr>
    </w:lvl>
    <w:lvl w:ilvl="6">
      <w:start w:val="1"/>
      <w:numFmt w:val="bullet"/>
      <w:lvlText w:val="o"/>
      <w:lvlJc w:val="left"/>
      <w:pPr>
        <w:ind w:left="1296" w:hanging="1296"/>
      </w:pPr>
      <w:rPr>
        <w:rFonts w:ascii="Courier New" w:hAnsi="Courier New" w:cs="Courier New"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65140DCD"/>
    <w:multiLevelType w:val="hybridMultilevel"/>
    <w:tmpl w:val="34342CEC"/>
    <w:lvl w:ilvl="0" w:tplc="1F5082C4">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67C7C57"/>
    <w:multiLevelType w:val="hybridMultilevel"/>
    <w:tmpl w:val="E14CE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74D5063"/>
    <w:multiLevelType w:val="hybridMultilevel"/>
    <w:tmpl w:val="930CDDE2"/>
    <w:lvl w:ilvl="0" w:tplc="572812CA">
      <w:start w:val="1"/>
      <w:numFmt w:val="decimal"/>
      <w:lvlText w:val="(%1)"/>
      <w:lvlJc w:val="left"/>
      <w:pPr>
        <w:ind w:left="720" w:hanging="360"/>
      </w:pPr>
      <w:rPr>
        <w:rFonts w:hint="default"/>
      </w:rPr>
    </w:lvl>
    <w:lvl w:ilvl="1" w:tplc="3924809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7E51353"/>
    <w:multiLevelType w:val="hybridMultilevel"/>
    <w:tmpl w:val="94ECC7F4"/>
    <w:lvl w:ilvl="0" w:tplc="0C09001B">
      <w:start w:val="1"/>
      <w:numFmt w:val="lowerRoman"/>
      <w:lvlText w:val="%1."/>
      <w:lvlJc w:val="right"/>
      <w:pPr>
        <w:ind w:left="720" w:hanging="360"/>
      </w:pPr>
    </w:lvl>
    <w:lvl w:ilvl="1" w:tplc="4F40A470">
      <w:start w:val="1"/>
      <w:numFmt w:val="lowerRoman"/>
      <w:pStyle w:val="TablelistLvl2"/>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900632C"/>
    <w:multiLevelType w:val="hybridMultilevel"/>
    <w:tmpl w:val="36A6F42A"/>
    <w:lvl w:ilvl="0" w:tplc="AE08DD92">
      <w:start w:val="1"/>
      <w:numFmt w:val="bullet"/>
      <w:pStyle w:val="Ruleadvi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AF5763E"/>
    <w:multiLevelType w:val="hybridMultilevel"/>
    <w:tmpl w:val="2ACAE98E"/>
    <w:lvl w:ilvl="0" w:tplc="CC14B4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B462314"/>
    <w:multiLevelType w:val="multilevel"/>
    <w:tmpl w:val="FBFC806A"/>
    <w:lvl w:ilvl="0">
      <w:start w:val="1"/>
      <w:numFmt w:val="bullet"/>
      <w:lvlText w:val=""/>
      <w:lvlJc w:val="left"/>
      <w:pPr>
        <w:ind w:left="360" w:hanging="360"/>
      </w:pPr>
      <w:rPr>
        <w:rFonts w:ascii="Symbol" w:hAnsi="Symbol" w:hint="default"/>
      </w:rPr>
    </w:lvl>
    <w:lvl w:ilvl="1">
      <w:start w:val="1"/>
      <w:numFmt w:val="lowerLetter"/>
      <w:lvlText w:val="(%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6D4F32E3"/>
    <w:multiLevelType w:val="hybridMultilevel"/>
    <w:tmpl w:val="BC8CD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EB848C2"/>
    <w:multiLevelType w:val="hybridMultilevel"/>
    <w:tmpl w:val="6B3A1B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F374E56"/>
    <w:multiLevelType w:val="hybridMultilevel"/>
    <w:tmpl w:val="EA625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03B4D1D"/>
    <w:multiLevelType w:val="hybridMultilevel"/>
    <w:tmpl w:val="2CFAE622"/>
    <w:lvl w:ilvl="0" w:tplc="CC14B4B6">
      <w:start w:val="1"/>
      <w:numFmt w:val="lowerLetter"/>
      <w:lvlText w:val="(%1)"/>
      <w:lvlJc w:val="left"/>
      <w:pPr>
        <w:ind w:left="648" w:hanging="360"/>
      </w:pPr>
      <w:rPr>
        <w:rFonts w:hint="default"/>
      </w:rPr>
    </w:lvl>
    <w:lvl w:ilvl="1" w:tplc="0C09001B">
      <w:start w:val="1"/>
      <w:numFmt w:val="lowerRoman"/>
      <w:lvlText w:val="%2."/>
      <w:lvlJc w:val="right"/>
      <w:pPr>
        <w:ind w:left="1368" w:hanging="360"/>
      </w:pPr>
    </w:lvl>
    <w:lvl w:ilvl="2" w:tplc="0C09001B" w:tentative="1">
      <w:start w:val="1"/>
      <w:numFmt w:val="lowerRoman"/>
      <w:lvlText w:val="%3."/>
      <w:lvlJc w:val="right"/>
      <w:pPr>
        <w:ind w:left="2088" w:hanging="180"/>
      </w:pPr>
    </w:lvl>
    <w:lvl w:ilvl="3" w:tplc="0C09000F" w:tentative="1">
      <w:start w:val="1"/>
      <w:numFmt w:val="decimal"/>
      <w:lvlText w:val="%4."/>
      <w:lvlJc w:val="left"/>
      <w:pPr>
        <w:ind w:left="2808" w:hanging="360"/>
      </w:pPr>
    </w:lvl>
    <w:lvl w:ilvl="4" w:tplc="0C090019" w:tentative="1">
      <w:start w:val="1"/>
      <w:numFmt w:val="lowerLetter"/>
      <w:lvlText w:val="%5."/>
      <w:lvlJc w:val="left"/>
      <w:pPr>
        <w:ind w:left="3528" w:hanging="360"/>
      </w:pPr>
    </w:lvl>
    <w:lvl w:ilvl="5" w:tplc="0C09001B" w:tentative="1">
      <w:start w:val="1"/>
      <w:numFmt w:val="lowerRoman"/>
      <w:lvlText w:val="%6."/>
      <w:lvlJc w:val="right"/>
      <w:pPr>
        <w:ind w:left="4248" w:hanging="180"/>
      </w:pPr>
    </w:lvl>
    <w:lvl w:ilvl="6" w:tplc="0C09000F" w:tentative="1">
      <w:start w:val="1"/>
      <w:numFmt w:val="decimal"/>
      <w:lvlText w:val="%7."/>
      <w:lvlJc w:val="left"/>
      <w:pPr>
        <w:ind w:left="4968" w:hanging="360"/>
      </w:pPr>
    </w:lvl>
    <w:lvl w:ilvl="7" w:tplc="0C090019" w:tentative="1">
      <w:start w:val="1"/>
      <w:numFmt w:val="lowerLetter"/>
      <w:lvlText w:val="%8."/>
      <w:lvlJc w:val="left"/>
      <w:pPr>
        <w:ind w:left="5688" w:hanging="360"/>
      </w:pPr>
    </w:lvl>
    <w:lvl w:ilvl="8" w:tplc="0C09001B" w:tentative="1">
      <w:start w:val="1"/>
      <w:numFmt w:val="lowerRoman"/>
      <w:lvlText w:val="%9."/>
      <w:lvlJc w:val="right"/>
      <w:pPr>
        <w:ind w:left="6408" w:hanging="180"/>
      </w:pPr>
    </w:lvl>
  </w:abstractNum>
  <w:abstractNum w:abstractNumId="103" w15:restartNumberingAfterBreak="0">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104" w15:restartNumberingAfterBreak="0">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105" w15:restartNumberingAfterBreak="0">
    <w:nsid w:val="742915E6"/>
    <w:multiLevelType w:val="hybridMultilevel"/>
    <w:tmpl w:val="B16E6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4524076"/>
    <w:multiLevelType w:val="hybridMultilevel"/>
    <w:tmpl w:val="0BF032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4540198"/>
    <w:multiLevelType w:val="hybridMultilevel"/>
    <w:tmpl w:val="0BF032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109" w15:restartNumberingAfterBreak="0">
    <w:nsid w:val="78D55571"/>
    <w:multiLevelType w:val="hybridMultilevel"/>
    <w:tmpl w:val="34342CEC"/>
    <w:lvl w:ilvl="0" w:tplc="1F5082C4">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A637319"/>
    <w:multiLevelType w:val="hybridMultilevel"/>
    <w:tmpl w:val="C688E318"/>
    <w:lvl w:ilvl="0" w:tplc="930A86B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2" w15:restartNumberingAfterBreak="0">
    <w:nsid w:val="7AD80B99"/>
    <w:multiLevelType w:val="hybridMultilevel"/>
    <w:tmpl w:val="A68480D8"/>
    <w:lvl w:ilvl="0" w:tplc="3FC60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7CFD36A9"/>
    <w:multiLevelType w:val="hybridMultilevel"/>
    <w:tmpl w:val="753C0FF8"/>
    <w:lvl w:ilvl="0" w:tplc="8DF468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DBC7BFC"/>
    <w:multiLevelType w:val="hybridMultilevel"/>
    <w:tmpl w:val="C2C47916"/>
    <w:lvl w:ilvl="0" w:tplc="CC14B4B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E2819EC"/>
    <w:multiLevelType w:val="multilevel"/>
    <w:tmpl w:val="5246B1AC"/>
    <w:lvl w:ilvl="0">
      <w:start w:val="1"/>
      <w:numFmt w:val="bullet"/>
      <w:lvlText w:val=""/>
      <w:lvlJc w:val="left"/>
      <w:pPr>
        <w:ind w:left="360" w:hanging="360"/>
      </w:pPr>
      <w:rPr>
        <w:rFonts w:ascii="Symbol" w:hAnsi="Symbol" w:hint="default"/>
      </w:rPr>
    </w:lvl>
    <w:lvl w:ilvl="1">
      <w:start w:val="6"/>
      <w:numFmt w:val="lowerLetter"/>
      <w:lvlText w:val="(%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E2D634F"/>
    <w:multiLevelType w:val="hybridMultilevel"/>
    <w:tmpl w:val="560C931E"/>
    <w:lvl w:ilvl="0" w:tplc="572812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E393378"/>
    <w:multiLevelType w:val="hybridMultilevel"/>
    <w:tmpl w:val="8B14272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8" w15:restartNumberingAfterBreak="0">
    <w:nsid w:val="7EFD7B7B"/>
    <w:multiLevelType w:val="multilevel"/>
    <w:tmpl w:val="D6BA3FEA"/>
    <w:lvl w:ilvl="0">
      <w:start w:val="1"/>
      <w:numFmt w:val="bullet"/>
      <w:pStyle w:val="ListBullet"/>
      <w:lvlText w:val=""/>
      <w:lvlJc w:val="left"/>
      <w:pPr>
        <w:ind w:left="360" w:hanging="360"/>
      </w:pPr>
      <w:rPr>
        <w:rFonts w:ascii="Symbol" w:hAnsi="Symbol" w:hint="default"/>
      </w:rPr>
    </w:lvl>
    <w:lvl w:ilvl="1">
      <w:start w:val="1"/>
      <w:numFmt w:val="bullet"/>
      <w:pStyle w:val="Lvl2Bulletpoint"/>
      <w:lvlText w:val="o"/>
      <w:lvlJc w:val="left"/>
      <w:pPr>
        <w:ind w:left="716" w:hanging="432"/>
      </w:pPr>
      <w:rPr>
        <w:rFonts w:ascii="Courier New" w:hAnsi="Courier New" w:cs="Courier New" w:hint="default"/>
        <w:sz w:val="18"/>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5"/>
  </w:num>
  <w:num w:numId="2">
    <w:abstractNumId w:val="102"/>
  </w:num>
  <w:num w:numId="3">
    <w:abstractNumId w:val="115"/>
  </w:num>
  <w:num w:numId="4">
    <w:abstractNumId w:val="91"/>
  </w:num>
  <w:num w:numId="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1"/>
    <w:lvlOverride w:ilvl="0">
      <w:startOverride w:val="1"/>
    </w:lvlOverride>
  </w:num>
  <w:num w:numId="7">
    <w:abstractNumId w:val="47"/>
  </w:num>
  <w:num w:numId="8">
    <w:abstractNumId w:val="22"/>
  </w:num>
  <w:num w:numId="9">
    <w:abstractNumId w:val="6"/>
  </w:num>
  <w:num w:numId="10">
    <w:abstractNumId w:val="21"/>
  </w:num>
  <w:num w:numId="11">
    <w:abstractNumId w:val="7"/>
  </w:num>
  <w:num w:numId="12">
    <w:abstractNumId w:val="5"/>
  </w:num>
  <w:num w:numId="13">
    <w:abstractNumId w:val="4"/>
  </w:num>
  <w:num w:numId="14">
    <w:abstractNumId w:val="1"/>
  </w:num>
  <w:num w:numId="15">
    <w:abstractNumId w:val="0"/>
  </w:num>
  <w:num w:numId="16">
    <w:abstractNumId w:val="49"/>
  </w:num>
  <w:num w:numId="17">
    <w:abstractNumId w:val="2"/>
  </w:num>
  <w:num w:numId="18">
    <w:abstractNumId w:val="103"/>
  </w:num>
  <w:num w:numId="19">
    <w:abstractNumId w:val="111"/>
  </w:num>
  <w:num w:numId="20">
    <w:abstractNumId w:val="108"/>
  </w:num>
  <w:num w:numId="21">
    <w:abstractNumId w:val="46"/>
  </w:num>
  <w:num w:numId="22">
    <w:abstractNumId w:val="55"/>
  </w:num>
  <w:num w:numId="23">
    <w:abstractNumId w:val="104"/>
  </w:num>
  <w:num w:numId="24">
    <w:abstractNumId w:val="89"/>
  </w:num>
  <w:num w:numId="25">
    <w:abstractNumId w:val="8"/>
  </w:num>
  <w:num w:numId="26">
    <w:abstractNumId w:val="3"/>
  </w:num>
  <w:num w:numId="27">
    <w:abstractNumId w:val="67"/>
  </w:num>
  <w:num w:numId="28">
    <w:abstractNumId w:val="25"/>
  </w:num>
  <w:num w:numId="29">
    <w:abstractNumId w:val="99"/>
  </w:num>
  <w:num w:numId="30">
    <w:abstractNumId w:val="24"/>
  </w:num>
  <w:num w:numId="31">
    <w:abstractNumId w:val="69"/>
  </w:num>
  <w:num w:numId="32">
    <w:abstractNumId w:val="33"/>
  </w:num>
  <w:num w:numId="33">
    <w:abstractNumId w:val="86"/>
  </w:num>
  <w:num w:numId="34">
    <w:abstractNumId w:val="60"/>
  </w:num>
  <w:num w:numId="35">
    <w:abstractNumId w:val="94"/>
  </w:num>
  <w:num w:numId="36">
    <w:abstractNumId w:val="116"/>
  </w:num>
  <w:num w:numId="37">
    <w:abstractNumId w:val="48"/>
  </w:num>
  <w:num w:numId="38">
    <w:abstractNumId w:val="17"/>
  </w:num>
  <w:num w:numId="39">
    <w:abstractNumId w:val="28"/>
  </w:num>
  <w:num w:numId="40">
    <w:abstractNumId w:val="54"/>
  </w:num>
  <w:num w:numId="41">
    <w:abstractNumId w:val="101"/>
  </w:num>
  <w:num w:numId="42">
    <w:abstractNumId w:val="53"/>
  </w:num>
  <w:num w:numId="43">
    <w:abstractNumId w:val="118"/>
  </w:num>
  <w:num w:numId="44">
    <w:abstractNumId w:val="98"/>
  </w:num>
  <w:num w:numId="45">
    <w:abstractNumId w:val="9"/>
  </w:num>
  <w:num w:numId="46">
    <w:abstractNumId w:val="52"/>
  </w:num>
  <w:num w:numId="47">
    <w:abstractNumId w:val="88"/>
  </w:num>
  <w:num w:numId="48">
    <w:abstractNumId w:val="105"/>
  </w:num>
  <w:num w:numId="49">
    <w:abstractNumId w:val="41"/>
  </w:num>
  <w:num w:numId="50">
    <w:abstractNumId w:val="43"/>
  </w:num>
  <w:num w:numId="51">
    <w:abstractNumId w:val="73"/>
  </w:num>
  <w:num w:numId="52">
    <w:abstractNumId w:val="71"/>
  </w:num>
  <w:num w:numId="53">
    <w:abstractNumId w:val="23"/>
  </w:num>
  <w:num w:numId="54">
    <w:abstractNumId w:val="32"/>
  </w:num>
  <w:num w:numId="55">
    <w:abstractNumId w:val="91"/>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num>
  <w:num w:numId="57">
    <w:abstractNumId w:val="82"/>
  </w:num>
  <w:num w:numId="58">
    <w:abstractNumId w:val="117"/>
  </w:num>
  <w:num w:numId="59">
    <w:abstractNumId w:val="72"/>
  </w:num>
  <w:num w:numId="60">
    <w:abstractNumId w:val="59"/>
  </w:num>
  <w:num w:numId="61">
    <w:abstractNumId w:val="93"/>
  </w:num>
  <w:num w:numId="62">
    <w:abstractNumId w:val="18"/>
  </w:num>
  <w:num w:numId="63">
    <w:abstractNumId w:val="62"/>
  </w:num>
  <w:num w:numId="64">
    <w:abstractNumId w:val="9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13"/>
  </w:num>
  <w:num w:numId="67">
    <w:abstractNumId w:val="34"/>
  </w:num>
  <w:num w:numId="68">
    <w:abstractNumId w:val="35"/>
  </w:num>
  <w:num w:numId="69">
    <w:abstractNumId w:val="66"/>
  </w:num>
  <w:num w:numId="70">
    <w:abstractNumId w:val="78"/>
  </w:num>
  <w:num w:numId="71">
    <w:abstractNumId w:val="19"/>
  </w:num>
  <w:num w:numId="72">
    <w:abstractNumId w:val="80"/>
  </w:num>
  <w:num w:numId="73">
    <w:abstractNumId w:val="75"/>
  </w:num>
  <w:num w:numId="74">
    <w:abstractNumId w:val="30"/>
  </w:num>
  <w:num w:numId="75">
    <w:abstractNumId w:val="64"/>
  </w:num>
  <w:num w:numId="76">
    <w:abstractNumId w:val="38"/>
  </w:num>
  <w:num w:numId="77">
    <w:abstractNumId w:val="95"/>
  </w:num>
  <w:num w:numId="78">
    <w:abstractNumId w:val="42"/>
  </w:num>
  <w:num w:numId="79">
    <w:abstractNumId w:val="110"/>
  </w:num>
  <w:num w:numId="80">
    <w:abstractNumId w:val="76"/>
  </w:num>
  <w:num w:numId="81">
    <w:abstractNumId w:val="90"/>
  </w:num>
  <w:num w:numId="82">
    <w:abstractNumId w:val="56"/>
  </w:num>
  <w:num w:numId="83">
    <w:abstractNumId w:val="81"/>
  </w:num>
  <w:num w:numId="84">
    <w:abstractNumId w:val="20"/>
  </w:num>
  <w:num w:numId="85">
    <w:abstractNumId w:val="97"/>
  </w:num>
  <w:num w:numId="86">
    <w:abstractNumId w:val="27"/>
  </w:num>
  <w:num w:numId="87">
    <w:abstractNumId w:val="83"/>
  </w:num>
  <w:num w:numId="88">
    <w:abstractNumId w:val="15"/>
  </w:num>
  <w:num w:numId="89">
    <w:abstractNumId w:val="106"/>
  </w:num>
  <w:num w:numId="90">
    <w:abstractNumId w:val="79"/>
  </w:num>
  <w:num w:numId="91">
    <w:abstractNumId w:val="39"/>
  </w:num>
  <w:num w:numId="92">
    <w:abstractNumId w:val="74"/>
  </w:num>
  <w:num w:numId="93">
    <w:abstractNumId w:val="43"/>
    <w:lvlOverride w:ilvl="0"/>
    <w:lvlOverride w:ilvl="1">
      <w:startOverride w:val="1"/>
    </w:lvlOverride>
    <w:lvlOverride w:ilvl="2"/>
    <w:lvlOverride w:ilvl="3"/>
    <w:lvlOverride w:ilvl="4"/>
    <w:lvlOverride w:ilvl="5"/>
    <w:lvlOverride w:ilvl="6"/>
    <w:lvlOverride w:ilvl="7"/>
    <w:lvlOverride w:ilvl="8"/>
  </w:num>
  <w:num w:numId="94">
    <w:abstractNumId w:val="58"/>
  </w:num>
  <w:num w:numId="95">
    <w:abstractNumId w:val="107"/>
  </w:num>
  <w:num w:numId="96">
    <w:abstractNumId w:val="100"/>
  </w:num>
  <w:num w:numId="97">
    <w:abstractNumId w:val="112"/>
  </w:num>
  <w:num w:numId="98">
    <w:abstractNumId w:val="14"/>
  </w:num>
  <w:num w:numId="99">
    <w:abstractNumId w:val="26"/>
  </w:num>
  <w:num w:numId="100">
    <w:abstractNumId w:val="109"/>
  </w:num>
  <w:num w:numId="101">
    <w:abstractNumId w:val="87"/>
  </w:num>
  <w:num w:numId="102">
    <w:abstractNumId w:val="10"/>
  </w:num>
  <w:num w:numId="103">
    <w:abstractNumId w:val="40"/>
  </w:num>
  <w:num w:numId="104">
    <w:abstractNumId w:val="29"/>
  </w:num>
  <w:num w:numId="105">
    <w:abstractNumId w:val="44"/>
  </w:num>
  <w:num w:numId="106">
    <w:abstractNumId w:val="114"/>
  </w:num>
  <w:num w:numId="107">
    <w:abstractNumId w:val="77"/>
  </w:num>
  <w:num w:numId="108">
    <w:abstractNumId w:val="36"/>
  </w:num>
  <w:num w:numId="109">
    <w:abstractNumId w:val="12"/>
  </w:num>
  <w:num w:numId="110">
    <w:abstractNumId w:val="16"/>
  </w:num>
  <w:num w:numId="111">
    <w:abstractNumId w:val="84"/>
  </w:num>
  <w:num w:numId="112">
    <w:abstractNumId w:val="92"/>
  </w:num>
  <w:num w:numId="113">
    <w:abstractNumId w:val="51"/>
  </w:num>
  <w:num w:numId="114">
    <w:abstractNumId w:val="45"/>
  </w:num>
  <w:num w:numId="115">
    <w:abstractNumId w:val="96"/>
  </w:num>
  <w:num w:numId="116">
    <w:abstractNumId w:val="70"/>
  </w:num>
  <w:num w:numId="117">
    <w:abstractNumId w:val="11"/>
  </w:num>
  <w:num w:numId="118">
    <w:abstractNumId w:val="61"/>
  </w:num>
  <w:num w:numId="119">
    <w:abstractNumId w:val="37"/>
  </w:num>
  <w:num w:numId="120">
    <w:abstractNumId w:val="57"/>
  </w:num>
  <w:num w:numId="121">
    <w:abstractNumId w:val="31"/>
  </w:num>
  <w:num w:numId="122">
    <w:abstractNumId w:val="50"/>
  </w:num>
  <w:num w:numId="123">
    <w:abstractNumId w:val="113"/>
  </w:num>
  <w:num w:numId="124">
    <w:abstractNumId w:val="89"/>
    <w:lvlOverride w:ilvl="0">
      <w:startOverride w:val="1"/>
    </w:lvlOverride>
  </w:num>
  <w:num w:numId="125">
    <w:abstractNumId w:val="89"/>
    <w:lvlOverride w:ilvl="0">
      <w:startOverride w:val="1"/>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hideGrammaticalErrors/>
  <w:revisionView w:inkAnnotations="0"/>
  <w:doNotTrackFormatting/>
  <w:defaultTabStop w:val="720"/>
  <w:characterSpacingControl w:val="doNotCompress"/>
  <w:hdrShapeDefaults>
    <o:shapedefaults v:ext="edit" spidmax="351233">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2"/>
  </w:compat>
  <w:docVars>
    <w:docVar w:name="currentname" w:val="T:\Water Branch\Water Charge Rules review [56350]\Final Advice\Finalised Documents\ACCC Review of the water charge rules - Final Advice - accessible version.docx"/>
  </w:docVars>
  <w:rsids>
    <w:rsidRoot w:val="00E161B2"/>
    <w:rsid w:val="00000049"/>
    <w:rsid w:val="00000090"/>
    <w:rsid w:val="000001E5"/>
    <w:rsid w:val="000004FC"/>
    <w:rsid w:val="00000DB7"/>
    <w:rsid w:val="00000DCD"/>
    <w:rsid w:val="00001CBF"/>
    <w:rsid w:val="00002911"/>
    <w:rsid w:val="00002EDE"/>
    <w:rsid w:val="00003561"/>
    <w:rsid w:val="00003F1C"/>
    <w:rsid w:val="00004DB5"/>
    <w:rsid w:val="00004F35"/>
    <w:rsid w:val="00005CBF"/>
    <w:rsid w:val="0000691D"/>
    <w:rsid w:val="00007C22"/>
    <w:rsid w:val="00007D2C"/>
    <w:rsid w:val="00007DF7"/>
    <w:rsid w:val="00007EAE"/>
    <w:rsid w:val="00010178"/>
    <w:rsid w:val="0001065E"/>
    <w:rsid w:val="00010F61"/>
    <w:rsid w:val="0001152B"/>
    <w:rsid w:val="0001152F"/>
    <w:rsid w:val="0001188E"/>
    <w:rsid w:val="00011CC0"/>
    <w:rsid w:val="00012A25"/>
    <w:rsid w:val="00012AE5"/>
    <w:rsid w:val="000134E7"/>
    <w:rsid w:val="00013BF6"/>
    <w:rsid w:val="00014063"/>
    <w:rsid w:val="00014081"/>
    <w:rsid w:val="00014DBA"/>
    <w:rsid w:val="00015195"/>
    <w:rsid w:val="00015D66"/>
    <w:rsid w:val="00016300"/>
    <w:rsid w:val="00016545"/>
    <w:rsid w:val="00016FC7"/>
    <w:rsid w:val="000170B1"/>
    <w:rsid w:val="000171CD"/>
    <w:rsid w:val="000173A6"/>
    <w:rsid w:val="00020517"/>
    <w:rsid w:val="00020893"/>
    <w:rsid w:val="00020972"/>
    <w:rsid w:val="00020DF3"/>
    <w:rsid w:val="000212CF"/>
    <w:rsid w:val="00021D7B"/>
    <w:rsid w:val="000234D1"/>
    <w:rsid w:val="00023514"/>
    <w:rsid w:val="00023D1F"/>
    <w:rsid w:val="00024310"/>
    <w:rsid w:val="000244DF"/>
    <w:rsid w:val="00025CDD"/>
    <w:rsid w:val="000264B8"/>
    <w:rsid w:val="00026D1C"/>
    <w:rsid w:val="00026EE6"/>
    <w:rsid w:val="0002756A"/>
    <w:rsid w:val="00030488"/>
    <w:rsid w:val="0003098E"/>
    <w:rsid w:val="00030A86"/>
    <w:rsid w:val="00030DF9"/>
    <w:rsid w:val="000324D1"/>
    <w:rsid w:val="00032581"/>
    <w:rsid w:val="00032757"/>
    <w:rsid w:val="0003295E"/>
    <w:rsid w:val="00032A35"/>
    <w:rsid w:val="000331F5"/>
    <w:rsid w:val="000333C8"/>
    <w:rsid w:val="0003394F"/>
    <w:rsid w:val="00033FBE"/>
    <w:rsid w:val="0003446B"/>
    <w:rsid w:val="0003457E"/>
    <w:rsid w:val="000345ED"/>
    <w:rsid w:val="00034A0E"/>
    <w:rsid w:val="00034DFF"/>
    <w:rsid w:val="00035824"/>
    <w:rsid w:val="00036582"/>
    <w:rsid w:val="00036989"/>
    <w:rsid w:val="00036D60"/>
    <w:rsid w:val="00036FBC"/>
    <w:rsid w:val="00037106"/>
    <w:rsid w:val="0003798C"/>
    <w:rsid w:val="00037C6E"/>
    <w:rsid w:val="00037F9C"/>
    <w:rsid w:val="00040CD8"/>
    <w:rsid w:val="00040E6C"/>
    <w:rsid w:val="000416B8"/>
    <w:rsid w:val="0004193C"/>
    <w:rsid w:val="0004194B"/>
    <w:rsid w:val="000420F3"/>
    <w:rsid w:val="000421C6"/>
    <w:rsid w:val="0004258B"/>
    <w:rsid w:val="0004290A"/>
    <w:rsid w:val="00042981"/>
    <w:rsid w:val="00042D31"/>
    <w:rsid w:val="0004324A"/>
    <w:rsid w:val="000435C5"/>
    <w:rsid w:val="000440F3"/>
    <w:rsid w:val="00044A47"/>
    <w:rsid w:val="00044FFF"/>
    <w:rsid w:val="000460E1"/>
    <w:rsid w:val="00046669"/>
    <w:rsid w:val="0004723A"/>
    <w:rsid w:val="0004744F"/>
    <w:rsid w:val="00047654"/>
    <w:rsid w:val="000506CC"/>
    <w:rsid w:val="00050B68"/>
    <w:rsid w:val="00050CAB"/>
    <w:rsid w:val="00051394"/>
    <w:rsid w:val="000514B4"/>
    <w:rsid w:val="0005156C"/>
    <w:rsid w:val="0005157C"/>
    <w:rsid w:val="00051EA6"/>
    <w:rsid w:val="0005252B"/>
    <w:rsid w:val="00053110"/>
    <w:rsid w:val="0005373C"/>
    <w:rsid w:val="00053B82"/>
    <w:rsid w:val="00053D5D"/>
    <w:rsid w:val="0005446C"/>
    <w:rsid w:val="0005478E"/>
    <w:rsid w:val="00054EAE"/>
    <w:rsid w:val="00054EBC"/>
    <w:rsid w:val="00055338"/>
    <w:rsid w:val="000556D0"/>
    <w:rsid w:val="00055E70"/>
    <w:rsid w:val="00056FD4"/>
    <w:rsid w:val="00057869"/>
    <w:rsid w:val="00057A5B"/>
    <w:rsid w:val="00057A73"/>
    <w:rsid w:val="00060306"/>
    <w:rsid w:val="00060332"/>
    <w:rsid w:val="0006047B"/>
    <w:rsid w:val="0006056A"/>
    <w:rsid w:val="000613E1"/>
    <w:rsid w:val="00061C7E"/>
    <w:rsid w:val="00061DCF"/>
    <w:rsid w:val="00064153"/>
    <w:rsid w:val="00064482"/>
    <w:rsid w:val="000648C8"/>
    <w:rsid w:val="000651D4"/>
    <w:rsid w:val="000654F6"/>
    <w:rsid w:val="00065D95"/>
    <w:rsid w:val="00066B54"/>
    <w:rsid w:val="00066FEE"/>
    <w:rsid w:val="00067463"/>
    <w:rsid w:val="000676F0"/>
    <w:rsid w:val="00067769"/>
    <w:rsid w:val="00067C4D"/>
    <w:rsid w:val="00070D3C"/>
    <w:rsid w:val="00071047"/>
    <w:rsid w:val="00071357"/>
    <w:rsid w:val="00071C0C"/>
    <w:rsid w:val="000723BD"/>
    <w:rsid w:val="000724BB"/>
    <w:rsid w:val="0007280C"/>
    <w:rsid w:val="000730DA"/>
    <w:rsid w:val="000738F0"/>
    <w:rsid w:val="00073B62"/>
    <w:rsid w:val="00073D51"/>
    <w:rsid w:val="00074338"/>
    <w:rsid w:val="00074934"/>
    <w:rsid w:val="0007512B"/>
    <w:rsid w:val="00075838"/>
    <w:rsid w:val="00075B40"/>
    <w:rsid w:val="00075B70"/>
    <w:rsid w:val="00075EC5"/>
    <w:rsid w:val="00076257"/>
    <w:rsid w:val="00076285"/>
    <w:rsid w:val="00076A93"/>
    <w:rsid w:val="00077757"/>
    <w:rsid w:val="000810EF"/>
    <w:rsid w:val="0008163D"/>
    <w:rsid w:val="00081666"/>
    <w:rsid w:val="000816C8"/>
    <w:rsid w:val="0008289F"/>
    <w:rsid w:val="00082D85"/>
    <w:rsid w:val="00083070"/>
    <w:rsid w:val="000830FF"/>
    <w:rsid w:val="000838DC"/>
    <w:rsid w:val="00083A35"/>
    <w:rsid w:val="00084380"/>
    <w:rsid w:val="00084909"/>
    <w:rsid w:val="00084C56"/>
    <w:rsid w:val="000864B4"/>
    <w:rsid w:val="000869AC"/>
    <w:rsid w:val="00086BA7"/>
    <w:rsid w:val="00086F45"/>
    <w:rsid w:val="00087152"/>
    <w:rsid w:val="0008785F"/>
    <w:rsid w:val="00087975"/>
    <w:rsid w:val="0009062C"/>
    <w:rsid w:val="00090852"/>
    <w:rsid w:val="00091E7F"/>
    <w:rsid w:val="000924BB"/>
    <w:rsid w:val="00092786"/>
    <w:rsid w:val="00093A19"/>
    <w:rsid w:val="00093ECD"/>
    <w:rsid w:val="0009514D"/>
    <w:rsid w:val="00095542"/>
    <w:rsid w:val="00095A3E"/>
    <w:rsid w:val="00095F4F"/>
    <w:rsid w:val="00096246"/>
    <w:rsid w:val="000968D6"/>
    <w:rsid w:val="0009773F"/>
    <w:rsid w:val="00097B29"/>
    <w:rsid w:val="00097D76"/>
    <w:rsid w:val="000A0202"/>
    <w:rsid w:val="000A1352"/>
    <w:rsid w:val="000A14FC"/>
    <w:rsid w:val="000A1629"/>
    <w:rsid w:val="000A1D8E"/>
    <w:rsid w:val="000A2128"/>
    <w:rsid w:val="000A2440"/>
    <w:rsid w:val="000A2866"/>
    <w:rsid w:val="000A3047"/>
    <w:rsid w:val="000A364E"/>
    <w:rsid w:val="000A376E"/>
    <w:rsid w:val="000A3F3D"/>
    <w:rsid w:val="000A42A9"/>
    <w:rsid w:val="000A4485"/>
    <w:rsid w:val="000A44CF"/>
    <w:rsid w:val="000A4709"/>
    <w:rsid w:val="000A4FD7"/>
    <w:rsid w:val="000A5957"/>
    <w:rsid w:val="000A7B13"/>
    <w:rsid w:val="000A7CF8"/>
    <w:rsid w:val="000B170A"/>
    <w:rsid w:val="000B37AC"/>
    <w:rsid w:val="000B37D6"/>
    <w:rsid w:val="000B3E59"/>
    <w:rsid w:val="000B3F48"/>
    <w:rsid w:val="000B3FCC"/>
    <w:rsid w:val="000B4025"/>
    <w:rsid w:val="000B4395"/>
    <w:rsid w:val="000B4771"/>
    <w:rsid w:val="000B4FD2"/>
    <w:rsid w:val="000B505F"/>
    <w:rsid w:val="000B55B7"/>
    <w:rsid w:val="000B5663"/>
    <w:rsid w:val="000B5F16"/>
    <w:rsid w:val="000B653F"/>
    <w:rsid w:val="000B659B"/>
    <w:rsid w:val="000B66C1"/>
    <w:rsid w:val="000B697D"/>
    <w:rsid w:val="000B6B73"/>
    <w:rsid w:val="000B7537"/>
    <w:rsid w:val="000B7F4C"/>
    <w:rsid w:val="000C034E"/>
    <w:rsid w:val="000C0408"/>
    <w:rsid w:val="000C0879"/>
    <w:rsid w:val="000C08F9"/>
    <w:rsid w:val="000C0F0E"/>
    <w:rsid w:val="000C136C"/>
    <w:rsid w:val="000C1DF2"/>
    <w:rsid w:val="000C1FCB"/>
    <w:rsid w:val="000C21A8"/>
    <w:rsid w:val="000C254E"/>
    <w:rsid w:val="000C282D"/>
    <w:rsid w:val="000C2E85"/>
    <w:rsid w:val="000C3861"/>
    <w:rsid w:val="000C3D4B"/>
    <w:rsid w:val="000C51EB"/>
    <w:rsid w:val="000C796F"/>
    <w:rsid w:val="000C7E3E"/>
    <w:rsid w:val="000C7E45"/>
    <w:rsid w:val="000C7E84"/>
    <w:rsid w:val="000D15C4"/>
    <w:rsid w:val="000D1D00"/>
    <w:rsid w:val="000D201E"/>
    <w:rsid w:val="000D3449"/>
    <w:rsid w:val="000D3585"/>
    <w:rsid w:val="000D3C30"/>
    <w:rsid w:val="000D47A9"/>
    <w:rsid w:val="000D4A3B"/>
    <w:rsid w:val="000D4EFE"/>
    <w:rsid w:val="000D55E1"/>
    <w:rsid w:val="000D5B9F"/>
    <w:rsid w:val="000D61E0"/>
    <w:rsid w:val="000D6675"/>
    <w:rsid w:val="000D67A8"/>
    <w:rsid w:val="000D7520"/>
    <w:rsid w:val="000D7803"/>
    <w:rsid w:val="000E0B4F"/>
    <w:rsid w:val="000E0E96"/>
    <w:rsid w:val="000E0F8A"/>
    <w:rsid w:val="000E1EFB"/>
    <w:rsid w:val="000E2D2B"/>
    <w:rsid w:val="000E30A4"/>
    <w:rsid w:val="000E3543"/>
    <w:rsid w:val="000E373F"/>
    <w:rsid w:val="000E3890"/>
    <w:rsid w:val="000E403D"/>
    <w:rsid w:val="000E40C4"/>
    <w:rsid w:val="000E412E"/>
    <w:rsid w:val="000E5718"/>
    <w:rsid w:val="000E62D3"/>
    <w:rsid w:val="000E6D74"/>
    <w:rsid w:val="000E710D"/>
    <w:rsid w:val="000F0598"/>
    <w:rsid w:val="000F05BF"/>
    <w:rsid w:val="000F0B02"/>
    <w:rsid w:val="000F21AD"/>
    <w:rsid w:val="000F24CC"/>
    <w:rsid w:val="000F2E81"/>
    <w:rsid w:val="000F354D"/>
    <w:rsid w:val="000F3670"/>
    <w:rsid w:val="000F3AEC"/>
    <w:rsid w:val="000F4090"/>
    <w:rsid w:val="000F40B0"/>
    <w:rsid w:val="000F43CC"/>
    <w:rsid w:val="000F4504"/>
    <w:rsid w:val="000F45B6"/>
    <w:rsid w:val="000F50E7"/>
    <w:rsid w:val="000F5B80"/>
    <w:rsid w:val="000F5DAB"/>
    <w:rsid w:val="000F641C"/>
    <w:rsid w:val="000F6907"/>
    <w:rsid w:val="000F6B8F"/>
    <w:rsid w:val="000F70EF"/>
    <w:rsid w:val="000F7C32"/>
    <w:rsid w:val="000F7F1E"/>
    <w:rsid w:val="00100481"/>
    <w:rsid w:val="00100E3F"/>
    <w:rsid w:val="00101765"/>
    <w:rsid w:val="00101EB5"/>
    <w:rsid w:val="00102879"/>
    <w:rsid w:val="00103209"/>
    <w:rsid w:val="0010364D"/>
    <w:rsid w:val="00103878"/>
    <w:rsid w:val="001041A5"/>
    <w:rsid w:val="00104A62"/>
    <w:rsid w:val="00104FDF"/>
    <w:rsid w:val="00105055"/>
    <w:rsid w:val="001051C5"/>
    <w:rsid w:val="001051E3"/>
    <w:rsid w:val="00105399"/>
    <w:rsid w:val="001055F7"/>
    <w:rsid w:val="00105CFE"/>
    <w:rsid w:val="00106502"/>
    <w:rsid w:val="00106BE9"/>
    <w:rsid w:val="00110D8C"/>
    <w:rsid w:val="00110FBC"/>
    <w:rsid w:val="0011149F"/>
    <w:rsid w:val="001120FE"/>
    <w:rsid w:val="00112256"/>
    <w:rsid w:val="001124D8"/>
    <w:rsid w:val="00112F83"/>
    <w:rsid w:val="001136E0"/>
    <w:rsid w:val="00114470"/>
    <w:rsid w:val="001147E4"/>
    <w:rsid w:val="001148D4"/>
    <w:rsid w:val="001151A7"/>
    <w:rsid w:val="001151B4"/>
    <w:rsid w:val="001156E8"/>
    <w:rsid w:val="00115C5D"/>
    <w:rsid w:val="0011610B"/>
    <w:rsid w:val="00116672"/>
    <w:rsid w:val="00116C7F"/>
    <w:rsid w:val="00116EF9"/>
    <w:rsid w:val="001174E5"/>
    <w:rsid w:val="00120126"/>
    <w:rsid w:val="001214BE"/>
    <w:rsid w:val="0012156B"/>
    <w:rsid w:val="00121602"/>
    <w:rsid w:val="0012206B"/>
    <w:rsid w:val="00122491"/>
    <w:rsid w:val="0012425C"/>
    <w:rsid w:val="0012472D"/>
    <w:rsid w:val="00124E31"/>
    <w:rsid w:val="0012615A"/>
    <w:rsid w:val="00126891"/>
    <w:rsid w:val="00126C6C"/>
    <w:rsid w:val="001270B9"/>
    <w:rsid w:val="00127BD7"/>
    <w:rsid w:val="001302B7"/>
    <w:rsid w:val="00130462"/>
    <w:rsid w:val="00130953"/>
    <w:rsid w:val="0013120E"/>
    <w:rsid w:val="001317E5"/>
    <w:rsid w:val="001321A7"/>
    <w:rsid w:val="00133108"/>
    <w:rsid w:val="001336F7"/>
    <w:rsid w:val="00133BFC"/>
    <w:rsid w:val="00134997"/>
    <w:rsid w:val="00134D60"/>
    <w:rsid w:val="0013539C"/>
    <w:rsid w:val="00135446"/>
    <w:rsid w:val="0013544A"/>
    <w:rsid w:val="00136A3B"/>
    <w:rsid w:val="00136F27"/>
    <w:rsid w:val="001370CD"/>
    <w:rsid w:val="00137B93"/>
    <w:rsid w:val="00140E7A"/>
    <w:rsid w:val="00141508"/>
    <w:rsid w:val="001417F0"/>
    <w:rsid w:val="001427DF"/>
    <w:rsid w:val="00143390"/>
    <w:rsid w:val="001434F4"/>
    <w:rsid w:val="00143645"/>
    <w:rsid w:val="00143716"/>
    <w:rsid w:val="00143E67"/>
    <w:rsid w:val="001440BB"/>
    <w:rsid w:val="00144DCD"/>
    <w:rsid w:val="00144F64"/>
    <w:rsid w:val="00145F46"/>
    <w:rsid w:val="001466A3"/>
    <w:rsid w:val="00146F5B"/>
    <w:rsid w:val="0014754F"/>
    <w:rsid w:val="00147BE3"/>
    <w:rsid w:val="00150BB6"/>
    <w:rsid w:val="001510CB"/>
    <w:rsid w:val="00151428"/>
    <w:rsid w:val="0015163B"/>
    <w:rsid w:val="00151FFF"/>
    <w:rsid w:val="0015222F"/>
    <w:rsid w:val="0015229B"/>
    <w:rsid w:val="001526E8"/>
    <w:rsid w:val="00152BD8"/>
    <w:rsid w:val="00152BF2"/>
    <w:rsid w:val="0015415B"/>
    <w:rsid w:val="00155246"/>
    <w:rsid w:val="00155630"/>
    <w:rsid w:val="00155B57"/>
    <w:rsid w:val="00155EE2"/>
    <w:rsid w:val="0015610E"/>
    <w:rsid w:val="00156CD3"/>
    <w:rsid w:val="00157903"/>
    <w:rsid w:val="00157B6C"/>
    <w:rsid w:val="001604EC"/>
    <w:rsid w:val="00160BA9"/>
    <w:rsid w:val="00160EE3"/>
    <w:rsid w:val="001610A3"/>
    <w:rsid w:val="00161448"/>
    <w:rsid w:val="00161544"/>
    <w:rsid w:val="00161E08"/>
    <w:rsid w:val="001624D0"/>
    <w:rsid w:val="00162540"/>
    <w:rsid w:val="00162A66"/>
    <w:rsid w:val="00162B38"/>
    <w:rsid w:val="00162CB0"/>
    <w:rsid w:val="001631F5"/>
    <w:rsid w:val="001634AD"/>
    <w:rsid w:val="00163B9F"/>
    <w:rsid w:val="00163CDC"/>
    <w:rsid w:val="0016503C"/>
    <w:rsid w:val="00165492"/>
    <w:rsid w:val="0016560E"/>
    <w:rsid w:val="00165C15"/>
    <w:rsid w:val="001663A2"/>
    <w:rsid w:val="00166997"/>
    <w:rsid w:val="00166B7D"/>
    <w:rsid w:val="00166BA0"/>
    <w:rsid w:val="00167477"/>
    <w:rsid w:val="00167C0F"/>
    <w:rsid w:val="001701E0"/>
    <w:rsid w:val="00171034"/>
    <w:rsid w:val="001712A2"/>
    <w:rsid w:val="00171371"/>
    <w:rsid w:val="001714D4"/>
    <w:rsid w:val="00171683"/>
    <w:rsid w:val="00172981"/>
    <w:rsid w:val="00173A70"/>
    <w:rsid w:val="0017410E"/>
    <w:rsid w:val="00174834"/>
    <w:rsid w:val="00176A4D"/>
    <w:rsid w:val="0017787E"/>
    <w:rsid w:val="00180CC5"/>
    <w:rsid w:val="00180E64"/>
    <w:rsid w:val="00181501"/>
    <w:rsid w:val="001815B5"/>
    <w:rsid w:val="001818BF"/>
    <w:rsid w:val="00181DAB"/>
    <w:rsid w:val="00182112"/>
    <w:rsid w:val="0018283C"/>
    <w:rsid w:val="00182AD5"/>
    <w:rsid w:val="00182B3A"/>
    <w:rsid w:val="00182EEF"/>
    <w:rsid w:val="001835B2"/>
    <w:rsid w:val="0018360F"/>
    <w:rsid w:val="0018387B"/>
    <w:rsid w:val="0018431D"/>
    <w:rsid w:val="00184496"/>
    <w:rsid w:val="001849BA"/>
    <w:rsid w:val="00184CC0"/>
    <w:rsid w:val="00184E37"/>
    <w:rsid w:val="00185B22"/>
    <w:rsid w:val="00185FC5"/>
    <w:rsid w:val="001865C9"/>
    <w:rsid w:val="00186B1A"/>
    <w:rsid w:val="00186C54"/>
    <w:rsid w:val="00186E48"/>
    <w:rsid w:val="00187957"/>
    <w:rsid w:val="0018796A"/>
    <w:rsid w:val="0018797D"/>
    <w:rsid w:val="00187CF0"/>
    <w:rsid w:val="00190329"/>
    <w:rsid w:val="001904B5"/>
    <w:rsid w:val="00191639"/>
    <w:rsid w:val="00191685"/>
    <w:rsid w:val="001916BB"/>
    <w:rsid w:val="0019180B"/>
    <w:rsid w:val="0019194C"/>
    <w:rsid w:val="00191A0D"/>
    <w:rsid w:val="001948BB"/>
    <w:rsid w:val="00195164"/>
    <w:rsid w:val="001956FA"/>
    <w:rsid w:val="0019597C"/>
    <w:rsid w:val="00195B47"/>
    <w:rsid w:val="00196A7C"/>
    <w:rsid w:val="001972F6"/>
    <w:rsid w:val="001A089B"/>
    <w:rsid w:val="001A08D1"/>
    <w:rsid w:val="001A0989"/>
    <w:rsid w:val="001A0A25"/>
    <w:rsid w:val="001A0B77"/>
    <w:rsid w:val="001A133F"/>
    <w:rsid w:val="001A1C24"/>
    <w:rsid w:val="001A27B2"/>
    <w:rsid w:val="001A2CE3"/>
    <w:rsid w:val="001A3313"/>
    <w:rsid w:val="001A35B2"/>
    <w:rsid w:val="001A39B9"/>
    <w:rsid w:val="001A3AB9"/>
    <w:rsid w:val="001A3B5F"/>
    <w:rsid w:val="001A3BC8"/>
    <w:rsid w:val="001A3F7A"/>
    <w:rsid w:val="001A4548"/>
    <w:rsid w:val="001A49AA"/>
    <w:rsid w:val="001A4CC7"/>
    <w:rsid w:val="001A5B3E"/>
    <w:rsid w:val="001A5B9D"/>
    <w:rsid w:val="001A6C89"/>
    <w:rsid w:val="001A6E2C"/>
    <w:rsid w:val="001A6EF6"/>
    <w:rsid w:val="001A710D"/>
    <w:rsid w:val="001A7519"/>
    <w:rsid w:val="001A7775"/>
    <w:rsid w:val="001A7D0F"/>
    <w:rsid w:val="001B0229"/>
    <w:rsid w:val="001B0C74"/>
    <w:rsid w:val="001B133E"/>
    <w:rsid w:val="001B19ED"/>
    <w:rsid w:val="001B1E61"/>
    <w:rsid w:val="001B2009"/>
    <w:rsid w:val="001B230D"/>
    <w:rsid w:val="001B2433"/>
    <w:rsid w:val="001B26B7"/>
    <w:rsid w:val="001B296B"/>
    <w:rsid w:val="001B4073"/>
    <w:rsid w:val="001B4187"/>
    <w:rsid w:val="001B43E1"/>
    <w:rsid w:val="001B47AB"/>
    <w:rsid w:val="001B5534"/>
    <w:rsid w:val="001B5A03"/>
    <w:rsid w:val="001B62FB"/>
    <w:rsid w:val="001B632C"/>
    <w:rsid w:val="001B6920"/>
    <w:rsid w:val="001B6C72"/>
    <w:rsid w:val="001B6E70"/>
    <w:rsid w:val="001C09F6"/>
    <w:rsid w:val="001C2122"/>
    <w:rsid w:val="001C247F"/>
    <w:rsid w:val="001C2722"/>
    <w:rsid w:val="001C2A66"/>
    <w:rsid w:val="001C3437"/>
    <w:rsid w:val="001C4605"/>
    <w:rsid w:val="001C4D39"/>
    <w:rsid w:val="001C51B3"/>
    <w:rsid w:val="001C5D61"/>
    <w:rsid w:val="001C6358"/>
    <w:rsid w:val="001C678D"/>
    <w:rsid w:val="001C6E22"/>
    <w:rsid w:val="001C7D1A"/>
    <w:rsid w:val="001C7D90"/>
    <w:rsid w:val="001C7E9D"/>
    <w:rsid w:val="001D001E"/>
    <w:rsid w:val="001D0BE1"/>
    <w:rsid w:val="001D0BE9"/>
    <w:rsid w:val="001D1685"/>
    <w:rsid w:val="001D1A87"/>
    <w:rsid w:val="001D1FFD"/>
    <w:rsid w:val="001D24F9"/>
    <w:rsid w:val="001D31DA"/>
    <w:rsid w:val="001D32AD"/>
    <w:rsid w:val="001D3F04"/>
    <w:rsid w:val="001D4B79"/>
    <w:rsid w:val="001D63CE"/>
    <w:rsid w:val="001D7878"/>
    <w:rsid w:val="001D7EC3"/>
    <w:rsid w:val="001E029E"/>
    <w:rsid w:val="001E097F"/>
    <w:rsid w:val="001E0AE1"/>
    <w:rsid w:val="001E12A0"/>
    <w:rsid w:val="001E145A"/>
    <w:rsid w:val="001E15EA"/>
    <w:rsid w:val="001E19D1"/>
    <w:rsid w:val="001E2016"/>
    <w:rsid w:val="001E23C1"/>
    <w:rsid w:val="001E4FF0"/>
    <w:rsid w:val="001E5064"/>
    <w:rsid w:val="001E5AEC"/>
    <w:rsid w:val="001E7445"/>
    <w:rsid w:val="001E763F"/>
    <w:rsid w:val="001E78C7"/>
    <w:rsid w:val="001F0038"/>
    <w:rsid w:val="001F0A0A"/>
    <w:rsid w:val="001F1030"/>
    <w:rsid w:val="001F142A"/>
    <w:rsid w:val="001F1A82"/>
    <w:rsid w:val="001F1C66"/>
    <w:rsid w:val="001F1D87"/>
    <w:rsid w:val="001F1FB2"/>
    <w:rsid w:val="001F2B56"/>
    <w:rsid w:val="001F40FD"/>
    <w:rsid w:val="001F4718"/>
    <w:rsid w:val="001F4FE4"/>
    <w:rsid w:val="001F5759"/>
    <w:rsid w:val="001F5E22"/>
    <w:rsid w:val="001F6D2C"/>
    <w:rsid w:val="001F7413"/>
    <w:rsid w:val="001F7A36"/>
    <w:rsid w:val="001F7A68"/>
    <w:rsid w:val="0020024F"/>
    <w:rsid w:val="00200B16"/>
    <w:rsid w:val="00200C36"/>
    <w:rsid w:val="00200D46"/>
    <w:rsid w:val="0020120A"/>
    <w:rsid w:val="00203081"/>
    <w:rsid w:val="0020323B"/>
    <w:rsid w:val="002036BE"/>
    <w:rsid w:val="00204590"/>
    <w:rsid w:val="00204B31"/>
    <w:rsid w:val="002050F0"/>
    <w:rsid w:val="002050F2"/>
    <w:rsid w:val="00205337"/>
    <w:rsid w:val="00205458"/>
    <w:rsid w:val="002055DF"/>
    <w:rsid w:val="00205FCE"/>
    <w:rsid w:val="00206B3E"/>
    <w:rsid w:val="002078B8"/>
    <w:rsid w:val="00207A65"/>
    <w:rsid w:val="00207E2A"/>
    <w:rsid w:val="00210085"/>
    <w:rsid w:val="002100D8"/>
    <w:rsid w:val="00211465"/>
    <w:rsid w:val="00211E95"/>
    <w:rsid w:val="00212CC7"/>
    <w:rsid w:val="002130D3"/>
    <w:rsid w:val="00213C37"/>
    <w:rsid w:val="00213F83"/>
    <w:rsid w:val="00214CAB"/>
    <w:rsid w:val="00215069"/>
    <w:rsid w:val="0021669F"/>
    <w:rsid w:val="00216925"/>
    <w:rsid w:val="00216E7A"/>
    <w:rsid w:val="00216E87"/>
    <w:rsid w:val="002170CF"/>
    <w:rsid w:val="002176F6"/>
    <w:rsid w:val="00220342"/>
    <w:rsid w:val="0022067E"/>
    <w:rsid w:val="002213C1"/>
    <w:rsid w:val="00221583"/>
    <w:rsid w:val="002215B5"/>
    <w:rsid w:val="0022184B"/>
    <w:rsid w:val="00221FAE"/>
    <w:rsid w:val="00222D0D"/>
    <w:rsid w:val="00223988"/>
    <w:rsid w:val="00223E19"/>
    <w:rsid w:val="002247A6"/>
    <w:rsid w:val="00224A98"/>
    <w:rsid w:val="00224CEA"/>
    <w:rsid w:val="00225307"/>
    <w:rsid w:val="00225C14"/>
    <w:rsid w:val="00225DEA"/>
    <w:rsid w:val="00226B8F"/>
    <w:rsid w:val="00226C3E"/>
    <w:rsid w:val="00226E71"/>
    <w:rsid w:val="0022735A"/>
    <w:rsid w:val="00227DE2"/>
    <w:rsid w:val="002300FC"/>
    <w:rsid w:val="002306A6"/>
    <w:rsid w:val="00230840"/>
    <w:rsid w:val="00230A29"/>
    <w:rsid w:val="00231866"/>
    <w:rsid w:val="00231D6F"/>
    <w:rsid w:val="002323EF"/>
    <w:rsid w:val="00233BCA"/>
    <w:rsid w:val="00234E24"/>
    <w:rsid w:val="00234ED7"/>
    <w:rsid w:val="0023518E"/>
    <w:rsid w:val="00235BA8"/>
    <w:rsid w:val="0023617F"/>
    <w:rsid w:val="00236328"/>
    <w:rsid w:val="00236AC6"/>
    <w:rsid w:val="00236C42"/>
    <w:rsid w:val="0023717A"/>
    <w:rsid w:val="00237D99"/>
    <w:rsid w:val="002403F9"/>
    <w:rsid w:val="002418E4"/>
    <w:rsid w:val="00241BB3"/>
    <w:rsid w:val="00241C97"/>
    <w:rsid w:val="00241F65"/>
    <w:rsid w:val="00242467"/>
    <w:rsid w:val="00242635"/>
    <w:rsid w:val="00242658"/>
    <w:rsid w:val="00242CED"/>
    <w:rsid w:val="0024332B"/>
    <w:rsid w:val="00243C6D"/>
    <w:rsid w:val="002451D7"/>
    <w:rsid w:val="0024558C"/>
    <w:rsid w:val="00245A52"/>
    <w:rsid w:val="00245D4E"/>
    <w:rsid w:val="0024661E"/>
    <w:rsid w:val="00246914"/>
    <w:rsid w:val="00250444"/>
    <w:rsid w:val="00250D47"/>
    <w:rsid w:val="00251880"/>
    <w:rsid w:val="00251C4E"/>
    <w:rsid w:val="00251FE7"/>
    <w:rsid w:val="00252489"/>
    <w:rsid w:val="00252F5C"/>
    <w:rsid w:val="0025301A"/>
    <w:rsid w:val="0025341A"/>
    <w:rsid w:val="00253CD0"/>
    <w:rsid w:val="00254689"/>
    <w:rsid w:val="002552DF"/>
    <w:rsid w:val="00255307"/>
    <w:rsid w:val="00255E1B"/>
    <w:rsid w:val="00256A15"/>
    <w:rsid w:val="00256F00"/>
    <w:rsid w:val="0025708A"/>
    <w:rsid w:val="00257786"/>
    <w:rsid w:val="002601C6"/>
    <w:rsid w:val="00260218"/>
    <w:rsid w:val="0026167C"/>
    <w:rsid w:val="00261904"/>
    <w:rsid w:val="00261F51"/>
    <w:rsid w:val="00262689"/>
    <w:rsid w:val="00262A72"/>
    <w:rsid w:val="00262F8F"/>
    <w:rsid w:val="00263E14"/>
    <w:rsid w:val="00264A94"/>
    <w:rsid w:val="0026527F"/>
    <w:rsid w:val="002656C7"/>
    <w:rsid w:val="00265976"/>
    <w:rsid w:val="0026704C"/>
    <w:rsid w:val="00267793"/>
    <w:rsid w:val="0027008E"/>
    <w:rsid w:val="00270DDC"/>
    <w:rsid w:val="00270E19"/>
    <w:rsid w:val="002710A7"/>
    <w:rsid w:val="00271208"/>
    <w:rsid w:val="00271412"/>
    <w:rsid w:val="00271C9F"/>
    <w:rsid w:val="00271E84"/>
    <w:rsid w:val="00272722"/>
    <w:rsid w:val="00272FAF"/>
    <w:rsid w:val="00274243"/>
    <w:rsid w:val="002742D6"/>
    <w:rsid w:val="0027465A"/>
    <w:rsid w:val="00274674"/>
    <w:rsid w:val="002746AE"/>
    <w:rsid w:val="00274707"/>
    <w:rsid w:val="0027495C"/>
    <w:rsid w:val="002753EB"/>
    <w:rsid w:val="002758BF"/>
    <w:rsid w:val="00275C5E"/>
    <w:rsid w:val="00276684"/>
    <w:rsid w:val="002769AF"/>
    <w:rsid w:val="00277D88"/>
    <w:rsid w:val="00277EE2"/>
    <w:rsid w:val="002802C9"/>
    <w:rsid w:val="00280654"/>
    <w:rsid w:val="00281267"/>
    <w:rsid w:val="00282907"/>
    <w:rsid w:val="00282B5F"/>
    <w:rsid w:val="00282C1F"/>
    <w:rsid w:val="00282C22"/>
    <w:rsid w:val="0028332C"/>
    <w:rsid w:val="002835C6"/>
    <w:rsid w:val="002839A9"/>
    <w:rsid w:val="002840FB"/>
    <w:rsid w:val="002841CA"/>
    <w:rsid w:val="002842A1"/>
    <w:rsid w:val="002849BA"/>
    <w:rsid w:val="00284C22"/>
    <w:rsid w:val="00284FB7"/>
    <w:rsid w:val="002853AD"/>
    <w:rsid w:val="00285B27"/>
    <w:rsid w:val="00286265"/>
    <w:rsid w:val="00287F31"/>
    <w:rsid w:val="002908DB"/>
    <w:rsid w:val="00290978"/>
    <w:rsid w:val="00291744"/>
    <w:rsid w:val="002917B3"/>
    <w:rsid w:val="002917E7"/>
    <w:rsid w:val="00291C08"/>
    <w:rsid w:val="0029245E"/>
    <w:rsid w:val="00292CE0"/>
    <w:rsid w:val="00292D60"/>
    <w:rsid w:val="00293943"/>
    <w:rsid w:val="00293D07"/>
    <w:rsid w:val="00293E46"/>
    <w:rsid w:val="00294097"/>
    <w:rsid w:val="002955C5"/>
    <w:rsid w:val="00295A8D"/>
    <w:rsid w:val="00295CC4"/>
    <w:rsid w:val="002970D9"/>
    <w:rsid w:val="00297F0C"/>
    <w:rsid w:val="00297F52"/>
    <w:rsid w:val="002A04F2"/>
    <w:rsid w:val="002A0CC9"/>
    <w:rsid w:val="002A0D69"/>
    <w:rsid w:val="002A1564"/>
    <w:rsid w:val="002A1A6C"/>
    <w:rsid w:val="002A1B6F"/>
    <w:rsid w:val="002A21BD"/>
    <w:rsid w:val="002A2F17"/>
    <w:rsid w:val="002A30E7"/>
    <w:rsid w:val="002A371C"/>
    <w:rsid w:val="002A3B87"/>
    <w:rsid w:val="002A434C"/>
    <w:rsid w:val="002A44C5"/>
    <w:rsid w:val="002A49ED"/>
    <w:rsid w:val="002A4FFE"/>
    <w:rsid w:val="002A58F8"/>
    <w:rsid w:val="002A5D3C"/>
    <w:rsid w:val="002A5E89"/>
    <w:rsid w:val="002A6305"/>
    <w:rsid w:val="002A64B6"/>
    <w:rsid w:val="002A686F"/>
    <w:rsid w:val="002A6F5E"/>
    <w:rsid w:val="002A7907"/>
    <w:rsid w:val="002A7A50"/>
    <w:rsid w:val="002A7F15"/>
    <w:rsid w:val="002B097A"/>
    <w:rsid w:val="002B0A23"/>
    <w:rsid w:val="002B0F9B"/>
    <w:rsid w:val="002B25EA"/>
    <w:rsid w:val="002B2D74"/>
    <w:rsid w:val="002B344D"/>
    <w:rsid w:val="002B3C6F"/>
    <w:rsid w:val="002B40B2"/>
    <w:rsid w:val="002B4E94"/>
    <w:rsid w:val="002B5248"/>
    <w:rsid w:val="002B5F51"/>
    <w:rsid w:val="002B6129"/>
    <w:rsid w:val="002B694C"/>
    <w:rsid w:val="002B6BB2"/>
    <w:rsid w:val="002B7124"/>
    <w:rsid w:val="002B7198"/>
    <w:rsid w:val="002B7FF3"/>
    <w:rsid w:val="002C037B"/>
    <w:rsid w:val="002C0560"/>
    <w:rsid w:val="002C0BDA"/>
    <w:rsid w:val="002C0DDA"/>
    <w:rsid w:val="002C1190"/>
    <w:rsid w:val="002C129A"/>
    <w:rsid w:val="002C19B4"/>
    <w:rsid w:val="002C1C09"/>
    <w:rsid w:val="002C2757"/>
    <w:rsid w:val="002C2856"/>
    <w:rsid w:val="002C28B7"/>
    <w:rsid w:val="002C2CAB"/>
    <w:rsid w:val="002C35EC"/>
    <w:rsid w:val="002C3FE7"/>
    <w:rsid w:val="002C4A14"/>
    <w:rsid w:val="002C4BE4"/>
    <w:rsid w:val="002C4E7B"/>
    <w:rsid w:val="002C50AF"/>
    <w:rsid w:val="002C53B0"/>
    <w:rsid w:val="002C55FC"/>
    <w:rsid w:val="002C6EAD"/>
    <w:rsid w:val="002C7126"/>
    <w:rsid w:val="002C7227"/>
    <w:rsid w:val="002C726A"/>
    <w:rsid w:val="002C72AA"/>
    <w:rsid w:val="002C7B89"/>
    <w:rsid w:val="002D0CC7"/>
    <w:rsid w:val="002D14EE"/>
    <w:rsid w:val="002D154C"/>
    <w:rsid w:val="002D187E"/>
    <w:rsid w:val="002D1F50"/>
    <w:rsid w:val="002D2888"/>
    <w:rsid w:val="002D2DC5"/>
    <w:rsid w:val="002D31C6"/>
    <w:rsid w:val="002D36A6"/>
    <w:rsid w:val="002D371A"/>
    <w:rsid w:val="002D3810"/>
    <w:rsid w:val="002D3CB9"/>
    <w:rsid w:val="002D45FF"/>
    <w:rsid w:val="002D4877"/>
    <w:rsid w:val="002D57C1"/>
    <w:rsid w:val="002D5FC7"/>
    <w:rsid w:val="002D627D"/>
    <w:rsid w:val="002D6B1D"/>
    <w:rsid w:val="002D6D4C"/>
    <w:rsid w:val="002D7F0D"/>
    <w:rsid w:val="002E047E"/>
    <w:rsid w:val="002E1F0C"/>
    <w:rsid w:val="002E231D"/>
    <w:rsid w:val="002E26E8"/>
    <w:rsid w:val="002E2BE6"/>
    <w:rsid w:val="002E3739"/>
    <w:rsid w:val="002E3DBE"/>
    <w:rsid w:val="002E4757"/>
    <w:rsid w:val="002E4AF5"/>
    <w:rsid w:val="002E52CC"/>
    <w:rsid w:val="002E6847"/>
    <w:rsid w:val="002E6E6A"/>
    <w:rsid w:val="002E6EAA"/>
    <w:rsid w:val="002E7AA4"/>
    <w:rsid w:val="002F0AF7"/>
    <w:rsid w:val="002F1239"/>
    <w:rsid w:val="002F1341"/>
    <w:rsid w:val="002F14B9"/>
    <w:rsid w:val="002F291A"/>
    <w:rsid w:val="002F467A"/>
    <w:rsid w:val="002F4728"/>
    <w:rsid w:val="002F4C5D"/>
    <w:rsid w:val="002F561D"/>
    <w:rsid w:val="002F5826"/>
    <w:rsid w:val="002F6572"/>
    <w:rsid w:val="002F6A8F"/>
    <w:rsid w:val="002F6F4D"/>
    <w:rsid w:val="002F76FB"/>
    <w:rsid w:val="002F7A8B"/>
    <w:rsid w:val="0030009A"/>
    <w:rsid w:val="00300BC5"/>
    <w:rsid w:val="00300F95"/>
    <w:rsid w:val="003011B4"/>
    <w:rsid w:val="003013CC"/>
    <w:rsid w:val="00301F7D"/>
    <w:rsid w:val="003023B2"/>
    <w:rsid w:val="003023E4"/>
    <w:rsid w:val="003031DC"/>
    <w:rsid w:val="003041BE"/>
    <w:rsid w:val="00304D3F"/>
    <w:rsid w:val="00304E71"/>
    <w:rsid w:val="00305456"/>
    <w:rsid w:val="003054B3"/>
    <w:rsid w:val="00307101"/>
    <w:rsid w:val="00307190"/>
    <w:rsid w:val="003079C9"/>
    <w:rsid w:val="00307BAF"/>
    <w:rsid w:val="00310970"/>
    <w:rsid w:val="00310AAC"/>
    <w:rsid w:val="00310B89"/>
    <w:rsid w:val="00311FBA"/>
    <w:rsid w:val="003123FA"/>
    <w:rsid w:val="0031257D"/>
    <w:rsid w:val="00312E96"/>
    <w:rsid w:val="003137D1"/>
    <w:rsid w:val="00313D3D"/>
    <w:rsid w:val="00313D7E"/>
    <w:rsid w:val="003143C4"/>
    <w:rsid w:val="003148F2"/>
    <w:rsid w:val="00314E83"/>
    <w:rsid w:val="003151FE"/>
    <w:rsid w:val="003155E4"/>
    <w:rsid w:val="00315A77"/>
    <w:rsid w:val="0031695A"/>
    <w:rsid w:val="00316D3E"/>
    <w:rsid w:val="00316FE1"/>
    <w:rsid w:val="003170A7"/>
    <w:rsid w:val="00317AD0"/>
    <w:rsid w:val="00317DB7"/>
    <w:rsid w:val="0032040A"/>
    <w:rsid w:val="0032052B"/>
    <w:rsid w:val="00320D1D"/>
    <w:rsid w:val="00320FEF"/>
    <w:rsid w:val="003210E4"/>
    <w:rsid w:val="003218CC"/>
    <w:rsid w:val="00321D5C"/>
    <w:rsid w:val="00322568"/>
    <w:rsid w:val="00322A03"/>
    <w:rsid w:val="00322CF5"/>
    <w:rsid w:val="00322EDA"/>
    <w:rsid w:val="00323BBF"/>
    <w:rsid w:val="00323FEF"/>
    <w:rsid w:val="0032483A"/>
    <w:rsid w:val="0032564A"/>
    <w:rsid w:val="003258E4"/>
    <w:rsid w:val="00325FB2"/>
    <w:rsid w:val="0032609A"/>
    <w:rsid w:val="00326871"/>
    <w:rsid w:val="00326F95"/>
    <w:rsid w:val="00330E2A"/>
    <w:rsid w:val="0033116B"/>
    <w:rsid w:val="00331D9C"/>
    <w:rsid w:val="00333C51"/>
    <w:rsid w:val="00333F13"/>
    <w:rsid w:val="00333F43"/>
    <w:rsid w:val="00334DB4"/>
    <w:rsid w:val="00334E57"/>
    <w:rsid w:val="003358F9"/>
    <w:rsid w:val="00335BF8"/>
    <w:rsid w:val="00335C1E"/>
    <w:rsid w:val="00336AE0"/>
    <w:rsid w:val="00336D15"/>
    <w:rsid w:val="00337234"/>
    <w:rsid w:val="00337537"/>
    <w:rsid w:val="0034015E"/>
    <w:rsid w:val="003404B7"/>
    <w:rsid w:val="00340AB9"/>
    <w:rsid w:val="00340C72"/>
    <w:rsid w:val="0034177E"/>
    <w:rsid w:val="00342378"/>
    <w:rsid w:val="0034267C"/>
    <w:rsid w:val="00342873"/>
    <w:rsid w:val="00342D1C"/>
    <w:rsid w:val="00342DB3"/>
    <w:rsid w:val="00343399"/>
    <w:rsid w:val="00344656"/>
    <w:rsid w:val="003448AC"/>
    <w:rsid w:val="00344A45"/>
    <w:rsid w:val="00344EF8"/>
    <w:rsid w:val="0034539B"/>
    <w:rsid w:val="003455B5"/>
    <w:rsid w:val="00345A28"/>
    <w:rsid w:val="00345FA3"/>
    <w:rsid w:val="0034626B"/>
    <w:rsid w:val="003475C0"/>
    <w:rsid w:val="003478D9"/>
    <w:rsid w:val="00347A33"/>
    <w:rsid w:val="00350438"/>
    <w:rsid w:val="00350B0E"/>
    <w:rsid w:val="003511C7"/>
    <w:rsid w:val="0035144B"/>
    <w:rsid w:val="003517C7"/>
    <w:rsid w:val="00351FC6"/>
    <w:rsid w:val="003525A1"/>
    <w:rsid w:val="00352B59"/>
    <w:rsid w:val="00352B7E"/>
    <w:rsid w:val="003533C5"/>
    <w:rsid w:val="0035490F"/>
    <w:rsid w:val="00354CF1"/>
    <w:rsid w:val="00355213"/>
    <w:rsid w:val="00355683"/>
    <w:rsid w:val="00355FA3"/>
    <w:rsid w:val="00356B31"/>
    <w:rsid w:val="0035744C"/>
    <w:rsid w:val="0036055D"/>
    <w:rsid w:val="003609FB"/>
    <w:rsid w:val="00360C4F"/>
    <w:rsid w:val="00361895"/>
    <w:rsid w:val="00362A2D"/>
    <w:rsid w:val="00362C8A"/>
    <w:rsid w:val="00362D08"/>
    <w:rsid w:val="00364B93"/>
    <w:rsid w:val="00364BDE"/>
    <w:rsid w:val="00364D56"/>
    <w:rsid w:val="00365286"/>
    <w:rsid w:val="003652AA"/>
    <w:rsid w:val="003653D6"/>
    <w:rsid w:val="00365FB0"/>
    <w:rsid w:val="00366C2E"/>
    <w:rsid w:val="00367DD5"/>
    <w:rsid w:val="003708B1"/>
    <w:rsid w:val="0037098B"/>
    <w:rsid w:val="00370C85"/>
    <w:rsid w:val="00370CC9"/>
    <w:rsid w:val="00370F74"/>
    <w:rsid w:val="00370F8E"/>
    <w:rsid w:val="00370FBC"/>
    <w:rsid w:val="003716E1"/>
    <w:rsid w:val="00371AEE"/>
    <w:rsid w:val="00371C99"/>
    <w:rsid w:val="00371D5E"/>
    <w:rsid w:val="0037210E"/>
    <w:rsid w:val="0037263F"/>
    <w:rsid w:val="0037274B"/>
    <w:rsid w:val="0037324E"/>
    <w:rsid w:val="00373362"/>
    <w:rsid w:val="00373771"/>
    <w:rsid w:val="0037382D"/>
    <w:rsid w:val="0037394E"/>
    <w:rsid w:val="00373BFF"/>
    <w:rsid w:val="00373DCF"/>
    <w:rsid w:val="00374049"/>
    <w:rsid w:val="0037435B"/>
    <w:rsid w:val="00374D06"/>
    <w:rsid w:val="0037509C"/>
    <w:rsid w:val="00375648"/>
    <w:rsid w:val="00375D1B"/>
    <w:rsid w:val="0037676F"/>
    <w:rsid w:val="003768D3"/>
    <w:rsid w:val="00376EE7"/>
    <w:rsid w:val="00377178"/>
    <w:rsid w:val="003779A4"/>
    <w:rsid w:val="003779D4"/>
    <w:rsid w:val="0038000B"/>
    <w:rsid w:val="00381252"/>
    <w:rsid w:val="00381698"/>
    <w:rsid w:val="0038201F"/>
    <w:rsid w:val="0038391A"/>
    <w:rsid w:val="00384018"/>
    <w:rsid w:val="00384403"/>
    <w:rsid w:val="00384778"/>
    <w:rsid w:val="00384DF1"/>
    <w:rsid w:val="00385D6A"/>
    <w:rsid w:val="00385D72"/>
    <w:rsid w:val="00386267"/>
    <w:rsid w:val="003874E7"/>
    <w:rsid w:val="003879CA"/>
    <w:rsid w:val="00387B62"/>
    <w:rsid w:val="00390D54"/>
    <w:rsid w:val="00390F5F"/>
    <w:rsid w:val="0039125F"/>
    <w:rsid w:val="00391E48"/>
    <w:rsid w:val="00391FE8"/>
    <w:rsid w:val="00392E5C"/>
    <w:rsid w:val="00392F6D"/>
    <w:rsid w:val="00393449"/>
    <w:rsid w:val="003945A1"/>
    <w:rsid w:val="00395093"/>
    <w:rsid w:val="003951D2"/>
    <w:rsid w:val="00395423"/>
    <w:rsid w:val="00396890"/>
    <w:rsid w:val="00396FD5"/>
    <w:rsid w:val="003970FF"/>
    <w:rsid w:val="00397BEF"/>
    <w:rsid w:val="00397D67"/>
    <w:rsid w:val="00397DB4"/>
    <w:rsid w:val="003A0A51"/>
    <w:rsid w:val="003A107C"/>
    <w:rsid w:val="003A19D4"/>
    <w:rsid w:val="003A2389"/>
    <w:rsid w:val="003A2827"/>
    <w:rsid w:val="003A2B5A"/>
    <w:rsid w:val="003A31BF"/>
    <w:rsid w:val="003A3349"/>
    <w:rsid w:val="003A3512"/>
    <w:rsid w:val="003A3D07"/>
    <w:rsid w:val="003A3E00"/>
    <w:rsid w:val="003A4123"/>
    <w:rsid w:val="003A4623"/>
    <w:rsid w:val="003A4864"/>
    <w:rsid w:val="003A4AEE"/>
    <w:rsid w:val="003A4B6E"/>
    <w:rsid w:val="003A5D65"/>
    <w:rsid w:val="003A5F1C"/>
    <w:rsid w:val="003A600C"/>
    <w:rsid w:val="003A62CA"/>
    <w:rsid w:val="003A64E0"/>
    <w:rsid w:val="003A6CEA"/>
    <w:rsid w:val="003A7058"/>
    <w:rsid w:val="003A70AC"/>
    <w:rsid w:val="003A76B2"/>
    <w:rsid w:val="003A7807"/>
    <w:rsid w:val="003B0584"/>
    <w:rsid w:val="003B151C"/>
    <w:rsid w:val="003B16E9"/>
    <w:rsid w:val="003B1923"/>
    <w:rsid w:val="003B1962"/>
    <w:rsid w:val="003B1BEC"/>
    <w:rsid w:val="003B1CF8"/>
    <w:rsid w:val="003B226F"/>
    <w:rsid w:val="003B4138"/>
    <w:rsid w:val="003B5181"/>
    <w:rsid w:val="003B53CB"/>
    <w:rsid w:val="003B5BF9"/>
    <w:rsid w:val="003B5EF2"/>
    <w:rsid w:val="003B6A42"/>
    <w:rsid w:val="003B6BC1"/>
    <w:rsid w:val="003B75B4"/>
    <w:rsid w:val="003B7AB0"/>
    <w:rsid w:val="003C1141"/>
    <w:rsid w:val="003C16D1"/>
    <w:rsid w:val="003C1A2A"/>
    <w:rsid w:val="003C1CF3"/>
    <w:rsid w:val="003C1F7B"/>
    <w:rsid w:val="003C3474"/>
    <w:rsid w:val="003C3885"/>
    <w:rsid w:val="003C41D3"/>
    <w:rsid w:val="003C4A22"/>
    <w:rsid w:val="003C4CE6"/>
    <w:rsid w:val="003C4CFA"/>
    <w:rsid w:val="003C535A"/>
    <w:rsid w:val="003C5514"/>
    <w:rsid w:val="003C58BA"/>
    <w:rsid w:val="003C6A83"/>
    <w:rsid w:val="003C6E86"/>
    <w:rsid w:val="003C73A9"/>
    <w:rsid w:val="003C78C1"/>
    <w:rsid w:val="003C7F5A"/>
    <w:rsid w:val="003D255B"/>
    <w:rsid w:val="003D406B"/>
    <w:rsid w:val="003D436A"/>
    <w:rsid w:val="003D50F8"/>
    <w:rsid w:val="003D58A3"/>
    <w:rsid w:val="003D5FC2"/>
    <w:rsid w:val="003D7C01"/>
    <w:rsid w:val="003E1A4A"/>
    <w:rsid w:val="003E1B12"/>
    <w:rsid w:val="003E1B68"/>
    <w:rsid w:val="003E1F26"/>
    <w:rsid w:val="003E27EE"/>
    <w:rsid w:val="003E2874"/>
    <w:rsid w:val="003E2942"/>
    <w:rsid w:val="003E3033"/>
    <w:rsid w:val="003E354B"/>
    <w:rsid w:val="003E39CF"/>
    <w:rsid w:val="003E3E3C"/>
    <w:rsid w:val="003E40CE"/>
    <w:rsid w:val="003E4B82"/>
    <w:rsid w:val="003E5D76"/>
    <w:rsid w:val="003E6D79"/>
    <w:rsid w:val="003E6E4C"/>
    <w:rsid w:val="003E6FC2"/>
    <w:rsid w:val="003E793F"/>
    <w:rsid w:val="003E7E2C"/>
    <w:rsid w:val="003F0099"/>
    <w:rsid w:val="003F00BC"/>
    <w:rsid w:val="003F0104"/>
    <w:rsid w:val="003F06E1"/>
    <w:rsid w:val="003F10F3"/>
    <w:rsid w:val="003F1613"/>
    <w:rsid w:val="003F241C"/>
    <w:rsid w:val="003F3971"/>
    <w:rsid w:val="003F3B81"/>
    <w:rsid w:val="003F3D92"/>
    <w:rsid w:val="003F52F7"/>
    <w:rsid w:val="003F6159"/>
    <w:rsid w:val="003F6187"/>
    <w:rsid w:val="003F74AE"/>
    <w:rsid w:val="003F7515"/>
    <w:rsid w:val="003F7614"/>
    <w:rsid w:val="003F77BE"/>
    <w:rsid w:val="003F7AD3"/>
    <w:rsid w:val="003F7BF3"/>
    <w:rsid w:val="00400890"/>
    <w:rsid w:val="00400A7D"/>
    <w:rsid w:val="00401BA7"/>
    <w:rsid w:val="00401DA5"/>
    <w:rsid w:val="00402D35"/>
    <w:rsid w:val="0040342D"/>
    <w:rsid w:val="0040365A"/>
    <w:rsid w:val="00403E4F"/>
    <w:rsid w:val="00404164"/>
    <w:rsid w:val="004045C7"/>
    <w:rsid w:val="00404763"/>
    <w:rsid w:val="00404881"/>
    <w:rsid w:val="00404E4A"/>
    <w:rsid w:val="00405CC8"/>
    <w:rsid w:val="00405DA1"/>
    <w:rsid w:val="00406618"/>
    <w:rsid w:val="00406A96"/>
    <w:rsid w:val="0041081F"/>
    <w:rsid w:val="00410A99"/>
    <w:rsid w:val="004110A5"/>
    <w:rsid w:val="00411505"/>
    <w:rsid w:val="004122EC"/>
    <w:rsid w:val="00412AD5"/>
    <w:rsid w:val="00412AEC"/>
    <w:rsid w:val="0041377E"/>
    <w:rsid w:val="00413B3A"/>
    <w:rsid w:val="00414818"/>
    <w:rsid w:val="0041521F"/>
    <w:rsid w:val="0041530C"/>
    <w:rsid w:val="0041559E"/>
    <w:rsid w:val="0041597A"/>
    <w:rsid w:val="00416062"/>
    <w:rsid w:val="004161EE"/>
    <w:rsid w:val="00416407"/>
    <w:rsid w:val="00416473"/>
    <w:rsid w:val="00416967"/>
    <w:rsid w:val="00416AC0"/>
    <w:rsid w:val="00416CB9"/>
    <w:rsid w:val="00417E47"/>
    <w:rsid w:val="004209AC"/>
    <w:rsid w:val="00420D4A"/>
    <w:rsid w:val="004211FC"/>
    <w:rsid w:val="004222C7"/>
    <w:rsid w:val="00422314"/>
    <w:rsid w:val="00422E2A"/>
    <w:rsid w:val="004232BA"/>
    <w:rsid w:val="0042382A"/>
    <w:rsid w:val="00423B52"/>
    <w:rsid w:val="00423BF4"/>
    <w:rsid w:val="004245A7"/>
    <w:rsid w:val="00424AD5"/>
    <w:rsid w:val="00424CFE"/>
    <w:rsid w:val="00424F17"/>
    <w:rsid w:val="00424FBF"/>
    <w:rsid w:val="004259BB"/>
    <w:rsid w:val="00426C80"/>
    <w:rsid w:val="00426C8B"/>
    <w:rsid w:val="00427380"/>
    <w:rsid w:val="00431A7F"/>
    <w:rsid w:val="00431D98"/>
    <w:rsid w:val="004326E2"/>
    <w:rsid w:val="00432D6A"/>
    <w:rsid w:val="004332B1"/>
    <w:rsid w:val="0043382C"/>
    <w:rsid w:val="00433EA5"/>
    <w:rsid w:val="00434194"/>
    <w:rsid w:val="0043426D"/>
    <w:rsid w:val="0043431B"/>
    <w:rsid w:val="00434673"/>
    <w:rsid w:val="00434AA4"/>
    <w:rsid w:val="00434BC8"/>
    <w:rsid w:val="004359EC"/>
    <w:rsid w:val="00435BCA"/>
    <w:rsid w:val="00435CB4"/>
    <w:rsid w:val="00436161"/>
    <w:rsid w:val="00437FC6"/>
    <w:rsid w:val="00440B0F"/>
    <w:rsid w:val="00440BC7"/>
    <w:rsid w:val="0044151F"/>
    <w:rsid w:val="00441711"/>
    <w:rsid w:val="00441FF2"/>
    <w:rsid w:val="00442648"/>
    <w:rsid w:val="004426BB"/>
    <w:rsid w:val="004426EA"/>
    <w:rsid w:val="00442C9F"/>
    <w:rsid w:val="004442B5"/>
    <w:rsid w:val="00444603"/>
    <w:rsid w:val="00444771"/>
    <w:rsid w:val="00444A3A"/>
    <w:rsid w:val="00444D75"/>
    <w:rsid w:val="004451AE"/>
    <w:rsid w:val="0044614C"/>
    <w:rsid w:val="00447CAC"/>
    <w:rsid w:val="004504E8"/>
    <w:rsid w:val="004506B2"/>
    <w:rsid w:val="004506D9"/>
    <w:rsid w:val="0045136D"/>
    <w:rsid w:val="004520C3"/>
    <w:rsid w:val="00452529"/>
    <w:rsid w:val="004525F2"/>
    <w:rsid w:val="00452A92"/>
    <w:rsid w:val="00453670"/>
    <w:rsid w:val="00453914"/>
    <w:rsid w:val="00454E12"/>
    <w:rsid w:val="00455050"/>
    <w:rsid w:val="00455220"/>
    <w:rsid w:val="004562C7"/>
    <w:rsid w:val="0045764F"/>
    <w:rsid w:val="00457806"/>
    <w:rsid w:val="00457FAF"/>
    <w:rsid w:val="00460625"/>
    <w:rsid w:val="00460ABA"/>
    <w:rsid w:val="00462AC8"/>
    <w:rsid w:val="00462DD1"/>
    <w:rsid w:val="00463126"/>
    <w:rsid w:val="00463D0B"/>
    <w:rsid w:val="00464189"/>
    <w:rsid w:val="004643D1"/>
    <w:rsid w:val="0046484C"/>
    <w:rsid w:val="00464A44"/>
    <w:rsid w:val="00464B24"/>
    <w:rsid w:val="00465DFA"/>
    <w:rsid w:val="0046630D"/>
    <w:rsid w:val="00466C90"/>
    <w:rsid w:val="00467717"/>
    <w:rsid w:val="00467743"/>
    <w:rsid w:val="00467B4A"/>
    <w:rsid w:val="00467EAE"/>
    <w:rsid w:val="00470090"/>
    <w:rsid w:val="0047191B"/>
    <w:rsid w:val="00471CAE"/>
    <w:rsid w:val="004730C2"/>
    <w:rsid w:val="004737B6"/>
    <w:rsid w:val="00474B72"/>
    <w:rsid w:val="00474C13"/>
    <w:rsid w:val="00474D7A"/>
    <w:rsid w:val="00474F3A"/>
    <w:rsid w:val="0047569B"/>
    <w:rsid w:val="00475EA2"/>
    <w:rsid w:val="00476389"/>
    <w:rsid w:val="004773D2"/>
    <w:rsid w:val="0047751C"/>
    <w:rsid w:val="00477A68"/>
    <w:rsid w:val="00477C58"/>
    <w:rsid w:val="0048011C"/>
    <w:rsid w:val="0048056B"/>
    <w:rsid w:val="00481092"/>
    <w:rsid w:val="00481520"/>
    <w:rsid w:val="004820FB"/>
    <w:rsid w:val="00482237"/>
    <w:rsid w:val="004828E3"/>
    <w:rsid w:val="00482CF8"/>
    <w:rsid w:val="004832D0"/>
    <w:rsid w:val="004834B0"/>
    <w:rsid w:val="00483773"/>
    <w:rsid w:val="00483777"/>
    <w:rsid w:val="00483870"/>
    <w:rsid w:val="00483D3C"/>
    <w:rsid w:val="00483FF1"/>
    <w:rsid w:val="004842B6"/>
    <w:rsid w:val="00484AD4"/>
    <w:rsid w:val="00484CD6"/>
    <w:rsid w:val="00485051"/>
    <w:rsid w:val="00485266"/>
    <w:rsid w:val="00485EC3"/>
    <w:rsid w:val="00486258"/>
    <w:rsid w:val="0048660F"/>
    <w:rsid w:val="00486C0F"/>
    <w:rsid w:val="00486D70"/>
    <w:rsid w:val="00486E58"/>
    <w:rsid w:val="00486FC4"/>
    <w:rsid w:val="0048752B"/>
    <w:rsid w:val="00490BED"/>
    <w:rsid w:val="00491B96"/>
    <w:rsid w:val="00491F06"/>
    <w:rsid w:val="00492359"/>
    <w:rsid w:val="004929AA"/>
    <w:rsid w:val="00492DCC"/>
    <w:rsid w:val="0049305C"/>
    <w:rsid w:val="00493130"/>
    <w:rsid w:val="00493740"/>
    <w:rsid w:val="00494961"/>
    <w:rsid w:val="00494A1D"/>
    <w:rsid w:val="0049588D"/>
    <w:rsid w:val="0049661A"/>
    <w:rsid w:val="00496BA3"/>
    <w:rsid w:val="00496E84"/>
    <w:rsid w:val="00497589"/>
    <w:rsid w:val="004975C9"/>
    <w:rsid w:val="0049790D"/>
    <w:rsid w:val="00497B46"/>
    <w:rsid w:val="00497BBA"/>
    <w:rsid w:val="00497C38"/>
    <w:rsid w:val="004A00D8"/>
    <w:rsid w:val="004A065E"/>
    <w:rsid w:val="004A0779"/>
    <w:rsid w:val="004A0A00"/>
    <w:rsid w:val="004A1D16"/>
    <w:rsid w:val="004A1F6B"/>
    <w:rsid w:val="004A1F89"/>
    <w:rsid w:val="004A2780"/>
    <w:rsid w:val="004A4833"/>
    <w:rsid w:val="004A512A"/>
    <w:rsid w:val="004A54CD"/>
    <w:rsid w:val="004A5FF9"/>
    <w:rsid w:val="004A623F"/>
    <w:rsid w:val="004A672A"/>
    <w:rsid w:val="004B025B"/>
    <w:rsid w:val="004B040A"/>
    <w:rsid w:val="004B0631"/>
    <w:rsid w:val="004B06DB"/>
    <w:rsid w:val="004B070D"/>
    <w:rsid w:val="004B0744"/>
    <w:rsid w:val="004B1186"/>
    <w:rsid w:val="004B1DB3"/>
    <w:rsid w:val="004B2A99"/>
    <w:rsid w:val="004B31C5"/>
    <w:rsid w:val="004B3692"/>
    <w:rsid w:val="004B3B5A"/>
    <w:rsid w:val="004B4102"/>
    <w:rsid w:val="004B57E9"/>
    <w:rsid w:val="004B613B"/>
    <w:rsid w:val="004B6478"/>
    <w:rsid w:val="004B6AFE"/>
    <w:rsid w:val="004B6D72"/>
    <w:rsid w:val="004B6E88"/>
    <w:rsid w:val="004B719B"/>
    <w:rsid w:val="004B7207"/>
    <w:rsid w:val="004B7584"/>
    <w:rsid w:val="004B7C4C"/>
    <w:rsid w:val="004B7E73"/>
    <w:rsid w:val="004C036D"/>
    <w:rsid w:val="004C04CB"/>
    <w:rsid w:val="004C0515"/>
    <w:rsid w:val="004C0671"/>
    <w:rsid w:val="004C15B2"/>
    <w:rsid w:val="004C1D04"/>
    <w:rsid w:val="004C26BE"/>
    <w:rsid w:val="004C2A69"/>
    <w:rsid w:val="004C2E1C"/>
    <w:rsid w:val="004C307F"/>
    <w:rsid w:val="004C58F1"/>
    <w:rsid w:val="004C5E45"/>
    <w:rsid w:val="004C66B7"/>
    <w:rsid w:val="004C6A0A"/>
    <w:rsid w:val="004C7D03"/>
    <w:rsid w:val="004D1360"/>
    <w:rsid w:val="004D2594"/>
    <w:rsid w:val="004D27D7"/>
    <w:rsid w:val="004D2972"/>
    <w:rsid w:val="004D2EC7"/>
    <w:rsid w:val="004D2FC1"/>
    <w:rsid w:val="004D3363"/>
    <w:rsid w:val="004D4728"/>
    <w:rsid w:val="004D4860"/>
    <w:rsid w:val="004D5076"/>
    <w:rsid w:val="004D5349"/>
    <w:rsid w:val="004D546A"/>
    <w:rsid w:val="004D58D7"/>
    <w:rsid w:val="004D5AA6"/>
    <w:rsid w:val="004D6ED9"/>
    <w:rsid w:val="004D72CA"/>
    <w:rsid w:val="004D7D4E"/>
    <w:rsid w:val="004E0E62"/>
    <w:rsid w:val="004E1014"/>
    <w:rsid w:val="004E118F"/>
    <w:rsid w:val="004E167E"/>
    <w:rsid w:val="004E1DF9"/>
    <w:rsid w:val="004E1F99"/>
    <w:rsid w:val="004E2110"/>
    <w:rsid w:val="004E219A"/>
    <w:rsid w:val="004E333D"/>
    <w:rsid w:val="004E3426"/>
    <w:rsid w:val="004E384A"/>
    <w:rsid w:val="004E3B8D"/>
    <w:rsid w:val="004E3E67"/>
    <w:rsid w:val="004E409D"/>
    <w:rsid w:val="004E4E92"/>
    <w:rsid w:val="004E50C3"/>
    <w:rsid w:val="004E5129"/>
    <w:rsid w:val="004E51BC"/>
    <w:rsid w:val="004E56A0"/>
    <w:rsid w:val="004E59ED"/>
    <w:rsid w:val="004E6B2C"/>
    <w:rsid w:val="004E6D9C"/>
    <w:rsid w:val="004E6E6A"/>
    <w:rsid w:val="004E7011"/>
    <w:rsid w:val="004E7139"/>
    <w:rsid w:val="004E7279"/>
    <w:rsid w:val="004E7D43"/>
    <w:rsid w:val="004F09F8"/>
    <w:rsid w:val="004F10E6"/>
    <w:rsid w:val="004F1BB6"/>
    <w:rsid w:val="004F1F67"/>
    <w:rsid w:val="004F2092"/>
    <w:rsid w:val="004F2420"/>
    <w:rsid w:val="004F3033"/>
    <w:rsid w:val="004F3B4E"/>
    <w:rsid w:val="004F4E6D"/>
    <w:rsid w:val="004F579B"/>
    <w:rsid w:val="004F5FCE"/>
    <w:rsid w:val="004F6215"/>
    <w:rsid w:val="004F6BD0"/>
    <w:rsid w:val="004F7237"/>
    <w:rsid w:val="004F744F"/>
    <w:rsid w:val="004F75F5"/>
    <w:rsid w:val="004F7C1D"/>
    <w:rsid w:val="004F7C9F"/>
    <w:rsid w:val="004F7E33"/>
    <w:rsid w:val="005000E5"/>
    <w:rsid w:val="0050095E"/>
    <w:rsid w:val="00500DE6"/>
    <w:rsid w:val="00500E4E"/>
    <w:rsid w:val="00501239"/>
    <w:rsid w:val="005012D0"/>
    <w:rsid w:val="0050188D"/>
    <w:rsid w:val="00501A0E"/>
    <w:rsid w:val="00501FB5"/>
    <w:rsid w:val="00502E1F"/>
    <w:rsid w:val="00502F10"/>
    <w:rsid w:val="0050334B"/>
    <w:rsid w:val="00503C70"/>
    <w:rsid w:val="00503F51"/>
    <w:rsid w:val="00504B05"/>
    <w:rsid w:val="005054F9"/>
    <w:rsid w:val="005055FA"/>
    <w:rsid w:val="00505931"/>
    <w:rsid w:val="00505FA3"/>
    <w:rsid w:val="005069BF"/>
    <w:rsid w:val="00507268"/>
    <w:rsid w:val="005078A7"/>
    <w:rsid w:val="00507A02"/>
    <w:rsid w:val="00510C65"/>
    <w:rsid w:val="00512312"/>
    <w:rsid w:val="005127FE"/>
    <w:rsid w:val="00512E64"/>
    <w:rsid w:val="00513089"/>
    <w:rsid w:val="00513582"/>
    <w:rsid w:val="005137B3"/>
    <w:rsid w:val="00513C48"/>
    <w:rsid w:val="00513E20"/>
    <w:rsid w:val="0051415C"/>
    <w:rsid w:val="005145EC"/>
    <w:rsid w:val="00514B0F"/>
    <w:rsid w:val="00514BDD"/>
    <w:rsid w:val="00514BE6"/>
    <w:rsid w:val="00514D1D"/>
    <w:rsid w:val="00514E51"/>
    <w:rsid w:val="005150A8"/>
    <w:rsid w:val="005164D4"/>
    <w:rsid w:val="00516648"/>
    <w:rsid w:val="00516893"/>
    <w:rsid w:val="005173C0"/>
    <w:rsid w:val="00517E88"/>
    <w:rsid w:val="005203DA"/>
    <w:rsid w:val="005203F6"/>
    <w:rsid w:val="00520C2E"/>
    <w:rsid w:val="005216D1"/>
    <w:rsid w:val="005217A2"/>
    <w:rsid w:val="00522077"/>
    <w:rsid w:val="00522A6E"/>
    <w:rsid w:val="0052320A"/>
    <w:rsid w:val="00523799"/>
    <w:rsid w:val="00523D38"/>
    <w:rsid w:val="005241C4"/>
    <w:rsid w:val="00524C65"/>
    <w:rsid w:val="00524D9F"/>
    <w:rsid w:val="005255EE"/>
    <w:rsid w:val="0052561D"/>
    <w:rsid w:val="00525A7D"/>
    <w:rsid w:val="00526449"/>
    <w:rsid w:val="005268A5"/>
    <w:rsid w:val="00526E6A"/>
    <w:rsid w:val="00527DE0"/>
    <w:rsid w:val="0053045D"/>
    <w:rsid w:val="005307D0"/>
    <w:rsid w:val="00530868"/>
    <w:rsid w:val="00530A46"/>
    <w:rsid w:val="00530B1E"/>
    <w:rsid w:val="00531021"/>
    <w:rsid w:val="005310B3"/>
    <w:rsid w:val="0053125C"/>
    <w:rsid w:val="0053192C"/>
    <w:rsid w:val="00531C37"/>
    <w:rsid w:val="005327A8"/>
    <w:rsid w:val="00533340"/>
    <w:rsid w:val="00534060"/>
    <w:rsid w:val="00534093"/>
    <w:rsid w:val="00534426"/>
    <w:rsid w:val="0053502A"/>
    <w:rsid w:val="005352A5"/>
    <w:rsid w:val="00536070"/>
    <w:rsid w:val="00536A3D"/>
    <w:rsid w:val="00536F75"/>
    <w:rsid w:val="005379AC"/>
    <w:rsid w:val="00537D78"/>
    <w:rsid w:val="00537E15"/>
    <w:rsid w:val="005402D5"/>
    <w:rsid w:val="00540794"/>
    <w:rsid w:val="00540BF3"/>
    <w:rsid w:val="00540EAC"/>
    <w:rsid w:val="005417D6"/>
    <w:rsid w:val="005417DA"/>
    <w:rsid w:val="00541A23"/>
    <w:rsid w:val="00541AFA"/>
    <w:rsid w:val="005429B8"/>
    <w:rsid w:val="00542E65"/>
    <w:rsid w:val="005442AA"/>
    <w:rsid w:val="005446FE"/>
    <w:rsid w:val="00545DF2"/>
    <w:rsid w:val="00546160"/>
    <w:rsid w:val="005463F3"/>
    <w:rsid w:val="00546C97"/>
    <w:rsid w:val="0054727E"/>
    <w:rsid w:val="0054763D"/>
    <w:rsid w:val="005503F9"/>
    <w:rsid w:val="00550A8B"/>
    <w:rsid w:val="00550B38"/>
    <w:rsid w:val="00550D37"/>
    <w:rsid w:val="00552C1B"/>
    <w:rsid w:val="00553246"/>
    <w:rsid w:val="005539D1"/>
    <w:rsid w:val="00553F54"/>
    <w:rsid w:val="005540E8"/>
    <w:rsid w:val="0055484B"/>
    <w:rsid w:val="0055508F"/>
    <w:rsid w:val="00555521"/>
    <w:rsid w:val="00555637"/>
    <w:rsid w:val="00555F3E"/>
    <w:rsid w:val="00556FD6"/>
    <w:rsid w:val="00557E2D"/>
    <w:rsid w:val="0056027B"/>
    <w:rsid w:val="005609C4"/>
    <w:rsid w:val="00561987"/>
    <w:rsid w:val="00561CDF"/>
    <w:rsid w:val="005620D9"/>
    <w:rsid w:val="00562444"/>
    <w:rsid w:val="0056245F"/>
    <w:rsid w:val="005632EF"/>
    <w:rsid w:val="00563A0A"/>
    <w:rsid w:val="00563E89"/>
    <w:rsid w:val="00564331"/>
    <w:rsid w:val="00564E0A"/>
    <w:rsid w:val="00564E6B"/>
    <w:rsid w:val="00564F18"/>
    <w:rsid w:val="00565AF5"/>
    <w:rsid w:val="00566025"/>
    <w:rsid w:val="005661CB"/>
    <w:rsid w:val="0056666D"/>
    <w:rsid w:val="00566720"/>
    <w:rsid w:val="005667A6"/>
    <w:rsid w:val="005667E5"/>
    <w:rsid w:val="00566D67"/>
    <w:rsid w:val="005673D9"/>
    <w:rsid w:val="00570A4C"/>
    <w:rsid w:val="00570CCA"/>
    <w:rsid w:val="00570DDA"/>
    <w:rsid w:val="00571075"/>
    <w:rsid w:val="005710C4"/>
    <w:rsid w:val="00571E38"/>
    <w:rsid w:val="0057271D"/>
    <w:rsid w:val="00572AB2"/>
    <w:rsid w:val="00573179"/>
    <w:rsid w:val="005756C1"/>
    <w:rsid w:val="005757FE"/>
    <w:rsid w:val="00577EBD"/>
    <w:rsid w:val="00581287"/>
    <w:rsid w:val="00581DB7"/>
    <w:rsid w:val="00581E37"/>
    <w:rsid w:val="00581F78"/>
    <w:rsid w:val="005824EF"/>
    <w:rsid w:val="00582C82"/>
    <w:rsid w:val="005836EB"/>
    <w:rsid w:val="005837C0"/>
    <w:rsid w:val="00583950"/>
    <w:rsid w:val="0058397A"/>
    <w:rsid w:val="00584420"/>
    <w:rsid w:val="00584E0D"/>
    <w:rsid w:val="00584EE4"/>
    <w:rsid w:val="00585E33"/>
    <w:rsid w:val="005861DC"/>
    <w:rsid w:val="005864A3"/>
    <w:rsid w:val="00587FF7"/>
    <w:rsid w:val="0059041D"/>
    <w:rsid w:val="005909F4"/>
    <w:rsid w:val="00590B8F"/>
    <w:rsid w:val="005911F6"/>
    <w:rsid w:val="00591975"/>
    <w:rsid w:val="00592501"/>
    <w:rsid w:val="00592F16"/>
    <w:rsid w:val="00593243"/>
    <w:rsid w:val="005938BE"/>
    <w:rsid w:val="00593A68"/>
    <w:rsid w:val="00593B59"/>
    <w:rsid w:val="00593C68"/>
    <w:rsid w:val="0059413E"/>
    <w:rsid w:val="00594941"/>
    <w:rsid w:val="00594DF9"/>
    <w:rsid w:val="005957CE"/>
    <w:rsid w:val="00595835"/>
    <w:rsid w:val="00595A0C"/>
    <w:rsid w:val="00595BC3"/>
    <w:rsid w:val="00595EDA"/>
    <w:rsid w:val="005960A8"/>
    <w:rsid w:val="00596472"/>
    <w:rsid w:val="00596480"/>
    <w:rsid w:val="00596A01"/>
    <w:rsid w:val="00596C55"/>
    <w:rsid w:val="00597524"/>
    <w:rsid w:val="005A011A"/>
    <w:rsid w:val="005A0560"/>
    <w:rsid w:val="005A1679"/>
    <w:rsid w:val="005A1AF2"/>
    <w:rsid w:val="005A2309"/>
    <w:rsid w:val="005A24D1"/>
    <w:rsid w:val="005A27CB"/>
    <w:rsid w:val="005A315F"/>
    <w:rsid w:val="005A35D4"/>
    <w:rsid w:val="005A37D0"/>
    <w:rsid w:val="005A3881"/>
    <w:rsid w:val="005A38DF"/>
    <w:rsid w:val="005A3C38"/>
    <w:rsid w:val="005A3C99"/>
    <w:rsid w:val="005A4139"/>
    <w:rsid w:val="005A4718"/>
    <w:rsid w:val="005A4B72"/>
    <w:rsid w:val="005A4DF8"/>
    <w:rsid w:val="005A4E40"/>
    <w:rsid w:val="005A4ED0"/>
    <w:rsid w:val="005A5721"/>
    <w:rsid w:val="005A5BC6"/>
    <w:rsid w:val="005A607E"/>
    <w:rsid w:val="005A612E"/>
    <w:rsid w:val="005A7EBB"/>
    <w:rsid w:val="005B0005"/>
    <w:rsid w:val="005B007F"/>
    <w:rsid w:val="005B03C0"/>
    <w:rsid w:val="005B084F"/>
    <w:rsid w:val="005B0E4E"/>
    <w:rsid w:val="005B1D5E"/>
    <w:rsid w:val="005B287A"/>
    <w:rsid w:val="005B297E"/>
    <w:rsid w:val="005B298B"/>
    <w:rsid w:val="005B3067"/>
    <w:rsid w:val="005B3B96"/>
    <w:rsid w:val="005B3BBF"/>
    <w:rsid w:val="005B4099"/>
    <w:rsid w:val="005B4362"/>
    <w:rsid w:val="005B4A87"/>
    <w:rsid w:val="005B5F7E"/>
    <w:rsid w:val="005B6286"/>
    <w:rsid w:val="005B6299"/>
    <w:rsid w:val="005B69E5"/>
    <w:rsid w:val="005B6D26"/>
    <w:rsid w:val="005B7802"/>
    <w:rsid w:val="005B7DD8"/>
    <w:rsid w:val="005C0A26"/>
    <w:rsid w:val="005C0D3D"/>
    <w:rsid w:val="005C2E1C"/>
    <w:rsid w:val="005C3392"/>
    <w:rsid w:val="005C3620"/>
    <w:rsid w:val="005C3716"/>
    <w:rsid w:val="005C4170"/>
    <w:rsid w:val="005C465F"/>
    <w:rsid w:val="005C47F7"/>
    <w:rsid w:val="005C4A87"/>
    <w:rsid w:val="005C52D3"/>
    <w:rsid w:val="005C52F3"/>
    <w:rsid w:val="005C5351"/>
    <w:rsid w:val="005C5375"/>
    <w:rsid w:val="005C55EB"/>
    <w:rsid w:val="005C5A39"/>
    <w:rsid w:val="005C6FF6"/>
    <w:rsid w:val="005C7137"/>
    <w:rsid w:val="005C7356"/>
    <w:rsid w:val="005C7478"/>
    <w:rsid w:val="005C776C"/>
    <w:rsid w:val="005C796D"/>
    <w:rsid w:val="005C7AC5"/>
    <w:rsid w:val="005D027E"/>
    <w:rsid w:val="005D16AF"/>
    <w:rsid w:val="005D1BA6"/>
    <w:rsid w:val="005D1D12"/>
    <w:rsid w:val="005D272C"/>
    <w:rsid w:val="005D288F"/>
    <w:rsid w:val="005D2928"/>
    <w:rsid w:val="005D2A35"/>
    <w:rsid w:val="005D2D4A"/>
    <w:rsid w:val="005D3566"/>
    <w:rsid w:val="005D3631"/>
    <w:rsid w:val="005D38A0"/>
    <w:rsid w:val="005D3AD8"/>
    <w:rsid w:val="005D43DD"/>
    <w:rsid w:val="005D4C0C"/>
    <w:rsid w:val="005D4E59"/>
    <w:rsid w:val="005D53DE"/>
    <w:rsid w:val="005D6807"/>
    <w:rsid w:val="005D6FBF"/>
    <w:rsid w:val="005D7454"/>
    <w:rsid w:val="005D7825"/>
    <w:rsid w:val="005D7BE2"/>
    <w:rsid w:val="005D7D1C"/>
    <w:rsid w:val="005D7E98"/>
    <w:rsid w:val="005E0230"/>
    <w:rsid w:val="005E0C37"/>
    <w:rsid w:val="005E0C70"/>
    <w:rsid w:val="005E11BD"/>
    <w:rsid w:val="005E139D"/>
    <w:rsid w:val="005E1959"/>
    <w:rsid w:val="005E2079"/>
    <w:rsid w:val="005E3B8B"/>
    <w:rsid w:val="005E3EBD"/>
    <w:rsid w:val="005E4DEC"/>
    <w:rsid w:val="005E5B4A"/>
    <w:rsid w:val="005E6B9B"/>
    <w:rsid w:val="005E6CEB"/>
    <w:rsid w:val="005E73BD"/>
    <w:rsid w:val="005E7C61"/>
    <w:rsid w:val="005F0378"/>
    <w:rsid w:val="005F0566"/>
    <w:rsid w:val="005F1D71"/>
    <w:rsid w:val="005F238E"/>
    <w:rsid w:val="005F25EE"/>
    <w:rsid w:val="005F28DC"/>
    <w:rsid w:val="005F3355"/>
    <w:rsid w:val="005F387D"/>
    <w:rsid w:val="005F41C7"/>
    <w:rsid w:val="005F47E8"/>
    <w:rsid w:val="005F5094"/>
    <w:rsid w:val="005F582D"/>
    <w:rsid w:val="005F5E26"/>
    <w:rsid w:val="005F6DF5"/>
    <w:rsid w:val="005F6F12"/>
    <w:rsid w:val="006000F2"/>
    <w:rsid w:val="00600A42"/>
    <w:rsid w:val="00600B3A"/>
    <w:rsid w:val="0060181D"/>
    <w:rsid w:val="00602B33"/>
    <w:rsid w:val="00603151"/>
    <w:rsid w:val="00603284"/>
    <w:rsid w:val="0060338D"/>
    <w:rsid w:val="00603449"/>
    <w:rsid w:val="00603B94"/>
    <w:rsid w:val="00603CD5"/>
    <w:rsid w:val="00605FBF"/>
    <w:rsid w:val="0060616F"/>
    <w:rsid w:val="00606195"/>
    <w:rsid w:val="00606461"/>
    <w:rsid w:val="00606BB8"/>
    <w:rsid w:val="00606CAB"/>
    <w:rsid w:val="00607093"/>
    <w:rsid w:val="0060740C"/>
    <w:rsid w:val="006077F5"/>
    <w:rsid w:val="00607A98"/>
    <w:rsid w:val="00607EE0"/>
    <w:rsid w:val="0061009F"/>
    <w:rsid w:val="006101FF"/>
    <w:rsid w:val="00610501"/>
    <w:rsid w:val="00611393"/>
    <w:rsid w:val="00611DC3"/>
    <w:rsid w:val="00611E00"/>
    <w:rsid w:val="00612574"/>
    <w:rsid w:val="006129A3"/>
    <w:rsid w:val="00613E2E"/>
    <w:rsid w:val="00615715"/>
    <w:rsid w:val="0061588C"/>
    <w:rsid w:val="00615E4D"/>
    <w:rsid w:val="006164FE"/>
    <w:rsid w:val="00616672"/>
    <w:rsid w:val="006168F4"/>
    <w:rsid w:val="00616930"/>
    <w:rsid w:val="00616CA0"/>
    <w:rsid w:val="0061732C"/>
    <w:rsid w:val="00617F5C"/>
    <w:rsid w:val="0062032E"/>
    <w:rsid w:val="00620531"/>
    <w:rsid w:val="006207B0"/>
    <w:rsid w:val="00620EC8"/>
    <w:rsid w:val="00621408"/>
    <w:rsid w:val="00621998"/>
    <w:rsid w:val="00621E9E"/>
    <w:rsid w:val="00622518"/>
    <w:rsid w:val="0062251F"/>
    <w:rsid w:val="006228F0"/>
    <w:rsid w:val="00623220"/>
    <w:rsid w:val="0062427A"/>
    <w:rsid w:val="006246A8"/>
    <w:rsid w:val="0062507B"/>
    <w:rsid w:val="00625310"/>
    <w:rsid w:val="00625669"/>
    <w:rsid w:val="00625B81"/>
    <w:rsid w:val="00625FD3"/>
    <w:rsid w:val="00626990"/>
    <w:rsid w:val="00626E2A"/>
    <w:rsid w:val="006270BE"/>
    <w:rsid w:val="00627DBB"/>
    <w:rsid w:val="00627EB7"/>
    <w:rsid w:val="00630917"/>
    <w:rsid w:val="00631F43"/>
    <w:rsid w:val="006325F1"/>
    <w:rsid w:val="0063285D"/>
    <w:rsid w:val="006329FB"/>
    <w:rsid w:val="00633139"/>
    <w:rsid w:val="0063364F"/>
    <w:rsid w:val="0063386A"/>
    <w:rsid w:val="00634873"/>
    <w:rsid w:val="006348D9"/>
    <w:rsid w:val="00634AA7"/>
    <w:rsid w:val="006350CC"/>
    <w:rsid w:val="00635EDB"/>
    <w:rsid w:val="006377E1"/>
    <w:rsid w:val="00640368"/>
    <w:rsid w:val="0064063E"/>
    <w:rsid w:val="006416F0"/>
    <w:rsid w:val="00641AFE"/>
    <w:rsid w:val="00641CAF"/>
    <w:rsid w:val="00642AE7"/>
    <w:rsid w:val="00643239"/>
    <w:rsid w:val="006432FB"/>
    <w:rsid w:val="00643641"/>
    <w:rsid w:val="00643789"/>
    <w:rsid w:val="00643F3F"/>
    <w:rsid w:val="006445E1"/>
    <w:rsid w:val="0064496D"/>
    <w:rsid w:val="0064623D"/>
    <w:rsid w:val="00646888"/>
    <w:rsid w:val="00647DB1"/>
    <w:rsid w:val="00650444"/>
    <w:rsid w:val="006504A6"/>
    <w:rsid w:val="00650D35"/>
    <w:rsid w:val="00651467"/>
    <w:rsid w:val="0065155A"/>
    <w:rsid w:val="00651ACD"/>
    <w:rsid w:val="00651BD4"/>
    <w:rsid w:val="00652F9A"/>
    <w:rsid w:val="00653139"/>
    <w:rsid w:val="006533E4"/>
    <w:rsid w:val="006538E2"/>
    <w:rsid w:val="00653D22"/>
    <w:rsid w:val="00654E48"/>
    <w:rsid w:val="00655469"/>
    <w:rsid w:val="006558E4"/>
    <w:rsid w:val="006573FA"/>
    <w:rsid w:val="006576CD"/>
    <w:rsid w:val="00657978"/>
    <w:rsid w:val="00660D6D"/>
    <w:rsid w:val="0066109A"/>
    <w:rsid w:val="00662EE1"/>
    <w:rsid w:val="00663933"/>
    <w:rsid w:val="006644E3"/>
    <w:rsid w:val="006646E4"/>
    <w:rsid w:val="0066471B"/>
    <w:rsid w:val="00664A4C"/>
    <w:rsid w:val="00664A66"/>
    <w:rsid w:val="00664FC4"/>
    <w:rsid w:val="006651A8"/>
    <w:rsid w:val="00665AD3"/>
    <w:rsid w:val="00665D00"/>
    <w:rsid w:val="00665D32"/>
    <w:rsid w:val="006662A8"/>
    <w:rsid w:val="0066660E"/>
    <w:rsid w:val="00666EAA"/>
    <w:rsid w:val="00667947"/>
    <w:rsid w:val="006700A2"/>
    <w:rsid w:val="006705F4"/>
    <w:rsid w:val="00670967"/>
    <w:rsid w:val="00671035"/>
    <w:rsid w:val="006718CD"/>
    <w:rsid w:val="00671D10"/>
    <w:rsid w:val="00672114"/>
    <w:rsid w:val="0067223D"/>
    <w:rsid w:val="0067239D"/>
    <w:rsid w:val="00672657"/>
    <w:rsid w:val="0067271D"/>
    <w:rsid w:val="0067360B"/>
    <w:rsid w:val="00673C47"/>
    <w:rsid w:val="00673DC7"/>
    <w:rsid w:val="00674366"/>
    <w:rsid w:val="00674533"/>
    <w:rsid w:val="00674620"/>
    <w:rsid w:val="006749F9"/>
    <w:rsid w:val="00674A45"/>
    <w:rsid w:val="0067525F"/>
    <w:rsid w:val="0067543A"/>
    <w:rsid w:val="00675BB5"/>
    <w:rsid w:val="00677207"/>
    <w:rsid w:val="0067735B"/>
    <w:rsid w:val="006775C5"/>
    <w:rsid w:val="006800FC"/>
    <w:rsid w:val="006804D0"/>
    <w:rsid w:val="006807E4"/>
    <w:rsid w:val="006814B2"/>
    <w:rsid w:val="00681854"/>
    <w:rsid w:val="006821BF"/>
    <w:rsid w:val="006834ED"/>
    <w:rsid w:val="006835EF"/>
    <w:rsid w:val="00683C73"/>
    <w:rsid w:val="00684BFB"/>
    <w:rsid w:val="00685A2C"/>
    <w:rsid w:val="00685A73"/>
    <w:rsid w:val="00685DF0"/>
    <w:rsid w:val="00686495"/>
    <w:rsid w:val="00687ADA"/>
    <w:rsid w:val="00687E4D"/>
    <w:rsid w:val="006902AA"/>
    <w:rsid w:val="00690436"/>
    <w:rsid w:val="0069050C"/>
    <w:rsid w:val="00690655"/>
    <w:rsid w:val="006909F3"/>
    <w:rsid w:val="006929FA"/>
    <w:rsid w:val="00692E81"/>
    <w:rsid w:val="00693223"/>
    <w:rsid w:val="006939A9"/>
    <w:rsid w:val="00693A79"/>
    <w:rsid w:val="0069433C"/>
    <w:rsid w:val="00694ECB"/>
    <w:rsid w:val="00696660"/>
    <w:rsid w:val="00696AA9"/>
    <w:rsid w:val="006A17FC"/>
    <w:rsid w:val="006A3365"/>
    <w:rsid w:val="006A3442"/>
    <w:rsid w:val="006A397F"/>
    <w:rsid w:val="006A39DD"/>
    <w:rsid w:val="006A4088"/>
    <w:rsid w:val="006A414E"/>
    <w:rsid w:val="006A5498"/>
    <w:rsid w:val="006A64FF"/>
    <w:rsid w:val="006A71C8"/>
    <w:rsid w:val="006A74BB"/>
    <w:rsid w:val="006A7525"/>
    <w:rsid w:val="006B173B"/>
    <w:rsid w:val="006B1DA2"/>
    <w:rsid w:val="006B2338"/>
    <w:rsid w:val="006B280C"/>
    <w:rsid w:val="006B291A"/>
    <w:rsid w:val="006B2AEC"/>
    <w:rsid w:val="006B3102"/>
    <w:rsid w:val="006B3503"/>
    <w:rsid w:val="006B35DA"/>
    <w:rsid w:val="006B4214"/>
    <w:rsid w:val="006B4ADD"/>
    <w:rsid w:val="006B4C78"/>
    <w:rsid w:val="006B5E7B"/>
    <w:rsid w:val="006B6B8E"/>
    <w:rsid w:val="006B77A2"/>
    <w:rsid w:val="006C002B"/>
    <w:rsid w:val="006C06B4"/>
    <w:rsid w:val="006C07B1"/>
    <w:rsid w:val="006C1734"/>
    <w:rsid w:val="006C1DBC"/>
    <w:rsid w:val="006C2883"/>
    <w:rsid w:val="006C2DD0"/>
    <w:rsid w:val="006C35D1"/>
    <w:rsid w:val="006C39B0"/>
    <w:rsid w:val="006C3A9A"/>
    <w:rsid w:val="006C481C"/>
    <w:rsid w:val="006C4AFC"/>
    <w:rsid w:val="006C4E65"/>
    <w:rsid w:val="006C5176"/>
    <w:rsid w:val="006C5562"/>
    <w:rsid w:val="006C57BC"/>
    <w:rsid w:val="006C57FD"/>
    <w:rsid w:val="006C5900"/>
    <w:rsid w:val="006D0524"/>
    <w:rsid w:val="006D075D"/>
    <w:rsid w:val="006D09EF"/>
    <w:rsid w:val="006D103D"/>
    <w:rsid w:val="006D1115"/>
    <w:rsid w:val="006D11D6"/>
    <w:rsid w:val="006D1336"/>
    <w:rsid w:val="006D1479"/>
    <w:rsid w:val="006D208F"/>
    <w:rsid w:val="006D2B0B"/>
    <w:rsid w:val="006D32FA"/>
    <w:rsid w:val="006D41A2"/>
    <w:rsid w:val="006D4E0B"/>
    <w:rsid w:val="006D4E2A"/>
    <w:rsid w:val="006D53B6"/>
    <w:rsid w:val="006D54AC"/>
    <w:rsid w:val="006D568A"/>
    <w:rsid w:val="006D6713"/>
    <w:rsid w:val="006D6E7D"/>
    <w:rsid w:val="006D744D"/>
    <w:rsid w:val="006D75F0"/>
    <w:rsid w:val="006D7D24"/>
    <w:rsid w:val="006D7D61"/>
    <w:rsid w:val="006D7DEE"/>
    <w:rsid w:val="006E1AF5"/>
    <w:rsid w:val="006E2368"/>
    <w:rsid w:val="006E2888"/>
    <w:rsid w:val="006E2BAF"/>
    <w:rsid w:val="006E2D02"/>
    <w:rsid w:val="006E2D3B"/>
    <w:rsid w:val="006E384E"/>
    <w:rsid w:val="006E4C61"/>
    <w:rsid w:val="006E51B1"/>
    <w:rsid w:val="006E62AB"/>
    <w:rsid w:val="006E63AA"/>
    <w:rsid w:val="006E6600"/>
    <w:rsid w:val="006E6A46"/>
    <w:rsid w:val="006E6BDC"/>
    <w:rsid w:val="006E6D69"/>
    <w:rsid w:val="006E7664"/>
    <w:rsid w:val="006E7B12"/>
    <w:rsid w:val="006F0423"/>
    <w:rsid w:val="006F0FB2"/>
    <w:rsid w:val="006F1509"/>
    <w:rsid w:val="006F164E"/>
    <w:rsid w:val="006F1AE5"/>
    <w:rsid w:val="006F1C5D"/>
    <w:rsid w:val="006F2251"/>
    <w:rsid w:val="006F2980"/>
    <w:rsid w:val="006F2B96"/>
    <w:rsid w:val="006F2FAC"/>
    <w:rsid w:val="006F318F"/>
    <w:rsid w:val="006F379C"/>
    <w:rsid w:val="006F391A"/>
    <w:rsid w:val="006F4556"/>
    <w:rsid w:val="006F6051"/>
    <w:rsid w:val="006F6738"/>
    <w:rsid w:val="006F6A2C"/>
    <w:rsid w:val="006F6FBD"/>
    <w:rsid w:val="006F70B7"/>
    <w:rsid w:val="006F76AB"/>
    <w:rsid w:val="0070036B"/>
    <w:rsid w:val="007005F1"/>
    <w:rsid w:val="00700BE3"/>
    <w:rsid w:val="00700F3F"/>
    <w:rsid w:val="007011B4"/>
    <w:rsid w:val="00701599"/>
    <w:rsid w:val="007019C3"/>
    <w:rsid w:val="00701F2C"/>
    <w:rsid w:val="00702809"/>
    <w:rsid w:val="007028D3"/>
    <w:rsid w:val="007040B9"/>
    <w:rsid w:val="007044EF"/>
    <w:rsid w:val="007048B3"/>
    <w:rsid w:val="007049FB"/>
    <w:rsid w:val="00704F9A"/>
    <w:rsid w:val="00705489"/>
    <w:rsid w:val="00705F08"/>
    <w:rsid w:val="007069ED"/>
    <w:rsid w:val="00706E7F"/>
    <w:rsid w:val="00707DC4"/>
    <w:rsid w:val="0071045A"/>
    <w:rsid w:val="00710D28"/>
    <w:rsid w:val="0071118E"/>
    <w:rsid w:val="00711206"/>
    <w:rsid w:val="00711B0B"/>
    <w:rsid w:val="00712081"/>
    <w:rsid w:val="00712458"/>
    <w:rsid w:val="007129D2"/>
    <w:rsid w:val="00712A24"/>
    <w:rsid w:val="00712AB8"/>
    <w:rsid w:val="0071390E"/>
    <w:rsid w:val="00713A68"/>
    <w:rsid w:val="0071442C"/>
    <w:rsid w:val="00714685"/>
    <w:rsid w:val="00714D45"/>
    <w:rsid w:val="00714D65"/>
    <w:rsid w:val="00714E3B"/>
    <w:rsid w:val="007162DA"/>
    <w:rsid w:val="007162EF"/>
    <w:rsid w:val="00717B37"/>
    <w:rsid w:val="00717F8E"/>
    <w:rsid w:val="0072087A"/>
    <w:rsid w:val="00720EFD"/>
    <w:rsid w:val="007213D4"/>
    <w:rsid w:val="007218EE"/>
    <w:rsid w:val="00722066"/>
    <w:rsid w:val="007220AC"/>
    <w:rsid w:val="00722C48"/>
    <w:rsid w:val="00722F64"/>
    <w:rsid w:val="007233A6"/>
    <w:rsid w:val="00723A77"/>
    <w:rsid w:val="007246CE"/>
    <w:rsid w:val="007259DC"/>
    <w:rsid w:val="00725A64"/>
    <w:rsid w:val="00725DE3"/>
    <w:rsid w:val="00725DEB"/>
    <w:rsid w:val="00727A11"/>
    <w:rsid w:val="00730600"/>
    <w:rsid w:val="00730C9D"/>
    <w:rsid w:val="00731AD9"/>
    <w:rsid w:val="00731EF5"/>
    <w:rsid w:val="00734187"/>
    <w:rsid w:val="00734B6E"/>
    <w:rsid w:val="00735D46"/>
    <w:rsid w:val="00736456"/>
    <w:rsid w:val="00736AD9"/>
    <w:rsid w:val="00736D75"/>
    <w:rsid w:val="00737938"/>
    <w:rsid w:val="00737A37"/>
    <w:rsid w:val="00737CDC"/>
    <w:rsid w:val="00737E9F"/>
    <w:rsid w:val="0074076D"/>
    <w:rsid w:val="00740E3C"/>
    <w:rsid w:val="0074126B"/>
    <w:rsid w:val="007419E2"/>
    <w:rsid w:val="007423FE"/>
    <w:rsid w:val="007424D6"/>
    <w:rsid w:val="00742728"/>
    <w:rsid w:val="00742CAE"/>
    <w:rsid w:val="00742CB1"/>
    <w:rsid w:val="007430EA"/>
    <w:rsid w:val="00743ABE"/>
    <w:rsid w:val="00743F47"/>
    <w:rsid w:val="00743FD8"/>
    <w:rsid w:val="00744331"/>
    <w:rsid w:val="00744997"/>
    <w:rsid w:val="00745994"/>
    <w:rsid w:val="00746AD7"/>
    <w:rsid w:val="00746B57"/>
    <w:rsid w:val="00746C52"/>
    <w:rsid w:val="00747402"/>
    <w:rsid w:val="0074779F"/>
    <w:rsid w:val="00750C69"/>
    <w:rsid w:val="00751CA2"/>
    <w:rsid w:val="00752375"/>
    <w:rsid w:val="00752D12"/>
    <w:rsid w:val="00753AD5"/>
    <w:rsid w:val="00753D7C"/>
    <w:rsid w:val="00753DD8"/>
    <w:rsid w:val="00754164"/>
    <w:rsid w:val="00754AFE"/>
    <w:rsid w:val="00757010"/>
    <w:rsid w:val="007611D6"/>
    <w:rsid w:val="00761251"/>
    <w:rsid w:val="007614E3"/>
    <w:rsid w:val="00761FA3"/>
    <w:rsid w:val="00762278"/>
    <w:rsid w:val="0076282A"/>
    <w:rsid w:val="00762DC4"/>
    <w:rsid w:val="00763AE8"/>
    <w:rsid w:val="007644AE"/>
    <w:rsid w:val="00764CA8"/>
    <w:rsid w:val="00764E70"/>
    <w:rsid w:val="00765912"/>
    <w:rsid w:val="00765B7F"/>
    <w:rsid w:val="00766695"/>
    <w:rsid w:val="00766C65"/>
    <w:rsid w:val="007673C9"/>
    <w:rsid w:val="007706E8"/>
    <w:rsid w:val="00770D6A"/>
    <w:rsid w:val="00770FDF"/>
    <w:rsid w:val="00771285"/>
    <w:rsid w:val="0077255B"/>
    <w:rsid w:val="0077259A"/>
    <w:rsid w:val="00772D27"/>
    <w:rsid w:val="00773CD5"/>
    <w:rsid w:val="00774B9E"/>
    <w:rsid w:val="007751F1"/>
    <w:rsid w:val="0077594E"/>
    <w:rsid w:val="00776272"/>
    <w:rsid w:val="00776F14"/>
    <w:rsid w:val="0077784F"/>
    <w:rsid w:val="007806CD"/>
    <w:rsid w:val="007812EE"/>
    <w:rsid w:val="00781EBB"/>
    <w:rsid w:val="00782568"/>
    <w:rsid w:val="007827B9"/>
    <w:rsid w:val="00782E11"/>
    <w:rsid w:val="0078356B"/>
    <w:rsid w:val="00783600"/>
    <w:rsid w:val="00783AFE"/>
    <w:rsid w:val="0078540F"/>
    <w:rsid w:val="00785FD1"/>
    <w:rsid w:val="00786154"/>
    <w:rsid w:val="0078627C"/>
    <w:rsid w:val="00786316"/>
    <w:rsid w:val="007877E8"/>
    <w:rsid w:val="007879A6"/>
    <w:rsid w:val="007879D1"/>
    <w:rsid w:val="00787C85"/>
    <w:rsid w:val="00787E2C"/>
    <w:rsid w:val="00790D5D"/>
    <w:rsid w:val="007919AE"/>
    <w:rsid w:val="007924C9"/>
    <w:rsid w:val="00792D11"/>
    <w:rsid w:val="00792F7A"/>
    <w:rsid w:val="0079321E"/>
    <w:rsid w:val="00793691"/>
    <w:rsid w:val="007936C4"/>
    <w:rsid w:val="00793B43"/>
    <w:rsid w:val="00793FAF"/>
    <w:rsid w:val="0079428C"/>
    <w:rsid w:val="00794814"/>
    <w:rsid w:val="007949E8"/>
    <w:rsid w:val="00794D66"/>
    <w:rsid w:val="00794FF6"/>
    <w:rsid w:val="007955CF"/>
    <w:rsid w:val="00795DF4"/>
    <w:rsid w:val="00795FD5"/>
    <w:rsid w:val="00796105"/>
    <w:rsid w:val="00796238"/>
    <w:rsid w:val="00796B90"/>
    <w:rsid w:val="00796C71"/>
    <w:rsid w:val="007978CC"/>
    <w:rsid w:val="007A042B"/>
    <w:rsid w:val="007A0950"/>
    <w:rsid w:val="007A0FBF"/>
    <w:rsid w:val="007A14AA"/>
    <w:rsid w:val="007A2491"/>
    <w:rsid w:val="007A25E3"/>
    <w:rsid w:val="007A269E"/>
    <w:rsid w:val="007A28AF"/>
    <w:rsid w:val="007A2D86"/>
    <w:rsid w:val="007A3031"/>
    <w:rsid w:val="007A45F6"/>
    <w:rsid w:val="007A500C"/>
    <w:rsid w:val="007A5863"/>
    <w:rsid w:val="007A5C66"/>
    <w:rsid w:val="007A6416"/>
    <w:rsid w:val="007A65B7"/>
    <w:rsid w:val="007A6C30"/>
    <w:rsid w:val="007A7010"/>
    <w:rsid w:val="007A7B4D"/>
    <w:rsid w:val="007B01DD"/>
    <w:rsid w:val="007B0C59"/>
    <w:rsid w:val="007B1046"/>
    <w:rsid w:val="007B2087"/>
    <w:rsid w:val="007B3413"/>
    <w:rsid w:val="007B3EE4"/>
    <w:rsid w:val="007B4C0D"/>
    <w:rsid w:val="007B5513"/>
    <w:rsid w:val="007B5C4B"/>
    <w:rsid w:val="007B6208"/>
    <w:rsid w:val="007B628A"/>
    <w:rsid w:val="007B62FE"/>
    <w:rsid w:val="007B6577"/>
    <w:rsid w:val="007B6976"/>
    <w:rsid w:val="007B6AE3"/>
    <w:rsid w:val="007B6C9E"/>
    <w:rsid w:val="007B7272"/>
    <w:rsid w:val="007B72A4"/>
    <w:rsid w:val="007B7714"/>
    <w:rsid w:val="007B7B21"/>
    <w:rsid w:val="007B7B55"/>
    <w:rsid w:val="007B7C97"/>
    <w:rsid w:val="007B7DB0"/>
    <w:rsid w:val="007B7DDC"/>
    <w:rsid w:val="007B7FB8"/>
    <w:rsid w:val="007B7FC3"/>
    <w:rsid w:val="007C08A0"/>
    <w:rsid w:val="007C0EFC"/>
    <w:rsid w:val="007C0F81"/>
    <w:rsid w:val="007C2490"/>
    <w:rsid w:val="007C2B46"/>
    <w:rsid w:val="007C4E98"/>
    <w:rsid w:val="007C55EC"/>
    <w:rsid w:val="007C5E52"/>
    <w:rsid w:val="007C63D6"/>
    <w:rsid w:val="007C7B32"/>
    <w:rsid w:val="007C7D77"/>
    <w:rsid w:val="007D0D3D"/>
    <w:rsid w:val="007D1074"/>
    <w:rsid w:val="007D3888"/>
    <w:rsid w:val="007D38FF"/>
    <w:rsid w:val="007D3CE2"/>
    <w:rsid w:val="007D3FB4"/>
    <w:rsid w:val="007D5850"/>
    <w:rsid w:val="007D58A0"/>
    <w:rsid w:val="007D709E"/>
    <w:rsid w:val="007D7BC3"/>
    <w:rsid w:val="007D7C00"/>
    <w:rsid w:val="007D7FC5"/>
    <w:rsid w:val="007E127C"/>
    <w:rsid w:val="007E1B3F"/>
    <w:rsid w:val="007E1F87"/>
    <w:rsid w:val="007E307E"/>
    <w:rsid w:val="007E3277"/>
    <w:rsid w:val="007E329F"/>
    <w:rsid w:val="007E3370"/>
    <w:rsid w:val="007E3378"/>
    <w:rsid w:val="007E3429"/>
    <w:rsid w:val="007E3DAF"/>
    <w:rsid w:val="007E412E"/>
    <w:rsid w:val="007E4B65"/>
    <w:rsid w:val="007E4D4C"/>
    <w:rsid w:val="007E57EE"/>
    <w:rsid w:val="007E6558"/>
    <w:rsid w:val="007E6836"/>
    <w:rsid w:val="007E6C28"/>
    <w:rsid w:val="007E6E96"/>
    <w:rsid w:val="007E6F96"/>
    <w:rsid w:val="007F008A"/>
    <w:rsid w:val="007F0263"/>
    <w:rsid w:val="007F0310"/>
    <w:rsid w:val="007F097F"/>
    <w:rsid w:val="007F1085"/>
    <w:rsid w:val="007F1A8D"/>
    <w:rsid w:val="007F24D4"/>
    <w:rsid w:val="007F27ED"/>
    <w:rsid w:val="007F2A3D"/>
    <w:rsid w:val="007F3874"/>
    <w:rsid w:val="007F4722"/>
    <w:rsid w:val="007F5018"/>
    <w:rsid w:val="007F560E"/>
    <w:rsid w:val="007F5C3D"/>
    <w:rsid w:val="007F5C4B"/>
    <w:rsid w:val="007F659D"/>
    <w:rsid w:val="007F65F2"/>
    <w:rsid w:val="008001D4"/>
    <w:rsid w:val="00800B18"/>
    <w:rsid w:val="00800CD4"/>
    <w:rsid w:val="00800FE5"/>
    <w:rsid w:val="00802008"/>
    <w:rsid w:val="00802483"/>
    <w:rsid w:val="0080265C"/>
    <w:rsid w:val="00802976"/>
    <w:rsid w:val="00803CCF"/>
    <w:rsid w:val="008041B2"/>
    <w:rsid w:val="008051DA"/>
    <w:rsid w:val="008054AC"/>
    <w:rsid w:val="00805AF2"/>
    <w:rsid w:val="00805D2D"/>
    <w:rsid w:val="00806076"/>
    <w:rsid w:val="008065BA"/>
    <w:rsid w:val="00806824"/>
    <w:rsid w:val="00807E43"/>
    <w:rsid w:val="0081053E"/>
    <w:rsid w:val="008116D7"/>
    <w:rsid w:val="008117EC"/>
    <w:rsid w:val="00811B05"/>
    <w:rsid w:val="00811E52"/>
    <w:rsid w:val="0081211A"/>
    <w:rsid w:val="008123CC"/>
    <w:rsid w:val="008124FC"/>
    <w:rsid w:val="008127DD"/>
    <w:rsid w:val="00812850"/>
    <w:rsid w:val="00812B85"/>
    <w:rsid w:val="00812C03"/>
    <w:rsid w:val="00812D9F"/>
    <w:rsid w:val="00814738"/>
    <w:rsid w:val="0081531C"/>
    <w:rsid w:val="0081570F"/>
    <w:rsid w:val="00815CA7"/>
    <w:rsid w:val="00815F0D"/>
    <w:rsid w:val="00816225"/>
    <w:rsid w:val="00816263"/>
    <w:rsid w:val="00816B4D"/>
    <w:rsid w:val="00816BAB"/>
    <w:rsid w:val="00816F7C"/>
    <w:rsid w:val="00817017"/>
    <w:rsid w:val="0081774C"/>
    <w:rsid w:val="00817789"/>
    <w:rsid w:val="0082139C"/>
    <w:rsid w:val="0082160A"/>
    <w:rsid w:val="00823073"/>
    <w:rsid w:val="00823E81"/>
    <w:rsid w:val="00823F60"/>
    <w:rsid w:val="0082472F"/>
    <w:rsid w:val="00824B33"/>
    <w:rsid w:val="008257CE"/>
    <w:rsid w:val="0082631F"/>
    <w:rsid w:val="0082647F"/>
    <w:rsid w:val="008265CE"/>
    <w:rsid w:val="00826D49"/>
    <w:rsid w:val="008277EB"/>
    <w:rsid w:val="008304F5"/>
    <w:rsid w:val="00830F3D"/>
    <w:rsid w:val="008314E5"/>
    <w:rsid w:val="00832A68"/>
    <w:rsid w:val="00832EB1"/>
    <w:rsid w:val="0083314F"/>
    <w:rsid w:val="008332FB"/>
    <w:rsid w:val="008340B8"/>
    <w:rsid w:val="00834576"/>
    <w:rsid w:val="00834BC5"/>
    <w:rsid w:val="00834F24"/>
    <w:rsid w:val="0083501C"/>
    <w:rsid w:val="008353ED"/>
    <w:rsid w:val="008354EA"/>
    <w:rsid w:val="0083620C"/>
    <w:rsid w:val="00836309"/>
    <w:rsid w:val="00836844"/>
    <w:rsid w:val="008374E1"/>
    <w:rsid w:val="008412C4"/>
    <w:rsid w:val="00841CD3"/>
    <w:rsid w:val="00841FD6"/>
    <w:rsid w:val="0084235C"/>
    <w:rsid w:val="008428F5"/>
    <w:rsid w:val="0084422D"/>
    <w:rsid w:val="008444D7"/>
    <w:rsid w:val="00844E39"/>
    <w:rsid w:val="0084611D"/>
    <w:rsid w:val="00846503"/>
    <w:rsid w:val="00846548"/>
    <w:rsid w:val="00846C42"/>
    <w:rsid w:val="00846E00"/>
    <w:rsid w:val="00846F2E"/>
    <w:rsid w:val="008472B4"/>
    <w:rsid w:val="00847721"/>
    <w:rsid w:val="00850548"/>
    <w:rsid w:val="00851088"/>
    <w:rsid w:val="00851F6C"/>
    <w:rsid w:val="00852679"/>
    <w:rsid w:val="00852FE3"/>
    <w:rsid w:val="0085316E"/>
    <w:rsid w:val="00853315"/>
    <w:rsid w:val="00853C8F"/>
    <w:rsid w:val="00854069"/>
    <w:rsid w:val="00854C15"/>
    <w:rsid w:val="00855425"/>
    <w:rsid w:val="008555EC"/>
    <w:rsid w:val="00856933"/>
    <w:rsid w:val="00856CF7"/>
    <w:rsid w:val="00856E4D"/>
    <w:rsid w:val="00857F69"/>
    <w:rsid w:val="00860E67"/>
    <w:rsid w:val="00860EDF"/>
    <w:rsid w:val="008617BD"/>
    <w:rsid w:val="00861949"/>
    <w:rsid w:val="00861AAC"/>
    <w:rsid w:val="00861AC9"/>
    <w:rsid w:val="00861FF8"/>
    <w:rsid w:val="00862027"/>
    <w:rsid w:val="008621D4"/>
    <w:rsid w:val="0086223B"/>
    <w:rsid w:val="008624E6"/>
    <w:rsid w:val="0086326D"/>
    <w:rsid w:val="00863280"/>
    <w:rsid w:val="00863EF7"/>
    <w:rsid w:val="00863F99"/>
    <w:rsid w:val="008660F7"/>
    <w:rsid w:val="00866FFB"/>
    <w:rsid w:val="008670C9"/>
    <w:rsid w:val="00867A4B"/>
    <w:rsid w:val="00867C0B"/>
    <w:rsid w:val="0087031A"/>
    <w:rsid w:val="008705D5"/>
    <w:rsid w:val="00870A84"/>
    <w:rsid w:val="00870F70"/>
    <w:rsid w:val="00871408"/>
    <w:rsid w:val="00871968"/>
    <w:rsid w:val="00871E89"/>
    <w:rsid w:val="00872DC6"/>
    <w:rsid w:val="008730CC"/>
    <w:rsid w:val="008739C6"/>
    <w:rsid w:val="00873E5C"/>
    <w:rsid w:val="00874041"/>
    <w:rsid w:val="00874714"/>
    <w:rsid w:val="00875AE7"/>
    <w:rsid w:val="00875FBA"/>
    <w:rsid w:val="0087616C"/>
    <w:rsid w:val="008765EA"/>
    <w:rsid w:val="00876BBB"/>
    <w:rsid w:val="00876DF5"/>
    <w:rsid w:val="00877449"/>
    <w:rsid w:val="00877787"/>
    <w:rsid w:val="00877C09"/>
    <w:rsid w:val="00877CE5"/>
    <w:rsid w:val="0088015E"/>
    <w:rsid w:val="00880676"/>
    <w:rsid w:val="00880FD9"/>
    <w:rsid w:val="00881005"/>
    <w:rsid w:val="00881795"/>
    <w:rsid w:val="0088194B"/>
    <w:rsid w:val="00881C95"/>
    <w:rsid w:val="00881E05"/>
    <w:rsid w:val="0088267E"/>
    <w:rsid w:val="00882BA0"/>
    <w:rsid w:val="008837EA"/>
    <w:rsid w:val="00883AB9"/>
    <w:rsid w:val="00883CD7"/>
    <w:rsid w:val="00883F59"/>
    <w:rsid w:val="00884252"/>
    <w:rsid w:val="00884533"/>
    <w:rsid w:val="008857C4"/>
    <w:rsid w:val="0088593F"/>
    <w:rsid w:val="00885E04"/>
    <w:rsid w:val="00886179"/>
    <w:rsid w:val="008868C7"/>
    <w:rsid w:val="008870BE"/>
    <w:rsid w:val="00887AEC"/>
    <w:rsid w:val="008900CF"/>
    <w:rsid w:val="008900F5"/>
    <w:rsid w:val="00890B24"/>
    <w:rsid w:val="00890DA3"/>
    <w:rsid w:val="00891D16"/>
    <w:rsid w:val="00892191"/>
    <w:rsid w:val="008924A1"/>
    <w:rsid w:val="00893516"/>
    <w:rsid w:val="00894D4C"/>
    <w:rsid w:val="00894E1E"/>
    <w:rsid w:val="008956BE"/>
    <w:rsid w:val="008960FD"/>
    <w:rsid w:val="008968BF"/>
    <w:rsid w:val="00896B67"/>
    <w:rsid w:val="00896C33"/>
    <w:rsid w:val="008973AC"/>
    <w:rsid w:val="00897AD8"/>
    <w:rsid w:val="008A0693"/>
    <w:rsid w:val="008A1B84"/>
    <w:rsid w:val="008A1F49"/>
    <w:rsid w:val="008A28B9"/>
    <w:rsid w:val="008A2ADB"/>
    <w:rsid w:val="008A2B0A"/>
    <w:rsid w:val="008A2CEF"/>
    <w:rsid w:val="008A2DDF"/>
    <w:rsid w:val="008A3322"/>
    <w:rsid w:val="008A39E9"/>
    <w:rsid w:val="008A3ECA"/>
    <w:rsid w:val="008A3FD3"/>
    <w:rsid w:val="008A4ADF"/>
    <w:rsid w:val="008A574E"/>
    <w:rsid w:val="008A5972"/>
    <w:rsid w:val="008A5A98"/>
    <w:rsid w:val="008A5EE5"/>
    <w:rsid w:val="008A5F9D"/>
    <w:rsid w:val="008A6145"/>
    <w:rsid w:val="008A63D0"/>
    <w:rsid w:val="008A64A4"/>
    <w:rsid w:val="008A7395"/>
    <w:rsid w:val="008A7405"/>
    <w:rsid w:val="008A75AB"/>
    <w:rsid w:val="008A7AAD"/>
    <w:rsid w:val="008A7F92"/>
    <w:rsid w:val="008B0281"/>
    <w:rsid w:val="008B121E"/>
    <w:rsid w:val="008B133A"/>
    <w:rsid w:val="008B2092"/>
    <w:rsid w:val="008B2D5B"/>
    <w:rsid w:val="008B3520"/>
    <w:rsid w:val="008B5962"/>
    <w:rsid w:val="008B5BC1"/>
    <w:rsid w:val="008B5CC1"/>
    <w:rsid w:val="008B622C"/>
    <w:rsid w:val="008B6489"/>
    <w:rsid w:val="008B69B5"/>
    <w:rsid w:val="008B727F"/>
    <w:rsid w:val="008B7E65"/>
    <w:rsid w:val="008C041D"/>
    <w:rsid w:val="008C3DCB"/>
    <w:rsid w:val="008C48CB"/>
    <w:rsid w:val="008C51E4"/>
    <w:rsid w:val="008C532D"/>
    <w:rsid w:val="008C5E8F"/>
    <w:rsid w:val="008C5F66"/>
    <w:rsid w:val="008C686D"/>
    <w:rsid w:val="008C6CC4"/>
    <w:rsid w:val="008C7CF8"/>
    <w:rsid w:val="008D1248"/>
    <w:rsid w:val="008D30A3"/>
    <w:rsid w:val="008D3337"/>
    <w:rsid w:val="008D3FFD"/>
    <w:rsid w:val="008D4278"/>
    <w:rsid w:val="008D4C98"/>
    <w:rsid w:val="008D4D34"/>
    <w:rsid w:val="008D5DE3"/>
    <w:rsid w:val="008D5F53"/>
    <w:rsid w:val="008D6121"/>
    <w:rsid w:val="008D6FB9"/>
    <w:rsid w:val="008D70AE"/>
    <w:rsid w:val="008D741B"/>
    <w:rsid w:val="008E0948"/>
    <w:rsid w:val="008E0B67"/>
    <w:rsid w:val="008E0FCA"/>
    <w:rsid w:val="008E14E7"/>
    <w:rsid w:val="008E2ABA"/>
    <w:rsid w:val="008E2D86"/>
    <w:rsid w:val="008E3182"/>
    <w:rsid w:val="008E3B92"/>
    <w:rsid w:val="008E4386"/>
    <w:rsid w:val="008E4817"/>
    <w:rsid w:val="008E49B9"/>
    <w:rsid w:val="008E4BC8"/>
    <w:rsid w:val="008E5179"/>
    <w:rsid w:val="008E524B"/>
    <w:rsid w:val="008E52CD"/>
    <w:rsid w:val="008E5FA6"/>
    <w:rsid w:val="008E611C"/>
    <w:rsid w:val="008E61D7"/>
    <w:rsid w:val="008E6BFB"/>
    <w:rsid w:val="008E700B"/>
    <w:rsid w:val="008E7452"/>
    <w:rsid w:val="008E74B3"/>
    <w:rsid w:val="008F0668"/>
    <w:rsid w:val="008F0D6B"/>
    <w:rsid w:val="008F17C2"/>
    <w:rsid w:val="008F1A4C"/>
    <w:rsid w:val="008F2399"/>
    <w:rsid w:val="008F3121"/>
    <w:rsid w:val="008F3584"/>
    <w:rsid w:val="008F3BDD"/>
    <w:rsid w:val="008F3FC8"/>
    <w:rsid w:val="008F4BE8"/>
    <w:rsid w:val="008F5084"/>
    <w:rsid w:val="008F5751"/>
    <w:rsid w:val="008F5FC2"/>
    <w:rsid w:val="008F777B"/>
    <w:rsid w:val="008F7D91"/>
    <w:rsid w:val="009003D7"/>
    <w:rsid w:val="00901F27"/>
    <w:rsid w:val="00902934"/>
    <w:rsid w:val="00902B77"/>
    <w:rsid w:val="00903932"/>
    <w:rsid w:val="0090417E"/>
    <w:rsid w:val="00905A16"/>
    <w:rsid w:val="00905D4A"/>
    <w:rsid w:val="00906146"/>
    <w:rsid w:val="00906F9F"/>
    <w:rsid w:val="009071B4"/>
    <w:rsid w:val="009071EC"/>
    <w:rsid w:val="00907329"/>
    <w:rsid w:val="009079D7"/>
    <w:rsid w:val="009106EC"/>
    <w:rsid w:val="0091099E"/>
    <w:rsid w:val="00910FC4"/>
    <w:rsid w:val="00911707"/>
    <w:rsid w:val="00911935"/>
    <w:rsid w:val="00911A5C"/>
    <w:rsid w:val="00911ABF"/>
    <w:rsid w:val="00911F27"/>
    <w:rsid w:val="0091261F"/>
    <w:rsid w:val="00912A0D"/>
    <w:rsid w:val="00912D43"/>
    <w:rsid w:val="00912E2F"/>
    <w:rsid w:val="009130C6"/>
    <w:rsid w:val="00913E3F"/>
    <w:rsid w:val="00913EA1"/>
    <w:rsid w:val="00914358"/>
    <w:rsid w:val="00915713"/>
    <w:rsid w:val="00916384"/>
    <w:rsid w:val="009165B7"/>
    <w:rsid w:val="00917133"/>
    <w:rsid w:val="009175CE"/>
    <w:rsid w:val="00917A92"/>
    <w:rsid w:val="00917BDF"/>
    <w:rsid w:val="00917C31"/>
    <w:rsid w:val="00917D4B"/>
    <w:rsid w:val="00917E66"/>
    <w:rsid w:val="0092072C"/>
    <w:rsid w:val="0092072D"/>
    <w:rsid w:val="00921591"/>
    <w:rsid w:val="0092165F"/>
    <w:rsid w:val="00921663"/>
    <w:rsid w:val="00921C55"/>
    <w:rsid w:val="00922669"/>
    <w:rsid w:val="00922AE0"/>
    <w:rsid w:val="00922D9D"/>
    <w:rsid w:val="00923B99"/>
    <w:rsid w:val="00924643"/>
    <w:rsid w:val="00924AF0"/>
    <w:rsid w:val="009252B0"/>
    <w:rsid w:val="00925373"/>
    <w:rsid w:val="009263BE"/>
    <w:rsid w:val="0092681E"/>
    <w:rsid w:val="00926E0A"/>
    <w:rsid w:val="00926E11"/>
    <w:rsid w:val="0092761D"/>
    <w:rsid w:val="00927709"/>
    <w:rsid w:val="00927A37"/>
    <w:rsid w:val="00927A92"/>
    <w:rsid w:val="00927C88"/>
    <w:rsid w:val="00927F89"/>
    <w:rsid w:val="009302D7"/>
    <w:rsid w:val="00930436"/>
    <w:rsid w:val="009309B8"/>
    <w:rsid w:val="0093102B"/>
    <w:rsid w:val="0093125D"/>
    <w:rsid w:val="009316FA"/>
    <w:rsid w:val="00931B85"/>
    <w:rsid w:val="00931FF5"/>
    <w:rsid w:val="009320A3"/>
    <w:rsid w:val="00932150"/>
    <w:rsid w:val="009321E5"/>
    <w:rsid w:val="00932407"/>
    <w:rsid w:val="009325A6"/>
    <w:rsid w:val="00932631"/>
    <w:rsid w:val="0093337E"/>
    <w:rsid w:val="00934EFF"/>
    <w:rsid w:val="00935256"/>
    <w:rsid w:val="00935301"/>
    <w:rsid w:val="00935AAD"/>
    <w:rsid w:val="00935DDC"/>
    <w:rsid w:val="00935F9A"/>
    <w:rsid w:val="00936415"/>
    <w:rsid w:val="00936B70"/>
    <w:rsid w:val="00936BBF"/>
    <w:rsid w:val="009376BF"/>
    <w:rsid w:val="00937887"/>
    <w:rsid w:val="00937BF3"/>
    <w:rsid w:val="00937F02"/>
    <w:rsid w:val="00940A4B"/>
    <w:rsid w:val="0094197A"/>
    <w:rsid w:val="00941D4C"/>
    <w:rsid w:val="00942146"/>
    <w:rsid w:val="00942CFA"/>
    <w:rsid w:val="00942DAB"/>
    <w:rsid w:val="00942E88"/>
    <w:rsid w:val="00943037"/>
    <w:rsid w:val="009430C0"/>
    <w:rsid w:val="0094375E"/>
    <w:rsid w:val="0094389E"/>
    <w:rsid w:val="00944415"/>
    <w:rsid w:val="009446AE"/>
    <w:rsid w:val="00944E21"/>
    <w:rsid w:val="009452DA"/>
    <w:rsid w:val="0094596B"/>
    <w:rsid w:val="00946E70"/>
    <w:rsid w:val="009472E7"/>
    <w:rsid w:val="009477AC"/>
    <w:rsid w:val="00947C6B"/>
    <w:rsid w:val="00950066"/>
    <w:rsid w:val="00950268"/>
    <w:rsid w:val="0095083F"/>
    <w:rsid w:val="00950E5A"/>
    <w:rsid w:val="00951509"/>
    <w:rsid w:val="00951522"/>
    <w:rsid w:val="00951D5D"/>
    <w:rsid w:val="0095379E"/>
    <w:rsid w:val="00953D58"/>
    <w:rsid w:val="009542D1"/>
    <w:rsid w:val="009545F3"/>
    <w:rsid w:val="00954D27"/>
    <w:rsid w:val="00954DFC"/>
    <w:rsid w:val="00955EE8"/>
    <w:rsid w:val="00956CB1"/>
    <w:rsid w:val="00957A74"/>
    <w:rsid w:val="0096061F"/>
    <w:rsid w:val="00960739"/>
    <w:rsid w:val="00960932"/>
    <w:rsid w:val="009615D4"/>
    <w:rsid w:val="009617F9"/>
    <w:rsid w:val="0096196C"/>
    <w:rsid w:val="00961EFB"/>
    <w:rsid w:val="00962A76"/>
    <w:rsid w:val="00962E7C"/>
    <w:rsid w:val="0096334C"/>
    <w:rsid w:val="009636E2"/>
    <w:rsid w:val="00964279"/>
    <w:rsid w:val="00964299"/>
    <w:rsid w:val="00964376"/>
    <w:rsid w:val="009654E5"/>
    <w:rsid w:val="00965510"/>
    <w:rsid w:val="00965F6E"/>
    <w:rsid w:val="009660AB"/>
    <w:rsid w:val="00966375"/>
    <w:rsid w:val="00966643"/>
    <w:rsid w:val="00970093"/>
    <w:rsid w:val="009701BD"/>
    <w:rsid w:val="0097080C"/>
    <w:rsid w:val="00971F6D"/>
    <w:rsid w:val="0097222A"/>
    <w:rsid w:val="00972446"/>
    <w:rsid w:val="00972585"/>
    <w:rsid w:val="00972EC1"/>
    <w:rsid w:val="00972F5B"/>
    <w:rsid w:val="009736C1"/>
    <w:rsid w:val="00973859"/>
    <w:rsid w:val="00973931"/>
    <w:rsid w:val="009745C1"/>
    <w:rsid w:val="00974FA1"/>
    <w:rsid w:val="009758E9"/>
    <w:rsid w:val="00975C4B"/>
    <w:rsid w:val="009767F1"/>
    <w:rsid w:val="00976C42"/>
    <w:rsid w:val="009770E0"/>
    <w:rsid w:val="0097740A"/>
    <w:rsid w:val="009779AF"/>
    <w:rsid w:val="0098008D"/>
    <w:rsid w:val="00980819"/>
    <w:rsid w:val="0098101F"/>
    <w:rsid w:val="00981267"/>
    <w:rsid w:val="009812DD"/>
    <w:rsid w:val="00981A16"/>
    <w:rsid w:val="009822DA"/>
    <w:rsid w:val="00982374"/>
    <w:rsid w:val="009845D5"/>
    <w:rsid w:val="00984775"/>
    <w:rsid w:val="009847CE"/>
    <w:rsid w:val="0098578F"/>
    <w:rsid w:val="00985DC8"/>
    <w:rsid w:val="0098647B"/>
    <w:rsid w:val="00987D20"/>
    <w:rsid w:val="0099019F"/>
    <w:rsid w:val="009912D9"/>
    <w:rsid w:val="0099221E"/>
    <w:rsid w:val="0099255E"/>
    <w:rsid w:val="00992708"/>
    <w:rsid w:val="00993090"/>
    <w:rsid w:val="00994972"/>
    <w:rsid w:val="00994D7E"/>
    <w:rsid w:val="0099572C"/>
    <w:rsid w:val="00995A06"/>
    <w:rsid w:val="00996514"/>
    <w:rsid w:val="00996599"/>
    <w:rsid w:val="00996B4D"/>
    <w:rsid w:val="00997184"/>
    <w:rsid w:val="009A0509"/>
    <w:rsid w:val="009A0FF5"/>
    <w:rsid w:val="009A1AF7"/>
    <w:rsid w:val="009A1EB5"/>
    <w:rsid w:val="009A1FE8"/>
    <w:rsid w:val="009A22E8"/>
    <w:rsid w:val="009A25C4"/>
    <w:rsid w:val="009A2A17"/>
    <w:rsid w:val="009A2A30"/>
    <w:rsid w:val="009A3210"/>
    <w:rsid w:val="009A33D3"/>
    <w:rsid w:val="009A3A42"/>
    <w:rsid w:val="009A3D99"/>
    <w:rsid w:val="009A4AD7"/>
    <w:rsid w:val="009A4E41"/>
    <w:rsid w:val="009A5DCB"/>
    <w:rsid w:val="009A613D"/>
    <w:rsid w:val="009A64A9"/>
    <w:rsid w:val="009A659D"/>
    <w:rsid w:val="009A66AC"/>
    <w:rsid w:val="009A6769"/>
    <w:rsid w:val="009A6814"/>
    <w:rsid w:val="009A6AA2"/>
    <w:rsid w:val="009A77D6"/>
    <w:rsid w:val="009A7B9B"/>
    <w:rsid w:val="009B0B05"/>
    <w:rsid w:val="009B0EA1"/>
    <w:rsid w:val="009B0FDC"/>
    <w:rsid w:val="009B1F09"/>
    <w:rsid w:val="009B32B9"/>
    <w:rsid w:val="009B36D1"/>
    <w:rsid w:val="009B3D2E"/>
    <w:rsid w:val="009B460F"/>
    <w:rsid w:val="009B4D8C"/>
    <w:rsid w:val="009B524D"/>
    <w:rsid w:val="009B54BA"/>
    <w:rsid w:val="009B5565"/>
    <w:rsid w:val="009B56D7"/>
    <w:rsid w:val="009B5A80"/>
    <w:rsid w:val="009B5B3F"/>
    <w:rsid w:val="009B5C4C"/>
    <w:rsid w:val="009B6ED8"/>
    <w:rsid w:val="009B7C4B"/>
    <w:rsid w:val="009B7D94"/>
    <w:rsid w:val="009C091F"/>
    <w:rsid w:val="009C0C9C"/>
    <w:rsid w:val="009C1766"/>
    <w:rsid w:val="009C3010"/>
    <w:rsid w:val="009C31A0"/>
    <w:rsid w:val="009C363E"/>
    <w:rsid w:val="009C393D"/>
    <w:rsid w:val="009C3A30"/>
    <w:rsid w:val="009C4A62"/>
    <w:rsid w:val="009C54C3"/>
    <w:rsid w:val="009C5500"/>
    <w:rsid w:val="009C6813"/>
    <w:rsid w:val="009C6EC6"/>
    <w:rsid w:val="009D00F7"/>
    <w:rsid w:val="009D02C9"/>
    <w:rsid w:val="009D04C0"/>
    <w:rsid w:val="009D0A14"/>
    <w:rsid w:val="009D0CFD"/>
    <w:rsid w:val="009D0DEE"/>
    <w:rsid w:val="009D1CBD"/>
    <w:rsid w:val="009D1FAD"/>
    <w:rsid w:val="009D271E"/>
    <w:rsid w:val="009D2C93"/>
    <w:rsid w:val="009D337D"/>
    <w:rsid w:val="009D3E37"/>
    <w:rsid w:val="009D411C"/>
    <w:rsid w:val="009D41F7"/>
    <w:rsid w:val="009D44DF"/>
    <w:rsid w:val="009D452F"/>
    <w:rsid w:val="009D4945"/>
    <w:rsid w:val="009D4B6C"/>
    <w:rsid w:val="009D51E5"/>
    <w:rsid w:val="009D5BE1"/>
    <w:rsid w:val="009D60EA"/>
    <w:rsid w:val="009D6147"/>
    <w:rsid w:val="009D62CF"/>
    <w:rsid w:val="009D6730"/>
    <w:rsid w:val="009D6B43"/>
    <w:rsid w:val="009D6BE9"/>
    <w:rsid w:val="009D7348"/>
    <w:rsid w:val="009D74FD"/>
    <w:rsid w:val="009E06D0"/>
    <w:rsid w:val="009E08A9"/>
    <w:rsid w:val="009E0E67"/>
    <w:rsid w:val="009E13E3"/>
    <w:rsid w:val="009E1A80"/>
    <w:rsid w:val="009E2330"/>
    <w:rsid w:val="009E2C84"/>
    <w:rsid w:val="009E35E8"/>
    <w:rsid w:val="009E49FF"/>
    <w:rsid w:val="009E4DCE"/>
    <w:rsid w:val="009E5ED7"/>
    <w:rsid w:val="009E7597"/>
    <w:rsid w:val="009E7B62"/>
    <w:rsid w:val="009F0347"/>
    <w:rsid w:val="009F09D0"/>
    <w:rsid w:val="009F0DA7"/>
    <w:rsid w:val="009F0F73"/>
    <w:rsid w:val="009F10BD"/>
    <w:rsid w:val="009F18A6"/>
    <w:rsid w:val="009F1EAC"/>
    <w:rsid w:val="009F2846"/>
    <w:rsid w:val="009F2D8B"/>
    <w:rsid w:val="009F2DC2"/>
    <w:rsid w:val="009F3B7F"/>
    <w:rsid w:val="009F3C82"/>
    <w:rsid w:val="009F46AF"/>
    <w:rsid w:val="009F55A7"/>
    <w:rsid w:val="009F628F"/>
    <w:rsid w:val="009F6A7C"/>
    <w:rsid w:val="009F76B9"/>
    <w:rsid w:val="009F7C45"/>
    <w:rsid w:val="009F7DE5"/>
    <w:rsid w:val="00A000D0"/>
    <w:rsid w:val="00A013A1"/>
    <w:rsid w:val="00A014C9"/>
    <w:rsid w:val="00A015D3"/>
    <w:rsid w:val="00A0173F"/>
    <w:rsid w:val="00A0185D"/>
    <w:rsid w:val="00A01DAD"/>
    <w:rsid w:val="00A0242A"/>
    <w:rsid w:val="00A02613"/>
    <w:rsid w:val="00A02B3E"/>
    <w:rsid w:val="00A0350B"/>
    <w:rsid w:val="00A039CE"/>
    <w:rsid w:val="00A03AFC"/>
    <w:rsid w:val="00A03B53"/>
    <w:rsid w:val="00A04082"/>
    <w:rsid w:val="00A049A7"/>
    <w:rsid w:val="00A04A64"/>
    <w:rsid w:val="00A04DEB"/>
    <w:rsid w:val="00A04EB7"/>
    <w:rsid w:val="00A10BD1"/>
    <w:rsid w:val="00A11EF8"/>
    <w:rsid w:val="00A12A1E"/>
    <w:rsid w:val="00A1363B"/>
    <w:rsid w:val="00A13A08"/>
    <w:rsid w:val="00A14774"/>
    <w:rsid w:val="00A14DB7"/>
    <w:rsid w:val="00A14FF6"/>
    <w:rsid w:val="00A15562"/>
    <w:rsid w:val="00A155FF"/>
    <w:rsid w:val="00A16AFC"/>
    <w:rsid w:val="00A22176"/>
    <w:rsid w:val="00A224C1"/>
    <w:rsid w:val="00A22663"/>
    <w:rsid w:val="00A22678"/>
    <w:rsid w:val="00A22AAB"/>
    <w:rsid w:val="00A22F1F"/>
    <w:rsid w:val="00A23802"/>
    <w:rsid w:val="00A23BF3"/>
    <w:rsid w:val="00A23DAC"/>
    <w:rsid w:val="00A24620"/>
    <w:rsid w:val="00A24799"/>
    <w:rsid w:val="00A24A88"/>
    <w:rsid w:val="00A24B4D"/>
    <w:rsid w:val="00A252A5"/>
    <w:rsid w:val="00A25A8C"/>
    <w:rsid w:val="00A262DA"/>
    <w:rsid w:val="00A26B69"/>
    <w:rsid w:val="00A26BDB"/>
    <w:rsid w:val="00A26DCC"/>
    <w:rsid w:val="00A26EFC"/>
    <w:rsid w:val="00A277CB"/>
    <w:rsid w:val="00A27908"/>
    <w:rsid w:val="00A27DB0"/>
    <w:rsid w:val="00A27DC0"/>
    <w:rsid w:val="00A27DFB"/>
    <w:rsid w:val="00A31C28"/>
    <w:rsid w:val="00A32AAD"/>
    <w:rsid w:val="00A32AF9"/>
    <w:rsid w:val="00A33363"/>
    <w:rsid w:val="00A342C4"/>
    <w:rsid w:val="00A3442D"/>
    <w:rsid w:val="00A34CE7"/>
    <w:rsid w:val="00A35180"/>
    <w:rsid w:val="00A35F2E"/>
    <w:rsid w:val="00A35F63"/>
    <w:rsid w:val="00A35F87"/>
    <w:rsid w:val="00A36004"/>
    <w:rsid w:val="00A3601D"/>
    <w:rsid w:val="00A361FD"/>
    <w:rsid w:val="00A365A7"/>
    <w:rsid w:val="00A365F6"/>
    <w:rsid w:val="00A366C1"/>
    <w:rsid w:val="00A3700F"/>
    <w:rsid w:val="00A375CE"/>
    <w:rsid w:val="00A37902"/>
    <w:rsid w:val="00A4086C"/>
    <w:rsid w:val="00A40D1B"/>
    <w:rsid w:val="00A40E03"/>
    <w:rsid w:val="00A40E48"/>
    <w:rsid w:val="00A412E6"/>
    <w:rsid w:val="00A41509"/>
    <w:rsid w:val="00A4272E"/>
    <w:rsid w:val="00A42919"/>
    <w:rsid w:val="00A43070"/>
    <w:rsid w:val="00A43172"/>
    <w:rsid w:val="00A4391F"/>
    <w:rsid w:val="00A43BF7"/>
    <w:rsid w:val="00A44186"/>
    <w:rsid w:val="00A44544"/>
    <w:rsid w:val="00A44598"/>
    <w:rsid w:val="00A445DE"/>
    <w:rsid w:val="00A44BB8"/>
    <w:rsid w:val="00A44C44"/>
    <w:rsid w:val="00A44DFB"/>
    <w:rsid w:val="00A458F7"/>
    <w:rsid w:val="00A45983"/>
    <w:rsid w:val="00A45FA7"/>
    <w:rsid w:val="00A46D60"/>
    <w:rsid w:val="00A47262"/>
    <w:rsid w:val="00A4748E"/>
    <w:rsid w:val="00A474CC"/>
    <w:rsid w:val="00A47F22"/>
    <w:rsid w:val="00A51067"/>
    <w:rsid w:val="00A5156E"/>
    <w:rsid w:val="00A51A85"/>
    <w:rsid w:val="00A51D4C"/>
    <w:rsid w:val="00A52AF4"/>
    <w:rsid w:val="00A530CC"/>
    <w:rsid w:val="00A534EF"/>
    <w:rsid w:val="00A53B48"/>
    <w:rsid w:val="00A5407C"/>
    <w:rsid w:val="00A54AD0"/>
    <w:rsid w:val="00A54DB8"/>
    <w:rsid w:val="00A551CF"/>
    <w:rsid w:val="00A5529B"/>
    <w:rsid w:val="00A5560D"/>
    <w:rsid w:val="00A56544"/>
    <w:rsid w:val="00A56999"/>
    <w:rsid w:val="00A56C7F"/>
    <w:rsid w:val="00A57278"/>
    <w:rsid w:val="00A573EB"/>
    <w:rsid w:val="00A577E8"/>
    <w:rsid w:val="00A57BCC"/>
    <w:rsid w:val="00A6014B"/>
    <w:rsid w:val="00A608FD"/>
    <w:rsid w:val="00A60A09"/>
    <w:rsid w:val="00A61999"/>
    <w:rsid w:val="00A61D5B"/>
    <w:rsid w:val="00A61EEC"/>
    <w:rsid w:val="00A6280E"/>
    <w:rsid w:val="00A628C3"/>
    <w:rsid w:val="00A62950"/>
    <w:rsid w:val="00A62AD4"/>
    <w:rsid w:val="00A62BAE"/>
    <w:rsid w:val="00A63EC8"/>
    <w:rsid w:val="00A64F37"/>
    <w:rsid w:val="00A64F55"/>
    <w:rsid w:val="00A65D89"/>
    <w:rsid w:val="00A66243"/>
    <w:rsid w:val="00A66956"/>
    <w:rsid w:val="00A673D7"/>
    <w:rsid w:val="00A67A15"/>
    <w:rsid w:val="00A67DBD"/>
    <w:rsid w:val="00A67E4E"/>
    <w:rsid w:val="00A7001C"/>
    <w:rsid w:val="00A7090F"/>
    <w:rsid w:val="00A709B5"/>
    <w:rsid w:val="00A70BCD"/>
    <w:rsid w:val="00A70DA6"/>
    <w:rsid w:val="00A71468"/>
    <w:rsid w:val="00A71942"/>
    <w:rsid w:val="00A719F6"/>
    <w:rsid w:val="00A71DB0"/>
    <w:rsid w:val="00A72B79"/>
    <w:rsid w:val="00A72BF1"/>
    <w:rsid w:val="00A72F10"/>
    <w:rsid w:val="00A72F73"/>
    <w:rsid w:val="00A73B2C"/>
    <w:rsid w:val="00A74192"/>
    <w:rsid w:val="00A74342"/>
    <w:rsid w:val="00A74A92"/>
    <w:rsid w:val="00A74EAF"/>
    <w:rsid w:val="00A754F6"/>
    <w:rsid w:val="00A75E7C"/>
    <w:rsid w:val="00A7622F"/>
    <w:rsid w:val="00A76638"/>
    <w:rsid w:val="00A775BD"/>
    <w:rsid w:val="00A77BAA"/>
    <w:rsid w:val="00A77CBC"/>
    <w:rsid w:val="00A809FD"/>
    <w:rsid w:val="00A80BCA"/>
    <w:rsid w:val="00A80DB3"/>
    <w:rsid w:val="00A8179E"/>
    <w:rsid w:val="00A81A70"/>
    <w:rsid w:val="00A81C7B"/>
    <w:rsid w:val="00A82DE6"/>
    <w:rsid w:val="00A831C1"/>
    <w:rsid w:val="00A835F0"/>
    <w:rsid w:val="00A8374A"/>
    <w:rsid w:val="00A83AAF"/>
    <w:rsid w:val="00A84A51"/>
    <w:rsid w:val="00A84A61"/>
    <w:rsid w:val="00A8514A"/>
    <w:rsid w:val="00A86C13"/>
    <w:rsid w:val="00A87306"/>
    <w:rsid w:val="00A87BB5"/>
    <w:rsid w:val="00A87F7A"/>
    <w:rsid w:val="00A9041A"/>
    <w:rsid w:val="00A92D65"/>
    <w:rsid w:val="00A93485"/>
    <w:rsid w:val="00A9441A"/>
    <w:rsid w:val="00A946C7"/>
    <w:rsid w:val="00A9471F"/>
    <w:rsid w:val="00A9479F"/>
    <w:rsid w:val="00A94A30"/>
    <w:rsid w:val="00A94E8F"/>
    <w:rsid w:val="00A956F4"/>
    <w:rsid w:val="00A95CCC"/>
    <w:rsid w:val="00A96083"/>
    <w:rsid w:val="00A96AB5"/>
    <w:rsid w:val="00A97020"/>
    <w:rsid w:val="00A97384"/>
    <w:rsid w:val="00A975D2"/>
    <w:rsid w:val="00AA14ED"/>
    <w:rsid w:val="00AA19F2"/>
    <w:rsid w:val="00AA2233"/>
    <w:rsid w:val="00AA3E1D"/>
    <w:rsid w:val="00AA3F90"/>
    <w:rsid w:val="00AA3FE8"/>
    <w:rsid w:val="00AA40B4"/>
    <w:rsid w:val="00AA4C6C"/>
    <w:rsid w:val="00AA4E19"/>
    <w:rsid w:val="00AA55B4"/>
    <w:rsid w:val="00AA587E"/>
    <w:rsid w:val="00AA5B27"/>
    <w:rsid w:val="00AA5F22"/>
    <w:rsid w:val="00AA6D58"/>
    <w:rsid w:val="00AA707F"/>
    <w:rsid w:val="00AA7422"/>
    <w:rsid w:val="00AA77D6"/>
    <w:rsid w:val="00AA78B4"/>
    <w:rsid w:val="00AB0C25"/>
    <w:rsid w:val="00AB20F6"/>
    <w:rsid w:val="00AB22F4"/>
    <w:rsid w:val="00AB2724"/>
    <w:rsid w:val="00AB2CAF"/>
    <w:rsid w:val="00AB3252"/>
    <w:rsid w:val="00AB3423"/>
    <w:rsid w:val="00AB3869"/>
    <w:rsid w:val="00AB444E"/>
    <w:rsid w:val="00AB56CC"/>
    <w:rsid w:val="00AB59F1"/>
    <w:rsid w:val="00AB681B"/>
    <w:rsid w:val="00AB6B31"/>
    <w:rsid w:val="00AB6B5F"/>
    <w:rsid w:val="00AB76A8"/>
    <w:rsid w:val="00AB7AEF"/>
    <w:rsid w:val="00AC018B"/>
    <w:rsid w:val="00AC0D90"/>
    <w:rsid w:val="00AC1EAF"/>
    <w:rsid w:val="00AC23FC"/>
    <w:rsid w:val="00AC2ACC"/>
    <w:rsid w:val="00AC2F64"/>
    <w:rsid w:val="00AC3380"/>
    <w:rsid w:val="00AC365F"/>
    <w:rsid w:val="00AC373D"/>
    <w:rsid w:val="00AC38D9"/>
    <w:rsid w:val="00AC3B31"/>
    <w:rsid w:val="00AC5FA1"/>
    <w:rsid w:val="00AC60FE"/>
    <w:rsid w:val="00AC629C"/>
    <w:rsid w:val="00AC62C3"/>
    <w:rsid w:val="00AC6393"/>
    <w:rsid w:val="00AC6912"/>
    <w:rsid w:val="00AC7B96"/>
    <w:rsid w:val="00AC7BDC"/>
    <w:rsid w:val="00AC7DF9"/>
    <w:rsid w:val="00AD022F"/>
    <w:rsid w:val="00AD080F"/>
    <w:rsid w:val="00AD096F"/>
    <w:rsid w:val="00AD12C3"/>
    <w:rsid w:val="00AD13FA"/>
    <w:rsid w:val="00AD1608"/>
    <w:rsid w:val="00AD170A"/>
    <w:rsid w:val="00AD19B3"/>
    <w:rsid w:val="00AD1F74"/>
    <w:rsid w:val="00AD2104"/>
    <w:rsid w:val="00AD2383"/>
    <w:rsid w:val="00AD270C"/>
    <w:rsid w:val="00AD3A83"/>
    <w:rsid w:val="00AD42A2"/>
    <w:rsid w:val="00AD4BB6"/>
    <w:rsid w:val="00AD544A"/>
    <w:rsid w:val="00AD58FF"/>
    <w:rsid w:val="00AD59EE"/>
    <w:rsid w:val="00AD6184"/>
    <w:rsid w:val="00AD6514"/>
    <w:rsid w:val="00AD6619"/>
    <w:rsid w:val="00AD6943"/>
    <w:rsid w:val="00AD6C79"/>
    <w:rsid w:val="00AD7D23"/>
    <w:rsid w:val="00AE1699"/>
    <w:rsid w:val="00AE16D2"/>
    <w:rsid w:val="00AE1988"/>
    <w:rsid w:val="00AE1B5E"/>
    <w:rsid w:val="00AE1C8A"/>
    <w:rsid w:val="00AE1D0F"/>
    <w:rsid w:val="00AE22ED"/>
    <w:rsid w:val="00AE2300"/>
    <w:rsid w:val="00AE2616"/>
    <w:rsid w:val="00AE27B0"/>
    <w:rsid w:val="00AE31E7"/>
    <w:rsid w:val="00AE3C3D"/>
    <w:rsid w:val="00AE591A"/>
    <w:rsid w:val="00AE6027"/>
    <w:rsid w:val="00AE7CBE"/>
    <w:rsid w:val="00AE7F50"/>
    <w:rsid w:val="00AF01F1"/>
    <w:rsid w:val="00AF04BA"/>
    <w:rsid w:val="00AF1D2E"/>
    <w:rsid w:val="00AF1D7E"/>
    <w:rsid w:val="00AF381B"/>
    <w:rsid w:val="00AF40D8"/>
    <w:rsid w:val="00AF4408"/>
    <w:rsid w:val="00AF4566"/>
    <w:rsid w:val="00AF5079"/>
    <w:rsid w:val="00AF516D"/>
    <w:rsid w:val="00AF5A4E"/>
    <w:rsid w:val="00AF66B0"/>
    <w:rsid w:val="00AF6794"/>
    <w:rsid w:val="00AF6D25"/>
    <w:rsid w:val="00AF7032"/>
    <w:rsid w:val="00AF733D"/>
    <w:rsid w:val="00AF74CB"/>
    <w:rsid w:val="00AF7842"/>
    <w:rsid w:val="00AF7983"/>
    <w:rsid w:val="00B00065"/>
    <w:rsid w:val="00B01E82"/>
    <w:rsid w:val="00B02052"/>
    <w:rsid w:val="00B020B0"/>
    <w:rsid w:val="00B0225F"/>
    <w:rsid w:val="00B02B9C"/>
    <w:rsid w:val="00B0377F"/>
    <w:rsid w:val="00B04EBB"/>
    <w:rsid w:val="00B052A9"/>
    <w:rsid w:val="00B056A6"/>
    <w:rsid w:val="00B059DF"/>
    <w:rsid w:val="00B06479"/>
    <w:rsid w:val="00B06A60"/>
    <w:rsid w:val="00B06B1D"/>
    <w:rsid w:val="00B06BA4"/>
    <w:rsid w:val="00B1008E"/>
    <w:rsid w:val="00B1018B"/>
    <w:rsid w:val="00B1147D"/>
    <w:rsid w:val="00B11987"/>
    <w:rsid w:val="00B12256"/>
    <w:rsid w:val="00B12EA0"/>
    <w:rsid w:val="00B13B1B"/>
    <w:rsid w:val="00B13EE1"/>
    <w:rsid w:val="00B14460"/>
    <w:rsid w:val="00B146CD"/>
    <w:rsid w:val="00B147CC"/>
    <w:rsid w:val="00B14931"/>
    <w:rsid w:val="00B1569E"/>
    <w:rsid w:val="00B15A15"/>
    <w:rsid w:val="00B15F9E"/>
    <w:rsid w:val="00B1638F"/>
    <w:rsid w:val="00B163C3"/>
    <w:rsid w:val="00B17191"/>
    <w:rsid w:val="00B175EB"/>
    <w:rsid w:val="00B17927"/>
    <w:rsid w:val="00B203D7"/>
    <w:rsid w:val="00B20806"/>
    <w:rsid w:val="00B2128B"/>
    <w:rsid w:val="00B21966"/>
    <w:rsid w:val="00B2257B"/>
    <w:rsid w:val="00B2331D"/>
    <w:rsid w:val="00B23BDC"/>
    <w:rsid w:val="00B23F3A"/>
    <w:rsid w:val="00B24C47"/>
    <w:rsid w:val="00B2530A"/>
    <w:rsid w:val="00B25342"/>
    <w:rsid w:val="00B27148"/>
    <w:rsid w:val="00B2757B"/>
    <w:rsid w:val="00B2792C"/>
    <w:rsid w:val="00B27E89"/>
    <w:rsid w:val="00B30286"/>
    <w:rsid w:val="00B30295"/>
    <w:rsid w:val="00B30DC9"/>
    <w:rsid w:val="00B31018"/>
    <w:rsid w:val="00B31BF5"/>
    <w:rsid w:val="00B31E60"/>
    <w:rsid w:val="00B3202C"/>
    <w:rsid w:val="00B32192"/>
    <w:rsid w:val="00B322E1"/>
    <w:rsid w:val="00B326F7"/>
    <w:rsid w:val="00B32D98"/>
    <w:rsid w:val="00B33661"/>
    <w:rsid w:val="00B33F4F"/>
    <w:rsid w:val="00B345C4"/>
    <w:rsid w:val="00B346EA"/>
    <w:rsid w:val="00B348E7"/>
    <w:rsid w:val="00B3499A"/>
    <w:rsid w:val="00B34CCE"/>
    <w:rsid w:val="00B34F4C"/>
    <w:rsid w:val="00B350A7"/>
    <w:rsid w:val="00B359DF"/>
    <w:rsid w:val="00B35F50"/>
    <w:rsid w:val="00B3619F"/>
    <w:rsid w:val="00B36AEC"/>
    <w:rsid w:val="00B36FAA"/>
    <w:rsid w:val="00B371C9"/>
    <w:rsid w:val="00B375FA"/>
    <w:rsid w:val="00B3786F"/>
    <w:rsid w:val="00B37AFA"/>
    <w:rsid w:val="00B40F66"/>
    <w:rsid w:val="00B417CE"/>
    <w:rsid w:val="00B42806"/>
    <w:rsid w:val="00B4296E"/>
    <w:rsid w:val="00B4352D"/>
    <w:rsid w:val="00B4363E"/>
    <w:rsid w:val="00B4484D"/>
    <w:rsid w:val="00B448AD"/>
    <w:rsid w:val="00B44C3A"/>
    <w:rsid w:val="00B44DCE"/>
    <w:rsid w:val="00B459EF"/>
    <w:rsid w:val="00B4604F"/>
    <w:rsid w:val="00B46A9C"/>
    <w:rsid w:val="00B46AA1"/>
    <w:rsid w:val="00B47B3B"/>
    <w:rsid w:val="00B50241"/>
    <w:rsid w:val="00B505F3"/>
    <w:rsid w:val="00B50DE8"/>
    <w:rsid w:val="00B514CB"/>
    <w:rsid w:val="00B51B38"/>
    <w:rsid w:val="00B525C1"/>
    <w:rsid w:val="00B53238"/>
    <w:rsid w:val="00B532BC"/>
    <w:rsid w:val="00B536EA"/>
    <w:rsid w:val="00B53761"/>
    <w:rsid w:val="00B53EDD"/>
    <w:rsid w:val="00B54386"/>
    <w:rsid w:val="00B5483D"/>
    <w:rsid w:val="00B54A84"/>
    <w:rsid w:val="00B54B9E"/>
    <w:rsid w:val="00B55651"/>
    <w:rsid w:val="00B55AF9"/>
    <w:rsid w:val="00B56102"/>
    <w:rsid w:val="00B56547"/>
    <w:rsid w:val="00B56C00"/>
    <w:rsid w:val="00B57508"/>
    <w:rsid w:val="00B60013"/>
    <w:rsid w:val="00B600F9"/>
    <w:rsid w:val="00B601E8"/>
    <w:rsid w:val="00B60310"/>
    <w:rsid w:val="00B60F70"/>
    <w:rsid w:val="00B61476"/>
    <w:rsid w:val="00B615CB"/>
    <w:rsid w:val="00B61818"/>
    <w:rsid w:val="00B61EDB"/>
    <w:rsid w:val="00B627C2"/>
    <w:rsid w:val="00B62931"/>
    <w:rsid w:val="00B63808"/>
    <w:rsid w:val="00B6404F"/>
    <w:rsid w:val="00B641AC"/>
    <w:rsid w:val="00B6470D"/>
    <w:rsid w:val="00B666D8"/>
    <w:rsid w:val="00B669A2"/>
    <w:rsid w:val="00B66B6C"/>
    <w:rsid w:val="00B673BE"/>
    <w:rsid w:val="00B67B4D"/>
    <w:rsid w:val="00B700BC"/>
    <w:rsid w:val="00B71238"/>
    <w:rsid w:val="00B71736"/>
    <w:rsid w:val="00B71A27"/>
    <w:rsid w:val="00B71D7D"/>
    <w:rsid w:val="00B72666"/>
    <w:rsid w:val="00B72F74"/>
    <w:rsid w:val="00B72FBC"/>
    <w:rsid w:val="00B730DF"/>
    <w:rsid w:val="00B736B9"/>
    <w:rsid w:val="00B738DD"/>
    <w:rsid w:val="00B73A26"/>
    <w:rsid w:val="00B74142"/>
    <w:rsid w:val="00B743F5"/>
    <w:rsid w:val="00B74558"/>
    <w:rsid w:val="00B745BC"/>
    <w:rsid w:val="00B755D5"/>
    <w:rsid w:val="00B757D7"/>
    <w:rsid w:val="00B75843"/>
    <w:rsid w:val="00B76E75"/>
    <w:rsid w:val="00B770F4"/>
    <w:rsid w:val="00B772B7"/>
    <w:rsid w:val="00B80195"/>
    <w:rsid w:val="00B802E8"/>
    <w:rsid w:val="00B80991"/>
    <w:rsid w:val="00B80B90"/>
    <w:rsid w:val="00B815E6"/>
    <w:rsid w:val="00B81B02"/>
    <w:rsid w:val="00B82123"/>
    <w:rsid w:val="00B8217E"/>
    <w:rsid w:val="00B83CD3"/>
    <w:rsid w:val="00B83EBF"/>
    <w:rsid w:val="00B842D9"/>
    <w:rsid w:val="00B84AC7"/>
    <w:rsid w:val="00B85286"/>
    <w:rsid w:val="00B85F90"/>
    <w:rsid w:val="00B86AFD"/>
    <w:rsid w:val="00B86F8B"/>
    <w:rsid w:val="00B87187"/>
    <w:rsid w:val="00B871C5"/>
    <w:rsid w:val="00B878BC"/>
    <w:rsid w:val="00B87E1E"/>
    <w:rsid w:val="00B90552"/>
    <w:rsid w:val="00B90F6B"/>
    <w:rsid w:val="00B90FFF"/>
    <w:rsid w:val="00B92772"/>
    <w:rsid w:val="00B92EA4"/>
    <w:rsid w:val="00B9310F"/>
    <w:rsid w:val="00B94453"/>
    <w:rsid w:val="00B9494D"/>
    <w:rsid w:val="00B94D76"/>
    <w:rsid w:val="00B94DB5"/>
    <w:rsid w:val="00B94E16"/>
    <w:rsid w:val="00B95130"/>
    <w:rsid w:val="00B9589B"/>
    <w:rsid w:val="00B9591B"/>
    <w:rsid w:val="00B95F07"/>
    <w:rsid w:val="00B9616F"/>
    <w:rsid w:val="00B96301"/>
    <w:rsid w:val="00B96B8E"/>
    <w:rsid w:val="00B97288"/>
    <w:rsid w:val="00B976F3"/>
    <w:rsid w:val="00BA1234"/>
    <w:rsid w:val="00BA1353"/>
    <w:rsid w:val="00BA18B6"/>
    <w:rsid w:val="00BA2173"/>
    <w:rsid w:val="00BA2BD1"/>
    <w:rsid w:val="00BA2DF1"/>
    <w:rsid w:val="00BA30E8"/>
    <w:rsid w:val="00BA37C1"/>
    <w:rsid w:val="00BA39E7"/>
    <w:rsid w:val="00BA3D18"/>
    <w:rsid w:val="00BA42B7"/>
    <w:rsid w:val="00BA482B"/>
    <w:rsid w:val="00BA4E38"/>
    <w:rsid w:val="00BA4E95"/>
    <w:rsid w:val="00BA5CA5"/>
    <w:rsid w:val="00BA663A"/>
    <w:rsid w:val="00BA69BC"/>
    <w:rsid w:val="00BA6B48"/>
    <w:rsid w:val="00BA6BC5"/>
    <w:rsid w:val="00BA7262"/>
    <w:rsid w:val="00BA7DA9"/>
    <w:rsid w:val="00BB01DF"/>
    <w:rsid w:val="00BB081D"/>
    <w:rsid w:val="00BB09D3"/>
    <w:rsid w:val="00BB1274"/>
    <w:rsid w:val="00BB13BC"/>
    <w:rsid w:val="00BB1504"/>
    <w:rsid w:val="00BB173F"/>
    <w:rsid w:val="00BB1906"/>
    <w:rsid w:val="00BB2073"/>
    <w:rsid w:val="00BB28D3"/>
    <w:rsid w:val="00BB297F"/>
    <w:rsid w:val="00BB2B90"/>
    <w:rsid w:val="00BB3786"/>
    <w:rsid w:val="00BB4CBB"/>
    <w:rsid w:val="00BB559F"/>
    <w:rsid w:val="00BB572E"/>
    <w:rsid w:val="00BB5C2C"/>
    <w:rsid w:val="00BB62EF"/>
    <w:rsid w:val="00BB655A"/>
    <w:rsid w:val="00BB671A"/>
    <w:rsid w:val="00BB7467"/>
    <w:rsid w:val="00BB7823"/>
    <w:rsid w:val="00BB7D00"/>
    <w:rsid w:val="00BC03D5"/>
    <w:rsid w:val="00BC243C"/>
    <w:rsid w:val="00BC24BF"/>
    <w:rsid w:val="00BC318C"/>
    <w:rsid w:val="00BC38BA"/>
    <w:rsid w:val="00BC399D"/>
    <w:rsid w:val="00BC4568"/>
    <w:rsid w:val="00BC49EE"/>
    <w:rsid w:val="00BC5421"/>
    <w:rsid w:val="00BC5C0A"/>
    <w:rsid w:val="00BC5FD2"/>
    <w:rsid w:val="00BC64F5"/>
    <w:rsid w:val="00BC6ADA"/>
    <w:rsid w:val="00BC6E9A"/>
    <w:rsid w:val="00BC75A2"/>
    <w:rsid w:val="00BD011E"/>
    <w:rsid w:val="00BD01EF"/>
    <w:rsid w:val="00BD048B"/>
    <w:rsid w:val="00BD0EDF"/>
    <w:rsid w:val="00BD121A"/>
    <w:rsid w:val="00BD218B"/>
    <w:rsid w:val="00BD267F"/>
    <w:rsid w:val="00BD2FB8"/>
    <w:rsid w:val="00BD485D"/>
    <w:rsid w:val="00BD528A"/>
    <w:rsid w:val="00BD5573"/>
    <w:rsid w:val="00BD5974"/>
    <w:rsid w:val="00BD60CC"/>
    <w:rsid w:val="00BD6221"/>
    <w:rsid w:val="00BD623D"/>
    <w:rsid w:val="00BD6EE4"/>
    <w:rsid w:val="00BD715C"/>
    <w:rsid w:val="00BD7437"/>
    <w:rsid w:val="00BD7558"/>
    <w:rsid w:val="00BD7BA3"/>
    <w:rsid w:val="00BE08C6"/>
    <w:rsid w:val="00BE0E33"/>
    <w:rsid w:val="00BE3AA0"/>
    <w:rsid w:val="00BE4342"/>
    <w:rsid w:val="00BE4473"/>
    <w:rsid w:val="00BE45C1"/>
    <w:rsid w:val="00BE4914"/>
    <w:rsid w:val="00BE4C6F"/>
    <w:rsid w:val="00BE523E"/>
    <w:rsid w:val="00BE5310"/>
    <w:rsid w:val="00BE532E"/>
    <w:rsid w:val="00BE53B6"/>
    <w:rsid w:val="00BE6350"/>
    <w:rsid w:val="00BE78F2"/>
    <w:rsid w:val="00BF06E1"/>
    <w:rsid w:val="00BF0DFE"/>
    <w:rsid w:val="00BF194C"/>
    <w:rsid w:val="00BF2097"/>
    <w:rsid w:val="00BF20D4"/>
    <w:rsid w:val="00BF3820"/>
    <w:rsid w:val="00BF3921"/>
    <w:rsid w:val="00BF3D84"/>
    <w:rsid w:val="00BF4A94"/>
    <w:rsid w:val="00BF527F"/>
    <w:rsid w:val="00BF5752"/>
    <w:rsid w:val="00BF59F5"/>
    <w:rsid w:val="00BF633C"/>
    <w:rsid w:val="00BF76D0"/>
    <w:rsid w:val="00C00738"/>
    <w:rsid w:val="00C01BA1"/>
    <w:rsid w:val="00C01CD5"/>
    <w:rsid w:val="00C02000"/>
    <w:rsid w:val="00C0261C"/>
    <w:rsid w:val="00C02770"/>
    <w:rsid w:val="00C02C73"/>
    <w:rsid w:val="00C046A9"/>
    <w:rsid w:val="00C0496F"/>
    <w:rsid w:val="00C04D90"/>
    <w:rsid w:val="00C04DE7"/>
    <w:rsid w:val="00C05F53"/>
    <w:rsid w:val="00C067B2"/>
    <w:rsid w:val="00C0686B"/>
    <w:rsid w:val="00C06B07"/>
    <w:rsid w:val="00C06C63"/>
    <w:rsid w:val="00C07528"/>
    <w:rsid w:val="00C07DDF"/>
    <w:rsid w:val="00C1173F"/>
    <w:rsid w:val="00C12DB7"/>
    <w:rsid w:val="00C12E07"/>
    <w:rsid w:val="00C14CC6"/>
    <w:rsid w:val="00C14E9D"/>
    <w:rsid w:val="00C14FA8"/>
    <w:rsid w:val="00C15279"/>
    <w:rsid w:val="00C15DC3"/>
    <w:rsid w:val="00C16E12"/>
    <w:rsid w:val="00C16E2A"/>
    <w:rsid w:val="00C17EED"/>
    <w:rsid w:val="00C203CA"/>
    <w:rsid w:val="00C20F42"/>
    <w:rsid w:val="00C215BE"/>
    <w:rsid w:val="00C21A25"/>
    <w:rsid w:val="00C21B96"/>
    <w:rsid w:val="00C21C88"/>
    <w:rsid w:val="00C21E57"/>
    <w:rsid w:val="00C228AE"/>
    <w:rsid w:val="00C22984"/>
    <w:rsid w:val="00C2385A"/>
    <w:rsid w:val="00C24DAA"/>
    <w:rsid w:val="00C26F18"/>
    <w:rsid w:val="00C271BC"/>
    <w:rsid w:val="00C27B46"/>
    <w:rsid w:val="00C27C0E"/>
    <w:rsid w:val="00C27D0D"/>
    <w:rsid w:val="00C31F12"/>
    <w:rsid w:val="00C32209"/>
    <w:rsid w:val="00C33156"/>
    <w:rsid w:val="00C3317D"/>
    <w:rsid w:val="00C3318A"/>
    <w:rsid w:val="00C33CDD"/>
    <w:rsid w:val="00C34459"/>
    <w:rsid w:val="00C349AD"/>
    <w:rsid w:val="00C3511B"/>
    <w:rsid w:val="00C3582A"/>
    <w:rsid w:val="00C35BAF"/>
    <w:rsid w:val="00C35EDC"/>
    <w:rsid w:val="00C364A8"/>
    <w:rsid w:val="00C364DF"/>
    <w:rsid w:val="00C37B0D"/>
    <w:rsid w:val="00C411FB"/>
    <w:rsid w:val="00C413B0"/>
    <w:rsid w:val="00C41506"/>
    <w:rsid w:val="00C417A3"/>
    <w:rsid w:val="00C41E80"/>
    <w:rsid w:val="00C4300B"/>
    <w:rsid w:val="00C43767"/>
    <w:rsid w:val="00C4383A"/>
    <w:rsid w:val="00C43855"/>
    <w:rsid w:val="00C43D4B"/>
    <w:rsid w:val="00C444E9"/>
    <w:rsid w:val="00C44A31"/>
    <w:rsid w:val="00C46014"/>
    <w:rsid w:val="00C47A96"/>
    <w:rsid w:val="00C47D0D"/>
    <w:rsid w:val="00C500E4"/>
    <w:rsid w:val="00C506A9"/>
    <w:rsid w:val="00C506DB"/>
    <w:rsid w:val="00C50726"/>
    <w:rsid w:val="00C5107D"/>
    <w:rsid w:val="00C51722"/>
    <w:rsid w:val="00C518BC"/>
    <w:rsid w:val="00C51F88"/>
    <w:rsid w:val="00C52217"/>
    <w:rsid w:val="00C52AEB"/>
    <w:rsid w:val="00C537F1"/>
    <w:rsid w:val="00C53AB4"/>
    <w:rsid w:val="00C54587"/>
    <w:rsid w:val="00C54917"/>
    <w:rsid w:val="00C549E0"/>
    <w:rsid w:val="00C54BDF"/>
    <w:rsid w:val="00C555F6"/>
    <w:rsid w:val="00C55BE6"/>
    <w:rsid w:val="00C55E7B"/>
    <w:rsid w:val="00C5628D"/>
    <w:rsid w:val="00C5707C"/>
    <w:rsid w:val="00C575D4"/>
    <w:rsid w:val="00C57C75"/>
    <w:rsid w:val="00C60500"/>
    <w:rsid w:val="00C609F3"/>
    <w:rsid w:val="00C60C3F"/>
    <w:rsid w:val="00C615DE"/>
    <w:rsid w:val="00C61CA9"/>
    <w:rsid w:val="00C62323"/>
    <w:rsid w:val="00C6266F"/>
    <w:rsid w:val="00C62AA5"/>
    <w:rsid w:val="00C62C52"/>
    <w:rsid w:val="00C62EB0"/>
    <w:rsid w:val="00C63372"/>
    <w:rsid w:val="00C63EEA"/>
    <w:rsid w:val="00C64152"/>
    <w:rsid w:val="00C644EB"/>
    <w:rsid w:val="00C64B13"/>
    <w:rsid w:val="00C64B20"/>
    <w:rsid w:val="00C6687C"/>
    <w:rsid w:val="00C66A96"/>
    <w:rsid w:val="00C66D10"/>
    <w:rsid w:val="00C6733C"/>
    <w:rsid w:val="00C67AD2"/>
    <w:rsid w:val="00C67F68"/>
    <w:rsid w:val="00C67F70"/>
    <w:rsid w:val="00C67F80"/>
    <w:rsid w:val="00C70035"/>
    <w:rsid w:val="00C70133"/>
    <w:rsid w:val="00C702F0"/>
    <w:rsid w:val="00C7076C"/>
    <w:rsid w:val="00C70985"/>
    <w:rsid w:val="00C70AEE"/>
    <w:rsid w:val="00C7169E"/>
    <w:rsid w:val="00C72ACD"/>
    <w:rsid w:val="00C73078"/>
    <w:rsid w:val="00C73248"/>
    <w:rsid w:val="00C733B4"/>
    <w:rsid w:val="00C73BF2"/>
    <w:rsid w:val="00C740F4"/>
    <w:rsid w:val="00C742C8"/>
    <w:rsid w:val="00C74342"/>
    <w:rsid w:val="00C745A8"/>
    <w:rsid w:val="00C74912"/>
    <w:rsid w:val="00C75085"/>
    <w:rsid w:val="00C7513F"/>
    <w:rsid w:val="00C753B7"/>
    <w:rsid w:val="00C75CE7"/>
    <w:rsid w:val="00C75DC5"/>
    <w:rsid w:val="00C765AF"/>
    <w:rsid w:val="00C76A83"/>
    <w:rsid w:val="00C76CB5"/>
    <w:rsid w:val="00C7731E"/>
    <w:rsid w:val="00C80791"/>
    <w:rsid w:val="00C80AC2"/>
    <w:rsid w:val="00C80EDF"/>
    <w:rsid w:val="00C81204"/>
    <w:rsid w:val="00C82665"/>
    <w:rsid w:val="00C82C1F"/>
    <w:rsid w:val="00C83136"/>
    <w:rsid w:val="00C8321B"/>
    <w:rsid w:val="00C8330D"/>
    <w:rsid w:val="00C845EC"/>
    <w:rsid w:val="00C84AC3"/>
    <w:rsid w:val="00C859ED"/>
    <w:rsid w:val="00C85D99"/>
    <w:rsid w:val="00C86847"/>
    <w:rsid w:val="00C8730F"/>
    <w:rsid w:val="00C875DA"/>
    <w:rsid w:val="00C87784"/>
    <w:rsid w:val="00C87F68"/>
    <w:rsid w:val="00C904DE"/>
    <w:rsid w:val="00C9058E"/>
    <w:rsid w:val="00C906E3"/>
    <w:rsid w:val="00C90C87"/>
    <w:rsid w:val="00C90D22"/>
    <w:rsid w:val="00C912D6"/>
    <w:rsid w:val="00C915FF"/>
    <w:rsid w:val="00C91A5F"/>
    <w:rsid w:val="00C91F5B"/>
    <w:rsid w:val="00C92E88"/>
    <w:rsid w:val="00C93126"/>
    <w:rsid w:val="00C93749"/>
    <w:rsid w:val="00C93A6F"/>
    <w:rsid w:val="00C94179"/>
    <w:rsid w:val="00C94696"/>
    <w:rsid w:val="00C949D4"/>
    <w:rsid w:val="00C95B2B"/>
    <w:rsid w:val="00C95B36"/>
    <w:rsid w:val="00C96AAF"/>
    <w:rsid w:val="00C97535"/>
    <w:rsid w:val="00C979F0"/>
    <w:rsid w:val="00C97A31"/>
    <w:rsid w:val="00CA074D"/>
    <w:rsid w:val="00CA0BC3"/>
    <w:rsid w:val="00CA10F4"/>
    <w:rsid w:val="00CA13B5"/>
    <w:rsid w:val="00CA1F84"/>
    <w:rsid w:val="00CA2D82"/>
    <w:rsid w:val="00CA47A6"/>
    <w:rsid w:val="00CA4818"/>
    <w:rsid w:val="00CA4B0A"/>
    <w:rsid w:val="00CA4E93"/>
    <w:rsid w:val="00CA503C"/>
    <w:rsid w:val="00CA5381"/>
    <w:rsid w:val="00CA55BC"/>
    <w:rsid w:val="00CA5982"/>
    <w:rsid w:val="00CA59A1"/>
    <w:rsid w:val="00CA5C21"/>
    <w:rsid w:val="00CA5CE2"/>
    <w:rsid w:val="00CA6040"/>
    <w:rsid w:val="00CA60D1"/>
    <w:rsid w:val="00CA70F8"/>
    <w:rsid w:val="00CA7447"/>
    <w:rsid w:val="00CA78BC"/>
    <w:rsid w:val="00CA7950"/>
    <w:rsid w:val="00CB1661"/>
    <w:rsid w:val="00CB1ADA"/>
    <w:rsid w:val="00CB28B4"/>
    <w:rsid w:val="00CB29F9"/>
    <w:rsid w:val="00CB42CD"/>
    <w:rsid w:val="00CB452C"/>
    <w:rsid w:val="00CB4953"/>
    <w:rsid w:val="00CB4BB5"/>
    <w:rsid w:val="00CB6344"/>
    <w:rsid w:val="00CB6A7C"/>
    <w:rsid w:val="00CB6D2B"/>
    <w:rsid w:val="00CB7019"/>
    <w:rsid w:val="00CB779A"/>
    <w:rsid w:val="00CB7C23"/>
    <w:rsid w:val="00CC0B60"/>
    <w:rsid w:val="00CC2199"/>
    <w:rsid w:val="00CC3155"/>
    <w:rsid w:val="00CC3CCC"/>
    <w:rsid w:val="00CC3E6E"/>
    <w:rsid w:val="00CC55B8"/>
    <w:rsid w:val="00CC5F67"/>
    <w:rsid w:val="00CC6749"/>
    <w:rsid w:val="00CD042C"/>
    <w:rsid w:val="00CD0752"/>
    <w:rsid w:val="00CD09CF"/>
    <w:rsid w:val="00CD0E51"/>
    <w:rsid w:val="00CD1028"/>
    <w:rsid w:val="00CD15E3"/>
    <w:rsid w:val="00CD1E84"/>
    <w:rsid w:val="00CD200E"/>
    <w:rsid w:val="00CD298A"/>
    <w:rsid w:val="00CD29A2"/>
    <w:rsid w:val="00CD354D"/>
    <w:rsid w:val="00CD3E5A"/>
    <w:rsid w:val="00CD4A98"/>
    <w:rsid w:val="00CD5563"/>
    <w:rsid w:val="00CD5F3D"/>
    <w:rsid w:val="00CD71A4"/>
    <w:rsid w:val="00CD76B4"/>
    <w:rsid w:val="00CD7ADF"/>
    <w:rsid w:val="00CD7F01"/>
    <w:rsid w:val="00CE0038"/>
    <w:rsid w:val="00CE086F"/>
    <w:rsid w:val="00CE14E8"/>
    <w:rsid w:val="00CE170F"/>
    <w:rsid w:val="00CE200B"/>
    <w:rsid w:val="00CE2B9A"/>
    <w:rsid w:val="00CE2CF2"/>
    <w:rsid w:val="00CE3BC1"/>
    <w:rsid w:val="00CE4EDF"/>
    <w:rsid w:val="00CE5043"/>
    <w:rsid w:val="00CE58DD"/>
    <w:rsid w:val="00CE6603"/>
    <w:rsid w:val="00CE67EB"/>
    <w:rsid w:val="00CE696D"/>
    <w:rsid w:val="00CE69EC"/>
    <w:rsid w:val="00CE6B93"/>
    <w:rsid w:val="00CE6D61"/>
    <w:rsid w:val="00CE73E5"/>
    <w:rsid w:val="00CE7C32"/>
    <w:rsid w:val="00CF1AA2"/>
    <w:rsid w:val="00CF1CB4"/>
    <w:rsid w:val="00CF1D90"/>
    <w:rsid w:val="00CF1F06"/>
    <w:rsid w:val="00CF20B9"/>
    <w:rsid w:val="00CF261E"/>
    <w:rsid w:val="00CF267B"/>
    <w:rsid w:val="00CF275A"/>
    <w:rsid w:val="00CF4703"/>
    <w:rsid w:val="00CF4B36"/>
    <w:rsid w:val="00CF53E1"/>
    <w:rsid w:val="00CF5510"/>
    <w:rsid w:val="00CF5DA9"/>
    <w:rsid w:val="00CF6842"/>
    <w:rsid w:val="00CF693B"/>
    <w:rsid w:val="00CF738F"/>
    <w:rsid w:val="00CF7446"/>
    <w:rsid w:val="00D0065C"/>
    <w:rsid w:val="00D00EBF"/>
    <w:rsid w:val="00D014DF"/>
    <w:rsid w:val="00D01705"/>
    <w:rsid w:val="00D023D3"/>
    <w:rsid w:val="00D023DD"/>
    <w:rsid w:val="00D0310D"/>
    <w:rsid w:val="00D03219"/>
    <w:rsid w:val="00D039FF"/>
    <w:rsid w:val="00D03C72"/>
    <w:rsid w:val="00D04356"/>
    <w:rsid w:val="00D04578"/>
    <w:rsid w:val="00D0560A"/>
    <w:rsid w:val="00D06F8D"/>
    <w:rsid w:val="00D07738"/>
    <w:rsid w:val="00D07E1E"/>
    <w:rsid w:val="00D1034F"/>
    <w:rsid w:val="00D11567"/>
    <w:rsid w:val="00D11D86"/>
    <w:rsid w:val="00D1346A"/>
    <w:rsid w:val="00D13650"/>
    <w:rsid w:val="00D14401"/>
    <w:rsid w:val="00D14538"/>
    <w:rsid w:val="00D148B6"/>
    <w:rsid w:val="00D14AF0"/>
    <w:rsid w:val="00D15042"/>
    <w:rsid w:val="00D158D2"/>
    <w:rsid w:val="00D159FC"/>
    <w:rsid w:val="00D16913"/>
    <w:rsid w:val="00D170EB"/>
    <w:rsid w:val="00D1733B"/>
    <w:rsid w:val="00D1759A"/>
    <w:rsid w:val="00D177B2"/>
    <w:rsid w:val="00D17F9C"/>
    <w:rsid w:val="00D201FE"/>
    <w:rsid w:val="00D2029E"/>
    <w:rsid w:val="00D20657"/>
    <w:rsid w:val="00D20873"/>
    <w:rsid w:val="00D21EC7"/>
    <w:rsid w:val="00D22020"/>
    <w:rsid w:val="00D2279C"/>
    <w:rsid w:val="00D230F3"/>
    <w:rsid w:val="00D23323"/>
    <w:rsid w:val="00D2337A"/>
    <w:rsid w:val="00D2462B"/>
    <w:rsid w:val="00D247E6"/>
    <w:rsid w:val="00D24967"/>
    <w:rsid w:val="00D24CB8"/>
    <w:rsid w:val="00D252CE"/>
    <w:rsid w:val="00D25E4C"/>
    <w:rsid w:val="00D26365"/>
    <w:rsid w:val="00D267EC"/>
    <w:rsid w:val="00D26B31"/>
    <w:rsid w:val="00D27342"/>
    <w:rsid w:val="00D27677"/>
    <w:rsid w:val="00D303B8"/>
    <w:rsid w:val="00D3075A"/>
    <w:rsid w:val="00D3128D"/>
    <w:rsid w:val="00D31506"/>
    <w:rsid w:val="00D3167A"/>
    <w:rsid w:val="00D318F1"/>
    <w:rsid w:val="00D3196B"/>
    <w:rsid w:val="00D31CF1"/>
    <w:rsid w:val="00D32520"/>
    <w:rsid w:val="00D3267D"/>
    <w:rsid w:val="00D32836"/>
    <w:rsid w:val="00D3361D"/>
    <w:rsid w:val="00D336EF"/>
    <w:rsid w:val="00D34726"/>
    <w:rsid w:val="00D3501A"/>
    <w:rsid w:val="00D35316"/>
    <w:rsid w:val="00D36297"/>
    <w:rsid w:val="00D36599"/>
    <w:rsid w:val="00D36951"/>
    <w:rsid w:val="00D370E3"/>
    <w:rsid w:val="00D3791E"/>
    <w:rsid w:val="00D40D3E"/>
    <w:rsid w:val="00D41395"/>
    <w:rsid w:val="00D42E95"/>
    <w:rsid w:val="00D43563"/>
    <w:rsid w:val="00D43A19"/>
    <w:rsid w:val="00D43A7A"/>
    <w:rsid w:val="00D4435F"/>
    <w:rsid w:val="00D4606C"/>
    <w:rsid w:val="00D4695C"/>
    <w:rsid w:val="00D46E92"/>
    <w:rsid w:val="00D47A4E"/>
    <w:rsid w:val="00D47C4F"/>
    <w:rsid w:val="00D47E1C"/>
    <w:rsid w:val="00D50A9E"/>
    <w:rsid w:val="00D50BDD"/>
    <w:rsid w:val="00D50E91"/>
    <w:rsid w:val="00D5121E"/>
    <w:rsid w:val="00D518B5"/>
    <w:rsid w:val="00D51E4C"/>
    <w:rsid w:val="00D527C5"/>
    <w:rsid w:val="00D5346B"/>
    <w:rsid w:val="00D54FCB"/>
    <w:rsid w:val="00D55266"/>
    <w:rsid w:val="00D55993"/>
    <w:rsid w:val="00D560D0"/>
    <w:rsid w:val="00D56323"/>
    <w:rsid w:val="00D563E4"/>
    <w:rsid w:val="00D56F3D"/>
    <w:rsid w:val="00D57773"/>
    <w:rsid w:val="00D57824"/>
    <w:rsid w:val="00D605CB"/>
    <w:rsid w:val="00D60B69"/>
    <w:rsid w:val="00D60F93"/>
    <w:rsid w:val="00D619ED"/>
    <w:rsid w:val="00D61B98"/>
    <w:rsid w:val="00D61D6B"/>
    <w:rsid w:val="00D63134"/>
    <w:rsid w:val="00D632F2"/>
    <w:rsid w:val="00D63640"/>
    <w:rsid w:val="00D6429E"/>
    <w:rsid w:val="00D647DB"/>
    <w:rsid w:val="00D64AA5"/>
    <w:rsid w:val="00D64B6B"/>
    <w:rsid w:val="00D64C63"/>
    <w:rsid w:val="00D6518A"/>
    <w:rsid w:val="00D65247"/>
    <w:rsid w:val="00D65353"/>
    <w:rsid w:val="00D65484"/>
    <w:rsid w:val="00D65918"/>
    <w:rsid w:val="00D66105"/>
    <w:rsid w:val="00D66218"/>
    <w:rsid w:val="00D6626E"/>
    <w:rsid w:val="00D66A92"/>
    <w:rsid w:val="00D67020"/>
    <w:rsid w:val="00D6738F"/>
    <w:rsid w:val="00D67628"/>
    <w:rsid w:val="00D67874"/>
    <w:rsid w:val="00D6792D"/>
    <w:rsid w:val="00D67FDD"/>
    <w:rsid w:val="00D70B8F"/>
    <w:rsid w:val="00D712CB"/>
    <w:rsid w:val="00D714FC"/>
    <w:rsid w:val="00D716C5"/>
    <w:rsid w:val="00D720B2"/>
    <w:rsid w:val="00D7251B"/>
    <w:rsid w:val="00D72558"/>
    <w:rsid w:val="00D72E09"/>
    <w:rsid w:val="00D73019"/>
    <w:rsid w:val="00D7312A"/>
    <w:rsid w:val="00D731B3"/>
    <w:rsid w:val="00D73601"/>
    <w:rsid w:val="00D74009"/>
    <w:rsid w:val="00D74214"/>
    <w:rsid w:val="00D74DBB"/>
    <w:rsid w:val="00D754BA"/>
    <w:rsid w:val="00D75CA3"/>
    <w:rsid w:val="00D7602D"/>
    <w:rsid w:val="00D77208"/>
    <w:rsid w:val="00D776CA"/>
    <w:rsid w:val="00D77AAB"/>
    <w:rsid w:val="00D81454"/>
    <w:rsid w:val="00D83380"/>
    <w:rsid w:val="00D834DB"/>
    <w:rsid w:val="00D841E3"/>
    <w:rsid w:val="00D84690"/>
    <w:rsid w:val="00D84D33"/>
    <w:rsid w:val="00D85837"/>
    <w:rsid w:val="00D858A4"/>
    <w:rsid w:val="00D859D9"/>
    <w:rsid w:val="00D85C19"/>
    <w:rsid w:val="00D866D9"/>
    <w:rsid w:val="00D86DFC"/>
    <w:rsid w:val="00D878DD"/>
    <w:rsid w:val="00D87EAB"/>
    <w:rsid w:val="00D90435"/>
    <w:rsid w:val="00D90D72"/>
    <w:rsid w:val="00D916AD"/>
    <w:rsid w:val="00D91853"/>
    <w:rsid w:val="00D9197E"/>
    <w:rsid w:val="00D91A18"/>
    <w:rsid w:val="00D920E5"/>
    <w:rsid w:val="00D92318"/>
    <w:rsid w:val="00D92566"/>
    <w:rsid w:val="00D92E3E"/>
    <w:rsid w:val="00D9324F"/>
    <w:rsid w:val="00D93407"/>
    <w:rsid w:val="00D93F79"/>
    <w:rsid w:val="00D94080"/>
    <w:rsid w:val="00D94935"/>
    <w:rsid w:val="00D94E00"/>
    <w:rsid w:val="00D95285"/>
    <w:rsid w:val="00D956FB"/>
    <w:rsid w:val="00D958B7"/>
    <w:rsid w:val="00D95B93"/>
    <w:rsid w:val="00D95F0F"/>
    <w:rsid w:val="00D96666"/>
    <w:rsid w:val="00D9688E"/>
    <w:rsid w:val="00D96C2D"/>
    <w:rsid w:val="00D976DF"/>
    <w:rsid w:val="00D977D1"/>
    <w:rsid w:val="00DA05B8"/>
    <w:rsid w:val="00DA0D5A"/>
    <w:rsid w:val="00DA1F5C"/>
    <w:rsid w:val="00DA2172"/>
    <w:rsid w:val="00DA2788"/>
    <w:rsid w:val="00DA306F"/>
    <w:rsid w:val="00DA3505"/>
    <w:rsid w:val="00DA3907"/>
    <w:rsid w:val="00DA4A01"/>
    <w:rsid w:val="00DA4A59"/>
    <w:rsid w:val="00DA5A93"/>
    <w:rsid w:val="00DA5DFD"/>
    <w:rsid w:val="00DA5F2B"/>
    <w:rsid w:val="00DA6861"/>
    <w:rsid w:val="00DA6A40"/>
    <w:rsid w:val="00DA6B30"/>
    <w:rsid w:val="00DA6CFB"/>
    <w:rsid w:val="00DA7010"/>
    <w:rsid w:val="00DA7B9D"/>
    <w:rsid w:val="00DB0AF1"/>
    <w:rsid w:val="00DB23D1"/>
    <w:rsid w:val="00DB2503"/>
    <w:rsid w:val="00DB2700"/>
    <w:rsid w:val="00DB2D91"/>
    <w:rsid w:val="00DB2DF7"/>
    <w:rsid w:val="00DB3164"/>
    <w:rsid w:val="00DB3BCB"/>
    <w:rsid w:val="00DB4462"/>
    <w:rsid w:val="00DB56B3"/>
    <w:rsid w:val="00DB5D37"/>
    <w:rsid w:val="00DB6AE4"/>
    <w:rsid w:val="00DB6FB3"/>
    <w:rsid w:val="00DB78A6"/>
    <w:rsid w:val="00DB7D7B"/>
    <w:rsid w:val="00DC01C4"/>
    <w:rsid w:val="00DC0210"/>
    <w:rsid w:val="00DC0271"/>
    <w:rsid w:val="00DC0A17"/>
    <w:rsid w:val="00DC13C8"/>
    <w:rsid w:val="00DC1401"/>
    <w:rsid w:val="00DC15E2"/>
    <w:rsid w:val="00DC18D3"/>
    <w:rsid w:val="00DC276B"/>
    <w:rsid w:val="00DC35FF"/>
    <w:rsid w:val="00DC434C"/>
    <w:rsid w:val="00DC46B8"/>
    <w:rsid w:val="00DC4CFB"/>
    <w:rsid w:val="00DC4DC8"/>
    <w:rsid w:val="00DC55BB"/>
    <w:rsid w:val="00DC582D"/>
    <w:rsid w:val="00DC5C31"/>
    <w:rsid w:val="00DC62BA"/>
    <w:rsid w:val="00DC7B00"/>
    <w:rsid w:val="00DD014B"/>
    <w:rsid w:val="00DD1475"/>
    <w:rsid w:val="00DD2EF1"/>
    <w:rsid w:val="00DD38B4"/>
    <w:rsid w:val="00DD4B1B"/>
    <w:rsid w:val="00DD4B68"/>
    <w:rsid w:val="00DD4F5A"/>
    <w:rsid w:val="00DD568E"/>
    <w:rsid w:val="00DD5AA7"/>
    <w:rsid w:val="00DD5C72"/>
    <w:rsid w:val="00DD5DE6"/>
    <w:rsid w:val="00DD5E87"/>
    <w:rsid w:val="00DD64D5"/>
    <w:rsid w:val="00DD6D0B"/>
    <w:rsid w:val="00DD716B"/>
    <w:rsid w:val="00DE0753"/>
    <w:rsid w:val="00DE07B1"/>
    <w:rsid w:val="00DE0FD7"/>
    <w:rsid w:val="00DE1111"/>
    <w:rsid w:val="00DE13D0"/>
    <w:rsid w:val="00DE21F2"/>
    <w:rsid w:val="00DE2286"/>
    <w:rsid w:val="00DE2784"/>
    <w:rsid w:val="00DE4099"/>
    <w:rsid w:val="00DE46F7"/>
    <w:rsid w:val="00DE5193"/>
    <w:rsid w:val="00DE54B0"/>
    <w:rsid w:val="00DE5AC5"/>
    <w:rsid w:val="00DE613F"/>
    <w:rsid w:val="00DE6341"/>
    <w:rsid w:val="00DE6524"/>
    <w:rsid w:val="00DE74BD"/>
    <w:rsid w:val="00DE7C18"/>
    <w:rsid w:val="00DF0FCE"/>
    <w:rsid w:val="00DF129E"/>
    <w:rsid w:val="00DF1354"/>
    <w:rsid w:val="00DF1579"/>
    <w:rsid w:val="00DF1A7C"/>
    <w:rsid w:val="00DF1A86"/>
    <w:rsid w:val="00DF1B94"/>
    <w:rsid w:val="00DF2A78"/>
    <w:rsid w:val="00DF364A"/>
    <w:rsid w:val="00DF5192"/>
    <w:rsid w:val="00DF51DE"/>
    <w:rsid w:val="00DF523B"/>
    <w:rsid w:val="00DF56B2"/>
    <w:rsid w:val="00DF6758"/>
    <w:rsid w:val="00DF69FC"/>
    <w:rsid w:val="00DF7513"/>
    <w:rsid w:val="00DF766C"/>
    <w:rsid w:val="00E00169"/>
    <w:rsid w:val="00E00330"/>
    <w:rsid w:val="00E00A58"/>
    <w:rsid w:val="00E0149B"/>
    <w:rsid w:val="00E0251F"/>
    <w:rsid w:val="00E03096"/>
    <w:rsid w:val="00E032CF"/>
    <w:rsid w:val="00E03655"/>
    <w:rsid w:val="00E039DA"/>
    <w:rsid w:val="00E03A57"/>
    <w:rsid w:val="00E03B41"/>
    <w:rsid w:val="00E04961"/>
    <w:rsid w:val="00E059CB"/>
    <w:rsid w:val="00E06C1F"/>
    <w:rsid w:val="00E07763"/>
    <w:rsid w:val="00E10996"/>
    <w:rsid w:val="00E1101A"/>
    <w:rsid w:val="00E11DB8"/>
    <w:rsid w:val="00E11FE6"/>
    <w:rsid w:val="00E12189"/>
    <w:rsid w:val="00E13256"/>
    <w:rsid w:val="00E13D31"/>
    <w:rsid w:val="00E1473F"/>
    <w:rsid w:val="00E14E60"/>
    <w:rsid w:val="00E15063"/>
    <w:rsid w:val="00E15A59"/>
    <w:rsid w:val="00E15BF1"/>
    <w:rsid w:val="00E16137"/>
    <w:rsid w:val="00E161B2"/>
    <w:rsid w:val="00E1659B"/>
    <w:rsid w:val="00E16E55"/>
    <w:rsid w:val="00E16F15"/>
    <w:rsid w:val="00E173A3"/>
    <w:rsid w:val="00E17403"/>
    <w:rsid w:val="00E175F0"/>
    <w:rsid w:val="00E179A9"/>
    <w:rsid w:val="00E2011C"/>
    <w:rsid w:val="00E20D47"/>
    <w:rsid w:val="00E20D8A"/>
    <w:rsid w:val="00E20F5B"/>
    <w:rsid w:val="00E2185A"/>
    <w:rsid w:val="00E22161"/>
    <w:rsid w:val="00E2224E"/>
    <w:rsid w:val="00E22B67"/>
    <w:rsid w:val="00E23861"/>
    <w:rsid w:val="00E23C2B"/>
    <w:rsid w:val="00E23D1A"/>
    <w:rsid w:val="00E2485A"/>
    <w:rsid w:val="00E253F3"/>
    <w:rsid w:val="00E2542A"/>
    <w:rsid w:val="00E25672"/>
    <w:rsid w:val="00E257BE"/>
    <w:rsid w:val="00E25D3A"/>
    <w:rsid w:val="00E260C2"/>
    <w:rsid w:val="00E2645C"/>
    <w:rsid w:val="00E26926"/>
    <w:rsid w:val="00E27323"/>
    <w:rsid w:val="00E278F4"/>
    <w:rsid w:val="00E30FF5"/>
    <w:rsid w:val="00E31C07"/>
    <w:rsid w:val="00E31E09"/>
    <w:rsid w:val="00E322A7"/>
    <w:rsid w:val="00E32578"/>
    <w:rsid w:val="00E33ECD"/>
    <w:rsid w:val="00E34B81"/>
    <w:rsid w:val="00E34F15"/>
    <w:rsid w:val="00E3527B"/>
    <w:rsid w:val="00E3556F"/>
    <w:rsid w:val="00E35E90"/>
    <w:rsid w:val="00E362B9"/>
    <w:rsid w:val="00E36BB4"/>
    <w:rsid w:val="00E371AA"/>
    <w:rsid w:val="00E37231"/>
    <w:rsid w:val="00E37AD4"/>
    <w:rsid w:val="00E40161"/>
    <w:rsid w:val="00E401B3"/>
    <w:rsid w:val="00E4033E"/>
    <w:rsid w:val="00E40E7A"/>
    <w:rsid w:val="00E41A68"/>
    <w:rsid w:val="00E42371"/>
    <w:rsid w:val="00E424E8"/>
    <w:rsid w:val="00E4277C"/>
    <w:rsid w:val="00E43025"/>
    <w:rsid w:val="00E430B4"/>
    <w:rsid w:val="00E434B8"/>
    <w:rsid w:val="00E439B4"/>
    <w:rsid w:val="00E43EE1"/>
    <w:rsid w:val="00E44BDA"/>
    <w:rsid w:val="00E452B2"/>
    <w:rsid w:val="00E45664"/>
    <w:rsid w:val="00E45DD9"/>
    <w:rsid w:val="00E47C74"/>
    <w:rsid w:val="00E47CE9"/>
    <w:rsid w:val="00E5091C"/>
    <w:rsid w:val="00E511C8"/>
    <w:rsid w:val="00E51718"/>
    <w:rsid w:val="00E51A53"/>
    <w:rsid w:val="00E51A57"/>
    <w:rsid w:val="00E51A5A"/>
    <w:rsid w:val="00E51A8E"/>
    <w:rsid w:val="00E51D09"/>
    <w:rsid w:val="00E525B6"/>
    <w:rsid w:val="00E53344"/>
    <w:rsid w:val="00E5336E"/>
    <w:rsid w:val="00E5343F"/>
    <w:rsid w:val="00E53806"/>
    <w:rsid w:val="00E53AA1"/>
    <w:rsid w:val="00E53F23"/>
    <w:rsid w:val="00E544EC"/>
    <w:rsid w:val="00E5462E"/>
    <w:rsid w:val="00E54974"/>
    <w:rsid w:val="00E54AA8"/>
    <w:rsid w:val="00E55157"/>
    <w:rsid w:val="00E5574C"/>
    <w:rsid w:val="00E55E35"/>
    <w:rsid w:val="00E55E69"/>
    <w:rsid w:val="00E55FFC"/>
    <w:rsid w:val="00E560FF"/>
    <w:rsid w:val="00E561C1"/>
    <w:rsid w:val="00E56DA7"/>
    <w:rsid w:val="00E57117"/>
    <w:rsid w:val="00E572FF"/>
    <w:rsid w:val="00E573B7"/>
    <w:rsid w:val="00E578A4"/>
    <w:rsid w:val="00E57FCC"/>
    <w:rsid w:val="00E60305"/>
    <w:rsid w:val="00E609F9"/>
    <w:rsid w:val="00E60FD9"/>
    <w:rsid w:val="00E61879"/>
    <w:rsid w:val="00E61A20"/>
    <w:rsid w:val="00E61DAF"/>
    <w:rsid w:val="00E623B1"/>
    <w:rsid w:val="00E635DD"/>
    <w:rsid w:val="00E63AE0"/>
    <w:rsid w:val="00E63C12"/>
    <w:rsid w:val="00E63E27"/>
    <w:rsid w:val="00E63E6E"/>
    <w:rsid w:val="00E64D39"/>
    <w:rsid w:val="00E65297"/>
    <w:rsid w:val="00E652BF"/>
    <w:rsid w:val="00E6546E"/>
    <w:rsid w:val="00E65762"/>
    <w:rsid w:val="00E66D23"/>
    <w:rsid w:val="00E66F04"/>
    <w:rsid w:val="00E67C67"/>
    <w:rsid w:val="00E703CC"/>
    <w:rsid w:val="00E706A9"/>
    <w:rsid w:val="00E70806"/>
    <w:rsid w:val="00E70A8B"/>
    <w:rsid w:val="00E70C59"/>
    <w:rsid w:val="00E71B60"/>
    <w:rsid w:val="00E71D7D"/>
    <w:rsid w:val="00E71E8F"/>
    <w:rsid w:val="00E721E7"/>
    <w:rsid w:val="00E722FD"/>
    <w:rsid w:val="00E729DB"/>
    <w:rsid w:val="00E73257"/>
    <w:rsid w:val="00E73416"/>
    <w:rsid w:val="00E73D32"/>
    <w:rsid w:val="00E7417F"/>
    <w:rsid w:val="00E74182"/>
    <w:rsid w:val="00E74281"/>
    <w:rsid w:val="00E7481C"/>
    <w:rsid w:val="00E74B12"/>
    <w:rsid w:val="00E772B5"/>
    <w:rsid w:val="00E77453"/>
    <w:rsid w:val="00E77598"/>
    <w:rsid w:val="00E77782"/>
    <w:rsid w:val="00E77981"/>
    <w:rsid w:val="00E80179"/>
    <w:rsid w:val="00E81009"/>
    <w:rsid w:val="00E815E4"/>
    <w:rsid w:val="00E81E3E"/>
    <w:rsid w:val="00E81E58"/>
    <w:rsid w:val="00E81EB4"/>
    <w:rsid w:val="00E82A0B"/>
    <w:rsid w:val="00E83055"/>
    <w:rsid w:val="00E830F6"/>
    <w:rsid w:val="00E83E5D"/>
    <w:rsid w:val="00E83ECD"/>
    <w:rsid w:val="00E841D9"/>
    <w:rsid w:val="00E848C4"/>
    <w:rsid w:val="00E84A2E"/>
    <w:rsid w:val="00E84E96"/>
    <w:rsid w:val="00E85A9A"/>
    <w:rsid w:val="00E85C35"/>
    <w:rsid w:val="00E9039F"/>
    <w:rsid w:val="00E90B1B"/>
    <w:rsid w:val="00E90E42"/>
    <w:rsid w:val="00E9100E"/>
    <w:rsid w:val="00E91246"/>
    <w:rsid w:val="00E91CF6"/>
    <w:rsid w:val="00E9207B"/>
    <w:rsid w:val="00E920A3"/>
    <w:rsid w:val="00E92AE5"/>
    <w:rsid w:val="00E931AC"/>
    <w:rsid w:val="00E93AEE"/>
    <w:rsid w:val="00E94172"/>
    <w:rsid w:val="00E94641"/>
    <w:rsid w:val="00E94675"/>
    <w:rsid w:val="00E9473B"/>
    <w:rsid w:val="00E94EEB"/>
    <w:rsid w:val="00E94F11"/>
    <w:rsid w:val="00E9601A"/>
    <w:rsid w:val="00E96072"/>
    <w:rsid w:val="00E964DF"/>
    <w:rsid w:val="00E96766"/>
    <w:rsid w:val="00E9676D"/>
    <w:rsid w:val="00E96798"/>
    <w:rsid w:val="00E9740E"/>
    <w:rsid w:val="00E97695"/>
    <w:rsid w:val="00EA0AA4"/>
    <w:rsid w:val="00EA0B7C"/>
    <w:rsid w:val="00EA0DF1"/>
    <w:rsid w:val="00EA1B0B"/>
    <w:rsid w:val="00EA1B40"/>
    <w:rsid w:val="00EA2AFC"/>
    <w:rsid w:val="00EA4062"/>
    <w:rsid w:val="00EA40F6"/>
    <w:rsid w:val="00EA4480"/>
    <w:rsid w:val="00EA5395"/>
    <w:rsid w:val="00EA53D4"/>
    <w:rsid w:val="00EA5A3A"/>
    <w:rsid w:val="00EA5C7B"/>
    <w:rsid w:val="00EA5F0A"/>
    <w:rsid w:val="00EA63CE"/>
    <w:rsid w:val="00EA67AB"/>
    <w:rsid w:val="00EA6C21"/>
    <w:rsid w:val="00EA6E15"/>
    <w:rsid w:val="00EA722E"/>
    <w:rsid w:val="00EA7367"/>
    <w:rsid w:val="00EA749D"/>
    <w:rsid w:val="00EA75C5"/>
    <w:rsid w:val="00EA7A67"/>
    <w:rsid w:val="00EB0021"/>
    <w:rsid w:val="00EB0117"/>
    <w:rsid w:val="00EB0554"/>
    <w:rsid w:val="00EB0863"/>
    <w:rsid w:val="00EB0C56"/>
    <w:rsid w:val="00EB0C83"/>
    <w:rsid w:val="00EB1999"/>
    <w:rsid w:val="00EB1B89"/>
    <w:rsid w:val="00EB209C"/>
    <w:rsid w:val="00EB22A5"/>
    <w:rsid w:val="00EB2ACF"/>
    <w:rsid w:val="00EB2EC7"/>
    <w:rsid w:val="00EB30D6"/>
    <w:rsid w:val="00EB4035"/>
    <w:rsid w:val="00EB4404"/>
    <w:rsid w:val="00EB459F"/>
    <w:rsid w:val="00EB4ACA"/>
    <w:rsid w:val="00EB57E4"/>
    <w:rsid w:val="00EB6922"/>
    <w:rsid w:val="00EB716D"/>
    <w:rsid w:val="00EB74AC"/>
    <w:rsid w:val="00EB78F8"/>
    <w:rsid w:val="00EB7E7D"/>
    <w:rsid w:val="00EC00E9"/>
    <w:rsid w:val="00EC0232"/>
    <w:rsid w:val="00EC0501"/>
    <w:rsid w:val="00EC0C1D"/>
    <w:rsid w:val="00EC0F0F"/>
    <w:rsid w:val="00EC11F4"/>
    <w:rsid w:val="00EC12DD"/>
    <w:rsid w:val="00EC1BC2"/>
    <w:rsid w:val="00EC1F6C"/>
    <w:rsid w:val="00EC28B9"/>
    <w:rsid w:val="00EC2917"/>
    <w:rsid w:val="00EC322D"/>
    <w:rsid w:val="00EC40D7"/>
    <w:rsid w:val="00EC5059"/>
    <w:rsid w:val="00EC52B6"/>
    <w:rsid w:val="00EC5949"/>
    <w:rsid w:val="00EC71DE"/>
    <w:rsid w:val="00EC7C01"/>
    <w:rsid w:val="00EC7CE2"/>
    <w:rsid w:val="00ED02CF"/>
    <w:rsid w:val="00ED123B"/>
    <w:rsid w:val="00ED1CDB"/>
    <w:rsid w:val="00ED2203"/>
    <w:rsid w:val="00ED2399"/>
    <w:rsid w:val="00ED27C4"/>
    <w:rsid w:val="00ED2ABF"/>
    <w:rsid w:val="00ED2C00"/>
    <w:rsid w:val="00ED32DC"/>
    <w:rsid w:val="00ED342F"/>
    <w:rsid w:val="00ED34DE"/>
    <w:rsid w:val="00ED4668"/>
    <w:rsid w:val="00ED4DBD"/>
    <w:rsid w:val="00ED5920"/>
    <w:rsid w:val="00ED5AA0"/>
    <w:rsid w:val="00ED6318"/>
    <w:rsid w:val="00ED7725"/>
    <w:rsid w:val="00EE027E"/>
    <w:rsid w:val="00EE0605"/>
    <w:rsid w:val="00EE0823"/>
    <w:rsid w:val="00EE0995"/>
    <w:rsid w:val="00EE0DFC"/>
    <w:rsid w:val="00EE12D7"/>
    <w:rsid w:val="00EE1694"/>
    <w:rsid w:val="00EE2B15"/>
    <w:rsid w:val="00EE2E52"/>
    <w:rsid w:val="00EE2E9A"/>
    <w:rsid w:val="00EE41B4"/>
    <w:rsid w:val="00EE463E"/>
    <w:rsid w:val="00EE4CE7"/>
    <w:rsid w:val="00EE4D1B"/>
    <w:rsid w:val="00EE5189"/>
    <w:rsid w:val="00EE525D"/>
    <w:rsid w:val="00EE53B6"/>
    <w:rsid w:val="00EE65A6"/>
    <w:rsid w:val="00EE6665"/>
    <w:rsid w:val="00EE67F0"/>
    <w:rsid w:val="00EE6863"/>
    <w:rsid w:val="00EE6AF9"/>
    <w:rsid w:val="00EE6B74"/>
    <w:rsid w:val="00EE75EE"/>
    <w:rsid w:val="00EE778F"/>
    <w:rsid w:val="00EE7972"/>
    <w:rsid w:val="00EE7AD1"/>
    <w:rsid w:val="00EE7AE4"/>
    <w:rsid w:val="00EE7CDF"/>
    <w:rsid w:val="00EE7E9F"/>
    <w:rsid w:val="00EF0515"/>
    <w:rsid w:val="00EF0674"/>
    <w:rsid w:val="00EF071A"/>
    <w:rsid w:val="00EF1D6B"/>
    <w:rsid w:val="00EF2F72"/>
    <w:rsid w:val="00EF326D"/>
    <w:rsid w:val="00EF3B7C"/>
    <w:rsid w:val="00EF3CFA"/>
    <w:rsid w:val="00EF3ECB"/>
    <w:rsid w:val="00EF3F67"/>
    <w:rsid w:val="00EF40C3"/>
    <w:rsid w:val="00EF4AD1"/>
    <w:rsid w:val="00EF4CED"/>
    <w:rsid w:val="00EF55E5"/>
    <w:rsid w:val="00EF587D"/>
    <w:rsid w:val="00EF58E8"/>
    <w:rsid w:val="00EF61A1"/>
    <w:rsid w:val="00EF6B71"/>
    <w:rsid w:val="00F00E5B"/>
    <w:rsid w:val="00F00F8C"/>
    <w:rsid w:val="00F00FDA"/>
    <w:rsid w:val="00F0167C"/>
    <w:rsid w:val="00F0170B"/>
    <w:rsid w:val="00F02E2F"/>
    <w:rsid w:val="00F03088"/>
    <w:rsid w:val="00F03409"/>
    <w:rsid w:val="00F034BB"/>
    <w:rsid w:val="00F0357E"/>
    <w:rsid w:val="00F03860"/>
    <w:rsid w:val="00F03968"/>
    <w:rsid w:val="00F03C6C"/>
    <w:rsid w:val="00F03DDA"/>
    <w:rsid w:val="00F0554C"/>
    <w:rsid w:val="00F0562F"/>
    <w:rsid w:val="00F058D8"/>
    <w:rsid w:val="00F06116"/>
    <w:rsid w:val="00F06589"/>
    <w:rsid w:val="00F06828"/>
    <w:rsid w:val="00F069AE"/>
    <w:rsid w:val="00F07011"/>
    <w:rsid w:val="00F07DC6"/>
    <w:rsid w:val="00F10015"/>
    <w:rsid w:val="00F11C7C"/>
    <w:rsid w:val="00F13145"/>
    <w:rsid w:val="00F13B85"/>
    <w:rsid w:val="00F14C2C"/>
    <w:rsid w:val="00F151AC"/>
    <w:rsid w:val="00F15827"/>
    <w:rsid w:val="00F15AAB"/>
    <w:rsid w:val="00F15EE5"/>
    <w:rsid w:val="00F17354"/>
    <w:rsid w:val="00F17533"/>
    <w:rsid w:val="00F2014A"/>
    <w:rsid w:val="00F20648"/>
    <w:rsid w:val="00F20775"/>
    <w:rsid w:val="00F20EE9"/>
    <w:rsid w:val="00F215E7"/>
    <w:rsid w:val="00F21AFE"/>
    <w:rsid w:val="00F22767"/>
    <w:rsid w:val="00F22FE7"/>
    <w:rsid w:val="00F2317D"/>
    <w:rsid w:val="00F23D23"/>
    <w:rsid w:val="00F23D64"/>
    <w:rsid w:val="00F23DC1"/>
    <w:rsid w:val="00F23E6C"/>
    <w:rsid w:val="00F23FE3"/>
    <w:rsid w:val="00F24188"/>
    <w:rsid w:val="00F25121"/>
    <w:rsid w:val="00F251A2"/>
    <w:rsid w:val="00F2523F"/>
    <w:rsid w:val="00F254A3"/>
    <w:rsid w:val="00F2563E"/>
    <w:rsid w:val="00F25968"/>
    <w:rsid w:val="00F259CB"/>
    <w:rsid w:val="00F25D26"/>
    <w:rsid w:val="00F25DDB"/>
    <w:rsid w:val="00F26055"/>
    <w:rsid w:val="00F264FE"/>
    <w:rsid w:val="00F26B87"/>
    <w:rsid w:val="00F2799C"/>
    <w:rsid w:val="00F27ECB"/>
    <w:rsid w:val="00F3146C"/>
    <w:rsid w:val="00F328D7"/>
    <w:rsid w:val="00F32AB1"/>
    <w:rsid w:val="00F33AF9"/>
    <w:rsid w:val="00F33F6F"/>
    <w:rsid w:val="00F3457C"/>
    <w:rsid w:val="00F348DB"/>
    <w:rsid w:val="00F34F2C"/>
    <w:rsid w:val="00F353D6"/>
    <w:rsid w:val="00F35706"/>
    <w:rsid w:val="00F3572D"/>
    <w:rsid w:val="00F36C39"/>
    <w:rsid w:val="00F40161"/>
    <w:rsid w:val="00F40A17"/>
    <w:rsid w:val="00F40A7A"/>
    <w:rsid w:val="00F40B6E"/>
    <w:rsid w:val="00F41DB7"/>
    <w:rsid w:val="00F42A00"/>
    <w:rsid w:val="00F42B8D"/>
    <w:rsid w:val="00F42D72"/>
    <w:rsid w:val="00F42F10"/>
    <w:rsid w:val="00F4316F"/>
    <w:rsid w:val="00F43856"/>
    <w:rsid w:val="00F43F87"/>
    <w:rsid w:val="00F45624"/>
    <w:rsid w:val="00F45FCC"/>
    <w:rsid w:val="00F462AC"/>
    <w:rsid w:val="00F46494"/>
    <w:rsid w:val="00F47958"/>
    <w:rsid w:val="00F47BEE"/>
    <w:rsid w:val="00F47C4E"/>
    <w:rsid w:val="00F512B7"/>
    <w:rsid w:val="00F519D6"/>
    <w:rsid w:val="00F53927"/>
    <w:rsid w:val="00F54D67"/>
    <w:rsid w:val="00F558F0"/>
    <w:rsid w:val="00F55C02"/>
    <w:rsid w:val="00F55CF2"/>
    <w:rsid w:val="00F56834"/>
    <w:rsid w:val="00F5696C"/>
    <w:rsid w:val="00F56989"/>
    <w:rsid w:val="00F56BD5"/>
    <w:rsid w:val="00F56D2C"/>
    <w:rsid w:val="00F5755B"/>
    <w:rsid w:val="00F60B43"/>
    <w:rsid w:val="00F61820"/>
    <w:rsid w:val="00F61AF6"/>
    <w:rsid w:val="00F61FDF"/>
    <w:rsid w:val="00F62A10"/>
    <w:rsid w:val="00F63CA7"/>
    <w:rsid w:val="00F640BA"/>
    <w:rsid w:val="00F66388"/>
    <w:rsid w:val="00F6664A"/>
    <w:rsid w:val="00F66A1C"/>
    <w:rsid w:val="00F67558"/>
    <w:rsid w:val="00F7009A"/>
    <w:rsid w:val="00F70952"/>
    <w:rsid w:val="00F71159"/>
    <w:rsid w:val="00F71555"/>
    <w:rsid w:val="00F71A0A"/>
    <w:rsid w:val="00F72322"/>
    <w:rsid w:val="00F72968"/>
    <w:rsid w:val="00F73336"/>
    <w:rsid w:val="00F7385F"/>
    <w:rsid w:val="00F751AC"/>
    <w:rsid w:val="00F75324"/>
    <w:rsid w:val="00F760C7"/>
    <w:rsid w:val="00F761D7"/>
    <w:rsid w:val="00F76329"/>
    <w:rsid w:val="00F76407"/>
    <w:rsid w:val="00F76593"/>
    <w:rsid w:val="00F76C88"/>
    <w:rsid w:val="00F76ECB"/>
    <w:rsid w:val="00F7712D"/>
    <w:rsid w:val="00F77E18"/>
    <w:rsid w:val="00F80652"/>
    <w:rsid w:val="00F8181D"/>
    <w:rsid w:val="00F81FEE"/>
    <w:rsid w:val="00F82A90"/>
    <w:rsid w:val="00F82FD9"/>
    <w:rsid w:val="00F8300B"/>
    <w:rsid w:val="00F8310C"/>
    <w:rsid w:val="00F83660"/>
    <w:rsid w:val="00F837C1"/>
    <w:rsid w:val="00F8421E"/>
    <w:rsid w:val="00F84FAF"/>
    <w:rsid w:val="00F85D9F"/>
    <w:rsid w:val="00F87F28"/>
    <w:rsid w:val="00F901BE"/>
    <w:rsid w:val="00F910F4"/>
    <w:rsid w:val="00F911D5"/>
    <w:rsid w:val="00F91632"/>
    <w:rsid w:val="00F92CF0"/>
    <w:rsid w:val="00F94499"/>
    <w:rsid w:val="00F9485E"/>
    <w:rsid w:val="00F94A10"/>
    <w:rsid w:val="00F94EBF"/>
    <w:rsid w:val="00F9515B"/>
    <w:rsid w:val="00F95412"/>
    <w:rsid w:val="00F9576C"/>
    <w:rsid w:val="00F95C66"/>
    <w:rsid w:val="00F96A87"/>
    <w:rsid w:val="00F970BC"/>
    <w:rsid w:val="00F972C2"/>
    <w:rsid w:val="00F97663"/>
    <w:rsid w:val="00FA0193"/>
    <w:rsid w:val="00FA01BB"/>
    <w:rsid w:val="00FA050E"/>
    <w:rsid w:val="00FA07E5"/>
    <w:rsid w:val="00FA08C2"/>
    <w:rsid w:val="00FA0C23"/>
    <w:rsid w:val="00FA1192"/>
    <w:rsid w:val="00FA1208"/>
    <w:rsid w:val="00FA1400"/>
    <w:rsid w:val="00FA2064"/>
    <w:rsid w:val="00FA21AA"/>
    <w:rsid w:val="00FA2762"/>
    <w:rsid w:val="00FA2927"/>
    <w:rsid w:val="00FA2DB7"/>
    <w:rsid w:val="00FA3428"/>
    <w:rsid w:val="00FA3DAC"/>
    <w:rsid w:val="00FA3DF5"/>
    <w:rsid w:val="00FA40C2"/>
    <w:rsid w:val="00FA49ED"/>
    <w:rsid w:val="00FA4EFC"/>
    <w:rsid w:val="00FA507B"/>
    <w:rsid w:val="00FA591B"/>
    <w:rsid w:val="00FA5E6F"/>
    <w:rsid w:val="00FA5FB4"/>
    <w:rsid w:val="00FA688D"/>
    <w:rsid w:val="00FA701D"/>
    <w:rsid w:val="00FA78DA"/>
    <w:rsid w:val="00FB0247"/>
    <w:rsid w:val="00FB0A05"/>
    <w:rsid w:val="00FB0D71"/>
    <w:rsid w:val="00FB2ABA"/>
    <w:rsid w:val="00FB3287"/>
    <w:rsid w:val="00FB3331"/>
    <w:rsid w:val="00FB356B"/>
    <w:rsid w:val="00FB3CB9"/>
    <w:rsid w:val="00FB5550"/>
    <w:rsid w:val="00FB63C7"/>
    <w:rsid w:val="00FB6B0E"/>
    <w:rsid w:val="00FB6B74"/>
    <w:rsid w:val="00FB6F5F"/>
    <w:rsid w:val="00FB767C"/>
    <w:rsid w:val="00FC0313"/>
    <w:rsid w:val="00FC0E8C"/>
    <w:rsid w:val="00FC1E19"/>
    <w:rsid w:val="00FC2137"/>
    <w:rsid w:val="00FC22E5"/>
    <w:rsid w:val="00FC2D7D"/>
    <w:rsid w:val="00FC3443"/>
    <w:rsid w:val="00FC3878"/>
    <w:rsid w:val="00FC3D9F"/>
    <w:rsid w:val="00FC3FB3"/>
    <w:rsid w:val="00FC48B3"/>
    <w:rsid w:val="00FC4A5D"/>
    <w:rsid w:val="00FC5B52"/>
    <w:rsid w:val="00FC64B5"/>
    <w:rsid w:val="00FC6D8B"/>
    <w:rsid w:val="00FC7714"/>
    <w:rsid w:val="00FD006D"/>
    <w:rsid w:val="00FD06FA"/>
    <w:rsid w:val="00FD07E2"/>
    <w:rsid w:val="00FD0951"/>
    <w:rsid w:val="00FD098B"/>
    <w:rsid w:val="00FD0F1A"/>
    <w:rsid w:val="00FD16F9"/>
    <w:rsid w:val="00FD16FB"/>
    <w:rsid w:val="00FD18D0"/>
    <w:rsid w:val="00FD21D6"/>
    <w:rsid w:val="00FD259A"/>
    <w:rsid w:val="00FD2623"/>
    <w:rsid w:val="00FD2DE6"/>
    <w:rsid w:val="00FD34DD"/>
    <w:rsid w:val="00FD3517"/>
    <w:rsid w:val="00FD3731"/>
    <w:rsid w:val="00FD37B6"/>
    <w:rsid w:val="00FD3ED0"/>
    <w:rsid w:val="00FD46F9"/>
    <w:rsid w:val="00FD5079"/>
    <w:rsid w:val="00FD5153"/>
    <w:rsid w:val="00FD519B"/>
    <w:rsid w:val="00FD54D9"/>
    <w:rsid w:val="00FD5A06"/>
    <w:rsid w:val="00FD6186"/>
    <w:rsid w:val="00FD6AC7"/>
    <w:rsid w:val="00FD7D22"/>
    <w:rsid w:val="00FD7F42"/>
    <w:rsid w:val="00FE1CF0"/>
    <w:rsid w:val="00FE22CC"/>
    <w:rsid w:val="00FE280A"/>
    <w:rsid w:val="00FE2C8A"/>
    <w:rsid w:val="00FE361B"/>
    <w:rsid w:val="00FE50DC"/>
    <w:rsid w:val="00FE51E3"/>
    <w:rsid w:val="00FE54FF"/>
    <w:rsid w:val="00FE5641"/>
    <w:rsid w:val="00FE657F"/>
    <w:rsid w:val="00FE665C"/>
    <w:rsid w:val="00FE6BB7"/>
    <w:rsid w:val="00FE7153"/>
    <w:rsid w:val="00FE7435"/>
    <w:rsid w:val="00FE77F5"/>
    <w:rsid w:val="00FE7D26"/>
    <w:rsid w:val="00FE7DAB"/>
    <w:rsid w:val="00FF0334"/>
    <w:rsid w:val="00FF055C"/>
    <w:rsid w:val="00FF1DDD"/>
    <w:rsid w:val="00FF3705"/>
    <w:rsid w:val="00FF3D71"/>
    <w:rsid w:val="00FF4576"/>
    <w:rsid w:val="00FF49AD"/>
    <w:rsid w:val="00FF4D8B"/>
    <w:rsid w:val="00FF5A2A"/>
    <w:rsid w:val="00FF5CDF"/>
    <w:rsid w:val="00FF5E87"/>
    <w:rsid w:val="00FF6008"/>
    <w:rsid w:val="00FF65F7"/>
    <w:rsid w:val="00FF6F8C"/>
    <w:rsid w:val="00FF770C"/>
    <w:rsid w:val="00FF7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1233">
      <o:colormenu v:ext="edit" fillcolor="none" strokecolor="none"/>
    </o:shapedefaults>
    <o:shapelayout v:ext="edit">
      <o:idmap v:ext="edit" data="1"/>
      <o:rules v:ext="edit">
        <o:r id="V:Rule13" type="callout" idref="#Line Callout 3 (Accent Bar) 37"/>
        <o:r id="V:Rule14" type="callout" idref="#Line Callout 1 (Accent Bar) 38"/>
        <o:r id="V:Rule15" type="callout" idref="#Line Callout 3 (Accent Bar) 39"/>
        <o:r id="V:Rule16" type="callout" idref="#Line Callout 3 (Accent Bar) 40"/>
        <o:r id="V:Rule17" type="connector" idref="#Elbow Connector 21">
          <o:proxy start="" idref="#Text Box 4" connectloc="2"/>
          <o:proxy end="" idref="#Text Box 4" connectloc="0"/>
        </o:r>
        <o:r id="V:Rule18" type="connector" idref="#Elbow Connector 35">
          <o:proxy start="" idref="#Text Box 4" connectloc="2"/>
        </o:r>
        <o:r id="V:Rule19" type="connector" idref="#Elbow Connector 22">
          <o:proxy start="" idref="#Text Box 4" connectloc="2"/>
        </o:r>
        <o:r id="V:Rule20" type="connector" idref="#Elbow Connector 15">
          <o:proxy start="" idref="#Text Box 4" connectloc="2"/>
          <o:proxy end="" idref="#Text Box 4" connectloc="0"/>
        </o:r>
        <o:r id="V:Rule21" type="connector" idref="#Elbow Connector 12">
          <o:proxy start="" idref="#Text Box 4" connectloc="2"/>
          <o:proxy end="" idref="#Text Box 4" connectloc="0"/>
        </o:r>
        <o:r id="V:Rule22" type="connector" idref="#Elbow Connector 20">
          <o:proxy start="" idref="#Text Box 4" connectloc="2"/>
          <o:proxy end="" idref="#Text Box 4" connectloc="0"/>
        </o:r>
        <o:r id="V:Rule23" type="connector" idref="#Elbow Connector 25">
          <o:proxy start="" idref="#Text Box 4" connectloc="2"/>
          <o:proxy end="" idref="#Text Box 4" connectloc="0"/>
        </o:r>
        <o:r id="V:Rule24" type="connector" idref="#Elbow Connector 23">
          <o:proxy start="" idref="#Text Box 4" connectloc="2"/>
          <o:proxy end="" idref="#Text Box 4" connectloc="0"/>
        </o:r>
        <o:r id="V:Rule25" type="connector" idref="#Elbow Connector 13">
          <o:proxy start="" idref="#Text Box 4" connectloc="3"/>
          <o:proxy end="" idref="#Text Box 4" connectloc="1"/>
        </o:r>
        <o:r id="V:Rule26" type="connector" idref="#Elbow Connector 10">
          <o:proxy start="" idref="#Text Box 4" connectloc="2"/>
          <o:proxy end="" idref="#Text Box 4" connectloc="0"/>
        </o:r>
        <o:r id="V:Rule27" type="connector" idref="#Elbow Connector 28">
          <o:proxy start="" idref="#Text Box 4" connectloc="2"/>
          <o:proxy end="" idref="#Text Box 4" connectloc="1"/>
        </o:r>
        <o:r id="V:Rule28" type="connector" idref="#Straight Connector 29"/>
        <o:r id="V:Rule29" type="connector" idref="#Straight Connector 30"/>
        <o:r id="V:Rule30" type="connector" idref="#Elbow Connector 14">
          <o:proxy start="" idref="#Text Box 4" connectloc="2"/>
          <o:proxy end="" idref="#Text Box 4" connectloc="0"/>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2" w:unhideWhenUsed="1" w:qFormat="1"/>
    <w:lsdException w:name="heading 6" w:semiHidden="1" w:unhideWhenUsed="1" w:qFormat="1"/>
    <w:lsdException w:name="heading 7" w:semiHidden="1" w:uiPriority="2" w:unhideWhenUsed="1" w:qFormat="1"/>
    <w:lsdException w:name="heading 8" w:semiHidden="1" w:uiPriority="2" w:unhideWhenUsed="1" w:qFormat="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iPriority="2"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106"/>
    <w:rPr>
      <w:rFonts w:ascii="Times New Roman" w:hAnsi="Times New Roman"/>
    </w:rPr>
  </w:style>
  <w:style w:type="paragraph" w:styleId="Heading1">
    <w:name w:val="heading 1"/>
    <w:basedOn w:val="Normal"/>
    <w:next w:val="Normal"/>
    <w:link w:val="Heading1Char"/>
    <w:qFormat/>
    <w:rsid w:val="00C06B07"/>
    <w:pPr>
      <w:keepNext/>
      <w:keepLines/>
      <w:pageBreakBefore/>
      <w:numPr>
        <w:numId w:val="4"/>
      </w:numPr>
      <w:spacing w:before="240" w:after="0"/>
      <w:ind w:left="431" w:hanging="431"/>
      <w:outlineLvl w:val="0"/>
    </w:pPr>
    <w:rPr>
      <w:rFonts w:asciiTheme="majorHAnsi" w:eastAsia="Arial" w:hAnsiTheme="majorHAnsi" w:cstheme="majorBidi"/>
      <w:b/>
      <w:bCs/>
      <w:color w:val="365F91" w:themeColor="accent1" w:themeShade="BF"/>
      <w:sz w:val="32"/>
      <w:szCs w:val="28"/>
    </w:rPr>
  </w:style>
  <w:style w:type="paragraph" w:styleId="Heading2">
    <w:name w:val="heading 2"/>
    <w:basedOn w:val="Normal"/>
    <w:next w:val="Normal"/>
    <w:link w:val="Heading2Char"/>
    <w:unhideWhenUsed/>
    <w:qFormat/>
    <w:rsid w:val="00C06B07"/>
    <w:pPr>
      <w:keepNext/>
      <w:numPr>
        <w:ilvl w:val="1"/>
        <w:numId w:val="4"/>
      </w:numPr>
      <w:spacing w:before="480" w:after="0" w:line="240" w:lineRule="auto"/>
      <w:outlineLvl w:val="1"/>
    </w:pPr>
    <w:rPr>
      <w:rFonts w:eastAsia="Arial" w:cs="Times New Roman"/>
      <w:b/>
      <w:sz w:val="28"/>
    </w:rPr>
  </w:style>
  <w:style w:type="paragraph" w:styleId="Heading3">
    <w:name w:val="heading 3"/>
    <w:aliases w:val="Heading 3 (Numbered)"/>
    <w:basedOn w:val="Normal"/>
    <w:next w:val="Normal"/>
    <w:link w:val="Heading3Char"/>
    <w:unhideWhenUsed/>
    <w:qFormat/>
    <w:rsid w:val="00C06B07"/>
    <w:pPr>
      <w:keepNext/>
      <w:numPr>
        <w:ilvl w:val="2"/>
        <w:numId w:val="4"/>
      </w:numPr>
      <w:spacing w:before="360" w:after="0" w:line="240" w:lineRule="auto"/>
      <w:outlineLvl w:val="2"/>
    </w:pPr>
    <w:rPr>
      <w:rFonts w:eastAsia="Arial" w:cs="Times New Roman"/>
      <w:b/>
      <w:sz w:val="24"/>
    </w:rPr>
  </w:style>
  <w:style w:type="paragraph" w:styleId="Heading4">
    <w:name w:val="heading 4"/>
    <w:basedOn w:val="Normal"/>
    <w:next w:val="Normal"/>
    <w:link w:val="Heading4Char"/>
    <w:unhideWhenUsed/>
    <w:qFormat/>
    <w:rsid w:val="00CE67EB"/>
    <w:pPr>
      <w:keepNext/>
      <w:spacing w:before="240" w:after="120"/>
      <w:outlineLvl w:val="3"/>
    </w:pPr>
    <w:rPr>
      <w:rFonts w:asciiTheme="majorHAnsi" w:eastAsia="Arial" w:hAnsiTheme="majorHAnsi"/>
      <w:i/>
      <w:sz w:val="28"/>
    </w:rPr>
  </w:style>
  <w:style w:type="paragraph" w:styleId="Heading5">
    <w:name w:val="heading 5"/>
    <w:basedOn w:val="Normal"/>
    <w:next w:val="Normal"/>
    <w:link w:val="Heading5Char"/>
    <w:uiPriority w:val="2"/>
    <w:unhideWhenUsed/>
    <w:qFormat/>
    <w:rsid w:val="00CE67EB"/>
    <w:pPr>
      <w:keepNext/>
      <w:keepLines/>
      <w:spacing w:before="200" w:after="120"/>
      <w:outlineLvl w:val="4"/>
    </w:pPr>
    <w:rPr>
      <w:rFonts w:eastAsiaTheme="majorEastAsia" w:cs="Times New Roman"/>
      <w:b/>
      <w:sz w:val="24"/>
    </w:rPr>
  </w:style>
  <w:style w:type="paragraph" w:styleId="Heading6">
    <w:name w:val="heading 6"/>
    <w:basedOn w:val="Heading9"/>
    <w:next w:val="Normal"/>
    <w:link w:val="Heading6Char"/>
    <w:unhideWhenUsed/>
    <w:qFormat/>
    <w:rsid w:val="00FC64B5"/>
    <w:pPr>
      <w:outlineLvl w:val="5"/>
    </w:pPr>
  </w:style>
  <w:style w:type="paragraph" w:styleId="Heading7">
    <w:name w:val="heading 7"/>
    <w:aliases w:val="Recommendation"/>
    <w:basedOn w:val="Normal"/>
    <w:next w:val="Normal"/>
    <w:link w:val="Heading7Char"/>
    <w:uiPriority w:val="2"/>
    <w:unhideWhenUsed/>
    <w:qFormat/>
    <w:rsid w:val="0000691D"/>
    <w:pPr>
      <w:outlineLvl w:val="6"/>
    </w:pPr>
    <w:rPr>
      <w:rFonts w:ascii="Verdana" w:hAnsi="Verdana" w:cs="Times New Roman"/>
      <w:sz w:val="20"/>
    </w:rPr>
  </w:style>
  <w:style w:type="paragraph" w:styleId="Heading8">
    <w:name w:val="heading 8"/>
    <w:aliases w:val="Rule advice"/>
    <w:basedOn w:val="ListParagraph"/>
    <w:next w:val="Normal"/>
    <w:link w:val="Heading8Char"/>
    <w:uiPriority w:val="2"/>
    <w:unhideWhenUsed/>
    <w:qFormat/>
    <w:rsid w:val="0000691D"/>
    <w:pPr>
      <w:spacing w:after="120" w:line="240" w:lineRule="auto"/>
      <w:ind w:left="0"/>
      <w:contextualSpacing w:val="0"/>
      <w:outlineLvl w:val="7"/>
    </w:pPr>
    <w:rPr>
      <w:rFonts w:ascii="Verdana" w:eastAsia="Arial" w:hAnsi="Verdana" w:cs="Times New Roman"/>
      <w:sz w:val="20"/>
    </w:rPr>
  </w:style>
  <w:style w:type="paragraph" w:styleId="Heading9">
    <w:name w:val="heading 9"/>
    <w:aliases w:val="Heading 6 (WCR Review)"/>
    <w:basedOn w:val="Normal"/>
    <w:next w:val="Normal"/>
    <w:link w:val="Heading9Char"/>
    <w:uiPriority w:val="2"/>
    <w:unhideWhenUsed/>
    <w:rsid w:val="00643641"/>
    <w:pPr>
      <w:keepNext/>
      <w:keepLines/>
      <w:spacing w:before="200" w:after="120"/>
      <w:outlineLvl w:val="8"/>
    </w:pPr>
    <w:rPr>
      <w:rFonts w:asciiTheme="majorHAnsi" w:eastAsia="Arial"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unhideWhenUsed/>
    <w:rsid w:val="00A81A70"/>
    <w:pPr>
      <w:spacing w:after="0" w:line="240" w:lineRule="auto"/>
    </w:pPr>
    <w:rPr>
      <w:sz w:val="20"/>
      <w:szCs w:val="20"/>
    </w:rPr>
  </w:style>
  <w:style w:type="character" w:customStyle="1" w:styleId="FootnoteTextChar">
    <w:name w:val="Footnote Text Char"/>
    <w:basedOn w:val="DefaultParagraphFont"/>
    <w:link w:val="FootnoteText"/>
    <w:uiPriority w:val="2"/>
    <w:rsid w:val="00A81A70"/>
    <w:rPr>
      <w:sz w:val="20"/>
      <w:szCs w:val="20"/>
    </w:rPr>
  </w:style>
  <w:style w:type="character" w:styleId="FootnoteReference">
    <w:name w:val="footnote reference"/>
    <w:aliases w:val="(NECG) Footnote Reference,o,Style 3,Style 12,fr,Appel note de bas de p,Style 124"/>
    <w:basedOn w:val="DefaultParagraphFont"/>
    <w:uiPriority w:val="99"/>
    <w:unhideWhenUsed/>
    <w:rsid w:val="00A81A70"/>
    <w:rPr>
      <w:vertAlign w:val="superscript"/>
    </w:rPr>
  </w:style>
  <w:style w:type="character" w:styleId="Hyperlink">
    <w:name w:val="Hyperlink"/>
    <w:basedOn w:val="DefaultParagraphFont"/>
    <w:uiPriority w:val="99"/>
    <w:unhideWhenUsed/>
    <w:qFormat/>
    <w:rsid w:val="00ED5920"/>
    <w:rPr>
      <w:color w:val="0000FF" w:themeColor="hyperlink"/>
      <w:u w:val="single"/>
    </w:rPr>
  </w:style>
  <w:style w:type="paragraph" w:styleId="ListParagraph">
    <w:name w:val="List Paragraph"/>
    <w:basedOn w:val="Normal"/>
    <w:link w:val="ListParagraphChar"/>
    <w:uiPriority w:val="34"/>
    <w:qFormat/>
    <w:rsid w:val="009D0CFD"/>
    <w:pPr>
      <w:ind w:left="720"/>
      <w:contextualSpacing/>
    </w:pPr>
  </w:style>
  <w:style w:type="paragraph" w:customStyle="1" w:styleId="tabletextindentbullet">
    <w:name w:val="table text indent bullet"/>
    <w:basedOn w:val="Normal"/>
    <w:qFormat/>
    <w:rsid w:val="00073B62"/>
    <w:pPr>
      <w:numPr>
        <w:numId w:val="1"/>
      </w:numPr>
      <w:tabs>
        <w:tab w:val="left" w:pos="454"/>
      </w:tabs>
      <w:spacing w:before="60" w:after="60" w:line="240" w:lineRule="auto"/>
    </w:pPr>
    <w:rPr>
      <w:rFonts w:ascii="Calibri" w:eastAsia="Times New Roman" w:hAnsi="Calibri" w:cs="Times New Roman"/>
      <w:sz w:val="20"/>
      <w:szCs w:val="20"/>
    </w:rPr>
  </w:style>
  <w:style w:type="paragraph" w:styleId="Header">
    <w:name w:val="header"/>
    <w:basedOn w:val="Normal"/>
    <w:link w:val="HeaderChar"/>
    <w:uiPriority w:val="99"/>
    <w:unhideWhenUsed/>
    <w:rsid w:val="00835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3ED"/>
  </w:style>
  <w:style w:type="paragraph" w:styleId="Footer">
    <w:name w:val="footer"/>
    <w:basedOn w:val="Normal"/>
    <w:link w:val="FooterChar"/>
    <w:uiPriority w:val="99"/>
    <w:unhideWhenUsed/>
    <w:rsid w:val="00835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3ED"/>
  </w:style>
  <w:style w:type="character" w:styleId="CommentReference">
    <w:name w:val="annotation reference"/>
    <w:basedOn w:val="DefaultParagraphFont"/>
    <w:uiPriority w:val="99"/>
    <w:unhideWhenUsed/>
    <w:rsid w:val="00CA5CE2"/>
    <w:rPr>
      <w:sz w:val="16"/>
      <w:szCs w:val="16"/>
    </w:rPr>
  </w:style>
  <w:style w:type="paragraph" w:styleId="CommentText">
    <w:name w:val="annotation text"/>
    <w:basedOn w:val="Normal"/>
    <w:link w:val="CommentTextChar"/>
    <w:uiPriority w:val="99"/>
    <w:unhideWhenUsed/>
    <w:rsid w:val="00CA5CE2"/>
    <w:pPr>
      <w:spacing w:before="200" w:after="0" w:line="240" w:lineRule="auto"/>
    </w:pPr>
    <w:rPr>
      <w:rFonts w:ascii="Arial" w:eastAsiaTheme="minorHAnsi" w:hAnsi="Arial"/>
      <w:sz w:val="20"/>
      <w:szCs w:val="20"/>
      <w:lang w:eastAsia="en-US"/>
    </w:rPr>
  </w:style>
  <w:style w:type="character" w:customStyle="1" w:styleId="CommentTextChar">
    <w:name w:val="Comment Text Char"/>
    <w:basedOn w:val="DefaultParagraphFont"/>
    <w:link w:val="CommentText"/>
    <w:uiPriority w:val="99"/>
    <w:rsid w:val="00CA5CE2"/>
    <w:rPr>
      <w:rFonts w:ascii="Arial" w:eastAsiaTheme="minorHAnsi" w:hAnsi="Arial"/>
      <w:sz w:val="20"/>
      <w:szCs w:val="20"/>
      <w:lang w:eastAsia="en-US"/>
    </w:rPr>
  </w:style>
  <w:style w:type="paragraph" w:styleId="BalloonText">
    <w:name w:val="Balloon Text"/>
    <w:basedOn w:val="Normal"/>
    <w:link w:val="BalloonTextChar"/>
    <w:uiPriority w:val="99"/>
    <w:unhideWhenUsed/>
    <w:rsid w:val="00CA5C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A5CE2"/>
    <w:rPr>
      <w:rFonts w:ascii="Tahoma" w:hAnsi="Tahoma" w:cs="Tahoma"/>
      <w:sz w:val="16"/>
      <w:szCs w:val="16"/>
    </w:rPr>
  </w:style>
  <w:style w:type="paragraph" w:styleId="NormalWeb">
    <w:name w:val="Normal (Web)"/>
    <w:basedOn w:val="Normal"/>
    <w:uiPriority w:val="99"/>
    <w:unhideWhenUsed/>
    <w:rsid w:val="00CA5CE2"/>
    <w:pPr>
      <w:spacing w:before="100" w:beforeAutospacing="1" w:after="100" w:afterAutospacing="1" w:line="240" w:lineRule="auto"/>
    </w:pPr>
    <w:rPr>
      <w:rFonts w:eastAsia="Times New Roman" w:cs="Times New Roman"/>
      <w:sz w:val="24"/>
      <w:szCs w:val="24"/>
    </w:rPr>
  </w:style>
  <w:style w:type="paragraph" w:styleId="CommentSubject">
    <w:name w:val="annotation subject"/>
    <w:basedOn w:val="CommentText"/>
    <w:next w:val="CommentText"/>
    <w:link w:val="CommentSubjectChar"/>
    <w:uiPriority w:val="99"/>
    <w:unhideWhenUsed/>
    <w:rsid w:val="00A72F73"/>
    <w:pPr>
      <w:spacing w:before="0" w:after="200"/>
    </w:pPr>
    <w:rPr>
      <w:rFonts w:asciiTheme="minorHAnsi" w:eastAsiaTheme="minorEastAsia" w:hAnsiTheme="minorHAnsi"/>
      <w:b/>
      <w:bCs/>
      <w:lang w:eastAsia="en-AU"/>
    </w:rPr>
  </w:style>
  <w:style w:type="character" w:customStyle="1" w:styleId="CommentSubjectChar">
    <w:name w:val="Comment Subject Char"/>
    <w:basedOn w:val="CommentTextChar"/>
    <w:link w:val="CommentSubject"/>
    <w:uiPriority w:val="99"/>
    <w:rsid w:val="00A72F73"/>
    <w:rPr>
      <w:rFonts w:ascii="Arial" w:eastAsiaTheme="minorHAnsi" w:hAnsi="Arial"/>
      <w:b/>
      <w:bCs/>
      <w:sz w:val="20"/>
      <w:szCs w:val="20"/>
      <w:lang w:eastAsia="en-US"/>
    </w:rPr>
  </w:style>
  <w:style w:type="paragraph" w:customStyle="1" w:styleId="Default">
    <w:name w:val="Default"/>
    <w:rsid w:val="00431A7F"/>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Heading2Char">
    <w:name w:val="Heading 2 Char"/>
    <w:basedOn w:val="DefaultParagraphFont"/>
    <w:link w:val="Heading2"/>
    <w:rsid w:val="00C06B07"/>
    <w:rPr>
      <w:rFonts w:ascii="Times New Roman" w:eastAsia="Arial" w:hAnsi="Times New Roman" w:cs="Times New Roman"/>
      <w:b/>
      <w:sz w:val="28"/>
    </w:rPr>
  </w:style>
  <w:style w:type="paragraph" w:styleId="Title">
    <w:name w:val="Title"/>
    <w:basedOn w:val="Normal"/>
    <w:next w:val="Normal"/>
    <w:link w:val="TitleChar"/>
    <w:uiPriority w:val="10"/>
    <w:qFormat/>
    <w:rsid w:val="001349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499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C06B07"/>
    <w:rPr>
      <w:rFonts w:asciiTheme="majorHAnsi" w:eastAsia="Arial" w:hAnsiTheme="majorHAnsi" w:cstheme="majorBidi"/>
      <w:b/>
      <w:bCs/>
      <w:color w:val="365F91" w:themeColor="accent1" w:themeShade="BF"/>
      <w:sz w:val="32"/>
      <w:szCs w:val="28"/>
    </w:rPr>
  </w:style>
  <w:style w:type="character" w:customStyle="1" w:styleId="Heading3Char">
    <w:name w:val="Heading 3 Char"/>
    <w:aliases w:val="Heading 3 (Numbered) Char"/>
    <w:basedOn w:val="DefaultParagraphFont"/>
    <w:link w:val="Heading3"/>
    <w:rsid w:val="00C06B07"/>
    <w:rPr>
      <w:rFonts w:ascii="Times New Roman" w:eastAsia="Arial" w:hAnsi="Times New Roman" w:cs="Times New Roman"/>
      <w:b/>
      <w:sz w:val="24"/>
    </w:rPr>
  </w:style>
  <w:style w:type="character" w:customStyle="1" w:styleId="Heading4Char">
    <w:name w:val="Heading 4 Char"/>
    <w:basedOn w:val="DefaultParagraphFont"/>
    <w:link w:val="Heading4"/>
    <w:rsid w:val="00CE67EB"/>
    <w:rPr>
      <w:rFonts w:asciiTheme="majorHAnsi" w:eastAsia="Arial" w:hAnsiTheme="majorHAnsi"/>
      <w:i/>
      <w:sz w:val="28"/>
    </w:rPr>
  </w:style>
  <w:style w:type="character" w:customStyle="1" w:styleId="Heading5Char">
    <w:name w:val="Heading 5 Char"/>
    <w:basedOn w:val="DefaultParagraphFont"/>
    <w:link w:val="Heading5"/>
    <w:uiPriority w:val="2"/>
    <w:rsid w:val="00CE67EB"/>
    <w:rPr>
      <w:rFonts w:ascii="Times New Roman" w:eastAsiaTheme="majorEastAsia" w:hAnsi="Times New Roman" w:cs="Times New Roman"/>
      <w:b/>
      <w:sz w:val="24"/>
    </w:rPr>
  </w:style>
  <w:style w:type="character" w:customStyle="1" w:styleId="Heading6Char">
    <w:name w:val="Heading 6 Char"/>
    <w:basedOn w:val="DefaultParagraphFont"/>
    <w:link w:val="Heading6"/>
    <w:rsid w:val="00FC64B5"/>
    <w:rPr>
      <w:rFonts w:asciiTheme="majorHAnsi" w:eastAsia="Arial" w:hAnsiTheme="majorHAnsi" w:cstheme="majorBidi"/>
      <w:i/>
      <w:iCs/>
      <w:color w:val="404040" w:themeColor="text1" w:themeTint="BF"/>
      <w:szCs w:val="20"/>
    </w:rPr>
  </w:style>
  <w:style w:type="table" w:styleId="LightShading-Accent4">
    <w:name w:val="Light Shading Accent 4"/>
    <w:basedOn w:val="TableNormal"/>
    <w:uiPriority w:val="60"/>
    <w:rsid w:val="00E70C59"/>
    <w:pPr>
      <w:spacing w:after="0" w:line="240" w:lineRule="auto"/>
    </w:pPr>
    <w:rPr>
      <w:rFonts w:eastAsiaTheme="minorHAns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Heading">
    <w:name w:val="TOC Heading"/>
    <w:basedOn w:val="Heading1"/>
    <w:next w:val="Normal"/>
    <w:uiPriority w:val="39"/>
    <w:unhideWhenUsed/>
    <w:rsid w:val="00C915FF"/>
    <w:pPr>
      <w:outlineLvl w:val="9"/>
    </w:pPr>
    <w:rPr>
      <w:lang w:val="en-US" w:eastAsia="ja-JP"/>
    </w:rPr>
  </w:style>
  <w:style w:type="paragraph" w:styleId="TOC1">
    <w:name w:val="toc 1"/>
    <w:basedOn w:val="Normal"/>
    <w:next w:val="Normal"/>
    <w:autoRedefine/>
    <w:uiPriority w:val="39"/>
    <w:unhideWhenUsed/>
    <w:qFormat/>
    <w:rsid w:val="007E6836"/>
    <w:pPr>
      <w:spacing w:before="200" w:after="0"/>
    </w:pPr>
    <w:rPr>
      <w:b/>
      <w:bCs/>
      <w:sz w:val="28"/>
      <w:szCs w:val="24"/>
    </w:rPr>
  </w:style>
  <w:style w:type="paragraph" w:styleId="TOC3">
    <w:name w:val="toc 3"/>
    <w:basedOn w:val="Normal"/>
    <w:next w:val="Normal"/>
    <w:link w:val="TOC3Char"/>
    <w:autoRedefine/>
    <w:uiPriority w:val="39"/>
    <w:unhideWhenUsed/>
    <w:qFormat/>
    <w:rsid w:val="00035824"/>
    <w:pPr>
      <w:tabs>
        <w:tab w:val="left" w:pos="709"/>
        <w:tab w:val="right" w:leader="dot" w:pos="9016"/>
      </w:tabs>
      <w:spacing w:before="60" w:after="60" w:line="240" w:lineRule="auto"/>
    </w:pPr>
    <w:rPr>
      <w:rFonts w:ascii="Calibri" w:hAnsi="Calibri" w:cs="Times New Roman"/>
      <w:szCs w:val="20"/>
    </w:rPr>
  </w:style>
  <w:style w:type="paragraph" w:styleId="TOC2">
    <w:name w:val="toc 2"/>
    <w:basedOn w:val="Normal"/>
    <w:next w:val="Normal"/>
    <w:link w:val="TOC2Char"/>
    <w:autoRedefine/>
    <w:uiPriority w:val="39"/>
    <w:unhideWhenUsed/>
    <w:qFormat/>
    <w:rsid w:val="0018797D"/>
    <w:pPr>
      <w:spacing w:before="60" w:after="0" w:line="240" w:lineRule="auto"/>
    </w:pPr>
    <w:rPr>
      <w:rFonts w:asciiTheme="minorHAnsi" w:hAnsiTheme="minorHAnsi"/>
      <w:b/>
      <w:bCs/>
      <w:sz w:val="20"/>
    </w:rPr>
  </w:style>
  <w:style w:type="paragraph" w:styleId="Revision">
    <w:name w:val="Revision"/>
    <w:hidden/>
    <w:uiPriority w:val="99"/>
    <w:semiHidden/>
    <w:rsid w:val="003C3885"/>
    <w:pPr>
      <w:spacing w:after="0" w:line="240" w:lineRule="auto"/>
    </w:pPr>
  </w:style>
  <w:style w:type="paragraph" w:customStyle="1" w:styleId="numbered11">
    <w:name w:val="numbered 1.1"/>
    <w:basedOn w:val="Heading2"/>
    <w:next w:val="Normal"/>
    <w:autoRedefine/>
    <w:rsid w:val="00405DA1"/>
    <w:pPr>
      <w:tabs>
        <w:tab w:val="left" w:pos="567"/>
      </w:tabs>
      <w:spacing w:before="520"/>
      <w:ind w:left="1440" w:hanging="360"/>
    </w:pPr>
    <w:rPr>
      <w:rFonts w:eastAsia="Times New Roman"/>
      <w:szCs w:val="20"/>
    </w:rPr>
  </w:style>
  <w:style w:type="character" w:styleId="Strong">
    <w:name w:val="Strong"/>
    <w:basedOn w:val="DefaultParagraphFont"/>
    <w:uiPriority w:val="22"/>
    <w:rsid w:val="00CA4818"/>
    <w:rPr>
      <w:b/>
      <w:bCs/>
    </w:rPr>
  </w:style>
  <w:style w:type="paragraph" w:customStyle="1" w:styleId="Lvl1Bulletpoint">
    <w:name w:val="Lvl 1 Bullet point"/>
    <w:basedOn w:val="ListParagraph"/>
    <w:link w:val="Lvl1BulletpointChar"/>
    <w:qFormat/>
    <w:rsid w:val="00A82DE6"/>
    <w:pPr>
      <w:numPr>
        <w:numId w:val="50"/>
      </w:numPr>
      <w:tabs>
        <w:tab w:val="left" w:pos="340"/>
      </w:tabs>
      <w:spacing w:before="120"/>
      <w:ind w:left="567" w:hanging="283"/>
    </w:pPr>
  </w:style>
  <w:style w:type="paragraph" w:styleId="ListBullet">
    <w:name w:val="List Bullet"/>
    <w:basedOn w:val="Normal"/>
    <w:link w:val="ListBulletChar"/>
    <w:uiPriority w:val="99"/>
    <w:unhideWhenUsed/>
    <w:rsid w:val="00505931"/>
    <w:pPr>
      <w:numPr>
        <w:numId w:val="43"/>
      </w:numPr>
      <w:contextualSpacing/>
    </w:pPr>
  </w:style>
  <w:style w:type="character" w:customStyle="1" w:styleId="charsectno">
    <w:name w:val="charsectno"/>
    <w:basedOn w:val="DefaultParagraphFont"/>
    <w:rsid w:val="004832D0"/>
  </w:style>
  <w:style w:type="table" w:styleId="TableGrid">
    <w:name w:val="Table Grid"/>
    <w:aliases w:val="ACCC Table"/>
    <w:basedOn w:val="TableNormal"/>
    <w:uiPriority w:val="59"/>
    <w:rsid w:val="00800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F29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umbered110">
    <w:name w:val="Numbered 1.1"/>
    <w:basedOn w:val="Heading2"/>
    <w:next w:val="Normal"/>
    <w:rsid w:val="00592501"/>
    <w:pPr>
      <w:tabs>
        <w:tab w:val="left" w:pos="1021"/>
      </w:tabs>
      <w:spacing w:before="200" w:line="240" w:lineRule="atLeast"/>
    </w:pPr>
    <w:rPr>
      <w:rFonts w:eastAsiaTheme="majorEastAsia"/>
      <w:bCs/>
      <w:color w:val="51626F"/>
      <w:szCs w:val="26"/>
      <w:lang w:eastAsia="en-US"/>
    </w:rPr>
  </w:style>
  <w:style w:type="character" w:customStyle="1" w:styleId="ListParagraphChar">
    <w:name w:val="List Paragraph Char"/>
    <w:basedOn w:val="DefaultParagraphFont"/>
    <w:link w:val="ListParagraph"/>
    <w:uiPriority w:val="34"/>
    <w:rsid w:val="002F6F4D"/>
  </w:style>
  <w:style w:type="paragraph" w:styleId="Caption">
    <w:name w:val="caption"/>
    <w:aliases w:val="Rule advice heading"/>
    <w:basedOn w:val="Normal"/>
    <w:next w:val="Normal"/>
    <w:link w:val="CaptionChar"/>
    <w:uiPriority w:val="35"/>
    <w:unhideWhenUsed/>
    <w:qFormat/>
    <w:rsid w:val="00AF7032"/>
    <w:pPr>
      <w:keepNext/>
      <w:keepLines/>
      <w:spacing w:before="120" w:after="120" w:line="240" w:lineRule="auto"/>
    </w:pPr>
    <w:rPr>
      <w:rFonts w:ascii="Verdana" w:hAnsi="Verdana" w:cs="Times New Roman"/>
      <w:b/>
      <w:bCs/>
      <w:sz w:val="21"/>
      <w:szCs w:val="21"/>
    </w:rPr>
  </w:style>
  <w:style w:type="paragraph" w:styleId="TableofFigures">
    <w:name w:val="table of figures"/>
    <w:basedOn w:val="Normal"/>
    <w:next w:val="Normal"/>
    <w:uiPriority w:val="99"/>
    <w:unhideWhenUsed/>
    <w:rsid w:val="006325F1"/>
    <w:pPr>
      <w:spacing w:after="0"/>
    </w:pPr>
  </w:style>
  <w:style w:type="character" w:customStyle="1" w:styleId="Heading7Char">
    <w:name w:val="Heading 7 Char"/>
    <w:aliases w:val="Recommendation Char"/>
    <w:basedOn w:val="DefaultParagraphFont"/>
    <w:link w:val="Heading7"/>
    <w:uiPriority w:val="2"/>
    <w:rsid w:val="0000691D"/>
    <w:rPr>
      <w:rFonts w:ascii="Verdana" w:hAnsi="Verdana" w:cs="Times New Roman"/>
      <w:sz w:val="20"/>
    </w:rPr>
  </w:style>
  <w:style w:type="character" w:customStyle="1" w:styleId="Heading8Char">
    <w:name w:val="Heading 8 Char"/>
    <w:aliases w:val="Rule advice Char"/>
    <w:basedOn w:val="DefaultParagraphFont"/>
    <w:link w:val="Heading8"/>
    <w:uiPriority w:val="2"/>
    <w:rsid w:val="0000691D"/>
    <w:rPr>
      <w:rFonts w:ascii="Verdana" w:eastAsia="Arial" w:hAnsi="Verdana" w:cs="Times New Roman"/>
      <w:sz w:val="20"/>
    </w:rPr>
  </w:style>
  <w:style w:type="paragraph" w:styleId="TOC4">
    <w:name w:val="toc 4"/>
    <w:basedOn w:val="Normal"/>
    <w:next w:val="Normal"/>
    <w:autoRedefine/>
    <w:uiPriority w:val="39"/>
    <w:unhideWhenUsed/>
    <w:rsid w:val="002C19B4"/>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2C19B4"/>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2C19B4"/>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2C19B4"/>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2C19B4"/>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2C19B4"/>
    <w:pPr>
      <w:spacing w:after="0"/>
      <w:ind w:left="1540"/>
    </w:pPr>
    <w:rPr>
      <w:rFonts w:asciiTheme="minorHAnsi" w:hAnsiTheme="minorHAnsi"/>
      <w:sz w:val="20"/>
      <w:szCs w:val="20"/>
    </w:rPr>
  </w:style>
  <w:style w:type="paragraph" w:styleId="NoSpacing">
    <w:name w:val="No Spacing"/>
    <w:aliases w:val="RA - numbered"/>
    <w:basedOn w:val="Lvl1Bulletpoint"/>
    <w:uiPriority w:val="1"/>
    <w:rsid w:val="00EB7E7D"/>
    <w:pPr>
      <w:numPr>
        <w:numId w:val="7"/>
      </w:numPr>
    </w:pPr>
    <w:rPr>
      <w:sz w:val="18"/>
    </w:rPr>
  </w:style>
  <w:style w:type="character" w:customStyle="1" w:styleId="Heading9Char">
    <w:name w:val="Heading 9 Char"/>
    <w:aliases w:val="Heading 6 (WCR Review) Char"/>
    <w:basedOn w:val="DefaultParagraphFont"/>
    <w:link w:val="Heading9"/>
    <w:uiPriority w:val="2"/>
    <w:rsid w:val="00643641"/>
    <w:rPr>
      <w:rFonts w:asciiTheme="majorHAnsi" w:eastAsia="Arial" w:hAnsiTheme="majorHAnsi" w:cstheme="majorBidi"/>
      <w:i/>
      <w:iCs/>
      <w:color w:val="404040" w:themeColor="text1" w:themeTint="BF"/>
      <w:szCs w:val="20"/>
    </w:rPr>
  </w:style>
  <w:style w:type="paragraph" w:customStyle="1" w:styleId="Tabletitle">
    <w:name w:val="Table title"/>
    <w:basedOn w:val="Normal"/>
    <w:link w:val="TabletitleChar"/>
    <w:qFormat/>
    <w:rsid w:val="00073B62"/>
    <w:pPr>
      <w:keepNext/>
      <w:spacing w:before="240" w:after="0" w:line="240" w:lineRule="auto"/>
    </w:pPr>
    <w:rPr>
      <w:rFonts w:eastAsiaTheme="minorHAnsi"/>
      <w:b/>
      <w:szCs w:val="20"/>
      <w:lang w:eastAsia="en-US"/>
    </w:rPr>
  </w:style>
  <w:style w:type="character" w:customStyle="1" w:styleId="TabletitleChar">
    <w:name w:val="Table title Char"/>
    <w:basedOn w:val="DefaultParagraphFont"/>
    <w:link w:val="Tabletitle"/>
    <w:rsid w:val="00073B62"/>
    <w:rPr>
      <w:rFonts w:ascii="Times New Roman" w:eastAsiaTheme="minorHAnsi" w:hAnsi="Times New Roman"/>
      <w:b/>
      <w:szCs w:val="20"/>
      <w:lang w:eastAsia="en-US"/>
    </w:rPr>
  </w:style>
  <w:style w:type="paragraph" w:customStyle="1" w:styleId="LegalNumbering">
    <w:name w:val="Legal Numbering"/>
    <w:basedOn w:val="Normal"/>
    <w:rsid w:val="00651467"/>
    <w:pPr>
      <w:ind w:left="340" w:hanging="340"/>
    </w:pPr>
  </w:style>
  <w:style w:type="character" w:styleId="FollowedHyperlink">
    <w:name w:val="FollowedHyperlink"/>
    <w:basedOn w:val="DefaultParagraphFont"/>
    <w:unhideWhenUsed/>
    <w:rsid w:val="00CF261E"/>
    <w:rPr>
      <w:color w:val="800080" w:themeColor="followedHyperlink"/>
      <w:u w:val="single"/>
    </w:rPr>
  </w:style>
  <w:style w:type="paragraph" w:customStyle="1" w:styleId="tPara">
    <w:name w:val="t_Para"/>
    <w:aliases w:val="paragraph"/>
    <w:basedOn w:val="Normal"/>
    <w:uiPriority w:val="99"/>
    <w:rsid w:val="00DD5C72"/>
    <w:pPr>
      <w:tabs>
        <w:tab w:val="right" w:pos="1531"/>
      </w:tabs>
      <w:spacing w:before="40" w:after="0" w:line="240" w:lineRule="auto"/>
      <w:ind w:left="1644" w:hanging="1644"/>
    </w:pPr>
    <w:rPr>
      <w:rFonts w:eastAsia="Times New Roman" w:cs="Times New Roman"/>
      <w:szCs w:val="20"/>
    </w:rPr>
  </w:style>
  <w:style w:type="paragraph" w:customStyle="1" w:styleId="tMain">
    <w:name w:val="t_Main"/>
    <w:aliases w:val="subsection"/>
    <w:basedOn w:val="Normal"/>
    <w:rsid w:val="00DD5C72"/>
    <w:pPr>
      <w:tabs>
        <w:tab w:val="right" w:pos="1021"/>
      </w:tabs>
      <w:spacing w:before="180" w:after="0" w:line="240" w:lineRule="auto"/>
      <w:ind w:left="1134" w:hanging="1134"/>
    </w:pPr>
    <w:rPr>
      <w:rFonts w:eastAsia="Times New Roman" w:cs="Times New Roman"/>
      <w:szCs w:val="20"/>
    </w:rPr>
  </w:style>
  <w:style w:type="paragraph" w:customStyle="1" w:styleId="Tabletextindentroman">
    <w:name w:val="Table text indent roman"/>
    <w:basedOn w:val="Normal"/>
    <w:rsid w:val="006B4C78"/>
    <w:pPr>
      <w:spacing w:before="40" w:after="40" w:line="240" w:lineRule="auto"/>
      <w:ind w:left="459" w:hanging="283"/>
    </w:pPr>
    <w:rPr>
      <w:rFonts w:eastAsia="Times New Roman" w:cs="Times New Roman"/>
      <w:szCs w:val="20"/>
    </w:rPr>
  </w:style>
  <w:style w:type="paragraph" w:customStyle="1" w:styleId="tabletext">
    <w:name w:val="table text"/>
    <w:qFormat/>
    <w:rsid w:val="00073B62"/>
    <w:pPr>
      <w:spacing w:before="60" w:after="60" w:line="240" w:lineRule="auto"/>
    </w:pPr>
    <w:rPr>
      <w:rFonts w:ascii="Calibri" w:eastAsia="Times New Roman" w:hAnsi="Calibri" w:cs="Times New Roman"/>
      <w:sz w:val="20"/>
      <w:szCs w:val="20"/>
    </w:rPr>
  </w:style>
  <w:style w:type="paragraph" w:styleId="Quote">
    <w:name w:val="Quote"/>
    <w:basedOn w:val="Normal"/>
    <w:next w:val="Normal"/>
    <w:link w:val="QuoteChar"/>
    <w:uiPriority w:val="29"/>
    <w:qFormat/>
    <w:rsid w:val="007F1A8D"/>
    <w:pPr>
      <w:ind w:left="284"/>
    </w:pPr>
    <w:rPr>
      <w:i/>
      <w:iCs/>
      <w:color w:val="000000" w:themeColor="text1"/>
    </w:rPr>
  </w:style>
  <w:style w:type="character" w:customStyle="1" w:styleId="QuoteChar">
    <w:name w:val="Quote Char"/>
    <w:basedOn w:val="DefaultParagraphFont"/>
    <w:link w:val="Quote"/>
    <w:uiPriority w:val="29"/>
    <w:rsid w:val="007F1A8D"/>
    <w:rPr>
      <w:rFonts w:ascii="Times New Roman" w:hAnsi="Times New Roman"/>
      <w:i/>
      <w:iCs/>
      <w:color w:val="000000" w:themeColor="text1"/>
    </w:rPr>
  </w:style>
  <w:style w:type="table" w:styleId="LightShading-Accent1">
    <w:name w:val="Light Shading Accent 1"/>
    <w:basedOn w:val="TableNormal"/>
    <w:uiPriority w:val="60"/>
    <w:rsid w:val="006B4C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tabletext"/>
    <w:link w:val="TableHeadingChar"/>
    <w:rsid w:val="006B4C78"/>
    <w:rPr>
      <w:rFonts w:ascii="Arial" w:eastAsiaTheme="minorHAnsi" w:hAnsi="Arial" w:cstheme="minorBidi"/>
      <w:b/>
      <w:szCs w:val="22"/>
      <w:lang w:eastAsia="en-US"/>
    </w:rPr>
  </w:style>
  <w:style w:type="character" w:customStyle="1" w:styleId="TableHeadingChar">
    <w:name w:val="Table Heading Char"/>
    <w:basedOn w:val="DefaultParagraphFont"/>
    <w:link w:val="TableHeading"/>
    <w:rsid w:val="006B4C78"/>
    <w:rPr>
      <w:rFonts w:ascii="Arial" w:eastAsiaTheme="minorHAnsi" w:hAnsi="Arial"/>
      <w:b/>
      <w:lang w:eastAsia="en-US"/>
    </w:rPr>
  </w:style>
  <w:style w:type="paragraph" w:customStyle="1" w:styleId="Body">
    <w:name w:val="Body"/>
    <w:rsid w:val="0066109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nPara">
    <w:name w:val="n_Para"/>
    <w:aliases w:val="na"/>
    <w:basedOn w:val="Normal"/>
    <w:rsid w:val="007E6E96"/>
    <w:pPr>
      <w:spacing w:before="40" w:after="0" w:line="240" w:lineRule="auto"/>
      <w:ind w:left="2268" w:hanging="567"/>
    </w:pPr>
    <w:rPr>
      <w:rFonts w:eastAsia="Times New Roman" w:cs="Times New Roman"/>
      <w:sz w:val="18"/>
      <w:szCs w:val="20"/>
    </w:rPr>
  </w:style>
  <w:style w:type="paragraph" w:customStyle="1" w:styleId="tSubpara">
    <w:name w:val="t_Subpara"/>
    <w:aliases w:val="paragraph(sub)"/>
    <w:basedOn w:val="Normal"/>
    <w:rsid w:val="007E6E96"/>
    <w:pPr>
      <w:tabs>
        <w:tab w:val="right" w:pos="1985"/>
      </w:tabs>
      <w:spacing w:before="40" w:after="0" w:line="240" w:lineRule="auto"/>
      <w:ind w:left="2098" w:hanging="2098"/>
    </w:pPr>
    <w:rPr>
      <w:rFonts w:eastAsia="Times New Roman" w:cs="Times New Roman"/>
      <w:szCs w:val="20"/>
    </w:rPr>
  </w:style>
  <w:style w:type="paragraph" w:customStyle="1" w:styleId="Footnotes">
    <w:name w:val="Footnotes"/>
    <w:basedOn w:val="FootnoteText"/>
    <w:link w:val="FootnotesChar"/>
    <w:uiPriority w:val="4"/>
    <w:semiHidden/>
    <w:qFormat/>
    <w:rsid w:val="005F47E8"/>
    <w:pPr>
      <w:tabs>
        <w:tab w:val="left" w:pos="340"/>
      </w:tabs>
      <w:spacing w:before="60" w:after="200" w:line="276" w:lineRule="auto"/>
      <w:ind w:left="360" w:hanging="360"/>
    </w:pPr>
    <w:rPr>
      <w:sz w:val="16"/>
    </w:rPr>
  </w:style>
  <w:style w:type="character" w:customStyle="1" w:styleId="FootnotesChar">
    <w:name w:val="Footnotes Char"/>
    <w:basedOn w:val="DefaultParagraphFont"/>
    <w:link w:val="Footnotes"/>
    <w:uiPriority w:val="4"/>
    <w:semiHidden/>
    <w:rsid w:val="005F47E8"/>
    <w:rPr>
      <w:sz w:val="16"/>
      <w:szCs w:val="20"/>
    </w:rPr>
  </w:style>
  <w:style w:type="paragraph" w:customStyle="1" w:styleId="Numbered1">
    <w:name w:val="Numbered 1"/>
    <w:basedOn w:val="Heading1"/>
    <w:next w:val="Normal"/>
    <w:link w:val="Numbered1Char"/>
    <w:rsid w:val="00A44C44"/>
    <w:pPr>
      <w:keepNext w:val="0"/>
      <w:keepLines w:val="0"/>
      <w:numPr>
        <w:numId w:val="0"/>
      </w:numPr>
      <w:tabs>
        <w:tab w:val="left" w:pos="680"/>
      </w:tabs>
      <w:spacing w:after="200"/>
      <w:ind w:left="680" w:hanging="680"/>
    </w:pPr>
    <w:rPr>
      <w:rFonts w:ascii="Lucida Fax" w:eastAsiaTheme="majorEastAsia" w:hAnsi="Lucida Fax"/>
      <w:b w:val="0"/>
      <w:color w:val="51626F"/>
    </w:rPr>
  </w:style>
  <w:style w:type="paragraph" w:customStyle="1" w:styleId="Numbered111">
    <w:name w:val="Numbered 1.1.1"/>
    <w:basedOn w:val="Heading3"/>
    <w:next w:val="Normal"/>
    <w:rsid w:val="00A44C44"/>
    <w:pPr>
      <w:numPr>
        <w:ilvl w:val="0"/>
        <w:numId w:val="0"/>
      </w:numPr>
      <w:tabs>
        <w:tab w:val="left" w:pos="1361"/>
      </w:tabs>
      <w:spacing w:before="240" w:after="200" w:line="276" w:lineRule="auto"/>
      <w:ind w:left="1361" w:hanging="1361"/>
      <w:contextualSpacing/>
    </w:pPr>
    <w:rPr>
      <w:rFonts w:asciiTheme="minorHAnsi" w:eastAsiaTheme="majorEastAsia" w:hAnsiTheme="minorHAnsi" w:cstheme="majorBidi"/>
      <w:bCs/>
      <w:color w:val="000000" w:themeColor="text1" w:themeShade="BF"/>
    </w:rPr>
  </w:style>
  <w:style w:type="paragraph" w:customStyle="1" w:styleId="Numbered1111">
    <w:name w:val="Numbered 1.1.1.1"/>
    <w:basedOn w:val="Heading4"/>
    <w:next w:val="Normal"/>
    <w:rsid w:val="00A44C44"/>
    <w:pPr>
      <w:keepNext w:val="0"/>
      <w:tabs>
        <w:tab w:val="left" w:pos="1361"/>
      </w:tabs>
      <w:ind w:left="1361" w:hanging="1361"/>
    </w:pPr>
    <w:rPr>
      <w:rFonts w:asciiTheme="minorHAnsi" w:eastAsiaTheme="majorEastAsia" w:hAnsiTheme="minorHAnsi" w:cstheme="majorBidi"/>
      <w:b/>
      <w:bCs/>
      <w:iCs/>
      <w:color w:val="51626F"/>
    </w:rPr>
  </w:style>
  <w:style w:type="paragraph" w:customStyle="1" w:styleId="Numbered11111">
    <w:name w:val="Numbered 1.1.1.1.1"/>
    <w:basedOn w:val="Heading5"/>
    <w:next w:val="Normal"/>
    <w:uiPriority w:val="2"/>
    <w:rsid w:val="00A44C44"/>
    <w:pPr>
      <w:keepNext w:val="0"/>
      <w:keepLines w:val="0"/>
      <w:tabs>
        <w:tab w:val="left" w:pos="1701"/>
      </w:tabs>
      <w:spacing w:line="240" w:lineRule="atLeast"/>
      <w:ind w:left="1701" w:hanging="1701"/>
    </w:pPr>
    <w:rPr>
      <w:rFonts w:ascii="Arial" w:hAnsi="Arial"/>
      <w:color w:val="243F60" w:themeColor="accent1" w:themeShade="7F"/>
      <w:lang w:eastAsia="en-US"/>
    </w:rPr>
  </w:style>
  <w:style w:type="paragraph" w:customStyle="1" w:styleId="Numbered111111">
    <w:name w:val="Numbered 1.1.1.1.1.1"/>
    <w:basedOn w:val="Heading6"/>
    <w:next w:val="Normal"/>
    <w:uiPriority w:val="2"/>
    <w:rsid w:val="00A44C44"/>
    <w:pPr>
      <w:tabs>
        <w:tab w:val="left" w:pos="1701"/>
      </w:tabs>
      <w:spacing w:before="240" w:after="200"/>
      <w:ind w:left="1701" w:hanging="1701"/>
    </w:pPr>
    <w:rPr>
      <w:rFonts w:eastAsiaTheme="majorEastAsia"/>
      <w:b/>
      <w:i w:val="0"/>
      <w:iCs w:val="0"/>
    </w:rPr>
  </w:style>
  <w:style w:type="paragraph" w:customStyle="1" w:styleId="Numbered1111111">
    <w:name w:val="Numbered 1.1.1.1.1.1.1"/>
    <w:basedOn w:val="Heading7"/>
    <w:next w:val="Normal"/>
    <w:uiPriority w:val="2"/>
    <w:rsid w:val="00A44C44"/>
    <w:pPr>
      <w:tabs>
        <w:tab w:val="left" w:pos="2041"/>
      </w:tabs>
      <w:spacing w:before="240"/>
      <w:ind w:left="2041" w:hanging="2041"/>
    </w:pPr>
    <w:rPr>
      <w:rFonts w:eastAsiaTheme="majorEastAsia" w:cstheme="majorBidi"/>
      <w:i/>
      <w:iCs/>
      <w:color w:val="404040" w:themeColor="text1" w:themeTint="BF"/>
    </w:rPr>
  </w:style>
  <w:style w:type="paragraph" w:customStyle="1" w:styleId="Numbered11111111">
    <w:name w:val="Numbered 1.1.1.1.1.1.1.1"/>
    <w:basedOn w:val="Heading8"/>
    <w:next w:val="Normal"/>
    <w:uiPriority w:val="2"/>
    <w:rsid w:val="00A44C44"/>
    <w:pPr>
      <w:tabs>
        <w:tab w:val="left" w:pos="2041"/>
      </w:tabs>
      <w:spacing w:before="240" w:after="200" w:line="276" w:lineRule="auto"/>
      <w:ind w:left="2041" w:hanging="2041"/>
    </w:pPr>
    <w:rPr>
      <w:rFonts w:eastAsiaTheme="majorEastAsia" w:cstheme="majorBidi"/>
      <w:color w:val="4F81BD" w:themeColor="accent1"/>
      <w:szCs w:val="20"/>
    </w:rPr>
  </w:style>
  <w:style w:type="paragraph" w:customStyle="1" w:styleId="Numbered111111111">
    <w:name w:val="Numbered 1.1.1.1.1.1.1.1.1"/>
    <w:basedOn w:val="Heading9"/>
    <w:next w:val="Normal"/>
    <w:uiPriority w:val="2"/>
    <w:rsid w:val="00A44C44"/>
    <w:pPr>
      <w:keepNext w:val="0"/>
      <w:keepLines w:val="0"/>
      <w:tabs>
        <w:tab w:val="left" w:pos="340"/>
        <w:tab w:val="left" w:pos="2381"/>
      </w:tabs>
      <w:spacing w:before="240"/>
      <w:ind w:left="2381" w:hanging="2381"/>
    </w:pPr>
    <w:rPr>
      <w:rFonts w:asciiTheme="minorHAnsi" w:eastAsiaTheme="majorEastAsia" w:hAnsiTheme="minorHAnsi"/>
      <w:b/>
      <w:i w:val="0"/>
      <w:color w:val="000000" w:themeColor="text1"/>
      <w:sz w:val="24"/>
    </w:rPr>
  </w:style>
  <w:style w:type="paragraph" w:customStyle="1" w:styleId="Numberedparagraph11">
    <w:name w:val="Numbered paragraph 1.1"/>
    <w:basedOn w:val="Numbered110"/>
    <w:rsid w:val="00A44C44"/>
    <w:pPr>
      <w:ind w:left="680" w:hanging="680"/>
      <w:outlineLvl w:val="9"/>
    </w:pPr>
    <w:rPr>
      <w:b w:val="0"/>
      <w:bCs w:val="0"/>
      <w:color w:val="auto"/>
      <w:sz w:val="22"/>
    </w:rPr>
  </w:style>
  <w:style w:type="character" w:styleId="SubtleEmphasis">
    <w:name w:val="Subtle Emphasis"/>
    <w:basedOn w:val="DefaultParagraphFont"/>
    <w:uiPriority w:val="19"/>
    <w:rsid w:val="00204B31"/>
    <w:rPr>
      <w:i/>
      <w:iCs/>
      <w:color w:val="808080" w:themeColor="text1" w:themeTint="7F"/>
    </w:rPr>
  </w:style>
  <w:style w:type="table" w:styleId="LightList">
    <w:name w:val="Light List"/>
    <w:basedOn w:val="TableNormal"/>
    <w:uiPriority w:val="61"/>
    <w:rsid w:val="005A607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Bullet3">
    <w:name w:val="List Bullet 3"/>
    <w:basedOn w:val="Normal"/>
    <w:uiPriority w:val="99"/>
    <w:unhideWhenUsed/>
    <w:rsid w:val="005A607E"/>
    <w:pPr>
      <w:numPr>
        <w:numId w:val="9"/>
      </w:numPr>
      <w:contextualSpacing/>
    </w:pPr>
  </w:style>
  <w:style w:type="paragraph" w:customStyle="1" w:styleId="Pa15">
    <w:name w:val="Pa15"/>
    <w:basedOn w:val="Default"/>
    <w:next w:val="Default"/>
    <w:uiPriority w:val="99"/>
    <w:rsid w:val="005A607E"/>
    <w:pPr>
      <w:spacing w:line="181" w:lineRule="atLeast"/>
    </w:pPr>
    <w:rPr>
      <w:rFonts w:ascii="Myriad Pro" w:eastAsiaTheme="minorEastAsia" w:hAnsi="Myriad Pro" w:cstheme="minorBidi"/>
      <w:color w:val="auto"/>
      <w:lang w:eastAsia="en-AU"/>
    </w:rPr>
  </w:style>
  <w:style w:type="paragraph" w:customStyle="1" w:styleId="Pa16">
    <w:name w:val="Pa16"/>
    <w:basedOn w:val="Default"/>
    <w:next w:val="Default"/>
    <w:uiPriority w:val="99"/>
    <w:rsid w:val="005A607E"/>
    <w:pPr>
      <w:spacing w:line="201" w:lineRule="atLeast"/>
    </w:pPr>
    <w:rPr>
      <w:rFonts w:ascii="Myriad Pro" w:eastAsiaTheme="minorEastAsia" w:hAnsi="Myriad Pro" w:cstheme="minorBidi"/>
      <w:color w:val="auto"/>
      <w:lang w:eastAsia="en-AU"/>
    </w:rPr>
  </w:style>
  <w:style w:type="paragraph" w:customStyle="1" w:styleId="01bodytextKEEP">
    <w:name w:val="01 body text KEEP"/>
    <w:basedOn w:val="Normal"/>
    <w:uiPriority w:val="99"/>
    <w:rsid w:val="005A607E"/>
    <w:pPr>
      <w:keepNext/>
      <w:keepLines/>
      <w:widowControl w:val="0"/>
      <w:suppressAutoHyphens/>
      <w:autoSpaceDE w:val="0"/>
      <w:autoSpaceDN w:val="0"/>
      <w:adjustRightInd w:val="0"/>
      <w:spacing w:before="113" w:after="0" w:line="200" w:lineRule="atLeast"/>
      <w:textAlignment w:val="center"/>
    </w:pPr>
    <w:rPr>
      <w:rFonts w:ascii="ArialMT" w:eastAsia="Times New Roman" w:hAnsi="ArialMT" w:cs="ArialMT"/>
      <w:color w:val="000000"/>
      <w:spacing w:val="-4"/>
      <w:sz w:val="16"/>
      <w:szCs w:val="16"/>
      <w:lang w:val="en-GB"/>
    </w:rPr>
  </w:style>
  <w:style w:type="paragraph" w:customStyle="1" w:styleId="Chaptertitle">
    <w:name w:val="Chapter title"/>
    <w:basedOn w:val="Normal"/>
    <w:link w:val="ChaptertitleChar"/>
    <w:rsid w:val="005A607E"/>
    <w:pPr>
      <w:spacing w:before="520" w:after="120" w:line="240" w:lineRule="auto"/>
    </w:pPr>
    <w:rPr>
      <w:rFonts w:ascii="Lucida Fax" w:eastAsiaTheme="minorHAnsi" w:hAnsi="Lucida Fax"/>
      <w:color w:val="4F2D7F"/>
      <w:sz w:val="52"/>
      <w:szCs w:val="52"/>
      <w:lang w:eastAsia="en-US"/>
    </w:rPr>
  </w:style>
  <w:style w:type="character" w:customStyle="1" w:styleId="ChaptertitleChar">
    <w:name w:val="Chapter title Char"/>
    <w:basedOn w:val="DefaultParagraphFont"/>
    <w:link w:val="Chaptertitle"/>
    <w:rsid w:val="005A607E"/>
    <w:rPr>
      <w:rFonts w:ascii="Lucida Fax" w:eastAsiaTheme="minorHAnsi" w:hAnsi="Lucida Fax"/>
      <w:color w:val="4F2D7F"/>
      <w:sz w:val="52"/>
      <w:szCs w:val="52"/>
      <w:lang w:eastAsia="en-US"/>
    </w:rPr>
  </w:style>
  <w:style w:type="paragraph" w:customStyle="1" w:styleId="Tabletext0">
    <w:name w:val="Table text"/>
    <w:basedOn w:val="Normal"/>
    <w:link w:val="TabletextChar"/>
    <w:uiPriority w:val="1"/>
    <w:rsid w:val="005A607E"/>
    <w:pPr>
      <w:spacing w:before="120" w:after="60" w:line="240" w:lineRule="auto"/>
    </w:pPr>
    <w:rPr>
      <w:rFonts w:ascii="Arial" w:eastAsiaTheme="minorHAnsi" w:hAnsi="Arial"/>
      <w:sz w:val="20"/>
      <w:lang w:eastAsia="en-US"/>
    </w:rPr>
  </w:style>
  <w:style w:type="paragraph" w:customStyle="1" w:styleId="Copyrighttext">
    <w:name w:val="Copyright text"/>
    <w:basedOn w:val="Normal"/>
    <w:link w:val="CopyrighttextChar"/>
    <w:uiPriority w:val="2"/>
    <w:rsid w:val="005A607E"/>
    <w:pPr>
      <w:spacing w:before="200" w:after="0" w:line="360" w:lineRule="auto"/>
      <w:contextualSpacing/>
    </w:pPr>
    <w:rPr>
      <w:rFonts w:ascii="Arial" w:eastAsiaTheme="minorHAnsi" w:hAnsi="Arial"/>
      <w:color w:val="4F81BD" w:themeColor="accent1"/>
      <w:sz w:val="16"/>
      <w:szCs w:val="16"/>
      <w:lang w:eastAsia="en-US"/>
    </w:rPr>
  </w:style>
  <w:style w:type="character" w:customStyle="1" w:styleId="CopyrighttextChar">
    <w:name w:val="Copyright text Char"/>
    <w:basedOn w:val="DefaultParagraphFont"/>
    <w:link w:val="Copyrighttext"/>
    <w:uiPriority w:val="2"/>
    <w:rsid w:val="005A607E"/>
    <w:rPr>
      <w:rFonts w:ascii="Arial" w:eastAsiaTheme="minorHAnsi" w:hAnsi="Arial"/>
      <w:color w:val="4F81BD" w:themeColor="accent1"/>
      <w:sz w:val="16"/>
      <w:szCs w:val="16"/>
      <w:lang w:eastAsia="en-US"/>
    </w:rPr>
  </w:style>
  <w:style w:type="paragraph" w:customStyle="1" w:styleId="Charttitle">
    <w:name w:val="Chart title"/>
    <w:basedOn w:val="Tabletitle"/>
    <w:rsid w:val="005A607E"/>
    <w:rPr>
      <w:sz w:val="24"/>
    </w:rPr>
  </w:style>
  <w:style w:type="paragraph" w:styleId="EndnoteText">
    <w:name w:val="endnote text"/>
    <w:basedOn w:val="Normal"/>
    <w:link w:val="EndnoteTextChar"/>
    <w:uiPriority w:val="99"/>
    <w:rsid w:val="005A607E"/>
    <w:pPr>
      <w:spacing w:after="0" w:line="240" w:lineRule="auto"/>
    </w:pPr>
    <w:rPr>
      <w:rFonts w:ascii="Arial" w:eastAsiaTheme="minorHAnsi" w:hAnsi="Arial"/>
      <w:sz w:val="20"/>
      <w:szCs w:val="20"/>
      <w:lang w:eastAsia="en-US"/>
    </w:rPr>
  </w:style>
  <w:style w:type="character" w:customStyle="1" w:styleId="EndnoteTextChar">
    <w:name w:val="Endnote Text Char"/>
    <w:basedOn w:val="DefaultParagraphFont"/>
    <w:link w:val="EndnoteText"/>
    <w:uiPriority w:val="99"/>
    <w:rsid w:val="005A607E"/>
    <w:rPr>
      <w:rFonts w:ascii="Arial" w:eastAsiaTheme="minorHAnsi" w:hAnsi="Arial"/>
      <w:sz w:val="20"/>
      <w:szCs w:val="20"/>
      <w:lang w:eastAsia="en-US"/>
    </w:rPr>
  </w:style>
  <w:style w:type="paragraph" w:customStyle="1" w:styleId="Boxedtext">
    <w:name w:val="Boxed text"/>
    <w:basedOn w:val="Normal"/>
    <w:link w:val="BoxedtextChar"/>
    <w:uiPriority w:val="1"/>
    <w:rsid w:val="005A60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before="200" w:after="240" w:line="240" w:lineRule="auto"/>
    </w:pPr>
    <w:rPr>
      <w:rFonts w:ascii="Arial" w:eastAsiaTheme="minorHAnsi" w:hAnsi="Arial"/>
      <w:szCs w:val="20"/>
      <w:lang w:eastAsia="en-US"/>
    </w:rPr>
  </w:style>
  <w:style w:type="character" w:customStyle="1" w:styleId="BoxedtextChar">
    <w:name w:val="Boxed text Char"/>
    <w:basedOn w:val="DefaultParagraphFont"/>
    <w:link w:val="Boxedtext"/>
    <w:uiPriority w:val="1"/>
    <w:rsid w:val="005A607E"/>
    <w:rPr>
      <w:rFonts w:ascii="Arial" w:eastAsiaTheme="minorHAnsi" w:hAnsi="Arial"/>
      <w:szCs w:val="20"/>
      <w:shd w:val="clear" w:color="auto" w:fill="F2F2F2" w:themeFill="background1" w:themeFillShade="F2"/>
      <w:lang w:eastAsia="en-US"/>
    </w:rPr>
  </w:style>
  <w:style w:type="paragraph" w:customStyle="1" w:styleId="Pullquoteheading">
    <w:name w:val="Pull quote heading"/>
    <w:basedOn w:val="Normal"/>
    <w:link w:val="PullquoteheadingChar"/>
    <w:uiPriority w:val="1"/>
    <w:rsid w:val="005A607E"/>
    <w:pPr>
      <w:spacing w:before="200" w:after="120" w:line="240" w:lineRule="auto"/>
      <w:contextualSpacing/>
    </w:pPr>
    <w:rPr>
      <w:rFonts w:ascii="Lucida Fax" w:eastAsiaTheme="minorHAnsi" w:hAnsi="Lucida Fax"/>
      <w:b/>
      <w:color w:val="DC5034"/>
      <w:sz w:val="24"/>
      <w:szCs w:val="24"/>
      <w:lang w:eastAsia="en-US"/>
    </w:rPr>
  </w:style>
  <w:style w:type="character" w:customStyle="1" w:styleId="PullquoteheadingChar">
    <w:name w:val="Pull quote heading Char"/>
    <w:basedOn w:val="DefaultParagraphFont"/>
    <w:link w:val="Pullquoteheading"/>
    <w:uiPriority w:val="1"/>
    <w:rsid w:val="005A607E"/>
    <w:rPr>
      <w:rFonts w:ascii="Lucida Fax" w:eastAsiaTheme="minorHAnsi" w:hAnsi="Lucida Fax"/>
      <w:b/>
      <w:color w:val="DC5034"/>
      <w:sz w:val="24"/>
      <w:szCs w:val="24"/>
      <w:lang w:eastAsia="en-US"/>
    </w:rPr>
  </w:style>
  <w:style w:type="paragraph" w:customStyle="1" w:styleId="Pullquotetext">
    <w:name w:val="Pull quote text"/>
    <w:link w:val="PullquotetextChar"/>
    <w:uiPriority w:val="1"/>
    <w:rsid w:val="005A607E"/>
    <w:pPr>
      <w:spacing w:before="120" w:after="0" w:line="240" w:lineRule="auto"/>
    </w:pPr>
    <w:rPr>
      <w:rFonts w:ascii="Lucida Fax" w:eastAsiaTheme="minorHAnsi" w:hAnsi="Lucida Fax"/>
      <w:color w:val="DC5034"/>
      <w:sz w:val="24"/>
      <w:szCs w:val="24"/>
      <w:lang w:eastAsia="en-US"/>
    </w:rPr>
  </w:style>
  <w:style w:type="character" w:customStyle="1" w:styleId="PullquotetextChar">
    <w:name w:val="Pull quote text Char"/>
    <w:basedOn w:val="PullquoteheadingChar"/>
    <w:link w:val="Pullquotetext"/>
    <w:uiPriority w:val="1"/>
    <w:rsid w:val="005A607E"/>
    <w:rPr>
      <w:rFonts w:ascii="Lucida Fax" w:eastAsiaTheme="minorHAnsi" w:hAnsi="Lucida Fax"/>
      <w:b w:val="0"/>
      <w:color w:val="DC5034"/>
      <w:sz w:val="24"/>
      <w:szCs w:val="24"/>
      <w:lang w:eastAsia="en-US"/>
    </w:rPr>
  </w:style>
  <w:style w:type="paragraph" w:customStyle="1" w:styleId="Note">
    <w:name w:val="Note"/>
    <w:basedOn w:val="Normal"/>
    <w:link w:val="NoteChar"/>
    <w:rsid w:val="005A607E"/>
    <w:pPr>
      <w:spacing w:before="200" w:after="120" w:line="240" w:lineRule="auto"/>
    </w:pPr>
    <w:rPr>
      <w:rFonts w:ascii="Arial" w:eastAsiaTheme="minorHAnsi" w:hAnsi="Arial"/>
      <w:i/>
      <w:sz w:val="16"/>
      <w:szCs w:val="16"/>
      <w:lang w:eastAsia="en-US"/>
    </w:rPr>
  </w:style>
  <w:style w:type="character" w:customStyle="1" w:styleId="NoteChar">
    <w:name w:val="Note Char"/>
    <w:basedOn w:val="DefaultParagraphFont"/>
    <w:link w:val="Note"/>
    <w:rsid w:val="005A607E"/>
    <w:rPr>
      <w:rFonts w:ascii="Arial" w:eastAsiaTheme="minorHAnsi" w:hAnsi="Arial"/>
      <w:i/>
      <w:sz w:val="16"/>
      <w:szCs w:val="16"/>
      <w:lang w:eastAsia="en-US"/>
    </w:rPr>
  </w:style>
  <w:style w:type="paragraph" w:customStyle="1" w:styleId="Source">
    <w:name w:val="Source"/>
    <w:basedOn w:val="Normal"/>
    <w:link w:val="SourceChar"/>
    <w:rsid w:val="005A607E"/>
    <w:pPr>
      <w:spacing w:before="200" w:after="60" w:line="240" w:lineRule="auto"/>
    </w:pPr>
    <w:rPr>
      <w:rFonts w:ascii="Arial" w:eastAsiaTheme="minorHAnsi" w:hAnsi="Arial"/>
      <w:sz w:val="16"/>
      <w:szCs w:val="16"/>
      <w:lang w:eastAsia="en-US"/>
    </w:rPr>
  </w:style>
  <w:style w:type="character" w:customStyle="1" w:styleId="SourceChar">
    <w:name w:val="Source Char"/>
    <w:basedOn w:val="DefaultParagraphFont"/>
    <w:link w:val="Source"/>
    <w:rsid w:val="005A607E"/>
    <w:rPr>
      <w:rFonts w:ascii="Arial" w:eastAsiaTheme="minorHAnsi" w:hAnsi="Arial"/>
      <w:sz w:val="16"/>
      <w:szCs w:val="16"/>
      <w:lang w:eastAsia="en-US"/>
    </w:rPr>
  </w:style>
  <w:style w:type="paragraph" w:customStyle="1" w:styleId="Lvl3Bulletpoint">
    <w:name w:val="Lvl 3 Bullet point"/>
    <w:basedOn w:val="ListParagraph"/>
    <w:uiPriority w:val="1"/>
    <w:rsid w:val="003170A7"/>
    <w:pPr>
      <w:numPr>
        <w:ilvl w:val="2"/>
        <w:numId w:val="67"/>
      </w:numPr>
      <w:tabs>
        <w:tab w:val="left" w:pos="340"/>
      </w:tabs>
      <w:autoSpaceDE w:val="0"/>
      <w:autoSpaceDN w:val="0"/>
      <w:adjustRightInd w:val="0"/>
      <w:spacing w:before="120" w:after="0" w:line="240" w:lineRule="auto"/>
      <w:contextualSpacing w:val="0"/>
    </w:pPr>
  </w:style>
  <w:style w:type="paragraph" w:styleId="ListNumber">
    <w:name w:val="List Number"/>
    <w:basedOn w:val="Normal"/>
    <w:uiPriority w:val="99"/>
    <w:rsid w:val="005A607E"/>
    <w:pPr>
      <w:numPr>
        <w:numId w:val="25"/>
      </w:numPr>
      <w:spacing w:before="120" w:after="0" w:line="240" w:lineRule="auto"/>
    </w:pPr>
    <w:rPr>
      <w:rFonts w:ascii="Arial" w:eastAsiaTheme="minorHAnsi" w:hAnsi="Arial"/>
      <w:color w:val="000000" w:themeColor="text1" w:themeShade="BF"/>
      <w:lang w:eastAsia="en-US"/>
    </w:rPr>
  </w:style>
  <w:style w:type="paragraph" w:styleId="ListBullet2">
    <w:name w:val="List Bullet 2"/>
    <w:basedOn w:val="Normal"/>
    <w:uiPriority w:val="99"/>
    <w:rsid w:val="005A607E"/>
    <w:pPr>
      <w:numPr>
        <w:numId w:val="11"/>
      </w:numPr>
      <w:tabs>
        <w:tab w:val="clear" w:pos="643"/>
        <w:tab w:val="num" w:pos="680"/>
      </w:tabs>
      <w:spacing w:before="120" w:after="0" w:line="240" w:lineRule="auto"/>
      <w:ind w:left="680" w:hanging="340"/>
    </w:pPr>
    <w:rPr>
      <w:rFonts w:ascii="Arial" w:eastAsiaTheme="minorHAnsi" w:hAnsi="Arial"/>
      <w:lang w:eastAsia="en-US"/>
    </w:rPr>
  </w:style>
  <w:style w:type="paragraph" w:styleId="ListNumber2">
    <w:name w:val="List Number 2"/>
    <w:next w:val="Normal"/>
    <w:uiPriority w:val="99"/>
    <w:rsid w:val="005A607E"/>
    <w:pPr>
      <w:numPr>
        <w:numId w:val="26"/>
      </w:numPr>
      <w:tabs>
        <w:tab w:val="left" w:pos="680"/>
      </w:tabs>
      <w:spacing w:before="120" w:after="0" w:line="240" w:lineRule="auto"/>
    </w:pPr>
    <w:rPr>
      <w:rFonts w:ascii="Arial" w:eastAsiaTheme="minorHAnsi" w:hAnsi="Arial"/>
      <w:lang w:eastAsia="en-US"/>
    </w:rPr>
  </w:style>
  <w:style w:type="table" w:styleId="LightShading-Accent2">
    <w:name w:val="Light Shading Accent 2"/>
    <w:basedOn w:val="TableNormal"/>
    <w:uiPriority w:val="60"/>
    <w:rsid w:val="005A607E"/>
    <w:pPr>
      <w:spacing w:after="0" w:line="240" w:lineRule="auto"/>
    </w:pPr>
    <w:rPr>
      <w:rFonts w:ascii="Arial" w:eastAsiaTheme="minorHAnsi" w:hAnsi="Arial"/>
      <w:color w:val="000000"/>
      <w:lang w:eastAsia="en-US"/>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cPr>
      <w:vAlign w:val="center"/>
    </w:tcPr>
    <w:tblStylePr w:type="firstRow">
      <w:pPr>
        <w:spacing w:before="0" w:after="0" w:line="240" w:lineRule="auto"/>
      </w:pPr>
      <w:rPr>
        <w:b w:val="0"/>
        <w:bCs/>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l2br w:val="nil"/>
          <w:tr2bl w:val="nil"/>
        </w:tcBorders>
      </w:tcPr>
    </w:tblStylePr>
    <w:tblStylePr w:type="lastRow">
      <w:pPr>
        <w:spacing w:before="0" w:after="0" w:line="240" w:lineRule="auto"/>
      </w:pPr>
      <w:rPr>
        <w:b w:val="0"/>
        <w:bCs/>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5A607E"/>
    <w:pPr>
      <w:spacing w:after="0" w:line="240" w:lineRule="auto"/>
    </w:pPr>
    <w:rPr>
      <w:rFonts w:eastAsiaTheme="minorHAns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A607E"/>
    <w:pPr>
      <w:spacing w:after="0" w:line="240" w:lineRule="auto"/>
    </w:pPr>
    <w:rPr>
      <w:rFonts w:eastAsiaTheme="minorHAns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5A607E"/>
    <w:pPr>
      <w:spacing w:after="0" w:line="240" w:lineRule="auto"/>
    </w:pPr>
    <w:rPr>
      <w:rFonts w:eastAsiaTheme="minorHAns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3">
    <w:name w:val="Light Grid Accent 3"/>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ibliography">
    <w:name w:val="Bibliography"/>
    <w:basedOn w:val="Normal"/>
    <w:next w:val="Normal"/>
    <w:uiPriority w:val="37"/>
    <w:semiHidden/>
    <w:rsid w:val="005A607E"/>
    <w:pPr>
      <w:spacing w:before="200" w:after="0" w:line="240" w:lineRule="auto"/>
    </w:pPr>
    <w:rPr>
      <w:rFonts w:ascii="Arial" w:eastAsiaTheme="minorHAnsi" w:hAnsi="Arial"/>
      <w:lang w:eastAsia="en-US"/>
    </w:rPr>
  </w:style>
  <w:style w:type="paragraph" w:styleId="BodyText3">
    <w:name w:val="Body Text 3"/>
    <w:basedOn w:val="Normal"/>
    <w:link w:val="BodyText3Char"/>
    <w:uiPriority w:val="99"/>
    <w:unhideWhenUsed/>
    <w:rsid w:val="005A607E"/>
    <w:pPr>
      <w:spacing w:before="200" w:after="120" w:line="240" w:lineRule="auto"/>
    </w:pPr>
    <w:rPr>
      <w:rFonts w:ascii="Arial" w:eastAsiaTheme="minorHAnsi" w:hAnsi="Arial"/>
      <w:szCs w:val="16"/>
      <w:lang w:eastAsia="en-US"/>
    </w:rPr>
  </w:style>
  <w:style w:type="character" w:customStyle="1" w:styleId="BodyText3Char">
    <w:name w:val="Body Text 3 Char"/>
    <w:basedOn w:val="DefaultParagraphFont"/>
    <w:link w:val="BodyText3"/>
    <w:uiPriority w:val="99"/>
    <w:rsid w:val="005A607E"/>
    <w:rPr>
      <w:rFonts w:ascii="Arial" w:eastAsiaTheme="minorHAnsi" w:hAnsi="Arial"/>
      <w:szCs w:val="16"/>
      <w:lang w:eastAsia="en-US"/>
    </w:rPr>
  </w:style>
  <w:style w:type="paragraph" w:customStyle="1" w:styleId="CoverDate">
    <w:name w:val="Cover Date"/>
    <w:rsid w:val="005A607E"/>
    <w:pPr>
      <w:spacing w:before="200" w:after="0" w:line="240" w:lineRule="auto"/>
    </w:pPr>
    <w:rPr>
      <w:rFonts w:ascii="Lucida Fax" w:eastAsiaTheme="minorHAnsi" w:hAnsi="Lucida Fax"/>
      <w:color w:val="DC5034"/>
      <w:sz w:val="24"/>
      <w:szCs w:val="24"/>
      <w:lang w:eastAsia="en-US"/>
    </w:rPr>
  </w:style>
  <w:style w:type="character" w:styleId="BookTitle">
    <w:name w:val="Book Title"/>
    <w:uiPriority w:val="33"/>
    <w:rsid w:val="005A607E"/>
    <w:rPr>
      <w:rFonts w:ascii="Arial" w:hAnsi="Arial"/>
      <w:bCs/>
      <w:i/>
      <w:caps w:val="0"/>
      <w:smallCaps w:val="0"/>
      <w:spacing w:val="0"/>
      <w:sz w:val="22"/>
    </w:rPr>
  </w:style>
  <w:style w:type="table" w:styleId="LightList-Accent1">
    <w:name w:val="Light List Accent 1"/>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auto"/>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mphasis">
    <w:name w:val="Emphasis"/>
    <w:basedOn w:val="DefaultParagraphFont"/>
    <w:uiPriority w:val="20"/>
    <w:qFormat/>
    <w:rsid w:val="00F33AF9"/>
    <w:rPr>
      <w:i/>
      <w:iCs/>
    </w:rPr>
  </w:style>
  <w:style w:type="paragraph" w:styleId="NormalIndent">
    <w:name w:val="Normal Indent"/>
    <w:basedOn w:val="Normal"/>
    <w:uiPriority w:val="1"/>
    <w:rsid w:val="005A607E"/>
    <w:pPr>
      <w:spacing w:before="200" w:after="0" w:line="240" w:lineRule="auto"/>
      <w:ind w:left="720"/>
    </w:pPr>
    <w:rPr>
      <w:rFonts w:ascii="Arial" w:eastAsiaTheme="minorHAnsi" w:hAnsi="Arial"/>
      <w:lang w:eastAsia="en-US"/>
    </w:rPr>
  </w:style>
  <w:style w:type="paragraph" w:styleId="Subtitle">
    <w:name w:val="Subtitle"/>
    <w:next w:val="Normal"/>
    <w:link w:val="SubtitleChar"/>
    <w:uiPriority w:val="11"/>
    <w:rsid w:val="005A607E"/>
    <w:pPr>
      <w:spacing w:before="360" w:after="120" w:line="240" w:lineRule="auto"/>
    </w:pPr>
    <w:rPr>
      <w:rFonts w:ascii="Lucida Fax" w:eastAsiaTheme="minorHAnsi" w:hAnsi="Lucida Fax"/>
      <w:color w:val="4F2D7F"/>
      <w:sz w:val="52"/>
      <w:szCs w:val="52"/>
      <w:lang w:eastAsia="en-US"/>
    </w:rPr>
  </w:style>
  <w:style w:type="character" w:customStyle="1" w:styleId="SubtitleChar">
    <w:name w:val="Subtitle Char"/>
    <w:basedOn w:val="DefaultParagraphFont"/>
    <w:link w:val="Subtitle"/>
    <w:uiPriority w:val="11"/>
    <w:rsid w:val="005A607E"/>
    <w:rPr>
      <w:rFonts w:ascii="Lucida Fax" w:eastAsiaTheme="minorHAnsi" w:hAnsi="Lucida Fax"/>
      <w:color w:val="4F2D7F"/>
      <w:sz w:val="52"/>
      <w:szCs w:val="52"/>
      <w:lang w:eastAsia="en-US"/>
    </w:rPr>
  </w:style>
  <w:style w:type="table" w:styleId="LightShading-Accent6">
    <w:name w:val="Light Shading Accent 6"/>
    <w:basedOn w:val="TableNormal"/>
    <w:uiPriority w:val="60"/>
    <w:rsid w:val="005A607E"/>
    <w:pPr>
      <w:spacing w:after="0" w:line="240" w:lineRule="auto"/>
    </w:pPr>
    <w:rPr>
      <w:rFonts w:eastAsiaTheme="minorHAns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ableofAuthorities">
    <w:name w:val="table of authorities"/>
    <w:basedOn w:val="Normal"/>
    <w:next w:val="Normal"/>
    <w:uiPriority w:val="99"/>
    <w:unhideWhenUsed/>
    <w:rsid w:val="005A607E"/>
    <w:pPr>
      <w:spacing w:before="200" w:after="0" w:line="240" w:lineRule="auto"/>
      <w:ind w:left="220" w:hanging="220"/>
    </w:pPr>
    <w:rPr>
      <w:rFonts w:ascii="Arial" w:eastAsiaTheme="minorHAnsi" w:hAnsi="Arial"/>
      <w:lang w:eastAsia="en-US"/>
    </w:rPr>
  </w:style>
  <w:style w:type="table" w:customStyle="1" w:styleId="LightShading1">
    <w:name w:val="Light Shading1"/>
    <w:basedOn w:val="TableNormal"/>
    <w:next w:val="LightShading"/>
    <w:uiPriority w:val="60"/>
    <w:rsid w:val="005A607E"/>
    <w:pPr>
      <w:spacing w:before="120" w:after="120" w:line="240" w:lineRule="auto"/>
    </w:pPr>
    <w:rPr>
      <w:rFonts w:eastAsiaTheme="minorHAnsi"/>
      <w:color w:val="000000" w:themeColor="text1" w:themeShade="BF"/>
      <w:sz w:val="20"/>
      <w:lang w:eastAsia="en-US"/>
    </w:rPr>
    <w:tblPr>
      <w:tblBorders>
        <w:top w:val="single" w:sz="4" w:space="0" w:color="EEECE1" w:themeColor="background2"/>
        <w:bottom w:val="single" w:sz="4" w:space="0" w:color="EEECE1" w:themeColor="background2"/>
        <w:insideH w:val="single" w:sz="4" w:space="0" w:color="EEECE1"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5A607E"/>
    <w:pPr>
      <w:spacing w:after="0" w:line="240" w:lineRule="auto"/>
    </w:pPr>
    <w:rPr>
      <w:rFonts w:eastAsiaTheme="minorHAns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A607E"/>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erRight">
    <w:name w:val="Header Right"/>
    <w:basedOn w:val="Header"/>
    <w:uiPriority w:val="35"/>
    <w:rsid w:val="005A607E"/>
    <w:pPr>
      <w:tabs>
        <w:tab w:val="clear" w:pos="4513"/>
        <w:tab w:val="clear" w:pos="9026"/>
        <w:tab w:val="center" w:pos="4320"/>
        <w:tab w:val="right" w:pos="8640"/>
      </w:tabs>
      <w:spacing w:after="200"/>
      <w:jc w:val="right"/>
    </w:pPr>
    <w:rPr>
      <w:rFonts w:eastAsiaTheme="minorHAnsi" w:cs="Times New Roman"/>
      <w:color w:val="4F81BD" w:themeColor="accent1"/>
      <w:sz w:val="18"/>
      <w:szCs w:val="20"/>
      <w:lang w:val="en-US" w:eastAsia="ja-JP"/>
    </w:rPr>
  </w:style>
  <w:style w:type="paragraph" w:styleId="List">
    <w:name w:val="List"/>
    <w:basedOn w:val="Normal"/>
    <w:uiPriority w:val="99"/>
    <w:rsid w:val="005A607E"/>
    <w:pPr>
      <w:tabs>
        <w:tab w:val="left" w:pos="340"/>
      </w:tabs>
      <w:spacing w:before="120" w:after="0" w:line="240" w:lineRule="auto"/>
      <w:ind w:left="340" w:hanging="340"/>
    </w:pPr>
    <w:rPr>
      <w:rFonts w:ascii="Arial" w:eastAsiaTheme="minorHAnsi" w:hAnsi="Arial"/>
      <w:lang w:eastAsia="en-US"/>
    </w:rPr>
  </w:style>
  <w:style w:type="paragraph" w:styleId="List2">
    <w:name w:val="List 2"/>
    <w:basedOn w:val="Normal"/>
    <w:uiPriority w:val="99"/>
    <w:rsid w:val="005A607E"/>
    <w:pPr>
      <w:tabs>
        <w:tab w:val="left" w:pos="680"/>
      </w:tabs>
      <w:spacing w:before="120" w:after="0" w:line="240" w:lineRule="auto"/>
      <w:ind w:left="680" w:hanging="340"/>
    </w:pPr>
    <w:rPr>
      <w:rFonts w:ascii="Arial" w:eastAsiaTheme="minorHAnsi" w:hAnsi="Arial"/>
      <w:lang w:eastAsia="en-US"/>
    </w:rPr>
  </w:style>
  <w:style w:type="paragraph" w:styleId="List3">
    <w:name w:val="List 3"/>
    <w:basedOn w:val="Normal"/>
    <w:uiPriority w:val="99"/>
    <w:rsid w:val="005A607E"/>
    <w:pPr>
      <w:tabs>
        <w:tab w:val="left" w:pos="1021"/>
      </w:tabs>
      <w:spacing w:before="120" w:after="0" w:line="240" w:lineRule="auto"/>
      <w:ind w:left="1020" w:hanging="340"/>
    </w:pPr>
    <w:rPr>
      <w:rFonts w:ascii="Arial" w:eastAsiaTheme="minorHAnsi" w:hAnsi="Arial"/>
      <w:lang w:eastAsia="en-US"/>
    </w:rPr>
  </w:style>
  <w:style w:type="paragraph" w:styleId="List4">
    <w:name w:val="List 4"/>
    <w:basedOn w:val="Normal"/>
    <w:uiPriority w:val="99"/>
    <w:rsid w:val="005A607E"/>
    <w:pPr>
      <w:tabs>
        <w:tab w:val="left" w:pos="1361"/>
      </w:tabs>
      <w:spacing w:before="120" w:after="0" w:line="240" w:lineRule="auto"/>
      <w:ind w:left="1361" w:hanging="340"/>
    </w:pPr>
    <w:rPr>
      <w:rFonts w:ascii="Arial" w:eastAsiaTheme="minorHAnsi" w:hAnsi="Arial"/>
      <w:lang w:eastAsia="en-US"/>
    </w:rPr>
  </w:style>
  <w:style w:type="paragraph" w:styleId="List5">
    <w:name w:val="List 5"/>
    <w:basedOn w:val="Normal"/>
    <w:uiPriority w:val="99"/>
    <w:rsid w:val="005A607E"/>
    <w:pPr>
      <w:tabs>
        <w:tab w:val="left" w:pos="1701"/>
      </w:tabs>
      <w:spacing w:before="120" w:after="0" w:line="240" w:lineRule="auto"/>
      <w:ind w:left="1701" w:hanging="340"/>
    </w:pPr>
    <w:rPr>
      <w:rFonts w:ascii="Arial" w:eastAsiaTheme="minorHAnsi" w:hAnsi="Arial"/>
      <w:lang w:eastAsia="en-US"/>
    </w:rPr>
  </w:style>
  <w:style w:type="paragraph" w:styleId="ListBullet4">
    <w:name w:val="List Bullet 4"/>
    <w:basedOn w:val="Normal"/>
    <w:uiPriority w:val="99"/>
    <w:rsid w:val="005A607E"/>
    <w:pPr>
      <w:numPr>
        <w:numId w:val="12"/>
      </w:numPr>
      <w:tabs>
        <w:tab w:val="clear" w:pos="1209"/>
        <w:tab w:val="num" w:pos="1361"/>
      </w:tabs>
      <w:spacing w:before="120" w:after="0" w:line="240" w:lineRule="auto"/>
      <w:ind w:left="1361" w:hanging="340"/>
    </w:pPr>
    <w:rPr>
      <w:rFonts w:ascii="Arial" w:eastAsiaTheme="minorHAnsi" w:hAnsi="Arial"/>
      <w:lang w:eastAsia="en-US"/>
    </w:rPr>
  </w:style>
  <w:style w:type="paragraph" w:styleId="ListBullet5">
    <w:name w:val="List Bullet 5"/>
    <w:basedOn w:val="Normal"/>
    <w:uiPriority w:val="99"/>
    <w:rsid w:val="005A607E"/>
    <w:pPr>
      <w:numPr>
        <w:numId w:val="13"/>
      </w:numPr>
      <w:tabs>
        <w:tab w:val="clear" w:pos="1492"/>
        <w:tab w:val="num" w:pos="1701"/>
      </w:tabs>
      <w:spacing w:before="120" w:after="0" w:line="240" w:lineRule="auto"/>
      <w:ind w:left="1701" w:hanging="340"/>
    </w:pPr>
    <w:rPr>
      <w:rFonts w:ascii="Arial" w:eastAsiaTheme="minorHAnsi" w:hAnsi="Arial"/>
      <w:lang w:eastAsia="en-US"/>
    </w:rPr>
  </w:style>
  <w:style w:type="paragraph" w:styleId="ListContinue">
    <w:name w:val="List Continue"/>
    <w:basedOn w:val="Normal"/>
    <w:uiPriority w:val="99"/>
    <w:rsid w:val="005A607E"/>
    <w:pPr>
      <w:tabs>
        <w:tab w:val="left" w:pos="340"/>
      </w:tabs>
      <w:spacing w:before="120" w:after="0" w:line="240" w:lineRule="auto"/>
      <w:ind w:left="340"/>
    </w:pPr>
    <w:rPr>
      <w:rFonts w:ascii="Arial" w:eastAsiaTheme="minorHAnsi" w:hAnsi="Arial"/>
      <w:lang w:eastAsia="en-US"/>
    </w:rPr>
  </w:style>
  <w:style w:type="paragraph" w:styleId="ListContinue2">
    <w:name w:val="List Continue 2"/>
    <w:basedOn w:val="Normal"/>
    <w:uiPriority w:val="99"/>
    <w:rsid w:val="005A607E"/>
    <w:pPr>
      <w:tabs>
        <w:tab w:val="left" w:pos="680"/>
      </w:tabs>
      <w:spacing w:before="120" w:after="0" w:line="240" w:lineRule="auto"/>
      <w:ind w:left="680"/>
    </w:pPr>
    <w:rPr>
      <w:rFonts w:ascii="Arial" w:eastAsiaTheme="minorHAnsi" w:hAnsi="Arial"/>
      <w:lang w:eastAsia="en-US"/>
    </w:rPr>
  </w:style>
  <w:style w:type="paragraph" w:styleId="ListContinue3">
    <w:name w:val="List Continue 3"/>
    <w:basedOn w:val="Normal"/>
    <w:uiPriority w:val="99"/>
    <w:rsid w:val="005A607E"/>
    <w:pPr>
      <w:tabs>
        <w:tab w:val="left" w:pos="1021"/>
      </w:tabs>
      <w:spacing w:before="120" w:after="0" w:line="240" w:lineRule="auto"/>
      <w:ind w:left="1021"/>
    </w:pPr>
    <w:rPr>
      <w:rFonts w:ascii="Arial" w:eastAsiaTheme="minorHAnsi" w:hAnsi="Arial"/>
      <w:lang w:eastAsia="en-US"/>
    </w:rPr>
  </w:style>
  <w:style w:type="paragraph" w:styleId="ListContinue4">
    <w:name w:val="List Continue 4"/>
    <w:basedOn w:val="Normal"/>
    <w:uiPriority w:val="99"/>
    <w:rsid w:val="005A607E"/>
    <w:pPr>
      <w:tabs>
        <w:tab w:val="left" w:pos="1361"/>
      </w:tabs>
      <w:spacing w:before="120" w:after="0" w:line="240" w:lineRule="auto"/>
      <w:ind w:left="1361"/>
    </w:pPr>
    <w:rPr>
      <w:rFonts w:ascii="Arial" w:eastAsiaTheme="minorHAnsi" w:hAnsi="Arial"/>
      <w:lang w:eastAsia="en-US"/>
    </w:rPr>
  </w:style>
  <w:style w:type="paragraph" w:styleId="ListNumber3">
    <w:name w:val="List Number 3"/>
    <w:basedOn w:val="Normal"/>
    <w:uiPriority w:val="99"/>
    <w:rsid w:val="005A607E"/>
    <w:pPr>
      <w:numPr>
        <w:numId w:val="17"/>
      </w:numPr>
      <w:tabs>
        <w:tab w:val="left" w:pos="1021"/>
      </w:tabs>
      <w:spacing w:before="120" w:after="0" w:line="240" w:lineRule="auto"/>
    </w:pPr>
    <w:rPr>
      <w:rFonts w:ascii="Arial" w:eastAsiaTheme="minorHAnsi" w:hAnsi="Arial"/>
      <w:lang w:eastAsia="en-US"/>
    </w:rPr>
  </w:style>
  <w:style w:type="paragraph" w:styleId="ListNumber4">
    <w:name w:val="List Number 4"/>
    <w:basedOn w:val="Normal"/>
    <w:uiPriority w:val="99"/>
    <w:rsid w:val="005A607E"/>
    <w:pPr>
      <w:numPr>
        <w:numId w:val="14"/>
      </w:numPr>
      <w:tabs>
        <w:tab w:val="left" w:pos="1701"/>
      </w:tabs>
      <w:spacing w:before="120" w:after="0" w:line="240" w:lineRule="auto"/>
    </w:pPr>
    <w:rPr>
      <w:rFonts w:ascii="Arial" w:eastAsiaTheme="minorHAnsi" w:hAnsi="Arial"/>
      <w:lang w:eastAsia="en-US"/>
    </w:rPr>
  </w:style>
  <w:style w:type="paragraph" w:styleId="ListNumber5">
    <w:name w:val="List Number 5"/>
    <w:basedOn w:val="Normal"/>
    <w:uiPriority w:val="99"/>
    <w:rsid w:val="005A607E"/>
    <w:pPr>
      <w:numPr>
        <w:numId w:val="15"/>
      </w:numPr>
      <w:spacing w:before="120" w:after="0" w:line="240" w:lineRule="auto"/>
    </w:pPr>
    <w:rPr>
      <w:rFonts w:ascii="Arial" w:eastAsiaTheme="minorHAnsi" w:hAnsi="Arial"/>
      <w:lang w:eastAsia="en-US"/>
    </w:rPr>
  </w:style>
  <w:style w:type="table" w:customStyle="1" w:styleId="ACCCTable1">
    <w:name w:val="ACCC Table1"/>
    <w:basedOn w:val="TableNormal"/>
    <w:next w:val="TableGrid"/>
    <w:uiPriority w:val="59"/>
    <w:rsid w:val="005A607E"/>
    <w:pPr>
      <w:spacing w:before="60" w:after="60" w:line="240" w:lineRule="auto"/>
    </w:pPr>
    <w:rPr>
      <w:rFonts w:ascii="Arial" w:eastAsiaTheme="minorHAnsi" w:hAnsi="Arial"/>
      <w:sz w:val="20"/>
      <w:lang w:eastAsia="en-US"/>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0"/>
    <w:link w:val="Tabletext-rightChar"/>
    <w:rsid w:val="005A607E"/>
    <w:pPr>
      <w:jc w:val="right"/>
    </w:pPr>
    <w:rPr>
      <w:rFonts w:eastAsia="Times New Roman" w:cs="Times New Roman"/>
      <w:szCs w:val="20"/>
    </w:rPr>
  </w:style>
  <w:style w:type="paragraph" w:customStyle="1" w:styleId="Tabletext-centred">
    <w:name w:val="Table text - centred"/>
    <w:basedOn w:val="Tabletext-right"/>
    <w:link w:val="Tabletext-centredChar"/>
    <w:rsid w:val="005A607E"/>
    <w:pPr>
      <w:jc w:val="center"/>
    </w:pPr>
  </w:style>
  <w:style w:type="paragraph" w:customStyle="1" w:styleId="TableHeading-right">
    <w:name w:val="Table Heading - right"/>
    <w:basedOn w:val="Normal"/>
    <w:link w:val="TableHeading-rightChar"/>
    <w:rsid w:val="005A607E"/>
    <w:pPr>
      <w:tabs>
        <w:tab w:val="left" w:pos="680"/>
      </w:tabs>
      <w:spacing w:before="240" w:after="0" w:line="240" w:lineRule="auto"/>
      <w:ind w:left="680" w:hanging="680"/>
      <w:jc w:val="right"/>
      <w:outlineLvl w:val="0"/>
    </w:pPr>
    <w:rPr>
      <w:rFonts w:ascii="Lucida Fax" w:eastAsia="Times New Roman" w:hAnsi="Lucida Fax" w:cs="Times New Roman"/>
      <w:color w:val="51626F"/>
      <w:sz w:val="32"/>
      <w:szCs w:val="20"/>
      <w:lang w:eastAsia="en-US"/>
    </w:rPr>
  </w:style>
  <w:style w:type="character" w:customStyle="1" w:styleId="Tabletext-rightChar">
    <w:name w:val="Table text - right Char"/>
    <w:basedOn w:val="TabletextChar"/>
    <w:link w:val="Tabletext-right"/>
    <w:rsid w:val="005A607E"/>
    <w:rPr>
      <w:rFonts w:ascii="Arial" w:eastAsia="Times New Roman" w:hAnsi="Arial" w:cs="Times New Roman"/>
      <w:sz w:val="20"/>
      <w:szCs w:val="20"/>
      <w:lang w:eastAsia="en-US"/>
    </w:rPr>
  </w:style>
  <w:style w:type="character" w:customStyle="1" w:styleId="TabletextChar">
    <w:name w:val="Table text Char"/>
    <w:basedOn w:val="DefaultParagraphFont"/>
    <w:link w:val="Tabletext0"/>
    <w:uiPriority w:val="1"/>
    <w:rsid w:val="005A607E"/>
    <w:rPr>
      <w:rFonts w:ascii="Arial" w:eastAsiaTheme="minorHAnsi" w:hAnsi="Arial"/>
      <w:sz w:val="20"/>
      <w:lang w:eastAsia="en-US"/>
    </w:rPr>
  </w:style>
  <w:style w:type="character" w:customStyle="1" w:styleId="TableHeading-rightChar">
    <w:name w:val="Table Heading - right Char"/>
    <w:basedOn w:val="DefaultParagraphFont"/>
    <w:link w:val="TableHeading-right"/>
    <w:rsid w:val="005A607E"/>
    <w:rPr>
      <w:rFonts w:ascii="Lucida Fax" w:eastAsia="Times New Roman" w:hAnsi="Lucida Fax" w:cs="Times New Roman"/>
      <w:color w:val="51626F"/>
      <w:sz w:val="32"/>
      <w:szCs w:val="20"/>
      <w:lang w:eastAsia="en-US"/>
    </w:rPr>
  </w:style>
  <w:style w:type="character" w:customStyle="1" w:styleId="Tabletext-centredChar">
    <w:name w:val="Table text - centred Char"/>
    <w:basedOn w:val="Tabletext-rightChar"/>
    <w:link w:val="Tabletext-centred"/>
    <w:rsid w:val="005A607E"/>
    <w:rPr>
      <w:rFonts w:ascii="Arial" w:eastAsia="Times New Roman" w:hAnsi="Arial" w:cs="Times New Roman"/>
      <w:sz w:val="20"/>
      <w:szCs w:val="20"/>
      <w:lang w:eastAsia="en-US"/>
    </w:rPr>
  </w:style>
  <w:style w:type="paragraph" w:customStyle="1" w:styleId="TableHeading-centred">
    <w:name w:val="Table Heading - centred"/>
    <w:basedOn w:val="Normal"/>
    <w:rsid w:val="005A607E"/>
    <w:pPr>
      <w:tabs>
        <w:tab w:val="left" w:pos="680"/>
      </w:tabs>
      <w:spacing w:before="240" w:after="0" w:line="240" w:lineRule="auto"/>
      <w:ind w:left="680" w:hanging="680"/>
      <w:jc w:val="center"/>
      <w:outlineLvl w:val="0"/>
    </w:pPr>
    <w:rPr>
      <w:rFonts w:ascii="Lucida Fax" w:eastAsia="Times New Roman" w:hAnsi="Lucida Fax" w:cs="Times New Roman"/>
      <w:color w:val="51626F"/>
      <w:sz w:val="32"/>
      <w:szCs w:val="20"/>
      <w:lang w:eastAsia="en-US"/>
    </w:rPr>
  </w:style>
  <w:style w:type="table" w:customStyle="1" w:styleId="ACCCTable3">
    <w:name w:val="ACCC Table 3"/>
    <w:basedOn w:val="TableNormal"/>
    <w:uiPriority w:val="99"/>
    <w:rsid w:val="005A607E"/>
    <w:pPr>
      <w:spacing w:after="0" w:line="240" w:lineRule="auto"/>
    </w:pPr>
    <w:rPr>
      <w:rFonts w:eastAsiaTheme="minorHAnsi"/>
      <w:sz w:val="20"/>
      <w:lang w:eastAsia="en-US"/>
    </w:rPr>
    <w:tblPr>
      <w:tblBorders>
        <w:insideV w:val="single" w:sz="4" w:space="0" w:color="EEECE1"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5A607E"/>
    <w:rPr>
      <w:rFonts w:ascii="Arial" w:hAnsi="Arial"/>
      <w:sz w:val="16"/>
      <w:vertAlign w:val="superscript"/>
    </w:rPr>
  </w:style>
  <w:style w:type="character" w:customStyle="1" w:styleId="Numbered1Char">
    <w:name w:val="Numbered 1 Char"/>
    <w:basedOn w:val="Heading1Char"/>
    <w:link w:val="Numbered1"/>
    <w:rsid w:val="005A607E"/>
    <w:rPr>
      <w:rFonts w:ascii="Lucida Fax" w:eastAsiaTheme="majorEastAsia" w:hAnsi="Lucida Fax" w:cstheme="majorBidi"/>
      <w:b w:val="0"/>
      <w:bCs/>
      <w:color w:val="51626F"/>
      <w:sz w:val="32"/>
      <w:szCs w:val="28"/>
    </w:rPr>
  </w:style>
  <w:style w:type="paragraph" w:customStyle="1" w:styleId="Numberedparagraph">
    <w:name w:val="Numbered paragraph"/>
    <w:basedOn w:val="Normal"/>
    <w:rsid w:val="005A607E"/>
    <w:pPr>
      <w:numPr>
        <w:numId w:val="10"/>
      </w:numPr>
      <w:spacing w:before="200" w:after="0" w:line="240" w:lineRule="auto"/>
      <w:ind w:left="680" w:hanging="680"/>
    </w:pPr>
    <w:rPr>
      <w:rFonts w:ascii="Arial" w:eastAsia="Times New Roman" w:hAnsi="Arial" w:cs="Times New Roman"/>
      <w:color w:val="000000" w:themeColor="text1" w:themeShade="BF"/>
      <w:szCs w:val="20"/>
      <w:lang w:eastAsia="en-US"/>
    </w:rPr>
  </w:style>
  <w:style w:type="paragraph" w:customStyle="1" w:styleId="Listalphabet2">
    <w:name w:val="List alphabet 2"/>
    <w:rsid w:val="005A607E"/>
    <w:pPr>
      <w:numPr>
        <w:numId w:val="16"/>
      </w:numPr>
      <w:tabs>
        <w:tab w:val="left" w:pos="680"/>
      </w:tabs>
      <w:spacing w:before="120" w:after="0" w:line="240" w:lineRule="auto"/>
    </w:pPr>
    <w:rPr>
      <w:rFonts w:ascii="Arial" w:eastAsiaTheme="minorHAnsi" w:hAnsi="Arial"/>
      <w:lang w:eastAsia="en-US"/>
    </w:rPr>
  </w:style>
  <w:style w:type="paragraph" w:customStyle="1" w:styleId="Listalphabet3">
    <w:name w:val="List alphabet 3"/>
    <w:rsid w:val="005A607E"/>
    <w:pPr>
      <w:numPr>
        <w:numId w:val="21"/>
      </w:numPr>
      <w:tabs>
        <w:tab w:val="left" w:pos="1021"/>
      </w:tabs>
      <w:spacing w:before="120" w:after="0" w:line="240" w:lineRule="auto"/>
    </w:pPr>
    <w:rPr>
      <w:rFonts w:ascii="Arial" w:eastAsiaTheme="minorHAnsi" w:hAnsi="Arial"/>
      <w:lang w:eastAsia="en-US"/>
    </w:rPr>
  </w:style>
  <w:style w:type="paragraph" w:customStyle="1" w:styleId="Listalphabet4">
    <w:name w:val="List alphabet 4"/>
    <w:rsid w:val="005A607E"/>
    <w:pPr>
      <w:numPr>
        <w:numId w:val="22"/>
      </w:numPr>
      <w:tabs>
        <w:tab w:val="left" w:pos="1361"/>
      </w:tabs>
      <w:spacing w:before="120" w:after="0" w:line="240" w:lineRule="auto"/>
    </w:pPr>
    <w:rPr>
      <w:rFonts w:ascii="Arial" w:eastAsiaTheme="minorHAnsi" w:hAnsi="Arial"/>
      <w:lang w:eastAsia="en-US"/>
    </w:rPr>
  </w:style>
  <w:style w:type="paragraph" w:customStyle="1" w:styleId="Listalphabet5">
    <w:name w:val="List alphabet 5"/>
    <w:rsid w:val="005A607E"/>
    <w:pPr>
      <w:numPr>
        <w:numId w:val="23"/>
      </w:numPr>
      <w:tabs>
        <w:tab w:val="left" w:pos="1701"/>
      </w:tabs>
      <w:spacing w:before="120" w:after="0" w:line="240" w:lineRule="auto"/>
    </w:pPr>
    <w:rPr>
      <w:rFonts w:ascii="Arial" w:eastAsiaTheme="minorHAnsi" w:hAnsi="Arial"/>
      <w:lang w:eastAsia="en-US"/>
    </w:rPr>
  </w:style>
  <w:style w:type="paragraph" w:styleId="ListContinue5">
    <w:name w:val="List Continue 5"/>
    <w:basedOn w:val="Normal"/>
    <w:uiPriority w:val="99"/>
    <w:rsid w:val="005A607E"/>
    <w:pPr>
      <w:tabs>
        <w:tab w:val="left" w:pos="1701"/>
      </w:tabs>
      <w:spacing w:before="120" w:after="0" w:line="240" w:lineRule="auto"/>
      <w:ind w:left="1701"/>
    </w:pPr>
    <w:rPr>
      <w:rFonts w:ascii="Arial" w:eastAsiaTheme="minorHAnsi" w:hAnsi="Arial"/>
      <w:lang w:eastAsia="en-US"/>
    </w:rPr>
  </w:style>
  <w:style w:type="paragraph" w:customStyle="1" w:styleId="Listalphabet">
    <w:name w:val="List alphabet"/>
    <w:qFormat/>
    <w:rsid w:val="00442C9F"/>
    <w:pPr>
      <w:numPr>
        <w:numId w:val="24"/>
      </w:numPr>
      <w:tabs>
        <w:tab w:val="left" w:pos="340"/>
      </w:tabs>
      <w:spacing w:before="120" w:after="0" w:line="240" w:lineRule="auto"/>
    </w:pPr>
    <w:rPr>
      <w:rFonts w:ascii="Times New Roman" w:eastAsiaTheme="minorHAnsi" w:hAnsi="Times New Roman" w:cs="Times New Roman"/>
      <w:lang w:eastAsia="en-US"/>
    </w:rPr>
  </w:style>
  <w:style w:type="paragraph" w:styleId="NoteHeading">
    <w:name w:val="Note Heading"/>
    <w:aliases w:val="HN"/>
    <w:basedOn w:val="Normal"/>
    <w:next w:val="Normal"/>
    <w:link w:val="NoteHeadingChar"/>
    <w:uiPriority w:val="99"/>
    <w:unhideWhenUsed/>
    <w:rsid w:val="005A607E"/>
    <w:pPr>
      <w:spacing w:after="0" w:line="240" w:lineRule="auto"/>
    </w:pPr>
    <w:rPr>
      <w:rFonts w:ascii="Arial" w:eastAsiaTheme="minorHAnsi" w:hAnsi="Arial"/>
      <w:lang w:eastAsia="en-US"/>
    </w:rPr>
  </w:style>
  <w:style w:type="character" w:customStyle="1" w:styleId="NoteHeadingChar">
    <w:name w:val="Note Heading Char"/>
    <w:aliases w:val="HN Char"/>
    <w:basedOn w:val="DefaultParagraphFont"/>
    <w:link w:val="NoteHeading"/>
    <w:uiPriority w:val="99"/>
    <w:rsid w:val="005A607E"/>
    <w:rPr>
      <w:rFonts w:ascii="Arial" w:eastAsiaTheme="minorHAnsi" w:hAnsi="Arial"/>
      <w:lang w:eastAsia="en-US"/>
    </w:rPr>
  </w:style>
  <w:style w:type="character" w:styleId="SubtleReference">
    <w:name w:val="Subtle Reference"/>
    <w:basedOn w:val="DefaultParagraphFont"/>
    <w:uiPriority w:val="31"/>
    <w:unhideWhenUsed/>
    <w:rsid w:val="005A607E"/>
    <w:rPr>
      <w:smallCaps/>
      <w:color w:val="C0504D" w:themeColor="accent2"/>
      <w:u w:val="single"/>
    </w:rPr>
  </w:style>
  <w:style w:type="paragraph" w:customStyle="1" w:styleId="ListLegal">
    <w:name w:val="List Legal"/>
    <w:basedOn w:val="ListParagraph"/>
    <w:rsid w:val="005A607E"/>
    <w:pPr>
      <w:numPr>
        <w:numId w:val="27"/>
      </w:numPr>
      <w:tabs>
        <w:tab w:val="left" w:pos="680"/>
      </w:tabs>
      <w:spacing w:before="120" w:after="0" w:line="240" w:lineRule="auto"/>
      <w:contextualSpacing w:val="0"/>
    </w:pPr>
    <w:rPr>
      <w:rFonts w:ascii="Arial" w:eastAsiaTheme="minorHAnsi" w:hAnsi="Arial"/>
      <w:lang w:eastAsia="en-US"/>
    </w:rPr>
  </w:style>
  <w:style w:type="paragraph" w:customStyle="1" w:styleId="ListLegal2">
    <w:name w:val="List Legal 2"/>
    <w:basedOn w:val="ListLegal"/>
    <w:rsid w:val="005A607E"/>
    <w:pPr>
      <w:numPr>
        <w:numId w:val="19"/>
      </w:numPr>
      <w:tabs>
        <w:tab w:val="clear" w:pos="680"/>
        <w:tab w:val="left" w:pos="1021"/>
      </w:tabs>
    </w:pPr>
  </w:style>
  <w:style w:type="paragraph" w:customStyle="1" w:styleId="ListLegal3">
    <w:name w:val="List Legal 3"/>
    <w:basedOn w:val="ListNumber3"/>
    <w:rsid w:val="005A607E"/>
    <w:pPr>
      <w:numPr>
        <w:numId w:val="18"/>
      </w:numPr>
      <w:tabs>
        <w:tab w:val="clear" w:pos="1021"/>
        <w:tab w:val="left" w:pos="1361"/>
      </w:tabs>
    </w:pPr>
  </w:style>
  <w:style w:type="paragraph" w:customStyle="1" w:styleId="ListLegal4">
    <w:name w:val="List Legal 4"/>
    <w:basedOn w:val="ListLegal3"/>
    <w:rsid w:val="005A607E"/>
    <w:pPr>
      <w:numPr>
        <w:numId w:val="20"/>
      </w:numPr>
      <w:tabs>
        <w:tab w:val="clear" w:pos="1361"/>
        <w:tab w:val="left" w:pos="1701"/>
      </w:tabs>
    </w:pPr>
  </w:style>
  <w:style w:type="paragraph" w:customStyle="1" w:styleId="ListLegal5">
    <w:name w:val="List Legal 5"/>
    <w:basedOn w:val="ListLegal4"/>
    <w:rsid w:val="005A607E"/>
    <w:pPr>
      <w:numPr>
        <w:numId w:val="28"/>
      </w:numPr>
      <w:tabs>
        <w:tab w:val="clear" w:pos="1701"/>
        <w:tab w:val="left" w:pos="2041"/>
      </w:tabs>
    </w:pPr>
  </w:style>
  <w:style w:type="table" w:customStyle="1" w:styleId="LightShading11">
    <w:name w:val="Light Shading11"/>
    <w:basedOn w:val="TableNormal"/>
    <w:next w:val="LightShading"/>
    <w:uiPriority w:val="60"/>
    <w:rsid w:val="005A607E"/>
    <w:pPr>
      <w:spacing w:before="120" w:after="120" w:line="240" w:lineRule="auto"/>
    </w:pPr>
    <w:rPr>
      <w:rFonts w:eastAsiaTheme="minorHAnsi"/>
      <w:color w:val="000000" w:themeColor="text1" w:themeShade="BF"/>
      <w:lang w:eastAsia="en-US"/>
    </w:rPr>
    <w:tblPr>
      <w:tblBorders>
        <w:top w:val="single" w:sz="4" w:space="0" w:color="EEECE1" w:themeColor="background2"/>
        <w:bottom w:val="single" w:sz="4" w:space="0" w:color="EEECE1" w:themeColor="background2"/>
        <w:insideH w:val="single" w:sz="4" w:space="0" w:color="EEECE1"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paragraph" w:customStyle="1" w:styleId="baseheading">
    <w:name w:val="base_heading"/>
    <w:rsid w:val="00687E4D"/>
    <w:pPr>
      <w:keepNext/>
      <w:keepLines/>
      <w:spacing w:before="360" w:after="0" w:line="240" w:lineRule="auto"/>
      <w:ind w:left="2410" w:hanging="2410"/>
    </w:pPr>
    <w:rPr>
      <w:rFonts w:ascii="Arial" w:eastAsia="Times New Roman" w:hAnsi="Arial" w:cs="Arial"/>
      <w:b/>
      <w:bCs/>
      <w:kern w:val="32"/>
      <w:sz w:val="24"/>
      <w:szCs w:val="32"/>
    </w:rPr>
  </w:style>
  <w:style w:type="paragraph" w:customStyle="1" w:styleId="ENotesHeading1">
    <w:name w:val="ENotesHeading 1"/>
    <w:aliases w:val="Enh1"/>
    <w:basedOn w:val="OPCParaBase"/>
    <w:next w:val="Normal"/>
    <w:rsid w:val="00687E4D"/>
    <w:pPr>
      <w:spacing w:before="120"/>
      <w:outlineLvl w:val="1"/>
    </w:pPr>
    <w:rPr>
      <w:b/>
      <w:sz w:val="28"/>
      <w:szCs w:val="28"/>
    </w:rPr>
  </w:style>
  <w:style w:type="paragraph" w:customStyle="1" w:styleId="ENotesHeading2">
    <w:name w:val="ENotesHeading 2"/>
    <w:aliases w:val="Enh2"/>
    <w:basedOn w:val="OPCParaBase"/>
    <w:next w:val="Normal"/>
    <w:rsid w:val="00687E4D"/>
    <w:pPr>
      <w:spacing w:before="120" w:after="120"/>
      <w:outlineLvl w:val="2"/>
    </w:pPr>
    <w:rPr>
      <w:b/>
      <w:sz w:val="24"/>
      <w:szCs w:val="28"/>
    </w:rPr>
  </w:style>
  <w:style w:type="paragraph" w:customStyle="1" w:styleId="ENoteTableHeading">
    <w:name w:val="ENoteTableHeading"/>
    <w:aliases w:val="enth"/>
    <w:basedOn w:val="OPCParaBase"/>
    <w:rsid w:val="00687E4D"/>
    <w:pPr>
      <w:keepNext/>
      <w:spacing w:before="60" w:line="240" w:lineRule="atLeast"/>
    </w:pPr>
    <w:rPr>
      <w:rFonts w:ascii="Arial" w:hAnsi="Arial"/>
      <w:b/>
      <w:sz w:val="16"/>
    </w:rPr>
  </w:style>
  <w:style w:type="paragraph" w:customStyle="1" w:styleId="ENoteTableText">
    <w:name w:val="ENoteTableText"/>
    <w:aliases w:val="entt"/>
    <w:basedOn w:val="OPCParaBase"/>
    <w:rsid w:val="00687E4D"/>
    <w:pPr>
      <w:spacing w:before="60" w:line="240" w:lineRule="atLeast"/>
    </w:pPr>
    <w:rPr>
      <w:sz w:val="16"/>
    </w:rPr>
  </w:style>
  <w:style w:type="paragraph" w:customStyle="1" w:styleId="FooterBase">
    <w:name w:val="Footer Base"/>
    <w:next w:val="Normal"/>
    <w:semiHidden/>
    <w:rsid w:val="00687E4D"/>
    <w:pPr>
      <w:spacing w:after="0" w:line="200" w:lineRule="atLeast"/>
    </w:pPr>
    <w:rPr>
      <w:rFonts w:ascii="Arial" w:eastAsia="Times New Roman" w:hAnsi="Arial" w:cs="Arial"/>
      <w:sz w:val="16"/>
    </w:rPr>
  </w:style>
  <w:style w:type="paragraph" w:customStyle="1" w:styleId="FooterLandscape">
    <w:name w:val="Footer Landscape"/>
    <w:basedOn w:val="FooterBase"/>
    <w:semiHidden/>
    <w:rsid w:val="00687E4D"/>
    <w:pPr>
      <w:tabs>
        <w:tab w:val="right" w:pos="13175"/>
      </w:tabs>
    </w:pPr>
  </w:style>
  <w:style w:type="paragraph" w:customStyle="1" w:styleId="FooterSubject">
    <w:name w:val="Footer Subject"/>
    <w:basedOn w:val="FooterBase"/>
    <w:semiHidden/>
    <w:rsid w:val="00687E4D"/>
    <w:pPr>
      <w:ind w:right="1417"/>
    </w:pPr>
  </w:style>
  <w:style w:type="paragraph" w:customStyle="1" w:styleId="h1Sch">
    <w:name w:val="h1_Sch"/>
    <w:basedOn w:val="baseheading"/>
    <w:next w:val="h2SchPart"/>
    <w:rsid w:val="00687E4D"/>
    <w:pPr>
      <w:spacing w:before="480"/>
      <w:outlineLvl w:val="0"/>
    </w:pPr>
    <w:rPr>
      <w:rFonts w:ascii="Times New Roman" w:hAnsi="Times New Roman"/>
      <w:sz w:val="36"/>
    </w:rPr>
  </w:style>
  <w:style w:type="paragraph" w:customStyle="1" w:styleId="h2SchPart">
    <w:name w:val="h2_Sch_Part"/>
    <w:basedOn w:val="baseheading"/>
    <w:next w:val="h3SchDiv"/>
    <w:rsid w:val="00687E4D"/>
    <w:rPr>
      <w:sz w:val="36"/>
    </w:rPr>
  </w:style>
  <w:style w:type="paragraph" w:customStyle="1" w:styleId="h3SchDiv">
    <w:name w:val="h3_Sch_Div"/>
    <w:basedOn w:val="baseheading"/>
    <w:next w:val="Normal"/>
    <w:rsid w:val="00687E4D"/>
    <w:rPr>
      <w:sz w:val="32"/>
    </w:rPr>
  </w:style>
  <w:style w:type="paragraph" w:customStyle="1" w:styleId="h2Endnote">
    <w:name w:val="h2_Endnote"/>
    <w:basedOn w:val="baseheading"/>
    <w:rsid w:val="00687E4D"/>
    <w:pPr>
      <w:outlineLvl w:val="1"/>
    </w:pPr>
    <w:rPr>
      <w:sz w:val="36"/>
    </w:rPr>
  </w:style>
  <w:style w:type="paragraph" w:customStyle="1" w:styleId="h4SchSubdiv">
    <w:name w:val="h4_Sch_Subdiv"/>
    <w:basedOn w:val="baseheading"/>
    <w:rsid w:val="00687E4D"/>
    <w:pPr>
      <w:spacing w:before="200"/>
      <w:ind w:left="2693" w:hanging="2693"/>
    </w:pPr>
    <w:rPr>
      <w:sz w:val="28"/>
    </w:rPr>
  </w:style>
  <w:style w:type="paragraph" w:customStyle="1" w:styleId="h5Endnote">
    <w:name w:val="h5_Endnote"/>
    <w:basedOn w:val="baseheading"/>
    <w:rsid w:val="00687E4D"/>
    <w:pPr>
      <w:spacing w:after="60"/>
    </w:pPr>
  </w:style>
  <w:style w:type="paragraph" w:customStyle="1" w:styleId="h5SchItem">
    <w:name w:val="h5_Sch_Item"/>
    <w:basedOn w:val="baseheading"/>
    <w:next w:val="Normal"/>
    <w:rsid w:val="00687E4D"/>
    <w:pPr>
      <w:spacing w:after="60"/>
      <w:ind w:left="964" w:hanging="964"/>
    </w:pPr>
  </w:style>
  <w:style w:type="paragraph" w:customStyle="1" w:styleId="h7Example">
    <w:name w:val="h7_Example"/>
    <w:basedOn w:val="baseheading"/>
    <w:next w:val="Normal"/>
    <w:rsid w:val="00687E4D"/>
    <w:pPr>
      <w:spacing w:before="120"/>
      <w:ind w:left="964" w:hanging="964"/>
    </w:pPr>
    <w:rPr>
      <w:b w:val="0"/>
      <w:i/>
    </w:rPr>
  </w:style>
  <w:style w:type="paragraph" w:customStyle="1" w:styleId="nDrafterComment">
    <w:name w:val="n_Drafter_Comment"/>
    <w:basedOn w:val="Normal"/>
    <w:rsid w:val="00687E4D"/>
    <w:pPr>
      <w:spacing w:before="80" w:after="0" w:line="260" w:lineRule="atLeast"/>
    </w:pPr>
    <w:rPr>
      <w:rFonts w:ascii="Arial" w:eastAsia="Calibri" w:hAnsi="Arial" w:cs="Times New Roman"/>
      <w:color w:val="7030A0"/>
      <w:szCs w:val="20"/>
      <w:lang w:eastAsia="en-US"/>
    </w:rPr>
  </w:style>
  <w:style w:type="paragraph" w:customStyle="1" w:styleId="nEndnote">
    <w:name w:val="n_Endnote"/>
    <w:basedOn w:val="Normal"/>
    <w:rsid w:val="00687E4D"/>
    <w:pPr>
      <w:keepLines/>
      <w:spacing w:before="120" w:after="0" w:line="240" w:lineRule="exact"/>
      <w:ind w:left="567" w:hanging="567"/>
      <w:jc w:val="both"/>
    </w:pPr>
    <w:rPr>
      <w:rFonts w:eastAsia="Calibri" w:cs="Times New Roman"/>
      <w:szCs w:val="20"/>
      <w:lang w:eastAsia="en-US"/>
    </w:rPr>
  </w:style>
  <w:style w:type="paragraph" w:customStyle="1" w:styleId="nSubpara">
    <w:name w:val="n_Subpara"/>
    <w:basedOn w:val="Normal"/>
    <w:rsid w:val="00687E4D"/>
    <w:pPr>
      <w:tabs>
        <w:tab w:val="right" w:pos="2948"/>
      </w:tabs>
      <w:spacing w:after="100" w:line="220" w:lineRule="exact"/>
      <w:ind w:left="3119" w:hanging="3119"/>
    </w:pPr>
    <w:rPr>
      <w:rFonts w:eastAsia="Calibri" w:cs="Times New Roman"/>
      <w:sz w:val="18"/>
      <w:szCs w:val="20"/>
      <w:lang w:eastAsia="en-US"/>
    </w:rPr>
  </w:style>
  <w:style w:type="paragraph" w:customStyle="1" w:styleId="NormalBase">
    <w:name w:val="Normal Base"/>
    <w:semiHidden/>
    <w:rsid w:val="00687E4D"/>
    <w:pPr>
      <w:spacing w:before="140" w:after="140" w:line="280" w:lineRule="atLeast"/>
    </w:pPr>
    <w:rPr>
      <w:rFonts w:ascii="Arial" w:eastAsia="Times New Roman" w:hAnsi="Arial" w:cs="Arial"/>
    </w:rPr>
  </w:style>
  <w:style w:type="character" w:styleId="PageNumber">
    <w:name w:val="page number"/>
    <w:basedOn w:val="DefaultParagraphFont"/>
    <w:rsid w:val="00687E4D"/>
    <w:rPr>
      <w:rFonts w:ascii="Arial" w:hAnsi="Arial" w:cs="Arial"/>
      <w:b w:val="0"/>
      <w:i w:val="0"/>
      <w:sz w:val="16"/>
    </w:rPr>
  </w:style>
  <w:style w:type="paragraph" w:customStyle="1" w:styleId="ParagraphText">
    <w:name w:val="Paragraph_Text"/>
    <w:basedOn w:val="Normal"/>
    <w:uiPriority w:val="1"/>
    <w:rsid w:val="00687E4D"/>
    <w:pPr>
      <w:spacing w:after="0" w:line="260" w:lineRule="atLeast"/>
    </w:pPr>
    <w:rPr>
      <w:rFonts w:ascii="Arial" w:eastAsia="Calibri" w:hAnsi="Arial" w:cs="Arial"/>
      <w:bCs/>
      <w:szCs w:val="26"/>
      <w:lang w:eastAsia="en-US"/>
    </w:rPr>
  </w:style>
  <w:style w:type="character" w:styleId="PlaceholderText">
    <w:name w:val="Placeholder Text"/>
    <w:basedOn w:val="DefaultParagraphFont"/>
    <w:uiPriority w:val="99"/>
    <w:semiHidden/>
    <w:rsid w:val="00687E4D"/>
    <w:rPr>
      <w:color w:val="808080"/>
    </w:rPr>
  </w:style>
  <w:style w:type="paragraph" w:customStyle="1" w:styleId="PlainParagraph">
    <w:name w:val="Plain Paragraph"/>
    <w:basedOn w:val="NormalBase"/>
    <w:uiPriority w:val="1"/>
    <w:rsid w:val="00687E4D"/>
  </w:style>
  <w:style w:type="paragraph" w:customStyle="1" w:styleId="sbFirstSection">
    <w:name w:val="sb_First_Section"/>
    <w:basedOn w:val="Normal"/>
    <w:rsid w:val="00687E4D"/>
    <w:pPr>
      <w:spacing w:after="0" w:line="160" w:lineRule="exact"/>
    </w:pPr>
    <w:rPr>
      <w:rFonts w:eastAsia="Calibri" w:cs="Times New Roman"/>
      <w:sz w:val="16"/>
      <w:szCs w:val="20"/>
      <w:lang w:eastAsia="en-US"/>
    </w:rPr>
  </w:style>
  <w:style w:type="paragraph" w:customStyle="1" w:styleId="Recommendationheading">
    <w:name w:val="Recommendation heading"/>
    <w:basedOn w:val="Caption"/>
    <w:qFormat/>
    <w:rsid w:val="00AF7032"/>
  </w:style>
  <w:style w:type="paragraph" w:customStyle="1" w:styleId="sbMainSection">
    <w:name w:val="sb_Main_Section"/>
    <w:basedOn w:val="sbFirstSection"/>
    <w:rsid w:val="00687E4D"/>
    <w:rPr>
      <w:b/>
      <w:bCs/>
      <w:kern w:val="32"/>
    </w:rPr>
  </w:style>
  <w:style w:type="paragraph" w:customStyle="1" w:styleId="sbSchedules">
    <w:name w:val="sb_Schedules"/>
    <w:basedOn w:val="sbFirstSection"/>
    <w:rsid w:val="00687E4D"/>
  </w:style>
  <w:style w:type="paragraph" w:customStyle="1" w:styleId="Tabletext1">
    <w:name w:val="Tabletext"/>
    <w:aliases w:val="tt"/>
    <w:basedOn w:val="OPCParaBase"/>
    <w:rsid w:val="00687E4D"/>
    <w:pPr>
      <w:spacing w:before="60" w:line="240" w:lineRule="atLeast"/>
    </w:pPr>
    <w:rPr>
      <w:sz w:val="20"/>
    </w:rPr>
  </w:style>
  <w:style w:type="paragraph" w:customStyle="1" w:styleId="ttAuthorisingAct">
    <w:name w:val="tt_Authorising_Act"/>
    <w:basedOn w:val="Normal"/>
    <w:rsid w:val="00687E4D"/>
    <w:pPr>
      <w:pBdr>
        <w:bottom w:val="single" w:sz="4" w:space="3" w:color="auto"/>
      </w:pBdr>
      <w:spacing w:before="480" w:after="0" w:line="260" w:lineRule="atLeast"/>
    </w:pPr>
    <w:rPr>
      <w:rFonts w:ascii="Arial" w:eastAsia="Calibri" w:hAnsi="Arial" w:cs="Arial"/>
      <w:i/>
      <w:sz w:val="28"/>
      <w:szCs w:val="28"/>
      <w:lang w:val="en-US" w:eastAsia="en-US"/>
    </w:rPr>
  </w:style>
  <w:style w:type="paragraph" w:customStyle="1" w:styleId="h2ContentsIntro">
    <w:name w:val="h2_Contents_Intro"/>
    <w:basedOn w:val="Normal"/>
    <w:rsid w:val="00687E4D"/>
    <w:pPr>
      <w:keepNext/>
      <w:keepLines/>
      <w:spacing w:before="360" w:after="0" w:line="240" w:lineRule="auto"/>
      <w:jc w:val="center"/>
      <w:outlineLvl w:val="1"/>
    </w:pPr>
    <w:rPr>
      <w:rFonts w:ascii="Arial" w:eastAsia="Times New Roman" w:hAnsi="Arial" w:cs="Arial"/>
      <w:b/>
      <w:kern w:val="32"/>
      <w:sz w:val="36"/>
    </w:rPr>
  </w:style>
  <w:style w:type="paragraph" w:customStyle="1" w:styleId="ttCrest">
    <w:name w:val="tt_Crest"/>
    <w:basedOn w:val="Normal"/>
    <w:rsid w:val="00687E4D"/>
    <w:pPr>
      <w:spacing w:after="300" w:line="240" w:lineRule="atLeast"/>
    </w:pPr>
    <w:rPr>
      <w:rFonts w:ascii="Arial" w:eastAsia="Calibri" w:hAnsi="Arial" w:cs="Times New Roman"/>
      <w:szCs w:val="20"/>
      <w:lang w:eastAsia="en-US"/>
    </w:rPr>
  </w:style>
  <w:style w:type="paragraph" w:customStyle="1" w:styleId="ttDraftstrip">
    <w:name w:val="tt_Draft_strip"/>
    <w:basedOn w:val="Normal"/>
    <w:rsid w:val="00687E4D"/>
    <w:pPr>
      <w:shd w:val="clear" w:color="auto" w:fill="99CCFF"/>
      <w:tabs>
        <w:tab w:val="center" w:pos="4253"/>
        <w:tab w:val="right" w:pos="8505"/>
      </w:tabs>
      <w:spacing w:before="400" w:after="300" w:line="260" w:lineRule="atLeast"/>
    </w:pPr>
    <w:rPr>
      <w:rFonts w:ascii="Arial" w:eastAsia="Calibri" w:hAnsi="Arial" w:cs="Arial"/>
      <w:b/>
      <w:sz w:val="32"/>
      <w:szCs w:val="32"/>
      <w:lang w:eastAsia="en-US"/>
    </w:rPr>
  </w:style>
  <w:style w:type="paragraph" w:customStyle="1" w:styleId="ttFooter">
    <w:name w:val="tt_Footer"/>
    <w:basedOn w:val="Normal"/>
    <w:rsid w:val="00687E4D"/>
    <w:pPr>
      <w:tabs>
        <w:tab w:val="center" w:pos="4153"/>
        <w:tab w:val="right" w:pos="8363"/>
      </w:tabs>
      <w:spacing w:before="20" w:after="40" w:line="260" w:lineRule="atLeast"/>
      <w:jc w:val="center"/>
    </w:pPr>
    <w:rPr>
      <w:rFonts w:ascii="Arial" w:eastAsia="Calibri" w:hAnsi="Arial" w:cs="Times New Roman"/>
      <w:i/>
      <w:sz w:val="18"/>
      <w:szCs w:val="20"/>
      <w:lang w:eastAsia="en-US"/>
    </w:rPr>
  </w:style>
  <w:style w:type="paragraph" w:customStyle="1" w:styleId="ttFooterdraft">
    <w:name w:val="tt_Footer_draft"/>
    <w:basedOn w:val="Normal"/>
    <w:rsid w:val="00687E4D"/>
    <w:pPr>
      <w:tabs>
        <w:tab w:val="center" w:pos="4253"/>
        <w:tab w:val="right" w:pos="8505"/>
      </w:tabs>
      <w:spacing w:before="100" w:after="0" w:line="260" w:lineRule="atLeast"/>
      <w:jc w:val="both"/>
    </w:pPr>
    <w:rPr>
      <w:rFonts w:ascii="Arial" w:eastAsia="Calibri" w:hAnsi="Arial" w:cs="Times New Roman"/>
      <w:b/>
      <w:sz w:val="40"/>
      <w:szCs w:val="20"/>
      <w:lang w:eastAsia="en-US"/>
    </w:rPr>
  </w:style>
  <w:style w:type="paragraph" w:customStyle="1" w:styleId="ttHeader">
    <w:name w:val="tt_Header"/>
    <w:basedOn w:val="Normal"/>
    <w:link w:val="ttHeaderCharChar"/>
    <w:rsid w:val="00687E4D"/>
    <w:pPr>
      <w:pBdr>
        <w:bottom w:val="single" w:sz="4" w:space="1" w:color="auto"/>
      </w:pBdr>
      <w:tabs>
        <w:tab w:val="left" w:pos="1985"/>
      </w:tabs>
      <w:spacing w:after="0" w:line="260" w:lineRule="atLeast"/>
      <w:ind w:left="1985" w:hanging="1985"/>
    </w:pPr>
    <w:rPr>
      <w:rFonts w:ascii="Arial" w:eastAsia="Calibri" w:hAnsi="Arial" w:cs="Times New Roman"/>
      <w:b/>
      <w:noProof/>
      <w:szCs w:val="20"/>
      <w:lang w:eastAsia="en-US"/>
    </w:rPr>
  </w:style>
  <w:style w:type="character" w:customStyle="1" w:styleId="ttHeaderCharChar">
    <w:name w:val="tt_Header Char Char"/>
    <w:basedOn w:val="DefaultParagraphFont"/>
    <w:link w:val="ttHeader"/>
    <w:rsid w:val="00687E4D"/>
    <w:rPr>
      <w:rFonts w:ascii="Arial" w:eastAsia="Calibri" w:hAnsi="Arial" w:cs="Times New Roman"/>
      <w:b/>
      <w:noProof/>
      <w:szCs w:val="20"/>
      <w:lang w:eastAsia="en-US"/>
    </w:rPr>
  </w:style>
  <w:style w:type="paragraph" w:customStyle="1" w:styleId="ttheaderDivref">
    <w:name w:val="tt_header_Div_ref"/>
    <w:basedOn w:val="ttHeader"/>
    <w:rsid w:val="00687E4D"/>
    <w:rPr>
      <w:sz w:val="20"/>
    </w:rPr>
  </w:style>
  <w:style w:type="paragraph" w:customStyle="1" w:styleId="ttheaderpage1">
    <w:name w:val="tt_header_page_1"/>
    <w:basedOn w:val="Normal"/>
    <w:rsid w:val="00687E4D"/>
    <w:pPr>
      <w:spacing w:after="0" w:line="260" w:lineRule="atLeast"/>
      <w:jc w:val="both"/>
    </w:pPr>
    <w:rPr>
      <w:rFonts w:eastAsia="Calibri" w:cs="Times New Roman"/>
      <w:szCs w:val="20"/>
      <w:lang w:eastAsia="en-US"/>
    </w:rPr>
  </w:style>
  <w:style w:type="paragraph" w:customStyle="1" w:styleId="ttheaderPartref">
    <w:name w:val="tt_header_Part_ref"/>
    <w:basedOn w:val="ttHeader"/>
    <w:rsid w:val="00687E4D"/>
  </w:style>
  <w:style w:type="paragraph" w:customStyle="1" w:styleId="ttheaderSectionref">
    <w:name w:val="tt_header_Section_ref"/>
    <w:basedOn w:val="ttHeader"/>
    <w:link w:val="ttheaderSectionrefChar"/>
    <w:rsid w:val="00687E4D"/>
  </w:style>
  <w:style w:type="character" w:customStyle="1" w:styleId="ttheaderSectionrefChar">
    <w:name w:val="tt_header_Section_ref Char"/>
    <w:basedOn w:val="ttHeaderCharChar"/>
    <w:link w:val="ttheaderSectionref"/>
    <w:rsid w:val="00687E4D"/>
    <w:rPr>
      <w:rFonts w:ascii="Arial" w:eastAsia="Calibri" w:hAnsi="Arial" w:cs="Times New Roman"/>
      <w:b/>
      <w:noProof/>
      <w:szCs w:val="20"/>
      <w:lang w:eastAsia="en-US"/>
    </w:rPr>
  </w:style>
  <w:style w:type="paragraph" w:customStyle="1" w:styleId="ttMakingWords">
    <w:name w:val="tt_Making_Words"/>
    <w:basedOn w:val="Normal"/>
    <w:rsid w:val="00687E4D"/>
    <w:pPr>
      <w:spacing w:before="360" w:after="0" w:line="260" w:lineRule="atLeast"/>
      <w:jc w:val="both"/>
    </w:pPr>
    <w:rPr>
      <w:rFonts w:eastAsia="Calibri" w:cs="Times New Roman"/>
      <w:szCs w:val="20"/>
      <w:lang w:eastAsia="en-US"/>
    </w:rPr>
  </w:style>
  <w:style w:type="paragraph" w:customStyle="1" w:styleId="ttParaMark">
    <w:name w:val="tt_Para_Mark"/>
    <w:basedOn w:val="Normal"/>
    <w:next w:val="sbFirstSection"/>
    <w:rsid w:val="00687E4D"/>
    <w:pPr>
      <w:spacing w:after="0" w:line="260" w:lineRule="atLeast"/>
    </w:pPr>
    <w:rPr>
      <w:rFonts w:eastAsia="Calibri" w:cs="Times New Roman"/>
      <w:sz w:val="16"/>
      <w:szCs w:val="20"/>
      <w:lang w:eastAsia="en-US"/>
    </w:rPr>
  </w:style>
  <w:style w:type="paragraph" w:customStyle="1" w:styleId="ttSigDate">
    <w:name w:val="tt_Sig_Date"/>
    <w:basedOn w:val="Normal"/>
    <w:rsid w:val="00687E4D"/>
    <w:pPr>
      <w:tabs>
        <w:tab w:val="left" w:pos="2220"/>
      </w:tabs>
      <w:spacing w:before="300" w:after="1000" w:line="300" w:lineRule="atLeast"/>
    </w:pPr>
    <w:rPr>
      <w:rFonts w:eastAsia="Calibri" w:cs="Times New Roman"/>
      <w:szCs w:val="20"/>
      <w:lang w:eastAsia="en-US"/>
    </w:rPr>
  </w:style>
  <w:style w:type="paragraph" w:customStyle="1" w:styleId="ttSigName">
    <w:name w:val="tt_Sig_Name"/>
    <w:basedOn w:val="Normal"/>
    <w:rsid w:val="00687E4D"/>
    <w:pPr>
      <w:tabs>
        <w:tab w:val="left" w:pos="3969"/>
      </w:tabs>
      <w:spacing w:before="1000" w:after="120" w:line="260" w:lineRule="atLeast"/>
    </w:pPr>
    <w:rPr>
      <w:rFonts w:eastAsia="Calibri" w:cs="Times New Roman"/>
      <w:szCs w:val="20"/>
      <w:lang w:eastAsia="en-US"/>
    </w:rPr>
  </w:style>
  <w:style w:type="paragraph" w:customStyle="1" w:styleId="ttSigPosition">
    <w:name w:val="tt_Sig_Position"/>
    <w:basedOn w:val="Normal"/>
    <w:link w:val="ttSigPositionChar"/>
    <w:rsid w:val="00687E4D"/>
    <w:pPr>
      <w:pBdr>
        <w:bottom w:val="single" w:sz="4" w:space="12" w:color="auto"/>
      </w:pBdr>
      <w:tabs>
        <w:tab w:val="left" w:pos="3119"/>
      </w:tabs>
      <w:spacing w:after="240" w:line="300" w:lineRule="atLeast"/>
    </w:pPr>
    <w:rPr>
      <w:rFonts w:eastAsia="Calibri" w:cs="Times New Roman"/>
      <w:szCs w:val="20"/>
      <w:lang w:eastAsia="en-US"/>
    </w:rPr>
  </w:style>
  <w:style w:type="character" w:customStyle="1" w:styleId="ttSigPositionChar">
    <w:name w:val="tt_Sig_Position Char"/>
    <w:basedOn w:val="DefaultParagraphFont"/>
    <w:link w:val="ttSigPosition"/>
    <w:rsid w:val="00687E4D"/>
    <w:rPr>
      <w:rFonts w:ascii="Times New Roman" w:eastAsia="Calibri" w:hAnsi="Times New Roman" w:cs="Times New Roman"/>
      <w:szCs w:val="20"/>
      <w:lang w:eastAsia="en-US"/>
    </w:rPr>
  </w:style>
  <w:style w:type="paragraph" w:customStyle="1" w:styleId="ttTitleofInstrument">
    <w:name w:val="tt_Title_of_Instrument"/>
    <w:basedOn w:val="Normal"/>
    <w:rsid w:val="00687E4D"/>
    <w:pPr>
      <w:spacing w:before="200" w:after="0" w:line="260" w:lineRule="atLeast"/>
    </w:pPr>
    <w:rPr>
      <w:rFonts w:ascii="Arial" w:eastAsia="Calibri" w:hAnsi="Arial" w:cs="Times New Roman"/>
      <w:b/>
      <w:sz w:val="32"/>
      <w:szCs w:val="20"/>
      <w:lang w:eastAsia="en-US"/>
    </w:rPr>
  </w:style>
  <w:style w:type="paragraph" w:customStyle="1" w:styleId="ttExplainTemplate">
    <w:name w:val="tt_Explain_Template"/>
    <w:basedOn w:val="nDrafterComment"/>
    <w:rsid w:val="00687E4D"/>
    <w:pPr>
      <w:tabs>
        <w:tab w:val="left" w:pos="737"/>
        <w:tab w:val="left" w:pos="1191"/>
        <w:tab w:val="left" w:pos="1644"/>
      </w:tabs>
    </w:pPr>
  </w:style>
  <w:style w:type="paragraph" w:customStyle="1" w:styleId="ttContents">
    <w:name w:val="tt_Contents"/>
    <w:basedOn w:val="Normal"/>
    <w:rsid w:val="00687E4D"/>
    <w:pPr>
      <w:keepNext/>
      <w:keepLines/>
      <w:spacing w:before="360" w:after="0" w:line="240" w:lineRule="auto"/>
      <w:jc w:val="center"/>
      <w:outlineLvl w:val="1"/>
    </w:pPr>
    <w:rPr>
      <w:rFonts w:ascii="Arial" w:eastAsia="Times New Roman" w:hAnsi="Arial" w:cs="Arial"/>
      <w:b/>
      <w:kern w:val="32"/>
      <w:sz w:val="36"/>
    </w:rPr>
  </w:style>
  <w:style w:type="paragraph" w:customStyle="1" w:styleId="BoxText">
    <w:name w:val="BoxText"/>
    <w:aliases w:val="bt"/>
    <w:basedOn w:val="OPCParaBase"/>
    <w:rsid w:val="00687E4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TableHeading0">
    <w:name w:val="TableHeading"/>
    <w:aliases w:val="th"/>
    <w:basedOn w:val="OPCParaBase"/>
    <w:next w:val="Tabletext1"/>
    <w:rsid w:val="00687E4D"/>
    <w:pPr>
      <w:keepNext/>
      <w:spacing w:before="60" w:line="240" w:lineRule="atLeast"/>
    </w:pPr>
    <w:rPr>
      <w:b/>
      <w:sz w:val="20"/>
    </w:rPr>
  </w:style>
  <w:style w:type="paragraph" w:customStyle="1" w:styleId="bbaseheading">
    <w:name w:val="b_base_heading"/>
    <w:rsid w:val="00687E4D"/>
    <w:pPr>
      <w:keepNext/>
      <w:keepLines/>
      <w:spacing w:before="360" w:after="0" w:line="240" w:lineRule="auto"/>
      <w:ind w:left="2410" w:hanging="2410"/>
    </w:pPr>
    <w:rPr>
      <w:rFonts w:ascii="Arial" w:eastAsia="Times New Roman" w:hAnsi="Arial" w:cs="Arial"/>
      <w:b/>
      <w:bCs/>
      <w:kern w:val="32"/>
      <w:sz w:val="24"/>
      <w:szCs w:val="32"/>
    </w:rPr>
  </w:style>
  <w:style w:type="paragraph" w:customStyle="1" w:styleId="bbasepara">
    <w:name w:val="b_base_para"/>
    <w:rsid w:val="00687E4D"/>
    <w:pPr>
      <w:keepLines/>
      <w:spacing w:after="80" w:line="240" w:lineRule="auto"/>
    </w:pPr>
    <w:rPr>
      <w:rFonts w:ascii="Times New Roman" w:eastAsia="Times New Roman" w:hAnsi="Times New Roman" w:cs="Arial"/>
      <w:iCs/>
      <w:sz w:val="24"/>
    </w:rPr>
  </w:style>
  <w:style w:type="paragraph" w:customStyle="1" w:styleId="bbaseTOC">
    <w:name w:val="b_base_TOC"/>
    <w:rsid w:val="00687E4D"/>
    <w:pPr>
      <w:tabs>
        <w:tab w:val="right" w:pos="8278"/>
      </w:tabs>
      <w:spacing w:after="0" w:line="240" w:lineRule="auto"/>
      <w:ind w:left="2126" w:hanging="2126"/>
    </w:pPr>
    <w:rPr>
      <w:rFonts w:ascii="Arial" w:eastAsia="Times New Roman" w:hAnsi="Arial" w:cs="Arial"/>
      <w:noProof/>
      <w:sz w:val="24"/>
    </w:rPr>
  </w:style>
  <w:style w:type="paragraph" w:customStyle="1" w:styleId="OPCParaBase">
    <w:name w:val="OPCParaBase"/>
    <w:rsid w:val="00687E4D"/>
    <w:pPr>
      <w:spacing w:after="0" w:line="260" w:lineRule="atLeast"/>
    </w:pPr>
    <w:rPr>
      <w:rFonts w:ascii="Times New Roman" w:eastAsia="Times New Roman" w:hAnsi="Times New Roman" w:cs="Times New Roman"/>
      <w:szCs w:val="20"/>
    </w:rPr>
  </w:style>
  <w:style w:type="paragraph" w:customStyle="1" w:styleId="h1Chap">
    <w:name w:val="h1_Chap"/>
    <w:aliases w:val="ActHead 1"/>
    <w:basedOn w:val="OPCParaBase"/>
    <w:next w:val="Normal"/>
    <w:rsid w:val="00687E4D"/>
    <w:pPr>
      <w:keepNext/>
      <w:keepLines/>
      <w:spacing w:line="240" w:lineRule="auto"/>
      <w:ind w:left="1134" w:hanging="1134"/>
      <w:outlineLvl w:val="0"/>
    </w:pPr>
    <w:rPr>
      <w:b/>
      <w:kern w:val="28"/>
      <w:sz w:val="36"/>
    </w:rPr>
  </w:style>
  <w:style w:type="paragraph" w:customStyle="1" w:styleId="h2Part">
    <w:name w:val="h2_Part"/>
    <w:aliases w:val="ActHead 2"/>
    <w:basedOn w:val="OPCParaBase"/>
    <w:next w:val="Normal"/>
    <w:rsid w:val="00687E4D"/>
    <w:pPr>
      <w:keepNext/>
      <w:keepLines/>
      <w:spacing w:before="280" w:line="240" w:lineRule="auto"/>
      <w:ind w:left="1134" w:hanging="1134"/>
      <w:outlineLvl w:val="1"/>
    </w:pPr>
    <w:rPr>
      <w:b/>
      <w:kern w:val="28"/>
      <w:sz w:val="32"/>
    </w:rPr>
  </w:style>
  <w:style w:type="paragraph" w:customStyle="1" w:styleId="h3Div">
    <w:name w:val="h3_Div"/>
    <w:aliases w:val="ActHead 3"/>
    <w:basedOn w:val="OPCParaBase"/>
    <w:next w:val="Normal"/>
    <w:rsid w:val="00687E4D"/>
    <w:pPr>
      <w:keepNext/>
      <w:keepLines/>
      <w:spacing w:before="240" w:line="240" w:lineRule="auto"/>
      <w:ind w:left="1134" w:hanging="1134"/>
      <w:outlineLvl w:val="2"/>
    </w:pPr>
    <w:rPr>
      <w:b/>
      <w:kern w:val="28"/>
      <w:sz w:val="28"/>
    </w:rPr>
  </w:style>
  <w:style w:type="paragraph" w:customStyle="1" w:styleId="h4Subdiv">
    <w:name w:val="h4_Subdiv"/>
    <w:aliases w:val="ActHead 4"/>
    <w:basedOn w:val="OPCParaBase"/>
    <w:next w:val="Normal"/>
    <w:rsid w:val="00687E4D"/>
    <w:pPr>
      <w:keepNext/>
      <w:keepLines/>
      <w:spacing w:before="220" w:line="240" w:lineRule="auto"/>
      <w:ind w:left="1134" w:hanging="1134"/>
      <w:outlineLvl w:val="3"/>
    </w:pPr>
    <w:rPr>
      <w:b/>
      <w:kern w:val="28"/>
      <w:sz w:val="26"/>
    </w:rPr>
  </w:style>
  <w:style w:type="paragraph" w:customStyle="1" w:styleId="h5Section">
    <w:name w:val="h5_Section"/>
    <w:aliases w:val="ActHead 5"/>
    <w:basedOn w:val="OPCParaBase"/>
    <w:next w:val="Normal"/>
    <w:rsid w:val="00687E4D"/>
    <w:pPr>
      <w:keepNext/>
      <w:keepLines/>
      <w:spacing w:before="280" w:line="240" w:lineRule="auto"/>
      <w:ind w:left="1134" w:hanging="1134"/>
      <w:outlineLvl w:val="4"/>
    </w:pPr>
    <w:rPr>
      <w:b/>
      <w:kern w:val="28"/>
      <w:sz w:val="24"/>
    </w:rPr>
  </w:style>
  <w:style w:type="paragraph" w:customStyle="1" w:styleId="ActHead6">
    <w:name w:val="ActHead 6"/>
    <w:basedOn w:val="OPCParaBase"/>
    <w:next w:val="Normal"/>
    <w:rsid w:val="00687E4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Normal"/>
    <w:rsid w:val="00687E4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Normal"/>
    <w:rsid w:val="00687E4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Normal"/>
    <w:rsid w:val="00687E4D"/>
    <w:pPr>
      <w:keepNext/>
      <w:keepLines/>
      <w:spacing w:before="280" w:line="240" w:lineRule="auto"/>
      <w:ind w:left="1134" w:hanging="1134"/>
      <w:outlineLvl w:val="8"/>
    </w:pPr>
    <w:rPr>
      <w:b/>
      <w:i/>
      <w:kern w:val="28"/>
      <w:sz w:val="28"/>
    </w:rPr>
  </w:style>
  <w:style w:type="paragraph" w:customStyle="1" w:styleId="ShortT">
    <w:name w:val="ShortT"/>
    <w:basedOn w:val="OPCParaBase"/>
    <w:next w:val="Normal"/>
    <w:rsid w:val="00687E4D"/>
    <w:pPr>
      <w:spacing w:line="240" w:lineRule="auto"/>
    </w:pPr>
    <w:rPr>
      <w:b/>
      <w:sz w:val="40"/>
    </w:rPr>
  </w:style>
  <w:style w:type="paragraph" w:customStyle="1" w:styleId="Actno">
    <w:name w:val="Actno"/>
    <w:basedOn w:val="ShortT"/>
    <w:next w:val="Normal"/>
    <w:rsid w:val="00687E4D"/>
  </w:style>
  <w:style w:type="paragraph" w:customStyle="1" w:styleId="Blocks">
    <w:name w:val="Blocks"/>
    <w:aliases w:val="bb"/>
    <w:basedOn w:val="OPCParaBase"/>
    <w:rsid w:val="00687E4D"/>
    <w:pPr>
      <w:spacing w:line="240" w:lineRule="auto"/>
    </w:pPr>
    <w:rPr>
      <w:sz w:val="24"/>
    </w:rPr>
  </w:style>
  <w:style w:type="paragraph" w:customStyle="1" w:styleId="BoxHeadBold">
    <w:name w:val="BoxHeadBold"/>
    <w:aliases w:val="bhb"/>
    <w:basedOn w:val="BoxText"/>
    <w:next w:val="BoxText"/>
    <w:rsid w:val="00687E4D"/>
    <w:rPr>
      <w:b/>
    </w:rPr>
  </w:style>
  <w:style w:type="paragraph" w:customStyle="1" w:styleId="BoxHeadItalic">
    <w:name w:val="BoxHeadItalic"/>
    <w:aliases w:val="bhi"/>
    <w:basedOn w:val="BoxText"/>
    <w:next w:val="Normal"/>
    <w:rsid w:val="00687E4D"/>
    <w:rPr>
      <w:i/>
    </w:rPr>
  </w:style>
  <w:style w:type="paragraph" w:customStyle="1" w:styleId="BoxList">
    <w:name w:val="BoxList"/>
    <w:aliases w:val="bl"/>
    <w:basedOn w:val="BoxText"/>
    <w:rsid w:val="00687E4D"/>
    <w:pPr>
      <w:ind w:left="1559" w:hanging="425"/>
    </w:pPr>
  </w:style>
  <w:style w:type="paragraph" w:customStyle="1" w:styleId="BoxNote">
    <w:name w:val="BoxNote"/>
    <w:aliases w:val="bn"/>
    <w:basedOn w:val="BoxText"/>
    <w:rsid w:val="00687E4D"/>
    <w:pPr>
      <w:tabs>
        <w:tab w:val="left" w:pos="1985"/>
      </w:tabs>
      <w:spacing w:before="122" w:line="198" w:lineRule="exact"/>
      <w:ind w:left="2948" w:hanging="1814"/>
    </w:pPr>
    <w:rPr>
      <w:sz w:val="18"/>
    </w:rPr>
  </w:style>
  <w:style w:type="paragraph" w:customStyle="1" w:styleId="BoxPara">
    <w:name w:val="BoxPara"/>
    <w:aliases w:val="bp"/>
    <w:basedOn w:val="BoxText"/>
    <w:rsid w:val="00687E4D"/>
    <w:pPr>
      <w:tabs>
        <w:tab w:val="right" w:pos="2268"/>
      </w:tabs>
      <w:ind w:left="2552" w:hanging="1418"/>
    </w:pPr>
  </w:style>
  <w:style w:type="paragraph" w:customStyle="1" w:styleId="BoxStep">
    <w:name w:val="BoxStep"/>
    <w:aliases w:val="bs"/>
    <w:basedOn w:val="BoxText"/>
    <w:rsid w:val="00687E4D"/>
    <w:pPr>
      <w:ind w:left="1985" w:hanging="851"/>
    </w:pPr>
  </w:style>
  <w:style w:type="table" w:customStyle="1" w:styleId="CFlag">
    <w:name w:val="CFlag"/>
    <w:basedOn w:val="TableNormal"/>
    <w:uiPriority w:val="99"/>
    <w:rsid w:val="00687E4D"/>
    <w:pPr>
      <w:spacing w:after="0" w:line="240" w:lineRule="auto"/>
    </w:pPr>
    <w:rPr>
      <w:rFonts w:ascii="Times New Roman" w:eastAsia="Times New Roman" w:hAnsi="Times New Roman" w:cs="Times New Roman"/>
      <w:sz w:val="20"/>
      <w:szCs w:val="20"/>
    </w:rPr>
    <w:tblPr/>
  </w:style>
  <w:style w:type="character" w:customStyle="1" w:styleId="OPCCharBase">
    <w:name w:val="OPCCharBase"/>
    <w:uiPriority w:val="1"/>
    <w:rsid w:val="00687E4D"/>
  </w:style>
  <w:style w:type="character" w:customStyle="1" w:styleId="CharAmPartNo">
    <w:name w:val="CharAmPartNo"/>
    <w:basedOn w:val="OPCCharBase"/>
    <w:uiPriority w:val="1"/>
    <w:rsid w:val="00687E4D"/>
  </w:style>
  <w:style w:type="character" w:customStyle="1" w:styleId="CharAmPartText">
    <w:name w:val="CharAmPartText"/>
    <w:basedOn w:val="OPCCharBase"/>
    <w:uiPriority w:val="1"/>
    <w:rsid w:val="00687E4D"/>
  </w:style>
  <w:style w:type="character" w:customStyle="1" w:styleId="xxx">
    <w:name w:val="xxx"/>
    <w:rsid w:val="00D50BDD"/>
  </w:style>
  <w:style w:type="character" w:customStyle="1" w:styleId="CharAmSchText">
    <w:name w:val="CharAmSchText"/>
    <w:basedOn w:val="OPCCharBase"/>
    <w:rsid w:val="00687E4D"/>
  </w:style>
  <w:style w:type="character" w:customStyle="1" w:styleId="CharBoldItalic">
    <w:name w:val="CharBoldItalic"/>
    <w:uiPriority w:val="1"/>
    <w:rsid w:val="00687E4D"/>
    <w:rPr>
      <w:b/>
      <w:i/>
    </w:rPr>
  </w:style>
  <w:style w:type="character" w:customStyle="1" w:styleId="CharChapNo">
    <w:name w:val="CharChapNo"/>
    <w:basedOn w:val="OPCCharBase"/>
    <w:rsid w:val="00687E4D"/>
  </w:style>
  <w:style w:type="character" w:customStyle="1" w:styleId="CharChapText">
    <w:name w:val="CharChapText"/>
    <w:basedOn w:val="OPCCharBase"/>
    <w:rsid w:val="00687E4D"/>
  </w:style>
  <w:style w:type="character" w:customStyle="1" w:styleId="CharDivNo">
    <w:name w:val="CharDivNo"/>
    <w:basedOn w:val="OPCCharBase"/>
    <w:rsid w:val="00687E4D"/>
  </w:style>
  <w:style w:type="character" w:customStyle="1" w:styleId="CharDivText">
    <w:name w:val="CharDivText"/>
    <w:basedOn w:val="OPCCharBase"/>
    <w:rsid w:val="00687E4D"/>
  </w:style>
  <w:style w:type="character" w:customStyle="1" w:styleId="CharItalic">
    <w:name w:val="CharItalic"/>
    <w:uiPriority w:val="1"/>
    <w:rsid w:val="00687E4D"/>
    <w:rPr>
      <w:i/>
    </w:rPr>
  </w:style>
  <w:style w:type="character" w:customStyle="1" w:styleId="CharPartNo">
    <w:name w:val="CharPartNo"/>
    <w:basedOn w:val="OPCCharBase"/>
    <w:rsid w:val="00687E4D"/>
  </w:style>
  <w:style w:type="character" w:customStyle="1" w:styleId="CharPartText">
    <w:name w:val="CharPartText"/>
    <w:basedOn w:val="OPCCharBase"/>
    <w:rsid w:val="00687E4D"/>
  </w:style>
  <w:style w:type="character" w:customStyle="1" w:styleId="CharSectno0">
    <w:name w:val="CharSectno"/>
    <w:basedOn w:val="OPCCharBase"/>
    <w:rsid w:val="00687E4D"/>
  </w:style>
  <w:style w:type="character" w:customStyle="1" w:styleId="CharSubdNo">
    <w:name w:val="CharSubdNo"/>
    <w:basedOn w:val="OPCCharBase"/>
    <w:uiPriority w:val="1"/>
    <w:rsid w:val="00687E4D"/>
  </w:style>
  <w:style w:type="character" w:customStyle="1" w:styleId="CharSubdText">
    <w:name w:val="CharSubdText"/>
    <w:basedOn w:val="OPCCharBase"/>
    <w:uiPriority w:val="1"/>
    <w:rsid w:val="00687E4D"/>
  </w:style>
  <w:style w:type="character" w:customStyle="1" w:styleId="CharSubPartNoCASA">
    <w:name w:val="CharSubPartNo(CASA)"/>
    <w:basedOn w:val="OPCCharBase"/>
    <w:uiPriority w:val="1"/>
    <w:rsid w:val="00687E4D"/>
  </w:style>
  <w:style w:type="character" w:customStyle="1" w:styleId="CharSubPartTextCASA">
    <w:name w:val="CharSubPartText(CASA)"/>
    <w:basedOn w:val="OPCCharBase"/>
    <w:uiPriority w:val="1"/>
    <w:rsid w:val="00687E4D"/>
  </w:style>
  <w:style w:type="paragraph" w:customStyle="1" w:styleId="CompiledActNo">
    <w:name w:val="CompiledActNo"/>
    <w:basedOn w:val="OPCParaBase"/>
    <w:next w:val="Normal"/>
    <w:rsid w:val="00687E4D"/>
    <w:rPr>
      <w:b/>
      <w:sz w:val="24"/>
      <w:szCs w:val="24"/>
    </w:rPr>
  </w:style>
  <w:style w:type="paragraph" w:customStyle="1" w:styleId="CompiledMadeUnder">
    <w:name w:val="CompiledMadeUnder"/>
    <w:basedOn w:val="OPCParaBase"/>
    <w:next w:val="Normal"/>
    <w:rsid w:val="00687E4D"/>
    <w:rPr>
      <w:i/>
      <w:sz w:val="24"/>
      <w:szCs w:val="24"/>
    </w:rPr>
  </w:style>
  <w:style w:type="paragraph" w:customStyle="1" w:styleId="CTA-">
    <w:name w:val="CTA -"/>
    <w:basedOn w:val="OPCParaBase"/>
    <w:rsid w:val="00687E4D"/>
    <w:pPr>
      <w:spacing w:before="60" w:line="240" w:lineRule="atLeast"/>
      <w:ind w:left="85" w:hanging="85"/>
    </w:pPr>
    <w:rPr>
      <w:sz w:val="20"/>
    </w:rPr>
  </w:style>
  <w:style w:type="paragraph" w:customStyle="1" w:styleId="CTA--">
    <w:name w:val="CTA --"/>
    <w:basedOn w:val="OPCParaBase"/>
    <w:next w:val="Normal"/>
    <w:rsid w:val="00687E4D"/>
    <w:pPr>
      <w:spacing w:before="60" w:line="240" w:lineRule="atLeast"/>
      <w:ind w:left="142" w:hanging="142"/>
    </w:pPr>
    <w:rPr>
      <w:sz w:val="20"/>
    </w:rPr>
  </w:style>
  <w:style w:type="paragraph" w:customStyle="1" w:styleId="CTA---">
    <w:name w:val="CTA ---"/>
    <w:basedOn w:val="OPCParaBase"/>
    <w:next w:val="Normal"/>
    <w:rsid w:val="00687E4D"/>
    <w:pPr>
      <w:spacing w:before="60" w:line="240" w:lineRule="atLeast"/>
      <w:ind w:left="198" w:hanging="198"/>
    </w:pPr>
    <w:rPr>
      <w:sz w:val="20"/>
    </w:rPr>
  </w:style>
  <w:style w:type="paragraph" w:customStyle="1" w:styleId="CTA----">
    <w:name w:val="CTA ----"/>
    <w:basedOn w:val="OPCParaBase"/>
    <w:next w:val="Normal"/>
    <w:rsid w:val="00687E4D"/>
    <w:pPr>
      <w:spacing w:before="60" w:line="240" w:lineRule="atLeast"/>
      <w:ind w:left="255" w:hanging="255"/>
    </w:pPr>
    <w:rPr>
      <w:sz w:val="20"/>
    </w:rPr>
  </w:style>
  <w:style w:type="paragraph" w:customStyle="1" w:styleId="CTA1a">
    <w:name w:val="CTA 1(a)"/>
    <w:basedOn w:val="OPCParaBase"/>
    <w:rsid w:val="00687E4D"/>
    <w:pPr>
      <w:tabs>
        <w:tab w:val="right" w:pos="414"/>
      </w:tabs>
      <w:spacing w:before="40" w:line="240" w:lineRule="atLeast"/>
      <w:ind w:left="675" w:hanging="675"/>
    </w:pPr>
    <w:rPr>
      <w:sz w:val="20"/>
    </w:rPr>
  </w:style>
  <w:style w:type="paragraph" w:customStyle="1" w:styleId="CTA1ai">
    <w:name w:val="CTA 1(a)(i)"/>
    <w:basedOn w:val="OPCParaBase"/>
    <w:rsid w:val="00687E4D"/>
    <w:pPr>
      <w:tabs>
        <w:tab w:val="right" w:pos="1004"/>
      </w:tabs>
      <w:spacing w:before="40" w:line="240" w:lineRule="atLeast"/>
      <w:ind w:left="1253" w:hanging="1253"/>
    </w:pPr>
    <w:rPr>
      <w:sz w:val="20"/>
    </w:rPr>
  </w:style>
  <w:style w:type="paragraph" w:customStyle="1" w:styleId="CTA2a">
    <w:name w:val="CTA 2(a)"/>
    <w:basedOn w:val="OPCParaBase"/>
    <w:rsid w:val="00687E4D"/>
    <w:pPr>
      <w:tabs>
        <w:tab w:val="right" w:pos="482"/>
      </w:tabs>
      <w:spacing w:before="40" w:line="240" w:lineRule="atLeast"/>
      <w:ind w:left="748" w:hanging="748"/>
    </w:pPr>
    <w:rPr>
      <w:sz w:val="20"/>
    </w:rPr>
  </w:style>
  <w:style w:type="paragraph" w:customStyle="1" w:styleId="CTA2ai">
    <w:name w:val="CTA 2(a)(i)"/>
    <w:basedOn w:val="OPCParaBase"/>
    <w:rsid w:val="00687E4D"/>
    <w:pPr>
      <w:tabs>
        <w:tab w:val="right" w:pos="1089"/>
      </w:tabs>
      <w:spacing w:before="40" w:line="240" w:lineRule="atLeast"/>
      <w:ind w:left="1327" w:hanging="1327"/>
    </w:pPr>
    <w:rPr>
      <w:sz w:val="20"/>
    </w:rPr>
  </w:style>
  <w:style w:type="paragraph" w:customStyle="1" w:styleId="CTA3a">
    <w:name w:val="CTA 3(a)"/>
    <w:basedOn w:val="OPCParaBase"/>
    <w:rsid w:val="00687E4D"/>
    <w:pPr>
      <w:tabs>
        <w:tab w:val="right" w:pos="556"/>
      </w:tabs>
      <w:spacing w:before="40" w:line="240" w:lineRule="atLeast"/>
      <w:ind w:left="805" w:hanging="805"/>
    </w:pPr>
    <w:rPr>
      <w:sz w:val="20"/>
    </w:rPr>
  </w:style>
  <w:style w:type="paragraph" w:customStyle="1" w:styleId="CTA3ai">
    <w:name w:val="CTA 3(a)(i)"/>
    <w:basedOn w:val="OPCParaBase"/>
    <w:rsid w:val="00687E4D"/>
    <w:pPr>
      <w:tabs>
        <w:tab w:val="right" w:pos="1140"/>
      </w:tabs>
      <w:spacing w:before="40" w:line="240" w:lineRule="atLeast"/>
      <w:ind w:left="1361" w:hanging="1361"/>
    </w:pPr>
    <w:rPr>
      <w:sz w:val="20"/>
    </w:rPr>
  </w:style>
  <w:style w:type="paragraph" w:customStyle="1" w:styleId="CTA4a">
    <w:name w:val="CTA 4(a)"/>
    <w:basedOn w:val="OPCParaBase"/>
    <w:rsid w:val="00687E4D"/>
    <w:pPr>
      <w:tabs>
        <w:tab w:val="right" w:pos="624"/>
      </w:tabs>
      <w:spacing w:before="40" w:line="240" w:lineRule="atLeast"/>
      <w:ind w:left="873" w:hanging="873"/>
    </w:pPr>
    <w:rPr>
      <w:sz w:val="20"/>
    </w:rPr>
  </w:style>
  <w:style w:type="paragraph" w:customStyle="1" w:styleId="CTA4ai">
    <w:name w:val="CTA 4(a)(i)"/>
    <w:basedOn w:val="OPCParaBase"/>
    <w:rsid w:val="00687E4D"/>
    <w:pPr>
      <w:tabs>
        <w:tab w:val="right" w:pos="1213"/>
      </w:tabs>
      <w:spacing w:before="40" w:line="240" w:lineRule="atLeast"/>
      <w:ind w:left="1452" w:hanging="1452"/>
    </w:pPr>
    <w:rPr>
      <w:sz w:val="20"/>
    </w:rPr>
  </w:style>
  <w:style w:type="paragraph" w:customStyle="1" w:styleId="CTACAPS">
    <w:name w:val="CTA CAPS"/>
    <w:basedOn w:val="OPCParaBase"/>
    <w:rsid w:val="00687E4D"/>
    <w:pPr>
      <w:spacing w:before="60" w:line="240" w:lineRule="atLeast"/>
    </w:pPr>
    <w:rPr>
      <w:sz w:val="20"/>
    </w:rPr>
  </w:style>
  <w:style w:type="paragraph" w:customStyle="1" w:styleId="CTAright">
    <w:name w:val="CTA right"/>
    <w:basedOn w:val="OPCParaBase"/>
    <w:rsid w:val="00687E4D"/>
    <w:pPr>
      <w:spacing w:before="60" w:line="240" w:lineRule="auto"/>
      <w:jc w:val="right"/>
    </w:pPr>
    <w:rPr>
      <w:sz w:val="20"/>
    </w:rPr>
  </w:style>
  <w:style w:type="paragraph" w:customStyle="1" w:styleId="tDefn">
    <w:name w:val="t_Defn"/>
    <w:aliases w:val="Definition"/>
    <w:basedOn w:val="OPCParaBase"/>
    <w:rsid w:val="00687E4D"/>
    <w:pPr>
      <w:spacing w:before="180" w:line="240" w:lineRule="auto"/>
      <w:ind w:left="1134"/>
    </w:pPr>
  </w:style>
  <w:style w:type="paragraph" w:customStyle="1" w:styleId="DivisionMigration">
    <w:name w:val="DivisionMigration"/>
    <w:aliases w:val="dm"/>
    <w:basedOn w:val="OPCParaBase"/>
    <w:next w:val="Normal"/>
    <w:rsid w:val="00687E4D"/>
    <w:pPr>
      <w:keepNext/>
      <w:keepLines/>
      <w:spacing w:before="240" w:line="240" w:lineRule="auto"/>
      <w:ind w:left="1134" w:hanging="1134"/>
    </w:pPr>
    <w:rPr>
      <w:b/>
      <w:sz w:val="28"/>
    </w:rPr>
  </w:style>
  <w:style w:type="paragraph" w:customStyle="1" w:styleId="EndNotespara">
    <w:name w:val="EndNotes(para)"/>
    <w:aliases w:val="eta"/>
    <w:basedOn w:val="OPCParaBase"/>
    <w:next w:val="Normal"/>
    <w:rsid w:val="00687E4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87E4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687E4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87E4D"/>
    <w:pPr>
      <w:tabs>
        <w:tab w:val="right" w:pos="1412"/>
      </w:tabs>
      <w:spacing w:before="60" w:line="240" w:lineRule="auto"/>
      <w:ind w:left="1525" w:hanging="1525"/>
    </w:pPr>
    <w:rPr>
      <w:sz w:val="20"/>
    </w:rPr>
  </w:style>
  <w:style w:type="paragraph" w:customStyle="1" w:styleId="ENotesHeading3">
    <w:name w:val="ENotesHeading 3"/>
    <w:aliases w:val="Enh3"/>
    <w:basedOn w:val="OPCParaBase"/>
    <w:next w:val="Normal"/>
    <w:rsid w:val="00687E4D"/>
    <w:pPr>
      <w:keepNext/>
      <w:spacing w:before="120" w:line="240" w:lineRule="auto"/>
      <w:outlineLvl w:val="4"/>
    </w:pPr>
    <w:rPr>
      <w:b/>
      <w:szCs w:val="24"/>
    </w:rPr>
  </w:style>
  <w:style w:type="paragraph" w:customStyle="1" w:styleId="ENotesText">
    <w:name w:val="ENotesText"/>
    <w:aliases w:val="Ent"/>
    <w:basedOn w:val="OPCParaBase"/>
    <w:next w:val="Normal"/>
    <w:rsid w:val="00687E4D"/>
    <w:pPr>
      <w:spacing w:before="120"/>
    </w:pPr>
  </w:style>
  <w:style w:type="paragraph" w:customStyle="1" w:styleId="ENoteTTi">
    <w:name w:val="ENoteTTi"/>
    <w:aliases w:val="entti"/>
    <w:basedOn w:val="OPCParaBase"/>
    <w:rsid w:val="00687E4D"/>
    <w:pPr>
      <w:keepNext/>
      <w:spacing w:before="60" w:line="240" w:lineRule="atLeast"/>
      <w:ind w:left="170"/>
    </w:pPr>
    <w:rPr>
      <w:sz w:val="16"/>
    </w:rPr>
  </w:style>
  <w:style w:type="paragraph" w:customStyle="1" w:styleId="ENoteTTIndentHeading">
    <w:name w:val="ENoteTTIndentHeading"/>
    <w:aliases w:val="enTTHi"/>
    <w:basedOn w:val="OPCParaBase"/>
    <w:rsid w:val="00687E4D"/>
    <w:pPr>
      <w:keepNext/>
      <w:spacing w:before="60" w:line="240" w:lineRule="atLeast"/>
      <w:ind w:left="170"/>
    </w:pPr>
    <w:rPr>
      <w:rFonts w:cs="Arial"/>
      <w:b/>
      <w:sz w:val="16"/>
      <w:szCs w:val="16"/>
    </w:rPr>
  </w:style>
  <w:style w:type="paragraph" w:customStyle="1" w:styleId="ENoteTTIndentHeadingSub">
    <w:name w:val="ENoteTTIndentHeadingSub"/>
    <w:aliases w:val="enTTHis"/>
    <w:basedOn w:val="OPCParaBase"/>
    <w:rsid w:val="00687E4D"/>
    <w:pPr>
      <w:keepNext/>
      <w:spacing w:before="60" w:line="240" w:lineRule="atLeast"/>
      <w:ind w:left="340"/>
    </w:pPr>
    <w:rPr>
      <w:b/>
      <w:sz w:val="16"/>
    </w:rPr>
  </w:style>
  <w:style w:type="paragraph" w:customStyle="1" w:styleId="ENoteTTiSub">
    <w:name w:val="ENoteTTiSub"/>
    <w:aliases w:val="enttis"/>
    <w:basedOn w:val="OPCParaBase"/>
    <w:rsid w:val="00687E4D"/>
    <w:pPr>
      <w:keepNext/>
      <w:spacing w:before="60" w:line="240" w:lineRule="atLeast"/>
      <w:ind w:left="340"/>
    </w:pPr>
    <w:rPr>
      <w:sz w:val="16"/>
    </w:rPr>
  </w:style>
  <w:style w:type="paragraph" w:customStyle="1" w:styleId="FileName">
    <w:name w:val="FileName"/>
    <w:basedOn w:val="Normal"/>
    <w:rsid w:val="00687E4D"/>
    <w:pPr>
      <w:spacing w:after="0" w:line="260" w:lineRule="atLeast"/>
    </w:pPr>
    <w:rPr>
      <w:rFonts w:eastAsia="Calibri" w:cs="Times New Roman"/>
      <w:szCs w:val="20"/>
      <w:lang w:eastAsia="en-US"/>
    </w:rPr>
  </w:style>
  <w:style w:type="paragraph" w:customStyle="1" w:styleId="Formula">
    <w:name w:val="Formula"/>
    <w:basedOn w:val="OPCParaBase"/>
    <w:rsid w:val="00687E4D"/>
    <w:pPr>
      <w:spacing w:line="240" w:lineRule="auto"/>
      <w:ind w:left="1134"/>
    </w:pPr>
    <w:rPr>
      <w:sz w:val="20"/>
    </w:rPr>
  </w:style>
  <w:style w:type="paragraph" w:customStyle="1" w:styleId="FreeForm">
    <w:name w:val="FreeForm"/>
    <w:rsid w:val="00687E4D"/>
    <w:pPr>
      <w:spacing w:after="0" w:line="240" w:lineRule="auto"/>
    </w:pPr>
    <w:rPr>
      <w:rFonts w:ascii="Arial" w:eastAsia="Calibri" w:hAnsi="Arial" w:cs="Times New Roman"/>
      <w:szCs w:val="20"/>
      <w:lang w:eastAsia="en-US"/>
    </w:rPr>
  </w:style>
  <w:style w:type="paragraph" w:customStyle="1" w:styleId="House">
    <w:name w:val="House"/>
    <w:basedOn w:val="OPCParaBase"/>
    <w:rsid w:val="00687E4D"/>
    <w:pPr>
      <w:spacing w:line="240" w:lineRule="auto"/>
    </w:pPr>
    <w:rPr>
      <w:sz w:val="28"/>
    </w:rPr>
  </w:style>
  <w:style w:type="paragraph" w:customStyle="1" w:styleId="InstNo">
    <w:name w:val="InstNo"/>
    <w:basedOn w:val="OPCParaBase"/>
    <w:next w:val="Normal"/>
    <w:rsid w:val="00687E4D"/>
    <w:rPr>
      <w:b/>
      <w:sz w:val="28"/>
      <w:szCs w:val="32"/>
    </w:rPr>
  </w:style>
  <w:style w:type="paragraph" w:customStyle="1" w:styleId="Item">
    <w:name w:val="Item"/>
    <w:aliases w:val="i"/>
    <w:basedOn w:val="OPCParaBase"/>
    <w:next w:val="Normal"/>
    <w:rsid w:val="00687E4D"/>
    <w:pPr>
      <w:keepLines/>
      <w:spacing w:before="80" w:line="240" w:lineRule="auto"/>
      <w:ind w:left="709"/>
    </w:pPr>
  </w:style>
  <w:style w:type="paragraph" w:customStyle="1" w:styleId="ItemHead">
    <w:name w:val="ItemHead"/>
    <w:aliases w:val="ih"/>
    <w:basedOn w:val="OPCParaBase"/>
    <w:next w:val="Item"/>
    <w:rsid w:val="00687E4D"/>
    <w:pPr>
      <w:keepNext/>
      <w:keepLines/>
      <w:spacing w:before="220" w:line="240" w:lineRule="auto"/>
      <w:ind w:left="709" w:hanging="709"/>
    </w:pPr>
    <w:rPr>
      <w:rFonts w:ascii="Arial" w:hAnsi="Arial"/>
      <w:b/>
      <w:kern w:val="28"/>
      <w:sz w:val="24"/>
    </w:rPr>
  </w:style>
  <w:style w:type="paragraph" w:customStyle="1" w:styleId="LegislationMadeUnder">
    <w:name w:val="LegislationMadeUnder"/>
    <w:basedOn w:val="OPCParaBase"/>
    <w:next w:val="Normal"/>
    <w:rsid w:val="00687E4D"/>
    <w:rPr>
      <w:i/>
      <w:sz w:val="32"/>
      <w:szCs w:val="32"/>
    </w:rPr>
  </w:style>
  <w:style w:type="character" w:styleId="LineNumber">
    <w:name w:val="line number"/>
    <w:unhideWhenUsed/>
    <w:rsid w:val="00687E4D"/>
    <w:rPr>
      <w:sz w:val="16"/>
    </w:rPr>
  </w:style>
  <w:style w:type="paragraph" w:customStyle="1" w:styleId="LongT">
    <w:name w:val="LongT"/>
    <w:basedOn w:val="OPCParaBase"/>
    <w:rsid w:val="00687E4D"/>
    <w:pPr>
      <w:spacing w:line="240" w:lineRule="auto"/>
    </w:pPr>
    <w:rPr>
      <w:b/>
      <w:sz w:val="32"/>
    </w:rPr>
  </w:style>
  <w:style w:type="paragraph" w:customStyle="1" w:styleId="MadeunderText">
    <w:name w:val="MadeunderText"/>
    <w:basedOn w:val="OPCParaBase"/>
    <w:next w:val="CompiledMadeUnder"/>
    <w:rsid w:val="00687E4D"/>
    <w:pPr>
      <w:spacing w:before="240"/>
    </w:pPr>
    <w:rPr>
      <w:sz w:val="24"/>
      <w:szCs w:val="24"/>
    </w:rPr>
  </w:style>
  <w:style w:type="paragraph" w:customStyle="1" w:styleId="notedraft">
    <w:name w:val="note(draft)"/>
    <w:aliases w:val="nd"/>
    <w:basedOn w:val="OPCParaBase"/>
    <w:rsid w:val="00687E4D"/>
    <w:pPr>
      <w:spacing w:before="240" w:line="240" w:lineRule="auto"/>
      <w:ind w:left="284" w:hanging="284"/>
    </w:pPr>
    <w:rPr>
      <w:i/>
      <w:sz w:val="24"/>
    </w:rPr>
  </w:style>
  <w:style w:type="paragraph" w:customStyle="1" w:styleId="ntoHeading">
    <w:name w:val="n_to_Heading"/>
    <w:aliases w:val="nm"/>
    <w:basedOn w:val="OPCParaBase"/>
    <w:rsid w:val="00687E4D"/>
    <w:pPr>
      <w:tabs>
        <w:tab w:val="left" w:pos="709"/>
      </w:tabs>
      <w:spacing w:before="120" w:line="240" w:lineRule="auto"/>
      <w:ind w:left="709" w:hanging="709"/>
    </w:pPr>
    <w:rPr>
      <w:sz w:val="18"/>
    </w:rPr>
  </w:style>
  <w:style w:type="paragraph" w:customStyle="1" w:styleId="noteParlAmend">
    <w:name w:val="note(ParlAmend)"/>
    <w:aliases w:val="npp"/>
    <w:basedOn w:val="OPCParaBase"/>
    <w:next w:val="Normal"/>
    <w:rsid w:val="00687E4D"/>
    <w:pPr>
      <w:spacing w:line="240" w:lineRule="auto"/>
      <w:jc w:val="right"/>
    </w:pPr>
    <w:rPr>
      <w:rFonts w:ascii="Arial" w:hAnsi="Arial"/>
      <w:b/>
      <w:i/>
    </w:rPr>
  </w:style>
  <w:style w:type="paragraph" w:customStyle="1" w:styleId="nMain">
    <w:name w:val="n_Main"/>
    <w:aliases w:val="n"/>
    <w:basedOn w:val="OPCParaBase"/>
    <w:rsid w:val="00687E4D"/>
    <w:pPr>
      <w:spacing w:before="120" w:line="240" w:lineRule="auto"/>
      <w:ind w:left="1985" w:hanging="851"/>
    </w:pPr>
    <w:rPr>
      <w:sz w:val="18"/>
    </w:rPr>
  </w:style>
  <w:style w:type="paragraph" w:customStyle="1" w:styleId="NotesHeading1">
    <w:name w:val="NotesHeading 1"/>
    <w:basedOn w:val="OPCParaBase"/>
    <w:next w:val="Normal"/>
    <w:rsid w:val="00687E4D"/>
    <w:pPr>
      <w:outlineLvl w:val="0"/>
    </w:pPr>
    <w:rPr>
      <w:b/>
      <w:sz w:val="28"/>
      <w:szCs w:val="28"/>
    </w:rPr>
  </w:style>
  <w:style w:type="paragraph" w:customStyle="1" w:styleId="NotesHeading2">
    <w:name w:val="NotesHeading 2"/>
    <w:basedOn w:val="OPCParaBase"/>
    <w:next w:val="Normal"/>
    <w:rsid w:val="00687E4D"/>
    <w:rPr>
      <w:b/>
      <w:sz w:val="28"/>
      <w:szCs w:val="28"/>
    </w:rPr>
  </w:style>
  <w:style w:type="paragraph" w:customStyle="1" w:styleId="noteToPara">
    <w:name w:val="noteToPara"/>
    <w:aliases w:val="ntp"/>
    <w:basedOn w:val="OPCParaBase"/>
    <w:rsid w:val="00687E4D"/>
    <w:pPr>
      <w:spacing w:before="122" w:line="198" w:lineRule="exact"/>
      <w:ind w:left="2353" w:hanging="709"/>
    </w:pPr>
    <w:rPr>
      <w:sz w:val="18"/>
    </w:rPr>
  </w:style>
  <w:style w:type="paragraph" w:customStyle="1" w:styleId="NoteToSubpara">
    <w:name w:val="NoteToSubpara"/>
    <w:aliases w:val="nts"/>
    <w:basedOn w:val="OPCParaBase"/>
    <w:rsid w:val="00687E4D"/>
    <w:pPr>
      <w:spacing w:before="40" w:line="198" w:lineRule="exact"/>
      <w:ind w:left="2835" w:hanging="709"/>
    </w:pPr>
    <w:rPr>
      <w:sz w:val="18"/>
    </w:rPr>
  </w:style>
  <w:style w:type="paragraph" w:customStyle="1" w:styleId="Page1">
    <w:name w:val="Page1"/>
    <w:basedOn w:val="OPCParaBase"/>
    <w:rsid w:val="00687E4D"/>
    <w:pPr>
      <w:spacing w:before="5600" w:line="240" w:lineRule="auto"/>
    </w:pPr>
    <w:rPr>
      <w:b/>
      <w:sz w:val="32"/>
    </w:rPr>
  </w:style>
  <w:style w:type="paragraph" w:customStyle="1" w:styleId="PageBreak">
    <w:name w:val="PageBreak"/>
    <w:aliases w:val="pb"/>
    <w:basedOn w:val="OPCParaBase"/>
    <w:rsid w:val="00687E4D"/>
    <w:pPr>
      <w:spacing w:line="240" w:lineRule="auto"/>
    </w:pPr>
    <w:rPr>
      <w:sz w:val="20"/>
    </w:rPr>
  </w:style>
  <w:style w:type="paragraph" w:customStyle="1" w:styleId="tSubsub">
    <w:name w:val="t_Subsub"/>
    <w:aliases w:val="paragraph(sub-sub)"/>
    <w:basedOn w:val="OPCParaBase"/>
    <w:rsid w:val="00687E4D"/>
    <w:pPr>
      <w:tabs>
        <w:tab w:val="right" w:pos="2722"/>
      </w:tabs>
      <w:spacing w:before="40" w:line="240" w:lineRule="auto"/>
      <w:ind w:left="2835" w:hanging="2835"/>
    </w:pPr>
  </w:style>
  <w:style w:type="paragraph" w:customStyle="1" w:styleId="Paragraphsub-sub-sub">
    <w:name w:val="Paragraph(sub-sub-sub)"/>
    <w:aliases w:val="aaaa"/>
    <w:basedOn w:val="OPCParaBase"/>
    <w:rsid w:val="00687E4D"/>
    <w:pPr>
      <w:tabs>
        <w:tab w:val="right" w:pos="3402"/>
      </w:tabs>
      <w:spacing w:before="40" w:line="240" w:lineRule="auto"/>
      <w:ind w:left="3402" w:hanging="3402"/>
    </w:pPr>
  </w:style>
  <w:style w:type="paragraph" w:customStyle="1" w:styleId="ParlAmend">
    <w:name w:val="ParlAmend"/>
    <w:aliases w:val="pp"/>
    <w:basedOn w:val="OPCParaBase"/>
    <w:rsid w:val="00687E4D"/>
    <w:pPr>
      <w:spacing w:before="240" w:line="240" w:lineRule="atLeast"/>
      <w:ind w:hanging="567"/>
    </w:pPr>
    <w:rPr>
      <w:sz w:val="24"/>
    </w:rPr>
  </w:style>
  <w:style w:type="paragraph" w:customStyle="1" w:styleId="Penalty">
    <w:name w:val="Penalty"/>
    <w:basedOn w:val="OPCParaBase"/>
    <w:rsid w:val="00687E4D"/>
    <w:pPr>
      <w:tabs>
        <w:tab w:val="left" w:pos="2977"/>
      </w:tabs>
      <w:spacing w:before="180" w:line="240" w:lineRule="auto"/>
      <w:ind w:left="1985" w:hanging="851"/>
    </w:pPr>
  </w:style>
  <w:style w:type="paragraph" w:customStyle="1" w:styleId="Portfolio">
    <w:name w:val="Portfolio"/>
    <w:basedOn w:val="OPCParaBase"/>
    <w:rsid w:val="00687E4D"/>
    <w:pPr>
      <w:spacing w:line="240" w:lineRule="auto"/>
    </w:pPr>
    <w:rPr>
      <w:i/>
      <w:sz w:val="20"/>
    </w:rPr>
  </w:style>
  <w:style w:type="paragraph" w:customStyle="1" w:styleId="Preamble">
    <w:name w:val="Preamble"/>
    <w:basedOn w:val="OPCParaBase"/>
    <w:next w:val="Normal"/>
    <w:rsid w:val="00687E4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87E4D"/>
    <w:pPr>
      <w:spacing w:line="240" w:lineRule="auto"/>
    </w:pPr>
    <w:rPr>
      <w:i/>
      <w:sz w:val="20"/>
    </w:rPr>
  </w:style>
  <w:style w:type="paragraph" w:customStyle="1" w:styleId="Session">
    <w:name w:val="Session"/>
    <w:basedOn w:val="OPCParaBase"/>
    <w:rsid w:val="00687E4D"/>
    <w:pPr>
      <w:spacing w:line="240" w:lineRule="auto"/>
    </w:pPr>
    <w:rPr>
      <w:sz w:val="28"/>
    </w:rPr>
  </w:style>
  <w:style w:type="paragraph" w:customStyle="1" w:styleId="SignCoverPageEnd">
    <w:name w:val="SignCoverPageEnd"/>
    <w:basedOn w:val="OPCParaBase"/>
    <w:next w:val="Normal"/>
    <w:rsid w:val="00687E4D"/>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687E4D"/>
    <w:pPr>
      <w:pBdr>
        <w:top w:val="single" w:sz="4" w:space="1" w:color="auto"/>
      </w:pBdr>
      <w:spacing w:before="360"/>
      <w:ind w:right="397"/>
      <w:jc w:val="both"/>
    </w:pPr>
  </w:style>
  <w:style w:type="paragraph" w:customStyle="1" w:styleId="SOText">
    <w:name w:val="SO Text"/>
    <w:aliases w:val="sot"/>
    <w:rsid w:val="00687E4D"/>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eastAsia="Calibri" w:hAnsi="Times New Roman" w:cs="Times New Roman"/>
      <w:szCs w:val="20"/>
    </w:rPr>
  </w:style>
  <w:style w:type="paragraph" w:customStyle="1" w:styleId="SOBullet">
    <w:name w:val="SO Bullet"/>
    <w:aliases w:val="sotb"/>
    <w:basedOn w:val="SOText"/>
    <w:rsid w:val="00687E4D"/>
    <w:pPr>
      <w:ind w:left="1559" w:hanging="425"/>
    </w:pPr>
  </w:style>
  <w:style w:type="paragraph" w:customStyle="1" w:styleId="SOTextNote">
    <w:name w:val="SO TextNote"/>
    <w:aliases w:val="sont"/>
    <w:basedOn w:val="SOText"/>
    <w:rsid w:val="00687E4D"/>
    <w:pPr>
      <w:spacing w:before="122" w:line="198" w:lineRule="exact"/>
      <w:ind w:left="1843" w:hanging="709"/>
    </w:pPr>
    <w:rPr>
      <w:sz w:val="18"/>
    </w:rPr>
  </w:style>
  <w:style w:type="paragraph" w:customStyle="1" w:styleId="SOBulletNote">
    <w:name w:val="SO BulletNote"/>
    <w:aliases w:val="sonb"/>
    <w:basedOn w:val="SOTextNote"/>
    <w:rsid w:val="00687E4D"/>
    <w:pPr>
      <w:tabs>
        <w:tab w:val="left" w:pos="1560"/>
      </w:tabs>
      <w:ind w:left="2268" w:hanging="1134"/>
    </w:pPr>
  </w:style>
  <w:style w:type="paragraph" w:customStyle="1" w:styleId="SOHeadBold">
    <w:name w:val="SO HeadBold"/>
    <w:aliases w:val="sohb"/>
    <w:basedOn w:val="SOText"/>
    <w:next w:val="SOText"/>
    <w:rsid w:val="00687E4D"/>
    <w:rPr>
      <w:b/>
    </w:rPr>
  </w:style>
  <w:style w:type="paragraph" w:customStyle="1" w:styleId="SOHeadItalic">
    <w:name w:val="SO HeadItalic"/>
    <w:aliases w:val="sohi"/>
    <w:basedOn w:val="SOText"/>
    <w:next w:val="SOText"/>
    <w:rsid w:val="00687E4D"/>
    <w:rPr>
      <w:i/>
    </w:rPr>
  </w:style>
  <w:style w:type="paragraph" w:customStyle="1" w:styleId="SOPara">
    <w:name w:val="SO Para"/>
    <w:aliases w:val="soa"/>
    <w:basedOn w:val="SOText"/>
    <w:rsid w:val="00687E4D"/>
    <w:pPr>
      <w:tabs>
        <w:tab w:val="right" w:pos="1786"/>
      </w:tabs>
      <w:spacing w:before="40"/>
      <w:ind w:left="2070" w:hanging="936"/>
    </w:pPr>
  </w:style>
  <w:style w:type="paragraph" w:customStyle="1" w:styleId="SOText2">
    <w:name w:val="SO Text2"/>
    <w:aliases w:val="sot2"/>
    <w:basedOn w:val="Normal"/>
    <w:next w:val="SOText"/>
    <w:rsid w:val="00687E4D"/>
    <w:pPr>
      <w:pBdr>
        <w:top w:val="single" w:sz="6" w:space="5" w:color="auto"/>
        <w:left w:val="single" w:sz="6" w:space="5" w:color="auto"/>
        <w:bottom w:val="single" w:sz="6" w:space="5" w:color="auto"/>
        <w:right w:val="single" w:sz="6" w:space="5" w:color="auto"/>
      </w:pBdr>
      <w:spacing w:before="40" w:after="0" w:line="240" w:lineRule="auto"/>
      <w:ind w:left="1134"/>
    </w:pPr>
    <w:rPr>
      <w:rFonts w:eastAsia="Calibri" w:cs="Times New Roman"/>
      <w:szCs w:val="20"/>
      <w:lang w:eastAsia="en-US"/>
    </w:rPr>
  </w:style>
  <w:style w:type="paragraph" w:customStyle="1" w:styleId="Sponsor">
    <w:name w:val="Sponsor"/>
    <w:basedOn w:val="OPCParaBase"/>
    <w:rsid w:val="00687E4D"/>
    <w:pPr>
      <w:spacing w:line="240" w:lineRule="auto"/>
    </w:pPr>
    <w:rPr>
      <w:i/>
    </w:rPr>
  </w:style>
  <w:style w:type="paragraph" w:customStyle="1" w:styleId="SubDivisionMigration">
    <w:name w:val="SubDivisionMigration"/>
    <w:aliases w:val="sdm"/>
    <w:basedOn w:val="OPCParaBase"/>
    <w:rsid w:val="00687E4D"/>
    <w:pPr>
      <w:keepNext/>
      <w:keepLines/>
      <w:spacing w:before="220" w:line="240" w:lineRule="auto"/>
      <w:ind w:left="1134" w:hanging="1134"/>
    </w:pPr>
    <w:rPr>
      <w:b/>
      <w:sz w:val="26"/>
    </w:rPr>
  </w:style>
  <w:style w:type="paragraph" w:customStyle="1" w:styleId="Subitem">
    <w:name w:val="Subitem"/>
    <w:aliases w:val="iss"/>
    <w:basedOn w:val="OPCParaBase"/>
    <w:rsid w:val="00687E4D"/>
    <w:pPr>
      <w:spacing w:before="180" w:line="240" w:lineRule="auto"/>
      <w:ind w:left="709" w:hanging="709"/>
    </w:pPr>
  </w:style>
  <w:style w:type="paragraph" w:customStyle="1" w:styleId="SubitemHead">
    <w:name w:val="SubitemHead"/>
    <w:aliases w:val="issh"/>
    <w:basedOn w:val="OPCParaBase"/>
    <w:rsid w:val="00687E4D"/>
    <w:pPr>
      <w:keepNext/>
      <w:keepLines/>
      <w:spacing w:before="220" w:line="240" w:lineRule="auto"/>
      <w:ind w:left="709"/>
    </w:pPr>
    <w:rPr>
      <w:rFonts w:ascii="Arial" w:hAnsi="Arial"/>
      <w:i/>
      <w:kern w:val="28"/>
    </w:rPr>
  </w:style>
  <w:style w:type="paragraph" w:customStyle="1" w:styleId="SubPartCASA">
    <w:name w:val="SubPart(CASA)"/>
    <w:aliases w:val="csp"/>
    <w:basedOn w:val="OPCParaBase"/>
    <w:next w:val="h3Div"/>
    <w:rsid w:val="00687E4D"/>
    <w:pPr>
      <w:keepNext/>
      <w:keepLines/>
      <w:spacing w:before="280"/>
      <w:ind w:left="1134" w:hanging="1134"/>
      <w:outlineLvl w:val="1"/>
    </w:pPr>
    <w:rPr>
      <w:b/>
      <w:kern w:val="28"/>
      <w:sz w:val="32"/>
    </w:rPr>
  </w:style>
  <w:style w:type="paragraph" w:customStyle="1" w:styleId="subsection2">
    <w:name w:val="subsection2"/>
    <w:aliases w:val="ss2"/>
    <w:basedOn w:val="OPCParaBase"/>
    <w:next w:val="tMain"/>
    <w:rsid w:val="00687E4D"/>
    <w:pPr>
      <w:spacing w:before="40" w:line="240" w:lineRule="auto"/>
      <w:ind w:left="1134"/>
    </w:pPr>
  </w:style>
  <w:style w:type="paragraph" w:customStyle="1" w:styleId="h6Subsec">
    <w:name w:val="h6_Subsec"/>
    <w:aliases w:val="SubsectionHead"/>
    <w:basedOn w:val="OPCParaBase"/>
    <w:next w:val="tMain"/>
    <w:rsid w:val="00687E4D"/>
    <w:pPr>
      <w:keepNext/>
      <w:keepLines/>
      <w:spacing w:before="240" w:line="240" w:lineRule="auto"/>
      <w:ind w:left="1134"/>
    </w:pPr>
    <w:rPr>
      <w:i/>
    </w:rPr>
  </w:style>
  <w:style w:type="paragraph" w:customStyle="1" w:styleId="Tablea">
    <w:name w:val="Table(a)"/>
    <w:aliases w:val="ta"/>
    <w:basedOn w:val="OPCParaBase"/>
    <w:rsid w:val="00687E4D"/>
    <w:pPr>
      <w:spacing w:before="60" w:line="240" w:lineRule="auto"/>
      <w:ind w:left="284" w:hanging="284"/>
    </w:pPr>
    <w:rPr>
      <w:sz w:val="20"/>
    </w:rPr>
  </w:style>
  <w:style w:type="paragraph" w:customStyle="1" w:styleId="TableAA">
    <w:name w:val="Table(AA)"/>
    <w:aliases w:val="taaa"/>
    <w:basedOn w:val="OPCParaBase"/>
    <w:rsid w:val="00687E4D"/>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87E4D"/>
    <w:pPr>
      <w:tabs>
        <w:tab w:val="left" w:pos="-6543"/>
        <w:tab w:val="left" w:pos="-6260"/>
        <w:tab w:val="right" w:pos="970"/>
      </w:tabs>
      <w:spacing w:line="240" w:lineRule="exact"/>
      <w:ind w:left="828" w:hanging="284"/>
    </w:pPr>
    <w:rPr>
      <w:sz w:val="20"/>
    </w:rPr>
  </w:style>
  <w:style w:type="paragraph" w:customStyle="1" w:styleId="TableTextEndNotes">
    <w:name w:val="TableTextEndNotes"/>
    <w:aliases w:val="Tten"/>
    <w:basedOn w:val="Normal"/>
    <w:rsid w:val="00687E4D"/>
    <w:pPr>
      <w:spacing w:before="60" w:after="0" w:line="240" w:lineRule="auto"/>
    </w:pPr>
    <w:rPr>
      <w:rFonts w:eastAsia="Calibri" w:cs="Arial"/>
      <w:sz w:val="20"/>
      <w:lang w:eastAsia="en-US"/>
    </w:rPr>
  </w:style>
  <w:style w:type="paragraph" w:customStyle="1" w:styleId="TLPBoxTextnote">
    <w:name w:val="TLPBoxText(note"/>
    <w:aliases w:val="right)"/>
    <w:basedOn w:val="OPCParaBase"/>
    <w:rsid w:val="00687E4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87E4D"/>
    <w:pPr>
      <w:spacing w:before="60" w:line="198" w:lineRule="exact"/>
    </w:pPr>
    <w:rPr>
      <w:sz w:val="18"/>
    </w:rPr>
  </w:style>
  <w:style w:type="paragraph" w:customStyle="1" w:styleId="TLPnoteright">
    <w:name w:val="TLPnote(right)"/>
    <w:aliases w:val="nr"/>
    <w:basedOn w:val="OPCParaBase"/>
    <w:rsid w:val="00687E4D"/>
    <w:pPr>
      <w:spacing w:before="122" w:line="198" w:lineRule="exact"/>
      <w:ind w:left="1985" w:hanging="851"/>
      <w:jc w:val="right"/>
    </w:pPr>
    <w:rPr>
      <w:sz w:val="18"/>
    </w:rPr>
  </w:style>
  <w:style w:type="paragraph" w:customStyle="1" w:styleId="TLPTableBullet">
    <w:name w:val="TLPTableBullet"/>
    <w:aliases w:val="ttb"/>
    <w:basedOn w:val="OPCParaBase"/>
    <w:rsid w:val="00687E4D"/>
    <w:pPr>
      <w:spacing w:line="240" w:lineRule="exact"/>
      <w:ind w:left="284" w:hanging="284"/>
    </w:pPr>
    <w:rPr>
      <w:sz w:val="20"/>
    </w:rPr>
  </w:style>
  <w:style w:type="paragraph" w:customStyle="1" w:styleId="TofSectsGroupHeading">
    <w:name w:val="TofSects(GroupHeading)"/>
    <w:basedOn w:val="OPCParaBase"/>
    <w:next w:val="Normal"/>
    <w:rsid w:val="00687E4D"/>
    <w:pPr>
      <w:keepLines/>
      <w:spacing w:before="240" w:after="120" w:line="240" w:lineRule="auto"/>
      <w:ind w:left="794"/>
    </w:pPr>
    <w:rPr>
      <w:b/>
      <w:kern w:val="28"/>
      <w:sz w:val="20"/>
    </w:rPr>
  </w:style>
  <w:style w:type="paragraph" w:customStyle="1" w:styleId="TofSectsHeading">
    <w:name w:val="TofSects(Heading)"/>
    <w:basedOn w:val="OPCParaBase"/>
    <w:rsid w:val="00687E4D"/>
    <w:pPr>
      <w:spacing w:before="240" w:after="120" w:line="240" w:lineRule="auto"/>
    </w:pPr>
    <w:rPr>
      <w:b/>
      <w:sz w:val="24"/>
    </w:rPr>
  </w:style>
  <w:style w:type="paragraph" w:customStyle="1" w:styleId="TofSectsSection">
    <w:name w:val="TofSects(Section)"/>
    <w:basedOn w:val="OPCParaBase"/>
    <w:rsid w:val="00687E4D"/>
    <w:pPr>
      <w:keepLines/>
      <w:spacing w:before="40" w:line="240" w:lineRule="auto"/>
      <w:ind w:left="1588" w:hanging="794"/>
    </w:pPr>
    <w:rPr>
      <w:kern w:val="28"/>
      <w:sz w:val="18"/>
    </w:rPr>
  </w:style>
  <w:style w:type="paragraph" w:customStyle="1" w:styleId="TofSectsSubdiv">
    <w:name w:val="TofSects(Subdiv)"/>
    <w:basedOn w:val="OPCParaBase"/>
    <w:rsid w:val="00687E4D"/>
    <w:pPr>
      <w:keepLines/>
      <w:spacing w:before="80" w:line="240" w:lineRule="auto"/>
      <w:ind w:left="1588" w:hanging="794"/>
    </w:pPr>
    <w:rPr>
      <w:kern w:val="28"/>
    </w:rPr>
  </w:style>
  <w:style w:type="paragraph" w:customStyle="1" w:styleId="WRStyle">
    <w:name w:val="WR Style"/>
    <w:aliases w:val="WR"/>
    <w:basedOn w:val="OPCParaBase"/>
    <w:rsid w:val="00687E4D"/>
    <w:pPr>
      <w:spacing w:before="240" w:line="240" w:lineRule="auto"/>
      <w:ind w:left="284" w:hanging="284"/>
    </w:pPr>
    <w:rPr>
      <w:b/>
      <w:i/>
      <w:kern w:val="28"/>
      <w:sz w:val="24"/>
    </w:rPr>
  </w:style>
  <w:style w:type="paragraph" w:styleId="BlockText">
    <w:name w:val="Block Text"/>
    <w:basedOn w:val="Normal"/>
    <w:unhideWhenUsed/>
    <w:rsid w:val="00687E4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0" w:line="260" w:lineRule="atLeast"/>
      <w:ind w:left="1152" w:right="1152"/>
    </w:pPr>
    <w:rPr>
      <w:i/>
      <w:iCs/>
      <w:color w:val="4F81BD" w:themeColor="accent1"/>
      <w:szCs w:val="20"/>
      <w:lang w:eastAsia="en-US"/>
    </w:rPr>
  </w:style>
  <w:style w:type="paragraph" w:styleId="BodyText">
    <w:name w:val="Body Text"/>
    <w:basedOn w:val="Normal"/>
    <w:link w:val="BodyTextChar"/>
    <w:unhideWhenUsed/>
    <w:rsid w:val="00687E4D"/>
    <w:pPr>
      <w:spacing w:after="120" w:line="260" w:lineRule="atLeast"/>
    </w:pPr>
    <w:rPr>
      <w:rFonts w:eastAsia="Calibri" w:cs="Times New Roman"/>
      <w:szCs w:val="20"/>
      <w:lang w:eastAsia="en-US"/>
    </w:rPr>
  </w:style>
  <w:style w:type="character" w:customStyle="1" w:styleId="BodyTextChar">
    <w:name w:val="Body Text Char"/>
    <w:basedOn w:val="DefaultParagraphFont"/>
    <w:link w:val="BodyText"/>
    <w:rsid w:val="00687E4D"/>
    <w:rPr>
      <w:rFonts w:ascii="Times New Roman" w:eastAsia="Calibri" w:hAnsi="Times New Roman" w:cs="Times New Roman"/>
      <w:szCs w:val="20"/>
      <w:lang w:eastAsia="en-US"/>
    </w:rPr>
  </w:style>
  <w:style w:type="paragraph" w:styleId="BodyText2">
    <w:name w:val="Body Text 2"/>
    <w:basedOn w:val="Normal"/>
    <w:link w:val="BodyText2Char"/>
    <w:unhideWhenUsed/>
    <w:rsid w:val="00687E4D"/>
    <w:pPr>
      <w:spacing w:after="120" w:line="480" w:lineRule="auto"/>
    </w:pPr>
    <w:rPr>
      <w:rFonts w:eastAsia="Calibri" w:cs="Times New Roman"/>
      <w:szCs w:val="20"/>
      <w:lang w:eastAsia="en-US"/>
    </w:rPr>
  </w:style>
  <w:style w:type="character" w:customStyle="1" w:styleId="BodyText2Char">
    <w:name w:val="Body Text 2 Char"/>
    <w:basedOn w:val="DefaultParagraphFont"/>
    <w:link w:val="BodyText2"/>
    <w:rsid w:val="00687E4D"/>
    <w:rPr>
      <w:rFonts w:ascii="Times New Roman" w:eastAsia="Calibri" w:hAnsi="Times New Roman" w:cs="Times New Roman"/>
      <w:szCs w:val="20"/>
      <w:lang w:eastAsia="en-US"/>
    </w:rPr>
  </w:style>
  <w:style w:type="paragraph" w:styleId="BodyTextFirstIndent">
    <w:name w:val="Body Text First Indent"/>
    <w:basedOn w:val="BodyText"/>
    <w:link w:val="BodyTextFirstIndentChar"/>
    <w:rsid w:val="00687E4D"/>
    <w:pPr>
      <w:spacing w:after="0"/>
      <w:ind w:firstLine="360"/>
    </w:pPr>
  </w:style>
  <w:style w:type="character" w:customStyle="1" w:styleId="BodyTextFirstIndentChar">
    <w:name w:val="Body Text First Indent Char"/>
    <w:basedOn w:val="BodyTextChar"/>
    <w:link w:val="BodyTextFirstIndent"/>
    <w:rsid w:val="00687E4D"/>
    <w:rPr>
      <w:rFonts w:ascii="Times New Roman" w:eastAsia="Calibri" w:hAnsi="Times New Roman" w:cs="Times New Roman"/>
      <w:szCs w:val="20"/>
      <w:lang w:eastAsia="en-US"/>
    </w:rPr>
  </w:style>
  <w:style w:type="paragraph" w:styleId="BodyTextIndent">
    <w:name w:val="Body Text Indent"/>
    <w:basedOn w:val="Normal"/>
    <w:link w:val="BodyTextIndentChar"/>
    <w:unhideWhenUsed/>
    <w:rsid w:val="00687E4D"/>
    <w:pPr>
      <w:spacing w:after="120" w:line="260" w:lineRule="atLeast"/>
      <w:ind w:left="283"/>
    </w:pPr>
    <w:rPr>
      <w:rFonts w:eastAsia="Calibri" w:cs="Times New Roman"/>
      <w:szCs w:val="20"/>
      <w:lang w:eastAsia="en-US"/>
    </w:rPr>
  </w:style>
  <w:style w:type="character" w:customStyle="1" w:styleId="BodyTextIndentChar">
    <w:name w:val="Body Text Indent Char"/>
    <w:basedOn w:val="DefaultParagraphFont"/>
    <w:link w:val="BodyTextIndent"/>
    <w:rsid w:val="00687E4D"/>
    <w:rPr>
      <w:rFonts w:ascii="Times New Roman" w:eastAsia="Calibri" w:hAnsi="Times New Roman" w:cs="Times New Roman"/>
      <w:szCs w:val="20"/>
      <w:lang w:eastAsia="en-US"/>
    </w:rPr>
  </w:style>
  <w:style w:type="paragraph" w:styleId="BodyTextFirstIndent2">
    <w:name w:val="Body Text First Indent 2"/>
    <w:basedOn w:val="BodyTextIndent"/>
    <w:link w:val="BodyTextFirstIndent2Char"/>
    <w:unhideWhenUsed/>
    <w:rsid w:val="00687E4D"/>
    <w:pPr>
      <w:spacing w:after="0"/>
      <w:ind w:left="360" w:firstLine="360"/>
    </w:pPr>
  </w:style>
  <w:style w:type="character" w:customStyle="1" w:styleId="BodyTextFirstIndent2Char">
    <w:name w:val="Body Text First Indent 2 Char"/>
    <w:basedOn w:val="BodyTextIndentChar"/>
    <w:link w:val="BodyTextFirstIndent2"/>
    <w:rsid w:val="00687E4D"/>
    <w:rPr>
      <w:rFonts w:ascii="Times New Roman" w:eastAsia="Calibri" w:hAnsi="Times New Roman" w:cs="Times New Roman"/>
      <w:szCs w:val="20"/>
      <w:lang w:eastAsia="en-US"/>
    </w:rPr>
  </w:style>
  <w:style w:type="paragraph" w:styleId="BodyTextIndent2">
    <w:name w:val="Body Text Indent 2"/>
    <w:basedOn w:val="Normal"/>
    <w:link w:val="BodyTextIndent2Char"/>
    <w:unhideWhenUsed/>
    <w:rsid w:val="00687E4D"/>
    <w:pPr>
      <w:spacing w:after="120" w:line="480" w:lineRule="auto"/>
      <w:ind w:left="283"/>
    </w:pPr>
    <w:rPr>
      <w:rFonts w:eastAsia="Calibri" w:cs="Times New Roman"/>
      <w:szCs w:val="20"/>
      <w:lang w:eastAsia="en-US"/>
    </w:rPr>
  </w:style>
  <w:style w:type="character" w:customStyle="1" w:styleId="BodyTextIndent2Char">
    <w:name w:val="Body Text Indent 2 Char"/>
    <w:basedOn w:val="DefaultParagraphFont"/>
    <w:link w:val="BodyTextIndent2"/>
    <w:rsid w:val="00687E4D"/>
    <w:rPr>
      <w:rFonts w:ascii="Times New Roman" w:eastAsia="Calibri" w:hAnsi="Times New Roman" w:cs="Times New Roman"/>
      <w:szCs w:val="20"/>
      <w:lang w:eastAsia="en-US"/>
    </w:rPr>
  </w:style>
  <w:style w:type="paragraph" w:styleId="BodyTextIndent3">
    <w:name w:val="Body Text Indent 3"/>
    <w:basedOn w:val="Normal"/>
    <w:link w:val="BodyTextIndent3Char"/>
    <w:unhideWhenUsed/>
    <w:rsid w:val="00687E4D"/>
    <w:pPr>
      <w:spacing w:after="120" w:line="260" w:lineRule="atLeast"/>
      <w:ind w:left="283"/>
    </w:pPr>
    <w:rPr>
      <w:rFonts w:eastAsia="Calibri" w:cs="Times New Roman"/>
      <w:sz w:val="16"/>
      <w:szCs w:val="16"/>
      <w:lang w:eastAsia="en-US"/>
    </w:rPr>
  </w:style>
  <w:style w:type="character" w:customStyle="1" w:styleId="BodyTextIndent3Char">
    <w:name w:val="Body Text Indent 3 Char"/>
    <w:basedOn w:val="DefaultParagraphFont"/>
    <w:link w:val="BodyTextIndent3"/>
    <w:rsid w:val="00687E4D"/>
    <w:rPr>
      <w:rFonts w:ascii="Times New Roman" w:eastAsia="Calibri" w:hAnsi="Times New Roman" w:cs="Times New Roman"/>
      <w:sz w:val="16"/>
      <w:szCs w:val="16"/>
      <w:lang w:eastAsia="en-US"/>
    </w:rPr>
  </w:style>
  <w:style w:type="paragraph" w:styleId="Closing">
    <w:name w:val="Closing"/>
    <w:basedOn w:val="Normal"/>
    <w:link w:val="ClosingChar"/>
    <w:unhideWhenUsed/>
    <w:rsid w:val="00687E4D"/>
    <w:pPr>
      <w:spacing w:after="0" w:line="240" w:lineRule="auto"/>
      <w:ind w:left="4252"/>
    </w:pPr>
    <w:rPr>
      <w:rFonts w:eastAsia="Calibri" w:cs="Times New Roman"/>
      <w:szCs w:val="20"/>
      <w:lang w:eastAsia="en-US"/>
    </w:rPr>
  </w:style>
  <w:style w:type="character" w:customStyle="1" w:styleId="ClosingChar">
    <w:name w:val="Closing Char"/>
    <w:basedOn w:val="DefaultParagraphFont"/>
    <w:link w:val="Closing"/>
    <w:rsid w:val="00687E4D"/>
    <w:rPr>
      <w:rFonts w:ascii="Times New Roman" w:eastAsia="Calibri" w:hAnsi="Times New Roman" w:cs="Times New Roman"/>
      <w:szCs w:val="20"/>
      <w:lang w:eastAsia="en-US"/>
    </w:rPr>
  </w:style>
  <w:style w:type="paragraph" w:styleId="Date">
    <w:name w:val="Date"/>
    <w:basedOn w:val="Normal"/>
    <w:next w:val="Normal"/>
    <w:link w:val="DateChar"/>
    <w:rsid w:val="00687E4D"/>
    <w:pPr>
      <w:spacing w:after="0" w:line="260" w:lineRule="atLeast"/>
    </w:pPr>
    <w:rPr>
      <w:rFonts w:eastAsia="Calibri" w:cs="Times New Roman"/>
      <w:szCs w:val="20"/>
      <w:lang w:eastAsia="en-US"/>
    </w:rPr>
  </w:style>
  <w:style w:type="character" w:customStyle="1" w:styleId="DateChar">
    <w:name w:val="Date Char"/>
    <w:basedOn w:val="DefaultParagraphFont"/>
    <w:link w:val="Date"/>
    <w:rsid w:val="00687E4D"/>
    <w:rPr>
      <w:rFonts w:ascii="Times New Roman" w:eastAsia="Calibri" w:hAnsi="Times New Roman" w:cs="Times New Roman"/>
      <w:szCs w:val="20"/>
      <w:lang w:eastAsia="en-US"/>
    </w:rPr>
  </w:style>
  <w:style w:type="paragraph" w:styleId="DocumentMap">
    <w:name w:val="Document Map"/>
    <w:basedOn w:val="Normal"/>
    <w:link w:val="DocumentMapChar"/>
    <w:unhideWhenUsed/>
    <w:rsid w:val="00687E4D"/>
    <w:pPr>
      <w:spacing w:after="0" w:line="240" w:lineRule="auto"/>
    </w:pPr>
    <w:rPr>
      <w:rFonts w:ascii="Tahoma" w:eastAsia="Calibri" w:hAnsi="Tahoma" w:cs="Tahoma"/>
      <w:sz w:val="16"/>
      <w:szCs w:val="16"/>
      <w:lang w:eastAsia="en-US"/>
    </w:rPr>
  </w:style>
  <w:style w:type="character" w:customStyle="1" w:styleId="DocumentMapChar">
    <w:name w:val="Document Map Char"/>
    <w:basedOn w:val="DefaultParagraphFont"/>
    <w:link w:val="DocumentMap"/>
    <w:rsid w:val="00687E4D"/>
    <w:rPr>
      <w:rFonts w:ascii="Tahoma" w:eastAsia="Calibri" w:hAnsi="Tahoma" w:cs="Tahoma"/>
      <w:sz w:val="16"/>
      <w:szCs w:val="16"/>
      <w:lang w:eastAsia="en-US"/>
    </w:rPr>
  </w:style>
  <w:style w:type="paragraph" w:styleId="E-mailSignature">
    <w:name w:val="E-mail Signature"/>
    <w:basedOn w:val="Normal"/>
    <w:link w:val="E-mailSignatureChar"/>
    <w:unhideWhenUsed/>
    <w:rsid w:val="00687E4D"/>
    <w:pPr>
      <w:spacing w:after="0" w:line="240" w:lineRule="auto"/>
    </w:pPr>
    <w:rPr>
      <w:rFonts w:eastAsia="Calibri" w:cs="Times New Roman"/>
      <w:szCs w:val="20"/>
      <w:lang w:eastAsia="en-US"/>
    </w:rPr>
  </w:style>
  <w:style w:type="character" w:customStyle="1" w:styleId="E-mailSignatureChar">
    <w:name w:val="E-mail Signature Char"/>
    <w:basedOn w:val="DefaultParagraphFont"/>
    <w:link w:val="E-mailSignature"/>
    <w:rsid w:val="00687E4D"/>
    <w:rPr>
      <w:rFonts w:ascii="Times New Roman" w:eastAsia="Calibri" w:hAnsi="Times New Roman" w:cs="Times New Roman"/>
      <w:szCs w:val="20"/>
      <w:lang w:eastAsia="en-US"/>
    </w:rPr>
  </w:style>
  <w:style w:type="paragraph" w:styleId="EnvelopeAddress">
    <w:name w:val="envelope address"/>
    <w:basedOn w:val="Normal"/>
    <w:unhideWhenUsed/>
    <w:rsid w:val="00687E4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eastAsia="en-US"/>
    </w:rPr>
  </w:style>
  <w:style w:type="paragraph" w:styleId="EnvelopeReturn">
    <w:name w:val="envelope return"/>
    <w:basedOn w:val="Normal"/>
    <w:unhideWhenUsed/>
    <w:rsid w:val="00687E4D"/>
    <w:pPr>
      <w:spacing w:after="0" w:line="240" w:lineRule="auto"/>
    </w:pPr>
    <w:rPr>
      <w:rFonts w:asciiTheme="majorHAnsi" w:eastAsiaTheme="majorEastAsia" w:hAnsiTheme="majorHAnsi" w:cstheme="majorBidi"/>
      <w:sz w:val="20"/>
      <w:szCs w:val="20"/>
      <w:lang w:eastAsia="en-US"/>
    </w:rPr>
  </w:style>
  <w:style w:type="paragraph" w:styleId="HTMLAddress">
    <w:name w:val="HTML Address"/>
    <w:basedOn w:val="Normal"/>
    <w:link w:val="HTMLAddressChar"/>
    <w:unhideWhenUsed/>
    <w:rsid w:val="00687E4D"/>
    <w:pPr>
      <w:spacing w:after="0" w:line="240" w:lineRule="auto"/>
    </w:pPr>
    <w:rPr>
      <w:rFonts w:eastAsia="Calibri" w:cs="Times New Roman"/>
      <w:i/>
      <w:iCs/>
      <w:szCs w:val="20"/>
      <w:lang w:eastAsia="en-US"/>
    </w:rPr>
  </w:style>
  <w:style w:type="character" w:customStyle="1" w:styleId="HTMLAddressChar">
    <w:name w:val="HTML Address Char"/>
    <w:basedOn w:val="DefaultParagraphFont"/>
    <w:link w:val="HTMLAddress"/>
    <w:rsid w:val="00687E4D"/>
    <w:rPr>
      <w:rFonts w:ascii="Times New Roman" w:eastAsia="Calibri" w:hAnsi="Times New Roman" w:cs="Times New Roman"/>
      <w:i/>
      <w:iCs/>
      <w:szCs w:val="20"/>
      <w:lang w:eastAsia="en-US"/>
    </w:rPr>
  </w:style>
  <w:style w:type="paragraph" w:styleId="HTMLPreformatted">
    <w:name w:val="HTML Preformatted"/>
    <w:basedOn w:val="Normal"/>
    <w:link w:val="HTMLPreformattedChar"/>
    <w:unhideWhenUsed/>
    <w:rsid w:val="00687E4D"/>
    <w:pPr>
      <w:spacing w:after="0" w:line="240" w:lineRule="auto"/>
    </w:pPr>
    <w:rPr>
      <w:rFonts w:ascii="Consolas" w:eastAsia="Calibri" w:hAnsi="Consolas" w:cs="Times New Roman"/>
      <w:sz w:val="20"/>
      <w:szCs w:val="20"/>
      <w:lang w:eastAsia="en-US"/>
    </w:rPr>
  </w:style>
  <w:style w:type="character" w:customStyle="1" w:styleId="HTMLPreformattedChar">
    <w:name w:val="HTML Preformatted Char"/>
    <w:basedOn w:val="DefaultParagraphFont"/>
    <w:link w:val="HTMLPreformatted"/>
    <w:rsid w:val="00687E4D"/>
    <w:rPr>
      <w:rFonts w:ascii="Consolas" w:eastAsia="Calibri" w:hAnsi="Consolas" w:cs="Times New Roman"/>
      <w:sz w:val="20"/>
      <w:szCs w:val="20"/>
      <w:lang w:eastAsia="en-US"/>
    </w:rPr>
  </w:style>
  <w:style w:type="paragraph" w:styleId="Index1">
    <w:name w:val="index 1"/>
    <w:basedOn w:val="Normal"/>
    <w:next w:val="Normal"/>
    <w:autoRedefine/>
    <w:unhideWhenUsed/>
    <w:rsid w:val="00687E4D"/>
    <w:pPr>
      <w:spacing w:after="0" w:line="240" w:lineRule="auto"/>
      <w:ind w:left="220" w:hanging="220"/>
    </w:pPr>
    <w:rPr>
      <w:rFonts w:eastAsia="Calibri" w:cs="Times New Roman"/>
      <w:szCs w:val="20"/>
      <w:lang w:eastAsia="en-US"/>
    </w:rPr>
  </w:style>
  <w:style w:type="paragraph" w:styleId="Index2">
    <w:name w:val="index 2"/>
    <w:basedOn w:val="Normal"/>
    <w:next w:val="Normal"/>
    <w:autoRedefine/>
    <w:unhideWhenUsed/>
    <w:rsid w:val="00687E4D"/>
    <w:pPr>
      <w:spacing w:after="0" w:line="240" w:lineRule="auto"/>
      <w:ind w:left="440" w:hanging="220"/>
    </w:pPr>
    <w:rPr>
      <w:rFonts w:eastAsia="Calibri" w:cs="Times New Roman"/>
      <w:szCs w:val="20"/>
      <w:lang w:eastAsia="en-US"/>
    </w:rPr>
  </w:style>
  <w:style w:type="paragraph" w:styleId="Index3">
    <w:name w:val="index 3"/>
    <w:basedOn w:val="Normal"/>
    <w:next w:val="Normal"/>
    <w:autoRedefine/>
    <w:unhideWhenUsed/>
    <w:rsid w:val="00687E4D"/>
    <w:pPr>
      <w:spacing w:after="0" w:line="240" w:lineRule="auto"/>
      <w:ind w:left="660" w:hanging="220"/>
    </w:pPr>
    <w:rPr>
      <w:rFonts w:eastAsia="Calibri" w:cs="Times New Roman"/>
      <w:szCs w:val="20"/>
      <w:lang w:eastAsia="en-US"/>
    </w:rPr>
  </w:style>
  <w:style w:type="paragraph" w:styleId="Index4">
    <w:name w:val="index 4"/>
    <w:basedOn w:val="Normal"/>
    <w:next w:val="Normal"/>
    <w:autoRedefine/>
    <w:unhideWhenUsed/>
    <w:rsid w:val="00687E4D"/>
    <w:pPr>
      <w:spacing w:after="0" w:line="240" w:lineRule="auto"/>
      <w:ind w:left="880" w:hanging="220"/>
    </w:pPr>
    <w:rPr>
      <w:rFonts w:eastAsia="Calibri" w:cs="Times New Roman"/>
      <w:szCs w:val="20"/>
      <w:lang w:eastAsia="en-US"/>
    </w:rPr>
  </w:style>
  <w:style w:type="paragraph" w:styleId="Index5">
    <w:name w:val="index 5"/>
    <w:basedOn w:val="Normal"/>
    <w:next w:val="Normal"/>
    <w:autoRedefine/>
    <w:unhideWhenUsed/>
    <w:rsid w:val="00687E4D"/>
    <w:pPr>
      <w:spacing w:after="0" w:line="240" w:lineRule="auto"/>
      <w:ind w:left="1100" w:hanging="220"/>
    </w:pPr>
    <w:rPr>
      <w:rFonts w:eastAsia="Calibri" w:cs="Times New Roman"/>
      <w:szCs w:val="20"/>
      <w:lang w:eastAsia="en-US"/>
    </w:rPr>
  </w:style>
  <w:style w:type="paragraph" w:styleId="Index6">
    <w:name w:val="index 6"/>
    <w:basedOn w:val="Normal"/>
    <w:next w:val="Normal"/>
    <w:autoRedefine/>
    <w:unhideWhenUsed/>
    <w:rsid w:val="00687E4D"/>
    <w:pPr>
      <w:spacing w:after="0" w:line="240" w:lineRule="auto"/>
      <w:ind w:left="1320" w:hanging="220"/>
    </w:pPr>
    <w:rPr>
      <w:rFonts w:eastAsia="Calibri" w:cs="Times New Roman"/>
      <w:szCs w:val="20"/>
      <w:lang w:eastAsia="en-US"/>
    </w:rPr>
  </w:style>
  <w:style w:type="paragraph" w:styleId="Index7">
    <w:name w:val="index 7"/>
    <w:basedOn w:val="Normal"/>
    <w:next w:val="Normal"/>
    <w:autoRedefine/>
    <w:unhideWhenUsed/>
    <w:rsid w:val="00687E4D"/>
    <w:pPr>
      <w:spacing w:after="0" w:line="240" w:lineRule="auto"/>
      <w:ind w:left="1540" w:hanging="220"/>
    </w:pPr>
    <w:rPr>
      <w:rFonts w:eastAsia="Calibri" w:cs="Times New Roman"/>
      <w:szCs w:val="20"/>
      <w:lang w:eastAsia="en-US"/>
    </w:rPr>
  </w:style>
  <w:style w:type="paragraph" w:styleId="Index8">
    <w:name w:val="index 8"/>
    <w:basedOn w:val="Normal"/>
    <w:next w:val="Normal"/>
    <w:autoRedefine/>
    <w:unhideWhenUsed/>
    <w:rsid w:val="00687E4D"/>
    <w:pPr>
      <w:spacing w:after="0" w:line="240" w:lineRule="auto"/>
      <w:ind w:left="1760" w:hanging="220"/>
    </w:pPr>
    <w:rPr>
      <w:rFonts w:eastAsia="Calibri" w:cs="Times New Roman"/>
      <w:szCs w:val="20"/>
      <w:lang w:eastAsia="en-US"/>
    </w:rPr>
  </w:style>
  <w:style w:type="paragraph" w:styleId="Index9">
    <w:name w:val="index 9"/>
    <w:basedOn w:val="Normal"/>
    <w:next w:val="Normal"/>
    <w:autoRedefine/>
    <w:unhideWhenUsed/>
    <w:rsid w:val="00687E4D"/>
    <w:pPr>
      <w:spacing w:after="0" w:line="240" w:lineRule="auto"/>
      <w:ind w:left="1980" w:hanging="220"/>
    </w:pPr>
    <w:rPr>
      <w:rFonts w:eastAsia="Calibri" w:cs="Times New Roman"/>
      <w:szCs w:val="20"/>
      <w:lang w:eastAsia="en-US"/>
    </w:rPr>
  </w:style>
  <w:style w:type="paragraph" w:styleId="IndexHeading">
    <w:name w:val="index heading"/>
    <w:basedOn w:val="Normal"/>
    <w:next w:val="Index1"/>
    <w:unhideWhenUsed/>
    <w:rsid w:val="00687E4D"/>
    <w:pPr>
      <w:spacing w:after="0" w:line="260" w:lineRule="atLeast"/>
    </w:pPr>
    <w:rPr>
      <w:rFonts w:asciiTheme="majorHAnsi" w:eastAsiaTheme="majorEastAsia" w:hAnsiTheme="majorHAnsi" w:cstheme="majorBidi"/>
      <w:b/>
      <w:bCs/>
      <w:szCs w:val="20"/>
      <w:lang w:eastAsia="en-US"/>
    </w:rPr>
  </w:style>
  <w:style w:type="paragraph" w:styleId="IntenseQuote">
    <w:name w:val="Intense Quote"/>
    <w:basedOn w:val="Normal"/>
    <w:next w:val="Normal"/>
    <w:link w:val="IntenseQuoteChar"/>
    <w:uiPriority w:val="99"/>
    <w:rsid w:val="00687E4D"/>
    <w:pPr>
      <w:pBdr>
        <w:bottom w:val="single" w:sz="4" w:space="4" w:color="4F81BD" w:themeColor="accent1"/>
      </w:pBdr>
      <w:spacing w:before="200" w:after="280" w:line="260" w:lineRule="atLeast"/>
      <w:ind w:left="936" w:right="936"/>
    </w:pPr>
    <w:rPr>
      <w:rFonts w:eastAsia="Calibri" w:cs="Times New Roman"/>
      <w:b/>
      <w:bCs/>
      <w:i/>
      <w:iCs/>
      <w:color w:val="4F81BD" w:themeColor="accent1"/>
      <w:szCs w:val="20"/>
      <w:lang w:eastAsia="en-US"/>
    </w:rPr>
  </w:style>
  <w:style w:type="character" w:customStyle="1" w:styleId="IntenseQuoteChar">
    <w:name w:val="Intense Quote Char"/>
    <w:basedOn w:val="DefaultParagraphFont"/>
    <w:link w:val="IntenseQuote"/>
    <w:uiPriority w:val="99"/>
    <w:rsid w:val="00687E4D"/>
    <w:rPr>
      <w:rFonts w:ascii="Times New Roman" w:eastAsia="Calibri" w:hAnsi="Times New Roman" w:cs="Times New Roman"/>
      <w:b/>
      <w:bCs/>
      <w:i/>
      <w:iCs/>
      <w:color w:val="4F81BD" w:themeColor="accent1"/>
      <w:szCs w:val="20"/>
      <w:lang w:eastAsia="en-US"/>
    </w:rPr>
  </w:style>
  <w:style w:type="paragraph" w:styleId="MacroText">
    <w:name w:val="macro"/>
    <w:link w:val="MacroTextChar"/>
    <w:unhideWhenUsed/>
    <w:rsid w:val="00687E4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eastAsia="Calibri" w:hAnsi="Consolas" w:cs="Times New Roman"/>
      <w:sz w:val="20"/>
      <w:szCs w:val="20"/>
      <w:lang w:eastAsia="en-US"/>
    </w:rPr>
  </w:style>
  <w:style w:type="character" w:customStyle="1" w:styleId="MacroTextChar">
    <w:name w:val="Macro Text Char"/>
    <w:basedOn w:val="DefaultParagraphFont"/>
    <w:link w:val="MacroText"/>
    <w:rsid w:val="00687E4D"/>
    <w:rPr>
      <w:rFonts w:ascii="Consolas" w:eastAsia="Calibri" w:hAnsi="Consolas" w:cs="Times New Roman"/>
      <w:sz w:val="20"/>
      <w:szCs w:val="20"/>
      <w:lang w:eastAsia="en-US"/>
    </w:rPr>
  </w:style>
  <w:style w:type="paragraph" w:styleId="MessageHeader">
    <w:name w:val="Message Header"/>
    <w:basedOn w:val="Normal"/>
    <w:link w:val="MessageHeaderChar"/>
    <w:unhideWhenUsed/>
    <w:rsid w:val="00687E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en-US"/>
    </w:rPr>
  </w:style>
  <w:style w:type="character" w:customStyle="1" w:styleId="MessageHeaderChar">
    <w:name w:val="Message Header Char"/>
    <w:basedOn w:val="DefaultParagraphFont"/>
    <w:link w:val="MessageHeader"/>
    <w:rsid w:val="00687E4D"/>
    <w:rPr>
      <w:rFonts w:asciiTheme="majorHAnsi" w:eastAsiaTheme="majorEastAsia" w:hAnsiTheme="majorHAnsi" w:cstheme="majorBidi"/>
      <w:sz w:val="24"/>
      <w:szCs w:val="24"/>
      <w:shd w:val="pct20" w:color="auto" w:fill="auto"/>
      <w:lang w:eastAsia="en-US"/>
    </w:rPr>
  </w:style>
  <w:style w:type="paragraph" w:styleId="PlainText">
    <w:name w:val="Plain Text"/>
    <w:basedOn w:val="Normal"/>
    <w:link w:val="PlainTextChar"/>
    <w:unhideWhenUsed/>
    <w:rsid w:val="00687E4D"/>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rsid w:val="00687E4D"/>
    <w:rPr>
      <w:rFonts w:ascii="Consolas" w:eastAsia="Calibri" w:hAnsi="Consolas" w:cs="Times New Roman"/>
      <w:sz w:val="21"/>
      <w:szCs w:val="21"/>
      <w:lang w:eastAsia="en-US"/>
    </w:rPr>
  </w:style>
  <w:style w:type="paragraph" w:styleId="Salutation">
    <w:name w:val="Salutation"/>
    <w:basedOn w:val="Normal"/>
    <w:next w:val="Normal"/>
    <w:link w:val="SalutationChar"/>
    <w:rsid w:val="00687E4D"/>
    <w:pPr>
      <w:spacing w:after="0" w:line="260" w:lineRule="atLeast"/>
    </w:pPr>
    <w:rPr>
      <w:rFonts w:eastAsia="Calibri" w:cs="Times New Roman"/>
      <w:szCs w:val="20"/>
      <w:lang w:eastAsia="en-US"/>
    </w:rPr>
  </w:style>
  <w:style w:type="character" w:customStyle="1" w:styleId="SalutationChar">
    <w:name w:val="Salutation Char"/>
    <w:basedOn w:val="DefaultParagraphFont"/>
    <w:link w:val="Salutation"/>
    <w:rsid w:val="00687E4D"/>
    <w:rPr>
      <w:rFonts w:ascii="Times New Roman" w:eastAsia="Calibri" w:hAnsi="Times New Roman" w:cs="Times New Roman"/>
      <w:szCs w:val="20"/>
      <w:lang w:eastAsia="en-US"/>
    </w:rPr>
  </w:style>
  <w:style w:type="paragraph" w:styleId="Signature">
    <w:name w:val="Signature"/>
    <w:basedOn w:val="Normal"/>
    <w:link w:val="SignatureChar"/>
    <w:unhideWhenUsed/>
    <w:rsid w:val="00687E4D"/>
    <w:pPr>
      <w:spacing w:after="0" w:line="240" w:lineRule="auto"/>
      <w:ind w:left="4252"/>
    </w:pPr>
    <w:rPr>
      <w:rFonts w:eastAsia="Calibri" w:cs="Times New Roman"/>
      <w:szCs w:val="20"/>
      <w:lang w:eastAsia="en-US"/>
    </w:rPr>
  </w:style>
  <w:style w:type="character" w:customStyle="1" w:styleId="SignatureChar">
    <w:name w:val="Signature Char"/>
    <w:basedOn w:val="DefaultParagraphFont"/>
    <w:link w:val="Signature"/>
    <w:rsid w:val="00687E4D"/>
    <w:rPr>
      <w:rFonts w:ascii="Times New Roman" w:eastAsia="Calibri" w:hAnsi="Times New Roman" w:cs="Times New Roman"/>
      <w:szCs w:val="20"/>
      <w:lang w:eastAsia="en-US"/>
    </w:rPr>
  </w:style>
  <w:style w:type="paragraph" w:styleId="TOAHeading">
    <w:name w:val="toa heading"/>
    <w:basedOn w:val="Normal"/>
    <w:next w:val="Normal"/>
    <w:unhideWhenUsed/>
    <w:rsid w:val="00687E4D"/>
    <w:pPr>
      <w:spacing w:before="120" w:after="0" w:line="260" w:lineRule="atLeast"/>
    </w:pPr>
    <w:rPr>
      <w:rFonts w:asciiTheme="majorHAnsi" w:eastAsiaTheme="majorEastAsia" w:hAnsiTheme="majorHAnsi" w:cstheme="majorBidi"/>
      <w:b/>
      <w:bCs/>
      <w:sz w:val="24"/>
      <w:szCs w:val="24"/>
      <w:lang w:eastAsia="en-US"/>
    </w:rPr>
  </w:style>
  <w:style w:type="paragraph" w:customStyle="1" w:styleId="tFormula">
    <w:name w:val="t_Formula"/>
    <w:basedOn w:val="Normal"/>
    <w:rsid w:val="00687E4D"/>
    <w:pPr>
      <w:tabs>
        <w:tab w:val="center" w:pos="3969"/>
        <w:tab w:val="right" w:pos="8789"/>
      </w:tabs>
      <w:spacing w:before="120" w:after="60" w:line="240" w:lineRule="auto"/>
      <w:ind w:left="1134" w:hanging="1134"/>
    </w:pPr>
    <w:rPr>
      <w:rFonts w:eastAsia="Times New Roman" w:cs="Times New Roman"/>
      <w:b/>
      <w:i/>
      <w:szCs w:val="20"/>
    </w:rPr>
  </w:style>
  <w:style w:type="paragraph" w:customStyle="1" w:styleId="tParameter">
    <w:name w:val="t_Parameter"/>
    <w:basedOn w:val="Normal"/>
    <w:rsid w:val="00687E4D"/>
    <w:pPr>
      <w:tabs>
        <w:tab w:val="right" w:pos="1985"/>
      </w:tabs>
      <w:spacing w:before="40" w:after="0" w:line="240" w:lineRule="auto"/>
      <w:ind w:left="2098" w:hanging="454"/>
    </w:pPr>
    <w:rPr>
      <w:rFonts w:eastAsia="Times New Roman" w:cs="Times New Roman"/>
      <w:szCs w:val="20"/>
    </w:rPr>
  </w:style>
  <w:style w:type="paragraph" w:customStyle="1" w:styleId="HeaderBoldEven">
    <w:name w:val="HeaderBoldEven"/>
    <w:basedOn w:val="Normal"/>
    <w:rsid w:val="00687E4D"/>
    <w:pPr>
      <w:spacing w:before="120" w:after="60" w:line="240" w:lineRule="auto"/>
    </w:pPr>
    <w:rPr>
      <w:rFonts w:ascii="Arial" w:eastAsia="Times New Roman" w:hAnsi="Arial" w:cs="Times New Roman"/>
      <w:b/>
      <w:sz w:val="20"/>
      <w:szCs w:val="24"/>
    </w:rPr>
  </w:style>
  <w:style w:type="paragraph" w:customStyle="1" w:styleId="HeaderBoldOdd">
    <w:name w:val="HeaderBoldOdd"/>
    <w:basedOn w:val="Normal"/>
    <w:rsid w:val="00687E4D"/>
    <w:pPr>
      <w:spacing w:before="120" w:after="60" w:line="240" w:lineRule="auto"/>
      <w:jc w:val="right"/>
    </w:pPr>
    <w:rPr>
      <w:rFonts w:ascii="Arial" w:eastAsia="Times New Roman" w:hAnsi="Arial" w:cs="Times New Roman"/>
      <w:b/>
      <w:sz w:val="20"/>
      <w:szCs w:val="24"/>
    </w:rPr>
  </w:style>
  <w:style w:type="paragraph" w:customStyle="1" w:styleId="HeaderLiteEven">
    <w:name w:val="HeaderLiteEven"/>
    <w:basedOn w:val="Normal"/>
    <w:rsid w:val="00687E4D"/>
    <w:pPr>
      <w:tabs>
        <w:tab w:val="center" w:pos="3969"/>
        <w:tab w:val="right" w:pos="8505"/>
      </w:tabs>
      <w:spacing w:before="60" w:after="0" w:line="240" w:lineRule="auto"/>
    </w:pPr>
    <w:rPr>
      <w:rFonts w:ascii="Arial" w:eastAsia="Times New Roman" w:hAnsi="Arial" w:cs="Times New Roman"/>
      <w:sz w:val="18"/>
      <w:szCs w:val="24"/>
    </w:rPr>
  </w:style>
  <w:style w:type="paragraph" w:customStyle="1" w:styleId="HeaderContentsPage">
    <w:name w:val="HeaderContents&quot;Page&quot;"/>
    <w:basedOn w:val="Normal"/>
    <w:rsid w:val="00687E4D"/>
    <w:pPr>
      <w:spacing w:before="120" w:after="120" w:line="240" w:lineRule="auto"/>
      <w:jc w:val="right"/>
    </w:pPr>
    <w:rPr>
      <w:rFonts w:ascii="Arial" w:eastAsia="Times New Roman" w:hAnsi="Arial" w:cs="Times New Roman"/>
      <w:sz w:val="20"/>
      <w:szCs w:val="24"/>
    </w:rPr>
  </w:style>
  <w:style w:type="paragraph" w:customStyle="1" w:styleId="HeaderLiteOdd">
    <w:name w:val="HeaderLiteOdd"/>
    <w:basedOn w:val="Normal"/>
    <w:rsid w:val="00687E4D"/>
    <w:pPr>
      <w:tabs>
        <w:tab w:val="center" w:pos="3969"/>
        <w:tab w:val="right" w:pos="8505"/>
      </w:tabs>
      <w:spacing w:before="60" w:after="0" w:line="240" w:lineRule="auto"/>
      <w:jc w:val="right"/>
    </w:pPr>
    <w:rPr>
      <w:rFonts w:ascii="Arial" w:eastAsia="Times New Roman" w:hAnsi="Arial" w:cs="Times New Roman"/>
      <w:sz w:val="18"/>
      <w:szCs w:val="24"/>
    </w:rPr>
  </w:style>
  <w:style w:type="paragraph" w:customStyle="1" w:styleId="FooterDraft">
    <w:name w:val="FooterDraft"/>
    <w:basedOn w:val="Normal"/>
    <w:rsid w:val="00687E4D"/>
    <w:pPr>
      <w:spacing w:after="0" w:line="240" w:lineRule="auto"/>
      <w:jc w:val="center"/>
    </w:pPr>
    <w:rPr>
      <w:rFonts w:ascii="Arial" w:eastAsia="Times New Roman" w:hAnsi="Arial" w:cs="Times New Roman"/>
      <w:b/>
      <w:sz w:val="40"/>
      <w:szCs w:val="24"/>
    </w:rPr>
  </w:style>
  <w:style w:type="paragraph" w:customStyle="1" w:styleId="FooterInfo">
    <w:name w:val="FooterInfo"/>
    <w:basedOn w:val="Normal"/>
    <w:rsid w:val="00687E4D"/>
    <w:pPr>
      <w:spacing w:after="0" w:line="240" w:lineRule="auto"/>
    </w:pPr>
    <w:rPr>
      <w:rFonts w:ascii="Arial" w:eastAsia="Times New Roman" w:hAnsi="Arial" w:cs="Times New Roman"/>
      <w:sz w:val="12"/>
      <w:szCs w:val="24"/>
    </w:rPr>
  </w:style>
  <w:style w:type="numbering" w:styleId="111111">
    <w:name w:val="Outline List 2"/>
    <w:basedOn w:val="NoList"/>
    <w:rsid w:val="00687E4D"/>
    <w:pPr>
      <w:numPr>
        <w:numId w:val="39"/>
      </w:numPr>
    </w:pPr>
  </w:style>
  <w:style w:type="numbering" w:styleId="1ai">
    <w:name w:val="Outline List 1"/>
    <w:basedOn w:val="NoList"/>
    <w:rsid w:val="00687E4D"/>
    <w:pPr>
      <w:numPr>
        <w:numId w:val="40"/>
      </w:numPr>
    </w:pPr>
  </w:style>
  <w:style w:type="numbering" w:styleId="ArticleSection">
    <w:name w:val="Outline List 3"/>
    <w:basedOn w:val="NoList"/>
    <w:rsid w:val="00687E4D"/>
    <w:pPr>
      <w:numPr>
        <w:numId w:val="38"/>
      </w:numPr>
    </w:pPr>
  </w:style>
  <w:style w:type="character" w:styleId="HTMLAcronym">
    <w:name w:val="HTML Acronym"/>
    <w:basedOn w:val="DefaultParagraphFont"/>
    <w:rsid w:val="00687E4D"/>
  </w:style>
  <w:style w:type="character" w:styleId="HTMLCite">
    <w:name w:val="HTML Cite"/>
    <w:basedOn w:val="DefaultParagraphFont"/>
    <w:rsid w:val="00687E4D"/>
    <w:rPr>
      <w:i/>
      <w:iCs/>
    </w:rPr>
  </w:style>
  <w:style w:type="character" w:styleId="HTMLCode">
    <w:name w:val="HTML Code"/>
    <w:basedOn w:val="DefaultParagraphFont"/>
    <w:rsid w:val="00687E4D"/>
    <w:rPr>
      <w:rFonts w:ascii="Courier New" w:hAnsi="Courier New" w:cs="Courier New"/>
      <w:sz w:val="20"/>
      <w:szCs w:val="20"/>
    </w:rPr>
  </w:style>
  <w:style w:type="character" w:styleId="HTMLDefinition">
    <w:name w:val="HTML Definition"/>
    <w:basedOn w:val="DefaultParagraphFont"/>
    <w:rsid w:val="00687E4D"/>
    <w:rPr>
      <w:i/>
      <w:iCs/>
    </w:rPr>
  </w:style>
  <w:style w:type="character" w:styleId="HTMLKeyboard">
    <w:name w:val="HTML Keyboard"/>
    <w:basedOn w:val="DefaultParagraphFont"/>
    <w:rsid w:val="00687E4D"/>
    <w:rPr>
      <w:rFonts w:ascii="Courier New" w:hAnsi="Courier New" w:cs="Courier New"/>
      <w:sz w:val="20"/>
      <w:szCs w:val="20"/>
    </w:rPr>
  </w:style>
  <w:style w:type="character" w:styleId="HTMLSample">
    <w:name w:val="HTML Sample"/>
    <w:basedOn w:val="DefaultParagraphFont"/>
    <w:rsid w:val="00687E4D"/>
    <w:rPr>
      <w:rFonts w:ascii="Courier New" w:hAnsi="Courier New" w:cs="Courier New"/>
    </w:rPr>
  </w:style>
  <w:style w:type="character" w:styleId="HTMLTypewriter">
    <w:name w:val="HTML Typewriter"/>
    <w:basedOn w:val="DefaultParagraphFont"/>
    <w:rsid w:val="00687E4D"/>
    <w:rPr>
      <w:rFonts w:ascii="Courier New" w:hAnsi="Courier New" w:cs="Courier New"/>
      <w:sz w:val="20"/>
      <w:szCs w:val="20"/>
    </w:rPr>
  </w:style>
  <w:style w:type="character" w:styleId="HTMLVariable">
    <w:name w:val="HTML Variable"/>
    <w:basedOn w:val="DefaultParagraphFont"/>
    <w:rsid w:val="00687E4D"/>
    <w:rPr>
      <w:i/>
      <w:iCs/>
    </w:rPr>
  </w:style>
  <w:style w:type="table" w:styleId="Table3Deffects1">
    <w:name w:val="Table 3D effects 1"/>
    <w:basedOn w:val="TableNormal"/>
    <w:rsid w:val="00687E4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87E4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87E4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87E4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87E4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87E4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87E4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87E4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87E4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87E4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87E4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87E4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87E4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87E4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87E4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87E4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87E4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87E4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87E4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87E4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87E4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87E4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87E4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87E4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87E4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87E4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87E4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87E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87E4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87E4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87E4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1">
    <w:name w:val="A1"/>
    <w:aliases w:val="Heading Amendment,1. Amendment"/>
    <w:basedOn w:val="Normal"/>
    <w:next w:val="Normal"/>
    <w:rsid w:val="00687E4D"/>
    <w:pPr>
      <w:keepNext/>
      <w:keepLines/>
      <w:spacing w:before="480" w:after="0" w:line="260" w:lineRule="exact"/>
      <w:ind w:left="964" w:hanging="964"/>
    </w:pPr>
    <w:rPr>
      <w:rFonts w:ascii="Arial" w:eastAsia="Times New Roman" w:hAnsi="Arial" w:cs="Times New Roman"/>
      <w:b/>
      <w:sz w:val="24"/>
      <w:szCs w:val="24"/>
    </w:rPr>
  </w:style>
  <w:style w:type="paragraph" w:customStyle="1" w:styleId="A1S">
    <w:name w:val="A1S"/>
    <w:aliases w:val="1.Schedule Amendment"/>
    <w:basedOn w:val="Normal"/>
    <w:next w:val="A2S"/>
    <w:rsid w:val="00687E4D"/>
    <w:pPr>
      <w:keepNext/>
      <w:keepLines/>
      <w:spacing w:before="480" w:after="0" w:line="260" w:lineRule="exact"/>
      <w:ind w:left="964" w:hanging="964"/>
    </w:pPr>
    <w:rPr>
      <w:rFonts w:ascii="Arial" w:eastAsia="Times New Roman" w:hAnsi="Arial" w:cs="Times New Roman"/>
      <w:b/>
      <w:sz w:val="24"/>
      <w:szCs w:val="24"/>
    </w:rPr>
  </w:style>
  <w:style w:type="paragraph" w:customStyle="1" w:styleId="A2">
    <w:name w:val="A2"/>
    <w:aliases w:val="1.1 amendment,Instruction amendment"/>
    <w:basedOn w:val="Normal"/>
    <w:next w:val="Normal"/>
    <w:rsid w:val="00687E4D"/>
    <w:pPr>
      <w:tabs>
        <w:tab w:val="right" w:pos="794"/>
      </w:tabs>
      <w:spacing w:before="120" w:after="0" w:line="260" w:lineRule="exact"/>
      <w:ind w:left="964" w:hanging="964"/>
      <w:jc w:val="both"/>
    </w:pPr>
    <w:rPr>
      <w:rFonts w:eastAsia="Times New Roman" w:cs="Times New Roman"/>
      <w:sz w:val="24"/>
      <w:szCs w:val="24"/>
    </w:rPr>
  </w:style>
  <w:style w:type="paragraph" w:customStyle="1" w:styleId="A2S">
    <w:name w:val="A2S"/>
    <w:aliases w:val="Schedule Inst Amendment"/>
    <w:basedOn w:val="Normal"/>
    <w:next w:val="A3S"/>
    <w:rsid w:val="00687E4D"/>
    <w:pPr>
      <w:keepNext/>
      <w:spacing w:before="120" w:after="0" w:line="260" w:lineRule="exact"/>
      <w:ind w:left="964"/>
    </w:pPr>
    <w:rPr>
      <w:rFonts w:eastAsia="Times New Roman" w:cs="Times New Roman"/>
      <w:i/>
      <w:sz w:val="24"/>
      <w:szCs w:val="24"/>
    </w:rPr>
  </w:style>
  <w:style w:type="paragraph" w:customStyle="1" w:styleId="A3">
    <w:name w:val="A3"/>
    <w:aliases w:val="1.2 amendment"/>
    <w:basedOn w:val="Normal"/>
    <w:rsid w:val="00687E4D"/>
    <w:pPr>
      <w:tabs>
        <w:tab w:val="right" w:pos="794"/>
      </w:tabs>
      <w:spacing w:before="180" w:after="0" w:line="260" w:lineRule="exact"/>
      <w:ind w:left="964" w:hanging="964"/>
      <w:jc w:val="both"/>
    </w:pPr>
    <w:rPr>
      <w:rFonts w:eastAsia="Times New Roman" w:cs="Times New Roman"/>
      <w:sz w:val="24"/>
      <w:szCs w:val="24"/>
    </w:rPr>
  </w:style>
  <w:style w:type="paragraph" w:customStyle="1" w:styleId="A3S">
    <w:name w:val="A3S"/>
    <w:aliases w:val="Schedule Amendment"/>
    <w:basedOn w:val="Normal"/>
    <w:next w:val="A1S"/>
    <w:rsid w:val="00687E4D"/>
    <w:pPr>
      <w:spacing w:before="60" w:after="0" w:line="260" w:lineRule="exact"/>
      <w:ind w:left="1247"/>
      <w:jc w:val="both"/>
    </w:pPr>
    <w:rPr>
      <w:rFonts w:eastAsia="Times New Roman" w:cs="Times New Roman"/>
      <w:sz w:val="24"/>
      <w:szCs w:val="24"/>
    </w:rPr>
  </w:style>
  <w:style w:type="paragraph" w:customStyle="1" w:styleId="A4">
    <w:name w:val="A4"/>
    <w:aliases w:val="(a) Amendment"/>
    <w:basedOn w:val="Normal"/>
    <w:rsid w:val="00687E4D"/>
    <w:pPr>
      <w:tabs>
        <w:tab w:val="right" w:pos="1247"/>
      </w:tabs>
      <w:spacing w:before="60" w:after="0" w:line="260" w:lineRule="exact"/>
      <w:ind w:left="1531" w:hanging="1531"/>
      <w:jc w:val="both"/>
    </w:pPr>
    <w:rPr>
      <w:rFonts w:eastAsia="Times New Roman" w:cs="Times New Roman"/>
      <w:sz w:val="24"/>
      <w:szCs w:val="24"/>
    </w:rPr>
  </w:style>
  <w:style w:type="paragraph" w:customStyle="1" w:styleId="A5">
    <w:name w:val="A5"/>
    <w:aliases w:val="(i) Amendment"/>
    <w:basedOn w:val="Normal"/>
    <w:rsid w:val="00687E4D"/>
    <w:pPr>
      <w:tabs>
        <w:tab w:val="right" w:pos="1758"/>
      </w:tabs>
      <w:spacing w:before="60" w:after="0" w:line="260" w:lineRule="exact"/>
      <w:ind w:left="2041" w:hanging="2041"/>
      <w:jc w:val="both"/>
    </w:pPr>
    <w:rPr>
      <w:rFonts w:eastAsia="Times New Roman" w:cs="Times New Roman"/>
      <w:sz w:val="24"/>
      <w:szCs w:val="24"/>
    </w:rPr>
  </w:style>
  <w:style w:type="paragraph" w:customStyle="1" w:styleId="AN">
    <w:name w:val="AN"/>
    <w:aliases w:val="Note Amendment"/>
    <w:basedOn w:val="Normal"/>
    <w:next w:val="A1"/>
    <w:rsid w:val="00687E4D"/>
    <w:pPr>
      <w:spacing w:before="120" w:after="0" w:line="220" w:lineRule="exact"/>
      <w:ind w:left="964"/>
      <w:jc w:val="both"/>
    </w:pPr>
    <w:rPr>
      <w:rFonts w:eastAsia="Times New Roman" w:cs="Times New Roman"/>
      <w:sz w:val="20"/>
      <w:szCs w:val="24"/>
    </w:rPr>
  </w:style>
  <w:style w:type="paragraph" w:customStyle="1" w:styleId="ASref">
    <w:name w:val="AS ref"/>
    <w:basedOn w:val="Normal"/>
    <w:next w:val="A1S"/>
    <w:rsid w:val="00687E4D"/>
    <w:pPr>
      <w:keepNext/>
      <w:spacing w:before="60" w:after="0" w:line="200" w:lineRule="exact"/>
      <w:ind w:left="2410"/>
    </w:pPr>
    <w:rPr>
      <w:rFonts w:ascii="Arial" w:eastAsia="Times New Roman" w:hAnsi="Arial" w:cs="Times New Roman"/>
      <w:sz w:val="18"/>
      <w:szCs w:val="18"/>
    </w:rPr>
  </w:style>
  <w:style w:type="paragraph" w:customStyle="1" w:styleId="AS">
    <w:name w:val="AS"/>
    <w:aliases w:val="Schedule title Amendment"/>
    <w:basedOn w:val="Normal"/>
    <w:next w:val="ASref"/>
    <w:rsid w:val="00687E4D"/>
    <w:pPr>
      <w:keepNext/>
      <w:keepLines/>
      <w:spacing w:before="480" w:after="0" w:line="240" w:lineRule="auto"/>
      <w:ind w:left="2410" w:hanging="2410"/>
    </w:pPr>
    <w:rPr>
      <w:rFonts w:ascii="Arial" w:eastAsia="Times New Roman" w:hAnsi="Arial" w:cs="Times New Roman"/>
      <w:b/>
      <w:sz w:val="32"/>
      <w:szCs w:val="24"/>
    </w:rPr>
  </w:style>
  <w:style w:type="paragraph" w:customStyle="1" w:styleId="ASP">
    <w:name w:val="ASP"/>
    <w:aliases w:val="Schedule Part Amendment"/>
    <w:basedOn w:val="Normal"/>
    <w:next w:val="A1S"/>
    <w:rsid w:val="00687E4D"/>
    <w:pPr>
      <w:keepNext/>
      <w:keepLines/>
      <w:spacing w:before="360" w:after="0" w:line="240" w:lineRule="auto"/>
      <w:ind w:left="2410" w:hanging="2410"/>
    </w:pPr>
    <w:rPr>
      <w:rFonts w:ascii="Arial" w:eastAsia="Times New Roman" w:hAnsi="Arial" w:cs="Times New Roman"/>
      <w:b/>
      <w:sz w:val="28"/>
      <w:szCs w:val="24"/>
    </w:rPr>
  </w:style>
  <w:style w:type="character" w:customStyle="1" w:styleId="CharSchPTNo">
    <w:name w:val="CharSchPTNo"/>
    <w:basedOn w:val="DefaultParagraphFont"/>
    <w:rsid w:val="00687E4D"/>
  </w:style>
  <w:style w:type="character" w:customStyle="1" w:styleId="CharSchPTText">
    <w:name w:val="CharSchPTText"/>
    <w:basedOn w:val="DefaultParagraphFont"/>
    <w:rsid w:val="00687E4D"/>
  </w:style>
  <w:style w:type="paragraph" w:customStyle="1" w:styleId="ContentsHead">
    <w:name w:val="ContentsHead"/>
    <w:basedOn w:val="Normal"/>
    <w:next w:val="Normal"/>
    <w:rsid w:val="00687E4D"/>
    <w:pPr>
      <w:keepNext/>
      <w:keepLines/>
      <w:spacing w:before="240" w:after="240" w:line="240" w:lineRule="auto"/>
    </w:pPr>
    <w:rPr>
      <w:rFonts w:ascii="Arial" w:eastAsia="Times New Roman" w:hAnsi="Arial" w:cs="Times New Roman"/>
      <w:b/>
      <w:sz w:val="28"/>
      <w:szCs w:val="24"/>
    </w:rPr>
  </w:style>
  <w:style w:type="paragraph" w:customStyle="1" w:styleId="ContentsSectionBreak">
    <w:name w:val="ContentsSectionBreak"/>
    <w:basedOn w:val="Normal"/>
    <w:next w:val="Normal"/>
    <w:rsid w:val="00687E4D"/>
    <w:pPr>
      <w:spacing w:after="0" w:line="240" w:lineRule="auto"/>
    </w:pPr>
    <w:rPr>
      <w:rFonts w:eastAsia="Times New Roman" w:cs="Times New Roman"/>
      <w:sz w:val="24"/>
      <w:szCs w:val="24"/>
    </w:rPr>
  </w:style>
  <w:style w:type="paragraph" w:customStyle="1" w:styleId="DD">
    <w:name w:val="DD"/>
    <w:aliases w:val="Dictionary Definition"/>
    <w:basedOn w:val="Normal"/>
    <w:rsid w:val="00687E4D"/>
    <w:pPr>
      <w:spacing w:before="80" w:after="0" w:line="260" w:lineRule="exact"/>
      <w:jc w:val="both"/>
    </w:pPr>
    <w:rPr>
      <w:rFonts w:eastAsia="Times New Roman" w:cs="Times New Roman"/>
      <w:sz w:val="24"/>
      <w:szCs w:val="24"/>
    </w:rPr>
  </w:style>
  <w:style w:type="paragraph" w:customStyle="1" w:styleId="definition">
    <w:name w:val="definition"/>
    <w:basedOn w:val="Normal"/>
    <w:rsid w:val="00687E4D"/>
    <w:pPr>
      <w:spacing w:before="80" w:after="0" w:line="260" w:lineRule="exact"/>
      <w:ind w:left="964"/>
      <w:jc w:val="both"/>
    </w:pPr>
    <w:rPr>
      <w:rFonts w:eastAsia="Times New Roman" w:cs="Times New Roman"/>
      <w:sz w:val="24"/>
      <w:szCs w:val="24"/>
    </w:rPr>
  </w:style>
  <w:style w:type="paragraph" w:customStyle="1" w:styleId="DictionaryHeading">
    <w:name w:val="Dictionary Heading"/>
    <w:basedOn w:val="Normal"/>
    <w:next w:val="DD"/>
    <w:rsid w:val="00687E4D"/>
    <w:pPr>
      <w:keepNext/>
      <w:keepLines/>
      <w:spacing w:before="480" w:after="0" w:line="240" w:lineRule="auto"/>
      <w:ind w:left="2552" w:hanging="2552"/>
    </w:pPr>
    <w:rPr>
      <w:rFonts w:ascii="Arial" w:eastAsia="Times New Roman" w:hAnsi="Arial" w:cs="Times New Roman"/>
      <w:b/>
      <w:sz w:val="32"/>
      <w:szCs w:val="24"/>
    </w:rPr>
  </w:style>
  <w:style w:type="paragraph" w:customStyle="1" w:styleId="DictionarySectionBreak">
    <w:name w:val="DictionarySectionBreak"/>
    <w:basedOn w:val="Normal"/>
    <w:next w:val="Normal"/>
    <w:rsid w:val="00687E4D"/>
    <w:pPr>
      <w:spacing w:after="0" w:line="240" w:lineRule="auto"/>
    </w:pPr>
    <w:rPr>
      <w:rFonts w:eastAsia="Times New Roman" w:cs="Times New Roman"/>
      <w:sz w:val="24"/>
      <w:szCs w:val="24"/>
    </w:rPr>
  </w:style>
  <w:style w:type="paragraph" w:customStyle="1" w:styleId="DNote">
    <w:name w:val="DNote"/>
    <w:aliases w:val="DictionaryNote"/>
    <w:basedOn w:val="Normal"/>
    <w:rsid w:val="00687E4D"/>
    <w:pPr>
      <w:spacing w:before="120" w:after="0" w:line="220" w:lineRule="exact"/>
      <w:ind w:left="425"/>
      <w:jc w:val="both"/>
    </w:pPr>
    <w:rPr>
      <w:rFonts w:eastAsia="Times New Roman" w:cs="Times New Roman"/>
      <w:sz w:val="20"/>
      <w:szCs w:val="24"/>
    </w:rPr>
  </w:style>
  <w:style w:type="paragraph" w:customStyle="1" w:styleId="DP1a">
    <w:name w:val="DP1(a)"/>
    <w:aliases w:val="Dictionary (a)"/>
    <w:basedOn w:val="Normal"/>
    <w:rsid w:val="00687E4D"/>
    <w:pPr>
      <w:tabs>
        <w:tab w:val="right" w:pos="709"/>
      </w:tabs>
      <w:spacing w:before="60" w:after="0" w:line="260" w:lineRule="exact"/>
      <w:ind w:left="936" w:hanging="936"/>
      <w:jc w:val="both"/>
    </w:pPr>
    <w:rPr>
      <w:rFonts w:eastAsia="Times New Roman" w:cs="Times New Roman"/>
      <w:sz w:val="24"/>
      <w:szCs w:val="24"/>
    </w:rPr>
  </w:style>
  <w:style w:type="paragraph" w:customStyle="1" w:styleId="DP2i">
    <w:name w:val="DP2(i)"/>
    <w:aliases w:val="Dictionary(i)"/>
    <w:basedOn w:val="Normal"/>
    <w:rsid w:val="00687E4D"/>
    <w:pPr>
      <w:tabs>
        <w:tab w:val="right" w:pos="1276"/>
      </w:tabs>
      <w:spacing w:before="60" w:after="0" w:line="260" w:lineRule="exact"/>
      <w:ind w:left="1503" w:hanging="1503"/>
      <w:jc w:val="both"/>
    </w:pPr>
    <w:rPr>
      <w:rFonts w:eastAsia="Times New Roman" w:cs="Times New Roman"/>
      <w:sz w:val="24"/>
      <w:szCs w:val="24"/>
    </w:rPr>
  </w:style>
  <w:style w:type="paragraph" w:customStyle="1" w:styleId="ExampleBody">
    <w:name w:val="Example Body"/>
    <w:basedOn w:val="Normal"/>
    <w:rsid w:val="00687E4D"/>
    <w:pPr>
      <w:keepLines/>
      <w:spacing w:before="60" w:after="0" w:line="220" w:lineRule="exact"/>
      <w:ind w:left="964"/>
      <w:jc w:val="both"/>
    </w:pPr>
    <w:rPr>
      <w:rFonts w:eastAsia="Times New Roman" w:cs="Times New Roman"/>
      <w:sz w:val="20"/>
      <w:szCs w:val="24"/>
    </w:rPr>
  </w:style>
  <w:style w:type="paragraph" w:customStyle="1" w:styleId="ExampleList">
    <w:name w:val="Example List"/>
    <w:basedOn w:val="Normal"/>
    <w:rsid w:val="00687E4D"/>
    <w:pPr>
      <w:keepLines/>
      <w:tabs>
        <w:tab w:val="left" w:pos="1247"/>
        <w:tab w:val="left" w:pos="1349"/>
      </w:tabs>
      <w:spacing w:before="60" w:after="0" w:line="220" w:lineRule="exact"/>
      <w:ind w:left="340" w:firstLine="652"/>
      <w:jc w:val="both"/>
    </w:pPr>
    <w:rPr>
      <w:rFonts w:eastAsia="Times New Roman" w:cs="Times New Roman"/>
      <w:sz w:val="20"/>
      <w:szCs w:val="24"/>
    </w:rPr>
  </w:style>
  <w:style w:type="paragraph" w:customStyle="1" w:styleId="HC">
    <w:name w:val="HC"/>
    <w:aliases w:val="Chapter Heading"/>
    <w:basedOn w:val="Normal"/>
    <w:next w:val="Normal"/>
    <w:rsid w:val="00687E4D"/>
    <w:pPr>
      <w:keepNext/>
      <w:keepLines/>
      <w:pageBreakBefore/>
      <w:spacing w:before="480" w:after="0" w:line="240" w:lineRule="auto"/>
      <w:ind w:left="2410" w:hanging="2410"/>
    </w:pPr>
    <w:rPr>
      <w:rFonts w:ascii="Arial" w:eastAsia="Times New Roman" w:hAnsi="Arial" w:cs="Times New Roman"/>
      <w:b/>
      <w:sz w:val="40"/>
      <w:szCs w:val="24"/>
    </w:rPr>
  </w:style>
  <w:style w:type="paragraph" w:customStyle="1" w:styleId="HD">
    <w:name w:val="HD"/>
    <w:aliases w:val="Division Heading"/>
    <w:basedOn w:val="Normal"/>
    <w:next w:val="HR"/>
    <w:rsid w:val="00687E4D"/>
    <w:pPr>
      <w:keepNext/>
      <w:keepLines/>
      <w:spacing w:before="360" w:after="0" w:line="240" w:lineRule="auto"/>
      <w:ind w:left="2410" w:hanging="2410"/>
    </w:pPr>
    <w:rPr>
      <w:rFonts w:ascii="Arial" w:eastAsia="Times New Roman" w:hAnsi="Arial" w:cs="Times New Roman"/>
      <w:b/>
      <w:sz w:val="28"/>
      <w:szCs w:val="24"/>
    </w:rPr>
  </w:style>
  <w:style w:type="paragraph" w:customStyle="1" w:styleId="HE">
    <w:name w:val="HE"/>
    <w:aliases w:val="Example heading"/>
    <w:basedOn w:val="Normal"/>
    <w:next w:val="ExampleBody"/>
    <w:rsid w:val="00687E4D"/>
    <w:pPr>
      <w:keepNext/>
      <w:spacing w:before="120" w:after="0" w:line="220" w:lineRule="exact"/>
      <w:ind w:left="964"/>
    </w:pPr>
    <w:rPr>
      <w:rFonts w:eastAsia="Times New Roman" w:cs="Times New Roman"/>
      <w:i/>
      <w:sz w:val="20"/>
      <w:szCs w:val="24"/>
    </w:rPr>
  </w:style>
  <w:style w:type="paragraph" w:customStyle="1" w:styleId="HP">
    <w:name w:val="HP"/>
    <w:aliases w:val="Part Heading"/>
    <w:basedOn w:val="Normal"/>
    <w:next w:val="HD"/>
    <w:rsid w:val="00687E4D"/>
    <w:pPr>
      <w:keepNext/>
      <w:keepLines/>
      <w:spacing w:before="360" w:after="0" w:line="240" w:lineRule="auto"/>
      <w:ind w:left="2410" w:hanging="2410"/>
    </w:pPr>
    <w:rPr>
      <w:rFonts w:ascii="Arial" w:eastAsia="Times New Roman" w:hAnsi="Arial" w:cs="Times New Roman"/>
      <w:b/>
      <w:sz w:val="32"/>
      <w:szCs w:val="24"/>
    </w:rPr>
  </w:style>
  <w:style w:type="paragraph" w:customStyle="1" w:styleId="HR">
    <w:name w:val="HR"/>
    <w:aliases w:val="Regulation Heading"/>
    <w:basedOn w:val="Normal"/>
    <w:next w:val="R1"/>
    <w:rsid w:val="00687E4D"/>
    <w:pPr>
      <w:keepNext/>
      <w:keepLines/>
      <w:spacing w:before="360" w:after="0" w:line="240" w:lineRule="auto"/>
      <w:ind w:left="964" w:hanging="964"/>
    </w:pPr>
    <w:rPr>
      <w:rFonts w:ascii="Arial" w:eastAsia="Times New Roman" w:hAnsi="Arial" w:cs="Times New Roman"/>
      <w:b/>
      <w:sz w:val="24"/>
      <w:szCs w:val="24"/>
    </w:rPr>
  </w:style>
  <w:style w:type="paragraph" w:customStyle="1" w:styleId="HS">
    <w:name w:val="HS"/>
    <w:aliases w:val="Subdiv Heading"/>
    <w:basedOn w:val="Normal"/>
    <w:next w:val="HR"/>
    <w:rsid w:val="00687E4D"/>
    <w:pPr>
      <w:keepNext/>
      <w:keepLines/>
      <w:spacing w:before="360" w:after="0" w:line="240" w:lineRule="auto"/>
      <w:ind w:left="2410" w:hanging="2410"/>
    </w:pPr>
    <w:rPr>
      <w:rFonts w:ascii="Arial" w:eastAsia="Times New Roman" w:hAnsi="Arial" w:cs="Times New Roman"/>
      <w:b/>
      <w:sz w:val="24"/>
      <w:szCs w:val="24"/>
    </w:rPr>
  </w:style>
  <w:style w:type="paragraph" w:customStyle="1" w:styleId="HSR">
    <w:name w:val="HSR"/>
    <w:aliases w:val="Subregulation Heading"/>
    <w:basedOn w:val="Normal"/>
    <w:next w:val="Normal"/>
    <w:rsid w:val="00687E4D"/>
    <w:pPr>
      <w:keepNext/>
      <w:spacing w:before="300" w:after="0" w:line="240" w:lineRule="auto"/>
      <w:ind w:left="964"/>
    </w:pPr>
    <w:rPr>
      <w:rFonts w:ascii="Arial" w:eastAsia="Times New Roman" w:hAnsi="Arial" w:cs="Times New Roman"/>
      <w:i/>
      <w:sz w:val="24"/>
      <w:szCs w:val="24"/>
    </w:rPr>
  </w:style>
  <w:style w:type="paragraph" w:customStyle="1" w:styleId="Lt">
    <w:name w:val="Lt"/>
    <w:aliases w:val="Long title"/>
    <w:basedOn w:val="Normal"/>
    <w:rsid w:val="00687E4D"/>
    <w:pPr>
      <w:spacing w:before="260" w:after="0" w:line="240" w:lineRule="auto"/>
    </w:pPr>
    <w:rPr>
      <w:rFonts w:ascii="Arial" w:eastAsia="Times New Roman" w:hAnsi="Arial" w:cs="Times New Roman"/>
      <w:b/>
      <w:sz w:val="28"/>
      <w:szCs w:val="24"/>
    </w:rPr>
  </w:style>
  <w:style w:type="paragraph" w:customStyle="1" w:styleId="M1">
    <w:name w:val="M1"/>
    <w:aliases w:val="Modification Heading"/>
    <w:basedOn w:val="Normal"/>
    <w:next w:val="Normal"/>
    <w:rsid w:val="00687E4D"/>
    <w:pPr>
      <w:keepNext/>
      <w:spacing w:before="480" w:after="0" w:line="260" w:lineRule="exact"/>
      <w:ind w:left="964" w:hanging="964"/>
    </w:pPr>
    <w:rPr>
      <w:rFonts w:ascii="Arial" w:eastAsia="Times New Roman" w:hAnsi="Arial" w:cs="Times New Roman"/>
      <w:b/>
      <w:sz w:val="24"/>
      <w:szCs w:val="24"/>
    </w:rPr>
  </w:style>
  <w:style w:type="paragraph" w:customStyle="1" w:styleId="M2">
    <w:name w:val="M2"/>
    <w:aliases w:val="Modification Instruction"/>
    <w:basedOn w:val="Normal"/>
    <w:next w:val="Normal"/>
    <w:rsid w:val="00687E4D"/>
    <w:pPr>
      <w:keepNext/>
      <w:spacing w:before="120" w:after="0" w:line="260" w:lineRule="exact"/>
      <w:ind w:left="964"/>
    </w:pPr>
    <w:rPr>
      <w:rFonts w:eastAsia="Times New Roman" w:cs="Times New Roman"/>
      <w:i/>
      <w:sz w:val="24"/>
      <w:szCs w:val="24"/>
    </w:rPr>
  </w:style>
  <w:style w:type="paragraph" w:customStyle="1" w:styleId="M3">
    <w:name w:val="M3"/>
    <w:aliases w:val="Modification Text"/>
    <w:basedOn w:val="Normal"/>
    <w:next w:val="M1"/>
    <w:rsid w:val="00687E4D"/>
    <w:pPr>
      <w:spacing w:before="60" w:after="0" w:line="260" w:lineRule="exact"/>
      <w:ind w:left="1247"/>
      <w:jc w:val="both"/>
    </w:pPr>
    <w:rPr>
      <w:rFonts w:eastAsia="Times New Roman" w:cs="Times New Roman"/>
      <w:sz w:val="24"/>
      <w:szCs w:val="24"/>
    </w:rPr>
  </w:style>
  <w:style w:type="paragraph" w:customStyle="1" w:styleId="MainBodySectionBreak">
    <w:name w:val="MainBody Section Break"/>
    <w:basedOn w:val="Normal"/>
    <w:next w:val="Normal"/>
    <w:rsid w:val="00687E4D"/>
    <w:pPr>
      <w:spacing w:after="0" w:line="240" w:lineRule="auto"/>
    </w:pPr>
    <w:rPr>
      <w:rFonts w:eastAsia="Times New Roman" w:cs="Times New Roman"/>
      <w:sz w:val="24"/>
      <w:szCs w:val="24"/>
    </w:rPr>
  </w:style>
  <w:style w:type="paragraph" w:customStyle="1" w:styleId="Maker">
    <w:name w:val="Maker"/>
    <w:basedOn w:val="Normal"/>
    <w:rsid w:val="00687E4D"/>
    <w:pPr>
      <w:tabs>
        <w:tab w:val="left" w:pos="3119"/>
      </w:tabs>
      <w:spacing w:after="0" w:line="300" w:lineRule="atLeast"/>
    </w:pPr>
    <w:rPr>
      <w:rFonts w:eastAsia="Times New Roman" w:cs="Times New Roman"/>
      <w:sz w:val="24"/>
      <w:szCs w:val="24"/>
    </w:rPr>
  </w:style>
  <w:style w:type="paragraph" w:customStyle="1" w:styleId="MHD">
    <w:name w:val="MHD"/>
    <w:aliases w:val="Mod Division Heading"/>
    <w:basedOn w:val="Normal"/>
    <w:next w:val="Normal"/>
    <w:rsid w:val="00687E4D"/>
    <w:pPr>
      <w:keepNext/>
      <w:spacing w:before="360" w:after="0" w:line="240" w:lineRule="auto"/>
      <w:ind w:left="2410" w:hanging="2410"/>
    </w:pPr>
    <w:rPr>
      <w:rFonts w:eastAsia="Times New Roman" w:cs="Times New Roman"/>
      <w:b/>
      <w:sz w:val="28"/>
      <w:szCs w:val="24"/>
    </w:rPr>
  </w:style>
  <w:style w:type="paragraph" w:customStyle="1" w:styleId="MHP">
    <w:name w:val="MHP"/>
    <w:aliases w:val="Mod Part Heading"/>
    <w:basedOn w:val="Normal"/>
    <w:next w:val="Normal"/>
    <w:rsid w:val="00687E4D"/>
    <w:pPr>
      <w:keepNext/>
      <w:spacing w:before="360" w:after="0" w:line="240" w:lineRule="auto"/>
      <w:ind w:left="2410" w:hanging="2410"/>
    </w:pPr>
    <w:rPr>
      <w:rFonts w:eastAsia="Times New Roman" w:cs="Times New Roman"/>
      <w:b/>
      <w:sz w:val="32"/>
      <w:szCs w:val="24"/>
    </w:rPr>
  </w:style>
  <w:style w:type="paragraph" w:customStyle="1" w:styleId="MHR">
    <w:name w:val="MHR"/>
    <w:aliases w:val="Mod Regulation Heading"/>
    <w:basedOn w:val="Normal"/>
    <w:next w:val="Normal"/>
    <w:rsid w:val="00687E4D"/>
    <w:pPr>
      <w:keepNext/>
      <w:spacing w:before="360" w:after="0" w:line="240" w:lineRule="auto"/>
      <w:ind w:left="964" w:hanging="964"/>
    </w:pPr>
    <w:rPr>
      <w:rFonts w:eastAsia="Times New Roman" w:cs="Times New Roman"/>
      <w:b/>
      <w:sz w:val="24"/>
      <w:szCs w:val="24"/>
    </w:rPr>
  </w:style>
  <w:style w:type="paragraph" w:customStyle="1" w:styleId="MHS">
    <w:name w:val="MHS"/>
    <w:aliases w:val="Mod Subdivision Heading"/>
    <w:basedOn w:val="Normal"/>
    <w:next w:val="MHR"/>
    <w:rsid w:val="00687E4D"/>
    <w:pPr>
      <w:keepNext/>
      <w:spacing w:before="360" w:after="0" w:line="240" w:lineRule="auto"/>
      <w:ind w:left="2410" w:hanging="2410"/>
    </w:pPr>
    <w:rPr>
      <w:rFonts w:eastAsia="Times New Roman" w:cs="Times New Roman"/>
      <w:b/>
      <w:sz w:val="24"/>
      <w:szCs w:val="24"/>
    </w:rPr>
  </w:style>
  <w:style w:type="paragraph" w:customStyle="1" w:styleId="MHSR">
    <w:name w:val="MHSR"/>
    <w:aliases w:val="Mod Subregulation Heading"/>
    <w:basedOn w:val="Normal"/>
    <w:next w:val="Normal"/>
    <w:rsid w:val="00687E4D"/>
    <w:pPr>
      <w:keepNext/>
      <w:spacing w:before="300" w:after="0" w:line="240" w:lineRule="auto"/>
      <w:ind w:left="964" w:hanging="964"/>
    </w:pPr>
    <w:rPr>
      <w:rFonts w:eastAsia="Times New Roman" w:cs="Times New Roman"/>
      <w:i/>
      <w:sz w:val="24"/>
      <w:szCs w:val="24"/>
    </w:rPr>
  </w:style>
  <w:style w:type="paragraph" w:customStyle="1" w:styleId="NoteEnd">
    <w:name w:val="Note End"/>
    <w:basedOn w:val="Normal"/>
    <w:rsid w:val="00687E4D"/>
    <w:pPr>
      <w:keepLines/>
      <w:spacing w:before="120" w:after="0" w:line="240" w:lineRule="exact"/>
      <w:ind w:left="567" w:hanging="567"/>
      <w:jc w:val="both"/>
    </w:pPr>
    <w:rPr>
      <w:rFonts w:eastAsia="Times New Roman" w:cs="Times New Roman"/>
      <w:szCs w:val="24"/>
    </w:rPr>
  </w:style>
  <w:style w:type="paragraph" w:customStyle="1" w:styleId="Notepara">
    <w:name w:val="Note para"/>
    <w:basedOn w:val="Normal"/>
    <w:rsid w:val="00687E4D"/>
    <w:pPr>
      <w:keepLines/>
      <w:spacing w:before="60" w:after="0" w:line="220" w:lineRule="exact"/>
      <w:ind w:left="1304" w:hanging="340"/>
      <w:jc w:val="both"/>
    </w:pPr>
    <w:rPr>
      <w:rFonts w:eastAsia="Times New Roman" w:cs="Times New Roman"/>
      <w:sz w:val="20"/>
      <w:szCs w:val="24"/>
    </w:rPr>
  </w:style>
  <w:style w:type="paragraph" w:customStyle="1" w:styleId="NotesSectionBreak">
    <w:name w:val="NotesSectionBreak"/>
    <w:basedOn w:val="Normal"/>
    <w:next w:val="Normal"/>
    <w:rsid w:val="00687E4D"/>
    <w:pPr>
      <w:spacing w:after="0" w:line="240" w:lineRule="auto"/>
    </w:pPr>
    <w:rPr>
      <w:rFonts w:eastAsia="Times New Roman" w:cs="Times New Roman"/>
      <w:sz w:val="24"/>
      <w:szCs w:val="24"/>
    </w:rPr>
  </w:style>
  <w:style w:type="paragraph" w:customStyle="1" w:styleId="P1">
    <w:name w:val="P1"/>
    <w:aliases w:val="(a)"/>
    <w:basedOn w:val="Normal"/>
    <w:rsid w:val="00687E4D"/>
    <w:pPr>
      <w:keepLines/>
      <w:tabs>
        <w:tab w:val="right" w:pos="1191"/>
      </w:tabs>
      <w:spacing w:before="60" w:after="0" w:line="260" w:lineRule="exact"/>
      <w:ind w:left="1418" w:hanging="1418"/>
      <w:jc w:val="both"/>
    </w:pPr>
    <w:rPr>
      <w:rFonts w:eastAsia="Times New Roman" w:cs="Times New Roman"/>
      <w:sz w:val="24"/>
      <w:szCs w:val="24"/>
    </w:rPr>
  </w:style>
  <w:style w:type="paragraph" w:customStyle="1" w:styleId="P2">
    <w:name w:val="P2"/>
    <w:aliases w:val="(i)"/>
    <w:basedOn w:val="Normal"/>
    <w:rsid w:val="00687E4D"/>
    <w:pPr>
      <w:keepLines/>
      <w:tabs>
        <w:tab w:val="right" w:pos="1758"/>
        <w:tab w:val="left" w:pos="2155"/>
      </w:tabs>
      <w:spacing w:before="60" w:after="0" w:line="260" w:lineRule="exact"/>
      <w:ind w:left="1985" w:hanging="1985"/>
      <w:jc w:val="both"/>
    </w:pPr>
    <w:rPr>
      <w:rFonts w:eastAsia="Times New Roman" w:cs="Times New Roman"/>
      <w:sz w:val="24"/>
      <w:szCs w:val="24"/>
    </w:rPr>
  </w:style>
  <w:style w:type="paragraph" w:customStyle="1" w:styleId="P3">
    <w:name w:val="P3"/>
    <w:aliases w:val="(A)"/>
    <w:basedOn w:val="Normal"/>
    <w:rsid w:val="00687E4D"/>
    <w:pPr>
      <w:tabs>
        <w:tab w:val="right" w:pos="2410"/>
      </w:tabs>
      <w:spacing w:before="60" w:after="0" w:line="260" w:lineRule="exact"/>
      <w:ind w:left="2693" w:hanging="2693"/>
      <w:jc w:val="both"/>
    </w:pPr>
    <w:rPr>
      <w:rFonts w:eastAsia="Times New Roman" w:cs="Times New Roman"/>
      <w:sz w:val="24"/>
      <w:szCs w:val="24"/>
    </w:rPr>
  </w:style>
  <w:style w:type="paragraph" w:customStyle="1" w:styleId="P4">
    <w:name w:val="P4"/>
    <w:aliases w:val="(I)"/>
    <w:basedOn w:val="Normal"/>
    <w:rsid w:val="00687E4D"/>
    <w:pPr>
      <w:tabs>
        <w:tab w:val="right" w:pos="3119"/>
      </w:tabs>
      <w:spacing w:before="60" w:after="0" w:line="260" w:lineRule="exact"/>
      <w:ind w:left="3419" w:hanging="3419"/>
      <w:jc w:val="both"/>
    </w:pPr>
    <w:rPr>
      <w:rFonts w:eastAsia="Times New Roman" w:cs="Times New Roman"/>
      <w:sz w:val="24"/>
      <w:szCs w:val="24"/>
    </w:rPr>
  </w:style>
  <w:style w:type="paragraph" w:customStyle="1" w:styleId="Query">
    <w:name w:val="Query"/>
    <w:aliases w:val="QY"/>
    <w:basedOn w:val="Normal"/>
    <w:rsid w:val="00687E4D"/>
    <w:pPr>
      <w:spacing w:before="180" w:after="0" w:line="260" w:lineRule="exact"/>
      <w:ind w:left="964" w:hanging="964"/>
      <w:jc w:val="both"/>
    </w:pPr>
    <w:rPr>
      <w:rFonts w:eastAsia="Times New Roman" w:cs="Times New Roman"/>
      <w:b/>
      <w:i/>
      <w:sz w:val="24"/>
      <w:szCs w:val="24"/>
    </w:rPr>
  </w:style>
  <w:style w:type="paragraph" w:customStyle="1" w:styleId="R1">
    <w:name w:val="R1"/>
    <w:aliases w:val="1. or 1.(1)"/>
    <w:basedOn w:val="Normal"/>
    <w:next w:val="R2"/>
    <w:rsid w:val="00687E4D"/>
    <w:pPr>
      <w:keepLines/>
      <w:tabs>
        <w:tab w:val="right" w:pos="794"/>
      </w:tabs>
      <w:spacing w:before="120" w:after="0" w:line="260" w:lineRule="exact"/>
      <w:ind w:left="964" w:hanging="964"/>
      <w:jc w:val="both"/>
    </w:pPr>
    <w:rPr>
      <w:rFonts w:eastAsia="Times New Roman" w:cs="Times New Roman"/>
      <w:sz w:val="24"/>
      <w:szCs w:val="24"/>
    </w:rPr>
  </w:style>
  <w:style w:type="paragraph" w:customStyle="1" w:styleId="R2">
    <w:name w:val="R2"/>
    <w:aliases w:val="(2)"/>
    <w:basedOn w:val="Normal"/>
    <w:rsid w:val="00687E4D"/>
    <w:pPr>
      <w:keepLines/>
      <w:tabs>
        <w:tab w:val="right" w:pos="794"/>
      </w:tabs>
      <w:spacing w:before="180" w:after="0" w:line="260" w:lineRule="exact"/>
      <w:ind w:left="964" w:hanging="964"/>
      <w:jc w:val="both"/>
    </w:pPr>
    <w:rPr>
      <w:rFonts w:eastAsia="Times New Roman" w:cs="Times New Roman"/>
      <w:sz w:val="24"/>
      <w:szCs w:val="24"/>
    </w:rPr>
  </w:style>
  <w:style w:type="paragraph" w:customStyle="1" w:styleId="Rc">
    <w:name w:val="Rc"/>
    <w:aliases w:val="Rn continued"/>
    <w:basedOn w:val="Normal"/>
    <w:next w:val="R2"/>
    <w:rsid w:val="00687E4D"/>
    <w:pPr>
      <w:spacing w:before="60" w:after="0" w:line="260" w:lineRule="exact"/>
      <w:ind w:left="964"/>
      <w:jc w:val="both"/>
    </w:pPr>
    <w:rPr>
      <w:rFonts w:eastAsia="Times New Roman" w:cs="Times New Roman"/>
      <w:sz w:val="24"/>
      <w:szCs w:val="24"/>
    </w:rPr>
  </w:style>
  <w:style w:type="paragraph" w:customStyle="1" w:styleId="ReadersGuideSectionBreak">
    <w:name w:val="ReadersGuideSectionBreak"/>
    <w:basedOn w:val="Normal"/>
    <w:next w:val="Normal"/>
    <w:rsid w:val="00687E4D"/>
    <w:pPr>
      <w:spacing w:after="0" w:line="240" w:lineRule="auto"/>
    </w:pPr>
    <w:rPr>
      <w:rFonts w:eastAsia="Times New Roman" w:cs="Times New Roman"/>
      <w:sz w:val="24"/>
      <w:szCs w:val="24"/>
    </w:rPr>
  </w:style>
  <w:style w:type="paragraph" w:customStyle="1" w:styleId="RGHead">
    <w:name w:val="RGHead"/>
    <w:basedOn w:val="Normal"/>
    <w:next w:val="Normal"/>
    <w:rsid w:val="00687E4D"/>
    <w:pPr>
      <w:keepNext/>
      <w:spacing w:before="360" w:after="0" w:line="240" w:lineRule="auto"/>
    </w:pPr>
    <w:rPr>
      <w:rFonts w:ascii="Arial" w:eastAsia="Times New Roman" w:hAnsi="Arial" w:cs="Times New Roman"/>
      <w:b/>
      <w:sz w:val="32"/>
      <w:szCs w:val="24"/>
    </w:rPr>
  </w:style>
  <w:style w:type="paragraph" w:customStyle="1" w:styleId="RGPara">
    <w:name w:val="RGPara"/>
    <w:aliases w:val="Readers Guide Para"/>
    <w:basedOn w:val="Normal"/>
    <w:rsid w:val="00687E4D"/>
    <w:pPr>
      <w:spacing w:before="120" w:after="0" w:line="260" w:lineRule="exact"/>
      <w:jc w:val="both"/>
    </w:pPr>
    <w:rPr>
      <w:rFonts w:eastAsia="Times New Roman" w:cs="Times New Roman"/>
      <w:sz w:val="24"/>
      <w:szCs w:val="24"/>
    </w:rPr>
  </w:style>
  <w:style w:type="paragraph" w:customStyle="1" w:styleId="RGPtHd">
    <w:name w:val="RGPtHd"/>
    <w:aliases w:val="Readers Guide PT Heading"/>
    <w:basedOn w:val="Normal"/>
    <w:next w:val="Normal"/>
    <w:rsid w:val="00687E4D"/>
    <w:pPr>
      <w:keepNext/>
      <w:spacing w:before="360" w:after="0" w:line="240" w:lineRule="auto"/>
    </w:pPr>
    <w:rPr>
      <w:rFonts w:ascii="Arial" w:eastAsia="Times New Roman" w:hAnsi="Arial" w:cs="Times New Roman"/>
      <w:b/>
      <w:sz w:val="28"/>
      <w:szCs w:val="24"/>
    </w:rPr>
  </w:style>
  <w:style w:type="paragraph" w:customStyle="1" w:styleId="RGSecHdg">
    <w:name w:val="RGSecHdg"/>
    <w:aliases w:val="Readers Guide Sec Heading"/>
    <w:basedOn w:val="Normal"/>
    <w:next w:val="RGPara"/>
    <w:rsid w:val="00687E4D"/>
    <w:pPr>
      <w:keepNext/>
      <w:spacing w:before="360" w:after="0" w:line="240" w:lineRule="auto"/>
      <w:ind w:left="964" w:hanging="964"/>
    </w:pPr>
    <w:rPr>
      <w:rFonts w:ascii="Arial" w:eastAsia="Times New Roman" w:hAnsi="Arial" w:cs="Times New Roman"/>
      <w:b/>
      <w:sz w:val="24"/>
      <w:szCs w:val="24"/>
    </w:rPr>
  </w:style>
  <w:style w:type="paragraph" w:customStyle="1" w:styleId="LandscapeSectionBreak">
    <w:name w:val="LandscapeSectionBreak"/>
    <w:basedOn w:val="Normal"/>
    <w:next w:val="Normal"/>
    <w:rsid w:val="00687E4D"/>
    <w:pPr>
      <w:spacing w:after="0" w:line="240" w:lineRule="auto"/>
    </w:pPr>
    <w:rPr>
      <w:rFonts w:eastAsia="Times New Roman" w:cs="Times New Roman"/>
      <w:sz w:val="24"/>
      <w:szCs w:val="24"/>
    </w:rPr>
  </w:style>
  <w:style w:type="paragraph" w:customStyle="1" w:styleId="ScheduleDivision">
    <w:name w:val="Schedule Division"/>
    <w:basedOn w:val="Normal"/>
    <w:next w:val="ScheduleHeading"/>
    <w:rsid w:val="00687E4D"/>
    <w:pPr>
      <w:keepNext/>
      <w:keepLines/>
      <w:spacing w:before="360" w:after="0" w:line="240" w:lineRule="auto"/>
      <w:ind w:left="1559" w:hanging="1559"/>
    </w:pPr>
    <w:rPr>
      <w:rFonts w:ascii="Arial" w:eastAsia="Times New Roman" w:hAnsi="Arial" w:cs="Times New Roman"/>
      <w:b/>
      <w:sz w:val="24"/>
      <w:szCs w:val="24"/>
    </w:rPr>
  </w:style>
  <w:style w:type="character" w:customStyle="1" w:styleId="CharSchNo">
    <w:name w:val="CharSchNo"/>
    <w:basedOn w:val="DefaultParagraphFont"/>
    <w:rsid w:val="00687E4D"/>
  </w:style>
  <w:style w:type="character" w:customStyle="1" w:styleId="CharSchText">
    <w:name w:val="CharSchText"/>
    <w:basedOn w:val="DefaultParagraphFont"/>
    <w:rsid w:val="00687E4D"/>
  </w:style>
  <w:style w:type="paragraph" w:customStyle="1" w:styleId="IntroP1a">
    <w:name w:val="IntroP1(a)"/>
    <w:basedOn w:val="Normal"/>
    <w:rsid w:val="00687E4D"/>
    <w:pPr>
      <w:spacing w:before="60" w:after="0" w:line="260" w:lineRule="exact"/>
      <w:ind w:left="454" w:hanging="454"/>
      <w:jc w:val="both"/>
    </w:pPr>
    <w:rPr>
      <w:rFonts w:eastAsia="Times New Roman" w:cs="Times New Roman"/>
      <w:sz w:val="24"/>
      <w:szCs w:val="24"/>
    </w:rPr>
  </w:style>
  <w:style w:type="character" w:customStyle="1" w:styleId="CharAmSchPTNo">
    <w:name w:val="CharAmSchPTNo"/>
    <w:basedOn w:val="DefaultParagraphFont"/>
    <w:rsid w:val="00687E4D"/>
  </w:style>
  <w:style w:type="character" w:customStyle="1" w:styleId="CharAmSchPTText">
    <w:name w:val="CharAmSchPTText"/>
    <w:basedOn w:val="DefaultParagraphFont"/>
    <w:rsid w:val="00687E4D"/>
  </w:style>
  <w:style w:type="paragraph" w:customStyle="1" w:styleId="Footerinfo0">
    <w:name w:val="Footerinfo"/>
    <w:basedOn w:val="Footer"/>
    <w:rsid w:val="00687E4D"/>
    <w:pPr>
      <w:tabs>
        <w:tab w:val="clear" w:pos="4513"/>
        <w:tab w:val="clear" w:pos="9026"/>
        <w:tab w:val="center" w:pos="3600"/>
        <w:tab w:val="right" w:pos="7201"/>
      </w:tabs>
      <w:spacing w:before="20"/>
      <w:jc w:val="center"/>
    </w:pPr>
    <w:rPr>
      <w:rFonts w:ascii="Arial" w:eastAsia="Times New Roman" w:hAnsi="Arial" w:cs="Times New Roman"/>
      <w:i/>
      <w:sz w:val="12"/>
      <w:szCs w:val="18"/>
    </w:rPr>
  </w:style>
  <w:style w:type="paragraph" w:customStyle="1" w:styleId="FooterPageEven">
    <w:name w:val="FooterPageEven"/>
    <w:basedOn w:val="FooterPageOdd"/>
    <w:rsid w:val="00687E4D"/>
    <w:pPr>
      <w:jc w:val="left"/>
    </w:pPr>
  </w:style>
  <w:style w:type="paragraph" w:customStyle="1" w:styleId="FooterPageOdd">
    <w:name w:val="FooterPageOdd"/>
    <w:basedOn w:val="Footer"/>
    <w:rsid w:val="00687E4D"/>
    <w:pPr>
      <w:tabs>
        <w:tab w:val="clear" w:pos="4513"/>
        <w:tab w:val="clear" w:pos="9026"/>
        <w:tab w:val="center" w:pos="3600"/>
        <w:tab w:val="right" w:pos="7201"/>
      </w:tabs>
      <w:spacing w:before="20"/>
      <w:jc w:val="right"/>
    </w:pPr>
    <w:rPr>
      <w:rFonts w:ascii="Arial" w:eastAsia="Times New Roman" w:hAnsi="Arial" w:cs="Times New Roman"/>
      <w:szCs w:val="18"/>
    </w:rPr>
  </w:style>
  <w:style w:type="paragraph" w:customStyle="1" w:styleId="FooterCitation">
    <w:name w:val="FooterCitation"/>
    <w:basedOn w:val="Footer"/>
    <w:rsid w:val="00687E4D"/>
    <w:pPr>
      <w:tabs>
        <w:tab w:val="clear" w:pos="4513"/>
        <w:tab w:val="clear" w:pos="9026"/>
        <w:tab w:val="center" w:pos="4153"/>
        <w:tab w:val="right" w:pos="8306"/>
      </w:tabs>
      <w:spacing w:before="20" w:line="240" w:lineRule="exact"/>
      <w:jc w:val="center"/>
    </w:pPr>
    <w:rPr>
      <w:rFonts w:ascii="Arial" w:eastAsia="Times New Roman" w:hAnsi="Arial" w:cs="Times New Roman"/>
      <w:i/>
      <w:sz w:val="18"/>
      <w:szCs w:val="24"/>
    </w:rPr>
  </w:style>
  <w:style w:type="paragraph" w:customStyle="1" w:styleId="SchedSectionBreak">
    <w:name w:val="SchedSectionBreak"/>
    <w:basedOn w:val="Normal"/>
    <w:next w:val="Normal"/>
    <w:rsid w:val="00687E4D"/>
    <w:pPr>
      <w:spacing w:after="0" w:line="240" w:lineRule="auto"/>
    </w:pPr>
    <w:rPr>
      <w:rFonts w:eastAsia="Times New Roman" w:cs="Times New Roman"/>
      <w:sz w:val="24"/>
      <w:szCs w:val="24"/>
    </w:rPr>
  </w:style>
  <w:style w:type="paragraph" w:customStyle="1" w:styleId="ScheduleHeading">
    <w:name w:val="Schedule Heading"/>
    <w:basedOn w:val="Normal"/>
    <w:next w:val="Normal"/>
    <w:rsid w:val="00687E4D"/>
    <w:pPr>
      <w:keepNext/>
      <w:keepLines/>
      <w:spacing w:before="360" w:after="0" w:line="240" w:lineRule="auto"/>
      <w:ind w:left="964" w:hanging="964"/>
    </w:pPr>
    <w:rPr>
      <w:rFonts w:ascii="Arial" w:eastAsia="Times New Roman" w:hAnsi="Arial" w:cs="Times New Roman"/>
      <w:b/>
      <w:sz w:val="24"/>
      <w:szCs w:val="24"/>
    </w:rPr>
  </w:style>
  <w:style w:type="paragraph" w:customStyle="1" w:styleId="Schedulelist">
    <w:name w:val="Schedule list"/>
    <w:basedOn w:val="Normal"/>
    <w:rsid w:val="00687E4D"/>
    <w:pPr>
      <w:tabs>
        <w:tab w:val="right" w:pos="1985"/>
      </w:tabs>
      <w:spacing w:before="60" w:after="0" w:line="260" w:lineRule="exact"/>
      <w:ind w:left="454"/>
    </w:pPr>
    <w:rPr>
      <w:rFonts w:eastAsia="Times New Roman" w:cs="Times New Roman"/>
      <w:sz w:val="24"/>
      <w:szCs w:val="24"/>
    </w:rPr>
  </w:style>
  <w:style w:type="paragraph" w:customStyle="1" w:styleId="Schedulepara">
    <w:name w:val="Schedule para"/>
    <w:basedOn w:val="Normal"/>
    <w:rsid w:val="00687E4D"/>
    <w:pPr>
      <w:tabs>
        <w:tab w:val="right" w:pos="567"/>
      </w:tabs>
      <w:spacing w:before="180" w:after="0" w:line="260" w:lineRule="exact"/>
      <w:ind w:left="964" w:hanging="964"/>
      <w:jc w:val="both"/>
    </w:pPr>
    <w:rPr>
      <w:rFonts w:eastAsia="Times New Roman" w:cs="Times New Roman"/>
      <w:sz w:val="24"/>
      <w:szCs w:val="24"/>
    </w:rPr>
  </w:style>
  <w:style w:type="paragraph" w:customStyle="1" w:styleId="Schedulepart">
    <w:name w:val="Schedule part"/>
    <w:basedOn w:val="Normal"/>
    <w:rsid w:val="00687E4D"/>
    <w:pPr>
      <w:keepNext/>
      <w:keepLines/>
      <w:spacing w:before="360" w:after="0" w:line="240" w:lineRule="auto"/>
      <w:ind w:left="1559" w:hanging="1559"/>
    </w:pPr>
    <w:rPr>
      <w:rFonts w:ascii="Arial" w:eastAsia="Times New Roman" w:hAnsi="Arial" w:cs="Times New Roman"/>
      <w:b/>
      <w:sz w:val="28"/>
      <w:szCs w:val="24"/>
    </w:rPr>
  </w:style>
  <w:style w:type="paragraph" w:customStyle="1" w:styleId="Schedulereference">
    <w:name w:val="Schedule reference"/>
    <w:basedOn w:val="Normal"/>
    <w:next w:val="Schedulepart"/>
    <w:rsid w:val="00687E4D"/>
    <w:pPr>
      <w:keepNext/>
      <w:keepLines/>
      <w:spacing w:before="60" w:after="0" w:line="200" w:lineRule="exact"/>
      <w:ind w:left="2410"/>
    </w:pPr>
    <w:rPr>
      <w:rFonts w:ascii="Arial" w:eastAsia="Times New Roman" w:hAnsi="Arial" w:cs="Times New Roman"/>
      <w:sz w:val="18"/>
      <w:szCs w:val="24"/>
    </w:rPr>
  </w:style>
  <w:style w:type="paragraph" w:customStyle="1" w:styleId="Scheduletitle">
    <w:name w:val="Schedule title"/>
    <w:basedOn w:val="Normal"/>
    <w:next w:val="Schedulereference"/>
    <w:rsid w:val="00687E4D"/>
    <w:pPr>
      <w:keepNext/>
      <w:keepLines/>
      <w:spacing w:before="480" w:after="0" w:line="240" w:lineRule="auto"/>
      <w:ind w:left="2410" w:hanging="2410"/>
    </w:pPr>
    <w:rPr>
      <w:rFonts w:ascii="Arial" w:eastAsia="Times New Roman" w:hAnsi="Arial" w:cs="Times New Roman"/>
      <w:b/>
      <w:sz w:val="32"/>
      <w:szCs w:val="24"/>
    </w:rPr>
  </w:style>
  <w:style w:type="paragraph" w:customStyle="1" w:styleId="SigningPageBreak">
    <w:name w:val="SigningPageBreak"/>
    <w:basedOn w:val="Normal"/>
    <w:next w:val="Normal"/>
    <w:rsid w:val="00687E4D"/>
    <w:pPr>
      <w:spacing w:after="0" w:line="240" w:lineRule="auto"/>
    </w:pPr>
    <w:rPr>
      <w:rFonts w:eastAsia="Times New Roman" w:cs="Times New Roman"/>
      <w:sz w:val="24"/>
      <w:szCs w:val="24"/>
    </w:rPr>
  </w:style>
  <w:style w:type="paragraph" w:customStyle="1" w:styleId="SRNo">
    <w:name w:val="SRNo"/>
    <w:basedOn w:val="Normal"/>
    <w:next w:val="Normal"/>
    <w:rsid w:val="00687E4D"/>
    <w:pPr>
      <w:pBdr>
        <w:bottom w:val="single" w:sz="4" w:space="3" w:color="auto"/>
      </w:pBdr>
      <w:spacing w:before="480" w:after="0" w:line="240" w:lineRule="auto"/>
    </w:pPr>
    <w:rPr>
      <w:rFonts w:ascii="Arial" w:eastAsia="Times New Roman" w:hAnsi="Arial" w:cs="Times New Roman"/>
      <w:b/>
      <w:sz w:val="24"/>
      <w:szCs w:val="24"/>
    </w:rPr>
  </w:style>
  <w:style w:type="paragraph" w:customStyle="1" w:styleId="TableColHead">
    <w:name w:val="TableColHead"/>
    <w:basedOn w:val="Normal"/>
    <w:rsid w:val="00687E4D"/>
    <w:pPr>
      <w:keepNext/>
      <w:spacing w:before="120" w:after="60" w:line="200" w:lineRule="exact"/>
    </w:pPr>
    <w:rPr>
      <w:rFonts w:ascii="Arial" w:eastAsia="Times New Roman" w:hAnsi="Arial" w:cs="Times New Roman"/>
      <w:b/>
      <w:sz w:val="18"/>
      <w:szCs w:val="24"/>
    </w:rPr>
  </w:style>
  <w:style w:type="table" w:customStyle="1" w:styleId="TableGeneral">
    <w:name w:val="TableGeneral"/>
    <w:basedOn w:val="TableNormal"/>
    <w:rsid w:val="00687E4D"/>
    <w:pPr>
      <w:spacing w:before="60" w:after="60" w:line="240" w:lineRule="exact"/>
    </w:pPr>
    <w:rPr>
      <w:rFonts w:ascii="Times New Roman" w:eastAsia="Times New Roman" w:hAnsi="Times New Roman" w:cs="Times New Roman"/>
      <w:szCs w:val="20"/>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687E4D"/>
    <w:pPr>
      <w:tabs>
        <w:tab w:val="right" w:pos="408"/>
      </w:tabs>
      <w:spacing w:after="60" w:line="240" w:lineRule="exact"/>
      <w:ind w:left="533" w:hanging="533"/>
    </w:pPr>
    <w:rPr>
      <w:rFonts w:eastAsia="Times New Roman" w:cs="Times New Roman"/>
      <w:szCs w:val="24"/>
    </w:rPr>
  </w:style>
  <w:style w:type="paragraph" w:customStyle="1" w:styleId="TableP2i">
    <w:name w:val="TableP2(i)"/>
    <w:basedOn w:val="Normal"/>
    <w:rsid w:val="00687E4D"/>
    <w:pPr>
      <w:tabs>
        <w:tab w:val="right" w:pos="726"/>
      </w:tabs>
      <w:spacing w:after="60" w:line="240" w:lineRule="exact"/>
      <w:ind w:left="868" w:hanging="868"/>
    </w:pPr>
    <w:rPr>
      <w:rFonts w:eastAsia="Times New Roman" w:cs="Times New Roman"/>
      <w:szCs w:val="24"/>
    </w:rPr>
  </w:style>
  <w:style w:type="paragraph" w:customStyle="1" w:styleId="TableText2">
    <w:name w:val="TableText"/>
    <w:basedOn w:val="Normal"/>
    <w:rsid w:val="00687E4D"/>
    <w:pPr>
      <w:spacing w:before="60" w:after="60" w:line="240" w:lineRule="exact"/>
    </w:pPr>
    <w:rPr>
      <w:rFonts w:eastAsia="Times New Roman" w:cs="Times New Roman"/>
      <w:szCs w:val="24"/>
    </w:rPr>
  </w:style>
  <w:style w:type="paragraph" w:customStyle="1" w:styleId="TOC">
    <w:name w:val="TOC"/>
    <w:basedOn w:val="Normal"/>
    <w:next w:val="Normal"/>
    <w:rsid w:val="00687E4D"/>
    <w:pPr>
      <w:tabs>
        <w:tab w:val="right" w:pos="7088"/>
      </w:tabs>
      <w:spacing w:after="120" w:line="240" w:lineRule="auto"/>
    </w:pPr>
    <w:rPr>
      <w:rFonts w:ascii="Arial" w:eastAsia="Times New Roman" w:hAnsi="Arial" w:cs="Times New Roman"/>
      <w:sz w:val="20"/>
      <w:szCs w:val="24"/>
      <w:lang w:eastAsia="en-US"/>
    </w:rPr>
  </w:style>
  <w:style w:type="paragraph" w:customStyle="1" w:styleId="IntroP2i">
    <w:name w:val="IntroP2(i)"/>
    <w:basedOn w:val="Normal"/>
    <w:rsid w:val="00687E4D"/>
    <w:pPr>
      <w:tabs>
        <w:tab w:val="right" w:pos="709"/>
      </w:tabs>
      <w:spacing w:before="60" w:after="0" w:line="260" w:lineRule="exact"/>
      <w:ind w:left="907" w:hanging="907"/>
      <w:jc w:val="both"/>
    </w:pPr>
    <w:rPr>
      <w:rFonts w:eastAsia="Times New Roman" w:cs="Times New Roman"/>
      <w:sz w:val="24"/>
      <w:szCs w:val="24"/>
    </w:rPr>
  </w:style>
  <w:style w:type="paragraph" w:customStyle="1" w:styleId="IntroP3A">
    <w:name w:val="IntroP3(A)"/>
    <w:basedOn w:val="Normal"/>
    <w:rsid w:val="00687E4D"/>
    <w:pPr>
      <w:tabs>
        <w:tab w:val="right" w:pos="1276"/>
      </w:tabs>
      <w:spacing w:before="60" w:after="0" w:line="260" w:lineRule="exact"/>
      <w:ind w:left="1503" w:hanging="1503"/>
      <w:jc w:val="both"/>
    </w:pPr>
    <w:rPr>
      <w:rFonts w:eastAsia="Times New Roman" w:cs="Times New Roman"/>
      <w:sz w:val="24"/>
      <w:szCs w:val="24"/>
    </w:rPr>
  </w:style>
  <w:style w:type="paragraph" w:customStyle="1" w:styleId="InstructorsNote">
    <w:name w:val="InstructorsNote"/>
    <w:basedOn w:val="Normal"/>
    <w:next w:val="Normal"/>
    <w:rsid w:val="00687E4D"/>
    <w:pPr>
      <w:spacing w:before="120" w:after="0" w:line="240" w:lineRule="auto"/>
      <w:ind w:left="958" w:hanging="958"/>
    </w:pPr>
    <w:rPr>
      <w:rFonts w:ascii="Arial" w:eastAsia="Times New Roman" w:hAnsi="Arial" w:cs="Arial"/>
      <w:b/>
      <w:sz w:val="16"/>
      <w:szCs w:val="18"/>
      <w:lang w:eastAsia="en-US"/>
    </w:rPr>
  </w:style>
  <w:style w:type="paragraph" w:customStyle="1" w:styleId="ZA2">
    <w:name w:val="ZA2"/>
    <w:basedOn w:val="A2"/>
    <w:rsid w:val="00687E4D"/>
    <w:pPr>
      <w:keepNext/>
    </w:pPr>
  </w:style>
  <w:style w:type="paragraph" w:customStyle="1" w:styleId="ZA3">
    <w:name w:val="ZA3"/>
    <w:basedOn w:val="A3"/>
    <w:rsid w:val="00687E4D"/>
    <w:pPr>
      <w:keepNext/>
    </w:pPr>
  </w:style>
  <w:style w:type="paragraph" w:customStyle="1" w:styleId="ZA4">
    <w:name w:val="ZA4"/>
    <w:basedOn w:val="Normal"/>
    <w:next w:val="A4"/>
    <w:rsid w:val="00687E4D"/>
    <w:pPr>
      <w:keepNext/>
      <w:tabs>
        <w:tab w:val="right" w:pos="1247"/>
      </w:tabs>
      <w:spacing w:before="60" w:after="0" w:line="260" w:lineRule="exact"/>
      <w:ind w:left="1531" w:hanging="1531"/>
      <w:jc w:val="both"/>
    </w:pPr>
    <w:rPr>
      <w:rFonts w:eastAsia="Times New Roman" w:cs="Times New Roman"/>
      <w:sz w:val="24"/>
      <w:szCs w:val="24"/>
    </w:rPr>
  </w:style>
  <w:style w:type="paragraph" w:customStyle="1" w:styleId="ZDD">
    <w:name w:val="ZDD"/>
    <w:aliases w:val="Dict Def"/>
    <w:basedOn w:val="DD"/>
    <w:rsid w:val="00687E4D"/>
    <w:pPr>
      <w:keepNext/>
    </w:pPr>
  </w:style>
  <w:style w:type="paragraph" w:customStyle="1" w:styleId="Zdefinition">
    <w:name w:val="Zdefinition"/>
    <w:basedOn w:val="definition"/>
    <w:rsid w:val="00687E4D"/>
    <w:pPr>
      <w:keepNext/>
    </w:pPr>
  </w:style>
  <w:style w:type="paragraph" w:customStyle="1" w:styleId="ZDP1">
    <w:name w:val="ZDP1"/>
    <w:basedOn w:val="DP1a"/>
    <w:rsid w:val="00687E4D"/>
    <w:pPr>
      <w:keepNext/>
    </w:pPr>
  </w:style>
  <w:style w:type="paragraph" w:customStyle="1" w:styleId="ZExampleBody">
    <w:name w:val="ZExample Body"/>
    <w:basedOn w:val="ExampleBody"/>
    <w:rsid w:val="00687E4D"/>
    <w:pPr>
      <w:keepNext/>
    </w:pPr>
  </w:style>
  <w:style w:type="paragraph" w:customStyle="1" w:styleId="ZNote">
    <w:name w:val="ZNote"/>
    <w:basedOn w:val="Note"/>
    <w:rsid w:val="00687E4D"/>
    <w:pPr>
      <w:keepNext/>
      <w:keepLines/>
      <w:spacing w:before="120" w:after="0" w:line="220" w:lineRule="exact"/>
      <w:ind w:left="964"/>
      <w:jc w:val="both"/>
    </w:pPr>
    <w:rPr>
      <w:rFonts w:ascii="Times New Roman" w:eastAsia="Times New Roman" w:hAnsi="Times New Roman" w:cs="Times New Roman"/>
      <w:i w:val="0"/>
      <w:sz w:val="20"/>
      <w:szCs w:val="24"/>
      <w:lang w:eastAsia="en-AU"/>
    </w:rPr>
  </w:style>
  <w:style w:type="paragraph" w:customStyle="1" w:styleId="ZP1">
    <w:name w:val="ZP1"/>
    <w:basedOn w:val="P1"/>
    <w:rsid w:val="00687E4D"/>
    <w:pPr>
      <w:keepNext/>
    </w:pPr>
  </w:style>
  <w:style w:type="paragraph" w:customStyle="1" w:styleId="ZP2">
    <w:name w:val="ZP2"/>
    <w:basedOn w:val="P2"/>
    <w:rsid w:val="00687E4D"/>
    <w:pPr>
      <w:keepNext/>
    </w:pPr>
  </w:style>
  <w:style w:type="paragraph" w:customStyle="1" w:styleId="ZP3">
    <w:name w:val="ZP3"/>
    <w:basedOn w:val="P3"/>
    <w:rsid w:val="00687E4D"/>
    <w:pPr>
      <w:keepNext/>
    </w:pPr>
  </w:style>
  <w:style w:type="paragraph" w:customStyle="1" w:styleId="ZR1">
    <w:name w:val="ZR1"/>
    <w:basedOn w:val="R1"/>
    <w:rsid w:val="00687E4D"/>
    <w:pPr>
      <w:keepNext/>
    </w:pPr>
  </w:style>
  <w:style w:type="paragraph" w:customStyle="1" w:styleId="ZR2">
    <w:name w:val="ZR2"/>
    <w:basedOn w:val="R2"/>
    <w:rsid w:val="00687E4D"/>
    <w:pPr>
      <w:keepNext/>
    </w:pPr>
  </w:style>
  <w:style w:type="paragraph" w:customStyle="1" w:styleId="ZRcN">
    <w:name w:val="ZRcN"/>
    <w:basedOn w:val="Rc"/>
    <w:rsid w:val="00687E4D"/>
    <w:pPr>
      <w:keepNext/>
    </w:pPr>
  </w:style>
  <w:style w:type="character" w:customStyle="1" w:styleId="TitleSuperscript">
    <w:name w:val="TitleSuperscript"/>
    <w:basedOn w:val="DefaultParagraphFont"/>
    <w:rsid w:val="00687E4D"/>
    <w:rPr>
      <w:rFonts w:ascii="Arial" w:hAnsi="Arial"/>
      <w:position w:val="6"/>
      <w:sz w:val="24"/>
      <w:szCs w:val="24"/>
      <w:vertAlign w:val="superscript"/>
    </w:rPr>
  </w:style>
  <w:style w:type="paragraph" w:customStyle="1" w:styleId="top1">
    <w:name w:val="top1"/>
    <w:basedOn w:val="Normal"/>
    <w:rsid w:val="00687E4D"/>
    <w:pPr>
      <w:keepNext/>
      <w:tabs>
        <w:tab w:val="right" w:pos="7218"/>
      </w:tabs>
      <w:spacing w:before="120" w:after="0" w:line="240" w:lineRule="auto"/>
      <w:ind w:left="2410" w:right="136" w:hanging="1418"/>
    </w:pPr>
    <w:rPr>
      <w:rFonts w:ascii="Arial" w:eastAsia="Times New Roman" w:hAnsi="Arial" w:cs="Times New Roman"/>
      <w:b/>
      <w:sz w:val="18"/>
      <w:szCs w:val="24"/>
      <w:lang w:eastAsia="en-US"/>
    </w:rPr>
  </w:style>
  <w:style w:type="paragraph" w:customStyle="1" w:styleId="top2">
    <w:name w:val="top2"/>
    <w:basedOn w:val="Normal"/>
    <w:rsid w:val="00687E4D"/>
    <w:pPr>
      <w:tabs>
        <w:tab w:val="left" w:pos="3686"/>
        <w:tab w:val="right" w:pos="7082"/>
      </w:tabs>
      <w:spacing w:before="80" w:after="0" w:line="240" w:lineRule="auto"/>
      <w:ind w:left="2410" w:hanging="1168"/>
    </w:pPr>
    <w:rPr>
      <w:rFonts w:ascii="Arial" w:eastAsia="Times New Roman" w:hAnsi="Arial" w:cs="Times New Roman"/>
      <w:b/>
      <w:sz w:val="18"/>
      <w:szCs w:val="24"/>
      <w:lang w:eastAsia="en-US"/>
    </w:rPr>
  </w:style>
  <w:style w:type="paragraph" w:customStyle="1" w:styleId="top3">
    <w:name w:val="top3"/>
    <w:basedOn w:val="Normal"/>
    <w:rsid w:val="00687E4D"/>
    <w:pPr>
      <w:spacing w:before="80" w:after="0" w:line="240" w:lineRule="auto"/>
      <w:ind w:left="2410" w:hanging="1168"/>
    </w:pPr>
    <w:rPr>
      <w:rFonts w:ascii="Arial" w:eastAsia="Times New Roman" w:hAnsi="Arial" w:cs="Times New Roman"/>
      <w:sz w:val="18"/>
      <w:szCs w:val="24"/>
      <w:lang w:eastAsia="en-US"/>
    </w:rPr>
  </w:style>
  <w:style w:type="paragraph" w:customStyle="1" w:styleId="CHS">
    <w:name w:val="CHS"/>
    <w:aliases w:val="CASA Subdivision Heading"/>
    <w:basedOn w:val="HS"/>
    <w:next w:val="HR"/>
    <w:rsid w:val="00687E4D"/>
    <w:rPr>
      <w:b w:val="0"/>
      <w:i/>
    </w:rPr>
  </w:style>
  <w:style w:type="paragraph" w:customStyle="1" w:styleId="r10">
    <w:name w:val="r1"/>
    <w:basedOn w:val="Normal"/>
    <w:rsid w:val="00687E4D"/>
    <w:pPr>
      <w:spacing w:before="100" w:beforeAutospacing="1" w:after="100" w:afterAutospacing="1" w:line="240" w:lineRule="auto"/>
    </w:pPr>
    <w:rPr>
      <w:rFonts w:eastAsia="Times New Roman" w:cs="Times New Roman"/>
      <w:sz w:val="24"/>
      <w:szCs w:val="24"/>
    </w:rPr>
  </w:style>
  <w:style w:type="paragraph" w:customStyle="1" w:styleId="p10">
    <w:name w:val="p1"/>
    <w:basedOn w:val="Normal"/>
    <w:rsid w:val="00687E4D"/>
    <w:pPr>
      <w:spacing w:before="100" w:beforeAutospacing="1" w:after="100" w:afterAutospacing="1" w:line="240" w:lineRule="auto"/>
    </w:pPr>
    <w:rPr>
      <w:rFonts w:eastAsia="Times New Roman" w:cs="Times New Roman"/>
      <w:sz w:val="24"/>
      <w:szCs w:val="24"/>
    </w:rPr>
  </w:style>
  <w:style w:type="paragraph" w:customStyle="1" w:styleId="Lvl2Bulletpoint">
    <w:name w:val="Lvl 2 Bullet point"/>
    <w:basedOn w:val="ListBullet"/>
    <w:link w:val="Lvl2BulletpointChar"/>
    <w:qFormat/>
    <w:rsid w:val="009B6ED8"/>
    <w:pPr>
      <w:numPr>
        <w:ilvl w:val="1"/>
      </w:numPr>
      <w:ind w:left="851" w:hanging="284"/>
    </w:pPr>
  </w:style>
  <w:style w:type="paragraph" w:customStyle="1" w:styleId="FNBullet">
    <w:name w:val="FN Bullet"/>
    <w:basedOn w:val="Lvl1Bulletpoint"/>
    <w:link w:val="FNBulletChar"/>
    <w:qFormat/>
    <w:rsid w:val="00D17F9C"/>
    <w:pPr>
      <w:numPr>
        <w:numId w:val="68"/>
      </w:numPr>
      <w:spacing w:before="0" w:after="0"/>
      <w:ind w:left="567" w:hanging="283"/>
    </w:pPr>
    <w:rPr>
      <w:sz w:val="16"/>
      <w:szCs w:val="16"/>
    </w:rPr>
  </w:style>
  <w:style w:type="character" w:customStyle="1" w:styleId="ListBulletChar">
    <w:name w:val="List Bullet Char"/>
    <w:basedOn w:val="DefaultParagraphFont"/>
    <w:link w:val="ListBullet"/>
    <w:uiPriority w:val="99"/>
    <w:rsid w:val="00C53AB4"/>
    <w:rPr>
      <w:rFonts w:ascii="Times New Roman" w:hAnsi="Times New Roman"/>
    </w:rPr>
  </w:style>
  <w:style w:type="character" w:customStyle="1" w:styleId="Lvl2BulletpointChar">
    <w:name w:val="Lvl 2 Bullet point Char"/>
    <w:basedOn w:val="ListBulletChar"/>
    <w:link w:val="Lvl2Bulletpoint"/>
    <w:rsid w:val="009B6ED8"/>
    <w:rPr>
      <w:rFonts w:ascii="Times New Roman" w:hAnsi="Times New Roman"/>
    </w:rPr>
  </w:style>
  <w:style w:type="paragraph" w:customStyle="1" w:styleId="Footnote">
    <w:name w:val="Footnote"/>
    <w:basedOn w:val="FootnoteText"/>
    <w:link w:val="FootnoteChar"/>
    <w:qFormat/>
    <w:rsid w:val="008A7F92"/>
    <w:rPr>
      <w:rFonts w:cs="Times New Roman"/>
      <w:sz w:val="16"/>
      <w:szCs w:val="16"/>
    </w:rPr>
  </w:style>
  <w:style w:type="character" w:customStyle="1" w:styleId="Lvl1BulletpointChar">
    <w:name w:val="Lvl 1 Bullet point Char"/>
    <w:basedOn w:val="ListParagraphChar"/>
    <w:link w:val="Lvl1Bulletpoint"/>
    <w:rsid w:val="00A82DE6"/>
    <w:rPr>
      <w:rFonts w:ascii="Times New Roman" w:hAnsi="Times New Roman"/>
    </w:rPr>
  </w:style>
  <w:style w:type="character" w:customStyle="1" w:styleId="FNBulletChar">
    <w:name w:val="FN Bullet Char"/>
    <w:basedOn w:val="Lvl1BulletpointChar"/>
    <w:link w:val="FNBullet"/>
    <w:rsid w:val="00D17F9C"/>
    <w:rPr>
      <w:rFonts w:ascii="Times New Roman" w:hAnsi="Times New Roman"/>
      <w:sz w:val="16"/>
      <w:szCs w:val="16"/>
    </w:rPr>
  </w:style>
  <w:style w:type="character" w:customStyle="1" w:styleId="FootnoteChar">
    <w:name w:val="Footnote Char"/>
    <w:basedOn w:val="FootnoteTextChar"/>
    <w:link w:val="Footnote"/>
    <w:rsid w:val="008A7F92"/>
    <w:rPr>
      <w:rFonts w:ascii="Times New Roman" w:hAnsi="Times New Roman" w:cs="Times New Roman"/>
      <w:sz w:val="16"/>
      <w:szCs w:val="16"/>
    </w:rPr>
  </w:style>
  <w:style w:type="paragraph" w:customStyle="1" w:styleId="Bulletpoint">
    <w:name w:val="Bullet point"/>
    <w:basedOn w:val="ListBullet"/>
    <w:qFormat/>
    <w:rsid w:val="009845D5"/>
    <w:pPr>
      <w:numPr>
        <w:numId w:val="0"/>
      </w:numPr>
      <w:tabs>
        <w:tab w:val="left" w:pos="340"/>
      </w:tabs>
      <w:spacing w:before="120" w:after="0" w:line="240" w:lineRule="auto"/>
      <w:ind w:left="360" w:hanging="360"/>
      <w:contextualSpacing w:val="0"/>
    </w:pPr>
    <w:rPr>
      <w:rFonts w:ascii="Arial" w:eastAsiaTheme="minorHAnsi" w:hAnsi="Arial" w:cs="Times New Roman"/>
      <w:lang w:eastAsia="en-US"/>
    </w:rPr>
  </w:style>
  <w:style w:type="paragraph" w:customStyle="1" w:styleId="Ruleadvicetext">
    <w:name w:val="Rule advice text"/>
    <w:basedOn w:val="Caption"/>
    <w:link w:val="RuleadvicetextChar"/>
    <w:rsid w:val="009845D5"/>
    <w:rPr>
      <w:b w:val="0"/>
    </w:rPr>
  </w:style>
  <w:style w:type="character" w:customStyle="1" w:styleId="CaptionChar">
    <w:name w:val="Caption Char"/>
    <w:aliases w:val="Rule advice heading Char"/>
    <w:basedOn w:val="DefaultParagraphFont"/>
    <w:link w:val="Caption"/>
    <w:uiPriority w:val="35"/>
    <w:rsid w:val="00AF7032"/>
    <w:rPr>
      <w:rFonts w:ascii="Verdana" w:hAnsi="Verdana" w:cs="Times New Roman"/>
      <w:b/>
      <w:bCs/>
      <w:sz w:val="21"/>
      <w:szCs w:val="21"/>
    </w:rPr>
  </w:style>
  <w:style w:type="character" w:customStyle="1" w:styleId="RuleadvicetextChar">
    <w:name w:val="Rule advice text Char"/>
    <w:basedOn w:val="CaptionChar"/>
    <w:link w:val="Ruleadvicetext"/>
    <w:rsid w:val="009845D5"/>
    <w:rPr>
      <w:rFonts w:ascii="Verdana" w:hAnsi="Verdana" w:cs="Times New Roman"/>
      <w:b w:val="0"/>
      <w:bCs/>
      <w:sz w:val="20"/>
      <w:szCs w:val="18"/>
    </w:rPr>
  </w:style>
  <w:style w:type="paragraph" w:customStyle="1" w:styleId="BoxText0">
    <w:name w:val="Box Text"/>
    <w:basedOn w:val="Normal"/>
    <w:rsid w:val="009845D5"/>
    <w:pPr>
      <w:shd w:val="clear" w:color="auto" w:fill="F2F2F2" w:themeFill="background1" w:themeFillShade="F2"/>
      <w:spacing w:before="200" w:after="0" w:line="240" w:lineRule="auto"/>
    </w:pPr>
    <w:rPr>
      <w:rFonts w:ascii="Arial" w:eastAsia="Times New Roman" w:hAnsi="Arial" w:cs="Times New Roman"/>
      <w:szCs w:val="20"/>
      <w:lang w:eastAsia="en-US"/>
    </w:rPr>
  </w:style>
  <w:style w:type="paragraph" w:customStyle="1" w:styleId="Boxedbullets">
    <w:name w:val="Boxed bullets"/>
    <w:basedOn w:val="Bulletpoint"/>
    <w:rsid w:val="009845D5"/>
    <w:pPr>
      <w:numPr>
        <w:numId w:val="73"/>
      </w:numPr>
      <w:shd w:val="clear" w:color="auto" w:fill="F2F2F2" w:themeFill="background1" w:themeFillShade="F2"/>
    </w:pPr>
    <w:rPr>
      <w:rFonts w:eastAsia="Times New Roman"/>
      <w:szCs w:val="20"/>
    </w:rPr>
  </w:style>
  <w:style w:type="paragraph" w:customStyle="1" w:styleId="TableBulletLvl1">
    <w:name w:val="Table Bullet Lvl 1"/>
    <w:basedOn w:val="TOC3"/>
    <w:link w:val="TableBulletLvl1Char"/>
    <w:qFormat/>
    <w:rsid w:val="009845D5"/>
    <w:pPr>
      <w:numPr>
        <w:numId w:val="74"/>
      </w:numPr>
      <w:tabs>
        <w:tab w:val="clear" w:pos="709"/>
        <w:tab w:val="left" w:pos="426"/>
      </w:tabs>
    </w:pPr>
  </w:style>
  <w:style w:type="paragraph" w:customStyle="1" w:styleId="TablelistLvl1">
    <w:name w:val="Table list Lvl 1"/>
    <w:basedOn w:val="TOC3"/>
    <w:link w:val="TablelistLvl1Char"/>
    <w:rsid w:val="009845D5"/>
    <w:pPr>
      <w:numPr>
        <w:numId w:val="75"/>
      </w:numPr>
      <w:tabs>
        <w:tab w:val="clear" w:pos="709"/>
        <w:tab w:val="left" w:pos="426"/>
      </w:tabs>
      <w:ind w:left="426" w:hanging="284"/>
    </w:pPr>
  </w:style>
  <w:style w:type="character" w:customStyle="1" w:styleId="TOC3Char">
    <w:name w:val="TOC 3 Char"/>
    <w:basedOn w:val="DefaultParagraphFont"/>
    <w:link w:val="TOC3"/>
    <w:uiPriority w:val="39"/>
    <w:rsid w:val="00035824"/>
    <w:rPr>
      <w:rFonts w:ascii="Calibri" w:hAnsi="Calibri" w:cs="Times New Roman"/>
      <w:szCs w:val="20"/>
    </w:rPr>
  </w:style>
  <w:style w:type="character" w:customStyle="1" w:styleId="TableBulletLvl1Char">
    <w:name w:val="Table Bullet Lvl 1 Char"/>
    <w:basedOn w:val="TOC3Char"/>
    <w:link w:val="TableBulletLvl1"/>
    <w:rsid w:val="009845D5"/>
    <w:rPr>
      <w:rFonts w:ascii="Calibri" w:hAnsi="Calibri" w:cs="Times New Roman"/>
      <w:szCs w:val="20"/>
    </w:rPr>
  </w:style>
  <w:style w:type="paragraph" w:customStyle="1" w:styleId="TableBulletLvl2">
    <w:name w:val="Table Bullet Lvl 2"/>
    <w:basedOn w:val="TableBulletLvl1"/>
    <w:link w:val="TableBulletLvl2Char"/>
    <w:qFormat/>
    <w:rsid w:val="009845D5"/>
    <w:pPr>
      <w:numPr>
        <w:numId w:val="76"/>
      </w:numPr>
    </w:pPr>
    <w:rPr>
      <w:rFonts w:cs="Courier New"/>
    </w:rPr>
  </w:style>
  <w:style w:type="character" w:customStyle="1" w:styleId="TablelistLvl1Char">
    <w:name w:val="Table list Lvl 1 Char"/>
    <w:basedOn w:val="TOC3Char"/>
    <w:link w:val="TablelistLvl1"/>
    <w:rsid w:val="009845D5"/>
    <w:rPr>
      <w:rFonts w:ascii="Calibri" w:hAnsi="Calibri" w:cs="Times New Roman"/>
      <w:szCs w:val="20"/>
    </w:rPr>
  </w:style>
  <w:style w:type="paragraph" w:customStyle="1" w:styleId="TablelistLvl2">
    <w:name w:val="Table list Lvl 2"/>
    <w:basedOn w:val="TOC3"/>
    <w:link w:val="TablelistLvl2Char"/>
    <w:rsid w:val="009845D5"/>
    <w:pPr>
      <w:numPr>
        <w:ilvl w:val="1"/>
        <w:numId w:val="77"/>
      </w:numPr>
      <w:ind w:left="709" w:hanging="142"/>
    </w:pPr>
    <w:rPr>
      <w:noProof/>
    </w:rPr>
  </w:style>
  <w:style w:type="character" w:customStyle="1" w:styleId="TableBulletLvl2Char">
    <w:name w:val="Table Bullet Lvl 2 Char"/>
    <w:basedOn w:val="TableBulletLvl1Char"/>
    <w:link w:val="TableBulletLvl2"/>
    <w:rsid w:val="009845D5"/>
    <w:rPr>
      <w:rFonts w:ascii="Calibri" w:hAnsi="Calibri" w:cs="Courier New"/>
      <w:szCs w:val="20"/>
    </w:rPr>
  </w:style>
  <w:style w:type="character" w:customStyle="1" w:styleId="TablelistLvl2Char">
    <w:name w:val="Table list Lvl 2 Char"/>
    <w:basedOn w:val="TOC3Char"/>
    <w:link w:val="TablelistLvl2"/>
    <w:rsid w:val="009845D5"/>
    <w:rPr>
      <w:rFonts w:ascii="Calibri" w:hAnsi="Calibri" w:cs="Times New Roman"/>
      <w:noProof/>
      <w:szCs w:val="20"/>
    </w:rPr>
  </w:style>
  <w:style w:type="paragraph" w:customStyle="1" w:styleId="Ruleadvicebulletlevel2">
    <w:name w:val="Rule advice bullet level 2"/>
    <w:basedOn w:val="Ruleadvicebullet"/>
    <w:link w:val="Ruleadvicebulletlevel2Char"/>
    <w:qFormat/>
    <w:rsid w:val="00C733B4"/>
    <w:pPr>
      <w:numPr>
        <w:numId w:val="119"/>
      </w:numPr>
      <w:tabs>
        <w:tab w:val="left" w:pos="709"/>
      </w:tabs>
      <w:ind w:left="993"/>
    </w:pPr>
  </w:style>
  <w:style w:type="paragraph" w:customStyle="1" w:styleId="Ruleadvicebulletlevel3">
    <w:name w:val="Rule advice bullet level 3"/>
    <w:basedOn w:val="Heading8"/>
    <w:link w:val="Ruleadvicebulletlevel3Char"/>
    <w:qFormat/>
    <w:rsid w:val="00C733B4"/>
    <w:pPr>
      <w:numPr>
        <w:ilvl w:val="2"/>
        <w:numId w:val="42"/>
      </w:numPr>
      <w:spacing w:before="60" w:after="0"/>
      <w:ind w:left="1276"/>
      <w:outlineLvl w:val="9"/>
    </w:pPr>
    <w:rPr>
      <w:rFonts w:asciiTheme="minorHAnsi" w:hAnsiTheme="minorHAnsi"/>
      <w:szCs w:val="20"/>
    </w:rPr>
  </w:style>
  <w:style w:type="character" w:customStyle="1" w:styleId="Ruleadvicebulletlevel2Char">
    <w:name w:val="Rule advice bullet level 2 Char"/>
    <w:basedOn w:val="Heading6Char"/>
    <w:link w:val="Ruleadvicebulletlevel2"/>
    <w:rsid w:val="00C733B4"/>
    <w:rPr>
      <w:rFonts w:ascii="Verdana" w:eastAsia="Arial" w:hAnsi="Verdana" w:cstheme="majorBidi"/>
      <w:i w:val="0"/>
      <w:iCs w:val="0"/>
      <w:color w:val="404040" w:themeColor="text1" w:themeTint="BF"/>
      <w:sz w:val="20"/>
      <w:szCs w:val="20"/>
    </w:rPr>
  </w:style>
  <w:style w:type="paragraph" w:customStyle="1" w:styleId="Ruleadvicesubheading">
    <w:name w:val="Rule advice subheading"/>
    <w:basedOn w:val="Heading8"/>
    <w:link w:val="RuleadvicesubheadingChar"/>
    <w:qFormat/>
    <w:rsid w:val="00AF7032"/>
    <w:pPr>
      <w:spacing w:before="240"/>
      <w:outlineLvl w:val="9"/>
    </w:pPr>
    <w:rPr>
      <w:i/>
      <w:sz w:val="21"/>
      <w:szCs w:val="21"/>
    </w:rPr>
  </w:style>
  <w:style w:type="character" w:customStyle="1" w:styleId="Ruleadvicebulletlevel3Char">
    <w:name w:val="Rule advice bullet level 3 Char"/>
    <w:basedOn w:val="Heading8Char"/>
    <w:link w:val="Ruleadvicebulletlevel3"/>
    <w:rsid w:val="00C733B4"/>
    <w:rPr>
      <w:rFonts w:ascii="Verdana" w:eastAsia="Arial" w:hAnsi="Verdana" w:cs="Times New Roman"/>
      <w:sz w:val="20"/>
      <w:szCs w:val="20"/>
    </w:rPr>
  </w:style>
  <w:style w:type="character" w:customStyle="1" w:styleId="RuleadvicesubheadingChar">
    <w:name w:val="Rule advice subheading Char"/>
    <w:basedOn w:val="Heading8Char"/>
    <w:link w:val="Ruleadvicesubheading"/>
    <w:rsid w:val="00AF7032"/>
    <w:rPr>
      <w:rFonts w:ascii="Verdana" w:eastAsia="Arial" w:hAnsi="Verdana" w:cs="Times New Roman"/>
      <w:i/>
      <w:sz w:val="21"/>
      <w:szCs w:val="21"/>
    </w:rPr>
  </w:style>
  <w:style w:type="paragraph" w:customStyle="1" w:styleId="Fronttableruleadviceheading">
    <w:name w:val="Front table rule advice heading"/>
    <w:link w:val="FronttableruleadviceheadingChar"/>
    <w:autoRedefine/>
    <w:qFormat/>
    <w:rsid w:val="00AE22ED"/>
    <w:pPr>
      <w:spacing w:before="120" w:after="0" w:line="240" w:lineRule="auto"/>
    </w:pPr>
    <w:rPr>
      <w:b/>
      <w:bCs/>
      <w:sz w:val="20"/>
      <w:szCs w:val="20"/>
    </w:rPr>
  </w:style>
  <w:style w:type="character" w:customStyle="1" w:styleId="TOC2Char">
    <w:name w:val="TOC 2 Char"/>
    <w:basedOn w:val="DefaultParagraphFont"/>
    <w:link w:val="TOC2"/>
    <w:uiPriority w:val="39"/>
    <w:rsid w:val="0018797D"/>
    <w:rPr>
      <w:b/>
      <w:bCs/>
      <w:sz w:val="20"/>
    </w:rPr>
  </w:style>
  <w:style w:type="character" w:customStyle="1" w:styleId="FronttableruleadviceheadingChar">
    <w:name w:val="Front table rule advice heading Char"/>
    <w:basedOn w:val="TOC2Char"/>
    <w:link w:val="Fronttableruleadviceheading"/>
    <w:rsid w:val="00AE22ED"/>
    <w:rPr>
      <w:b/>
      <w:bCs/>
      <w:sz w:val="20"/>
      <w:szCs w:val="20"/>
    </w:rPr>
  </w:style>
  <w:style w:type="paragraph" w:customStyle="1" w:styleId="Heading3Un-numbered">
    <w:name w:val="Heading 3 (Un-numbered)"/>
    <w:basedOn w:val="Heading3"/>
    <w:link w:val="Heading3Un-numberedChar"/>
    <w:qFormat/>
    <w:rsid w:val="00CE67EB"/>
    <w:pPr>
      <w:numPr>
        <w:ilvl w:val="0"/>
        <w:numId w:val="0"/>
      </w:numPr>
      <w:spacing w:before="240" w:after="120" w:line="276" w:lineRule="auto"/>
    </w:pPr>
    <w:rPr>
      <w:rFonts w:asciiTheme="majorHAnsi" w:hAnsiTheme="majorHAnsi"/>
      <w:b w:val="0"/>
      <w:i/>
      <w:sz w:val="28"/>
    </w:rPr>
  </w:style>
  <w:style w:type="paragraph" w:customStyle="1" w:styleId="Ruleadvicebullet">
    <w:name w:val="Rule advice bullet"/>
    <w:basedOn w:val="Normal"/>
    <w:link w:val="RuleadvicebulletChar"/>
    <w:qFormat/>
    <w:rsid w:val="00020517"/>
    <w:pPr>
      <w:numPr>
        <w:numId w:val="115"/>
      </w:numPr>
      <w:spacing w:after="120" w:line="240" w:lineRule="auto"/>
      <w:ind w:left="714" w:hanging="357"/>
    </w:pPr>
    <w:rPr>
      <w:rFonts w:ascii="Verdana" w:hAnsi="Verdana"/>
      <w:sz w:val="20"/>
    </w:rPr>
  </w:style>
  <w:style w:type="character" w:customStyle="1" w:styleId="Heading3Un-numberedChar">
    <w:name w:val="Heading 3 (Un-numbered) Char"/>
    <w:basedOn w:val="Heading4Char"/>
    <w:link w:val="Heading3Un-numbered"/>
    <w:rsid w:val="00CE67EB"/>
    <w:rPr>
      <w:rFonts w:asciiTheme="majorHAnsi" w:eastAsia="Arial" w:hAnsiTheme="majorHAnsi" w:cs="Times New Roman"/>
      <w:i/>
      <w:sz w:val="28"/>
    </w:rPr>
  </w:style>
  <w:style w:type="paragraph" w:customStyle="1" w:styleId="Heading4-Un-numberedsubheading-Lvl5">
    <w:name w:val="Heading 4 - (Un-numbered subheading-Lvl5)"/>
    <w:basedOn w:val="Heading4"/>
    <w:link w:val="Heading4-Un-numberedsubheading-Lvl5Char"/>
    <w:qFormat/>
    <w:rsid w:val="00DF129E"/>
    <w:pPr>
      <w:spacing w:before="200"/>
    </w:pPr>
    <w:rPr>
      <w:rFonts w:ascii="Times New Roman" w:hAnsi="Times New Roman"/>
      <w:b/>
      <w:i w:val="0"/>
      <w:sz w:val="24"/>
    </w:rPr>
  </w:style>
  <w:style w:type="character" w:customStyle="1" w:styleId="RuleadvicebulletChar">
    <w:name w:val="Rule advice bullet Char"/>
    <w:basedOn w:val="Heading6Char"/>
    <w:link w:val="Ruleadvicebullet"/>
    <w:rsid w:val="00020517"/>
    <w:rPr>
      <w:rFonts w:ascii="Verdana" w:eastAsia="Arial" w:hAnsi="Verdana" w:cstheme="majorBidi"/>
      <w:i w:val="0"/>
      <w:iCs w:val="0"/>
      <w:color w:val="404040" w:themeColor="text1" w:themeTint="BF"/>
      <w:sz w:val="20"/>
      <w:szCs w:val="20"/>
    </w:rPr>
  </w:style>
  <w:style w:type="paragraph" w:customStyle="1" w:styleId="Subheading">
    <w:name w:val="Subheading"/>
    <w:basedOn w:val="Heading3"/>
    <w:link w:val="SubheadingChar"/>
    <w:qFormat/>
    <w:rsid w:val="0082647F"/>
    <w:pPr>
      <w:numPr>
        <w:ilvl w:val="0"/>
        <w:numId w:val="0"/>
      </w:numPr>
      <w:spacing w:before="200" w:after="120" w:line="276" w:lineRule="auto"/>
    </w:pPr>
    <w:rPr>
      <w:i/>
    </w:rPr>
  </w:style>
  <w:style w:type="character" w:customStyle="1" w:styleId="Heading4-Un-numberedsubheading-Lvl5Char">
    <w:name w:val="Heading 4 - (Un-numbered subheading-Lvl5) Char"/>
    <w:basedOn w:val="Heading4Char"/>
    <w:link w:val="Heading4-Un-numberedsubheading-Lvl5"/>
    <w:rsid w:val="00DF129E"/>
    <w:rPr>
      <w:rFonts w:ascii="Times New Roman" w:eastAsia="Arial" w:hAnsi="Times New Roman"/>
      <w:b/>
      <w:i w:val="0"/>
      <w:sz w:val="24"/>
    </w:rPr>
  </w:style>
  <w:style w:type="paragraph" w:customStyle="1" w:styleId="Heading5Lvl6">
    <w:name w:val="Heading 5 (Lvl 6)"/>
    <w:basedOn w:val="Heading5"/>
    <w:link w:val="Heading5Lvl6Char"/>
    <w:qFormat/>
    <w:rsid w:val="0082647F"/>
    <w:rPr>
      <w:rFonts w:asciiTheme="majorHAnsi" w:hAnsiTheme="majorHAnsi"/>
      <w:b w:val="0"/>
      <w:i/>
      <w:color w:val="404040" w:themeColor="text1" w:themeTint="BF"/>
      <w:sz w:val="22"/>
    </w:rPr>
  </w:style>
  <w:style w:type="character" w:customStyle="1" w:styleId="SubheadingChar">
    <w:name w:val="Subheading Char"/>
    <w:basedOn w:val="Heading3Char"/>
    <w:link w:val="Subheading"/>
    <w:rsid w:val="0082647F"/>
    <w:rPr>
      <w:rFonts w:ascii="Times New Roman" w:eastAsia="Arial" w:hAnsi="Times New Roman" w:cs="Times New Roman"/>
      <w:b/>
      <w:i/>
      <w:sz w:val="24"/>
    </w:rPr>
  </w:style>
  <w:style w:type="character" w:customStyle="1" w:styleId="Heading5Lvl6Char">
    <w:name w:val="Heading 5 (Lvl 6) Char"/>
    <w:basedOn w:val="Heading5Char"/>
    <w:link w:val="Heading5Lvl6"/>
    <w:rsid w:val="0082647F"/>
    <w:rPr>
      <w:rFonts w:asciiTheme="majorHAnsi" w:eastAsiaTheme="majorEastAsia" w:hAnsiTheme="majorHAnsi" w:cs="Times New Roman"/>
      <w:b w:val="0"/>
      <w:i/>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2741">
      <w:bodyDiv w:val="1"/>
      <w:marLeft w:val="0"/>
      <w:marRight w:val="0"/>
      <w:marTop w:val="0"/>
      <w:marBottom w:val="0"/>
      <w:divBdr>
        <w:top w:val="none" w:sz="0" w:space="0" w:color="auto"/>
        <w:left w:val="none" w:sz="0" w:space="0" w:color="auto"/>
        <w:bottom w:val="none" w:sz="0" w:space="0" w:color="auto"/>
        <w:right w:val="none" w:sz="0" w:space="0" w:color="auto"/>
      </w:divBdr>
    </w:div>
    <w:div w:id="186406781">
      <w:bodyDiv w:val="1"/>
      <w:marLeft w:val="0"/>
      <w:marRight w:val="0"/>
      <w:marTop w:val="0"/>
      <w:marBottom w:val="0"/>
      <w:divBdr>
        <w:top w:val="none" w:sz="0" w:space="0" w:color="auto"/>
        <w:left w:val="none" w:sz="0" w:space="0" w:color="auto"/>
        <w:bottom w:val="none" w:sz="0" w:space="0" w:color="auto"/>
        <w:right w:val="none" w:sz="0" w:space="0" w:color="auto"/>
      </w:divBdr>
    </w:div>
    <w:div w:id="205143172">
      <w:bodyDiv w:val="1"/>
      <w:marLeft w:val="0"/>
      <w:marRight w:val="0"/>
      <w:marTop w:val="0"/>
      <w:marBottom w:val="0"/>
      <w:divBdr>
        <w:top w:val="none" w:sz="0" w:space="0" w:color="auto"/>
        <w:left w:val="none" w:sz="0" w:space="0" w:color="auto"/>
        <w:bottom w:val="none" w:sz="0" w:space="0" w:color="auto"/>
        <w:right w:val="none" w:sz="0" w:space="0" w:color="auto"/>
      </w:divBdr>
    </w:div>
    <w:div w:id="240602504">
      <w:bodyDiv w:val="1"/>
      <w:marLeft w:val="0"/>
      <w:marRight w:val="0"/>
      <w:marTop w:val="0"/>
      <w:marBottom w:val="0"/>
      <w:divBdr>
        <w:top w:val="none" w:sz="0" w:space="0" w:color="auto"/>
        <w:left w:val="none" w:sz="0" w:space="0" w:color="auto"/>
        <w:bottom w:val="none" w:sz="0" w:space="0" w:color="auto"/>
        <w:right w:val="none" w:sz="0" w:space="0" w:color="auto"/>
      </w:divBdr>
    </w:div>
    <w:div w:id="366219371">
      <w:bodyDiv w:val="1"/>
      <w:marLeft w:val="0"/>
      <w:marRight w:val="0"/>
      <w:marTop w:val="0"/>
      <w:marBottom w:val="0"/>
      <w:divBdr>
        <w:top w:val="none" w:sz="0" w:space="0" w:color="auto"/>
        <w:left w:val="none" w:sz="0" w:space="0" w:color="auto"/>
        <w:bottom w:val="none" w:sz="0" w:space="0" w:color="auto"/>
        <w:right w:val="none" w:sz="0" w:space="0" w:color="auto"/>
      </w:divBdr>
    </w:div>
    <w:div w:id="395975609">
      <w:bodyDiv w:val="1"/>
      <w:marLeft w:val="0"/>
      <w:marRight w:val="0"/>
      <w:marTop w:val="0"/>
      <w:marBottom w:val="0"/>
      <w:divBdr>
        <w:top w:val="none" w:sz="0" w:space="0" w:color="auto"/>
        <w:left w:val="none" w:sz="0" w:space="0" w:color="auto"/>
        <w:bottom w:val="none" w:sz="0" w:space="0" w:color="auto"/>
        <w:right w:val="none" w:sz="0" w:space="0" w:color="auto"/>
      </w:divBdr>
    </w:div>
    <w:div w:id="405567514">
      <w:bodyDiv w:val="1"/>
      <w:marLeft w:val="0"/>
      <w:marRight w:val="0"/>
      <w:marTop w:val="0"/>
      <w:marBottom w:val="0"/>
      <w:divBdr>
        <w:top w:val="none" w:sz="0" w:space="0" w:color="auto"/>
        <w:left w:val="none" w:sz="0" w:space="0" w:color="auto"/>
        <w:bottom w:val="none" w:sz="0" w:space="0" w:color="auto"/>
        <w:right w:val="none" w:sz="0" w:space="0" w:color="auto"/>
      </w:divBdr>
    </w:div>
    <w:div w:id="447742538">
      <w:bodyDiv w:val="1"/>
      <w:marLeft w:val="0"/>
      <w:marRight w:val="0"/>
      <w:marTop w:val="0"/>
      <w:marBottom w:val="0"/>
      <w:divBdr>
        <w:top w:val="none" w:sz="0" w:space="0" w:color="auto"/>
        <w:left w:val="none" w:sz="0" w:space="0" w:color="auto"/>
        <w:bottom w:val="none" w:sz="0" w:space="0" w:color="auto"/>
        <w:right w:val="none" w:sz="0" w:space="0" w:color="auto"/>
      </w:divBdr>
    </w:div>
    <w:div w:id="465708189">
      <w:bodyDiv w:val="1"/>
      <w:marLeft w:val="0"/>
      <w:marRight w:val="0"/>
      <w:marTop w:val="0"/>
      <w:marBottom w:val="0"/>
      <w:divBdr>
        <w:top w:val="none" w:sz="0" w:space="0" w:color="auto"/>
        <w:left w:val="none" w:sz="0" w:space="0" w:color="auto"/>
        <w:bottom w:val="none" w:sz="0" w:space="0" w:color="auto"/>
        <w:right w:val="none" w:sz="0" w:space="0" w:color="auto"/>
      </w:divBdr>
      <w:divsChild>
        <w:div w:id="2102485917">
          <w:marLeft w:val="0"/>
          <w:marRight w:val="0"/>
          <w:marTop w:val="180"/>
          <w:marBottom w:val="180"/>
          <w:divBdr>
            <w:top w:val="none" w:sz="0" w:space="0" w:color="auto"/>
            <w:left w:val="none" w:sz="0" w:space="0" w:color="auto"/>
            <w:bottom w:val="none" w:sz="0" w:space="0" w:color="auto"/>
            <w:right w:val="none" w:sz="0" w:space="0" w:color="auto"/>
          </w:divBdr>
          <w:divsChild>
            <w:div w:id="510534134">
              <w:marLeft w:val="-225"/>
              <w:marRight w:val="-225"/>
              <w:marTop w:val="0"/>
              <w:marBottom w:val="0"/>
              <w:divBdr>
                <w:top w:val="none" w:sz="0" w:space="0" w:color="auto"/>
                <w:left w:val="none" w:sz="0" w:space="0" w:color="auto"/>
                <w:bottom w:val="none" w:sz="0" w:space="0" w:color="auto"/>
                <w:right w:val="none" w:sz="0" w:space="0" w:color="auto"/>
              </w:divBdr>
              <w:divsChild>
                <w:div w:id="1310941915">
                  <w:marLeft w:val="0"/>
                  <w:marRight w:val="0"/>
                  <w:marTop w:val="0"/>
                  <w:marBottom w:val="0"/>
                  <w:divBdr>
                    <w:top w:val="none" w:sz="0" w:space="0" w:color="auto"/>
                    <w:left w:val="none" w:sz="0" w:space="0" w:color="auto"/>
                    <w:bottom w:val="none" w:sz="0" w:space="0" w:color="auto"/>
                    <w:right w:val="none" w:sz="0" w:space="0" w:color="auto"/>
                  </w:divBdr>
                  <w:divsChild>
                    <w:div w:id="2010907206">
                      <w:marLeft w:val="-225"/>
                      <w:marRight w:val="-225"/>
                      <w:marTop w:val="0"/>
                      <w:marBottom w:val="0"/>
                      <w:divBdr>
                        <w:top w:val="none" w:sz="0" w:space="0" w:color="auto"/>
                        <w:left w:val="none" w:sz="0" w:space="0" w:color="auto"/>
                        <w:bottom w:val="none" w:sz="0" w:space="0" w:color="auto"/>
                        <w:right w:val="none" w:sz="0" w:space="0" w:color="auto"/>
                      </w:divBdr>
                      <w:divsChild>
                        <w:div w:id="584193812">
                          <w:marLeft w:val="0"/>
                          <w:marRight w:val="0"/>
                          <w:marTop w:val="0"/>
                          <w:marBottom w:val="0"/>
                          <w:divBdr>
                            <w:top w:val="none" w:sz="0" w:space="0" w:color="auto"/>
                            <w:left w:val="none" w:sz="0" w:space="0" w:color="auto"/>
                            <w:bottom w:val="none" w:sz="0" w:space="0" w:color="auto"/>
                            <w:right w:val="none" w:sz="0" w:space="0" w:color="auto"/>
                          </w:divBdr>
                          <w:divsChild>
                            <w:div w:id="968360848">
                              <w:marLeft w:val="0"/>
                              <w:marRight w:val="0"/>
                              <w:marTop w:val="0"/>
                              <w:marBottom w:val="0"/>
                              <w:divBdr>
                                <w:top w:val="none" w:sz="0" w:space="0" w:color="auto"/>
                                <w:left w:val="none" w:sz="0" w:space="0" w:color="auto"/>
                                <w:bottom w:val="none" w:sz="0" w:space="0" w:color="auto"/>
                                <w:right w:val="none" w:sz="0" w:space="0" w:color="auto"/>
                              </w:divBdr>
                              <w:divsChild>
                                <w:div w:id="323702074">
                                  <w:marLeft w:val="0"/>
                                  <w:marRight w:val="0"/>
                                  <w:marTop w:val="0"/>
                                  <w:marBottom w:val="0"/>
                                  <w:divBdr>
                                    <w:top w:val="none" w:sz="0" w:space="0" w:color="auto"/>
                                    <w:left w:val="none" w:sz="0" w:space="0" w:color="auto"/>
                                    <w:bottom w:val="none" w:sz="0" w:space="0" w:color="auto"/>
                                    <w:right w:val="none" w:sz="0" w:space="0" w:color="auto"/>
                                  </w:divBdr>
                                  <w:divsChild>
                                    <w:div w:id="2027443413">
                                      <w:marLeft w:val="0"/>
                                      <w:marRight w:val="0"/>
                                      <w:marTop w:val="0"/>
                                      <w:marBottom w:val="0"/>
                                      <w:divBdr>
                                        <w:top w:val="none" w:sz="0" w:space="0" w:color="auto"/>
                                        <w:left w:val="none" w:sz="0" w:space="0" w:color="auto"/>
                                        <w:bottom w:val="none" w:sz="0" w:space="0" w:color="auto"/>
                                        <w:right w:val="none" w:sz="0" w:space="0" w:color="auto"/>
                                      </w:divBdr>
                                      <w:divsChild>
                                        <w:div w:id="538275631">
                                          <w:marLeft w:val="0"/>
                                          <w:marRight w:val="0"/>
                                          <w:marTop w:val="0"/>
                                          <w:marBottom w:val="0"/>
                                          <w:divBdr>
                                            <w:top w:val="none" w:sz="0" w:space="0" w:color="auto"/>
                                            <w:left w:val="none" w:sz="0" w:space="0" w:color="auto"/>
                                            <w:bottom w:val="none" w:sz="0" w:space="0" w:color="auto"/>
                                            <w:right w:val="none" w:sz="0" w:space="0" w:color="auto"/>
                                          </w:divBdr>
                                          <w:divsChild>
                                            <w:div w:id="506821538">
                                              <w:marLeft w:val="0"/>
                                              <w:marRight w:val="0"/>
                                              <w:marTop w:val="0"/>
                                              <w:marBottom w:val="0"/>
                                              <w:divBdr>
                                                <w:top w:val="none" w:sz="0" w:space="0" w:color="auto"/>
                                                <w:left w:val="none" w:sz="0" w:space="0" w:color="auto"/>
                                                <w:bottom w:val="none" w:sz="0" w:space="0" w:color="auto"/>
                                                <w:right w:val="none" w:sz="0" w:space="0" w:color="auto"/>
                                              </w:divBdr>
                                              <w:divsChild>
                                                <w:div w:id="1699231355">
                                                  <w:marLeft w:val="0"/>
                                                  <w:marRight w:val="0"/>
                                                  <w:marTop w:val="0"/>
                                                  <w:marBottom w:val="0"/>
                                                  <w:divBdr>
                                                    <w:top w:val="none" w:sz="0" w:space="0" w:color="auto"/>
                                                    <w:left w:val="none" w:sz="0" w:space="0" w:color="auto"/>
                                                    <w:bottom w:val="none" w:sz="0" w:space="0" w:color="auto"/>
                                                    <w:right w:val="none" w:sz="0" w:space="0" w:color="auto"/>
                                                  </w:divBdr>
                                                  <w:divsChild>
                                                    <w:div w:id="2126920390">
                                                      <w:marLeft w:val="0"/>
                                                      <w:marRight w:val="0"/>
                                                      <w:marTop w:val="0"/>
                                                      <w:marBottom w:val="0"/>
                                                      <w:divBdr>
                                                        <w:top w:val="none" w:sz="0" w:space="0" w:color="auto"/>
                                                        <w:left w:val="none" w:sz="0" w:space="0" w:color="auto"/>
                                                        <w:bottom w:val="none" w:sz="0" w:space="0" w:color="auto"/>
                                                        <w:right w:val="none" w:sz="0" w:space="0" w:color="auto"/>
                                                      </w:divBdr>
                                                      <w:divsChild>
                                                        <w:div w:id="141705080">
                                                          <w:marLeft w:val="0"/>
                                                          <w:marRight w:val="0"/>
                                                          <w:marTop w:val="0"/>
                                                          <w:marBottom w:val="0"/>
                                                          <w:divBdr>
                                                            <w:top w:val="none" w:sz="0" w:space="0" w:color="auto"/>
                                                            <w:left w:val="none" w:sz="0" w:space="0" w:color="auto"/>
                                                            <w:bottom w:val="none" w:sz="0" w:space="0" w:color="auto"/>
                                                            <w:right w:val="none" w:sz="0" w:space="0" w:color="auto"/>
                                                          </w:divBdr>
                                                          <w:divsChild>
                                                            <w:div w:id="1293361161">
                                                              <w:marLeft w:val="0"/>
                                                              <w:marRight w:val="0"/>
                                                              <w:marTop w:val="0"/>
                                                              <w:marBottom w:val="0"/>
                                                              <w:divBdr>
                                                                <w:top w:val="none" w:sz="0" w:space="0" w:color="auto"/>
                                                                <w:left w:val="none" w:sz="0" w:space="0" w:color="auto"/>
                                                                <w:bottom w:val="none" w:sz="0" w:space="0" w:color="auto"/>
                                                                <w:right w:val="none" w:sz="0" w:space="0" w:color="auto"/>
                                                              </w:divBdr>
                                                              <w:divsChild>
                                                                <w:div w:id="1421216517">
                                                                  <w:marLeft w:val="0"/>
                                                                  <w:marRight w:val="0"/>
                                                                  <w:marTop w:val="0"/>
                                                                  <w:marBottom w:val="0"/>
                                                                  <w:divBdr>
                                                                    <w:top w:val="none" w:sz="0" w:space="0" w:color="auto"/>
                                                                    <w:left w:val="none" w:sz="0" w:space="0" w:color="auto"/>
                                                                    <w:bottom w:val="none" w:sz="0" w:space="0" w:color="auto"/>
                                                                    <w:right w:val="none" w:sz="0" w:space="0" w:color="auto"/>
                                                                  </w:divBdr>
                                                                  <w:divsChild>
                                                                    <w:div w:id="817383785">
                                                                      <w:marLeft w:val="0"/>
                                                                      <w:marRight w:val="0"/>
                                                                      <w:marTop w:val="0"/>
                                                                      <w:marBottom w:val="0"/>
                                                                      <w:divBdr>
                                                                        <w:top w:val="none" w:sz="0" w:space="0" w:color="auto"/>
                                                                        <w:left w:val="none" w:sz="0" w:space="0" w:color="auto"/>
                                                                        <w:bottom w:val="none" w:sz="0" w:space="0" w:color="auto"/>
                                                                        <w:right w:val="none" w:sz="0" w:space="0" w:color="auto"/>
                                                                      </w:divBdr>
                                                                      <w:divsChild>
                                                                        <w:div w:id="1764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420733">
      <w:bodyDiv w:val="1"/>
      <w:marLeft w:val="0"/>
      <w:marRight w:val="0"/>
      <w:marTop w:val="0"/>
      <w:marBottom w:val="0"/>
      <w:divBdr>
        <w:top w:val="none" w:sz="0" w:space="0" w:color="auto"/>
        <w:left w:val="none" w:sz="0" w:space="0" w:color="auto"/>
        <w:bottom w:val="none" w:sz="0" w:space="0" w:color="auto"/>
        <w:right w:val="none" w:sz="0" w:space="0" w:color="auto"/>
      </w:divBdr>
    </w:div>
    <w:div w:id="536701390">
      <w:bodyDiv w:val="1"/>
      <w:marLeft w:val="0"/>
      <w:marRight w:val="0"/>
      <w:marTop w:val="0"/>
      <w:marBottom w:val="0"/>
      <w:divBdr>
        <w:top w:val="none" w:sz="0" w:space="0" w:color="auto"/>
        <w:left w:val="none" w:sz="0" w:space="0" w:color="auto"/>
        <w:bottom w:val="none" w:sz="0" w:space="0" w:color="auto"/>
        <w:right w:val="none" w:sz="0" w:space="0" w:color="auto"/>
      </w:divBdr>
    </w:div>
    <w:div w:id="559481579">
      <w:bodyDiv w:val="1"/>
      <w:marLeft w:val="0"/>
      <w:marRight w:val="0"/>
      <w:marTop w:val="0"/>
      <w:marBottom w:val="0"/>
      <w:divBdr>
        <w:top w:val="none" w:sz="0" w:space="0" w:color="auto"/>
        <w:left w:val="none" w:sz="0" w:space="0" w:color="auto"/>
        <w:bottom w:val="none" w:sz="0" w:space="0" w:color="auto"/>
        <w:right w:val="none" w:sz="0" w:space="0" w:color="auto"/>
      </w:divBdr>
    </w:div>
    <w:div w:id="588734313">
      <w:bodyDiv w:val="1"/>
      <w:marLeft w:val="0"/>
      <w:marRight w:val="0"/>
      <w:marTop w:val="0"/>
      <w:marBottom w:val="0"/>
      <w:divBdr>
        <w:top w:val="none" w:sz="0" w:space="0" w:color="auto"/>
        <w:left w:val="none" w:sz="0" w:space="0" w:color="auto"/>
        <w:bottom w:val="none" w:sz="0" w:space="0" w:color="auto"/>
        <w:right w:val="none" w:sz="0" w:space="0" w:color="auto"/>
      </w:divBdr>
    </w:div>
    <w:div w:id="654646226">
      <w:bodyDiv w:val="1"/>
      <w:marLeft w:val="0"/>
      <w:marRight w:val="0"/>
      <w:marTop w:val="0"/>
      <w:marBottom w:val="0"/>
      <w:divBdr>
        <w:top w:val="none" w:sz="0" w:space="0" w:color="auto"/>
        <w:left w:val="none" w:sz="0" w:space="0" w:color="auto"/>
        <w:bottom w:val="none" w:sz="0" w:space="0" w:color="auto"/>
        <w:right w:val="none" w:sz="0" w:space="0" w:color="auto"/>
      </w:divBdr>
      <w:divsChild>
        <w:div w:id="1864586821">
          <w:marLeft w:val="0"/>
          <w:marRight w:val="0"/>
          <w:marTop w:val="180"/>
          <w:marBottom w:val="180"/>
          <w:divBdr>
            <w:top w:val="none" w:sz="0" w:space="0" w:color="auto"/>
            <w:left w:val="none" w:sz="0" w:space="0" w:color="auto"/>
            <w:bottom w:val="none" w:sz="0" w:space="0" w:color="auto"/>
            <w:right w:val="none" w:sz="0" w:space="0" w:color="auto"/>
          </w:divBdr>
          <w:divsChild>
            <w:div w:id="1718815784">
              <w:marLeft w:val="-225"/>
              <w:marRight w:val="-225"/>
              <w:marTop w:val="0"/>
              <w:marBottom w:val="0"/>
              <w:divBdr>
                <w:top w:val="none" w:sz="0" w:space="0" w:color="auto"/>
                <w:left w:val="none" w:sz="0" w:space="0" w:color="auto"/>
                <w:bottom w:val="none" w:sz="0" w:space="0" w:color="auto"/>
                <w:right w:val="none" w:sz="0" w:space="0" w:color="auto"/>
              </w:divBdr>
              <w:divsChild>
                <w:div w:id="598490983">
                  <w:marLeft w:val="0"/>
                  <w:marRight w:val="0"/>
                  <w:marTop w:val="0"/>
                  <w:marBottom w:val="0"/>
                  <w:divBdr>
                    <w:top w:val="none" w:sz="0" w:space="0" w:color="auto"/>
                    <w:left w:val="none" w:sz="0" w:space="0" w:color="auto"/>
                    <w:bottom w:val="none" w:sz="0" w:space="0" w:color="auto"/>
                    <w:right w:val="none" w:sz="0" w:space="0" w:color="auto"/>
                  </w:divBdr>
                  <w:divsChild>
                    <w:div w:id="812065538">
                      <w:marLeft w:val="-225"/>
                      <w:marRight w:val="-225"/>
                      <w:marTop w:val="0"/>
                      <w:marBottom w:val="0"/>
                      <w:divBdr>
                        <w:top w:val="none" w:sz="0" w:space="0" w:color="auto"/>
                        <w:left w:val="none" w:sz="0" w:space="0" w:color="auto"/>
                        <w:bottom w:val="none" w:sz="0" w:space="0" w:color="auto"/>
                        <w:right w:val="none" w:sz="0" w:space="0" w:color="auto"/>
                      </w:divBdr>
                      <w:divsChild>
                        <w:div w:id="379016713">
                          <w:marLeft w:val="0"/>
                          <w:marRight w:val="0"/>
                          <w:marTop w:val="0"/>
                          <w:marBottom w:val="0"/>
                          <w:divBdr>
                            <w:top w:val="none" w:sz="0" w:space="0" w:color="auto"/>
                            <w:left w:val="none" w:sz="0" w:space="0" w:color="auto"/>
                            <w:bottom w:val="none" w:sz="0" w:space="0" w:color="auto"/>
                            <w:right w:val="none" w:sz="0" w:space="0" w:color="auto"/>
                          </w:divBdr>
                          <w:divsChild>
                            <w:div w:id="321549818">
                              <w:marLeft w:val="0"/>
                              <w:marRight w:val="0"/>
                              <w:marTop w:val="0"/>
                              <w:marBottom w:val="0"/>
                              <w:divBdr>
                                <w:top w:val="none" w:sz="0" w:space="0" w:color="auto"/>
                                <w:left w:val="none" w:sz="0" w:space="0" w:color="auto"/>
                                <w:bottom w:val="none" w:sz="0" w:space="0" w:color="auto"/>
                                <w:right w:val="none" w:sz="0" w:space="0" w:color="auto"/>
                              </w:divBdr>
                              <w:divsChild>
                                <w:div w:id="1534734657">
                                  <w:marLeft w:val="0"/>
                                  <w:marRight w:val="0"/>
                                  <w:marTop w:val="0"/>
                                  <w:marBottom w:val="0"/>
                                  <w:divBdr>
                                    <w:top w:val="none" w:sz="0" w:space="0" w:color="auto"/>
                                    <w:left w:val="none" w:sz="0" w:space="0" w:color="auto"/>
                                    <w:bottom w:val="none" w:sz="0" w:space="0" w:color="auto"/>
                                    <w:right w:val="none" w:sz="0" w:space="0" w:color="auto"/>
                                  </w:divBdr>
                                  <w:divsChild>
                                    <w:div w:id="318384286">
                                      <w:marLeft w:val="0"/>
                                      <w:marRight w:val="0"/>
                                      <w:marTop w:val="0"/>
                                      <w:marBottom w:val="0"/>
                                      <w:divBdr>
                                        <w:top w:val="none" w:sz="0" w:space="0" w:color="auto"/>
                                        <w:left w:val="none" w:sz="0" w:space="0" w:color="auto"/>
                                        <w:bottom w:val="none" w:sz="0" w:space="0" w:color="auto"/>
                                        <w:right w:val="none" w:sz="0" w:space="0" w:color="auto"/>
                                      </w:divBdr>
                                      <w:divsChild>
                                        <w:div w:id="31654382">
                                          <w:marLeft w:val="0"/>
                                          <w:marRight w:val="0"/>
                                          <w:marTop w:val="0"/>
                                          <w:marBottom w:val="0"/>
                                          <w:divBdr>
                                            <w:top w:val="none" w:sz="0" w:space="0" w:color="auto"/>
                                            <w:left w:val="none" w:sz="0" w:space="0" w:color="auto"/>
                                            <w:bottom w:val="none" w:sz="0" w:space="0" w:color="auto"/>
                                            <w:right w:val="none" w:sz="0" w:space="0" w:color="auto"/>
                                          </w:divBdr>
                                          <w:divsChild>
                                            <w:div w:id="1926528422">
                                              <w:marLeft w:val="0"/>
                                              <w:marRight w:val="0"/>
                                              <w:marTop w:val="0"/>
                                              <w:marBottom w:val="0"/>
                                              <w:divBdr>
                                                <w:top w:val="none" w:sz="0" w:space="0" w:color="auto"/>
                                                <w:left w:val="none" w:sz="0" w:space="0" w:color="auto"/>
                                                <w:bottom w:val="none" w:sz="0" w:space="0" w:color="auto"/>
                                                <w:right w:val="none" w:sz="0" w:space="0" w:color="auto"/>
                                              </w:divBdr>
                                              <w:divsChild>
                                                <w:div w:id="1906378885">
                                                  <w:marLeft w:val="0"/>
                                                  <w:marRight w:val="0"/>
                                                  <w:marTop w:val="0"/>
                                                  <w:marBottom w:val="0"/>
                                                  <w:divBdr>
                                                    <w:top w:val="none" w:sz="0" w:space="0" w:color="auto"/>
                                                    <w:left w:val="none" w:sz="0" w:space="0" w:color="auto"/>
                                                    <w:bottom w:val="none" w:sz="0" w:space="0" w:color="auto"/>
                                                    <w:right w:val="none" w:sz="0" w:space="0" w:color="auto"/>
                                                  </w:divBdr>
                                                  <w:divsChild>
                                                    <w:div w:id="1785152613">
                                                      <w:marLeft w:val="0"/>
                                                      <w:marRight w:val="0"/>
                                                      <w:marTop w:val="0"/>
                                                      <w:marBottom w:val="0"/>
                                                      <w:divBdr>
                                                        <w:top w:val="none" w:sz="0" w:space="0" w:color="auto"/>
                                                        <w:left w:val="none" w:sz="0" w:space="0" w:color="auto"/>
                                                        <w:bottom w:val="none" w:sz="0" w:space="0" w:color="auto"/>
                                                        <w:right w:val="none" w:sz="0" w:space="0" w:color="auto"/>
                                                      </w:divBdr>
                                                      <w:divsChild>
                                                        <w:div w:id="1566915928">
                                                          <w:marLeft w:val="0"/>
                                                          <w:marRight w:val="0"/>
                                                          <w:marTop w:val="0"/>
                                                          <w:marBottom w:val="0"/>
                                                          <w:divBdr>
                                                            <w:top w:val="none" w:sz="0" w:space="0" w:color="auto"/>
                                                            <w:left w:val="none" w:sz="0" w:space="0" w:color="auto"/>
                                                            <w:bottom w:val="none" w:sz="0" w:space="0" w:color="auto"/>
                                                            <w:right w:val="none" w:sz="0" w:space="0" w:color="auto"/>
                                                          </w:divBdr>
                                                          <w:divsChild>
                                                            <w:div w:id="2112234578">
                                                              <w:marLeft w:val="0"/>
                                                              <w:marRight w:val="0"/>
                                                              <w:marTop w:val="0"/>
                                                              <w:marBottom w:val="0"/>
                                                              <w:divBdr>
                                                                <w:top w:val="none" w:sz="0" w:space="0" w:color="auto"/>
                                                                <w:left w:val="none" w:sz="0" w:space="0" w:color="auto"/>
                                                                <w:bottom w:val="none" w:sz="0" w:space="0" w:color="auto"/>
                                                                <w:right w:val="none" w:sz="0" w:space="0" w:color="auto"/>
                                                              </w:divBdr>
                                                              <w:divsChild>
                                                                <w:div w:id="1079904643">
                                                                  <w:marLeft w:val="0"/>
                                                                  <w:marRight w:val="0"/>
                                                                  <w:marTop w:val="0"/>
                                                                  <w:marBottom w:val="0"/>
                                                                  <w:divBdr>
                                                                    <w:top w:val="none" w:sz="0" w:space="0" w:color="auto"/>
                                                                    <w:left w:val="none" w:sz="0" w:space="0" w:color="auto"/>
                                                                    <w:bottom w:val="none" w:sz="0" w:space="0" w:color="auto"/>
                                                                    <w:right w:val="none" w:sz="0" w:space="0" w:color="auto"/>
                                                                  </w:divBdr>
                                                                  <w:divsChild>
                                                                    <w:div w:id="131602869">
                                                                      <w:marLeft w:val="0"/>
                                                                      <w:marRight w:val="0"/>
                                                                      <w:marTop w:val="0"/>
                                                                      <w:marBottom w:val="0"/>
                                                                      <w:divBdr>
                                                                        <w:top w:val="none" w:sz="0" w:space="0" w:color="auto"/>
                                                                        <w:left w:val="none" w:sz="0" w:space="0" w:color="auto"/>
                                                                        <w:bottom w:val="none" w:sz="0" w:space="0" w:color="auto"/>
                                                                        <w:right w:val="none" w:sz="0" w:space="0" w:color="auto"/>
                                                                      </w:divBdr>
                                                                      <w:divsChild>
                                                                        <w:div w:id="803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555504">
      <w:bodyDiv w:val="1"/>
      <w:marLeft w:val="0"/>
      <w:marRight w:val="0"/>
      <w:marTop w:val="0"/>
      <w:marBottom w:val="0"/>
      <w:divBdr>
        <w:top w:val="none" w:sz="0" w:space="0" w:color="auto"/>
        <w:left w:val="none" w:sz="0" w:space="0" w:color="auto"/>
        <w:bottom w:val="none" w:sz="0" w:space="0" w:color="auto"/>
        <w:right w:val="none" w:sz="0" w:space="0" w:color="auto"/>
      </w:divBdr>
    </w:div>
    <w:div w:id="730351019">
      <w:bodyDiv w:val="1"/>
      <w:marLeft w:val="0"/>
      <w:marRight w:val="0"/>
      <w:marTop w:val="0"/>
      <w:marBottom w:val="0"/>
      <w:divBdr>
        <w:top w:val="none" w:sz="0" w:space="0" w:color="auto"/>
        <w:left w:val="none" w:sz="0" w:space="0" w:color="auto"/>
        <w:bottom w:val="none" w:sz="0" w:space="0" w:color="auto"/>
        <w:right w:val="none" w:sz="0" w:space="0" w:color="auto"/>
      </w:divBdr>
    </w:div>
    <w:div w:id="801773160">
      <w:bodyDiv w:val="1"/>
      <w:marLeft w:val="0"/>
      <w:marRight w:val="0"/>
      <w:marTop w:val="0"/>
      <w:marBottom w:val="0"/>
      <w:divBdr>
        <w:top w:val="none" w:sz="0" w:space="0" w:color="auto"/>
        <w:left w:val="none" w:sz="0" w:space="0" w:color="auto"/>
        <w:bottom w:val="none" w:sz="0" w:space="0" w:color="auto"/>
        <w:right w:val="none" w:sz="0" w:space="0" w:color="auto"/>
      </w:divBdr>
    </w:div>
    <w:div w:id="810638272">
      <w:bodyDiv w:val="1"/>
      <w:marLeft w:val="0"/>
      <w:marRight w:val="0"/>
      <w:marTop w:val="0"/>
      <w:marBottom w:val="0"/>
      <w:divBdr>
        <w:top w:val="none" w:sz="0" w:space="0" w:color="auto"/>
        <w:left w:val="none" w:sz="0" w:space="0" w:color="auto"/>
        <w:bottom w:val="none" w:sz="0" w:space="0" w:color="auto"/>
        <w:right w:val="none" w:sz="0" w:space="0" w:color="auto"/>
      </w:divBdr>
    </w:div>
    <w:div w:id="816066846">
      <w:bodyDiv w:val="1"/>
      <w:marLeft w:val="0"/>
      <w:marRight w:val="0"/>
      <w:marTop w:val="0"/>
      <w:marBottom w:val="0"/>
      <w:divBdr>
        <w:top w:val="none" w:sz="0" w:space="0" w:color="auto"/>
        <w:left w:val="none" w:sz="0" w:space="0" w:color="auto"/>
        <w:bottom w:val="none" w:sz="0" w:space="0" w:color="auto"/>
        <w:right w:val="none" w:sz="0" w:space="0" w:color="auto"/>
      </w:divBdr>
    </w:div>
    <w:div w:id="834147840">
      <w:bodyDiv w:val="1"/>
      <w:marLeft w:val="0"/>
      <w:marRight w:val="0"/>
      <w:marTop w:val="0"/>
      <w:marBottom w:val="0"/>
      <w:divBdr>
        <w:top w:val="none" w:sz="0" w:space="0" w:color="auto"/>
        <w:left w:val="none" w:sz="0" w:space="0" w:color="auto"/>
        <w:bottom w:val="none" w:sz="0" w:space="0" w:color="auto"/>
        <w:right w:val="none" w:sz="0" w:space="0" w:color="auto"/>
      </w:divBdr>
    </w:div>
    <w:div w:id="885681412">
      <w:bodyDiv w:val="1"/>
      <w:marLeft w:val="0"/>
      <w:marRight w:val="0"/>
      <w:marTop w:val="0"/>
      <w:marBottom w:val="0"/>
      <w:divBdr>
        <w:top w:val="none" w:sz="0" w:space="0" w:color="auto"/>
        <w:left w:val="none" w:sz="0" w:space="0" w:color="auto"/>
        <w:bottom w:val="none" w:sz="0" w:space="0" w:color="auto"/>
        <w:right w:val="none" w:sz="0" w:space="0" w:color="auto"/>
      </w:divBdr>
    </w:div>
    <w:div w:id="894269615">
      <w:bodyDiv w:val="1"/>
      <w:marLeft w:val="0"/>
      <w:marRight w:val="0"/>
      <w:marTop w:val="0"/>
      <w:marBottom w:val="0"/>
      <w:divBdr>
        <w:top w:val="none" w:sz="0" w:space="0" w:color="auto"/>
        <w:left w:val="none" w:sz="0" w:space="0" w:color="auto"/>
        <w:bottom w:val="none" w:sz="0" w:space="0" w:color="auto"/>
        <w:right w:val="none" w:sz="0" w:space="0" w:color="auto"/>
      </w:divBdr>
    </w:div>
    <w:div w:id="928580526">
      <w:bodyDiv w:val="1"/>
      <w:marLeft w:val="0"/>
      <w:marRight w:val="0"/>
      <w:marTop w:val="0"/>
      <w:marBottom w:val="0"/>
      <w:divBdr>
        <w:top w:val="none" w:sz="0" w:space="0" w:color="auto"/>
        <w:left w:val="none" w:sz="0" w:space="0" w:color="auto"/>
        <w:bottom w:val="none" w:sz="0" w:space="0" w:color="auto"/>
        <w:right w:val="none" w:sz="0" w:space="0" w:color="auto"/>
      </w:divBdr>
    </w:div>
    <w:div w:id="958799187">
      <w:bodyDiv w:val="1"/>
      <w:marLeft w:val="0"/>
      <w:marRight w:val="0"/>
      <w:marTop w:val="0"/>
      <w:marBottom w:val="0"/>
      <w:divBdr>
        <w:top w:val="none" w:sz="0" w:space="0" w:color="auto"/>
        <w:left w:val="none" w:sz="0" w:space="0" w:color="auto"/>
        <w:bottom w:val="none" w:sz="0" w:space="0" w:color="auto"/>
        <w:right w:val="none" w:sz="0" w:space="0" w:color="auto"/>
      </w:divBdr>
    </w:div>
    <w:div w:id="965163785">
      <w:bodyDiv w:val="1"/>
      <w:marLeft w:val="0"/>
      <w:marRight w:val="0"/>
      <w:marTop w:val="0"/>
      <w:marBottom w:val="0"/>
      <w:divBdr>
        <w:top w:val="none" w:sz="0" w:space="0" w:color="auto"/>
        <w:left w:val="none" w:sz="0" w:space="0" w:color="auto"/>
        <w:bottom w:val="none" w:sz="0" w:space="0" w:color="auto"/>
        <w:right w:val="none" w:sz="0" w:space="0" w:color="auto"/>
      </w:divBdr>
    </w:div>
    <w:div w:id="1077358436">
      <w:bodyDiv w:val="1"/>
      <w:marLeft w:val="0"/>
      <w:marRight w:val="0"/>
      <w:marTop w:val="0"/>
      <w:marBottom w:val="0"/>
      <w:divBdr>
        <w:top w:val="none" w:sz="0" w:space="0" w:color="auto"/>
        <w:left w:val="none" w:sz="0" w:space="0" w:color="auto"/>
        <w:bottom w:val="none" w:sz="0" w:space="0" w:color="auto"/>
        <w:right w:val="none" w:sz="0" w:space="0" w:color="auto"/>
      </w:divBdr>
    </w:div>
    <w:div w:id="1345211897">
      <w:bodyDiv w:val="1"/>
      <w:marLeft w:val="0"/>
      <w:marRight w:val="0"/>
      <w:marTop w:val="0"/>
      <w:marBottom w:val="0"/>
      <w:divBdr>
        <w:top w:val="none" w:sz="0" w:space="0" w:color="auto"/>
        <w:left w:val="none" w:sz="0" w:space="0" w:color="auto"/>
        <w:bottom w:val="none" w:sz="0" w:space="0" w:color="auto"/>
        <w:right w:val="none" w:sz="0" w:space="0" w:color="auto"/>
      </w:divBdr>
    </w:div>
    <w:div w:id="1435973856">
      <w:bodyDiv w:val="1"/>
      <w:marLeft w:val="0"/>
      <w:marRight w:val="0"/>
      <w:marTop w:val="0"/>
      <w:marBottom w:val="0"/>
      <w:divBdr>
        <w:top w:val="none" w:sz="0" w:space="0" w:color="auto"/>
        <w:left w:val="none" w:sz="0" w:space="0" w:color="auto"/>
        <w:bottom w:val="none" w:sz="0" w:space="0" w:color="auto"/>
        <w:right w:val="none" w:sz="0" w:space="0" w:color="auto"/>
      </w:divBdr>
    </w:div>
    <w:div w:id="1510220243">
      <w:bodyDiv w:val="1"/>
      <w:marLeft w:val="0"/>
      <w:marRight w:val="0"/>
      <w:marTop w:val="0"/>
      <w:marBottom w:val="0"/>
      <w:divBdr>
        <w:top w:val="none" w:sz="0" w:space="0" w:color="auto"/>
        <w:left w:val="none" w:sz="0" w:space="0" w:color="auto"/>
        <w:bottom w:val="none" w:sz="0" w:space="0" w:color="auto"/>
        <w:right w:val="none" w:sz="0" w:space="0" w:color="auto"/>
      </w:divBdr>
    </w:div>
    <w:div w:id="1537236065">
      <w:bodyDiv w:val="1"/>
      <w:marLeft w:val="0"/>
      <w:marRight w:val="0"/>
      <w:marTop w:val="0"/>
      <w:marBottom w:val="0"/>
      <w:divBdr>
        <w:top w:val="none" w:sz="0" w:space="0" w:color="auto"/>
        <w:left w:val="none" w:sz="0" w:space="0" w:color="auto"/>
        <w:bottom w:val="none" w:sz="0" w:space="0" w:color="auto"/>
        <w:right w:val="none" w:sz="0" w:space="0" w:color="auto"/>
      </w:divBdr>
    </w:div>
    <w:div w:id="1592011048">
      <w:bodyDiv w:val="1"/>
      <w:marLeft w:val="0"/>
      <w:marRight w:val="0"/>
      <w:marTop w:val="0"/>
      <w:marBottom w:val="0"/>
      <w:divBdr>
        <w:top w:val="none" w:sz="0" w:space="0" w:color="auto"/>
        <w:left w:val="none" w:sz="0" w:space="0" w:color="auto"/>
        <w:bottom w:val="none" w:sz="0" w:space="0" w:color="auto"/>
        <w:right w:val="none" w:sz="0" w:space="0" w:color="auto"/>
      </w:divBdr>
    </w:div>
    <w:div w:id="1716276751">
      <w:bodyDiv w:val="1"/>
      <w:marLeft w:val="0"/>
      <w:marRight w:val="0"/>
      <w:marTop w:val="0"/>
      <w:marBottom w:val="0"/>
      <w:divBdr>
        <w:top w:val="none" w:sz="0" w:space="0" w:color="auto"/>
        <w:left w:val="none" w:sz="0" w:space="0" w:color="auto"/>
        <w:bottom w:val="none" w:sz="0" w:space="0" w:color="auto"/>
        <w:right w:val="none" w:sz="0" w:space="0" w:color="auto"/>
      </w:divBdr>
    </w:div>
    <w:div w:id="1782064462">
      <w:bodyDiv w:val="1"/>
      <w:marLeft w:val="0"/>
      <w:marRight w:val="0"/>
      <w:marTop w:val="0"/>
      <w:marBottom w:val="0"/>
      <w:divBdr>
        <w:top w:val="none" w:sz="0" w:space="0" w:color="auto"/>
        <w:left w:val="none" w:sz="0" w:space="0" w:color="auto"/>
        <w:bottom w:val="none" w:sz="0" w:space="0" w:color="auto"/>
        <w:right w:val="none" w:sz="0" w:space="0" w:color="auto"/>
      </w:divBdr>
    </w:div>
    <w:div w:id="1832863243">
      <w:bodyDiv w:val="1"/>
      <w:marLeft w:val="0"/>
      <w:marRight w:val="0"/>
      <w:marTop w:val="0"/>
      <w:marBottom w:val="0"/>
      <w:divBdr>
        <w:top w:val="none" w:sz="0" w:space="0" w:color="auto"/>
        <w:left w:val="none" w:sz="0" w:space="0" w:color="auto"/>
        <w:bottom w:val="none" w:sz="0" w:space="0" w:color="auto"/>
        <w:right w:val="none" w:sz="0" w:space="0" w:color="auto"/>
      </w:divBdr>
    </w:div>
    <w:div w:id="1840585482">
      <w:bodyDiv w:val="1"/>
      <w:marLeft w:val="0"/>
      <w:marRight w:val="0"/>
      <w:marTop w:val="0"/>
      <w:marBottom w:val="0"/>
      <w:divBdr>
        <w:top w:val="none" w:sz="0" w:space="0" w:color="auto"/>
        <w:left w:val="none" w:sz="0" w:space="0" w:color="auto"/>
        <w:bottom w:val="none" w:sz="0" w:space="0" w:color="auto"/>
        <w:right w:val="none" w:sz="0" w:space="0" w:color="auto"/>
      </w:divBdr>
    </w:div>
    <w:div w:id="1868711363">
      <w:bodyDiv w:val="1"/>
      <w:marLeft w:val="0"/>
      <w:marRight w:val="0"/>
      <w:marTop w:val="0"/>
      <w:marBottom w:val="0"/>
      <w:divBdr>
        <w:top w:val="none" w:sz="0" w:space="0" w:color="auto"/>
        <w:left w:val="none" w:sz="0" w:space="0" w:color="auto"/>
        <w:bottom w:val="none" w:sz="0" w:space="0" w:color="auto"/>
        <w:right w:val="none" w:sz="0" w:space="0" w:color="auto"/>
      </w:divBdr>
    </w:div>
    <w:div w:id="1941377867">
      <w:bodyDiv w:val="1"/>
      <w:marLeft w:val="0"/>
      <w:marRight w:val="0"/>
      <w:marTop w:val="0"/>
      <w:marBottom w:val="0"/>
      <w:divBdr>
        <w:top w:val="none" w:sz="0" w:space="0" w:color="auto"/>
        <w:left w:val="none" w:sz="0" w:space="0" w:color="auto"/>
        <w:bottom w:val="none" w:sz="0" w:space="0" w:color="auto"/>
        <w:right w:val="none" w:sz="0" w:space="0" w:color="auto"/>
      </w:divBdr>
    </w:div>
    <w:div w:id="1994292144">
      <w:bodyDiv w:val="1"/>
      <w:marLeft w:val="0"/>
      <w:marRight w:val="0"/>
      <w:marTop w:val="0"/>
      <w:marBottom w:val="0"/>
      <w:divBdr>
        <w:top w:val="none" w:sz="0" w:space="0" w:color="auto"/>
        <w:left w:val="none" w:sz="0" w:space="0" w:color="auto"/>
        <w:bottom w:val="none" w:sz="0" w:space="0" w:color="auto"/>
        <w:right w:val="none" w:sz="0" w:space="0" w:color="auto"/>
      </w:divBdr>
    </w:div>
    <w:div w:id="2004968808">
      <w:bodyDiv w:val="1"/>
      <w:marLeft w:val="0"/>
      <w:marRight w:val="0"/>
      <w:marTop w:val="0"/>
      <w:marBottom w:val="0"/>
      <w:divBdr>
        <w:top w:val="none" w:sz="0" w:space="0" w:color="auto"/>
        <w:left w:val="none" w:sz="0" w:space="0" w:color="auto"/>
        <w:bottom w:val="none" w:sz="0" w:space="0" w:color="auto"/>
        <w:right w:val="none" w:sz="0" w:space="0" w:color="auto"/>
      </w:divBdr>
    </w:div>
    <w:div w:id="2099591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nwc.gov.au/__data/assets/pdf_file/0008/24749/Intergovernmental-Agreement-on-a-national-water-initiative.pdf" TargetMode="External"/><Relationship Id="rId18" Type="http://schemas.openxmlformats.org/officeDocument/2006/relationships/hyperlink" Target="http://www.mirrigation.com.au/About-Us/Company-Overview" TargetMode="External"/><Relationship Id="rId26" Type="http://schemas.openxmlformats.org/officeDocument/2006/relationships/hyperlink" Target="http://www.esc.vic.gov.au/wp-content/uploads/2016/06/Water-Price-Review-2016-20-G-MW-Final-Decision.pdf" TargetMode="External"/><Relationship Id="rId39" Type="http://schemas.openxmlformats.org/officeDocument/2006/relationships/hyperlink" Target="http://accc.gov.au/system/files/Water%20charge%20rules%20-%20infrastructure%20-%20guide%20to%20publishing%20and%20non-discriminatory%20charging%20requireme_0.pdf" TargetMode="External"/><Relationship Id="rId21" Type="http://schemas.openxmlformats.org/officeDocument/2006/relationships/hyperlink" Target="http://www.murrayirrigation.com.au/media/1758/Network%20Service%20Plan.pdf" TargetMode="External"/><Relationship Id="rId34" Type="http://schemas.openxmlformats.org/officeDocument/2006/relationships/hyperlink" Target="http://waterregister.vic.gov.au/about/forms-and-fees/fees" TargetMode="External"/><Relationship Id="rId42" Type="http://schemas.openxmlformats.org/officeDocument/2006/relationships/hyperlink" Target="http://www.accc.gov.au/publications/water-charge-infrastructure-rules/a-guide-to-the-water-charge-infrastructure-rules-pricing-application-for-part-6-operators" TargetMode="External"/><Relationship Id="rId47" Type="http://schemas.openxmlformats.org/officeDocument/2006/relationships/hyperlink" Target="http://www.accc.gov.au/regulated-infrastructure/water/water-charge-infrastructure-rules-accreditation-arrangements/accreditation-escv" TargetMode="External"/><Relationship Id="rId50" Type="http://schemas.openxmlformats.org/officeDocument/2006/relationships/hyperlink" Target="http://www.esc.vic.gov.au/wp-content/uploads/2016/06/Water-Price-Review-2016-20-G-MW-Final-Decision.pdf" TargetMode="External"/><Relationship Id="rId55" Type="http://schemas.openxmlformats.org/officeDocument/2006/relationships/hyperlink" Target="https://www.accc.gov.au/system/files/A%20guide%20to%20water%20charge%20termination%20fees%20rules_0.pdf" TargetMode="External"/><Relationship Id="rId63" Type="http://schemas.openxmlformats.org/officeDocument/2006/relationships/hyperlink" Target="http://waterregister.vic.gov.au/water-entitlements/bulk-entitlements" TargetMode="External"/><Relationship Id="rId68" Type="http://schemas.openxmlformats.org/officeDocument/2006/relationships/hyperlink" Target="https://www.dpmc.gov.au/sites/default/files/publications/005_Regulatory_Burden_Measurement_Framework_1.pdf" TargetMode="External"/><Relationship Id="rId7" Type="http://schemas.openxmlformats.org/officeDocument/2006/relationships/hyperlink" Target="http://accc.gov.au/regulated-infrastructure/water/water-projects/review-of-the-water-charge-rules-advice-development/draft-advice" TargetMode="External"/><Relationship Id="rId2" Type="http://schemas.openxmlformats.org/officeDocument/2006/relationships/hyperlink" Target="http://www.comlaw.gov.au/Details/F2013C00160" TargetMode="External"/><Relationship Id="rId16" Type="http://schemas.openxmlformats.org/officeDocument/2006/relationships/hyperlink" Target="https://www.environment.gov.au/system/files/pages/117d6268-6372-42dc-9ed5-e3f5be5dfa15/files/review-water-information-reporting-18-tor.pdf" TargetMode="External"/><Relationship Id="rId29" Type="http://schemas.openxmlformats.org/officeDocument/2006/relationships/hyperlink" Target="http://ec.europa.eu/competition/legislation/treaties/ec/art82_en.html" TargetMode="External"/><Relationship Id="rId1" Type="http://schemas.openxmlformats.org/officeDocument/2006/relationships/hyperlink" Target="http://www.comlaw.gov.au/Details/F2011L00058" TargetMode="External"/><Relationship Id="rId6" Type="http://schemas.openxmlformats.org/officeDocument/2006/relationships/hyperlink" Target="https://www.accc.gov.au/regulated-infrastructure/water/water-projects/review-of-the-water-charge-rules-advice-development/draft-advice" TargetMode="External"/><Relationship Id="rId11" Type="http://schemas.openxmlformats.org/officeDocument/2006/relationships/hyperlink" Target="http://www.accc.gov.au/regulated-infrastructure/water/water-guides" TargetMode="External"/><Relationship Id="rId24" Type="http://schemas.openxmlformats.org/officeDocument/2006/relationships/hyperlink" Target="http://www.g-mwater.com.au/downloads/gmw/Pricing_Table_June15.pdf" TargetMode="External"/><Relationship Id="rId32" Type="http://schemas.openxmlformats.org/officeDocument/2006/relationships/hyperlink" Target="https://www.accc.gov.au/system/files/ACCC%20enforcement%20guide%20to%20water%20rules.pdf" TargetMode="External"/><Relationship Id="rId37" Type="http://schemas.openxmlformats.org/officeDocument/2006/relationships/hyperlink" Target="https://www.accc.gov.au/system/files/Marsden%20Jacobs%20Associates%20-%20impact%20of%20infrastructure%20charges%20on%20water%20trade%20in%20the%20MDB.pdf" TargetMode="External"/><Relationship Id="rId40" Type="http://schemas.openxmlformats.org/officeDocument/2006/relationships/hyperlink" Target="https://www.aer.gov.au/system/files/AER%20Retail%20Pricing%20Information%20Guidelines%20-%20August%202015.PDF" TargetMode="External"/><Relationship Id="rId45" Type="http://schemas.openxmlformats.org/officeDocument/2006/relationships/hyperlink" Target="https://www.accc.gov.au/system/files/Western%20Murray%20Irrigation.doc" TargetMode="External"/><Relationship Id="rId53" Type="http://schemas.openxmlformats.org/officeDocument/2006/relationships/hyperlink" Target="https://www.accc.gov.au/publications/accc-water-monitoring-report" TargetMode="External"/><Relationship Id="rId58" Type="http://schemas.openxmlformats.org/officeDocument/2006/relationships/hyperlink" Target="http://www.comlaw.gov.au/Details/F2010L02133" TargetMode="External"/><Relationship Id="rId66" Type="http://schemas.openxmlformats.org/officeDocument/2006/relationships/hyperlink" Target="https://www.ewov.com.au/providers/water-companies" TargetMode="External"/><Relationship Id="rId5" Type="http://schemas.openxmlformats.org/officeDocument/2006/relationships/hyperlink" Target="https://www.accc.gov.au/regulated-infrastructure/water/water-projects/review-of-the-water-charge-rules-advice-development/issues-paper" TargetMode="External"/><Relationship Id="rId15" Type="http://schemas.openxmlformats.org/officeDocument/2006/relationships/hyperlink" Target="https://www.accc.gov.au/system/files/ACCC%20enforcement%20guide%20to%20water%20rules.pdf" TargetMode="External"/><Relationship Id="rId23" Type="http://schemas.openxmlformats.org/officeDocument/2006/relationships/hyperlink" Target="http://waterregister.vic.gov.au/about/water-dictionary?view=items&amp;start=80" TargetMode="External"/><Relationship Id="rId28" Type="http://schemas.openxmlformats.org/officeDocument/2006/relationships/hyperlink" Target="https://www.accc.gov.au/regulated-infrastructure/regulatory-projects?field_accc_industry_sector_tid_selective=339" TargetMode="External"/><Relationship Id="rId36" Type="http://schemas.openxmlformats.org/officeDocument/2006/relationships/hyperlink" Target="https://www.accc.gov.au/system/files/Permanently%20selling%20your%20water%20and%20terminating%20your%20delivery%20right.pdf" TargetMode="External"/><Relationship Id="rId49" Type="http://schemas.openxmlformats.org/officeDocument/2006/relationships/hyperlink" Target="http://www.nwc.gov.au/__data/assets/pdf_file/0008/24749/Intergovernmental-Agreement-on-a-national-water-initiative.pdf" TargetMode="External"/><Relationship Id="rId57" Type="http://schemas.openxmlformats.org/officeDocument/2006/relationships/hyperlink" Target="http://accc.gov.au/regulated-infrastructure/water/water-monitoring-reporting" TargetMode="External"/><Relationship Id="rId61" Type="http://schemas.openxmlformats.org/officeDocument/2006/relationships/hyperlink" Target="https://waterregister.vic.gov.au/about/news/194-new-water-market-trends-report-available" TargetMode="External"/><Relationship Id="rId10" Type="http://schemas.openxmlformats.org/officeDocument/2006/relationships/hyperlink" Target="http://www.comlaw.gov.au/Details/F2012L02240" TargetMode="External"/><Relationship Id="rId19" Type="http://schemas.openxmlformats.org/officeDocument/2006/relationships/hyperlink" Target="http://www.mirrigation.com.au/About-Us/Annual-Reports" TargetMode="External"/><Relationship Id="rId31" Type="http://schemas.openxmlformats.org/officeDocument/2006/relationships/hyperlink" Target="http://competitionpolicyreview.gov.au/files/2015/03/Competition-policy-review-report_online.pdf" TargetMode="External"/><Relationship Id="rId44" Type="http://schemas.openxmlformats.org/officeDocument/2006/relationships/hyperlink" Target="http://accc.gov.au/regulated-infrastructure/water/water-projects/water-nsw-formerly-state-water-annual-price-review-2015-16/final-decision" TargetMode="External"/><Relationship Id="rId52" Type="http://schemas.openxmlformats.org/officeDocument/2006/relationships/hyperlink" Target="http://www.mdba.gov.au/media-pubs/research-reports/reviewing-the-efficiency-of-river-murray-operations" TargetMode="External"/><Relationship Id="rId60" Type="http://schemas.openxmlformats.org/officeDocument/2006/relationships/hyperlink" Target="http://www.environment.gov.au/water/cewo/about/water-holdings" TargetMode="External"/><Relationship Id="rId65" Type="http://schemas.openxmlformats.org/officeDocument/2006/relationships/hyperlink" Target="http://www.ewoq.com.au/types-of-complaints" TargetMode="External"/><Relationship Id="rId4" Type="http://schemas.openxmlformats.org/officeDocument/2006/relationships/hyperlink" Target="https://www.accc.gov.au/regulated-infrastructure/water/water-projects/review-of-the-water-charge-rules-advice-development/issues-paper" TargetMode="External"/><Relationship Id="rId9" Type="http://schemas.openxmlformats.org/officeDocument/2006/relationships/hyperlink" Target="http://www.accc.gov.au/regulated-infrastructure/water/water-projects" TargetMode="External"/><Relationship Id="rId14" Type="http://schemas.openxmlformats.org/officeDocument/2006/relationships/hyperlink" Target="http://accc.gov.au/regulated-infrastructure/water/water-guides" TargetMode="External"/><Relationship Id="rId22" Type="http://schemas.openxmlformats.org/officeDocument/2006/relationships/hyperlink" Target="http://www.g-mwater.com.au/news/media-releases/media-releases-2008/gmw_board_defers_start_date_basin_pricing.html" TargetMode="External"/><Relationship Id="rId27" Type="http://schemas.openxmlformats.org/officeDocument/2006/relationships/hyperlink" Target="http://www.aemc.gov.au/getattachment/8d0f72eb-7950-4b96-9a08-134e9de26b86/National-Gas-Rules-Version-27.aspx" TargetMode="External"/><Relationship Id="rId30" Type="http://schemas.openxmlformats.org/officeDocument/2006/relationships/hyperlink" Target="https://www.law.cornell.edu/uscode/text/15/13" TargetMode="External"/><Relationship Id="rId35" Type="http://schemas.openxmlformats.org/officeDocument/2006/relationships/hyperlink" Target="http://www.water.nsw.gov.au/water-management/fees-and-charges/price-setting" TargetMode="External"/><Relationship Id="rId43" Type="http://schemas.openxmlformats.org/officeDocument/2006/relationships/hyperlink" Target="http://www.accc.gov.au/regulated-infrastructure/water/water-charge-infrastructure-rules-accreditation-arrangements/accreditation-escv" TargetMode="External"/><Relationship Id="rId48" Type="http://schemas.openxmlformats.org/officeDocument/2006/relationships/hyperlink" Target="http://www.accc.gov.au/regulated-infrastructure/water/water-projects/ipart-application-for-accreditation-under-the-water-charge-infrastructure-rules" TargetMode="External"/><Relationship Id="rId56" Type="http://schemas.openxmlformats.org/officeDocument/2006/relationships/hyperlink" Target="http://accc.gov.au/publications/a-guide-to-the-water-charge-planning-management-information-rules-2010" TargetMode="External"/><Relationship Id="rId64" Type="http://schemas.openxmlformats.org/officeDocument/2006/relationships/hyperlink" Target="http://www.mdba.gov.au/basin-plan-roll-out/sustainable-diversion-limits" TargetMode="External"/><Relationship Id="rId69" Type="http://schemas.openxmlformats.org/officeDocument/2006/relationships/hyperlink" Target="http://www.comlaw.gov.au/Details/F2010L02133" TargetMode="External"/><Relationship Id="rId8" Type="http://schemas.openxmlformats.org/officeDocument/2006/relationships/hyperlink" Target="http://www.abs.gov.au/AUSSTATS/abs@.nsf/allprimarymainfeatures/A5A4DA2DF9F997A0CA2571AD007DDFD4?opendocument" TargetMode="External"/><Relationship Id="rId51" Type="http://schemas.openxmlformats.org/officeDocument/2006/relationships/hyperlink" Target="https://www.legislation.sa.gov.au/LZ/V/A/2015/WATER%20INDUSTRY%20(THIRD%20PARTY%20ACCESS)%20AMENDMENT%20ACT%202015_28.aspx" TargetMode="External"/><Relationship Id="rId3" Type="http://schemas.openxmlformats.org/officeDocument/2006/relationships/hyperlink" Target="http://www.comlaw.gov.au/Details/F2010L02133" TargetMode="External"/><Relationship Id="rId12" Type="http://schemas.openxmlformats.org/officeDocument/2006/relationships/hyperlink" Target="https://www.environment.gov.au/water/publications/water-act-review-govt-response" TargetMode="External"/><Relationship Id="rId17" Type="http://schemas.openxmlformats.org/officeDocument/2006/relationships/hyperlink" Target="https://www.cuttingredtape.gov.au/handbook/australian-government-guide-regulation" TargetMode="External"/><Relationship Id="rId25" Type="http://schemas.openxmlformats.org/officeDocument/2006/relationships/hyperlink" Target="http://www.esc.vic.gov.au/wp-content/uploads/2016/06/Water-Price-Review-2016-20-G-MW-Final-Decision.pdf" TargetMode="External"/><Relationship Id="rId33" Type="http://schemas.openxmlformats.org/officeDocument/2006/relationships/hyperlink" Target="https://www.legislation.qld.gov.au/LEGISLTN/CURRENT/W/WaterR02.pdf" TargetMode="External"/><Relationship Id="rId38" Type="http://schemas.openxmlformats.org/officeDocument/2006/relationships/hyperlink" Target="https://www.accc.gov.au/system/files/Water%20charge%20rules%20-%20infrastructure%20-%20guide%20to%20publishing%20and%20non-discriminatory%20charging%20requireme_0.pdf" TargetMode="External"/><Relationship Id="rId46" Type="http://schemas.openxmlformats.org/officeDocument/2006/relationships/hyperlink" Target="http://www.westernmurray.com.au/" TargetMode="External"/><Relationship Id="rId59" Type="http://schemas.openxmlformats.org/officeDocument/2006/relationships/hyperlink" Target="https://www.environment.gov.au/water/australian-government-water-leadership/coag/consultation-ris-2013" TargetMode="External"/><Relationship Id="rId67" Type="http://schemas.openxmlformats.org/officeDocument/2006/relationships/hyperlink" Target="https://ris.govspace.gov.au/files/2016/02/Regulatory-Burden-Measurement-framework-guidance-note.pdf" TargetMode="External"/><Relationship Id="rId20" Type="http://schemas.openxmlformats.org/officeDocument/2006/relationships/hyperlink" Target="http://www.murrayirrigation.com.au/media/3552/Customer%20Infomation%20Kit.pdf" TargetMode="External"/><Relationship Id="rId41" Type="http://schemas.openxmlformats.org/officeDocument/2006/relationships/hyperlink" Target="http://www.accc.gov.au/publications/water-charge-infrastructure-rules/a-guide-to-the-water-charge-infrastructure-rules-tier-2-requirements" TargetMode="External"/><Relationship Id="rId54" Type="http://schemas.openxmlformats.org/officeDocument/2006/relationships/hyperlink" Target="https://www.accc.gov.au/publications/accc-water-monitoring-report" TargetMode="External"/><Relationship Id="rId62" Type="http://schemas.openxmlformats.org/officeDocument/2006/relationships/hyperlink" Target="http://www.legislation.nsw.gov.au/regulations/2016-36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22552-1BDB-45AF-925F-A17586FC1981}">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790D0AB8-0B13-46D8-8C43-EB74BCEF6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A1554F-C5A5-401B-905C-072E528FEEAC}">
  <ds:schemaRefs>
    <ds:schemaRef ds:uri="http://schemas.microsoft.com/sharepoint/v3/contenttype/forms"/>
  </ds:schemaRefs>
</ds:datastoreItem>
</file>

<file path=customXml/itemProps4.xml><?xml version="1.0" encoding="utf-8"?>
<ds:datastoreItem xmlns:ds="http://schemas.openxmlformats.org/officeDocument/2006/customXml" ds:itemID="{C1F0682E-71C7-45EF-9274-B35A6C37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517</Pages>
  <Words>179398</Words>
  <Characters>1022572</Characters>
  <Application>Microsoft Office Word</Application>
  <DocSecurity>4</DocSecurity>
  <Lines>8521</Lines>
  <Paragraphs>2399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2019-04-01T01:38:00Z</dcterms:created>
  <dcterms:modified xsi:type="dcterms:W3CDTF">2019-04-01T01:38:00Z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