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6811B" w14:textId="0D03855A" w:rsidR="000722AF" w:rsidRPr="00043245" w:rsidRDefault="00644B79" w:rsidP="00A93C43">
      <w:pPr>
        <w:tabs>
          <w:tab w:val="left" w:pos="9003"/>
        </w:tabs>
        <w:rPr>
          <w:rFonts w:cstheme="minorHAnsi"/>
        </w:rPr>
        <w:sectPr w:rsidR="000722AF" w:rsidRPr="00043245" w:rsidSect="0031300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0" w:header="568" w:footer="708" w:gutter="0"/>
          <w:cols w:space="708"/>
          <w:docGrid w:linePitch="360"/>
        </w:sectPr>
      </w:pPr>
      <w:r w:rsidRPr="00043245">
        <w:rPr>
          <w:rFonts w:cstheme="minorHAnsi"/>
          <w:noProof/>
          <w:lang w:eastAsia="en-AU"/>
        </w:rPr>
        <mc:AlternateContent>
          <mc:Choice Requires="wps">
            <w:drawing>
              <wp:anchor distT="45720" distB="45720" distL="114300" distR="114300" simplePos="0" relativeHeight="251659264" behindDoc="1" locked="0" layoutInCell="1" allowOverlap="1" wp14:anchorId="2A77AEB6" wp14:editId="0A9B37FF">
                <wp:simplePos x="0" y="0"/>
                <wp:positionH relativeFrom="margin">
                  <wp:posOffset>1153342</wp:posOffset>
                </wp:positionH>
                <wp:positionV relativeFrom="paragraph">
                  <wp:posOffset>260894</wp:posOffset>
                </wp:positionV>
                <wp:extent cx="5932170" cy="7203440"/>
                <wp:effectExtent l="0" t="0" r="0" b="0"/>
                <wp:wrapTight wrapText="bothSides">
                  <wp:wrapPolygon edited="0">
                    <wp:start x="0" y="0"/>
                    <wp:lineTo x="0" y="21600"/>
                    <wp:lineTo x="21600" y="21600"/>
                    <wp:lineTo x="2160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7203440"/>
                        </a:xfrm>
                        <a:prstGeom prst="rect">
                          <a:avLst/>
                        </a:prstGeom>
                        <a:solidFill>
                          <a:srgbClr val="FFFFFF">
                            <a:alpha val="0"/>
                          </a:srgbClr>
                        </a:solidFill>
                        <a:ln w="9525">
                          <a:noFill/>
                          <a:miter lim="800000"/>
                          <a:headEnd/>
                          <a:tailEnd/>
                        </a:ln>
                      </wps:spPr>
                      <wps:txbx>
                        <w:txbxContent>
                          <w:p w14:paraId="42FDAC56" w14:textId="77777777" w:rsidR="00644B79" w:rsidRPr="00043245" w:rsidRDefault="00644B79" w:rsidP="00644B79">
                            <w:pPr>
                              <w:spacing w:line="240" w:lineRule="auto"/>
                              <w:rPr>
                                <w:rFonts w:cstheme="minorHAnsi"/>
                                <w:color w:val="FFFFFF" w:themeColor="background1"/>
                                <w:sz w:val="96"/>
                                <w:szCs w:val="120"/>
                              </w:rPr>
                            </w:pPr>
                            <w:r w:rsidRPr="00043245">
                              <w:rPr>
                                <w:rFonts w:cstheme="minorHAnsi"/>
                                <w:color w:val="FFFFFF" w:themeColor="background1"/>
                                <w:sz w:val="96"/>
                                <w:szCs w:val="120"/>
                              </w:rPr>
                              <w:t xml:space="preserve">Review of State Priority Projects </w:t>
                            </w:r>
                            <w:bookmarkStart w:id="0" w:name="_GoBack"/>
                            <w:bookmarkEnd w:id="0"/>
                            <w:r w:rsidRPr="00043245">
                              <w:rPr>
                                <w:rFonts w:cstheme="minorHAnsi"/>
                                <w:color w:val="FFFFFF" w:themeColor="background1"/>
                                <w:sz w:val="96"/>
                                <w:szCs w:val="120"/>
                              </w:rPr>
                              <w:t xml:space="preserve">– Healthy </w:t>
                            </w:r>
                            <w:proofErr w:type="spellStart"/>
                            <w:r w:rsidRPr="00043245">
                              <w:rPr>
                                <w:rFonts w:cstheme="minorHAnsi"/>
                                <w:color w:val="FFFFFF" w:themeColor="background1"/>
                                <w:sz w:val="96"/>
                                <w:szCs w:val="120"/>
                              </w:rPr>
                              <w:t>HeadWaters</w:t>
                            </w:r>
                            <w:proofErr w:type="spellEnd"/>
                            <w:r w:rsidRPr="00043245">
                              <w:rPr>
                                <w:rFonts w:cstheme="minorHAnsi"/>
                                <w:color w:val="FFFFFF" w:themeColor="background1"/>
                                <w:sz w:val="96"/>
                                <w:szCs w:val="120"/>
                              </w:rPr>
                              <w:t xml:space="preserve"> Water Use Efficiency Project</w:t>
                            </w:r>
                          </w:p>
                          <w:p w14:paraId="18C9290D" w14:textId="77777777" w:rsidR="00644B79" w:rsidRPr="00043245" w:rsidRDefault="00644B79" w:rsidP="00644B79">
                            <w:pPr>
                              <w:rPr>
                                <w:rFonts w:cstheme="minorHAnsi"/>
                                <w:color w:val="FFFFFF" w:themeColor="background1"/>
                                <w:sz w:val="44"/>
                              </w:rPr>
                            </w:pPr>
                          </w:p>
                          <w:p w14:paraId="783887F9" w14:textId="77777777" w:rsidR="00644B79" w:rsidRPr="00043245" w:rsidRDefault="00644B79" w:rsidP="00644B79">
                            <w:pPr>
                              <w:rPr>
                                <w:rFonts w:cstheme="minorHAnsi"/>
                                <w:color w:val="FFFFFF" w:themeColor="background1"/>
                                <w:sz w:val="44"/>
                              </w:rPr>
                            </w:pPr>
                            <w:r w:rsidRPr="00043245">
                              <w:rPr>
                                <w:rFonts w:cstheme="minorHAnsi"/>
                                <w:color w:val="FFFFFF" w:themeColor="background1"/>
                                <w:sz w:val="44"/>
                              </w:rPr>
                              <w:t>Department of Agriculture and Water Resources</w:t>
                            </w:r>
                          </w:p>
                          <w:p w14:paraId="2BC55AC3" w14:textId="77777777" w:rsidR="00644B79" w:rsidRPr="00043245" w:rsidRDefault="00644B79" w:rsidP="00644B79">
                            <w:pPr>
                              <w:rPr>
                                <w:rFonts w:cstheme="minorHAnsi"/>
                                <w:b/>
                                <w:color w:val="FFFFFF" w:themeColor="background1"/>
                                <w:sz w:val="36"/>
                              </w:rPr>
                            </w:pPr>
                            <w:r w:rsidRPr="00043245">
                              <w:rPr>
                                <w:rFonts w:cstheme="minorHAnsi"/>
                                <w:b/>
                                <w:color w:val="FFFFFF" w:themeColor="background1"/>
                                <w:sz w:val="36"/>
                              </w:rPr>
                              <w:t>Final Report</w:t>
                            </w:r>
                          </w:p>
                          <w:p w14:paraId="4D37B5B1" w14:textId="1096D142" w:rsidR="00644B79" w:rsidRPr="00043245" w:rsidRDefault="00484797" w:rsidP="00644B79">
                            <w:pPr>
                              <w:rPr>
                                <w:rFonts w:cstheme="minorHAnsi"/>
                                <w:color w:val="FFFFFF" w:themeColor="background1"/>
                                <w:sz w:val="32"/>
                              </w:rPr>
                            </w:pPr>
                            <w:r w:rsidRPr="00043245">
                              <w:rPr>
                                <w:rFonts w:cstheme="minorHAnsi"/>
                                <w:color w:val="FFFFFF" w:themeColor="background1"/>
                                <w:sz w:val="32"/>
                              </w:rPr>
                              <w:t>October</w:t>
                            </w:r>
                            <w:r w:rsidR="00644B79" w:rsidRPr="00043245">
                              <w:rPr>
                                <w:rFonts w:cstheme="minorHAnsi"/>
                                <w:color w:val="FFFFFF" w:themeColor="background1"/>
                                <w:sz w:val="32"/>
                              </w:rPr>
                              <w:t xml:space="preserve">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77AEB6" id="_x0000_t202" coordsize="21600,21600" o:spt="202" path="m,l,21600r21600,l21600,xe">
                <v:stroke joinstyle="miter"/>
                <v:path gradientshapeok="t" o:connecttype="rect"/>
              </v:shapetype>
              <v:shape id="Text Box 2" o:spid="_x0000_s1026" type="#_x0000_t202" style="position:absolute;margin-left:90.8pt;margin-top:20.55pt;width:467.1pt;height:567.2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lKwIAADsEAAAOAAAAZHJzL2Uyb0RvYy54bWysU9tu2zAMfR+wfxD0vthJk7Ux4hRdugwD&#10;ugvQ7gNoWY6FyaImKbG7rx8lJ2m2vQ3TgyCJ5NHhIbm6HTrNDtJ5habk00nOmTQCa2V2Jf/2tH1z&#10;w5kPYGrQaGTJn6Xnt+vXr1a9LeQMW9S1dIxAjC96W/I2BFtkmRet7MBP0EpDxgZdB4GubpfVDnpC&#10;73Q2y/O3WY+utg6F9J5e70cjXyf8ppEifGkaLwPTJSduIe0u7VXcs/UKip0D2ypxpAH/wKIDZejT&#10;M9Q9BGB7p/6C6pRw6LEJE4Fdhk2jhEw5UDbT/I9sHluwMuVC4nh7lsn/P1jx+fDVMVWXfDa95sxA&#10;R0V6kkNg73Bgs6hPb31Bbo+WHMNAz1TnlKu3Dyi+e2Zw04LZyTvnsG8l1MRvGiOzi9ARx0eQqv+E&#10;NX0D+4AJaGhcF8UjORihU52ez7WJVAQ9LpZXxJBMgmzXs/xqPk/Vy6A4hVvnwweJHYuHkjsqfoKH&#10;w4MPkQ4UJ5f4m0et6q3SOl3crtpoxw5AjbJNa4zVtoXx9fSdH10T3m8Y2rC+5MvFbJFCDUbw1GCd&#10;CtTlWnUlv8njGvsuavXe1MklgNLjmWhqcxQv6jUqF4ZqIMeoaIX1M8nocOxmmj46tOh+ctZTJ5fc&#10;/9iDk5zpj4ZKsZxGqVhIl/mCtOPMXVqqSwsYQVAlD5yNx01I4xJFMnhHJWtUEvOFyZErdWjS5DhN&#10;cQQu78nrZebXvwAAAP//AwBQSwMEFAAGAAgAAAAhAB2h91jeAAAADAEAAA8AAABkcnMvZG93bnJl&#10;di54bWxMj01LxDAQhu+C/yGM4EXcNItdS226yKIHQQWr3tNmbLs2k9Jkd+u/d3rS27zMw/tRbGc3&#10;iCNOofekQa0SEEiNtz21Gj7eH68zECEasmbwhBp+MMC2PD8rTG79id7wWMVWsAmF3GjoYhxzKUPT&#10;oTNh5Uck/n35yZnIcmqlncyJzd0g10mykc70xAmdGXHXYfNdHRznPszZ+Fk/7/ZP1VW9X79S/5KR&#10;1pcX8/0diIhz/INhqc/VoeROtT+QDWJgnakNoxpulAKxAEqlPKZerts0BVkW8v+I8hcAAP//AwBQ&#10;SwECLQAUAAYACAAAACEAtoM4kv4AAADhAQAAEwAAAAAAAAAAAAAAAAAAAAAAW0NvbnRlbnRfVHlw&#10;ZXNdLnhtbFBLAQItABQABgAIAAAAIQA4/SH/1gAAAJQBAAALAAAAAAAAAAAAAAAAAC8BAABfcmVs&#10;cy8ucmVsc1BLAQItABQABgAIAAAAIQDF+xSlKwIAADsEAAAOAAAAAAAAAAAAAAAAAC4CAABkcnMv&#10;ZTJvRG9jLnhtbFBLAQItABQABgAIAAAAIQAdofdY3gAAAAwBAAAPAAAAAAAAAAAAAAAAAIUEAABk&#10;cnMvZG93bnJldi54bWxQSwUGAAAAAAQABADzAAAAkAUAAAAA&#10;" stroked="f">
                <v:fill opacity="0"/>
                <v:textbox>
                  <w:txbxContent>
                    <w:p w14:paraId="42FDAC56" w14:textId="77777777" w:rsidR="00644B79" w:rsidRPr="00043245" w:rsidRDefault="00644B79" w:rsidP="00644B79">
                      <w:pPr>
                        <w:spacing w:line="240" w:lineRule="auto"/>
                        <w:rPr>
                          <w:rFonts w:cstheme="minorHAnsi"/>
                          <w:color w:val="FFFFFF" w:themeColor="background1"/>
                          <w:sz w:val="96"/>
                          <w:szCs w:val="120"/>
                        </w:rPr>
                      </w:pPr>
                      <w:r w:rsidRPr="00043245">
                        <w:rPr>
                          <w:rFonts w:cstheme="minorHAnsi"/>
                          <w:color w:val="FFFFFF" w:themeColor="background1"/>
                          <w:sz w:val="96"/>
                          <w:szCs w:val="120"/>
                        </w:rPr>
                        <w:t xml:space="preserve">Review of State Priority Projects – Healthy </w:t>
                      </w:r>
                      <w:proofErr w:type="spellStart"/>
                      <w:r w:rsidRPr="00043245">
                        <w:rPr>
                          <w:rFonts w:cstheme="minorHAnsi"/>
                          <w:color w:val="FFFFFF" w:themeColor="background1"/>
                          <w:sz w:val="96"/>
                          <w:szCs w:val="120"/>
                        </w:rPr>
                        <w:t>HeadWaters</w:t>
                      </w:r>
                      <w:proofErr w:type="spellEnd"/>
                      <w:r w:rsidRPr="00043245">
                        <w:rPr>
                          <w:rFonts w:cstheme="minorHAnsi"/>
                          <w:color w:val="FFFFFF" w:themeColor="background1"/>
                          <w:sz w:val="96"/>
                          <w:szCs w:val="120"/>
                        </w:rPr>
                        <w:t xml:space="preserve"> Water Use Efficiency Project</w:t>
                      </w:r>
                    </w:p>
                    <w:p w14:paraId="18C9290D" w14:textId="77777777" w:rsidR="00644B79" w:rsidRPr="00043245" w:rsidRDefault="00644B79" w:rsidP="00644B79">
                      <w:pPr>
                        <w:rPr>
                          <w:rFonts w:cstheme="minorHAnsi"/>
                          <w:color w:val="FFFFFF" w:themeColor="background1"/>
                          <w:sz w:val="44"/>
                        </w:rPr>
                      </w:pPr>
                    </w:p>
                    <w:p w14:paraId="783887F9" w14:textId="77777777" w:rsidR="00644B79" w:rsidRPr="00043245" w:rsidRDefault="00644B79" w:rsidP="00644B79">
                      <w:pPr>
                        <w:rPr>
                          <w:rFonts w:cstheme="minorHAnsi"/>
                          <w:color w:val="FFFFFF" w:themeColor="background1"/>
                          <w:sz w:val="44"/>
                        </w:rPr>
                      </w:pPr>
                      <w:r w:rsidRPr="00043245">
                        <w:rPr>
                          <w:rFonts w:cstheme="minorHAnsi"/>
                          <w:color w:val="FFFFFF" w:themeColor="background1"/>
                          <w:sz w:val="44"/>
                        </w:rPr>
                        <w:t>Department of Agriculture and Water Resources</w:t>
                      </w:r>
                    </w:p>
                    <w:p w14:paraId="2BC55AC3" w14:textId="77777777" w:rsidR="00644B79" w:rsidRPr="00043245" w:rsidRDefault="00644B79" w:rsidP="00644B79">
                      <w:pPr>
                        <w:rPr>
                          <w:rFonts w:cstheme="minorHAnsi"/>
                          <w:b/>
                          <w:color w:val="FFFFFF" w:themeColor="background1"/>
                          <w:sz w:val="36"/>
                        </w:rPr>
                      </w:pPr>
                      <w:r w:rsidRPr="00043245">
                        <w:rPr>
                          <w:rFonts w:cstheme="minorHAnsi"/>
                          <w:b/>
                          <w:color w:val="FFFFFF" w:themeColor="background1"/>
                          <w:sz w:val="36"/>
                        </w:rPr>
                        <w:t>Final Report</w:t>
                      </w:r>
                    </w:p>
                    <w:p w14:paraId="4D37B5B1" w14:textId="1096D142" w:rsidR="00644B79" w:rsidRPr="00043245" w:rsidRDefault="00484797" w:rsidP="00644B79">
                      <w:pPr>
                        <w:rPr>
                          <w:rFonts w:cstheme="minorHAnsi"/>
                          <w:color w:val="FFFFFF" w:themeColor="background1"/>
                          <w:sz w:val="32"/>
                        </w:rPr>
                      </w:pPr>
                      <w:r w:rsidRPr="00043245">
                        <w:rPr>
                          <w:rFonts w:cstheme="minorHAnsi"/>
                          <w:color w:val="FFFFFF" w:themeColor="background1"/>
                          <w:sz w:val="32"/>
                        </w:rPr>
                        <w:t>October</w:t>
                      </w:r>
                      <w:r w:rsidR="00644B79" w:rsidRPr="00043245">
                        <w:rPr>
                          <w:rFonts w:cstheme="minorHAnsi"/>
                          <w:color w:val="FFFFFF" w:themeColor="background1"/>
                          <w:sz w:val="32"/>
                        </w:rPr>
                        <w:t xml:space="preserve"> 2018</w:t>
                      </w:r>
                    </w:p>
                  </w:txbxContent>
                </v:textbox>
                <w10:wrap type="tight" anchorx="margin"/>
              </v:shape>
            </w:pict>
          </mc:Fallback>
        </mc:AlternateContent>
      </w:r>
      <w:r w:rsidRPr="00043245">
        <w:rPr>
          <w:rFonts w:cstheme="minorHAnsi"/>
          <w:noProof/>
          <w:lang w:eastAsia="en-AU"/>
        </w:rPr>
        <w:drawing>
          <wp:anchor distT="0" distB="0" distL="114300" distR="114300" simplePos="0" relativeHeight="251660288" behindDoc="1" locked="0" layoutInCell="1" allowOverlap="1" wp14:anchorId="09550630" wp14:editId="5B1F80A5">
            <wp:simplePos x="0" y="0"/>
            <wp:positionH relativeFrom="column">
              <wp:posOffset>24714</wp:posOffset>
            </wp:positionH>
            <wp:positionV relativeFrom="paragraph">
              <wp:posOffset>-1124465</wp:posOffset>
            </wp:positionV>
            <wp:extent cx="7562335" cy="10873740"/>
            <wp:effectExtent l="0" t="0" r="63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8962" cy="10883269"/>
                    </a:xfrm>
                    <a:prstGeom prst="rect">
                      <a:avLst/>
                    </a:prstGeom>
                    <a:noFill/>
                  </pic:spPr>
                </pic:pic>
              </a:graphicData>
            </a:graphic>
            <wp14:sizeRelH relativeFrom="page">
              <wp14:pctWidth>0</wp14:pctWidth>
            </wp14:sizeRelH>
            <wp14:sizeRelV relativeFrom="page">
              <wp14:pctHeight>0</wp14:pctHeight>
            </wp14:sizeRelV>
          </wp:anchor>
        </w:drawing>
      </w:r>
      <w:r w:rsidR="007F2D97" w:rsidRPr="00043245">
        <w:rPr>
          <w:rFonts w:cstheme="minorHAnsi"/>
        </w:rPr>
        <w:tab/>
      </w:r>
      <w:r w:rsidR="00A93C43" w:rsidRPr="00043245">
        <w:rPr>
          <w:rFonts w:cstheme="minorHAnsi"/>
        </w:rPr>
        <w:tab/>
      </w:r>
    </w:p>
    <w:p w14:paraId="3573C5CC" w14:textId="339D2462" w:rsidR="00993478" w:rsidRPr="00043245" w:rsidRDefault="00993478" w:rsidP="007F2D97">
      <w:pPr>
        <w:tabs>
          <w:tab w:val="left" w:pos="9003"/>
        </w:tabs>
        <w:rPr>
          <w:rFonts w:cstheme="minorHAnsi"/>
        </w:rPr>
        <w:sectPr w:rsidR="00993478" w:rsidRPr="00043245" w:rsidSect="00B86827">
          <w:type w:val="continuous"/>
          <w:pgSz w:w="11906" w:h="16838"/>
          <w:pgMar w:top="1440" w:right="1440" w:bottom="1440" w:left="0" w:header="567" w:footer="709" w:gutter="0"/>
          <w:cols w:space="708"/>
          <w:docGrid w:linePitch="360"/>
        </w:sectPr>
      </w:pPr>
    </w:p>
    <w:bookmarkStart w:id="1" w:name="_Toc523310457" w:displacedByCustomXml="next"/>
    <w:bookmarkStart w:id="2" w:name="_Toc521604938" w:displacedByCustomXml="next"/>
    <w:bookmarkStart w:id="3" w:name="_Toc522868833" w:displacedByCustomXml="next"/>
    <w:bookmarkStart w:id="4" w:name="_Toc528653240" w:displacedByCustomXml="next"/>
    <w:bookmarkStart w:id="5" w:name="_Toc515451807" w:displacedByCustomXml="next"/>
    <w:sdt>
      <w:sdtPr>
        <w:rPr>
          <w:rFonts w:asciiTheme="minorHAnsi" w:hAnsiTheme="minorHAnsi" w:cstheme="minorHAnsi"/>
          <w:b/>
          <w:color w:val="auto"/>
          <w:sz w:val="22"/>
        </w:rPr>
        <w:id w:val="1152488339"/>
        <w:docPartObj>
          <w:docPartGallery w:val="Table of Contents"/>
          <w:docPartUnique/>
        </w:docPartObj>
      </w:sdtPr>
      <w:sdtEndPr>
        <w:rPr>
          <w:b w:val="0"/>
          <w:bCs/>
          <w:noProof/>
        </w:rPr>
      </w:sdtEndPr>
      <w:sdtContent>
        <w:p w14:paraId="3577E68C" w14:textId="77777777" w:rsidR="002A20A1" w:rsidRPr="00043245" w:rsidRDefault="002A20A1" w:rsidP="00076C2D">
          <w:pPr>
            <w:pStyle w:val="Heading1"/>
            <w:numPr>
              <w:ilvl w:val="0"/>
              <w:numId w:val="0"/>
            </w:numPr>
            <w:ind w:left="567" w:hanging="567"/>
            <w:rPr>
              <w:rFonts w:asciiTheme="minorHAnsi" w:hAnsiTheme="minorHAnsi" w:cstheme="minorHAnsi"/>
              <w:sz w:val="72"/>
              <w:szCs w:val="72"/>
            </w:rPr>
          </w:pPr>
          <w:r w:rsidRPr="00043245">
            <w:rPr>
              <w:rFonts w:asciiTheme="minorHAnsi" w:hAnsiTheme="minorHAnsi" w:cstheme="minorHAnsi"/>
              <w:sz w:val="72"/>
              <w:szCs w:val="72"/>
            </w:rPr>
            <w:t>Contents</w:t>
          </w:r>
          <w:bookmarkEnd w:id="4"/>
          <w:bookmarkEnd w:id="3"/>
          <w:bookmarkEnd w:id="2"/>
          <w:bookmarkEnd w:id="1"/>
        </w:p>
        <w:p w14:paraId="3598B2F5" w14:textId="77777777" w:rsidR="00E55BB6" w:rsidRPr="00E55BB6" w:rsidRDefault="002A20A1">
          <w:pPr>
            <w:pStyle w:val="TOC1"/>
            <w:tabs>
              <w:tab w:val="right" w:leader="dot" w:pos="9485"/>
            </w:tabs>
            <w:rPr>
              <w:rFonts w:asciiTheme="minorHAnsi" w:hAnsiTheme="minorHAnsi" w:cstheme="minorHAnsi"/>
              <w:b w:val="0"/>
              <w:noProof/>
              <w:sz w:val="22"/>
              <w:lang w:eastAsia="en-AU"/>
            </w:rPr>
          </w:pPr>
          <w:r w:rsidRPr="00E55BB6">
            <w:rPr>
              <w:rFonts w:asciiTheme="minorHAnsi" w:hAnsiTheme="minorHAnsi" w:cstheme="minorHAnsi"/>
              <w:b w:val="0"/>
              <w:sz w:val="22"/>
            </w:rPr>
            <w:fldChar w:fldCharType="begin"/>
          </w:r>
          <w:r w:rsidRPr="00E55BB6">
            <w:rPr>
              <w:rFonts w:asciiTheme="minorHAnsi" w:hAnsiTheme="minorHAnsi" w:cstheme="minorHAnsi"/>
              <w:b w:val="0"/>
              <w:sz w:val="22"/>
            </w:rPr>
            <w:instrText xml:space="preserve"> TOC \o "1-2" \h \z \u </w:instrText>
          </w:r>
          <w:r w:rsidRPr="00E55BB6">
            <w:rPr>
              <w:rFonts w:asciiTheme="minorHAnsi" w:hAnsiTheme="minorHAnsi" w:cstheme="minorHAnsi"/>
              <w:b w:val="0"/>
              <w:sz w:val="22"/>
            </w:rPr>
            <w:fldChar w:fldCharType="separate"/>
          </w:r>
          <w:hyperlink w:anchor="_Toc528653240" w:history="1">
            <w:r w:rsidR="00E55BB6" w:rsidRPr="00E55BB6">
              <w:rPr>
                <w:rStyle w:val="Hyperlink"/>
                <w:rFonts w:asciiTheme="minorHAnsi" w:hAnsiTheme="minorHAnsi" w:cstheme="minorHAnsi"/>
                <w:noProof/>
              </w:rPr>
              <w:t>Contents</w:t>
            </w:r>
            <w:r w:rsidR="00E55BB6" w:rsidRPr="00E55BB6">
              <w:rPr>
                <w:rFonts w:asciiTheme="minorHAnsi" w:hAnsiTheme="minorHAnsi" w:cstheme="minorHAnsi"/>
                <w:noProof/>
                <w:webHidden/>
              </w:rPr>
              <w:tab/>
            </w:r>
            <w:r w:rsidR="00E55BB6" w:rsidRPr="00E55BB6">
              <w:rPr>
                <w:rFonts w:asciiTheme="minorHAnsi" w:hAnsiTheme="minorHAnsi" w:cstheme="minorHAnsi"/>
                <w:noProof/>
                <w:webHidden/>
              </w:rPr>
              <w:fldChar w:fldCharType="begin"/>
            </w:r>
            <w:r w:rsidR="00E55BB6" w:rsidRPr="00E55BB6">
              <w:rPr>
                <w:rFonts w:asciiTheme="minorHAnsi" w:hAnsiTheme="minorHAnsi" w:cstheme="minorHAnsi"/>
                <w:noProof/>
                <w:webHidden/>
              </w:rPr>
              <w:instrText xml:space="preserve"> PAGEREF _Toc528653240 \h </w:instrText>
            </w:r>
            <w:r w:rsidR="00E55BB6" w:rsidRPr="00E55BB6">
              <w:rPr>
                <w:rFonts w:asciiTheme="minorHAnsi" w:hAnsiTheme="minorHAnsi" w:cstheme="minorHAnsi"/>
                <w:noProof/>
                <w:webHidden/>
              </w:rPr>
            </w:r>
            <w:r w:rsidR="00E55BB6" w:rsidRPr="00E55BB6">
              <w:rPr>
                <w:rFonts w:asciiTheme="minorHAnsi" w:hAnsiTheme="minorHAnsi" w:cstheme="minorHAnsi"/>
                <w:noProof/>
                <w:webHidden/>
              </w:rPr>
              <w:fldChar w:fldCharType="separate"/>
            </w:r>
            <w:r w:rsidR="00E55BB6" w:rsidRPr="00E55BB6">
              <w:rPr>
                <w:rFonts w:asciiTheme="minorHAnsi" w:hAnsiTheme="minorHAnsi" w:cstheme="minorHAnsi"/>
                <w:noProof/>
                <w:webHidden/>
              </w:rPr>
              <w:t>2</w:t>
            </w:r>
            <w:r w:rsidR="00E55BB6" w:rsidRPr="00E55BB6">
              <w:rPr>
                <w:rFonts w:asciiTheme="minorHAnsi" w:hAnsiTheme="minorHAnsi" w:cstheme="minorHAnsi"/>
                <w:noProof/>
                <w:webHidden/>
              </w:rPr>
              <w:fldChar w:fldCharType="end"/>
            </w:r>
          </w:hyperlink>
        </w:p>
        <w:p w14:paraId="3E162856" w14:textId="77777777" w:rsidR="00E55BB6" w:rsidRPr="00E55BB6" w:rsidRDefault="00B3679C">
          <w:pPr>
            <w:pStyle w:val="TOC1"/>
            <w:tabs>
              <w:tab w:val="left" w:pos="440"/>
              <w:tab w:val="right" w:leader="dot" w:pos="9485"/>
            </w:tabs>
            <w:rPr>
              <w:rFonts w:asciiTheme="minorHAnsi" w:hAnsiTheme="minorHAnsi" w:cstheme="minorHAnsi"/>
              <w:b w:val="0"/>
              <w:noProof/>
              <w:sz w:val="22"/>
              <w:lang w:eastAsia="en-AU"/>
            </w:rPr>
          </w:pPr>
          <w:hyperlink w:anchor="_Toc528653241" w:history="1">
            <w:r w:rsidR="00E55BB6" w:rsidRPr="00E55BB6">
              <w:rPr>
                <w:rStyle w:val="Hyperlink"/>
                <w:rFonts w:asciiTheme="minorHAnsi" w:hAnsiTheme="minorHAnsi" w:cstheme="minorHAnsi"/>
                <w:noProof/>
              </w:rPr>
              <w:t>1</w:t>
            </w:r>
            <w:r w:rsidR="00E55BB6" w:rsidRPr="00E55BB6">
              <w:rPr>
                <w:rFonts w:asciiTheme="minorHAnsi" w:hAnsiTheme="minorHAnsi" w:cstheme="minorHAnsi"/>
                <w:b w:val="0"/>
                <w:noProof/>
                <w:sz w:val="22"/>
                <w:lang w:eastAsia="en-AU"/>
              </w:rPr>
              <w:tab/>
            </w:r>
            <w:r w:rsidR="00E55BB6" w:rsidRPr="00E55BB6">
              <w:rPr>
                <w:rStyle w:val="Hyperlink"/>
                <w:rFonts w:asciiTheme="minorHAnsi" w:hAnsiTheme="minorHAnsi" w:cstheme="minorHAnsi"/>
                <w:noProof/>
              </w:rPr>
              <w:t>Executive Summary</w:t>
            </w:r>
            <w:r w:rsidR="00E55BB6" w:rsidRPr="00E55BB6">
              <w:rPr>
                <w:rFonts w:asciiTheme="minorHAnsi" w:hAnsiTheme="minorHAnsi" w:cstheme="minorHAnsi"/>
                <w:noProof/>
                <w:webHidden/>
              </w:rPr>
              <w:tab/>
            </w:r>
            <w:r w:rsidR="00E55BB6" w:rsidRPr="00E55BB6">
              <w:rPr>
                <w:rFonts w:asciiTheme="minorHAnsi" w:hAnsiTheme="minorHAnsi" w:cstheme="minorHAnsi"/>
                <w:noProof/>
                <w:webHidden/>
              </w:rPr>
              <w:fldChar w:fldCharType="begin"/>
            </w:r>
            <w:r w:rsidR="00E55BB6" w:rsidRPr="00E55BB6">
              <w:rPr>
                <w:rFonts w:asciiTheme="minorHAnsi" w:hAnsiTheme="minorHAnsi" w:cstheme="minorHAnsi"/>
                <w:noProof/>
                <w:webHidden/>
              </w:rPr>
              <w:instrText xml:space="preserve"> PAGEREF _Toc528653241 \h </w:instrText>
            </w:r>
            <w:r w:rsidR="00E55BB6" w:rsidRPr="00E55BB6">
              <w:rPr>
                <w:rFonts w:asciiTheme="minorHAnsi" w:hAnsiTheme="minorHAnsi" w:cstheme="minorHAnsi"/>
                <w:noProof/>
                <w:webHidden/>
              </w:rPr>
            </w:r>
            <w:r w:rsidR="00E55BB6" w:rsidRPr="00E55BB6">
              <w:rPr>
                <w:rFonts w:asciiTheme="minorHAnsi" w:hAnsiTheme="minorHAnsi" w:cstheme="minorHAnsi"/>
                <w:noProof/>
                <w:webHidden/>
              </w:rPr>
              <w:fldChar w:fldCharType="separate"/>
            </w:r>
            <w:r w:rsidR="00E55BB6" w:rsidRPr="00E55BB6">
              <w:rPr>
                <w:rFonts w:asciiTheme="minorHAnsi" w:hAnsiTheme="minorHAnsi" w:cstheme="minorHAnsi"/>
                <w:noProof/>
                <w:webHidden/>
              </w:rPr>
              <w:t>3</w:t>
            </w:r>
            <w:r w:rsidR="00E55BB6" w:rsidRPr="00E55BB6">
              <w:rPr>
                <w:rFonts w:asciiTheme="minorHAnsi" w:hAnsiTheme="minorHAnsi" w:cstheme="minorHAnsi"/>
                <w:noProof/>
                <w:webHidden/>
              </w:rPr>
              <w:fldChar w:fldCharType="end"/>
            </w:r>
          </w:hyperlink>
        </w:p>
        <w:p w14:paraId="73164215" w14:textId="77777777" w:rsidR="00E55BB6" w:rsidRPr="00E55BB6" w:rsidRDefault="00B3679C">
          <w:pPr>
            <w:pStyle w:val="TOC1"/>
            <w:tabs>
              <w:tab w:val="left" w:pos="440"/>
              <w:tab w:val="right" w:leader="dot" w:pos="9485"/>
            </w:tabs>
            <w:rPr>
              <w:rFonts w:asciiTheme="minorHAnsi" w:hAnsiTheme="minorHAnsi" w:cstheme="minorHAnsi"/>
              <w:b w:val="0"/>
              <w:noProof/>
              <w:sz w:val="22"/>
              <w:lang w:eastAsia="en-AU"/>
            </w:rPr>
          </w:pPr>
          <w:hyperlink w:anchor="_Toc528653242" w:history="1">
            <w:r w:rsidR="00E55BB6" w:rsidRPr="00E55BB6">
              <w:rPr>
                <w:rStyle w:val="Hyperlink"/>
                <w:rFonts w:asciiTheme="minorHAnsi" w:hAnsiTheme="minorHAnsi" w:cstheme="minorHAnsi"/>
                <w:noProof/>
              </w:rPr>
              <w:t>2</w:t>
            </w:r>
            <w:r w:rsidR="00E55BB6" w:rsidRPr="00E55BB6">
              <w:rPr>
                <w:rFonts w:asciiTheme="minorHAnsi" w:hAnsiTheme="minorHAnsi" w:cstheme="minorHAnsi"/>
                <w:b w:val="0"/>
                <w:noProof/>
                <w:sz w:val="22"/>
                <w:lang w:eastAsia="en-AU"/>
              </w:rPr>
              <w:tab/>
            </w:r>
            <w:r w:rsidR="00E55BB6" w:rsidRPr="00E55BB6">
              <w:rPr>
                <w:rStyle w:val="Hyperlink"/>
                <w:rFonts w:asciiTheme="minorHAnsi" w:hAnsiTheme="minorHAnsi" w:cstheme="minorHAnsi"/>
                <w:noProof/>
              </w:rPr>
              <w:t>Introduction</w:t>
            </w:r>
            <w:r w:rsidR="00E55BB6" w:rsidRPr="00E55BB6">
              <w:rPr>
                <w:rFonts w:asciiTheme="minorHAnsi" w:hAnsiTheme="minorHAnsi" w:cstheme="minorHAnsi"/>
                <w:noProof/>
                <w:webHidden/>
              </w:rPr>
              <w:tab/>
            </w:r>
            <w:r w:rsidR="00E55BB6" w:rsidRPr="00E55BB6">
              <w:rPr>
                <w:rFonts w:asciiTheme="minorHAnsi" w:hAnsiTheme="minorHAnsi" w:cstheme="minorHAnsi"/>
                <w:noProof/>
                <w:webHidden/>
              </w:rPr>
              <w:fldChar w:fldCharType="begin"/>
            </w:r>
            <w:r w:rsidR="00E55BB6" w:rsidRPr="00E55BB6">
              <w:rPr>
                <w:rFonts w:asciiTheme="minorHAnsi" w:hAnsiTheme="minorHAnsi" w:cstheme="minorHAnsi"/>
                <w:noProof/>
                <w:webHidden/>
              </w:rPr>
              <w:instrText xml:space="preserve"> PAGEREF _Toc528653242 \h </w:instrText>
            </w:r>
            <w:r w:rsidR="00E55BB6" w:rsidRPr="00E55BB6">
              <w:rPr>
                <w:rFonts w:asciiTheme="minorHAnsi" w:hAnsiTheme="minorHAnsi" w:cstheme="minorHAnsi"/>
                <w:noProof/>
                <w:webHidden/>
              </w:rPr>
            </w:r>
            <w:r w:rsidR="00E55BB6" w:rsidRPr="00E55BB6">
              <w:rPr>
                <w:rFonts w:asciiTheme="minorHAnsi" w:hAnsiTheme="minorHAnsi" w:cstheme="minorHAnsi"/>
                <w:noProof/>
                <w:webHidden/>
              </w:rPr>
              <w:fldChar w:fldCharType="separate"/>
            </w:r>
            <w:r w:rsidR="00E55BB6" w:rsidRPr="00E55BB6">
              <w:rPr>
                <w:rFonts w:asciiTheme="minorHAnsi" w:hAnsiTheme="minorHAnsi" w:cstheme="minorHAnsi"/>
                <w:noProof/>
                <w:webHidden/>
              </w:rPr>
              <w:t>4</w:t>
            </w:r>
            <w:r w:rsidR="00E55BB6" w:rsidRPr="00E55BB6">
              <w:rPr>
                <w:rFonts w:asciiTheme="minorHAnsi" w:hAnsiTheme="minorHAnsi" w:cstheme="minorHAnsi"/>
                <w:noProof/>
                <w:webHidden/>
              </w:rPr>
              <w:fldChar w:fldCharType="end"/>
            </w:r>
          </w:hyperlink>
        </w:p>
        <w:p w14:paraId="37F20D7A" w14:textId="77777777" w:rsidR="00E55BB6" w:rsidRPr="00E55BB6" w:rsidRDefault="00B3679C">
          <w:pPr>
            <w:pStyle w:val="TOC2"/>
            <w:tabs>
              <w:tab w:val="left" w:pos="880"/>
              <w:tab w:val="right" w:leader="dot" w:pos="9485"/>
            </w:tabs>
            <w:rPr>
              <w:rFonts w:asciiTheme="minorHAnsi" w:hAnsiTheme="minorHAnsi" w:cstheme="minorHAnsi"/>
              <w:noProof/>
              <w:lang w:eastAsia="en-AU"/>
            </w:rPr>
          </w:pPr>
          <w:hyperlink w:anchor="_Toc528653243" w:history="1">
            <w:r w:rsidR="00E55BB6" w:rsidRPr="00E55BB6">
              <w:rPr>
                <w:rStyle w:val="Hyperlink"/>
                <w:rFonts w:asciiTheme="minorHAnsi" w:hAnsiTheme="minorHAnsi" w:cstheme="minorHAnsi"/>
                <w:noProof/>
              </w:rPr>
              <w:t>2.1</w:t>
            </w:r>
            <w:r w:rsidR="00E55BB6" w:rsidRPr="00E55BB6">
              <w:rPr>
                <w:rFonts w:asciiTheme="minorHAnsi" w:hAnsiTheme="minorHAnsi" w:cstheme="minorHAnsi"/>
                <w:noProof/>
                <w:lang w:eastAsia="en-AU"/>
              </w:rPr>
              <w:tab/>
            </w:r>
            <w:r w:rsidR="00E55BB6" w:rsidRPr="00E55BB6">
              <w:rPr>
                <w:rStyle w:val="Hyperlink"/>
                <w:rFonts w:asciiTheme="minorHAnsi" w:hAnsiTheme="minorHAnsi" w:cstheme="minorHAnsi"/>
                <w:noProof/>
              </w:rPr>
              <w:t>Background</w:t>
            </w:r>
            <w:r w:rsidR="00E55BB6" w:rsidRPr="00E55BB6">
              <w:rPr>
                <w:rFonts w:asciiTheme="minorHAnsi" w:hAnsiTheme="minorHAnsi" w:cstheme="minorHAnsi"/>
                <w:noProof/>
                <w:webHidden/>
              </w:rPr>
              <w:tab/>
            </w:r>
            <w:r w:rsidR="00E55BB6" w:rsidRPr="00E55BB6">
              <w:rPr>
                <w:rFonts w:asciiTheme="minorHAnsi" w:hAnsiTheme="minorHAnsi" w:cstheme="minorHAnsi"/>
                <w:noProof/>
                <w:webHidden/>
              </w:rPr>
              <w:fldChar w:fldCharType="begin"/>
            </w:r>
            <w:r w:rsidR="00E55BB6" w:rsidRPr="00E55BB6">
              <w:rPr>
                <w:rFonts w:asciiTheme="minorHAnsi" w:hAnsiTheme="minorHAnsi" w:cstheme="minorHAnsi"/>
                <w:noProof/>
                <w:webHidden/>
              </w:rPr>
              <w:instrText xml:space="preserve"> PAGEREF _Toc528653243 \h </w:instrText>
            </w:r>
            <w:r w:rsidR="00E55BB6" w:rsidRPr="00E55BB6">
              <w:rPr>
                <w:rFonts w:asciiTheme="minorHAnsi" w:hAnsiTheme="minorHAnsi" w:cstheme="minorHAnsi"/>
                <w:noProof/>
                <w:webHidden/>
              </w:rPr>
            </w:r>
            <w:r w:rsidR="00E55BB6" w:rsidRPr="00E55BB6">
              <w:rPr>
                <w:rFonts w:asciiTheme="minorHAnsi" w:hAnsiTheme="minorHAnsi" w:cstheme="minorHAnsi"/>
                <w:noProof/>
                <w:webHidden/>
              </w:rPr>
              <w:fldChar w:fldCharType="separate"/>
            </w:r>
            <w:r w:rsidR="00E55BB6" w:rsidRPr="00E55BB6">
              <w:rPr>
                <w:rFonts w:asciiTheme="minorHAnsi" w:hAnsiTheme="minorHAnsi" w:cstheme="minorHAnsi"/>
                <w:noProof/>
                <w:webHidden/>
              </w:rPr>
              <w:t>4</w:t>
            </w:r>
            <w:r w:rsidR="00E55BB6" w:rsidRPr="00E55BB6">
              <w:rPr>
                <w:rFonts w:asciiTheme="minorHAnsi" w:hAnsiTheme="minorHAnsi" w:cstheme="minorHAnsi"/>
                <w:noProof/>
                <w:webHidden/>
              </w:rPr>
              <w:fldChar w:fldCharType="end"/>
            </w:r>
          </w:hyperlink>
        </w:p>
        <w:p w14:paraId="5BFBBFE2" w14:textId="77777777" w:rsidR="00E55BB6" w:rsidRPr="00E55BB6" w:rsidRDefault="00B3679C">
          <w:pPr>
            <w:pStyle w:val="TOC2"/>
            <w:tabs>
              <w:tab w:val="left" w:pos="880"/>
              <w:tab w:val="right" w:leader="dot" w:pos="9485"/>
            </w:tabs>
            <w:rPr>
              <w:rFonts w:asciiTheme="minorHAnsi" w:hAnsiTheme="minorHAnsi" w:cstheme="minorHAnsi"/>
              <w:noProof/>
              <w:lang w:eastAsia="en-AU"/>
            </w:rPr>
          </w:pPr>
          <w:hyperlink w:anchor="_Toc528653244" w:history="1">
            <w:r w:rsidR="00E55BB6" w:rsidRPr="00E55BB6">
              <w:rPr>
                <w:rStyle w:val="Hyperlink"/>
                <w:rFonts w:asciiTheme="minorHAnsi" w:hAnsiTheme="minorHAnsi" w:cstheme="minorHAnsi"/>
                <w:noProof/>
              </w:rPr>
              <w:t>2.2</w:t>
            </w:r>
            <w:r w:rsidR="00E55BB6" w:rsidRPr="00E55BB6">
              <w:rPr>
                <w:rFonts w:asciiTheme="minorHAnsi" w:hAnsiTheme="minorHAnsi" w:cstheme="minorHAnsi"/>
                <w:noProof/>
                <w:lang w:eastAsia="en-AU"/>
              </w:rPr>
              <w:tab/>
            </w:r>
            <w:r w:rsidR="00E55BB6" w:rsidRPr="00E55BB6">
              <w:rPr>
                <w:rStyle w:val="Hyperlink"/>
                <w:rFonts w:asciiTheme="minorHAnsi" w:hAnsiTheme="minorHAnsi" w:cstheme="minorHAnsi"/>
                <w:noProof/>
              </w:rPr>
              <w:t>Purpose of this report</w:t>
            </w:r>
            <w:r w:rsidR="00E55BB6" w:rsidRPr="00E55BB6">
              <w:rPr>
                <w:rFonts w:asciiTheme="minorHAnsi" w:hAnsiTheme="minorHAnsi" w:cstheme="minorHAnsi"/>
                <w:noProof/>
                <w:webHidden/>
              </w:rPr>
              <w:tab/>
            </w:r>
            <w:r w:rsidR="00E55BB6" w:rsidRPr="00E55BB6">
              <w:rPr>
                <w:rFonts w:asciiTheme="minorHAnsi" w:hAnsiTheme="minorHAnsi" w:cstheme="minorHAnsi"/>
                <w:noProof/>
                <w:webHidden/>
              </w:rPr>
              <w:fldChar w:fldCharType="begin"/>
            </w:r>
            <w:r w:rsidR="00E55BB6" w:rsidRPr="00E55BB6">
              <w:rPr>
                <w:rFonts w:asciiTheme="minorHAnsi" w:hAnsiTheme="minorHAnsi" w:cstheme="minorHAnsi"/>
                <w:noProof/>
                <w:webHidden/>
              </w:rPr>
              <w:instrText xml:space="preserve"> PAGEREF _Toc528653244 \h </w:instrText>
            </w:r>
            <w:r w:rsidR="00E55BB6" w:rsidRPr="00E55BB6">
              <w:rPr>
                <w:rFonts w:asciiTheme="minorHAnsi" w:hAnsiTheme="minorHAnsi" w:cstheme="minorHAnsi"/>
                <w:noProof/>
                <w:webHidden/>
              </w:rPr>
            </w:r>
            <w:r w:rsidR="00E55BB6" w:rsidRPr="00E55BB6">
              <w:rPr>
                <w:rFonts w:asciiTheme="minorHAnsi" w:hAnsiTheme="minorHAnsi" w:cstheme="minorHAnsi"/>
                <w:noProof/>
                <w:webHidden/>
              </w:rPr>
              <w:fldChar w:fldCharType="separate"/>
            </w:r>
            <w:r w:rsidR="00E55BB6" w:rsidRPr="00E55BB6">
              <w:rPr>
                <w:rFonts w:asciiTheme="minorHAnsi" w:hAnsiTheme="minorHAnsi" w:cstheme="minorHAnsi"/>
                <w:noProof/>
                <w:webHidden/>
              </w:rPr>
              <w:t>4</w:t>
            </w:r>
            <w:r w:rsidR="00E55BB6" w:rsidRPr="00E55BB6">
              <w:rPr>
                <w:rFonts w:asciiTheme="minorHAnsi" w:hAnsiTheme="minorHAnsi" w:cstheme="minorHAnsi"/>
                <w:noProof/>
                <w:webHidden/>
              </w:rPr>
              <w:fldChar w:fldCharType="end"/>
            </w:r>
          </w:hyperlink>
        </w:p>
        <w:p w14:paraId="63FD34A4" w14:textId="77777777" w:rsidR="00E55BB6" w:rsidRPr="00E55BB6" w:rsidRDefault="00B3679C">
          <w:pPr>
            <w:pStyle w:val="TOC2"/>
            <w:tabs>
              <w:tab w:val="left" w:pos="880"/>
              <w:tab w:val="right" w:leader="dot" w:pos="9485"/>
            </w:tabs>
            <w:rPr>
              <w:rFonts w:asciiTheme="minorHAnsi" w:hAnsiTheme="minorHAnsi" w:cstheme="minorHAnsi"/>
              <w:noProof/>
              <w:lang w:eastAsia="en-AU"/>
            </w:rPr>
          </w:pPr>
          <w:hyperlink w:anchor="_Toc528653245" w:history="1">
            <w:r w:rsidR="00E55BB6" w:rsidRPr="00E55BB6">
              <w:rPr>
                <w:rStyle w:val="Hyperlink"/>
                <w:rFonts w:asciiTheme="minorHAnsi" w:hAnsiTheme="minorHAnsi" w:cstheme="minorHAnsi"/>
                <w:noProof/>
              </w:rPr>
              <w:t>2.3</w:t>
            </w:r>
            <w:r w:rsidR="00E55BB6" w:rsidRPr="00E55BB6">
              <w:rPr>
                <w:rFonts w:asciiTheme="minorHAnsi" w:hAnsiTheme="minorHAnsi" w:cstheme="minorHAnsi"/>
                <w:noProof/>
                <w:lang w:eastAsia="en-AU"/>
              </w:rPr>
              <w:tab/>
            </w:r>
            <w:r w:rsidR="00E55BB6" w:rsidRPr="00E55BB6">
              <w:rPr>
                <w:rStyle w:val="Hyperlink"/>
                <w:rFonts w:asciiTheme="minorHAnsi" w:hAnsiTheme="minorHAnsi" w:cstheme="minorHAnsi"/>
                <w:noProof/>
              </w:rPr>
              <w:t>Approach to this review</w:t>
            </w:r>
            <w:r w:rsidR="00E55BB6" w:rsidRPr="00E55BB6">
              <w:rPr>
                <w:rFonts w:asciiTheme="minorHAnsi" w:hAnsiTheme="minorHAnsi" w:cstheme="minorHAnsi"/>
                <w:noProof/>
                <w:webHidden/>
              </w:rPr>
              <w:tab/>
            </w:r>
            <w:r w:rsidR="00E55BB6" w:rsidRPr="00E55BB6">
              <w:rPr>
                <w:rFonts w:asciiTheme="minorHAnsi" w:hAnsiTheme="minorHAnsi" w:cstheme="minorHAnsi"/>
                <w:noProof/>
                <w:webHidden/>
              </w:rPr>
              <w:fldChar w:fldCharType="begin"/>
            </w:r>
            <w:r w:rsidR="00E55BB6" w:rsidRPr="00E55BB6">
              <w:rPr>
                <w:rFonts w:asciiTheme="minorHAnsi" w:hAnsiTheme="minorHAnsi" w:cstheme="minorHAnsi"/>
                <w:noProof/>
                <w:webHidden/>
              </w:rPr>
              <w:instrText xml:space="preserve"> PAGEREF _Toc528653245 \h </w:instrText>
            </w:r>
            <w:r w:rsidR="00E55BB6" w:rsidRPr="00E55BB6">
              <w:rPr>
                <w:rFonts w:asciiTheme="minorHAnsi" w:hAnsiTheme="minorHAnsi" w:cstheme="minorHAnsi"/>
                <w:noProof/>
                <w:webHidden/>
              </w:rPr>
            </w:r>
            <w:r w:rsidR="00E55BB6" w:rsidRPr="00E55BB6">
              <w:rPr>
                <w:rFonts w:asciiTheme="minorHAnsi" w:hAnsiTheme="minorHAnsi" w:cstheme="minorHAnsi"/>
                <w:noProof/>
                <w:webHidden/>
              </w:rPr>
              <w:fldChar w:fldCharType="separate"/>
            </w:r>
            <w:r w:rsidR="00E55BB6" w:rsidRPr="00E55BB6">
              <w:rPr>
                <w:rFonts w:asciiTheme="minorHAnsi" w:hAnsiTheme="minorHAnsi" w:cstheme="minorHAnsi"/>
                <w:noProof/>
                <w:webHidden/>
              </w:rPr>
              <w:t>4</w:t>
            </w:r>
            <w:r w:rsidR="00E55BB6" w:rsidRPr="00E55BB6">
              <w:rPr>
                <w:rFonts w:asciiTheme="minorHAnsi" w:hAnsiTheme="minorHAnsi" w:cstheme="minorHAnsi"/>
                <w:noProof/>
                <w:webHidden/>
              </w:rPr>
              <w:fldChar w:fldCharType="end"/>
            </w:r>
          </w:hyperlink>
        </w:p>
        <w:p w14:paraId="03D954DE" w14:textId="77777777" w:rsidR="00E55BB6" w:rsidRPr="00E55BB6" w:rsidRDefault="00B3679C">
          <w:pPr>
            <w:pStyle w:val="TOC2"/>
            <w:tabs>
              <w:tab w:val="left" w:pos="880"/>
              <w:tab w:val="right" w:leader="dot" w:pos="9485"/>
            </w:tabs>
            <w:rPr>
              <w:rFonts w:asciiTheme="minorHAnsi" w:hAnsiTheme="minorHAnsi" w:cstheme="minorHAnsi"/>
              <w:noProof/>
              <w:lang w:eastAsia="en-AU"/>
            </w:rPr>
          </w:pPr>
          <w:hyperlink w:anchor="_Toc528653246" w:history="1">
            <w:r w:rsidR="00E55BB6" w:rsidRPr="00E55BB6">
              <w:rPr>
                <w:rStyle w:val="Hyperlink"/>
                <w:rFonts w:asciiTheme="minorHAnsi" w:hAnsiTheme="minorHAnsi" w:cstheme="minorHAnsi"/>
                <w:noProof/>
              </w:rPr>
              <w:t>2.4</w:t>
            </w:r>
            <w:r w:rsidR="00E55BB6" w:rsidRPr="00E55BB6">
              <w:rPr>
                <w:rFonts w:asciiTheme="minorHAnsi" w:hAnsiTheme="minorHAnsi" w:cstheme="minorHAnsi"/>
                <w:noProof/>
                <w:lang w:eastAsia="en-AU"/>
              </w:rPr>
              <w:tab/>
            </w:r>
            <w:r w:rsidR="00E55BB6" w:rsidRPr="00E55BB6">
              <w:rPr>
                <w:rStyle w:val="Hyperlink"/>
                <w:rFonts w:asciiTheme="minorHAnsi" w:hAnsiTheme="minorHAnsi" w:cstheme="minorHAnsi"/>
                <w:noProof/>
              </w:rPr>
              <w:t>Summary of assessment</w:t>
            </w:r>
            <w:r w:rsidR="00E55BB6" w:rsidRPr="00E55BB6">
              <w:rPr>
                <w:rFonts w:asciiTheme="minorHAnsi" w:hAnsiTheme="minorHAnsi" w:cstheme="minorHAnsi"/>
                <w:noProof/>
                <w:webHidden/>
              </w:rPr>
              <w:tab/>
            </w:r>
            <w:r w:rsidR="00E55BB6" w:rsidRPr="00E55BB6">
              <w:rPr>
                <w:rFonts w:asciiTheme="minorHAnsi" w:hAnsiTheme="minorHAnsi" w:cstheme="minorHAnsi"/>
                <w:noProof/>
                <w:webHidden/>
              </w:rPr>
              <w:fldChar w:fldCharType="begin"/>
            </w:r>
            <w:r w:rsidR="00E55BB6" w:rsidRPr="00E55BB6">
              <w:rPr>
                <w:rFonts w:asciiTheme="minorHAnsi" w:hAnsiTheme="minorHAnsi" w:cstheme="minorHAnsi"/>
                <w:noProof/>
                <w:webHidden/>
              </w:rPr>
              <w:instrText xml:space="preserve"> PAGEREF _Toc528653246 \h </w:instrText>
            </w:r>
            <w:r w:rsidR="00E55BB6" w:rsidRPr="00E55BB6">
              <w:rPr>
                <w:rFonts w:asciiTheme="minorHAnsi" w:hAnsiTheme="minorHAnsi" w:cstheme="minorHAnsi"/>
                <w:noProof/>
                <w:webHidden/>
              </w:rPr>
            </w:r>
            <w:r w:rsidR="00E55BB6" w:rsidRPr="00E55BB6">
              <w:rPr>
                <w:rFonts w:asciiTheme="minorHAnsi" w:hAnsiTheme="minorHAnsi" w:cstheme="minorHAnsi"/>
                <w:noProof/>
                <w:webHidden/>
              </w:rPr>
              <w:fldChar w:fldCharType="separate"/>
            </w:r>
            <w:r w:rsidR="00E55BB6" w:rsidRPr="00E55BB6">
              <w:rPr>
                <w:rFonts w:asciiTheme="minorHAnsi" w:hAnsiTheme="minorHAnsi" w:cstheme="minorHAnsi"/>
                <w:noProof/>
                <w:webHidden/>
              </w:rPr>
              <w:t>5</w:t>
            </w:r>
            <w:r w:rsidR="00E55BB6" w:rsidRPr="00E55BB6">
              <w:rPr>
                <w:rFonts w:asciiTheme="minorHAnsi" w:hAnsiTheme="minorHAnsi" w:cstheme="minorHAnsi"/>
                <w:noProof/>
                <w:webHidden/>
              </w:rPr>
              <w:fldChar w:fldCharType="end"/>
            </w:r>
          </w:hyperlink>
        </w:p>
        <w:p w14:paraId="43998198" w14:textId="77777777" w:rsidR="00E55BB6" w:rsidRPr="00E55BB6" w:rsidRDefault="00B3679C">
          <w:pPr>
            <w:pStyle w:val="TOC1"/>
            <w:tabs>
              <w:tab w:val="left" w:pos="440"/>
              <w:tab w:val="right" w:leader="dot" w:pos="9485"/>
            </w:tabs>
            <w:rPr>
              <w:rFonts w:asciiTheme="minorHAnsi" w:hAnsiTheme="minorHAnsi" w:cstheme="minorHAnsi"/>
              <w:b w:val="0"/>
              <w:noProof/>
              <w:sz w:val="22"/>
              <w:lang w:eastAsia="en-AU"/>
            </w:rPr>
          </w:pPr>
          <w:hyperlink w:anchor="_Toc528653247" w:history="1">
            <w:r w:rsidR="00E55BB6" w:rsidRPr="00E55BB6">
              <w:rPr>
                <w:rStyle w:val="Hyperlink"/>
                <w:rFonts w:asciiTheme="minorHAnsi" w:hAnsiTheme="minorHAnsi" w:cstheme="minorHAnsi"/>
                <w:noProof/>
              </w:rPr>
              <w:t>3</w:t>
            </w:r>
            <w:r w:rsidR="00E55BB6" w:rsidRPr="00E55BB6">
              <w:rPr>
                <w:rFonts w:asciiTheme="minorHAnsi" w:hAnsiTheme="minorHAnsi" w:cstheme="minorHAnsi"/>
                <w:b w:val="0"/>
                <w:noProof/>
                <w:sz w:val="22"/>
                <w:lang w:eastAsia="en-AU"/>
              </w:rPr>
              <w:tab/>
            </w:r>
            <w:r w:rsidR="00E55BB6" w:rsidRPr="00E55BB6">
              <w:rPr>
                <w:rStyle w:val="Hyperlink"/>
                <w:rFonts w:asciiTheme="minorHAnsi" w:hAnsiTheme="minorHAnsi" w:cstheme="minorHAnsi"/>
                <w:noProof/>
              </w:rPr>
              <w:t>Findings and Observations</w:t>
            </w:r>
            <w:r w:rsidR="00E55BB6" w:rsidRPr="00E55BB6">
              <w:rPr>
                <w:rFonts w:asciiTheme="minorHAnsi" w:hAnsiTheme="minorHAnsi" w:cstheme="minorHAnsi"/>
                <w:noProof/>
                <w:webHidden/>
              </w:rPr>
              <w:tab/>
            </w:r>
            <w:r w:rsidR="00E55BB6" w:rsidRPr="00E55BB6">
              <w:rPr>
                <w:rFonts w:asciiTheme="minorHAnsi" w:hAnsiTheme="minorHAnsi" w:cstheme="minorHAnsi"/>
                <w:noProof/>
                <w:webHidden/>
              </w:rPr>
              <w:fldChar w:fldCharType="begin"/>
            </w:r>
            <w:r w:rsidR="00E55BB6" w:rsidRPr="00E55BB6">
              <w:rPr>
                <w:rFonts w:asciiTheme="minorHAnsi" w:hAnsiTheme="minorHAnsi" w:cstheme="minorHAnsi"/>
                <w:noProof/>
                <w:webHidden/>
              </w:rPr>
              <w:instrText xml:space="preserve"> PAGEREF _Toc528653247 \h </w:instrText>
            </w:r>
            <w:r w:rsidR="00E55BB6" w:rsidRPr="00E55BB6">
              <w:rPr>
                <w:rFonts w:asciiTheme="minorHAnsi" w:hAnsiTheme="minorHAnsi" w:cstheme="minorHAnsi"/>
                <w:noProof/>
                <w:webHidden/>
              </w:rPr>
            </w:r>
            <w:r w:rsidR="00E55BB6" w:rsidRPr="00E55BB6">
              <w:rPr>
                <w:rFonts w:asciiTheme="minorHAnsi" w:hAnsiTheme="minorHAnsi" w:cstheme="minorHAnsi"/>
                <w:noProof/>
                <w:webHidden/>
              </w:rPr>
              <w:fldChar w:fldCharType="separate"/>
            </w:r>
            <w:r w:rsidR="00E55BB6" w:rsidRPr="00E55BB6">
              <w:rPr>
                <w:rFonts w:asciiTheme="minorHAnsi" w:hAnsiTheme="minorHAnsi" w:cstheme="minorHAnsi"/>
                <w:noProof/>
                <w:webHidden/>
              </w:rPr>
              <w:t>7</w:t>
            </w:r>
            <w:r w:rsidR="00E55BB6" w:rsidRPr="00E55BB6">
              <w:rPr>
                <w:rFonts w:asciiTheme="minorHAnsi" w:hAnsiTheme="minorHAnsi" w:cstheme="minorHAnsi"/>
                <w:noProof/>
                <w:webHidden/>
              </w:rPr>
              <w:fldChar w:fldCharType="end"/>
            </w:r>
          </w:hyperlink>
        </w:p>
        <w:p w14:paraId="730D7FDA" w14:textId="77777777" w:rsidR="00E55BB6" w:rsidRPr="00E55BB6" w:rsidRDefault="00B3679C">
          <w:pPr>
            <w:pStyle w:val="TOC2"/>
            <w:tabs>
              <w:tab w:val="left" w:pos="880"/>
              <w:tab w:val="right" w:leader="dot" w:pos="9485"/>
            </w:tabs>
            <w:rPr>
              <w:rFonts w:asciiTheme="minorHAnsi" w:hAnsiTheme="minorHAnsi" w:cstheme="minorHAnsi"/>
              <w:noProof/>
              <w:lang w:eastAsia="en-AU"/>
            </w:rPr>
          </w:pPr>
          <w:hyperlink w:anchor="_Toc528653248" w:history="1">
            <w:r w:rsidR="00E55BB6" w:rsidRPr="00E55BB6">
              <w:rPr>
                <w:rStyle w:val="Hyperlink"/>
                <w:rFonts w:asciiTheme="minorHAnsi" w:hAnsiTheme="minorHAnsi" w:cstheme="minorHAnsi"/>
                <w:noProof/>
              </w:rPr>
              <w:t>3.1</w:t>
            </w:r>
            <w:r w:rsidR="00E55BB6" w:rsidRPr="00E55BB6">
              <w:rPr>
                <w:rFonts w:asciiTheme="minorHAnsi" w:hAnsiTheme="minorHAnsi" w:cstheme="minorHAnsi"/>
                <w:noProof/>
                <w:lang w:eastAsia="en-AU"/>
              </w:rPr>
              <w:tab/>
            </w:r>
            <w:r w:rsidR="00E55BB6" w:rsidRPr="00E55BB6">
              <w:rPr>
                <w:rStyle w:val="Hyperlink"/>
                <w:rFonts w:asciiTheme="minorHAnsi" w:hAnsiTheme="minorHAnsi" w:cstheme="minorHAnsi"/>
                <w:noProof/>
              </w:rPr>
              <w:t>Governance and reporting</w:t>
            </w:r>
            <w:r w:rsidR="00E55BB6" w:rsidRPr="00E55BB6">
              <w:rPr>
                <w:rFonts w:asciiTheme="minorHAnsi" w:hAnsiTheme="minorHAnsi" w:cstheme="minorHAnsi"/>
                <w:noProof/>
                <w:webHidden/>
              </w:rPr>
              <w:tab/>
            </w:r>
            <w:r w:rsidR="00E55BB6" w:rsidRPr="00E55BB6">
              <w:rPr>
                <w:rFonts w:asciiTheme="minorHAnsi" w:hAnsiTheme="minorHAnsi" w:cstheme="minorHAnsi"/>
                <w:noProof/>
                <w:webHidden/>
              </w:rPr>
              <w:fldChar w:fldCharType="begin"/>
            </w:r>
            <w:r w:rsidR="00E55BB6" w:rsidRPr="00E55BB6">
              <w:rPr>
                <w:rFonts w:asciiTheme="minorHAnsi" w:hAnsiTheme="minorHAnsi" w:cstheme="minorHAnsi"/>
                <w:noProof/>
                <w:webHidden/>
              </w:rPr>
              <w:instrText xml:space="preserve"> PAGEREF _Toc528653248 \h </w:instrText>
            </w:r>
            <w:r w:rsidR="00E55BB6" w:rsidRPr="00E55BB6">
              <w:rPr>
                <w:rFonts w:asciiTheme="minorHAnsi" w:hAnsiTheme="minorHAnsi" w:cstheme="minorHAnsi"/>
                <w:noProof/>
                <w:webHidden/>
              </w:rPr>
            </w:r>
            <w:r w:rsidR="00E55BB6" w:rsidRPr="00E55BB6">
              <w:rPr>
                <w:rFonts w:asciiTheme="minorHAnsi" w:hAnsiTheme="minorHAnsi" w:cstheme="minorHAnsi"/>
                <w:noProof/>
                <w:webHidden/>
              </w:rPr>
              <w:fldChar w:fldCharType="separate"/>
            </w:r>
            <w:r w:rsidR="00E55BB6" w:rsidRPr="00E55BB6">
              <w:rPr>
                <w:rFonts w:asciiTheme="minorHAnsi" w:hAnsiTheme="minorHAnsi" w:cstheme="minorHAnsi"/>
                <w:noProof/>
                <w:webHidden/>
              </w:rPr>
              <w:t>7</w:t>
            </w:r>
            <w:r w:rsidR="00E55BB6" w:rsidRPr="00E55BB6">
              <w:rPr>
                <w:rFonts w:asciiTheme="minorHAnsi" w:hAnsiTheme="minorHAnsi" w:cstheme="minorHAnsi"/>
                <w:noProof/>
                <w:webHidden/>
              </w:rPr>
              <w:fldChar w:fldCharType="end"/>
            </w:r>
          </w:hyperlink>
        </w:p>
        <w:p w14:paraId="67EED404" w14:textId="77777777" w:rsidR="00E55BB6" w:rsidRPr="00E55BB6" w:rsidRDefault="00B3679C">
          <w:pPr>
            <w:pStyle w:val="TOC2"/>
            <w:tabs>
              <w:tab w:val="left" w:pos="880"/>
              <w:tab w:val="right" w:leader="dot" w:pos="9485"/>
            </w:tabs>
            <w:rPr>
              <w:rFonts w:asciiTheme="minorHAnsi" w:hAnsiTheme="minorHAnsi" w:cstheme="minorHAnsi"/>
              <w:noProof/>
              <w:lang w:eastAsia="en-AU"/>
            </w:rPr>
          </w:pPr>
          <w:hyperlink w:anchor="_Toc528653249" w:history="1">
            <w:r w:rsidR="00E55BB6" w:rsidRPr="00E55BB6">
              <w:rPr>
                <w:rStyle w:val="Hyperlink"/>
                <w:rFonts w:asciiTheme="minorHAnsi" w:hAnsiTheme="minorHAnsi" w:cstheme="minorHAnsi"/>
                <w:noProof/>
              </w:rPr>
              <w:t>3.2</w:t>
            </w:r>
            <w:r w:rsidR="00E55BB6" w:rsidRPr="00E55BB6">
              <w:rPr>
                <w:rFonts w:asciiTheme="minorHAnsi" w:hAnsiTheme="minorHAnsi" w:cstheme="minorHAnsi"/>
                <w:noProof/>
                <w:lang w:eastAsia="en-AU"/>
              </w:rPr>
              <w:tab/>
            </w:r>
            <w:r w:rsidR="00E55BB6" w:rsidRPr="00E55BB6">
              <w:rPr>
                <w:rStyle w:val="Hyperlink"/>
                <w:rFonts w:asciiTheme="minorHAnsi" w:hAnsiTheme="minorHAnsi" w:cstheme="minorHAnsi"/>
                <w:noProof/>
              </w:rPr>
              <w:t>Assessment of funding applications</w:t>
            </w:r>
            <w:r w:rsidR="00E55BB6" w:rsidRPr="00E55BB6">
              <w:rPr>
                <w:rFonts w:asciiTheme="minorHAnsi" w:hAnsiTheme="minorHAnsi" w:cstheme="minorHAnsi"/>
                <w:noProof/>
                <w:webHidden/>
              </w:rPr>
              <w:tab/>
            </w:r>
            <w:r w:rsidR="00E55BB6" w:rsidRPr="00E55BB6">
              <w:rPr>
                <w:rFonts w:asciiTheme="minorHAnsi" w:hAnsiTheme="minorHAnsi" w:cstheme="minorHAnsi"/>
                <w:noProof/>
                <w:webHidden/>
              </w:rPr>
              <w:fldChar w:fldCharType="begin"/>
            </w:r>
            <w:r w:rsidR="00E55BB6" w:rsidRPr="00E55BB6">
              <w:rPr>
                <w:rFonts w:asciiTheme="minorHAnsi" w:hAnsiTheme="minorHAnsi" w:cstheme="minorHAnsi"/>
                <w:noProof/>
                <w:webHidden/>
              </w:rPr>
              <w:instrText xml:space="preserve"> PAGEREF _Toc528653249 \h </w:instrText>
            </w:r>
            <w:r w:rsidR="00E55BB6" w:rsidRPr="00E55BB6">
              <w:rPr>
                <w:rFonts w:asciiTheme="minorHAnsi" w:hAnsiTheme="minorHAnsi" w:cstheme="minorHAnsi"/>
                <w:noProof/>
                <w:webHidden/>
              </w:rPr>
            </w:r>
            <w:r w:rsidR="00E55BB6" w:rsidRPr="00E55BB6">
              <w:rPr>
                <w:rFonts w:asciiTheme="minorHAnsi" w:hAnsiTheme="minorHAnsi" w:cstheme="minorHAnsi"/>
                <w:noProof/>
                <w:webHidden/>
              </w:rPr>
              <w:fldChar w:fldCharType="separate"/>
            </w:r>
            <w:r w:rsidR="00E55BB6" w:rsidRPr="00E55BB6">
              <w:rPr>
                <w:rFonts w:asciiTheme="minorHAnsi" w:hAnsiTheme="minorHAnsi" w:cstheme="minorHAnsi"/>
                <w:noProof/>
                <w:webHidden/>
              </w:rPr>
              <w:t>8</w:t>
            </w:r>
            <w:r w:rsidR="00E55BB6" w:rsidRPr="00E55BB6">
              <w:rPr>
                <w:rFonts w:asciiTheme="minorHAnsi" w:hAnsiTheme="minorHAnsi" w:cstheme="minorHAnsi"/>
                <w:noProof/>
                <w:webHidden/>
              </w:rPr>
              <w:fldChar w:fldCharType="end"/>
            </w:r>
          </w:hyperlink>
        </w:p>
        <w:p w14:paraId="5048872D" w14:textId="77777777" w:rsidR="00E55BB6" w:rsidRPr="00E55BB6" w:rsidRDefault="00B3679C">
          <w:pPr>
            <w:pStyle w:val="TOC2"/>
            <w:tabs>
              <w:tab w:val="left" w:pos="880"/>
              <w:tab w:val="right" w:leader="dot" w:pos="9485"/>
            </w:tabs>
            <w:rPr>
              <w:rFonts w:asciiTheme="minorHAnsi" w:hAnsiTheme="minorHAnsi" w:cstheme="minorHAnsi"/>
              <w:noProof/>
              <w:lang w:eastAsia="en-AU"/>
            </w:rPr>
          </w:pPr>
          <w:hyperlink w:anchor="_Toc528653250" w:history="1">
            <w:r w:rsidR="00E55BB6" w:rsidRPr="00E55BB6">
              <w:rPr>
                <w:rStyle w:val="Hyperlink"/>
                <w:rFonts w:asciiTheme="minorHAnsi" w:hAnsiTheme="minorHAnsi" w:cstheme="minorHAnsi"/>
                <w:noProof/>
              </w:rPr>
              <w:t>3.3</w:t>
            </w:r>
            <w:r w:rsidR="00E55BB6" w:rsidRPr="00E55BB6">
              <w:rPr>
                <w:rFonts w:asciiTheme="minorHAnsi" w:hAnsiTheme="minorHAnsi" w:cstheme="minorHAnsi"/>
                <w:noProof/>
                <w:lang w:eastAsia="en-AU"/>
              </w:rPr>
              <w:tab/>
            </w:r>
            <w:r w:rsidR="00E55BB6" w:rsidRPr="00E55BB6">
              <w:rPr>
                <w:rStyle w:val="Hyperlink"/>
                <w:rFonts w:asciiTheme="minorHAnsi" w:hAnsiTheme="minorHAnsi" w:cstheme="minorHAnsi"/>
                <w:noProof/>
              </w:rPr>
              <w:t>Risk and issue management</w:t>
            </w:r>
            <w:r w:rsidR="00E55BB6" w:rsidRPr="00E55BB6">
              <w:rPr>
                <w:rFonts w:asciiTheme="minorHAnsi" w:hAnsiTheme="minorHAnsi" w:cstheme="minorHAnsi"/>
                <w:noProof/>
                <w:webHidden/>
              </w:rPr>
              <w:tab/>
            </w:r>
            <w:r w:rsidR="00E55BB6" w:rsidRPr="00E55BB6">
              <w:rPr>
                <w:rFonts w:asciiTheme="minorHAnsi" w:hAnsiTheme="minorHAnsi" w:cstheme="minorHAnsi"/>
                <w:noProof/>
                <w:webHidden/>
              </w:rPr>
              <w:fldChar w:fldCharType="begin"/>
            </w:r>
            <w:r w:rsidR="00E55BB6" w:rsidRPr="00E55BB6">
              <w:rPr>
                <w:rFonts w:asciiTheme="minorHAnsi" w:hAnsiTheme="minorHAnsi" w:cstheme="minorHAnsi"/>
                <w:noProof/>
                <w:webHidden/>
              </w:rPr>
              <w:instrText xml:space="preserve"> PAGEREF _Toc528653250 \h </w:instrText>
            </w:r>
            <w:r w:rsidR="00E55BB6" w:rsidRPr="00E55BB6">
              <w:rPr>
                <w:rFonts w:asciiTheme="minorHAnsi" w:hAnsiTheme="minorHAnsi" w:cstheme="minorHAnsi"/>
                <w:noProof/>
                <w:webHidden/>
              </w:rPr>
            </w:r>
            <w:r w:rsidR="00E55BB6" w:rsidRPr="00E55BB6">
              <w:rPr>
                <w:rFonts w:asciiTheme="minorHAnsi" w:hAnsiTheme="minorHAnsi" w:cstheme="minorHAnsi"/>
                <w:noProof/>
                <w:webHidden/>
              </w:rPr>
              <w:fldChar w:fldCharType="separate"/>
            </w:r>
            <w:r w:rsidR="00E55BB6" w:rsidRPr="00E55BB6">
              <w:rPr>
                <w:rFonts w:asciiTheme="minorHAnsi" w:hAnsiTheme="minorHAnsi" w:cstheme="minorHAnsi"/>
                <w:noProof/>
                <w:webHidden/>
              </w:rPr>
              <w:t>8</w:t>
            </w:r>
            <w:r w:rsidR="00E55BB6" w:rsidRPr="00E55BB6">
              <w:rPr>
                <w:rFonts w:asciiTheme="minorHAnsi" w:hAnsiTheme="minorHAnsi" w:cstheme="minorHAnsi"/>
                <w:noProof/>
                <w:webHidden/>
              </w:rPr>
              <w:fldChar w:fldCharType="end"/>
            </w:r>
          </w:hyperlink>
        </w:p>
        <w:p w14:paraId="0976AE81" w14:textId="77777777" w:rsidR="00E55BB6" w:rsidRPr="00E55BB6" w:rsidRDefault="00B3679C">
          <w:pPr>
            <w:pStyle w:val="TOC2"/>
            <w:tabs>
              <w:tab w:val="left" w:pos="880"/>
              <w:tab w:val="right" w:leader="dot" w:pos="9485"/>
            </w:tabs>
            <w:rPr>
              <w:rFonts w:asciiTheme="minorHAnsi" w:hAnsiTheme="minorHAnsi" w:cstheme="minorHAnsi"/>
              <w:noProof/>
              <w:lang w:eastAsia="en-AU"/>
            </w:rPr>
          </w:pPr>
          <w:hyperlink w:anchor="_Toc528653251" w:history="1">
            <w:r w:rsidR="00E55BB6" w:rsidRPr="00E55BB6">
              <w:rPr>
                <w:rStyle w:val="Hyperlink"/>
                <w:rFonts w:asciiTheme="minorHAnsi" w:hAnsiTheme="minorHAnsi" w:cstheme="minorHAnsi"/>
                <w:noProof/>
              </w:rPr>
              <w:t>3.4</w:t>
            </w:r>
            <w:r w:rsidR="00E55BB6" w:rsidRPr="00E55BB6">
              <w:rPr>
                <w:rFonts w:asciiTheme="minorHAnsi" w:hAnsiTheme="minorHAnsi" w:cstheme="minorHAnsi"/>
                <w:noProof/>
                <w:lang w:eastAsia="en-AU"/>
              </w:rPr>
              <w:tab/>
            </w:r>
            <w:r w:rsidR="00E55BB6" w:rsidRPr="00E55BB6">
              <w:rPr>
                <w:rStyle w:val="Hyperlink"/>
                <w:rFonts w:asciiTheme="minorHAnsi" w:hAnsiTheme="minorHAnsi" w:cstheme="minorHAnsi"/>
                <w:noProof/>
              </w:rPr>
              <w:t>Financial management</w:t>
            </w:r>
            <w:r w:rsidR="00E55BB6" w:rsidRPr="00E55BB6">
              <w:rPr>
                <w:rFonts w:asciiTheme="minorHAnsi" w:hAnsiTheme="minorHAnsi" w:cstheme="minorHAnsi"/>
                <w:noProof/>
                <w:webHidden/>
              </w:rPr>
              <w:tab/>
            </w:r>
            <w:r w:rsidR="00E55BB6" w:rsidRPr="00E55BB6">
              <w:rPr>
                <w:rFonts w:asciiTheme="minorHAnsi" w:hAnsiTheme="minorHAnsi" w:cstheme="minorHAnsi"/>
                <w:noProof/>
                <w:webHidden/>
              </w:rPr>
              <w:fldChar w:fldCharType="begin"/>
            </w:r>
            <w:r w:rsidR="00E55BB6" w:rsidRPr="00E55BB6">
              <w:rPr>
                <w:rFonts w:asciiTheme="minorHAnsi" w:hAnsiTheme="minorHAnsi" w:cstheme="minorHAnsi"/>
                <w:noProof/>
                <w:webHidden/>
              </w:rPr>
              <w:instrText xml:space="preserve"> PAGEREF _Toc528653251 \h </w:instrText>
            </w:r>
            <w:r w:rsidR="00E55BB6" w:rsidRPr="00E55BB6">
              <w:rPr>
                <w:rFonts w:asciiTheme="minorHAnsi" w:hAnsiTheme="minorHAnsi" w:cstheme="minorHAnsi"/>
                <w:noProof/>
                <w:webHidden/>
              </w:rPr>
            </w:r>
            <w:r w:rsidR="00E55BB6" w:rsidRPr="00E55BB6">
              <w:rPr>
                <w:rFonts w:asciiTheme="minorHAnsi" w:hAnsiTheme="minorHAnsi" w:cstheme="minorHAnsi"/>
                <w:noProof/>
                <w:webHidden/>
              </w:rPr>
              <w:fldChar w:fldCharType="separate"/>
            </w:r>
            <w:r w:rsidR="00E55BB6" w:rsidRPr="00E55BB6">
              <w:rPr>
                <w:rFonts w:asciiTheme="minorHAnsi" w:hAnsiTheme="minorHAnsi" w:cstheme="minorHAnsi"/>
                <w:noProof/>
                <w:webHidden/>
              </w:rPr>
              <w:t>9</w:t>
            </w:r>
            <w:r w:rsidR="00E55BB6" w:rsidRPr="00E55BB6">
              <w:rPr>
                <w:rFonts w:asciiTheme="minorHAnsi" w:hAnsiTheme="minorHAnsi" w:cstheme="minorHAnsi"/>
                <w:noProof/>
                <w:webHidden/>
              </w:rPr>
              <w:fldChar w:fldCharType="end"/>
            </w:r>
          </w:hyperlink>
        </w:p>
        <w:p w14:paraId="29114695" w14:textId="77777777" w:rsidR="00E55BB6" w:rsidRPr="00E55BB6" w:rsidRDefault="00B3679C">
          <w:pPr>
            <w:pStyle w:val="TOC2"/>
            <w:tabs>
              <w:tab w:val="left" w:pos="880"/>
              <w:tab w:val="right" w:leader="dot" w:pos="9485"/>
            </w:tabs>
            <w:rPr>
              <w:rFonts w:asciiTheme="minorHAnsi" w:hAnsiTheme="minorHAnsi" w:cstheme="minorHAnsi"/>
              <w:noProof/>
              <w:lang w:eastAsia="en-AU"/>
            </w:rPr>
          </w:pPr>
          <w:hyperlink w:anchor="_Toc528653252" w:history="1">
            <w:r w:rsidR="00E55BB6" w:rsidRPr="00E55BB6">
              <w:rPr>
                <w:rStyle w:val="Hyperlink"/>
                <w:rFonts w:asciiTheme="minorHAnsi" w:hAnsiTheme="minorHAnsi" w:cstheme="minorHAnsi"/>
                <w:noProof/>
              </w:rPr>
              <w:t>3.5</w:t>
            </w:r>
            <w:r w:rsidR="00E55BB6" w:rsidRPr="00E55BB6">
              <w:rPr>
                <w:rFonts w:asciiTheme="minorHAnsi" w:hAnsiTheme="minorHAnsi" w:cstheme="minorHAnsi"/>
                <w:noProof/>
                <w:lang w:eastAsia="en-AU"/>
              </w:rPr>
              <w:tab/>
            </w:r>
            <w:r w:rsidR="00E55BB6" w:rsidRPr="00E55BB6">
              <w:rPr>
                <w:rStyle w:val="Hyperlink"/>
                <w:rFonts w:asciiTheme="minorHAnsi" w:hAnsiTheme="minorHAnsi" w:cstheme="minorHAnsi"/>
                <w:noProof/>
              </w:rPr>
              <w:t>Stakeholder engagement</w:t>
            </w:r>
            <w:r w:rsidR="00E55BB6" w:rsidRPr="00E55BB6">
              <w:rPr>
                <w:rFonts w:asciiTheme="minorHAnsi" w:hAnsiTheme="minorHAnsi" w:cstheme="minorHAnsi"/>
                <w:noProof/>
                <w:webHidden/>
              </w:rPr>
              <w:tab/>
            </w:r>
            <w:r w:rsidR="00E55BB6" w:rsidRPr="00E55BB6">
              <w:rPr>
                <w:rFonts w:asciiTheme="minorHAnsi" w:hAnsiTheme="minorHAnsi" w:cstheme="minorHAnsi"/>
                <w:noProof/>
                <w:webHidden/>
              </w:rPr>
              <w:fldChar w:fldCharType="begin"/>
            </w:r>
            <w:r w:rsidR="00E55BB6" w:rsidRPr="00E55BB6">
              <w:rPr>
                <w:rFonts w:asciiTheme="minorHAnsi" w:hAnsiTheme="minorHAnsi" w:cstheme="minorHAnsi"/>
                <w:noProof/>
                <w:webHidden/>
              </w:rPr>
              <w:instrText xml:space="preserve"> PAGEREF _Toc528653252 \h </w:instrText>
            </w:r>
            <w:r w:rsidR="00E55BB6" w:rsidRPr="00E55BB6">
              <w:rPr>
                <w:rFonts w:asciiTheme="minorHAnsi" w:hAnsiTheme="minorHAnsi" w:cstheme="minorHAnsi"/>
                <w:noProof/>
                <w:webHidden/>
              </w:rPr>
            </w:r>
            <w:r w:rsidR="00E55BB6" w:rsidRPr="00E55BB6">
              <w:rPr>
                <w:rFonts w:asciiTheme="minorHAnsi" w:hAnsiTheme="minorHAnsi" w:cstheme="minorHAnsi"/>
                <w:noProof/>
                <w:webHidden/>
              </w:rPr>
              <w:fldChar w:fldCharType="separate"/>
            </w:r>
            <w:r w:rsidR="00E55BB6" w:rsidRPr="00E55BB6">
              <w:rPr>
                <w:rFonts w:asciiTheme="minorHAnsi" w:hAnsiTheme="minorHAnsi" w:cstheme="minorHAnsi"/>
                <w:noProof/>
                <w:webHidden/>
              </w:rPr>
              <w:t>10</w:t>
            </w:r>
            <w:r w:rsidR="00E55BB6" w:rsidRPr="00E55BB6">
              <w:rPr>
                <w:rFonts w:asciiTheme="minorHAnsi" w:hAnsiTheme="minorHAnsi" w:cstheme="minorHAnsi"/>
                <w:noProof/>
                <w:webHidden/>
              </w:rPr>
              <w:fldChar w:fldCharType="end"/>
            </w:r>
          </w:hyperlink>
        </w:p>
        <w:p w14:paraId="16CD930E" w14:textId="77777777" w:rsidR="00E55BB6" w:rsidRPr="00E55BB6" w:rsidRDefault="00B3679C">
          <w:pPr>
            <w:pStyle w:val="TOC2"/>
            <w:tabs>
              <w:tab w:val="left" w:pos="880"/>
              <w:tab w:val="right" w:leader="dot" w:pos="9485"/>
            </w:tabs>
            <w:rPr>
              <w:rFonts w:asciiTheme="minorHAnsi" w:hAnsiTheme="minorHAnsi" w:cstheme="minorHAnsi"/>
              <w:noProof/>
              <w:lang w:eastAsia="en-AU"/>
            </w:rPr>
          </w:pPr>
          <w:hyperlink w:anchor="_Toc528653253" w:history="1">
            <w:r w:rsidR="00E55BB6" w:rsidRPr="00E55BB6">
              <w:rPr>
                <w:rStyle w:val="Hyperlink"/>
                <w:rFonts w:asciiTheme="minorHAnsi" w:hAnsiTheme="minorHAnsi" w:cstheme="minorHAnsi"/>
                <w:noProof/>
              </w:rPr>
              <w:t>3.6</w:t>
            </w:r>
            <w:r w:rsidR="00E55BB6" w:rsidRPr="00E55BB6">
              <w:rPr>
                <w:rFonts w:asciiTheme="minorHAnsi" w:hAnsiTheme="minorHAnsi" w:cstheme="minorHAnsi"/>
                <w:noProof/>
                <w:lang w:eastAsia="en-AU"/>
              </w:rPr>
              <w:tab/>
            </w:r>
            <w:r w:rsidR="00E55BB6" w:rsidRPr="00E55BB6">
              <w:rPr>
                <w:rStyle w:val="Hyperlink"/>
                <w:rFonts w:asciiTheme="minorHAnsi" w:hAnsiTheme="minorHAnsi" w:cstheme="minorHAnsi"/>
                <w:noProof/>
              </w:rPr>
              <w:t>Water transfer</w:t>
            </w:r>
            <w:r w:rsidR="00E55BB6" w:rsidRPr="00E55BB6">
              <w:rPr>
                <w:rFonts w:asciiTheme="minorHAnsi" w:hAnsiTheme="minorHAnsi" w:cstheme="minorHAnsi"/>
                <w:noProof/>
                <w:webHidden/>
              </w:rPr>
              <w:tab/>
            </w:r>
            <w:r w:rsidR="00E55BB6" w:rsidRPr="00E55BB6">
              <w:rPr>
                <w:rFonts w:asciiTheme="minorHAnsi" w:hAnsiTheme="minorHAnsi" w:cstheme="minorHAnsi"/>
                <w:noProof/>
                <w:webHidden/>
              </w:rPr>
              <w:fldChar w:fldCharType="begin"/>
            </w:r>
            <w:r w:rsidR="00E55BB6" w:rsidRPr="00E55BB6">
              <w:rPr>
                <w:rFonts w:asciiTheme="minorHAnsi" w:hAnsiTheme="minorHAnsi" w:cstheme="minorHAnsi"/>
                <w:noProof/>
                <w:webHidden/>
              </w:rPr>
              <w:instrText xml:space="preserve"> PAGEREF _Toc528653253 \h </w:instrText>
            </w:r>
            <w:r w:rsidR="00E55BB6" w:rsidRPr="00E55BB6">
              <w:rPr>
                <w:rFonts w:asciiTheme="minorHAnsi" w:hAnsiTheme="minorHAnsi" w:cstheme="minorHAnsi"/>
                <w:noProof/>
                <w:webHidden/>
              </w:rPr>
            </w:r>
            <w:r w:rsidR="00E55BB6" w:rsidRPr="00E55BB6">
              <w:rPr>
                <w:rFonts w:asciiTheme="minorHAnsi" w:hAnsiTheme="minorHAnsi" w:cstheme="minorHAnsi"/>
                <w:noProof/>
                <w:webHidden/>
              </w:rPr>
              <w:fldChar w:fldCharType="separate"/>
            </w:r>
            <w:r w:rsidR="00E55BB6" w:rsidRPr="00E55BB6">
              <w:rPr>
                <w:rFonts w:asciiTheme="minorHAnsi" w:hAnsiTheme="minorHAnsi" w:cstheme="minorHAnsi"/>
                <w:noProof/>
                <w:webHidden/>
              </w:rPr>
              <w:t>10</w:t>
            </w:r>
            <w:r w:rsidR="00E55BB6" w:rsidRPr="00E55BB6">
              <w:rPr>
                <w:rFonts w:asciiTheme="minorHAnsi" w:hAnsiTheme="minorHAnsi" w:cstheme="minorHAnsi"/>
                <w:noProof/>
                <w:webHidden/>
              </w:rPr>
              <w:fldChar w:fldCharType="end"/>
            </w:r>
          </w:hyperlink>
        </w:p>
        <w:p w14:paraId="678F3A27" w14:textId="77777777" w:rsidR="00E55BB6" w:rsidRPr="00E55BB6" w:rsidRDefault="00B3679C">
          <w:pPr>
            <w:pStyle w:val="TOC2"/>
            <w:tabs>
              <w:tab w:val="left" w:pos="880"/>
              <w:tab w:val="right" w:leader="dot" w:pos="9485"/>
            </w:tabs>
            <w:rPr>
              <w:rFonts w:asciiTheme="minorHAnsi" w:hAnsiTheme="minorHAnsi" w:cstheme="minorHAnsi"/>
              <w:noProof/>
              <w:lang w:eastAsia="en-AU"/>
            </w:rPr>
          </w:pPr>
          <w:hyperlink w:anchor="_Toc528653254" w:history="1">
            <w:r w:rsidR="00E55BB6" w:rsidRPr="00E55BB6">
              <w:rPr>
                <w:rStyle w:val="Hyperlink"/>
                <w:rFonts w:asciiTheme="minorHAnsi" w:hAnsiTheme="minorHAnsi" w:cstheme="minorHAnsi"/>
                <w:noProof/>
              </w:rPr>
              <w:t>3.7</w:t>
            </w:r>
            <w:r w:rsidR="00E55BB6" w:rsidRPr="00E55BB6">
              <w:rPr>
                <w:rFonts w:asciiTheme="minorHAnsi" w:hAnsiTheme="minorHAnsi" w:cstheme="minorHAnsi"/>
                <w:noProof/>
                <w:lang w:eastAsia="en-AU"/>
              </w:rPr>
              <w:tab/>
            </w:r>
            <w:r w:rsidR="00E55BB6" w:rsidRPr="00E55BB6">
              <w:rPr>
                <w:rStyle w:val="Hyperlink"/>
                <w:rFonts w:asciiTheme="minorHAnsi" w:hAnsiTheme="minorHAnsi" w:cstheme="minorHAnsi"/>
                <w:noProof/>
              </w:rPr>
              <w:t>Project management</w:t>
            </w:r>
            <w:r w:rsidR="00E55BB6" w:rsidRPr="00E55BB6">
              <w:rPr>
                <w:rFonts w:asciiTheme="minorHAnsi" w:hAnsiTheme="minorHAnsi" w:cstheme="minorHAnsi"/>
                <w:noProof/>
                <w:webHidden/>
              </w:rPr>
              <w:tab/>
            </w:r>
            <w:r w:rsidR="00E55BB6" w:rsidRPr="00E55BB6">
              <w:rPr>
                <w:rFonts w:asciiTheme="minorHAnsi" w:hAnsiTheme="minorHAnsi" w:cstheme="minorHAnsi"/>
                <w:noProof/>
                <w:webHidden/>
              </w:rPr>
              <w:fldChar w:fldCharType="begin"/>
            </w:r>
            <w:r w:rsidR="00E55BB6" w:rsidRPr="00E55BB6">
              <w:rPr>
                <w:rFonts w:asciiTheme="minorHAnsi" w:hAnsiTheme="minorHAnsi" w:cstheme="minorHAnsi"/>
                <w:noProof/>
                <w:webHidden/>
              </w:rPr>
              <w:instrText xml:space="preserve"> PAGEREF _Toc528653254 \h </w:instrText>
            </w:r>
            <w:r w:rsidR="00E55BB6" w:rsidRPr="00E55BB6">
              <w:rPr>
                <w:rFonts w:asciiTheme="minorHAnsi" w:hAnsiTheme="minorHAnsi" w:cstheme="minorHAnsi"/>
                <w:noProof/>
                <w:webHidden/>
              </w:rPr>
            </w:r>
            <w:r w:rsidR="00E55BB6" w:rsidRPr="00E55BB6">
              <w:rPr>
                <w:rFonts w:asciiTheme="minorHAnsi" w:hAnsiTheme="minorHAnsi" w:cstheme="minorHAnsi"/>
                <w:noProof/>
                <w:webHidden/>
              </w:rPr>
              <w:fldChar w:fldCharType="separate"/>
            </w:r>
            <w:r w:rsidR="00E55BB6" w:rsidRPr="00E55BB6">
              <w:rPr>
                <w:rFonts w:asciiTheme="minorHAnsi" w:hAnsiTheme="minorHAnsi" w:cstheme="minorHAnsi"/>
                <w:noProof/>
                <w:webHidden/>
              </w:rPr>
              <w:t>11</w:t>
            </w:r>
            <w:r w:rsidR="00E55BB6" w:rsidRPr="00E55BB6">
              <w:rPr>
                <w:rFonts w:asciiTheme="minorHAnsi" w:hAnsiTheme="minorHAnsi" w:cstheme="minorHAnsi"/>
                <w:noProof/>
                <w:webHidden/>
              </w:rPr>
              <w:fldChar w:fldCharType="end"/>
            </w:r>
          </w:hyperlink>
        </w:p>
        <w:p w14:paraId="7CB6E19A" w14:textId="77777777" w:rsidR="00E55BB6" w:rsidRPr="00E55BB6" w:rsidRDefault="00B3679C">
          <w:pPr>
            <w:pStyle w:val="TOC2"/>
            <w:tabs>
              <w:tab w:val="left" w:pos="880"/>
              <w:tab w:val="right" w:leader="dot" w:pos="9485"/>
            </w:tabs>
            <w:rPr>
              <w:rFonts w:asciiTheme="minorHAnsi" w:hAnsiTheme="minorHAnsi" w:cstheme="minorHAnsi"/>
              <w:noProof/>
              <w:lang w:eastAsia="en-AU"/>
            </w:rPr>
          </w:pPr>
          <w:hyperlink w:anchor="_Toc528653255" w:history="1">
            <w:r w:rsidR="00E55BB6" w:rsidRPr="00E55BB6">
              <w:rPr>
                <w:rStyle w:val="Hyperlink"/>
                <w:rFonts w:asciiTheme="minorHAnsi" w:hAnsiTheme="minorHAnsi" w:cstheme="minorHAnsi"/>
                <w:noProof/>
              </w:rPr>
              <w:t>3.8</w:t>
            </w:r>
            <w:r w:rsidR="00E55BB6" w:rsidRPr="00E55BB6">
              <w:rPr>
                <w:rFonts w:asciiTheme="minorHAnsi" w:hAnsiTheme="minorHAnsi" w:cstheme="minorHAnsi"/>
                <w:noProof/>
                <w:lang w:eastAsia="en-AU"/>
              </w:rPr>
              <w:tab/>
            </w:r>
            <w:r w:rsidR="00E55BB6" w:rsidRPr="00E55BB6">
              <w:rPr>
                <w:rStyle w:val="Hyperlink"/>
                <w:rFonts w:asciiTheme="minorHAnsi" w:hAnsiTheme="minorHAnsi" w:cstheme="minorHAnsi"/>
                <w:noProof/>
              </w:rPr>
              <w:t>On-ground verification</w:t>
            </w:r>
            <w:r w:rsidR="00E55BB6" w:rsidRPr="00E55BB6">
              <w:rPr>
                <w:rFonts w:asciiTheme="minorHAnsi" w:hAnsiTheme="minorHAnsi" w:cstheme="minorHAnsi"/>
                <w:noProof/>
                <w:webHidden/>
              </w:rPr>
              <w:tab/>
            </w:r>
            <w:r w:rsidR="00E55BB6" w:rsidRPr="00E55BB6">
              <w:rPr>
                <w:rFonts w:asciiTheme="minorHAnsi" w:hAnsiTheme="minorHAnsi" w:cstheme="minorHAnsi"/>
                <w:noProof/>
                <w:webHidden/>
              </w:rPr>
              <w:fldChar w:fldCharType="begin"/>
            </w:r>
            <w:r w:rsidR="00E55BB6" w:rsidRPr="00E55BB6">
              <w:rPr>
                <w:rFonts w:asciiTheme="minorHAnsi" w:hAnsiTheme="minorHAnsi" w:cstheme="minorHAnsi"/>
                <w:noProof/>
                <w:webHidden/>
              </w:rPr>
              <w:instrText xml:space="preserve"> PAGEREF _Toc528653255 \h </w:instrText>
            </w:r>
            <w:r w:rsidR="00E55BB6" w:rsidRPr="00E55BB6">
              <w:rPr>
                <w:rFonts w:asciiTheme="minorHAnsi" w:hAnsiTheme="minorHAnsi" w:cstheme="minorHAnsi"/>
                <w:noProof/>
                <w:webHidden/>
              </w:rPr>
            </w:r>
            <w:r w:rsidR="00E55BB6" w:rsidRPr="00E55BB6">
              <w:rPr>
                <w:rFonts w:asciiTheme="minorHAnsi" w:hAnsiTheme="minorHAnsi" w:cstheme="minorHAnsi"/>
                <w:noProof/>
                <w:webHidden/>
              </w:rPr>
              <w:fldChar w:fldCharType="separate"/>
            </w:r>
            <w:r w:rsidR="00E55BB6" w:rsidRPr="00E55BB6">
              <w:rPr>
                <w:rFonts w:asciiTheme="minorHAnsi" w:hAnsiTheme="minorHAnsi" w:cstheme="minorHAnsi"/>
                <w:noProof/>
                <w:webHidden/>
              </w:rPr>
              <w:t>12</w:t>
            </w:r>
            <w:r w:rsidR="00E55BB6" w:rsidRPr="00E55BB6">
              <w:rPr>
                <w:rFonts w:asciiTheme="minorHAnsi" w:hAnsiTheme="minorHAnsi" w:cstheme="minorHAnsi"/>
                <w:noProof/>
                <w:webHidden/>
              </w:rPr>
              <w:fldChar w:fldCharType="end"/>
            </w:r>
          </w:hyperlink>
        </w:p>
        <w:p w14:paraId="0EF9BF51" w14:textId="77777777" w:rsidR="00E55BB6" w:rsidRPr="00E55BB6" w:rsidRDefault="00B3679C">
          <w:pPr>
            <w:pStyle w:val="TOC1"/>
            <w:tabs>
              <w:tab w:val="left" w:pos="440"/>
              <w:tab w:val="right" w:leader="dot" w:pos="9485"/>
            </w:tabs>
            <w:rPr>
              <w:rFonts w:asciiTheme="minorHAnsi" w:hAnsiTheme="minorHAnsi" w:cstheme="minorHAnsi"/>
              <w:b w:val="0"/>
              <w:noProof/>
              <w:sz w:val="22"/>
              <w:lang w:eastAsia="en-AU"/>
            </w:rPr>
          </w:pPr>
          <w:hyperlink w:anchor="_Toc528653256" w:history="1">
            <w:r w:rsidR="00E55BB6" w:rsidRPr="00E55BB6">
              <w:rPr>
                <w:rStyle w:val="Hyperlink"/>
                <w:rFonts w:asciiTheme="minorHAnsi" w:hAnsiTheme="minorHAnsi" w:cstheme="minorHAnsi"/>
                <w:noProof/>
              </w:rPr>
              <w:t>4</w:t>
            </w:r>
            <w:r w:rsidR="00E55BB6" w:rsidRPr="00E55BB6">
              <w:rPr>
                <w:rFonts w:asciiTheme="minorHAnsi" w:hAnsiTheme="minorHAnsi" w:cstheme="minorHAnsi"/>
                <w:b w:val="0"/>
                <w:noProof/>
                <w:sz w:val="22"/>
                <w:lang w:eastAsia="en-AU"/>
              </w:rPr>
              <w:tab/>
            </w:r>
            <w:r w:rsidR="00E55BB6" w:rsidRPr="00E55BB6">
              <w:rPr>
                <w:rStyle w:val="Hyperlink"/>
                <w:rFonts w:asciiTheme="minorHAnsi" w:hAnsiTheme="minorHAnsi" w:cstheme="minorHAnsi"/>
                <w:noProof/>
              </w:rPr>
              <w:t>Areas for improvement &amp; lessons learnt</w:t>
            </w:r>
            <w:r w:rsidR="00E55BB6" w:rsidRPr="00E55BB6">
              <w:rPr>
                <w:rFonts w:asciiTheme="minorHAnsi" w:hAnsiTheme="minorHAnsi" w:cstheme="minorHAnsi"/>
                <w:noProof/>
                <w:webHidden/>
              </w:rPr>
              <w:tab/>
            </w:r>
            <w:r w:rsidR="00E55BB6" w:rsidRPr="00E55BB6">
              <w:rPr>
                <w:rFonts w:asciiTheme="minorHAnsi" w:hAnsiTheme="minorHAnsi" w:cstheme="minorHAnsi"/>
                <w:noProof/>
                <w:webHidden/>
              </w:rPr>
              <w:fldChar w:fldCharType="begin"/>
            </w:r>
            <w:r w:rsidR="00E55BB6" w:rsidRPr="00E55BB6">
              <w:rPr>
                <w:rFonts w:asciiTheme="minorHAnsi" w:hAnsiTheme="minorHAnsi" w:cstheme="minorHAnsi"/>
                <w:noProof/>
                <w:webHidden/>
              </w:rPr>
              <w:instrText xml:space="preserve"> PAGEREF _Toc528653256 \h </w:instrText>
            </w:r>
            <w:r w:rsidR="00E55BB6" w:rsidRPr="00E55BB6">
              <w:rPr>
                <w:rFonts w:asciiTheme="minorHAnsi" w:hAnsiTheme="minorHAnsi" w:cstheme="minorHAnsi"/>
                <w:noProof/>
                <w:webHidden/>
              </w:rPr>
            </w:r>
            <w:r w:rsidR="00E55BB6" w:rsidRPr="00E55BB6">
              <w:rPr>
                <w:rFonts w:asciiTheme="minorHAnsi" w:hAnsiTheme="minorHAnsi" w:cstheme="minorHAnsi"/>
                <w:noProof/>
                <w:webHidden/>
              </w:rPr>
              <w:fldChar w:fldCharType="separate"/>
            </w:r>
            <w:r w:rsidR="00E55BB6" w:rsidRPr="00E55BB6">
              <w:rPr>
                <w:rFonts w:asciiTheme="minorHAnsi" w:hAnsiTheme="minorHAnsi" w:cstheme="minorHAnsi"/>
                <w:noProof/>
                <w:webHidden/>
              </w:rPr>
              <w:t>14</w:t>
            </w:r>
            <w:r w:rsidR="00E55BB6" w:rsidRPr="00E55BB6">
              <w:rPr>
                <w:rFonts w:asciiTheme="minorHAnsi" w:hAnsiTheme="minorHAnsi" w:cstheme="minorHAnsi"/>
                <w:noProof/>
                <w:webHidden/>
              </w:rPr>
              <w:fldChar w:fldCharType="end"/>
            </w:r>
          </w:hyperlink>
        </w:p>
        <w:p w14:paraId="1E2D4F55" w14:textId="77777777" w:rsidR="00E55BB6" w:rsidRPr="00E55BB6" w:rsidRDefault="00B3679C">
          <w:pPr>
            <w:pStyle w:val="TOC2"/>
            <w:tabs>
              <w:tab w:val="left" w:pos="880"/>
              <w:tab w:val="right" w:leader="dot" w:pos="9485"/>
            </w:tabs>
            <w:rPr>
              <w:rFonts w:asciiTheme="minorHAnsi" w:hAnsiTheme="minorHAnsi" w:cstheme="minorHAnsi"/>
              <w:noProof/>
              <w:lang w:eastAsia="en-AU"/>
            </w:rPr>
          </w:pPr>
          <w:hyperlink w:anchor="_Toc528653257" w:history="1">
            <w:r w:rsidR="00E55BB6" w:rsidRPr="00E55BB6">
              <w:rPr>
                <w:rStyle w:val="Hyperlink"/>
                <w:rFonts w:asciiTheme="minorHAnsi" w:hAnsiTheme="minorHAnsi" w:cstheme="minorHAnsi"/>
                <w:noProof/>
              </w:rPr>
              <w:t>4.1</w:t>
            </w:r>
            <w:r w:rsidR="00E55BB6" w:rsidRPr="00E55BB6">
              <w:rPr>
                <w:rFonts w:asciiTheme="minorHAnsi" w:hAnsiTheme="minorHAnsi" w:cstheme="minorHAnsi"/>
                <w:noProof/>
                <w:lang w:eastAsia="en-AU"/>
              </w:rPr>
              <w:tab/>
            </w:r>
            <w:r w:rsidR="00E55BB6" w:rsidRPr="00E55BB6">
              <w:rPr>
                <w:rStyle w:val="Hyperlink"/>
                <w:rFonts w:asciiTheme="minorHAnsi" w:hAnsiTheme="minorHAnsi" w:cstheme="minorHAnsi"/>
                <w:noProof/>
              </w:rPr>
              <w:t>Risk and issue log</w:t>
            </w:r>
            <w:r w:rsidR="00E55BB6" w:rsidRPr="00E55BB6">
              <w:rPr>
                <w:rFonts w:asciiTheme="minorHAnsi" w:hAnsiTheme="minorHAnsi" w:cstheme="minorHAnsi"/>
                <w:noProof/>
                <w:webHidden/>
              </w:rPr>
              <w:tab/>
            </w:r>
            <w:r w:rsidR="00E55BB6" w:rsidRPr="00E55BB6">
              <w:rPr>
                <w:rFonts w:asciiTheme="minorHAnsi" w:hAnsiTheme="minorHAnsi" w:cstheme="minorHAnsi"/>
                <w:noProof/>
                <w:webHidden/>
              </w:rPr>
              <w:fldChar w:fldCharType="begin"/>
            </w:r>
            <w:r w:rsidR="00E55BB6" w:rsidRPr="00E55BB6">
              <w:rPr>
                <w:rFonts w:asciiTheme="minorHAnsi" w:hAnsiTheme="minorHAnsi" w:cstheme="minorHAnsi"/>
                <w:noProof/>
                <w:webHidden/>
              </w:rPr>
              <w:instrText xml:space="preserve"> PAGEREF _Toc528653257 \h </w:instrText>
            </w:r>
            <w:r w:rsidR="00E55BB6" w:rsidRPr="00E55BB6">
              <w:rPr>
                <w:rFonts w:asciiTheme="minorHAnsi" w:hAnsiTheme="minorHAnsi" w:cstheme="minorHAnsi"/>
                <w:noProof/>
                <w:webHidden/>
              </w:rPr>
            </w:r>
            <w:r w:rsidR="00E55BB6" w:rsidRPr="00E55BB6">
              <w:rPr>
                <w:rFonts w:asciiTheme="minorHAnsi" w:hAnsiTheme="minorHAnsi" w:cstheme="minorHAnsi"/>
                <w:noProof/>
                <w:webHidden/>
              </w:rPr>
              <w:fldChar w:fldCharType="separate"/>
            </w:r>
            <w:r w:rsidR="00E55BB6" w:rsidRPr="00E55BB6">
              <w:rPr>
                <w:rFonts w:asciiTheme="minorHAnsi" w:hAnsiTheme="minorHAnsi" w:cstheme="minorHAnsi"/>
                <w:noProof/>
                <w:webHidden/>
              </w:rPr>
              <w:t>14</w:t>
            </w:r>
            <w:r w:rsidR="00E55BB6" w:rsidRPr="00E55BB6">
              <w:rPr>
                <w:rFonts w:asciiTheme="minorHAnsi" w:hAnsiTheme="minorHAnsi" w:cstheme="minorHAnsi"/>
                <w:noProof/>
                <w:webHidden/>
              </w:rPr>
              <w:fldChar w:fldCharType="end"/>
            </w:r>
          </w:hyperlink>
        </w:p>
        <w:p w14:paraId="4B493F9A" w14:textId="77777777" w:rsidR="00E55BB6" w:rsidRPr="00E55BB6" w:rsidRDefault="00B3679C">
          <w:pPr>
            <w:pStyle w:val="TOC2"/>
            <w:tabs>
              <w:tab w:val="left" w:pos="880"/>
              <w:tab w:val="right" w:leader="dot" w:pos="9485"/>
            </w:tabs>
            <w:rPr>
              <w:rFonts w:asciiTheme="minorHAnsi" w:hAnsiTheme="minorHAnsi" w:cstheme="minorHAnsi"/>
              <w:noProof/>
              <w:lang w:eastAsia="en-AU"/>
            </w:rPr>
          </w:pPr>
          <w:hyperlink w:anchor="_Toc528653258" w:history="1">
            <w:r w:rsidR="00E55BB6" w:rsidRPr="00E55BB6">
              <w:rPr>
                <w:rStyle w:val="Hyperlink"/>
                <w:rFonts w:asciiTheme="minorHAnsi" w:hAnsiTheme="minorHAnsi" w:cstheme="minorHAnsi"/>
                <w:noProof/>
              </w:rPr>
              <w:t>4.2</w:t>
            </w:r>
            <w:r w:rsidR="00E55BB6" w:rsidRPr="00E55BB6">
              <w:rPr>
                <w:rFonts w:asciiTheme="minorHAnsi" w:hAnsiTheme="minorHAnsi" w:cstheme="minorHAnsi"/>
                <w:noProof/>
                <w:lang w:eastAsia="en-AU"/>
              </w:rPr>
              <w:tab/>
            </w:r>
            <w:r w:rsidR="00E55BB6" w:rsidRPr="00E55BB6">
              <w:rPr>
                <w:rStyle w:val="Hyperlink"/>
                <w:rFonts w:asciiTheme="minorHAnsi" w:hAnsiTheme="minorHAnsi" w:cstheme="minorHAnsi"/>
                <w:noProof/>
              </w:rPr>
              <w:t>Asset registers</w:t>
            </w:r>
            <w:r w:rsidR="00E55BB6" w:rsidRPr="00E55BB6">
              <w:rPr>
                <w:rFonts w:asciiTheme="minorHAnsi" w:hAnsiTheme="minorHAnsi" w:cstheme="minorHAnsi"/>
                <w:noProof/>
                <w:webHidden/>
              </w:rPr>
              <w:tab/>
            </w:r>
            <w:r w:rsidR="00E55BB6" w:rsidRPr="00E55BB6">
              <w:rPr>
                <w:rFonts w:asciiTheme="minorHAnsi" w:hAnsiTheme="minorHAnsi" w:cstheme="minorHAnsi"/>
                <w:noProof/>
                <w:webHidden/>
              </w:rPr>
              <w:fldChar w:fldCharType="begin"/>
            </w:r>
            <w:r w:rsidR="00E55BB6" w:rsidRPr="00E55BB6">
              <w:rPr>
                <w:rFonts w:asciiTheme="minorHAnsi" w:hAnsiTheme="minorHAnsi" w:cstheme="minorHAnsi"/>
                <w:noProof/>
                <w:webHidden/>
              </w:rPr>
              <w:instrText xml:space="preserve"> PAGEREF _Toc528653258 \h </w:instrText>
            </w:r>
            <w:r w:rsidR="00E55BB6" w:rsidRPr="00E55BB6">
              <w:rPr>
                <w:rFonts w:asciiTheme="minorHAnsi" w:hAnsiTheme="minorHAnsi" w:cstheme="minorHAnsi"/>
                <w:noProof/>
                <w:webHidden/>
              </w:rPr>
            </w:r>
            <w:r w:rsidR="00E55BB6" w:rsidRPr="00E55BB6">
              <w:rPr>
                <w:rFonts w:asciiTheme="minorHAnsi" w:hAnsiTheme="minorHAnsi" w:cstheme="minorHAnsi"/>
                <w:noProof/>
                <w:webHidden/>
              </w:rPr>
              <w:fldChar w:fldCharType="separate"/>
            </w:r>
            <w:r w:rsidR="00E55BB6" w:rsidRPr="00E55BB6">
              <w:rPr>
                <w:rFonts w:asciiTheme="minorHAnsi" w:hAnsiTheme="minorHAnsi" w:cstheme="minorHAnsi"/>
                <w:noProof/>
                <w:webHidden/>
              </w:rPr>
              <w:t>14</w:t>
            </w:r>
            <w:r w:rsidR="00E55BB6" w:rsidRPr="00E55BB6">
              <w:rPr>
                <w:rFonts w:asciiTheme="minorHAnsi" w:hAnsiTheme="minorHAnsi" w:cstheme="minorHAnsi"/>
                <w:noProof/>
                <w:webHidden/>
              </w:rPr>
              <w:fldChar w:fldCharType="end"/>
            </w:r>
          </w:hyperlink>
        </w:p>
        <w:p w14:paraId="5419DAF9" w14:textId="77777777" w:rsidR="00E55BB6" w:rsidRPr="00E55BB6" w:rsidRDefault="00B3679C">
          <w:pPr>
            <w:pStyle w:val="TOC2"/>
            <w:tabs>
              <w:tab w:val="left" w:pos="880"/>
              <w:tab w:val="right" w:leader="dot" w:pos="9485"/>
            </w:tabs>
            <w:rPr>
              <w:rFonts w:asciiTheme="minorHAnsi" w:hAnsiTheme="minorHAnsi" w:cstheme="minorHAnsi"/>
              <w:noProof/>
              <w:lang w:eastAsia="en-AU"/>
            </w:rPr>
          </w:pPr>
          <w:hyperlink w:anchor="_Toc528653259" w:history="1">
            <w:r w:rsidR="00E55BB6" w:rsidRPr="00E55BB6">
              <w:rPr>
                <w:rStyle w:val="Hyperlink"/>
                <w:rFonts w:asciiTheme="minorHAnsi" w:hAnsiTheme="minorHAnsi" w:cstheme="minorHAnsi"/>
                <w:noProof/>
              </w:rPr>
              <w:t>4.3</w:t>
            </w:r>
            <w:r w:rsidR="00E55BB6" w:rsidRPr="00E55BB6">
              <w:rPr>
                <w:rFonts w:asciiTheme="minorHAnsi" w:hAnsiTheme="minorHAnsi" w:cstheme="minorHAnsi"/>
                <w:noProof/>
                <w:lang w:eastAsia="en-AU"/>
              </w:rPr>
              <w:tab/>
            </w:r>
            <w:r w:rsidR="00E55BB6" w:rsidRPr="00E55BB6">
              <w:rPr>
                <w:rStyle w:val="Hyperlink"/>
                <w:rFonts w:asciiTheme="minorHAnsi" w:hAnsiTheme="minorHAnsi" w:cstheme="minorHAnsi"/>
                <w:noProof/>
              </w:rPr>
              <w:t>Progress reporting</w:t>
            </w:r>
            <w:r w:rsidR="00E55BB6" w:rsidRPr="00E55BB6">
              <w:rPr>
                <w:rFonts w:asciiTheme="minorHAnsi" w:hAnsiTheme="minorHAnsi" w:cstheme="minorHAnsi"/>
                <w:noProof/>
                <w:webHidden/>
              </w:rPr>
              <w:tab/>
            </w:r>
            <w:r w:rsidR="00E55BB6" w:rsidRPr="00E55BB6">
              <w:rPr>
                <w:rFonts w:asciiTheme="minorHAnsi" w:hAnsiTheme="minorHAnsi" w:cstheme="minorHAnsi"/>
                <w:noProof/>
                <w:webHidden/>
              </w:rPr>
              <w:fldChar w:fldCharType="begin"/>
            </w:r>
            <w:r w:rsidR="00E55BB6" w:rsidRPr="00E55BB6">
              <w:rPr>
                <w:rFonts w:asciiTheme="minorHAnsi" w:hAnsiTheme="minorHAnsi" w:cstheme="minorHAnsi"/>
                <w:noProof/>
                <w:webHidden/>
              </w:rPr>
              <w:instrText xml:space="preserve"> PAGEREF _Toc528653259 \h </w:instrText>
            </w:r>
            <w:r w:rsidR="00E55BB6" w:rsidRPr="00E55BB6">
              <w:rPr>
                <w:rFonts w:asciiTheme="minorHAnsi" w:hAnsiTheme="minorHAnsi" w:cstheme="minorHAnsi"/>
                <w:noProof/>
                <w:webHidden/>
              </w:rPr>
            </w:r>
            <w:r w:rsidR="00E55BB6" w:rsidRPr="00E55BB6">
              <w:rPr>
                <w:rFonts w:asciiTheme="minorHAnsi" w:hAnsiTheme="minorHAnsi" w:cstheme="minorHAnsi"/>
                <w:noProof/>
                <w:webHidden/>
              </w:rPr>
              <w:fldChar w:fldCharType="separate"/>
            </w:r>
            <w:r w:rsidR="00E55BB6" w:rsidRPr="00E55BB6">
              <w:rPr>
                <w:rFonts w:asciiTheme="minorHAnsi" w:hAnsiTheme="minorHAnsi" w:cstheme="minorHAnsi"/>
                <w:noProof/>
                <w:webHidden/>
              </w:rPr>
              <w:t>15</w:t>
            </w:r>
            <w:r w:rsidR="00E55BB6" w:rsidRPr="00E55BB6">
              <w:rPr>
                <w:rFonts w:asciiTheme="minorHAnsi" w:hAnsiTheme="minorHAnsi" w:cstheme="minorHAnsi"/>
                <w:noProof/>
                <w:webHidden/>
              </w:rPr>
              <w:fldChar w:fldCharType="end"/>
            </w:r>
          </w:hyperlink>
        </w:p>
        <w:p w14:paraId="7EF26F19" w14:textId="77777777" w:rsidR="00E55BB6" w:rsidRPr="00E55BB6" w:rsidRDefault="00B3679C">
          <w:pPr>
            <w:pStyle w:val="TOC2"/>
            <w:tabs>
              <w:tab w:val="left" w:pos="880"/>
              <w:tab w:val="right" w:leader="dot" w:pos="9485"/>
            </w:tabs>
            <w:rPr>
              <w:rFonts w:asciiTheme="minorHAnsi" w:hAnsiTheme="minorHAnsi" w:cstheme="minorHAnsi"/>
              <w:noProof/>
              <w:lang w:eastAsia="en-AU"/>
            </w:rPr>
          </w:pPr>
          <w:hyperlink w:anchor="_Toc528653260" w:history="1">
            <w:r w:rsidR="00E55BB6" w:rsidRPr="00E55BB6">
              <w:rPr>
                <w:rStyle w:val="Hyperlink"/>
                <w:rFonts w:asciiTheme="minorHAnsi" w:hAnsiTheme="minorHAnsi" w:cstheme="minorHAnsi"/>
                <w:noProof/>
              </w:rPr>
              <w:t>4.4</w:t>
            </w:r>
            <w:r w:rsidR="00E55BB6" w:rsidRPr="00E55BB6">
              <w:rPr>
                <w:rFonts w:asciiTheme="minorHAnsi" w:hAnsiTheme="minorHAnsi" w:cstheme="minorHAnsi"/>
                <w:noProof/>
                <w:lang w:eastAsia="en-AU"/>
              </w:rPr>
              <w:tab/>
            </w:r>
            <w:r w:rsidR="00E55BB6" w:rsidRPr="00E55BB6">
              <w:rPr>
                <w:rStyle w:val="Hyperlink"/>
                <w:rFonts w:asciiTheme="minorHAnsi" w:hAnsiTheme="minorHAnsi" w:cstheme="minorHAnsi"/>
                <w:noProof/>
              </w:rPr>
              <w:t>Conflict of interest management</w:t>
            </w:r>
            <w:r w:rsidR="00E55BB6" w:rsidRPr="00E55BB6">
              <w:rPr>
                <w:rFonts w:asciiTheme="minorHAnsi" w:hAnsiTheme="minorHAnsi" w:cstheme="minorHAnsi"/>
                <w:noProof/>
                <w:webHidden/>
              </w:rPr>
              <w:tab/>
            </w:r>
            <w:r w:rsidR="00E55BB6" w:rsidRPr="00E55BB6">
              <w:rPr>
                <w:rFonts w:asciiTheme="minorHAnsi" w:hAnsiTheme="minorHAnsi" w:cstheme="minorHAnsi"/>
                <w:noProof/>
                <w:webHidden/>
              </w:rPr>
              <w:fldChar w:fldCharType="begin"/>
            </w:r>
            <w:r w:rsidR="00E55BB6" w:rsidRPr="00E55BB6">
              <w:rPr>
                <w:rFonts w:asciiTheme="minorHAnsi" w:hAnsiTheme="minorHAnsi" w:cstheme="minorHAnsi"/>
                <w:noProof/>
                <w:webHidden/>
              </w:rPr>
              <w:instrText xml:space="preserve"> PAGEREF _Toc528653260 \h </w:instrText>
            </w:r>
            <w:r w:rsidR="00E55BB6" w:rsidRPr="00E55BB6">
              <w:rPr>
                <w:rFonts w:asciiTheme="minorHAnsi" w:hAnsiTheme="minorHAnsi" w:cstheme="minorHAnsi"/>
                <w:noProof/>
                <w:webHidden/>
              </w:rPr>
            </w:r>
            <w:r w:rsidR="00E55BB6" w:rsidRPr="00E55BB6">
              <w:rPr>
                <w:rFonts w:asciiTheme="minorHAnsi" w:hAnsiTheme="minorHAnsi" w:cstheme="minorHAnsi"/>
                <w:noProof/>
                <w:webHidden/>
              </w:rPr>
              <w:fldChar w:fldCharType="separate"/>
            </w:r>
            <w:r w:rsidR="00E55BB6" w:rsidRPr="00E55BB6">
              <w:rPr>
                <w:rFonts w:asciiTheme="minorHAnsi" w:hAnsiTheme="minorHAnsi" w:cstheme="minorHAnsi"/>
                <w:noProof/>
                <w:webHidden/>
              </w:rPr>
              <w:t>15</w:t>
            </w:r>
            <w:r w:rsidR="00E55BB6" w:rsidRPr="00E55BB6">
              <w:rPr>
                <w:rFonts w:asciiTheme="minorHAnsi" w:hAnsiTheme="minorHAnsi" w:cstheme="minorHAnsi"/>
                <w:noProof/>
                <w:webHidden/>
              </w:rPr>
              <w:fldChar w:fldCharType="end"/>
            </w:r>
          </w:hyperlink>
        </w:p>
        <w:p w14:paraId="359D20D2" w14:textId="77777777" w:rsidR="00E55BB6" w:rsidRPr="00E55BB6" w:rsidRDefault="00B3679C">
          <w:pPr>
            <w:pStyle w:val="TOC2"/>
            <w:tabs>
              <w:tab w:val="left" w:pos="880"/>
              <w:tab w:val="right" w:leader="dot" w:pos="9485"/>
            </w:tabs>
            <w:rPr>
              <w:rFonts w:asciiTheme="minorHAnsi" w:hAnsiTheme="minorHAnsi" w:cstheme="minorHAnsi"/>
              <w:noProof/>
              <w:lang w:eastAsia="en-AU"/>
            </w:rPr>
          </w:pPr>
          <w:hyperlink w:anchor="_Toc528653261" w:history="1">
            <w:r w:rsidR="00E55BB6" w:rsidRPr="00E55BB6">
              <w:rPr>
                <w:rStyle w:val="Hyperlink"/>
                <w:rFonts w:asciiTheme="minorHAnsi" w:hAnsiTheme="minorHAnsi" w:cstheme="minorHAnsi"/>
                <w:noProof/>
              </w:rPr>
              <w:t>4.5</w:t>
            </w:r>
            <w:r w:rsidR="00E55BB6" w:rsidRPr="00E55BB6">
              <w:rPr>
                <w:rFonts w:asciiTheme="minorHAnsi" w:hAnsiTheme="minorHAnsi" w:cstheme="minorHAnsi"/>
                <w:noProof/>
                <w:lang w:eastAsia="en-AU"/>
              </w:rPr>
              <w:tab/>
            </w:r>
            <w:r w:rsidR="00E55BB6" w:rsidRPr="00E55BB6">
              <w:rPr>
                <w:rStyle w:val="Hyperlink"/>
                <w:rFonts w:asciiTheme="minorHAnsi" w:hAnsiTheme="minorHAnsi" w:cstheme="minorHAnsi"/>
                <w:noProof/>
              </w:rPr>
              <w:t>Compliance plans</w:t>
            </w:r>
            <w:r w:rsidR="00E55BB6" w:rsidRPr="00E55BB6">
              <w:rPr>
                <w:rFonts w:asciiTheme="minorHAnsi" w:hAnsiTheme="minorHAnsi" w:cstheme="minorHAnsi"/>
                <w:noProof/>
                <w:webHidden/>
              </w:rPr>
              <w:tab/>
            </w:r>
            <w:r w:rsidR="00E55BB6" w:rsidRPr="00E55BB6">
              <w:rPr>
                <w:rFonts w:asciiTheme="minorHAnsi" w:hAnsiTheme="minorHAnsi" w:cstheme="minorHAnsi"/>
                <w:noProof/>
                <w:webHidden/>
              </w:rPr>
              <w:fldChar w:fldCharType="begin"/>
            </w:r>
            <w:r w:rsidR="00E55BB6" w:rsidRPr="00E55BB6">
              <w:rPr>
                <w:rFonts w:asciiTheme="minorHAnsi" w:hAnsiTheme="minorHAnsi" w:cstheme="minorHAnsi"/>
                <w:noProof/>
                <w:webHidden/>
              </w:rPr>
              <w:instrText xml:space="preserve"> PAGEREF _Toc528653261 \h </w:instrText>
            </w:r>
            <w:r w:rsidR="00E55BB6" w:rsidRPr="00E55BB6">
              <w:rPr>
                <w:rFonts w:asciiTheme="minorHAnsi" w:hAnsiTheme="minorHAnsi" w:cstheme="minorHAnsi"/>
                <w:noProof/>
                <w:webHidden/>
              </w:rPr>
            </w:r>
            <w:r w:rsidR="00E55BB6" w:rsidRPr="00E55BB6">
              <w:rPr>
                <w:rFonts w:asciiTheme="minorHAnsi" w:hAnsiTheme="minorHAnsi" w:cstheme="minorHAnsi"/>
                <w:noProof/>
                <w:webHidden/>
              </w:rPr>
              <w:fldChar w:fldCharType="separate"/>
            </w:r>
            <w:r w:rsidR="00E55BB6" w:rsidRPr="00E55BB6">
              <w:rPr>
                <w:rFonts w:asciiTheme="minorHAnsi" w:hAnsiTheme="minorHAnsi" w:cstheme="minorHAnsi"/>
                <w:noProof/>
                <w:webHidden/>
              </w:rPr>
              <w:t>15</w:t>
            </w:r>
            <w:r w:rsidR="00E55BB6" w:rsidRPr="00E55BB6">
              <w:rPr>
                <w:rFonts w:asciiTheme="minorHAnsi" w:hAnsiTheme="minorHAnsi" w:cstheme="minorHAnsi"/>
                <w:noProof/>
                <w:webHidden/>
              </w:rPr>
              <w:fldChar w:fldCharType="end"/>
            </w:r>
          </w:hyperlink>
        </w:p>
        <w:p w14:paraId="6800F32D" w14:textId="77777777" w:rsidR="00E55BB6" w:rsidRPr="00E55BB6" w:rsidRDefault="00B3679C">
          <w:pPr>
            <w:pStyle w:val="TOC2"/>
            <w:tabs>
              <w:tab w:val="left" w:pos="880"/>
              <w:tab w:val="right" w:leader="dot" w:pos="9485"/>
            </w:tabs>
            <w:rPr>
              <w:rFonts w:asciiTheme="minorHAnsi" w:hAnsiTheme="minorHAnsi" w:cstheme="minorHAnsi"/>
              <w:noProof/>
              <w:lang w:eastAsia="en-AU"/>
            </w:rPr>
          </w:pPr>
          <w:hyperlink w:anchor="_Toc528653262" w:history="1">
            <w:r w:rsidR="00E55BB6" w:rsidRPr="00E55BB6">
              <w:rPr>
                <w:rStyle w:val="Hyperlink"/>
                <w:rFonts w:asciiTheme="minorHAnsi" w:hAnsiTheme="minorHAnsi" w:cstheme="minorHAnsi"/>
                <w:noProof/>
              </w:rPr>
              <w:t>4.6</w:t>
            </w:r>
            <w:r w:rsidR="00E55BB6" w:rsidRPr="00E55BB6">
              <w:rPr>
                <w:rFonts w:asciiTheme="minorHAnsi" w:hAnsiTheme="minorHAnsi" w:cstheme="minorHAnsi"/>
                <w:noProof/>
                <w:lang w:eastAsia="en-AU"/>
              </w:rPr>
              <w:tab/>
            </w:r>
            <w:r w:rsidR="00E55BB6" w:rsidRPr="00E55BB6">
              <w:rPr>
                <w:rStyle w:val="Hyperlink"/>
                <w:rFonts w:asciiTheme="minorHAnsi" w:hAnsiTheme="minorHAnsi" w:cstheme="minorHAnsi"/>
                <w:noProof/>
              </w:rPr>
              <w:t>Insurance certificates of currency</w:t>
            </w:r>
            <w:r w:rsidR="00E55BB6" w:rsidRPr="00E55BB6">
              <w:rPr>
                <w:rFonts w:asciiTheme="minorHAnsi" w:hAnsiTheme="minorHAnsi" w:cstheme="minorHAnsi"/>
                <w:noProof/>
                <w:webHidden/>
              </w:rPr>
              <w:tab/>
            </w:r>
            <w:r w:rsidR="00E55BB6" w:rsidRPr="00E55BB6">
              <w:rPr>
                <w:rFonts w:asciiTheme="minorHAnsi" w:hAnsiTheme="minorHAnsi" w:cstheme="minorHAnsi"/>
                <w:noProof/>
                <w:webHidden/>
              </w:rPr>
              <w:fldChar w:fldCharType="begin"/>
            </w:r>
            <w:r w:rsidR="00E55BB6" w:rsidRPr="00E55BB6">
              <w:rPr>
                <w:rFonts w:asciiTheme="minorHAnsi" w:hAnsiTheme="minorHAnsi" w:cstheme="minorHAnsi"/>
                <w:noProof/>
                <w:webHidden/>
              </w:rPr>
              <w:instrText xml:space="preserve"> PAGEREF _Toc528653262 \h </w:instrText>
            </w:r>
            <w:r w:rsidR="00E55BB6" w:rsidRPr="00E55BB6">
              <w:rPr>
                <w:rFonts w:asciiTheme="minorHAnsi" w:hAnsiTheme="minorHAnsi" w:cstheme="minorHAnsi"/>
                <w:noProof/>
                <w:webHidden/>
              </w:rPr>
            </w:r>
            <w:r w:rsidR="00E55BB6" w:rsidRPr="00E55BB6">
              <w:rPr>
                <w:rFonts w:asciiTheme="minorHAnsi" w:hAnsiTheme="minorHAnsi" w:cstheme="minorHAnsi"/>
                <w:noProof/>
                <w:webHidden/>
              </w:rPr>
              <w:fldChar w:fldCharType="separate"/>
            </w:r>
            <w:r w:rsidR="00E55BB6" w:rsidRPr="00E55BB6">
              <w:rPr>
                <w:rFonts w:asciiTheme="minorHAnsi" w:hAnsiTheme="minorHAnsi" w:cstheme="minorHAnsi"/>
                <w:noProof/>
                <w:webHidden/>
              </w:rPr>
              <w:t>16</w:t>
            </w:r>
            <w:r w:rsidR="00E55BB6" w:rsidRPr="00E55BB6">
              <w:rPr>
                <w:rFonts w:asciiTheme="minorHAnsi" w:hAnsiTheme="minorHAnsi" w:cstheme="minorHAnsi"/>
                <w:noProof/>
                <w:webHidden/>
              </w:rPr>
              <w:fldChar w:fldCharType="end"/>
            </w:r>
          </w:hyperlink>
        </w:p>
        <w:p w14:paraId="077DEBDA" w14:textId="77777777" w:rsidR="00E55BB6" w:rsidRPr="00E55BB6" w:rsidRDefault="00B3679C">
          <w:pPr>
            <w:pStyle w:val="TOC1"/>
            <w:tabs>
              <w:tab w:val="right" w:leader="dot" w:pos="9485"/>
            </w:tabs>
            <w:rPr>
              <w:rFonts w:asciiTheme="minorHAnsi" w:hAnsiTheme="minorHAnsi" w:cstheme="minorHAnsi"/>
              <w:b w:val="0"/>
              <w:noProof/>
              <w:sz w:val="22"/>
              <w:lang w:eastAsia="en-AU"/>
            </w:rPr>
          </w:pPr>
          <w:hyperlink w:anchor="_Toc528653263" w:history="1">
            <w:r w:rsidR="00E55BB6" w:rsidRPr="00E55BB6">
              <w:rPr>
                <w:rStyle w:val="Hyperlink"/>
                <w:rFonts w:asciiTheme="minorHAnsi" w:hAnsiTheme="minorHAnsi" w:cstheme="minorHAnsi"/>
                <w:noProof/>
              </w:rPr>
              <w:t>Appendices</w:t>
            </w:r>
            <w:r w:rsidR="00E55BB6" w:rsidRPr="00E55BB6">
              <w:rPr>
                <w:rFonts w:asciiTheme="minorHAnsi" w:hAnsiTheme="minorHAnsi" w:cstheme="minorHAnsi"/>
                <w:noProof/>
                <w:webHidden/>
              </w:rPr>
              <w:tab/>
            </w:r>
            <w:r w:rsidR="00E55BB6" w:rsidRPr="00E55BB6">
              <w:rPr>
                <w:rFonts w:asciiTheme="minorHAnsi" w:hAnsiTheme="minorHAnsi" w:cstheme="minorHAnsi"/>
                <w:noProof/>
                <w:webHidden/>
              </w:rPr>
              <w:fldChar w:fldCharType="begin"/>
            </w:r>
            <w:r w:rsidR="00E55BB6" w:rsidRPr="00E55BB6">
              <w:rPr>
                <w:rFonts w:asciiTheme="minorHAnsi" w:hAnsiTheme="minorHAnsi" w:cstheme="minorHAnsi"/>
                <w:noProof/>
                <w:webHidden/>
              </w:rPr>
              <w:instrText xml:space="preserve"> PAGEREF _Toc528653263 \h </w:instrText>
            </w:r>
            <w:r w:rsidR="00E55BB6" w:rsidRPr="00E55BB6">
              <w:rPr>
                <w:rFonts w:asciiTheme="minorHAnsi" w:hAnsiTheme="minorHAnsi" w:cstheme="minorHAnsi"/>
                <w:noProof/>
                <w:webHidden/>
              </w:rPr>
            </w:r>
            <w:r w:rsidR="00E55BB6" w:rsidRPr="00E55BB6">
              <w:rPr>
                <w:rFonts w:asciiTheme="minorHAnsi" w:hAnsiTheme="minorHAnsi" w:cstheme="minorHAnsi"/>
                <w:noProof/>
                <w:webHidden/>
              </w:rPr>
              <w:fldChar w:fldCharType="separate"/>
            </w:r>
            <w:r w:rsidR="00E55BB6" w:rsidRPr="00E55BB6">
              <w:rPr>
                <w:rFonts w:asciiTheme="minorHAnsi" w:hAnsiTheme="minorHAnsi" w:cstheme="minorHAnsi"/>
                <w:noProof/>
                <w:webHidden/>
              </w:rPr>
              <w:t>17</w:t>
            </w:r>
            <w:r w:rsidR="00E55BB6" w:rsidRPr="00E55BB6">
              <w:rPr>
                <w:rFonts w:asciiTheme="minorHAnsi" w:hAnsiTheme="minorHAnsi" w:cstheme="minorHAnsi"/>
                <w:noProof/>
                <w:webHidden/>
              </w:rPr>
              <w:fldChar w:fldCharType="end"/>
            </w:r>
          </w:hyperlink>
        </w:p>
        <w:p w14:paraId="04CDD042" w14:textId="77777777" w:rsidR="00E55BB6" w:rsidRPr="00E55BB6" w:rsidRDefault="00B3679C">
          <w:pPr>
            <w:pStyle w:val="TOC2"/>
            <w:tabs>
              <w:tab w:val="left" w:pos="660"/>
              <w:tab w:val="right" w:leader="dot" w:pos="9485"/>
            </w:tabs>
            <w:rPr>
              <w:rFonts w:asciiTheme="minorHAnsi" w:hAnsiTheme="minorHAnsi" w:cstheme="minorHAnsi"/>
              <w:noProof/>
              <w:lang w:eastAsia="en-AU"/>
            </w:rPr>
          </w:pPr>
          <w:hyperlink w:anchor="_Toc528653264" w:history="1">
            <w:r w:rsidR="00E55BB6" w:rsidRPr="00E55BB6">
              <w:rPr>
                <w:rStyle w:val="Hyperlink"/>
                <w:rFonts w:asciiTheme="minorHAnsi" w:hAnsiTheme="minorHAnsi" w:cstheme="minorHAnsi"/>
                <w:noProof/>
              </w:rPr>
              <w:t>A.</w:t>
            </w:r>
            <w:r w:rsidR="00E55BB6" w:rsidRPr="00E55BB6">
              <w:rPr>
                <w:rFonts w:asciiTheme="minorHAnsi" w:hAnsiTheme="minorHAnsi" w:cstheme="minorHAnsi"/>
                <w:noProof/>
                <w:lang w:eastAsia="en-AU"/>
              </w:rPr>
              <w:tab/>
            </w:r>
            <w:r w:rsidR="00E55BB6" w:rsidRPr="00E55BB6">
              <w:rPr>
                <w:rStyle w:val="Hyperlink"/>
                <w:rFonts w:asciiTheme="minorHAnsi" w:hAnsiTheme="minorHAnsi" w:cstheme="minorHAnsi"/>
                <w:noProof/>
              </w:rPr>
              <w:t>Engagement objectives and scope</w:t>
            </w:r>
            <w:r w:rsidR="00E55BB6" w:rsidRPr="00E55BB6">
              <w:rPr>
                <w:rFonts w:asciiTheme="minorHAnsi" w:hAnsiTheme="minorHAnsi" w:cstheme="minorHAnsi"/>
                <w:noProof/>
                <w:webHidden/>
              </w:rPr>
              <w:tab/>
            </w:r>
            <w:r w:rsidR="00E55BB6" w:rsidRPr="00E55BB6">
              <w:rPr>
                <w:rFonts w:asciiTheme="minorHAnsi" w:hAnsiTheme="minorHAnsi" w:cstheme="minorHAnsi"/>
                <w:noProof/>
                <w:webHidden/>
              </w:rPr>
              <w:fldChar w:fldCharType="begin"/>
            </w:r>
            <w:r w:rsidR="00E55BB6" w:rsidRPr="00E55BB6">
              <w:rPr>
                <w:rFonts w:asciiTheme="minorHAnsi" w:hAnsiTheme="minorHAnsi" w:cstheme="minorHAnsi"/>
                <w:noProof/>
                <w:webHidden/>
              </w:rPr>
              <w:instrText xml:space="preserve"> PAGEREF _Toc528653264 \h </w:instrText>
            </w:r>
            <w:r w:rsidR="00E55BB6" w:rsidRPr="00E55BB6">
              <w:rPr>
                <w:rFonts w:asciiTheme="minorHAnsi" w:hAnsiTheme="minorHAnsi" w:cstheme="minorHAnsi"/>
                <w:noProof/>
                <w:webHidden/>
              </w:rPr>
            </w:r>
            <w:r w:rsidR="00E55BB6" w:rsidRPr="00E55BB6">
              <w:rPr>
                <w:rFonts w:asciiTheme="minorHAnsi" w:hAnsiTheme="minorHAnsi" w:cstheme="minorHAnsi"/>
                <w:noProof/>
                <w:webHidden/>
              </w:rPr>
              <w:fldChar w:fldCharType="separate"/>
            </w:r>
            <w:r w:rsidR="00E55BB6" w:rsidRPr="00E55BB6">
              <w:rPr>
                <w:rFonts w:asciiTheme="minorHAnsi" w:hAnsiTheme="minorHAnsi" w:cstheme="minorHAnsi"/>
                <w:noProof/>
                <w:webHidden/>
              </w:rPr>
              <w:t>17</w:t>
            </w:r>
            <w:r w:rsidR="00E55BB6" w:rsidRPr="00E55BB6">
              <w:rPr>
                <w:rFonts w:asciiTheme="minorHAnsi" w:hAnsiTheme="minorHAnsi" w:cstheme="minorHAnsi"/>
                <w:noProof/>
                <w:webHidden/>
              </w:rPr>
              <w:fldChar w:fldCharType="end"/>
            </w:r>
          </w:hyperlink>
        </w:p>
        <w:p w14:paraId="66BB2115" w14:textId="77777777" w:rsidR="00E55BB6" w:rsidRPr="00E55BB6" w:rsidRDefault="00B3679C">
          <w:pPr>
            <w:pStyle w:val="TOC2"/>
            <w:tabs>
              <w:tab w:val="left" w:pos="660"/>
              <w:tab w:val="right" w:leader="dot" w:pos="9485"/>
            </w:tabs>
            <w:rPr>
              <w:rFonts w:asciiTheme="minorHAnsi" w:hAnsiTheme="minorHAnsi" w:cstheme="minorHAnsi"/>
              <w:noProof/>
              <w:lang w:eastAsia="en-AU"/>
            </w:rPr>
          </w:pPr>
          <w:hyperlink w:anchor="_Toc528653265" w:history="1">
            <w:r w:rsidR="00E55BB6" w:rsidRPr="00E55BB6">
              <w:rPr>
                <w:rStyle w:val="Hyperlink"/>
                <w:rFonts w:asciiTheme="minorHAnsi" w:hAnsiTheme="minorHAnsi" w:cstheme="minorHAnsi"/>
                <w:noProof/>
              </w:rPr>
              <w:t>B.</w:t>
            </w:r>
            <w:r w:rsidR="00E55BB6" w:rsidRPr="00E55BB6">
              <w:rPr>
                <w:rFonts w:asciiTheme="minorHAnsi" w:hAnsiTheme="minorHAnsi" w:cstheme="minorHAnsi"/>
                <w:noProof/>
                <w:lang w:eastAsia="en-AU"/>
              </w:rPr>
              <w:tab/>
            </w:r>
            <w:r w:rsidR="00E55BB6" w:rsidRPr="00E55BB6">
              <w:rPr>
                <w:rStyle w:val="Hyperlink"/>
                <w:rFonts w:asciiTheme="minorHAnsi" w:hAnsiTheme="minorHAnsi" w:cstheme="minorHAnsi"/>
                <w:noProof/>
              </w:rPr>
              <w:t>Approach</w:t>
            </w:r>
            <w:r w:rsidR="00E55BB6" w:rsidRPr="00E55BB6">
              <w:rPr>
                <w:rFonts w:asciiTheme="minorHAnsi" w:hAnsiTheme="minorHAnsi" w:cstheme="minorHAnsi"/>
                <w:noProof/>
                <w:webHidden/>
              </w:rPr>
              <w:tab/>
            </w:r>
            <w:r w:rsidR="00E55BB6" w:rsidRPr="00E55BB6">
              <w:rPr>
                <w:rFonts w:asciiTheme="minorHAnsi" w:hAnsiTheme="minorHAnsi" w:cstheme="minorHAnsi"/>
                <w:noProof/>
                <w:webHidden/>
              </w:rPr>
              <w:fldChar w:fldCharType="begin"/>
            </w:r>
            <w:r w:rsidR="00E55BB6" w:rsidRPr="00E55BB6">
              <w:rPr>
                <w:rFonts w:asciiTheme="minorHAnsi" w:hAnsiTheme="minorHAnsi" w:cstheme="minorHAnsi"/>
                <w:noProof/>
                <w:webHidden/>
              </w:rPr>
              <w:instrText xml:space="preserve"> PAGEREF _Toc528653265 \h </w:instrText>
            </w:r>
            <w:r w:rsidR="00E55BB6" w:rsidRPr="00E55BB6">
              <w:rPr>
                <w:rFonts w:asciiTheme="minorHAnsi" w:hAnsiTheme="minorHAnsi" w:cstheme="minorHAnsi"/>
                <w:noProof/>
                <w:webHidden/>
              </w:rPr>
            </w:r>
            <w:r w:rsidR="00E55BB6" w:rsidRPr="00E55BB6">
              <w:rPr>
                <w:rFonts w:asciiTheme="minorHAnsi" w:hAnsiTheme="minorHAnsi" w:cstheme="minorHAnsi"/>
                <w:noProof/>
                <w:webHidden/>
              </w:rPr>
              <w:fldChar w:fldCharType="separate"/>
            </w:r>
            <w:r w:rsidR="00E55BB6" w:rsidRPr="00E55BB6">
              <w:rPr>
                <w:rFonts w:asciiTheme="minorHAnsi" w:hAnsiTheme="minorHAnsi" w:cstheme="minorHAnsi"/>
                <w:noProof/>
                <w:webHidden/>
              </w:rPr>
              <w:t>18</w:t>
            </w:r>
            <w:r w:rsidR="00E55BB6" w:rsidRPr="00E55BB6">
              <w:rPr>
                <w:rFonts w:asciiTheme="minorHAnsi" w:hAnsiTheme="minorHAnsi" w:cstheme="minorHAnsi"/>
                <w:noProof/>
                <w:webHidden/>
              </w:rPr>
              <w:fldChar w:fldCharType="end"/>
            </w:r>
          </w:hyperlink>
        </w:p>
        <w:p w14:paraId="33F109CE" w14:textId="77777777" w:rsidR="00E55BB6" w:rsidRPr="00E55BB6" w:rsidRDefault="00B3679C">
          <w:pPr>
            <w:pStyle w:val="TOC2"/>
            <w:tabs>
              <w:tab w:val="left" w:pos="660"/>
              <w:tab w:val="right" w:leader="dot" w:pos="9485"/>
            </w:tabs>
            <w:rPr>
              <w:rFonts w:asciiTheme="minorHAnsi" w:hAnsiTheme="minorHAnsi" w:cstheme="minorHAnsi"/>
              <w:noProof/>
              <w:lang w:eastAsia="en-AU"/>
            </w:rPr>
          </w:pPr>
          <w:hyperlink w:anchor="_Toc528653266" w:history="1">
            <w:r w:rsidR="00E55BB6" w:rsidRPr="00E55BB6">
              <w:rPr>
                <w:rStyle w:val="Hyperlink"/>
                <w:rFonts w:asciiTheme="minorHAnsi" w:hAnsiTheme="minorHAnsi" w:cstheme="minorHAnsi"/>
                <w:noProof/>
              </w:rPr>
              <w:t>C.</w:t>
            </w:r>
            <w:r w:rsidR="00E55BB6" w:rsidRPr="00E55BB6">
              <w:rPr>
                <w:rFonts w:asciiTheme="minorHAnsi" w:hAnsiTheme="minorHAnsi" w:cstheme="minorHAnsi"/>
                <w:noProof/>
                <w:lang w:eastAsia="en-AU"/>
              </w:rPr>
              <w:tab/>
            </w:r>
            <w:r w:rsidR="00E55BB6" w:rsidRPr="00E55BB6">
              <w:rPr>
                <w:rStyle w:val="Hyperlink"/>
                <w:rFonts w:asciiTheme="minorHAnsi" w:hAnsiTheme="minorHAnsi" w:cstheme="minorHAnsi"/>
                <w:noProof/>
              </w:rPr>
              <w:t>Disclaimer</w:t>
            </w:r>
            <w:r w:rsidR="00E55BB6" w:rsidRPr="00E55BB6">
              <w:rPr>
                <w:rFonts w:asciiTheme="minorHAnsi" w:hAnsiTheme="minorHAnsi" w:cstheme="minorHAnsi"/>
                <w:noProof/>
                <w:webHidden/>
              </w:rPr>
              <w:tab/>
            </w:r>
            <w:r w:rsidR="00E55BB6" w:rsidRPr="00E55BB6">
              <w:rPr>
                <w:rFonts w:asciiTheme="minorHAnsi" w:hAnsiTheme="minorHAnsi" w:cstheme="minorHAnsi"/>
                <w:noProof/>
                <w:webHidden/>
              </w:rPr>
              <w:fldChar w:fldCharType="begin"/>
            </w:r>
            <w:r w:rsidR="00E55BB6" w:rsidRPr="00E55BB6">
              <w:rPr>
                <w:rFonts w:asciiTheme="minorHAnsi" w:hAnsiTheme="minorHAnsi" w:cstheme="minorHAnsi"/>
                <w:noProof/>
                <w:webHidden/>
              </w:rPr>
              <w:instrText xml:space="preserve"> PAGEREF _Toc528653266 \h </w:instrText>
            </w:r>
            <w:r w:rsidR="00E55BB6" w:rsidRPr="00E55BB6">
              <w:rPr>
                <w:rFonts w:asciiTheme="minorHAnsi" w:hAnsiTheme="minorHAnsi" w:cstheme="minorHAnsi"/>
                <w:noProof/>
                <w:webHidden/>
              </w:rPr>
            </w:r>
            <w:r w:rsidR="00E55BB6" w:rsidRPr="00E55BB6">
              <w:rPr>
                <w:rFonts w:asciiTheme="minorHAnsi" w:hAnsiTheme="minorHAnsi" w:cstheme="minorHAnsi"/>
                <w:noProof/>
                <w:webHidden/>
              </w:rPr>
              <w:fldChar w:fldCharType="separate"/>
            </w:r>
            <w:r w:rsidR="00E55BB6" w:rsidRPr="00E55BB6">
              <w:rPr>
                <w:rFonts w:asciiTheme="minorHAnsi" w:hAnsiTheme="minorHAnsi" w:cstheme="minorHAnsi"/>
                <w:noProof/>
                <w:webHidden/>
              </w:rPr>
              <w:t>19</w:t>
            </w:r>
            <w:r w:rsidR="00E55BB6" w:rsidRPr="00E55BB6">
              <w:rPr>
                <w:rFonts w:asciiTheme="minorHAnsi" w:hAnsiTheme="minorHAnsi" w:cstheme="minorHAnsi"/>
                <w:noProof/>
                <w:webHidden/>
              </w:rPr>
              <w:fldChar w:fldCharType="end"/>
            </w:r>
          </w:hyperlink>
        </w:p>
        <w:p w14:paraId="5238F331" w14:textId="6FF9DF59" w:rsidR="002A20A1" w:rsidRPr="00E55BB6" w:rsidRDefault="002A20A1" w:rsidP="002A20A1">
          <w:pPr>
            <w:spacing w:before="60" w:after="60" w:line="240" w:lineRule="auto"/>
            <w:rPr>
              <w:rFonts w:cstheme="minorHAnsi"/>
            </w:rPr>
          </w:pPr>
          <w:r w:rsidRPr="00E55BB6">
            <w:rPr>
              <w:rFonts w:cstheme="minorHAnsi"/>
              <w:b/>
            </w:rPr>
            <w:fldChar w:fldCharType="end"/>
          </w:r>
        </w:p>
      </w:sdtContent>
    </w:sdt>
    <w:p w14:paraId="6DD678CA" w14:textId="77777777" w:rsidR="002A20A1" w:rsidRPr="00E55BB6" w:rsidRDefault="002A20A1" w:rsidP="00336886">
      <w:pPr>
        <w:pStyle w:val="Heading1"/>
        <w:rPr>
          <w:rFonts w:asciiTheme="minorHAnsi" w:hAnsiTheme="minorHAnsi" w:cstheme="minorHAnsi"/>
        </w:rPr>
        <w:sectPr w:rsidR="002A20A1" w:rsidRPr="00E55BB6" w:rsidSect="00313005">
          <w:headerReference w:type="default" r:id="rId15"/>
          <w:footerReference w:type="default" r:id="rId16"/>
          <w:pgSz w:w="11906" w:h="16838"/>
          <w:pgMar w:top="1387" w:right="851" w:bottom="1843" w:left="1560" w:header="568" w:footer="315" w:gutter="0"/>
          <w:cols w:space="425"/>
          <w:docGrid w:linePitch="360"/>
        </w:sectPr>
      </w:pPr>
    </w:p>
    <w:p w14:paraId="57E4BCFD" w14:textId="77777777" w:rsidR="00336886" w:rsidRPr="00043245" w:rsidRDefault="00336886" w:rsidP="00336886">
      <w:pPr>
        <w:pStyle w:val="Heading1"/>
        <w:rPr>
          <w:rFonts w:asciiTheme="minorHAnsi" w:hAnsiTheme="minorHAnsi" w:cstheme="minorHAnsi"/>
          <w:sz w:val="72"/>
        </w:rPr>
      </w:pPr>
      <w:bookmarkStart w:id="6" w:name="_Toc528653241"/>
      <w:r w:rsidRPr="00043245">
        <w:rPr>
          <w:rFonts w:asciiTheme="minorHAnsi" w:hAnsiTheme="minorHAnsi" w:cstheme="minorHAnsi"/>
          <w:sz w:val="72"/>
        </w:rPr>
        <w:lastRenderedPageBreak/>
        <w:t>Executive Summary</w:t>
      </w:r>
      <w:bookmarkEnd w:id="6"/>
    </w:p>
    <w:p w14:paraId="7D332D6B" w14:textId="056D98BD" w:rsidR="00AC5F8F" w:rsidRPr="00043245" w:rsidRDefault="00AC5F8F" w:rsidP="00F74EDA">
      <w:pPr>
        <w:spacing w:before="120" w:after="120" w:line="240" w:lineRule="auto"/>
        <w:rPr>
          <w:rFonts w:cstheme="minorHAnsi"/>
          <w:sz w:val="20"/>
          <w:szCs w:val="20"/>
        </w:rPr>
      </w:pPr>
      <w:r w:rsidRPr="00043245">
        <w:rPr>
          <w:rFonts w:cstheme="minorHAnsi"/>
          <w:sz w:val="20"/>
          <w:szCs w:val="20"/>
        </w:rPr>
        <w:t xml:space="preserve">This review focuses on the Healthy </w:t>
      </w:r>
      <w:proofErr w:type="spellStart"/>
      <w:r w:rsidRPr="00043245">
        <w:rPr>
          <w:rFonts w:cstheme="minorHAnsi"/>
          <w:sz w:val="20"/>
          <w:szCs w:val="20"/>
        </w:rPr>
        <w:t>HeadWaters</w:t>
      </w:r>
      <w:proofErr w:type="spellEnd"/>
      <w:r w:rsidRPr="00043245">
        <w:rPr>
          <w:rFonts w:cstheme="minorHAnsi"/>
          <w:sz w:val="20"/>
          <w:szCs w:val="20"/>
        </w:rPr>
        <w:t xml:space="preserve"> Water Use Efficiency State Priority Project </w:t>
      </w:r>
      <w:r w:rsidR="00EB350D" w:rsidRPr="00043245">
        <w:rPr>
          <w:rFonts w:cstheme="minorHAnsi"/>
          <w:sz w:val="20"/>
          <w:szCs w:val="20"/>
        </w:rPr>
        <w:t xml:space="preserve">(HHWUE project) </w:t>
      </w:r>
      <w:r w:rsidRPr="00043245">
        <w:rPr>
          <w:rFonts w:cstheme="minorHAnsi"/>
          <w:sz w:val="20"/>
          <w:szCs w:val="20"/>
        </w:rPr>
        <w:t>administered by the Queensland Government Department of Natural Resources, Mines and Energy (DNRME)</w:t>
      </w:r>
      <w:r w:rsidR="00EB350D" w:rsidRPr="00043245">
        <w:rPr>
          <w:rFonts w:cstheme="minorHAnsi"/>
          <w:sz w:val="20"/>
          <w:szCs w:val="20"/>
        </w:rPr>
        <w:t>. The HHWUE project is</w:t>
      </w:r>
      <w:r w:rsidRPr="00043245">
        <w:rPr>
          <w:rFonts w:cstheme="minorHAnsi"/>
          <w:sz w:val="20"/>
          <w:szCs w:val="20"/>
        </w:rPr>
        <w:t xml:space="preserve"> part of a series of State Priority Projects under the Sustainable Rural Water Use and Infrastructure Program</w:t>
      </w:r>
      <w:r w:rsidR="00EB350D" w:rsidRPr="00043245">
        <w:rPr>
          <w:rFonts w:cstheme="minorHAnsi"/>
          <w:sz w:val="20"/>
          <w:szCs w:val="20"/>
        </w:rPr>
        <w:t xml:space="preserve"> administered by the Department of Agriculture and Water Resources (DAWR)</w:t>
      </w:r>
      <w:r w:rsidRPr="00043245">
        <w:rPr>
          <w:rFonts w:cstheme="minorHAnsi"/>
          <w:sz w:val="20"/>
          <w:szCs w:val="20"/>
        </w:rPr>
        <w:t xml:space="preserve">. </w:t>
      </w:r>
    </w:p>
    <w:p w14:paraId="2F625736" w14:textId="7ADD0986" w:rsidR="00485D52" w:rsidRPr="00043245" w:rsidRDefault="00485D52" w:rsidP="00F74EDA">
      <w:pPr>
        <w:spacing w:before="120" w:after="120" w:line="240" w:lineRule="auto"/>
        <w:rPr>
          <w:rFonts w:cstheme="minorHAnsi"/>
          <w:sz w:val="20"/>
          <w:szCs w:val="20"/>
        </w:rPr>
      </w:pPr>
      <w:r w:rsidRPr="00043245">
        <w:rPr>
          <w:rFonts w:cstheme="minorHAnsi"/>
          <w:sz w:val="20"/>
          <w:szCs w:val="20"/>
        </w:rPr>
        <w:t>This review assessed the governance, risk and control processes in place for</w:t>
      </w:r>
      <w:r w:rsidR="006C712C" w:rsidRPr="00043245">
        <w:rPr>
          <w:rFonts w:cstheme="minorHAnsi"/>
          <w:sz w:val="20"/>
          <w:szCs w:val="20"/>
        </w:rPr>
        <w:t xml:space="preserve"> the</w:t>
      </w:r>
      <w:r w:rsidRPr="00043245">
        <w:rPr>
          <w:rFonts w:cstheme="minorHAnsi"/>
          <w:sz w:val="20"/>
          <w:szCs w:val="20"/>
        </w:rPr>
        <w:t xml:space="preserve"> HHWUE State Priority Project to ensure effective use of Commonwealth funds. The review was conducted through a combination of document review, stakeholder consultation and on-</w:t>
      </w:r>
      <w:r w:rsidR="00643E0A" w:rsidRPr="00043245">
        <w:rPr>
          <w:rFonts w:cstheme="minorHAnsi"/>
          <w:sz w:val="20"/>
          <w:szCs w:val="20"/>
        </w:rPr>
        <w:t>farm</w:t>
      </w:r>
      <w:r w:rsidRPr="00043245">
        <w:rPr>
          <w:rFonts w:cstheme="minorHAnsi"/>
          <w:sz w:val="20"/>
          <w:szCs w:val="20"/>
        </w:rPr>
        <w:t xml:space="preserve"> inspection. </w:t>
      </w:r>
    </w:p>
    <w:p w14:paraId="6AB87779" w14:textId="77777777" w:rsidR="00AC5F8F" w:rsidRPr="00043245" w:rsidRDefault="00AC5F8F" w:rsidP="00F74EDA">
      <w:pPr>
        <w:spacing w:before="120" w:after="120" w:line="240" w:lineRule="auto"/>
        <w:rPr>
          <w:rFonts w:cstheme="minorHAnsi"/>
          <w:sz w:val="20"/>
          <w:szCs w:val="20"/>
        </w:rPr>
      </w:pPr>
      <w:r w:rsidRPr="00043245">
        <w:rPr>
          <w:rFonts w:cstheme="minorHAnsi"/>
          <w:sz w:val="20"/>
          <w:szCs w:val="20"/>
        </w:rPr>
        <w:t xml:space="preserve">KPMG selected a sample of 20 approved projects (25% of </w:t>
      </w:r>
      <w:r w:rsidR="00B817AE" w:rsidRPr="00043245">
        <w:rPr>
          <w:rFonts w:cstheme="minorHAnsi"/>
          <w:sz w:val="20"/>
          <w:szCs w:val="20"/>
        </w:rPr>
        <w:t xml:space="preserve">all projects) </w:t>
      </w:r>
      <w:r w:rsidRPr="00043245">
        <w:rPr>
          <w:rFonts w:cstheme="minorHAnsi"/>
          <w:sz w:val="20"/>
          <w:szCs w:val="20"/>
        </w:rPr>
        <w:t xml:space="preserve">for desktop review and </w:t>
      </w:r>
      <w:r w:rsidR="006C712C" w:rsidRPr="00043245">
        <w:rPr>
          <w:rFonts w:cstheme="minorHAnsi"/>
          <w:sz w:val="20"/>
          <w:szCs w:val="20"/>
        </w:rPr>
        <w:t xml:space="preserve">within this </w:t>
      </w:r>
      <w:r w:rsidRPr="00043245">
        <w:rPr>
          <w:rFonts w:cstheme="minorHAnsi"/>
          <w:sz w:val="20"/>
          <w:szCs w:val="20"/>
        </w:rPr>
        <w:t>sample nine projects were selected for on-</w:t>
      </w:r>
      <w:r w:rsidR="00643E0A" w:rsidRPr="00043245">
        <w:rPr>
          <w:rFonts w:cstheme="minorHAnsi"/>
          <w:sz w:val="20"/>
          <w:szCs w:val="20"/>
        </w:rPr>
        <w:t>farm</w:t>
      </w:r>
      <w:r w:rsidRPr="00043245">
        <w:rPr>
          <w:rFonts w:cstheme="minorHAnsi"/>
          <w:sz w:val="20"/>
          <w:szCs w:val="20"/>
        </w:rPr>
        <w:t xml:space="preserve"> verification. The sample </w:t>
      </w:r>
      <w:r w:rsidR="00200DC3" w:rsidRPr="00043245">
        <w:rPr>
          <w:rFonts w:cstheme="minorHAnsi"/>
          <w:sz w:val="20"/>
          <w:szCs w:val="20"/>
        </w:rPr>
        <w:t xml:space="preserve">covered projects ranging in total cost from $100,000 to over $5 million, </w:t>
      </w:r>
      <w:r w:rsidR="00643E0A" w:rsidRPr="00043245">
        <w:rPr>
          <w:rFonts w:cstheme="minorHAnsi"/>
          <w:sz w:val="20"/>
          <w:szCs w:val="20"/>
        </w:rPr>
        <w:t>across the first 11 funding rounds</w:t>
      </w:r>
      <w:r w:rsidR="00200DC3" w:rsidRPr="00043245">
        <w:rPr>
          <w:rFonts w:cstheme="minorHAnsi"/>
          <w:sz w:val="20"/>
          <w:szCs w:val="20"/>
        </w:rPr>
        <w:t xml:space="preserve">, </w:t>
      </w:r>
      <w:r w:rsidR="00643E0A" w:rsidRPr="00043245">
        <w:rPr>
          <w:rFonts w:cstheme="minorHAnsi"/>
          <w:sz w:val="20"/>
          <w:szCs w:val="20"/>
        </w:rPr>
        <w:t>different types of</w:t>
      </w:r>
      <w:r w:rsidR="00200DC3" w:rsidRPr="00043245">
        <w:rPr>
          <w:rFonts w:cstheme="minorHAnsi"/>
          <w:sz w:val="20"/>
          <w:szCs w:val="20"/>
        </w:rPr>
        <w:t xml:space="preserve"> infrastructure works </w:t>
      </w:r>
      <w:r w:rsidR="00B817AE" w:rsidRPr="00043245">
        <w:rPr>
          <w:rFonts w:cstheme="minorHAnsi"/>
          <w:sz w:val="20"/>
          <w:szCs w:val="20"/>
        </w:rPr>
        <w:t>and</w:t>
      </w:r>
      <w:r w:rsidR="00200DC3" w:rsidRPr="00043245">
        <w:rPr>
          <w:rFonts w:cstheme="minorHAnsi"/>
          <w:sz w:val="20"/>
          <w:szCs w:val="20"/>
        </w:rPr>
        <w:t xml:space="preserve"> </w:t>
      </w:r>
      <w:r w:rsidR="00643E0A" w:rsidRPr="00043245">
        <w:rPr>
          <w:rFonts w:cstheme="minorHAnsi"/>
          <w:sz w:val="20"/>
          <w:szCs w:val="20"/>
        </w:rPr>
        <w:t>across a variety of</w:t>
      </w:r>
      <w:r w:rsidR="00200DC3" w:rsidRPr="00043245">
        <w:rPr>
          <w:rFonts w:cstheme="minorHAnsi"/>
          <w:sz w:val="20"/>
          <w:szCs w:val="20"/>
        </w:rPr>
        <w:t xml:space="preserve"> catchment areas</w:t>
      </w:r>
      <w:r w:rsidR="00144C4F" w:rsidRPr="00043245">
        <w:rPr>
          <w:rFonts w:cstheme="minorHAnsi"/>
          <w:sz w:val="20"/>
          <w:szCs w:val="20"/>
        </w:rPr>
        <w:t>.</w:t>
      </w:r>
    </w:p>
    <w:p w14:paraId="41CC5A63" w14:textId="48361865" w:rsidR="00F92E16" w:rsidRPr="00043245" w:rsidRDefault="00AC5F8F" w:rsidP="00F74EDA">
      <w:pPr>
        <w:spacing w:before="120" w:after="120" w:line="240" w:lineRule="auto"/>
        <w:rPr>
          <w:rFonts w:cstheme="minorHAnsi"/>
          <w:sz w:val="20"/>
          <w:szCs w:val="20"/>
        </w:rPr>
      </w:pPr>
      <w:r w:rsidRPr="00043245">
        <w:rPr>
          <w:rFonts w:cstheme="minorHAnsi"/>
          <w:sz w:val="20"/>
          <w:szCs w:val="20"/>
        </w:rPr>
        <w:t>Overall</w:t>
      </w:r>
      <w:r w:rsidR="00323904" w:rsidRPr="00043245">
        <w:rPr>
          <w:rFonts w:cstheme="minorHAnsi"/>
          <w:sz w:val="20"/>
          <w:szCs w:val="20"/>
        </w:rPr>
        <w:t>,</w:t>
      </w:r>
      <w:r w:rsidRPr="00043245">
        <w:rPr>
          <w:rFonts w:cstheme="minorHAnsi"/>
          <w:sz w:val="20"/>
          <w:szCs w:val="20"/>
        </w:rPr>
        <w:t xml:space="preserve"> the</w:t>
      </w:r>
      <w:r w:rsidR="00E93E78" w:rsidRPr="00043245">
        <w:rPr>
          <w:rFonts w:cstheme="minorHAnsi"/>
          <w:sz w:val="20"/>
          <w:szCs w:val="20"/>
        </w:rPr>
        <w:t xml:space="preserve"> r</w:t>
      </w:r>
      <w:r w:rsidRPr="00043245">
        <w:rPr>
          <w:rFonts w:cstheme="minorHAnsi"/>
          <w:sz w:val="20"/>
          <w:szCs w:val="20"/>
        </w:rPr>
        <w:t>eview found that DNRM</w:t>
      </w:r>
      <w:r w:rsidR="00F74EDA" w:rsidRPr="00043245">
        <w:rPr>
          <w:rFonts w:cstheme="minorHAnsi"/>
          <w:sz w:val="20"/>
          <w:szCs w:val="20"/>
        </w:rPr>
        <w:t>E has developed and implemented</w:t>
      </w:r>
      <w:r w:rsidRPr="00043245">
        <w:rPr>
          <w:rFonts w:cstheme="minorHAnsi"/>
          <w:sz w:val="20"/>
          <w:szCs w:val="20"/>
        </w:rPr>
        <w:t xml:space="preserve"> </w:t>
      </w:r>
      <w:r w:rsidR="0000370F" w:rsidRPr="00043245">
        <w:rPr>
          <w:rFonts w:cstheme="minorHAnsi"/>
          <w:sz w:val="20"/>
          <w:szCs w:val="20"/>
        </w:rPr>
        <w:t>appropriate</w:t>
      </w:r>
      <w:r w:rsidRPr="00043245">
        <w:rPr>
          <w:rFonts w:cstheme="minorHAnsi"/>
          <w:sz w:val="20"/>
          <w:szCs w:val="20"/>
        </w:rPr>
        <w:t xml:space="preserve"> controls, processes and structures to assist in the effective administration of the HHWUE project.</w:t>
      </w:r>
      <w:r w:rsidR="00F92E16" w:rsidRPr="00043245">
        <w:rPr>
          <w:rFonts w:cstheme="minorHAnsi"/>
          <w:sz w:val="20"/>
          <w:szCs w:val="20"/>
        </w:rPr>
        <w:t xml:space="preserve"> This included:</w:t>
      </w:r>
    </w:p>
    <w:p w14:paraId="57B4645A" w14:textId="77777777" w:rsidR="00F92E16" w:rsidRPr="00043245" w:rsidRDefault="00F92E16" w:rsidP="00F92E16">
      <w:pPr>
        <w:pStyle w:val="ListParagraph"/>
        <w:numPr>
          <w:ilvl w:val="0"/>
          <w:numId w:val="34"/>
        </w:numPr>
        <w:spacing w:before="120" w:after="120" w:line="240" w:lineRule="auto"/>
        <w:rPr>
          <w:rFonts w:cstheme="minorHAnsi"/>
          <w:sz w:val="20"/>
          <w:szCs w:val="20"/>
        </w:rPr>
      </w:pPr>
      <w:r w:rsidRPr="00043245">
        <w:rPr>
          <w:rFonts w:cstheme="minorHAnsi"/>
          <w:sz w:val="20"/>
          <w:szCs w:val="20"/>
        </w:rPr>
        <w:t>Establishment of relevant governance and reporting mechanisms;</w:t>
      </w:r>
    </w:p>
    <w:p w14:paraId="3E7AA91C" w14:textId="77777777" w:rsidR="00F92E16" w:rsidRPr="00043245" w:rsidRDefault="00F92E16" w:rsidP="00F92E16">
      <w:pPr>
        <w:pStyle w:val="ListParagraph"/>
        <w:numPr>
          <w:ilvl w:val="0"/>
          <w:numId w:val="34"/>
        </w:numPr>
        <w:spacing w:before="120" w:after="120" w:line="240" w:lineRule="auto"/>
        <w:rPr>
          <w:rFonts w:cstheme="minorHAnsi"/>
          <w:sz w:val="20"/>
          <w:szCs w:val="20"/>
        </w:rPr>
      </w:pPr>
      <w:r w:rsidRPr="00043245">
        <w:rPr>
          <w:rFonts w:cstheme="minorHAnsi"/>
          <w:sz w:val="20"/>
          <w:szCs w:val="20"/>
        </w:rPr>
        <w:t>Defined and documented management processes and procedures;</w:t>
      </w:r>
    </w:p>
    <w:p w14:paraId="02B67DE7" w14:textId="77777777" w:rsidR="00F92E16" w:rsidRPr="00043245" w:rsidRDefault="00F92E16" w:rsidP="00F92E16">
      <w:pPr>
        <w:pStyle w:val="ListParagraph"/>
        <w:numPr>
          <w:ilvl w:val="0"/>
          <w:numId w:val="34"/>
        </w:numPr>
        <w:spacing w:before="120" w:after="120" w:line="240" w:lineRule="auto"/>
        <w:rPr>
          <w:rFonts w:cstheme="minorHAnsi"/>
          <w:sz w:val="20"/>
          <w:szCs w:val="20"/>
        </w:rPr>
      </w:pPr>
      <w:r w:rsidRPr="00043245">
        <w:rPr>
          <w:rFonts w:cstheme="minorHAnsi"/>
          <w:sz w:val="20"/>
          <w:szCs w:val="20"/>
        </w:rPr>
        <w:t>Processes and controls to support appropriate use of Commonwealth funds;</w:t>
      </w:r>
    </w:p>
    <w:p w14:paraId="2E08BB85" w14:textId="77777777" w:rsidR="00F92E16" w:rsidRPr="00043245" w:rsidRDefault="00F92E16" w:rsidP="00F92E16">
      <w:pPr>
        <w:pStyle w:val="ListParagraph"/>
        <w:numPr>
          <w:ilvl w:val="0"/>
          <w:numId w:val="34"/>
        </w:numPr>
        <w:spacing w:before="120" w:after="120" w:line="240" w:lineRule="auto"/>
        <w:rPr>
          <w:rFonts w:cstheme="minorHAnsi"/>
          <w:sz w:val="20"/>
          <w:szCs w:val="20"/>
        </w:rPr>
      </w:pPr>
      <w:r w:rsidRPr="00043245">
        <w:rPr>
          <w:rFonts w:cstheme="minorHAnsi"/>
          <w:sz w:val="20"/>
          <w:szCs w:val="20"/>
        </w:rPr>
        <w:t xml:space="preserve">Ongoing management and monitoring of proponent activity; and </w:t>
      </w:r>
    </w:p>
    <w:p w14:paraId="200EA46E" w14:textId="77777777" w:rsidR="00F92E16" w:rsidRPr="00043245" w:rsidRDefault="00F92E16" w:rsidP="00F92E16">
      <w:pPr>
        <w:pStyle w:val="ListParagraph"/>
        <w:numPr>
          <w:ilvl w:val="0"/>
          <w:numId w:val="34"/>
        </w:numPr>
        <w:spacing w:before="120" w:after="120" w:line="240" w:lineRule="auto"/>
        <w:rPr>
          <w:rFonts w:cstheme="minorHAnsi"/>
          <w:sz w:val="20"/>
          <w:szCs w:val="20"/>
        </w:rPr>
      </w:pPr>
      <w:r w:rsidRPr="00043245">
        <w:rPr>
          <w:rFonts w:cstheme="minorHAnsi"/>
          <w:sz w:val="20"/>
          <w:szCs w:val="20"/>
        </w:rPr>
        <w:t>Regular and ongoing stakeholder engagement.</w:t>
      </w:r>
    </w:p>
    <w:p w14:paraId="6CC6C289" w14:textId="77777777" w:rsidR="00AC5F8F" w:rsidRPr="00043245" w:rsidRDefault="00690029" w:rsidP="00F74EDA">
      <w:pPr>
        <w:spacing w:before="120" w:after="120" w:line="240" w:lineRule="auto"/>
        <w:rPr>
          <w:rFonts w:cstheme="minorHAnsi"/>
          <w:sz w:val="20"/>
          <w:szCs w:val="20"/>
        </w:rPr>
      </w:pPr>
      <w:r w:rsidRPr="00043245">
        <w:rPr>
          <w:rFonts w:cstheme="minorHAnsi"/>
          <w:sz w:val="20"/>
          <w:szCs w:val="20"/>
        </w:rPr>
        <w:t xml:space="preserve">Based on </w:t>
      </w:r>
      <w:r w:rsidR="0075596E" w:rsidRPr="00043245">
        <w:rPr>
          <w:rFonts w:cstheme="minorHAnsi"/>
          <w:sz w:val="20"/>
          <w:szCs w:val="20"/>
        </w:rPr>
        <w:t xml:space="preserve">the </w:t>
      </w:r>
      <w:r w:rsidRPr="00043245">
        <w:rPr>
          <w:rFonts w:cstheme="minorHAnsi"/>
          <w:sz w:val="20"/>
          <w:szCs w:val="20"/>
        </w:rPr>
        <w:t xml:space="preserve">documentation reviewed, </w:t>
      </w:r>
      <w:r w:rsidR="00AC5F8F" w:rsidRPr="00043245">
        <w:rPr>
          <w:rFonts w:cstheme="minorHAnsi"/>
          <w:sz w:val="20"/>
          <w:szCs w:val="20"/>
        </w:rPr>
        <w:t xml:space="preserve">DNRME </w:t>
      </w:r>
      <w:r w:rsidRPr="00043245">
        <w:rPr>
          <w:rFonts w:cstheme="minorHAnsi"/>
          <w:sz w:val="20"/>
          <w:szCs w:val="20"/>
        </w:rPr>
        <w:t xml:space="preserve">appear to </w:t>
      </w:r>
      <w:r w:rsidR="00AC5F8F" w:rsidRPr="00043245">
        <w:rPr>
          <w:rFonts w:cstheme="minorHAnsi"/>
          <w:sz w:val="20"/>
          <w:szCs w:val="20"/>
        </w:rPr>
        <w:t xml:space="preserve">have progressively improved their control environment to address issues and risks as they were identified through the life of the project. </w:t>
      </w:r>
      <w:r w:rsidR="00E72B52" w:rsidRPr="00043245">
        <w:rPr>
          <w:rFonts w:cstheme="minorHAnsi"/>
          <w:sz w:val="20"/>
          <w:szCs w:val="20"/>
        </w:rPr>
        <w:t>A</w:t>
      </w:r>
      <w:r w:rsidR="00AC5F8F" w:rsidRPr="00043245">
        <w:rPr>
          <w:rFonts w:cstheme="minorHAnsi"/>
          <w:sz w:val="20"/>
          <w:szCs w:val="20"/>
        </w:rPr>
        <w:t xml:space="preserve">ppropriate control structures were established to effectively manage risk and the use of Commonwealth funds </w:t>
      </w:r>
      <w:r w:rsidR="00F92E16" w:rsidRPr="00043245">
        <w:rPr>
          <w:rFonts w:cstheme="minorHAnsi"/>
          <w:sz w:val="20"/>
          <w:szCs w:val="20"/>
        </w:rPr>
        <w:t>with</w:t>
      </w:r>
      <w:r w:rsidR="00AC5F8F" w:rsidRPr="00043245">
        <w:rPr>
          <w:rFonts w:cstheme="minorHAnsi"/>
          <w:sz w:val="20"/>
          <w:szCs w:val="20"/>
        </w:rPr>
        <w:t xml:space="preserve"> no</w:t>
      </w:r>
      <w:r w:rsidR="00AC5F8F" w:rsidRPr="00043245">
        <w:rPr>
          <w:rFonts w:cstheme="minorHAnsi"/>
          <w:i/>
          <w:sz w:val="20"/>
          <w:szCs w:val="20"/>
        </w:rPr>
        <w:t xml:space="preserve"> </w:t>
      </w:r>
      <w:r w:rsidR="00AC5F8F" w:rsidRPr="00043245">
        <w:rPr>
          <w:rFonts w:cstheme="minorHAnsi"/>
          <w:sz w:val="20"/>
          <w:szCs w:val="20"/>
        </w:rPr>
        <w:t xml:space="preserve">instances of non-compliance with key provisions of the Water Management Partnership Agreement </w:t>
      </w:r>
      <w:r w:rsidR="00CD7145" w:rsidRPr="00043245">
        <w:rPr>
          <w:rFonts w:cstheme="minorHAnsi"/>
          <w:sz w:val="20"/>
          <w:szCs w:val="20"/>
        </w:rPr>
        <w:t xml:space="preserve">(WMPA) </w:t>
      </w:r>
      <w:r w:rsidR="00AC5F8F" w:rsidRPr="00043245">
        <w:rPr>
          <w:rFonts w:cstheme="minorHAnsi"/>
          <w:sz w:val="20"/>
          <w:szCs w:val="20"/>
        </w:rPr>
        <w:t>between Queensland and the Commonwealth identified.</w:t>
      </w:r>
      <w:r w:rsidR="00AC5F8F" w:rsidRPr="00043245">
        <w:rPr>
          <w:rFonts w:cstheme="minorHAnsi"/>
          <w:i/>
          <w:sz w:val="20"/>
          <w:szCs w:val="20"/>
        </w:rPr>
        <w:t xml:space="preserve">  </w:t>
      </w:r>
    </w:p>
    <w:p w14:paraId="2021F2EA" w14:textId="271B091D" w:rsidR="00A640C7" w:rsidRPr="00043245" w:rsidRDefault="00AC5F8F" w:rsidP="00F74EDA">
      <w:pPr>
        <w:spacing w:before="120" w:after="120" w:line="240" w:lineRule="auto"/>
        <w:rPr>
          <w:rFonts w:cstheme="minorHAnsi"/>
          <w:sz w:val="20"/>
          <w:szCs w:val="20"/>
        </w:rPr>
      </w:pPr>
      <w:r w:rsidRPr="00043245">
        <w:rPr>
          <w:rFonts w:cstheme="minorHAnsi"/>
          <w:sz w:val="20"/>
          <w:szCs w:val="20"/>
        </w:rPr>
        <w:t>A small number of</w:t>
      </w:r>
      <w:r w:rsidR="00F92E16" w:rsidRPr="00043245">
        <w:rPr>
          <w:rFonts w:cstheme="minorHAnsi"/>
          <w:sz w:val="20"/>
          <w:szCs w:val="20"/>
        </w:rPr>
        <w:t xml:space="preserve"> </w:t>
      </w:r>
      <w:r w:rsidR="00643E0A" w:rsidRPr="00043245">
        <w:rPr>
          <w:rFonts w:cstheme="minorHAnsi"/>
          <w:sz w:val="20"/>
          <w:szCs w:val="20"/>
        </w:rPr>
        <w:t xml:space="preserve">relatively minor </w:t>
      </w:r>
      <w:r w:rsidR="00F92E16" w:rsidRPr="00043245">
        <w:rPr>
          <w:rFonts w:cstheme="minorHAnsi"/>
          <w:sz w:val="20"/>
          <w:szCs w:val="20"/>
        </w:rPr>
        <w:t xml:space="preserve">opportunities for improvement </w:t>
      </w:r>
      <w:r w:rsidR="00643E0A" w:rsidRPr="00043245">
        <w:rPr>
          <w:rFonts w:cstheme="minorHAnsi"/>
          <w:sz w:val="20"/>
          <w:szCs w:val="20"/>
        </w:rPr>
        <w:t>were identified. N</w:t>
      </w:r>
      <w:r w:rsidRPr="00043245">
        <w:rPr>
          <w:rFonts w:cstheme="minorHAnsi"/>
          <w:sz w:val="20"/>
          <w:szCs w:val="20"/>
        </w:rPr>
        <w:t xml:space="preserve">one of </w:t>
      </w:r>
      <w:r w:rsidR="00643E0A" w:rsidRPr="00043245">
        <w:rPr>
          <w:rFonts w:cstheme="minorHAnsi"/>
          <w:sz w:val="20"/>
          <w:szCs w:val="20"/>
        </w:rPr>
        <w:t>these were</w:t>
      </w:r>
      <w:r w:rsidRPr="00043245">
        <w:rPr>
          <w:rFonts w:cstheme="minorHAnsi"/>
          <w:sz w:val="20"/>
          <w:szCs w:val="20"/>
        </w:rPr>
        <w:t xml:space="preserve"> considered significant or</w:t>
      </w:r>
      <w:r w:rsidR="006C712C" w:rsidRPr="00043245">
        <w:rPr>
          <w:rFonts w:cstheme="minorHAnsi"/>
          <w:sz w:val="20"/>
          <w:szCs w:val="20"/>
        </w:rPr>
        <w:t xml:space="preserve"> demonstrate</w:t>
      </w:r>
      <w:r w:rsidRPr="00043245">
        <w:rPr>
          <w:rFonts w:cstheme="minorHAnsi"/>
          <w:sz w:val="20"/>
          <w:szCs w:val="20"/>
        </w:rPr>
        <w:t xml:space="preserve"> systemic control weaknesses.</w:t>
      </w:r>
    </w:p>
    <w:p w14:paraId="5170B946" w14:textId="77777777" w:rsidR="003A5486" w:rsidRPr="00043245" w:rsidRDefault="00AC5F8F" w:rsidP="00336886">
      <w:pPr>
        <w:pStyle w:val="Heading1"/>
        <w:rPr>
          <w:rFonts w:asciiTheme="minorHAnsi" w:hAnsiTheme="minorHAnsi" w:cstheme="minorHAnsi"/>
          <w:sz w:val="72"/>
          <w:szCs w:val="72"/>
        </w:rPr>
      </w:pPr>
      <w:bookmarkStart w:id="7" w:name="_Toc528653242"/>
      <w:bookmarkEnd w:id="5"/>
      <w:r w:rsidRPr="00043245">
        <w:rPr>
          <w:rFonts w:asciiTheme="minorHAnsi" w:hAnsiTheme="minorHAnsi" w:cstheme="minorHAnsi"/>
          <w:sz w:val="72"/>
          <w:szCs w:val="72"/>
        </w:rPr>
        <w:t>Introduction</w:t>
      </w:r>
      <w:bookmarkEnd w:id="7"/>
    </w:p>
    <w:p w14:paraId="6C808A18" w14:textId="77777777" w:rsidR="005D70F5" w:rsidRPr="00043245" w:rsidRDefault="00A07D24" w:rsidP="000722AF">
      <w:pPr>
        <w:pStyle w:val="Heading2"/>
        <w:rPr>
          <w:rFonts w:asciiTheme="minorHAnsi" w:hAnsiTheme="minorHAnsi" w:cstheme="minorHAnsi"/>
        </w:rPr>
      </w:pPr>
      <w:bookmarkStart w:id="8" w:name="_Toc515451808"/>
      <w:bookmarkStart w:id="9" w:name="_Toc528653243"/>
      <w:r w:rsidRPr="00043245">
        <w:rPr>
          <w:rFonts w:asciiTheme="minorHAnsi" w:hAnsiTheme="minorHAnsi" w:cstheme="minorHAnsi"/>
        </w:rPr>
        <w:t>Background</w:t>
      </w:r>
      <w:bookmarkEnd w:id="8"/>
      <w:bookmarkEnd w:id="9"/>
    </w:p>
    <w:p w14:paraId="1A3EA87E" w14:textId="0DC1BE33" w:rsidR="00607EED" w:rsidRPr="00043245" w:rsidRDefault="00607EED" w:rsidP="00F74EDA">
      <w:pPr>
        <w:spacing w:before="120" w:after="120" w:line="240" w:lineRule="auto"/>
        <w:rPr>
          <w:rFonts w:cstheme="minorHAnsi"/>
          <w:sz w:val="20"/>
          <w:szCs w:val="20"/>
        </w:rPr>
      </w:pPr>
      <w:r w:rsidRPr="00043245">
        <w:rPr>
          <w:rFonts w:cstheme="minorHAnsi"/>
          <w:sz w:val="20"/>
          <w:szCs w:val="20"/>
        </w:rPr>
        <w:t>DAWR has a number of programs that are administered by the States</w:t>
      </w:r>
      <w:r w:rsidR="0043469A" w:rsidRPr="00043245">
        <w:rPr>
          <w:rFonts w:cstheme="minorHAnsi"/>
          <w:sz w:val="20"/>
          <w:szCs w:val="20"/>
        </w:rPr>
        <w:t xml:space="preserve"> through</w:t>
      </w:r>
      <w:r w:rsidR="00A14666" w:rsidRPr="00043245">
        <w:rPr>
          <w:rFonts w:cstheme="minorHAnsi"/>
          <w:sz w:val="20"/>
          <w:szCs w:val="20"/>
        </w:rPr>
        <w:t xml:space="preserve"> </w:t>
      </w:r>
      <w:r w:rsidRPr="00043245">
        <w:rPr>
          <w:rFonts w:cstheme="minorHAnsi"/>
          <w:sz w:val="20"/>
          <w:szCs w:val="20"/>
        </w:rPr>
        <w:t xml:space="preserve">the Sustainable Rural Water Use and Infrastructure Program </w:t>
      </w:r>
      <w:r w:rsidR="00643E0A" w:rsidRPr="00043245">
        <w:rPr>
          <w:rFonts w:cstheme="minorHAnsi"/>
          <w:sz w:val="20"/>
          <w:szCs w:val="20"/>
        </w:rPr>
        <w:t xml:space="preserve">(the Program) </w:t>
      </w:r>
      <w:r w:rsidRPr="00043245">
        <w:rPr>
          <w:rFonts w:cstheme="minorHAnsi"/>
          <w:sz w:val="20"/>
          <w:szCs w:val="20"/>
        </w:rPr>
        <w:t xml:space="preserve">established under Part Four of the </w:t>
      </w:r>
      <w:r w:rsidR="00A93C43" w:rsidRPr="00043245">
        <w:rPr>
          <w:rFonts w:cstheme="minorHAnsi"/>
          <w:sz w:val="20"/>
          <w:szCs w:val="20"/>
        </w:rPr>
        <w:t xml:space="preserve">Intergovernmental </w:t>
      </w:r>
      <w:r w:rsidRPr="00043245">
        <w:rPr>
          <w:rFonts w:cstheme="minorHAnsi"/>
          <w:sz w:val="20"/>
          <w:szCs w:val="20"/>
        </w:rPr>
        <w:t>Agreement (IGA) on the Murray-Darling Basin Reform. The IGA is an initiative which seeks to increase the productivity and efficiency of Australia’s water use</w:t>
      </w:r>
      <w:r w:rsidR="00FF455B" w:rsidRPr="00043245">
        <w:rPr>
          <w:rFonts w:cstheme="minorHAnsi"/>
          <w:sz w:val="20"/>
          <w:szCs w:val="20"/>
        </w:rPr>
        <w:t>.</w:t>
      </w:r>
    </w:p>
    <w:p w14:paraId="70D2A14B" w14:textId="4150B1BB" w:rsidR="005D70F5" w:rsidRPr="00043245" w:rsidRDefault="00643E0A" w:rsidP="00F74EDA">
      <w:pPr>
        <w:spacing w:before="120" w:after="120" w:line="240" w:lineRule="auto"/>
        <w:rPr>
          <w:rFonts w:cstheme="minorHAnsi"/>
          <w:sz w:val="20"/>
          <w:szCs w:val="20"/>
        </w:rPr>
      </w:pPr>
      <w:r w:rsidRPr="00043245">
        <w:rPr>
          <w:rFonts w:cstheme="minorHAnsi"/>
          <w:sz w:val="20"/>
          <w:szCs w:val="20"/>
        </w:rPr>
        <w:t>The aim of the P</w:t>
      </w:r>
      <w:r w:rsidR="00607EED" w:rsidRPr="00043245">
        <w:rPr>
          <w:rFonts w:cstheme="minorHAnsi"/>
          <w:sz w:val="20"/>
          <w:szCs w:val="20"/>
        </w:rPr>
        <w:t xml:space="preserve">rogram </w:t>
      </w:r>
      <w:r w:rsidR="00835348" w:rsidRPr="00043245">
        <w:rPr>
          <w:rFonts w:cstheme="minorHAnsi"/>
          <w:sz w:val="20"/>
          <w:szCs w:val="20"/>
        </w:rPr>
        <w:t xml:space="preserve">is to ‘bridge the gap’ to the sustainable diversion limits </w:t>
      </w:r>
      <w:r w:rsidR="00607EED" w:rsidRPr="00043245">
        <w:rPr>
          <w:rFonts w:cstheme="minorHAnsi"/>
          <w:sz w:val="20"/>
          <w:szCs w:val="20"/>
        </w:rPr>
        <w:t>by enabling water reforms in the Murray Daring Basin to deliver a sustainable cap on surface water and ground water divisions through a range of water recovery projects. The Program provides funds to State Priority Projects facilitated through Water Management Partnership Agreement’s (WMPA) with each of the Basin States.</w:t>
      </w:r>
    </w:p>
    <w:p w14:paraId="5B82AAF0" w14:textId="77777777" w:rsidR="00B310F1" w:rsidRPr="00043245" w:rsidRDefault="00B310F1" w:rsidP="00F74EDA">
      <w:pPr>
        <w:spacing w:before="120" w:after="120" w:line="240" w:lineRule="auto"/>
        <w:ind w:right="68"/>
        <w:rPr>
          <w:rFonts w:cstheme="minorHAnsi"/>
          <w:szCs w:val="20"/>
        </w:rPr>
      </w:pPr>
      <w:r w:rsidRPr="00043245">
        <w:rPr>
          <w:rFonts w:cstheme="minorHAnsi"/>
          <w:b/>
          <w:bCs/>
          <w:szCs w:val="20"/>
        </w:rPr>
        <w:t xml:space="preserve">Healthy </w:t>
      </w:r>
      <w:proofErr w:type="spellStart"/>
      <w:r w:rsidRPr="00043245">
        <w:rPr>
          <w:rFonts w:cstheme="minorHAnsi"/>
          <w:b/>
          <w:bCs/>
          <w:szCs w:val="20"/>
        </w:rPr>
        <w:t>HeadWaters</w:t>
      </w:r>
      <w:proofErr w:type="spellEnd"/>
      <w:r w:rsidRPr="00043245">
        <w:rPr>
          <w:rFonts w:cstheme="minorHAnsi"/>
          <w:b/>
          <w:bCs/>
          <w:szCs w:val="20"/>
        </w:rPr>
        <w:t xml:space="preserve"> Water Use Efficiency Project </w:t>
      </w:r>
    </w:p>
    <w:p w14:paraId="3EE49A38" w14:textId="77777777" w:rsidR="00336886" w:rsidRPr="00043245" w:rsidRDefault="00B310F1" w:rsidP="00F74EDA">
      <w:pPr>
        <w:spacing w:before="120" w:after="120" w:line="240" w:lineRule="auto"/>
        <w:rPr>
          <w:rFonts w:cstheme="minorHAnsi"/>
          <w:sz w:val="20"/>
          <w:szCs w:val="20"/>
        </w:rPr>
      </w:pPr>
      <w:r w:rsidRPr="00043245">
        <w:rPr>
          <w:rFonts w:cstheme="minorHAnsi"/>
          <w:sz w:val="20"/>
          <w:szCs w:val="20"/>
        </w:rPr>
        <w:t>The HHWUE</w:t>
      </w:r>
      <w:r w:rsidR="00D17A05" w:rsidRPr="00043245">
        <w:rPr>
          <w:rFonts w:cstheme="minorHAnsi"/>
          <w:sz w:val="20"/>
          <w:szCs w:val="20"/>
        </w:rPr>
        <w:t xml:space="preserve"> project has been</w:t>
      </w:r>
      <w:r w:rsidRPr="00043245">
        <w:rPr>
          <w:rFonts w:cstheme="minorHAnsi"/>
          <w:sz w:val="20"/>
          <w:szCs w:val="20"/>
        </w:rPr>
        <w:t xml:space="preserve"> designed to assist irrigation farmers in the Queensland Murray-Darling Basin by investing in efficient irrigation systems and technologies that reduce water loss, deliver long-term social and economic benefits, and return a share of water savings to the Basin's rivers, wetlands and floodplains. The </w:t>
      </w:r>
      <w:r w:rsidR="00F76661" w:rsidRPr="00043245">
        <w:rPr>
          <w:rFonts w:cstheme="minorHAnsi"/>
          <w:sz w:val="20"/>
          <w:szCs w:val="20"/>
        </w:rPr>
        <w:t>project</w:t>
      </w:r>
      <w:r w:rsidR="0043469A" w:rsidRPr="00043245">
        <w:rPr>
          <w:rFonts w:cstheme="minorHAnsi"/>
          <w:sz w:val="20"/>
          <w:szCs w:val="20"/>
        </w:rPr>
        <w:t xml:space="preserve"> </w:t>
      </w:r>
      <w:r w:rsidR="00F76661" w:rsidRPr="00043245">
        <w:rPr>
          <w:rFonts w:cstheme="minorHAnsi"/>
          <w:sz w:val="20"/>
          <w:szCs w:val="20"/>
        </w:rPr>
        <w:t>can cover</w:t>
      </w:r>
      <w:r w:rsidRPr="00043245">
        <w:rPr>
          <w:rFonts w:cstheme="minorHAnsi"/>
          <w:sz w:val="20"/>
          <w:szCs w:val="20"/>
        </w:rPr>
        <w:t xml:space="preserve"> up to 90% of the total cost for eligible irrigators to fund infrastructure project</w:t>
      </w:r>
      <w:r w:rsidR="0043469A" w:rsidRPr="00043245">
        <w:rPr>
          <w:rFonts w:cstheme="minorHAnsi"/>
          <w:sz w:val="20"/>
          <w:szCs w:val="20"/>
        </w:rPr>
        <w:t>s</w:t>
      </w:r>
      <w:r w:rsidRPr="00043245">
        <w:rPr>
          <w:rFonts w:cstheme="minorHAnsi"/>
          <w:sz w:val="20"/>
          <w:szCs w:val="20"/>
        </w:rPr>
        <w:t xml:space="preserve"> which increase water use efficien</w:t>
      </w:r>
      <w:r w:rsidR="00F76661" w:rsidRPr="00043245">
        <w:rPr>
          <w:rFonts w:cstheme="minorHAnsi"/>
          <w:sz w:val="20"/>
          <w:szCs w:val="20"/>
        </w:rPr>
        <w:t>cy</w:t>
      </w:r>
      <w:r w:rsidRPr="00043245">
        <w:rPr>
          <w:rFonts w:cstheme="minorHAnsi"/>
          <w:sz w:val="20"/>
          <w:szCs w:val="20"/>
        </w:rPr>
        <w:t xml:space="preserve">. </w:t>
      </w:r>
    </w:p>
    <w:p w14:paraId="62FD38CC" w14:textId="4FBF27C0" w:rsidR="00515B4E" w:rsidRPr="00043245" w:rsidRDefault="00B310F1" w:rsidP="00F74EDA">
      <w:pPr>
        <w:spacing w:before="120" w:after="120" w:line="240" w:lineRule="auto"/>
        <w:rPr>
          <w:rFonts w:cstheme="minorHAnsi"/>
          <w:sz w:val="20"/>
          <w:szCs w:val="20"/>
        </w:rPr>
      </w:pPr>
      <w:r w:rsidRPr="00043245">
        <w:rPr>
          <w:rFonts w:cstheme="minorHAnsi"/>
          <w:sz w:val="20"/>
          <w:szCs w:val="20"/>
        </w:rPr>
        <w:t>The infrastructure must relate to water storages, water distribution or in-field systems. Approved applicants must contribute at least 10%</w:t>
      </w:r>
      <w:r w:rsidR="0043469A" w:rsidRPr="00043245">
        <w:rPr>
          <w:rFonts w:cstheme="minorHAnsi"/>
          <w:sz w:val="20"/>
          <w:szCs w:val="20"/>
        </w:rPr>
        <w:t xml:space="preserve"> (in cash</w:t>
      </w:r>
      <w:r w:rsidR="00EA1BAD" w:rsidRPr="00043245">
        <w:rPr>
          <w:rFonts w:cstheme="minorHAnsi"/>
          <w:sz w:val="20"/>
          <w:szCs w:val="20"/>
        </w:rPr>
        <w:t>,</w:t>
      </w:r>
      <w:r w:rsidR="0043469A" w:rsidRPr="00043245">
        <w:rPr>
          <w:rFonts w:cstheme="minorHAnsi"/>
          <w:sz w:val="20"/>
          <w:szCs w:val="20"/>
        </w:rPr>
        <w:t xml:space="preserve"> in kind</w:t>
      </w:r>
      <w:r w:rsidR="00EA1BAD" w:rsidRPr="00043245">
        <w:rPr>
          <w:rFonts w:cstheme="minorHAnsi"/>
          <w:sz w:val="20"/>
          <w:szCs w:val="20"/>
        </w:rPr>
        <w:t xml:space="preserve"> or additional water savings</w:t>
      </w:r>
      <w:r w:rsidR="0043469A" w:rsidRPr="00043245">
        <w:rPr>
          <w:rFonts w:cstheme="minorHAnsi"/>
          <w:sz w:val="20"/>
          <w:szCs w:val="20"/>
        </w:rPr>
        <w:t>)</w:t>
      </w:r>
      <w:r w:rsidRPr="00043245">
        <w:rPr>
          <w:rFonts w:cstheme="minorHAnsi"/>
          <w:sz w:val="20"/>
          <w:szCs w:val="20"/>
        </w:rPr>
        <w:t xml:space="preserve"> to the project cost, and transfer at least 50% of the water savings (by permanent transfer of water allocation) to the Australian Government for environmental use. This project is administered by the Queensland Government Department of Natural Resources, Mines and Energy</w:t>
      </w:r>
      <w:r w:rsidR="0082024B" w:rsidRPr="00043245">
        <w:rPr>
          <w:rFonts w:cstheme="minorHAnsi"/>
          <w:sz w:val="20"/>
          <w:szCs w:val="20"/>
        </w:rPr>
        <w:t xml:space="preserve"> (DNRME)</w:t>
      </w:r>
      <w:r w:rsidRPr="00043245">
        <w:rPr>
          <w:rFonts w:cstheme="minorHAnsi"/>
          <w:sz w:val="20"/>
          <w:szCs w:val="20"/>
        </w:rPr>
        <w:t xml:space="preserve">. </w:t>
      </w:r>
    </w:p>
    <w:p w14:paraId="2778DDE0" w14:textId="2B692F6B" w:rsidR="00515B4E" w:rsidRPr="00043245" w:rsidRDefault="00135623" w:rsidP="00F74EDA">
      <w:pPr>
        <w:spacing w:before="120" w:after="120" w:line="240" w:lineRule="auto"/>
        <w:rPr>
          <w:rFonts w:cstheme="minorHAnsi"/>
          <w:sz w:val="20"/>
          <w:szCs w:val="20"/>
        </w:rPr>
      </w:pPr>
      <w:r w:rsidRPr="00043245">
        <w:rPr>
          <w:rFonts w:cstheme="minorHAnsi"/>
          <w:sz w:val="20"/>
          <w:szCs w:val="20"/>
        </w:rPr>
        <w:t>P</w:t>
      </w:r>
      <w:r w:rsidR="00515B4E" w:rsidRPr="00043245">
        <w:rPr>
          <w:rFonts w:cstheme="minorHAnsi"/>
          <w:sz w:val="20"/>
          <w:szCs w:val="20"/>
        </w:rPr>
        <w:t>hase</w:t>
      </w:r>
      <w:r w:rsidRPr="00043245">
        <w:rPr>
          <w:rFonts w:cstheme="minorHAnsi"/>
          <w:sz w:val="20"/>
          <w:szCs w:val="20"/>
        </w:rPr>
        <w:t xml:space="preserve"> one</w:t>
      </w:r>
      <w:r w:rsidR="00515B4E" w:rsidRPr="00043245">
        <w:rPr>
          <w:rFonts w:cstheme="minorHAnsi"/>
          <w:sz w:val="20"/>
          <w:szCs w:val="20"/>
        </w:rPr>
        <w:t xml:space="preserve"> of this project (the pilot) commenced in 31 August 2010. Following a review and subsequent business case by DNRME in 2012, phase </w:t>
      </w:r>
      <w:r w:rsidR="00A149BC" w:rsidRPr="00043245">
        <w:rPr>
          <w:rFonts w:cstheme="minorHAnsi"/>
          <w:sz w:val="20"/>
          <w:szCs w:val="20"/>
        </w:rPr>
        <w:t xml:space="preserve">two </w:t>
      </w:r>
      <w:r w:rsidRPr="00043245">
        <w:rPr>
          <w:rFonts w:cstheme="minorHAnsi"/>
          <w:sz w:val="20"/>
          <w:szCs w:val="20"/>
        </w:rPr>
        <w:t>of the p</w:t>
      </w:r>
      <w:r w:rsidR="00515B4E" w:rsidRPr="00043245">
        <w:rPr>
          <w:rFonts w:cstheme="minorHAnsi"/>
          <w:sz w:val="20"/>
          <w:szCs w:val="20"/>
        </w:rPr>
        <w:t xml:space="preserve">roject commenced on 1 August 2012. The project will conclude on </w:t>
      </w:r>
      <w:r w:rsidR="00C60159" w:rsidRPr="00043245">
        <w:rPr>
          <w:rFonts w:cstheme="minorHAnsi"/>
          <w:sz w:val="20"/>
          <w:szCs w:val="20"/>
        </w:rPr>
        <w:t xml:space="preserve">or before </w:t>
      </w:r>
      <w:r w:rsidR="00515B4E" w:rsidRPr="00043245">
        <w:rPr>
          <w:rFonts w:cstheme="minorHAnsi"/>
          <w:sz w:val="20"/>
          <w:szCs w:val="20"/>
        </w:rPr>
        <w:t xml:space="preserve">30 June 2020, however </w:t>
      </w:r>
      <w:bookmarkStart w:id="10" w:name="B.1.14._The_State_must_ensure_that_all_A"/>
      <w:bookmarkEnd w:id="10"/>
      <w:r w:rsidR="00515B4E" w:rsidRPr="00043245">
        <w:rPr>
          <w:rFonts w:cstheme="minorHAnsi"/>
          <w:sz w:val="20"/>
          <w:szCs w:val="20"/>
        </w:rPr>
        <w:t xml:space="preserve">the DNRME must ensure that all agreed water savings are </w:t>
      </w:r>
      <w:r w:rsidR="005B2E4E" w:rsidRPr="00043245">
        <w:rPr>
          <w:rFonts w:cstheme="minorHAnsi"/>
          <w:sz w:val="20"/>
          <w:szCs w:val="20"/>
        </w:rPr>
        <w:t xml:space="preserve">transferred </w:t>
      </w:r>
      <w:r w:rsidR="00515B4E" w:rsidRPr="00043245">
        <w:rPr>
          <w:rFonts w:cstheme="minorHAnsi"/>
          <w:sz w:val="20"/>
          <w:szCs w:val="20"/>
        </w:rPr>
        <w:t>to the Commonwealth by no later than 31 March 2019.</w:t>
      </w:r>
    </w:p>
    <w:p w14:paraId="62E4A633" w14:textId="46655C1A" w:rsidR="00E621EE" w:rsidRPr="00043245" w:rsidRDefault="00B310F1" w:rsidP="00F74EDA">
      <w:pPr>
        <w:spacing w:before="120" w:after="120" w:line="240" w:lineRule="auto"/>
        <w:rPr>
          <w:rFonts w:cstheme="minorHAnsi"/>
          <w:sz w:val="20"/>
          <w:szCs w:val="20"/>
        </w:rPr>
      </w:pPr>
      <w:r w:rsidRPr="00043245">
        <w:rPr>
          <w:rFonts w:cstheme="minorHAnsi"/>
          <w:sz w:val="20"/>
          <w:szCs w:val="20"/>
        </w:rPr>
        <w:t>The funding for this project amounts to $154.9 million, as per the Commonwealth’s Sustainable Rural Water Use and Infrastructure Program.</w:t>
      </w:r>
      <w:r w:rsidR="0069576D" w:rsidRPr="00043245">
        <w:rPr>
          <w:rFonts w:cstheme="minorHAnsi"/>
          <w:sz w:val="20"/>
          <w:szCs w:val="20"/>
        </w:rPr>
        <w:t xml:space="preserve"> At the time of the r</w:t>
      </w:r>
      <w:r w:rsidR="001861BF" w:rsidRPr="00043245">
        <w:rPr>
          <w:rFonts w:cstheme="minorHAnsi"/>
          <w:sz w:val="20"/>
          <w:szCs w:val="20"/>
        </w:rPr>
        <w:t>eview</w:t>
      </w:r>
      <w:r w:rsidR="00515B4E" w:rsidRPr="00043245">
        <w:rPr>
          <w:rFonts w:cstheme="minorHAnsi"/>
          <w:sz w:val="20"/>
          <w:szCs w:val="20"/>
        </w:rPr>
        <w:t>, the</w:t>
      </w:r>
      <w:r w:rsidR="001861BF" w:rsidRPr="00043245">
        <w:rPr>
          <w:rFonts w:cstheme="minorHAnsi"/>
          <w:sz w:val="20"/>
          <w:szCs w:val="20"/>
        </w:rPr>
        <w:t xml:space="preserve"> HHWUE</w:t>
      </w:r>
      <w:r w:rsidR="00515B4E" w:rsidRPr="00043245">
        <w:rPr>
          <w:rFonts w:cstheme="minorHAnsi"/>
          <w:sz w:val="20"/>
          <w:szCs w:val="20"/>
        </w:rPr>
        <w:t xml:space="preserve"> project had held 12 funding rounds that resulted in </w:t>
      </w:r>
      <w:r w:rsidR="001861BF" w:rsidRPr="00043245">
        <w:rPr>
          <w:rFonts w:cstheme="minorHAnsi"/>
          <w:sz w:val="20"/>
          <w:szCs w:val="20"/>
        </w:rPr>
        <w:t>80 approved projects</w:t>
      </w:r>
      <w:r w:rsidR="0017330F" w:rsidRPr="00043245">
        <w:rPr>
          <w:rFonts w:cstheme="minorHAnsi"/>
          <w:sz w:val="20"/>
          <w:szCs w:val="20"/>
        </w:rPr>
        <w:t>, representing approximately</w:t>
      </w:r>
      <w:r w:rsidR="00BE1991" w:rsidRPr="00043245">
        <w:rPr>
          <w:rFonts w:cstheme="minorHAnsi"/>
          <w:sz w:val="20"/>
          <w:szCs w:val="20"/>
        </w:rPr>
        <w:t xml:space="preserve"> 41</w:t>
      </w:r>
      <w:r w:rsidR="005B2E4E" w:rsidRPr="00043245">
        <w:rPr>
          <w:rFonts w:cstheme="minorHAnsi"/>
          <w:sz w:val="20"/>
          <w:szCs w:val="20"/>
        </w:rPr>
        <w:t xml:space="preserve"> </w:t>
      </w:r>
      <w:r w:rsidR="0065132C" w:rsidRPr="00043245">
        <w:rPr>
          <w:rFonts w:cstheme="minorHAnsi"/>
          <w:sz w:val="20"/>
          <w:szCs w:val="20"/>
        </w:rPr>
        <w:t>G</w:t>
      </w:r>
      <w:r w:rsidR="0017330F" w:rsidRPr="00043245">
        <w:rPr>
          <w:rFonts w:cstheme="minorHAnsi"/>
          <w:sz w:val="20"/>
          <w:szCs w:val="20"/>
        </w:rPr>
        <w:t xml:space="preserve">L of water savings and </w:t>
      </w:r>
      <w:r w:rsidR="00BE1991" w:rsidRPr="00043245">
        <w:rPr>
          <w:rFonts w:cstheme="minorHAnsi"/>
          <w:sz w:val="20"/>
          <w:szCs w:val="20"/>
        </w:rPr>
        <w:t xml:space="preserve">more than </w:t>
      </w:r>
      <w:r w:rsidR="0017330F" w:rsidRPr="00043245">
        <w:rPr>
          <w:rFonts w:cstheme="minorHAnsi"/>
          <w:sz w:val="20"/>
          <w:szCs w:val="20"/>
        </w:rPr>
        <w:t>$10</w:t>
      </w:r>
      <w:r w:rsidR="00135623" w:rsidRPr="00043245">
        <w:rPr>
          <w:rFonts w:cstheme="minorHAnsi"/>
          <w:sz w:val="20"/>
          <w:szCs w:val="20"/>
        </w:rPr>
        <w:t>5</w:t>
      </w:r>
      <w:r w:rsidR="0017330F" w:rsidRPr="00043245">
        <w:rPr>
          <w:rFonts w:cstheme="minorHAnsi"/>
          <w:sz w:val="20"/>
          <w:szCs w:val="20"/>
        </w:rPr>
        <w:t xml:space="preserve"> million in </w:t>
      </w:r>
      <w:r w:rsidR="00BE1991" w:rsidRPr="00043245">
        <w:rPr>
          <w:rFonts w:cstheme="minorHAnsi"/>
          <w:sz w:val="20"/>
          <w:szCs w:val="20"/>
        </w:rPr>
        <w:t xml:space="preserve">Commonwealth </w:t>
      </w:r>
      <w:r w:rsidR="0017330F" w:rsidRPr="00043245">
        <w:rPr>
          <w:rFonts w:cstheme="minorHAnsi"/>
          <w:sz w:val="20"/>
          <w:szCs w:val="20"/>
        </w:rPr>
        <w:t>funding</w:t>
      </w:r>
      <w:r w:rsidR="001861BF" w:rsidRPr="00043245">
        <w:rPr>
          <w:rFonts w:cstheme="minorHAnsi"/>
          <w:sz w:val="20"/>
          <w:szCs w:val="20"/>
        </w:rPr>
        <w:t>.</w:t>
      </w:r>
      <w:r w:rsidR="00135623" w:rsidRPr="00043245">
        <w:rPr>
          <w:rFonts w:cstheme="minorHAnsi"/>
          <w:sz w:val="20"/>
          <w:szCs w:val="20"/>
        </w:rPr>
        <w:t xml:space="preserve"> </w:t>
      </w:r>
    </w:p>
    <w:p w14:paraId="78C8EBD5" w14:textId="77777777" w:rsidR="00E621EE" w:rsidRPr="00043245" w:rsidRDefault="00E621EE" w:rsidP="00E621EE">
      <w:pPr>
        <w:pStyle w:val="Heading2"/>
        <w:rPr>
          <w:rFonts w:asciiTheme="minorHAnsi" w:hAnsiTheme="minorHAnsi" w:cstheme="minorHAnsi"/>
        </w:rPr>
      </w:pPr>
      <w:bookmarkStart w:id="11" w:name="_Toc528653244"/>
      <w:r w:rsidRPr="00043245">
        <w:rPr>
          <w:rFonts w:asciiTheme="minorHAnsi" w:hAnsiTheme="minorHAnsi" w:cstheme="minorHAnsi"/>
        </w:rPr>
        <w:t>Purpose of this report</w:t>
      </w:r>
      <w:bookmarkEnd w:id="11"/>
    </w:p>
    <w:p w14:paraId="4F0C4D81" w14:textId="77777777" w:rsidR="00643E0A" w:rsidRPr="00043245" w:rsidRDefault="00643E0A" w:rsidP="00643E0A">
      <w:pPr>
        <w:spacing w:before="120" w:after="120" w:line="240" w:lineRule="auto"/>
        <w:rPr>
          <w:rFonts w:cstheme="minorHAnsi"/>
          <w:sz w:val="20"/>
          <w:szCs w:val="20"/>
        </w:rPr>
      </w:pPr>
      <w:r w:rsidRPr="00043245">
        <w:rPr>
          <w:rFonts w:cstheme="minorHAnsi"/>
          <w:sz w:val="20"/>
          <w:szCs w:val="20"/>
        </w:rPr>
        <w:t>DAWR engaged KPMG to review the governance, risk and control processes for State Priority Projects administered through the Program to ensure effective use of Commonwealth funds. This engagement is limited to the Queensland HHWUE Project, New South Wales Basin Pipe Project and New South Wales Irrigated Farm Modernisation State Priority Projects. Separate reports will be produced for the New South Wales Basin Pipe and Irrigated Farm Modernisation State Priority Projects.</w:t>
      </w:r>
    </w:p>
    <w:p w14:paraId="260622E9" w14:textId="398B1C60" w:rsidR="00E621EE" w:rsidRPr="00043245" w:rsidRDefault="00E621EE" w:rsidP="00F74EDA">
      <w:pPr>
        <w:spacing w:before="120" w:after="120" w:line="240" w:lineRule="auto"/>
        <w:rPr>
          <w:rFonts w:cstheme="minorHAnsi"/>
          <w:sz w:val="20"/>
          <w:szCs w:val="20"/>
        </w:rPr>
      </w:pPr>
      <w:r w:rsidRPr="00043245">
        <w:rPr>
          <w:rFonts w:cstheme="minorHAnsi"/>
          <w:sz w:val="20"/>
          <w:szCs w:val="20"/>
        </w:rPr>
        <w:t xml:space="preserve">This report presents findings and observations in relation to KPMG’s </w:t>
      </w:r>
      <w:r w:rsidR="00643E0A" w:rsidRPr="00043245">
        <w:rPr>
          <w:rFonts w:cstheme="minorHAnsi"/>
          <w:sz w:val="20"/>
          <w:szCs w:val="20"/>
        </w:rPr>
        <w:t xml:space="preserve">assessment of the </w:t>
      </w:r>
      <w:r w:rsidR="00A96B9F" w:rsidRPr="00043245">
        <w:rPr>
          <w:rFonts w:cstheme="minorHAnsi"/>
          <w:sz w:val="20"/>
          <w:szCs w:val="20"/>
        </w:rPr>
        <w:t xml:space="preserve">HHWUE </w:t>
      </w:r>
      <w:r w:rsidR="00643E0A" w:rsidRPr="00043245">
        <w:rPr>
          <w:rFonts w:cstheme="minorHAnsi"/>
          <w:sz w:val="20"/>
          <w:szCs w:val="20"/>
        </w:rPr>
        <w:t>project; the objective of which was to:</w:t>
      </w:r>
    </w:p>
    <w:p w14:paraId="5475FE57" w14:textId="77777777" w:rsidR="00336886" w:rsidRPr="00043245" w:rsidRDefault="00336886" w:rsidP="003E73C2">
      <w:pPr>
        <w:spacing w:before="120" w:after="120" w:line="240" w:lineRule="auto"/>
        <w:rPr>
          <w:rFonts w:cstheme="minorHAnsi"/>
          <w:i/>
          <w:sz w:val="20"/>
          <w:szCs w:val="20"/>
        </w:rPr>
      </w:pPr>
      <w:bookmarkStart w:id="12" w:name="_Toc522868839"/>
      <w:bookmarkStart w:id="13" w:name="_Toc522868840"/>
      <w:bookmarkEnd w:id="12"/>
      <w:bookmarkEnd w:id="13"/>
      <w:r w:rsidRPr="00043245">
        <w:rPr>
          <w:rFonts w:cstheme="minorHAnsi"/>
          <w:i/>
          <w:sz w:val="20"/>
          <w:szCs w:val="20"/>
        </w:rPr>
        <w:t xml:space="preserve">Review the governance, risk and control processes for State Priority Projects administered through Sustainable Rural Water Use and Infrastructure Program to ensure effective use of Commonwealth funds. (Refer </w:t>
      </w:r>
      <w:r w:rsidRPr="00043245">
        <w:rPr>
          <w:rFonts w:cstheme="minorHAnsi"/>
          <w:b/>
          <w:i/>
          <w:sz w:val="20"/>
          <w:szCs w:val="20"/>
        </w:rPr>
        <w:t>Appendix A</w:t>
      </w:r>
      <w:r w:rsidRPr="00043245">
        <w:rPr>
          <w:rFonts w:cstheme="minorHAnsi"/>
          <w:i/>
          <w:sz w:val="20"/>
          <w:szCs w:val="20"/>
        </w:rPr>
        <w:t xml:space="preserve"> for further de</w:t>
      </w:r>
      <w:r w:rsidR="00515B4E" w:rsidRPr="00043245">
        <w:rPr>
          <w:rFonts w:cstheme="minorHAnsi"/>
          <w:i/>
          <w:sz w:val="20"/>
          <w:szCs w:val="20"/>
        </w:rPr>
        <w:t>tails on the scope</w:t>
      </w:r>
      <w:r w:rsidRPr="00043245">
        <w:rPr>
          <w:rFonts w:cstheme="minorHAnsi"/>
          <w:i/>
          <w:sz w:val="20"/>
          <w:szCs w:val="20"/>
        </w:rPr>
        <w:t>).</w:t>
      </w:r>
      <w:r w:rsidR="006F49F1" w:rsidRPr="00043245">
        <w:rPr>
          <w:rFonts w:cstheme="minorHAnsi"/>
          <w:i/>
          <w:sz w:val="20"/>
          <w:szCs w:val="20"/>
        </w:rPr>
        <w:t xml:space="preserve"> </w:t>
      </w:r>
    </w:p>
    <w:p w14:paraId="4DAB2433" w14:textId="77777777" w:rsidR="006F49F1" w:rsidRPr="00043245" w:rsidRDefault="006F49F1" w:rsidP="00F74EDA">
      <w:pPr>
        <w:pStyle w:val="Heading2"/>
        <w:keepNext/>
        <w:rPr>
          <w:rFonts w:asciiTheme="minorHAnsi" w:hAnsiTheme="minorHAnsi" w:cstheme="minorHAnsi"/>
        </w:rPr>
      </w:pPr>
      <w:bookmarkStart w:id="14" w:name="_Toc528653245"/>
      <w:r w:rsidRPr="00043245">
        <w:rPr>
          <w:rFonts w:asciiTheme="minorHAnsi" w:hAnsiTheme="minorHAnsi" w:cstheme="minorHAnsi"/>
        </w:rPr>
        <w:t>Approach to this review</w:t>
      </w:r>
      <w:bookmarkEnd w:id="14"/>
    </w:p>
    <w:p w14:paraId="39989524" w14:textId="1F718701" w:rsidR="006F49F1" w:rsidRPr="00043245" w:rsidRDefault="00432EE5" w:rsidP="00F74EDA">
      <w:pPr>
        <w:spacing w:before="120" w:after="120" w:line="240" w:lineRule="auto"/>
        <w:rPr>
          <w:rFonts w:cstheme="minorHAnsi"/>
          <w:sz w:val="20"/>
          <w:szCs w:val="20"/>
        </w:rPr>
      </w:pPr>
      <w:r w:rsidRPr="00043245">
        <w:rPr>
          <w:rFonts w:cstheme="minorHAnsi"/>
          <w:sz w:val="20"/>
          <w:szCs w:val="20"/>
        </w:rPr>
        <w:t>KPMG assessed</w:t>
      </w:r>
      <w:r w:rsidR="00814A03" w:rsidRPr="00043245">
        <w:rPr>
          <w:rFonts w:cstheme="minorHAnsi"/>
          <w:sz w:val="20"/>
          <w:szCs w:val="20"/>
        </w:rPr>
        <w:t xml:space="preserve"> the</w:t>
      </w:r>
      <w:r w:rsidRPr="00043245">
        <w:rPr>
          <w:rFonts w:cstheme="minorHAnsi"/>
          <w:sz w:val="20"/>
          <w:szCs w:val="20"/>
        </w:rPr>
        <w:t xml:space="preserve"> systems, processes and controls </w:t>
      </w:r>
      <w:r w:rsidR="00E621EE" w:rsidRPr="00043245">
        <w:rPr>
          <w:rFonts w:cstheme="minorHAnsi"/>
          <w:sz w:val="20"/>
          <w:szCs w:val="20"/>
        </w:rPr>
        <w:t xml:space="preserve">established </w:t>
      </w:r>
      <w:r w:rsidRPr="00043245">
        <w:rPr>
          <w:rFonts w:cstheme="minorHAnsi"/>
          <w:sz w:val="20"/>
          <w:szCs w:val="20"/>
        </w:rPr>
        <w:t xml:space="preserve">for the governance and administration of the </w:t>
      </w:r>
      <w:r w:rsidR="00A96B9F" w:rsidRPr="00043245">
        <w:rPr>
          <w:rFonts w:cstheme="minorHAnsi"/>
          <w:sz w:val="20"/>
          <w:szCs w:val="20"/>
        </w:rPr>
        <w:t xml:space="preserve">HHWUE </w:t>
      </w:r>
      <w:r w:rsidRPr="00043245">
        <w:rPr>
          <w:rFonts w:cstheme="minorHAnsi"/>
          <w:sz w:val="20"/>
          <w:szCs w:val="20"/>
        </w:rPr>
        <w:t>proje</w:t>
      </w:r>
      <w:r w:rsidR="00E621EE" w:rsidRPr="00043245">
        <w:rPr>
          <w:rFonts w:cstheme="minorHAnsi"/>
          <w:sz w:val="20"/>
          <w:szCs w:val="20"/>
        </w:rPr>
        <w:t xml:space="preserve">ct against </w:t>
      </w:r>
      <w:r w:rsidR="000B2AF6" w:rsidRPr="00043245">
        <w:rPr>
          <w:rFonts w:cstheme="minorHAnsi"/>
          <w:sz w:val="20"/>
          <w:szCs w:val="20"/>
        </w:rPr>
        <w:t xml:space="preserve">key program </w:t>
      </w:r>
      <w:r w:rsidR="00E621EE" w:rsidRPr="00043245">
        <w:rPr>
          <w:rFonts w:cstheme="minorHAnsi"/>
          <w:sz w:val="20"/>
          <w:szCs w:val="20"/>
        </w:rPr>
        <w:t xml:space="preserve">management </w:t>
      </w:r>
      <w:r w:rsidR="000B2AF6" w:rsidRPr="00043245">
        <w:rPr>
          <w:rFonts w:cstheme="minorHAnsi"/>
          <w:sz w:val="20"/>
          <w:szCs w:val="20"/>
        </w:rPr>
        <w:t xml:space="preserve">areas (as </w:t>
      </w:r>
      <w:r w:rsidR="00FF455B" w:rsidRPr="00043245">
        <w:rPr>
          <w:rFonts w:cstheme="minorHAnsi"/>
          <w:sz w:val="20"/>
          <w:szCs w:val="20"/>
        </w:rPr>
        <w:t>outlined</w:t>
      </w:r>
      <w:r w:rsidR="000B2AF6" w:rsidRPr="00043245">
        <w:rPr>
          <w:rFonts w:cstheme="minorHAnsi"/>
          <w:sz w:val="20"/>
          <w:szCs w:val="20"/>
        </w:rPr>
        <w:t xml:space="preserve"> in engagement scope) </w:t>
      </w:r>
      <w:r w:rsidR="00E621EE" w:rsidRPr="00043245">
        <w:rPr>
          <w:rFonts w:cstheme="minorHAnsi"/>
          <w:sz w:val="20"/>
          <w:szCs w:val="20"/>
        </w:rPr>
        <w:t xml:space="preserve">and key requirements of the WMPA. </w:t>
      </w:r>
      <w:r w:rsidRPr="00043245">
        <w:rPr>
          <w:rFonts w:cstheme="minorHAnsi"/>
          <w:sz w:val="20"/>
          <w:szCs w:val="20"/>
        </w:rPr>
        <w:t xml:space="preserve"> This included governance mechanisms, risk management, financial management processes and monitoring activities. </w:t>
      </w:r>
      <w:r w:rsidR="00E621EE" w:rsidRPr="00043245">
        <w:rPr>
          <w:rFonts w:cstheme="minorHAnsi"/>
          <w:sz w:val="20"/>
          <w:szCs w:val="20"/>
        </w:rPr>
        <w:t xml:space="preserve">This was undertaken through a combination of stakeholder consultation, document </w:t>
      </w:r>
      <w:r w:rsidR="006C712C" w:rsidRPr="00043245">
        <w:rPr>
          <w:rFonts w:cstheme="minorHAnsi"/>
          <w:sz w:val="20"/>
          <w:szCs w:val="20"/>
        </w:rPr>
        <w:t>review and on-ground inspection.</w:t>
      </w:r>
    </w:p>
    <w:p w14:paraId="2D9E4D09" w14:textId="77777777" w:rsidR="006F49F1" w:rsidRPr="00043245" w:rsidRDefault="00432EE5" w:rsidP="00F74EDA">
      <w:pPr>
        <w:spacing w:before="120" w:after="120" w:line="240" w:lineRule="auto"/>
        <w:rPr>
          <w:rFonts w:cstheme="minorHAnsi"/>
          <w:sz w:val="20"/>
          <w:szCs w:val="20"/>
        </w:rPr>
      </w:pPr>
      <w:r w:rsidRPr="00043245">
        <w:rPr>
          <w:rFonts w:cstheme="minorHAnsi"/>
          <w:sz w:val="20"/>
          <w:szCs w:val="20"/>
        </w:rPr>
        <w:t>As p</w:t>
      </w:r>
      <w:r w:rsidR="00E621EE" w:rsidRPr="00043245">
        <w:rPr>
          <w:rFonts w:cstheme="minorHAnsi"/>
          <w:sz w:val="20"/>
          <w:szCs w:val="20"/>
        </w:rPr>
        <w:t>art of the review,</w:t>
      </w:r>
      <w:r w:rsidRPr="00043245">
        <w:rPr>
          <w:rFonts w:cstheme="minorHAnsi"/>
          <w:sz w:val="20"/>
          <w:szCs w:val="20"/>
        </w:rPr>
        <w:t xml:space="preserve"> </w:t>
      </w:r>
      <w:r w:rsidR="00643E0A" w:rsidRPr="00043245">
        <w:rPr>
          <w:rFonts w:cstheme="minorHAnsi"/>
          <w:sz w:val="20"/>
          <w:szCs w:val="20"/>
        </w:rPr>
        <w:t>KPMG selected a sample of 20 approved projects (25% of all projects) for desktop review</w:t>
      </w:r>
      <w:r w:rsidR="0069576D" w:rsidRPr="00043245">
        <w:rPr>
          <w:rFonts w:cstheme="minorHAnsi"/>
          <w:sz w:val="20"/>
          <w:szCs w:val="20"/>
        </w:rPr>
        <w:t>,</w:t>
      </w:r>
      <w:r w:rsidR="00643E0A" w:rsidRPr="00043245">
        <w:rPr>
          <w:rFonts w:cstheme="minorHAnsi"/>
          <w:sz w:val="20"/>
          <w:szCs w:val="20"/>
        </w:rPr>
        <w:t xml:space="preserve"> and of this</w:t>
      </w:r>
      <w:r w:rsidR="0069576D" w:rsidRPr="00043245">
        <w:rPr>
          <w:rFonts w:cstheme="minorHAnsi"/>
          <w:sz w:val="20"/>
          <w:szCs w:val="20"/>
        </w:rPr>
        <w:t>,</w:t>
      </w:r>
      <w:r w:rsidR="00643E0A" w:rsidRPr="00043245">
        <w:rPr>
          <w:rFonts w:cstheme="minorHAnsi"/>
          <w:sz w:val="20"/>
          <w:szCs w:val="20"/>
        </w:rPr>
        <w:t xml:space="preserve"> a sample of nine projects were selected for on-farm verification. The sample covered projects ranging in total cost from $100,000 to over $5 million, across the first 11 funding rounds, different types of infrastructure works and across a variety of catchment areas</w:t>
      </w:r>
      <w:r w:rsidR="006F49F1" w:rsidRPr="00043245">
        <w:rPr>
          <w:rFonts w:cstheme="minorHAnsi"/>
          <w:sz w:val="20"/>
          <w:szCs w:val="20"/>
        </w:rPr>
        <w:t>:</w:t>
      </w:r>
    </w:p>
    <w:p w14:paraId="2CFE2CA2" w14:textId="77777777" w:rsidR="006F49F1" w:rsidRPr="00043245" w:rsidRDefault="006F49F1" w:rsidP="006F49F1">
      <w:pPr>
        <w:pStyle w:val="ListParagraph"/>
        <w:numPr>
          <w:ilvl w:val="0"/>
          <w:numId w:val="22"/>
        </w:numPr>
        <w:spacing w:before="120" w:after="120" w:line="240" w:lineRule="auto"/>
        <w:rPr>
          <w:rFonts w:cstheme="minorHAnsi"/>
          <w:sz w:val="20"/>
          <w:szCs w:val="20"/>
        </w:rPr>
      </w:pPr>
      <w:r w:rsidRPr="00043245">
        <w:rPr>
          <w:rFonts w:cstheme="minorHAnsi"/>
          <w:sz w:val="20"/>
          <w:szCs w:val="20"/>
        </w:rPr>
        <w:t>Border Rivers</w:t>
      </w:r>
    </w:p>
    <w:p w14:paraId="2E031EF1" w14:textId="77777777" w:rsidR="006F49F1" w:rsidRPr="00043245" w:rsidRDefault="006F49F1" w:rsidP="006F49F1">
      <w:pPr>
        <w:pStyle w:val="ListParagraph"/>
        <w:numPr>
          <w:ilvl w:val="0"/>
          <w:numId w:val="22"/>
        </w:numPr>
        <w:spacing w:before="120" w:after="120" w:line="240" w:lineRule="auto"/>
        <w:rPr>
          <w:rFonts w:cstheme="minorHAnsi"/>
          <w:sz w:val="20"/>
          <w:szCs w:val="20"/>
        </w:rPr>
      </w:pPr>
      <w:r w:rsidRPr="00043245">
        <w:rPr>
          <w:rFonts w:cstheme="minorHAnsi"/>
          <w:sz w:val="20"/>
          <w:szCs w:val="20"/>
        </w:rPr>
        <w:t>Condamine Balonne</w:t>
      </w:r>
    </w:p>
    <w:p w14:paraId="48C6C018" w14:textId="77777777" w:rsidR="006F49F1" w:rsidRPr="00043245" w:rsidRDefault="006F49F1" w:rsidP="006F49F1">
      <w:pPr>
        <w:pStyle w:val="ListParagraph"/>
        <w:numPr>
          <w:ilvl w:val="0"/>
          <w:numId w:val="22"/>
        </w:numPr>
        <w:spacing w:before="120" w:after="120" w:line="240" w:lineRule="auto"/>
        <w:rPr>
          <w:rFonts w:cstheme="minorHAnsi"/>
          <w:sz w:val="20"/>
          <w:szCs w:val="20"/>
        </w:rPr>
      </w:pPr>
      <w:r w:rsidRPr="00043245">
        <w:rPr>
          <w:rFonts w:cstheme="minorHAnsi"/>
          <w:sz w:val="20"/>
          <w:szCs w:val="20"/>
        </w:rPr>
        <w:t>Moonie</w:t>
      </w:r>
    </w:p>
    <w:p w14:paraId="0BC42992" w14:textId="77777777" w:rsidR="006F49F1" w:rsidRPr="00043245" w:rsidRDefault="006F49F1" w:rsidP="006F49F1">
      <w:pPr>
        <w:pStyle w:val="ListParagraph"/>
        <w:numPr>
          <w:ilvl w:val="0"/>
          <w:numId w:val="22"/>
        </w:numPr>
        <w:spacing w:before="120" w:after="120" w:line="240" w:lineRule="auto"/>
        <w:rPr>
          <w:rFonts w:cstheme="minorHAnsi"/>
          <w:sz w:val="20"/>
          <w:szCs w:val="20"/>
        </w:rPr>
      </w:pPr>
      <w:r w:rsidRPr="00043245">
        <w:rPr>
          <w:rFonts w:cstheme="minorHAnsi"/>
          <w:sz w:val="20"/>
          <w:szCs w:val="20"/>
        </w:rPr>
        <w:t>Lower Balonne</w:t>
      </w:r>
    </w:p>
    <w:p w14:paraId="7F7B7923" w14:textId="42C91DF3" w:rsidR="006F49F1" w:rsidRPr="00043245" w:rsidRDefault="006F49F1" w:rsidP="006F49F1">
      <w:pPr>
        <w:pStyle w:val="ListParagraph"/>
        <w:numPr>
          <w:ilvl w:val="0"/>
          <w:numId w:val="22"/>
        </w:numPr>
        <w:spacing w:before="120" w:after="120" w:line="240" w:lineRule="auto"/>
        <w:rPr>
          <w:rFonts w:cstheme="minorHAnsi"/>
          <w:sz w:val="20"/>
          <w:szCs w:val="20"/>
        </w:rPr>
      </w:pPr>
      <w:r w:rsidRPr="00043245">
        <w:rPr>
          <w:rFonts w:cstheme="minorHAnsi"/>
          <w:sz w:val="20"/>
          <w:szCs w:val="20"/>
        </w:rPr>
        <w:t xml:space="preserve">Lower Warrego </w:t>
      </w:r>
    </w:p>
    <w:p w14:paraId="3EE32F46" w14:textId="74CF733B" w:rsidR="006F49F1" w:rsidRPr="00043245" w:rsidRDefault="006F49F1" w:rsidP="006F49F1">
      <w:pPr>
        <w:pStyle w:val="ListParagraph"/>
        <w:numPr>
          <w:ilvl w:val="0"/>
          <w:numId w:val="22"/>
        </w:numPr>
        <w:spacing w:before="120" w:after="120" w:line="240" w:lineRule="auto"/>
        <w:rPr>
          <w:rFonts w:cstheme="minorHAnsi"/>
          <w:sz w:val="20"/>
          <w:szCs w:val="20"/>
        </w:rPr>
      </w:pPr>
      <w:r w:rsidRPr="00043245">
        <w:rPr>
          <w:rFonts w:cstheme="minorHAnsi"/>
          <w:sz w:val="20"/>
          <w:szCs w:val="20"/>
        </w:rPr>
        <w:t xml:space="preserve">Upper Condamine </w:t>
      </w:r>
    </w:p>
    <w:p w14:paraId="2C995823" w14:textId="36ADFE65" w:rsidR="002E7B93" w:rsidRPr="00043245" w:rsidRDefault="002E7B93" w:rsidP="00E72B52">
      <w:pPr>
        <w:spacing w:before="120" w:after="120" w:line="240" w:lineRule="auto"/>
        <w:rPr>
          <w:rFonts w:cstheme="minorHAnsi"/>
          <w:sz w:val="20"/>
          <w:szCs w:val="20"/>
        </w:rPr>
      </w:pPr>
      <w:r w:rsidRPr="00043245">
        <w:rPr>
          <w:rFonts w:cstheme="minorHAnsi"/>
          <w:sz w:val="20"/>
          <w:szCs w:val="20"/>
        </w:rPr>
        <w:t>The sample excluded any projects under active investigation</w:t>
      </w:r>
      <w:r w:rsidR="00E72B52" w:rsidRPr="00043245">
        <w:rPr>
          <w:rFonts w:cstheme="minorHAnsi"/>
          <w:sz w:val="20"/>
          <w:szCs w:val="20"/>
        </w:rPr>
        <w:t xml:space="preserve"> or review</w:t>
      </w:r>
      <w:r w:rsidR="005B2E4E" w:rsidRPr="00043245">
        <w:rPr>
          <w:rFonts w:cstheme="minorHAnsi"/>
          <w:sz w:val="20"/>
          <w:szCs w:val="20"/>
        </w:rPr>
        <w:t xml:space="preserve"> by other organisations or processes</w:t>
      </w:r>
      <w:r w:rsidRPr="00043245">
        <w:rPr>
          <w:rFonts w:cstheme="minorHAnsi"/>
          <w:sz w:val="20"/>
          <w:szCs w:val="20"/>
        </w:rPr>
        <w:t xml:space="preserve">. </w:t>
      </w:r>
    </w:p>
    <w:p w14:paraId="11D70A0A" w14:textId="42A61D3C" w:rsidR="0069576D" w:rsidRPr="00043245" w:rsidRDefault="0069576D" w:rsidP="00390576">
      <w:pPr>
        <w:spacing w:before="120" w:after="120" w:line="240" w:lineRule="auto"/>
        <w:ind w:right="68"/>
        <w:rPr>
          <w:rFonts w:cstheme="minorHAnsi"/>
          <w:sz w:val="20"/>
          <w:szCs w:val="20"/>
        </w:rPr>
      </w:pPr>
      <w:r w:rsidRPr="00043245">
        <w:rPr>
          <w:rFonts w:cstheme="minorHAnsi"/>
          <w:sz w:val="20"/>
          <w:szCs w:val="20"/>
        </w:rPr>
        <w:t xml:space="preserve">On-farm verification undertaken as part of this review </w:t>
      </w:r>
      <w:r w:rsidR="00E621EE" w:rsidRPr="00043245">
        <w:rPr>
          <w:rFonts w:cstheme="minorHAnsi"/>
          <w:sz w:val="20"/>
          <w:szCs w:val="20"/>
        </w:rPr>
        <w:t>did not include a detailed technical assessment of the quality and effectiveness of water infrastructure works. It provides an assessment of progress of works against reported outcomes and</w:t>
      </w:r>
      <w:r w:rsidR="005B2E4E" w:rsidRPr="00043245">
        <w:rPr>
          <w:rFonts w:cstheme="minorHAnsi"/>
          <w:sz w:val="20"/>
          <w:szCs w:val="20"/>
        </w:rPr>
        <w:t xml:space="preserve"> non-technical</w:t>
      </w:r>
      <w:r w:rsidR="00E621EE" w:rsidRPr="00043245">
        <w:rPr>
          <w:rFonts w:cstheme="minorHAnsi"/>
          <w:sz w:val="20"/>
          <w:szCs w:val="20"/>
        </w:rPr>
        <w:t xml:space="preserve"> verification of the engineer's reports against on-</w:t>
      </w:r>
      <w:r w:rsidR="00643E0A" w:rsidRPr="00043245">
        <w:rPr>
          <w:rFonts w:cstheme="minorHAnsi"/>
          <w:sz w:val="20"/>
          <w:szCs w:val="20"/>
        </w:rPr>
        <w:t>farm</w:t>
      </w:r>
      <w:r w:rsidR="00E621EE" w:rsidRPr="00043245">
        <w:rPr>
          <w:rFonts w:cstheme="minorHAnsi"/>
          <w:sz w:val="20"/>
          <w:szCs w:val="20"/>
        </w:rPr>
        <w:t xml:space="preserve"> works. </w:t>
      </w:r>
    </w:p>
    <w:p w14:paraId="01A8D483" w14:textId="79BC52FF" w:rsidR="006F49F1" w:rsidRPr="00043245" w:rsidRDefault="002E7B93" w:rsidP="00390576">
      <w:pPr>
        <w:spacing w:before="120" w:after="120" w:line="240" w:lineRule="auto"/>
        <w:ind w:right="68"/>
        <w:rPr>
          <w:rFonts w:cstheme="minorHAnsi"/>
          <w:sz w:val="20"/>
          <w:szCs w:val="20"/>
        </w:rPr>
      </w:pPr>
      <w:r w:rsidRPr="00043245">
        <w:rPr>
          <w:rFonts w:cstheme="minorHAnsi"/>
          <w:sz w:val="20"/>
          <w:szCs w:val="20"/>
        </w:rPr>
        <w:t xml:space="preserve">The findings of the report are based on the sample of projects reviewed. Accordingly it is possible there may be instances of </w:t>
      </w:r>
      <w:r w:rsidRPr="00043245">
        <w:rPr>
          <w:rFonts w:cstheme="minorHAnsi"/>
          <w:sz w:val="20"/>
        </w:rPr>
        <w:t>fraud, error or non-compliance with laws and regulations within the HHWUE project that have not be</w:t>
      </w:r>
      <w:r w:rsidR="005B2E4E" w:rsidRPr="00043245">
        <w:rPr>
          <w:rFonts w:cstheme="minorHAnsi"/>
          <w:sz w:val="20"/>
        </w:rPr>
        <w:t>en</w:t>
      </w:r>
      <w:r w:rsidRPr="00043245">
        <w:rPr>
          <w:rFonts w:cstheme="minorHAnsi"/>
          <w:sz w:val="20"/>
        </w:rPr>
        <w:t xml:space="preserve"> identified by this </w:t>
      </w:r>
      <w:r w:rsidR="0069576D" w:rsidRPr="00043245">
        <w:rPr>
          <w:rFonts w:cstheme="minorHAnsi"/>
          <w:sz w:val="20"/>
        </w:rPr>
        <w:t>r</w:t>
      </w:r>
      <w:r w:rsidRPr="00043245">
        <w:rPr>
          <w:rFonts w:cstheme="minorHAnsi"/>
          <w:sz w:val="20"/>
        </w:rPr>
        <w:t>eview.</w:t>
      </w:r>
      <w:r w:rsidRPr="00043245">
        <w:rPr>
          <w:rFonts w:cstheme="minorHAnsi"/>
          <w:sz w:val="20"/>
          <w:szCs w:val="20"/>
        </w:rPr>
        <w:t xml:space="preserve"> </w:t>
      </w:r>
      <w:r w:rsidR="00432EE5" w:rsidRPr="00043245">
        <w:rPr>
          <w:rFonts w:cstheme="minorHAnsi"/>
          <w:sz w:val="20"/>
          <w:szCs w:val="20"/>
        </w:rPr>
        <w:t>R</w:t>
      </w:r>
      <w:r w:rsidR="006F49F1" w:rsidRPr="00043245">
        <w:rPr>
          <w:rFonts w:cstheme="minorHAnsi"/>
          <w:sz w:val="20"/>
          <w:szCs w:val="20"/>
        </w:rPr>
        <w:t xml:space="preserve">efer to </w:t>
      </w:r>
      <w:r w:rsidR="006F49F1" w:rsidRPr="00043245">
        <w:rPr>
          <w:rFonts w:cstheme="minorHAnsi"/>
          <w:b/>
          <w:sz w:val="20"/>
          <w:szCs w:val="20"/>
        </w:rPr>
        <w:t>Appendix B</w:t>
      </w:r>
      <w:r w:rsidR="006F49F1" w:rsidRPr="00043245">
        <w:rPr>
          <w:rFonts w:cstheme="minorHAnsi"/>
          <w:sz w:val="20"/>
          <w:szCs w:val="20"/>
        </w:rPr>
        <w:t xml:space="preserve"> for further informat</w:t>
      </w:r>
      <w:r w:rsidR="00432EE5" w:rsidRPr="00043245">
        <w:rPr>
          <w:rFonts w:cstheme="minorHAnsi"/>
          <w:sz w:val="20"/>
          <w:szCs w:val="20"/>
        </w:rPr>
        <w:t>ion on the engagement approach.</w:t>
      </w:r>
    </w:p>
    <w:p w14:paraId="44ED65E1" w14:textId="77777777" w:rsidR="00D14ECC" w:rsidRPr="00043245" w:rsidRDefault="00D14ECC" w:rsidP="00D14ECC">
      <w:pPr>
        <w:pStyle w:val="Heading2"/>
        <w:keepNext/>
        <w:rPr>
          <w:rFonts w:asciiTheme="minorHAnsi" w:hAnsiTheme="minorHAnsi" w:cstheme="minorHAnsi"/>
        </w:rPr>
      </w:pPr>
      <w:bookmarkStart w:id="15" w:name="_Toc528653246"/>
      <w:r w:rsidRPr="00043245">
        <w:rPr>
          <w:rFonts w:asciiTheme="minorHAnsi" w:hAnsiTheme="minorHAnsi" w:cstheme="minorHAnsi"/>
        </w:rPr>
        <w:t>Summary of assessment</w:t>
      </w:r>
      <w:bookmarkEnd w:id="15"/>
      <w:r w:rsidRPr="00043245">
        <w:rPr>
          <w:rFonts w:asciiTheme="minorHAnsi" w:hAnsiTheme="minorHAnsi" w:cstheme="minorHAnsi"/>
        </w:rPr>
        <w:t xml:space="preserve"> </w:t>
      </w:r>
    </w:p>
    <w:p w14:paraId="626A3CBB" w14:textId="1EBC098B" w:rsidR="00144C4F" w:rsidRPr="00043245" w:rsidRDefault="00144C4F" w:rsidP="00144C4F">
      <w:pPr>
        <w:spacing w:before="120" w:after="120" w:line="240" w:lineRule="auto"/>
        <w:ind w:right="68"/>
        <w:rPr>
          <w:rFonts w:cstheme="minorHAnsi"/>
          <w:sz w:val="20"/>
          <w:szCs w:val="20"/>
        </w:rPr>
      </w:pPr>
      <w:r w:rsidRPr="00043245">
        <w:rPr>
          <w:rFonts w:cstheme="minorHAnsi"/>
          <w:sz w:val="20"/>
          <w:szCs w:val="20"/>
        </w:rPr>
        <w:t xml:space="preserve">Overall, KPMG’s assessment of the </w:t>
      </w:r>
      <w:r w:rsidR="00A96B9F" w:rsidRPr="00043245">
        <w:rPr>
          <w:rFonts w:cstheme="minorHAnsi"/>
          <w:sz w:val="20"/>
          <w:szCs w:val="20"/>
        </w:rPr>
        <w:t xml:space="preserve">HHWUE </w:t>
      </w:r>
      <w:r w:rsidRPr="00043245">
        <w:rPr>
          <w:rFonts w:cstheme="minorHAnsi"/>
          <w:sz w:val="20"/>
          <w:szCs w:val="20"/>
        </w:rPr>
        <w:t>project found:</w:t>
      </w:r>
    </w:p>
    <w:p w14:paraId="20A8CEFE" w14:textId="77777777" w:rsidR="00144C4F" w:rsidRPr="00043245" w:rsidRDefault="00144C4F" w:rsidP="00144C4F">
      <w:pPr>
        <w:pStyle w:val="ListParagraph"/>
        <w:numPr>
          <w:ilvl w:val="0"/>
          <w:numId w:val="27"/>
        </w:numPr>
        <w:spacing w:before="120" w:after="120" w:line="240" w:lineRule="auto"/>
        <w:ind w:right="68"/>
        <w:rPr>
          <w:rFonts w:cstheme="minorHAnsi"/>
          <w:sz w:val="20"/>
          <w:szCs w:val="20"/>
        </w:rPr>
      </w:pPr>
      <w:r w:rsidRPr="00043245">
        <w:rPr>
          <w:rFonts w:cstheme="minorHAnsi"/>
          <w:sz w:val="20"/>
          <w:szCs w:val="20"/>
        </w:rPr>
        <w:t>No instances of non-compliance with key provisions of the WMPA;</w:t>
      </w:r>
    </w:p>
    <w:p w14:paraId="07199FD2" w14:textId="77777777" w:rsidR="00144C4F" w:rsidRPr="00043245" w:rsidRDefault="00144C4F" w:rsidP="00144C4F">
      <w:pPr>
        <w:pStyle w:val="ListParagraph"/>
        <w:numPr>
          <w:ilvl w:val="0"/>
          <w:numId w:val="27"/>
        </w:numPr>
        <w:spacing w:before="120" w:after="120" w:line="240" w:lineRule="auto"/>
        <w:ind w:right="68"/>
        <w:rPr>
          <w:rFonts w:cstheme="minorHAnsi"/>
          <w:sz w:val="20"/>
          <w:szCs w:val="20"/>
        </w:rPr>
      </w:pPr>
      <w:r w:rsidRPr="00043245">
        <w:rPr>
          <w:rFonts w:cstheme="minorHAnsi"/>
          <w:sz w:val="20"/>
          <w:szCs w:val="20"/>
        </w:rPr>
        <w:t xml:space="preserve">All proponent projects visually inspected appeared to correspond with scope and progress reported and </w:t>
      </w:r>
      <w:r w:rsidR="00CD7145" w:rsidRPr="00043245">
        <w:rPr>
          <w:rFonts w:cstheme="minorHAnsi"/>
          <w:sz w:val="20"/>
          <w:szCs w:val="20"/>
        </w:rPr>
        <w:t>maintained</w:t>
      </w:r>
      <w:r w:rsidRPr="00043245">
        <w:rPr>
          <w:rFonts w:cstheme="minorHAnsi"/>
          <w:sz w:val="20"/>
          <w:szCs w:val="20"/>
        </w:rPr>
        <w:t xml:space="preserve"> by DN</w:t>
      </w:r>
      <w:r w:rsidR="00CD7145" w:rsidRPr="00043245">
        <w:rPr>
          <w:rFonts w:cstheme="minorHAnsi"/>
          <w:sz w:val="20"/>
          <w:szCs w:val="20"/>
        </w:rPr>
        <w:t>RM</w:t>
      </w:r>
      <w:r w:rsidRPr="00043245">
        <w:rPr>
          <w:rFonts w:cstheme="minorHAnsi"/>
          <w:sz w:val="20"/>
          <w:szCs w:val="20"/>
        </w:rPr>
        <w:t>E; and</w:t>
      </w:r>
    </w:p>
    <w:p w14:paraId="7D1501F1" w14:textId="77777777" w:rsidR="00144C4F" w:rsidRPr="00043245" w:rsidRDefault="00144C4F" w:rsidP="00144C4F">
      <w:pPr>
        <w:pStyle w:val="ListParagraph"/>
        <w:numPr>
          <w:ilvl w:val="0"/>
          <w:numId w:val="27"/>
        </w:numPr>
        <w:spacing w:before="120" w:after="120" w:line="240" w:lineRule="auto"/>
        <w:ind w:right="68"/>
        <w:rPr>
          <w:rFonts w:cstheme="minorHAnsi"/>
          <w:sz w:val="20"/>
          <w:szCs w:val="20"/>
        </w:rPr>
      </w:pPr>
      <w:r w:rsidRPr="00043245">
        <w:rPr>
          <w:rFonts w:cstheme="minorHAnsi"/>
          <w:sz w:val="20"/>
          <w:szCs w:val="20"/>
        </w:rPr>
        <w:t>DNRME had developed and implemented a number of controls, processes and structures to assist in the effective administration of the HHWUE project.</w:t>
      </w:r>
    </w:p>
    <w:p w14:paraId="29F885C5" w14:textId="2EC6E22E" w:rsidR="00144C4F" w:rsidRPr="00043245" w:rsidRDefault="00144C4F" w:rsidP="00F74EDA">
      <w:pPr>
        <w:spacing w:before="120" w:after="120" w:line="240" w:lineRule="auto"/>
        <w:rPr>
          <w:rFonts w:cstheme="minorHAnsi"/>
          <w:sz w:val="20"/>
          <w:szCs w:val="20"/>
        </w:rPr>
      </w:pPr>
      <w:r w:rsidRPr="00043245">
        <w:rPr>
          <w:rFonts w:cstheme="minorHAnsi"/>
          <w:sz w:val="20"/>
          <w:szCs w:val="20"/>
        </w:rPr>
        <w:t xml:space="preserve">It </w:t>
      </w:r>
      <w:r w:rsidR="007E564A" w:rsidRPr="00043245">
        <w:rPr>
          <w:rFonts w:cstheme="minorHAnsi"/>
          <w:sz w:val="20"/>
          <w:szCs w:val="20"/>
        </w:rPr>
        <w:t>was</w:t>
      </w:r>
      <w:r w:rsidRPr="00043245">
        <w:rPr>
          <w:rFonts w:cstheme="minorHAnsi"/>
          <w:sz w:val="20"/>
          <w:szCs w:val="20"/>
        </w:rPr>
        <w:t xml:space="preserve"> apparent from our review that DNRME have been progressively improving their control environment to address issues and risks as they were identified. This is evident through the introduction of new controls and processes over time; for example placing increased scrutiny on fuel expenditure to recognise the fluctuation in fuel estimates as well as improved procedur</w:t>
      </w:r>
      <w:r w:rsidR="00CD7145" w:rsidRPr="00043245">
        <w:rPr>
          <w:rFonts w:cstheme="minorHAnsi"/>
          <w:sz w:val="20"/>
          <w:szCs w:val="20"/>
        </w:rPr>
        <w:t>al</w:t>
      </w:r>
      <w:r w:rsidRPr="00043245">
        <w:rPr>
          <w:rFonts w:cstheme="minorHAnsi"/>
          <w:sz w:val="20"/>
          <w:szCs w:val="20"/>
        </w:rPr>
        <w:t xml:space="preserve"> documentation to </w:t>
      </w:r>
      <w:r w:rsidR="005B2E4E" w:rsidRPr="00043245">
        <w:rPr>
          <w:rFonts w:cstheme="minorHAnsi"/>
          <w:sz w:val="20"/>
          <w:szCs w:val="20"/>
        </w:rPr>
        <w:t>support assessment of applications</w:t>
      </w:r>
      <w:r w:rsidRPr="00043245">
        <w:rPr>
          <w:rFonts w:cstheme="minorHAnsi"/>
          <w:sz w:val="20"/>
          <w:szCs w:val="20"/>
        </w:rPr>
        <w:t xml:space="preserve">. </w:t>
      </w:r>
    </w:p>
    <w:p w14:paraId="3E309CED" w14:textId="1EDFB988" w:rsidR="00144C4F" w:rsidRPr="00043245" w:rsidRDefault="006C712C" w:rsidP="003E73C2">
      <w:pPr>
        <w:spacing w:before="120" w:after="120" w:line="240" w:lineRule="auto"/>
        <w:rPr>
          <w:rFonts w:cstheme="minorHAnsi"/>
          <w:sz w:val="20"/>
          <w:szCs w:val="20"/>
        </w:rPr>
      </w:pPr>
      <w:r w:rsidRPr="00043245">
        <w:rPr>
          <w:rFonts w:cstheme="minorHAnsi"/>
          <w:sz w:val="20"/>
          <w:szCs w:val="20"/>
        </w:rPr>
        <w:t>While it is not</w:t>
      </w:r>
      <w:r w:rsidR="00144C4F" w:rsidRPr="00043245">
        <w:rPr>
          <w:rFonts w:cstheme="minorHAnsi"/>
          <w:sz w:val="20"/>
          <w:szCs w:val="20"/>
        </w:rPr>
        <w:t xml:space="preserve"> possible to remove all risk, DNRME has established appropriate control structures to effectively manage the use of Commonwealth funds in the administration of the </w:t>
      </w:r>
      <w:r w:rsidR="00A96B9F" w:rsidRPr="00043245">
        <w:rPr>
          <w:rFonts w:cstheme="minorHAnsi"/>
          <w:sz w:val="20"/>
          <w:szCs w:val="20"/>
        </w:rPr>
        <w:t xml:space="preserve">HHWUE </w:t>
      </w:r>
      <w:r w:rsidR="00144C4F" w:rsidRPr="00043245">
        <w:rPr>
          <w:rFonts w:cstheme="minorHAnsi"/>
          <w:sz w:val="20"/>
          <w:szCs w:val="20"/>
        </w:rPr>
        <w:t xml:space="preserve">project. </w:t>
      </w:r>
      <w:r w:rsidR="00144C4F" w:rsidRPr="00043245">
        <w:rPr>
          <w:rFonts w:cstheme="minorHAnsi"/>
          <w:i/>
          <w:sz w:val="20"/>
          <w:szCs w:val="20"/>
        </w:rPr>
        <w:t xml:space="preserve"> </w:t>
      </w:r>
      <w:r w:rsidR="00144C4F" w:rsidRPr="00043245">
        <w:rPr>
          <w:rFonts w:cstheme="minorHAnsi"/>
          <w:sz w:val="20"/>
          <w:szCs w:val="20"/>
        </w:rPr>
        <w:t>Notwithstanding</w:t>
      </w:r>
      <w:r w:rsidR="0082024B" w:rsidRPr="00043245">
        <w:rPr>
          <w:rFonts w:cstheme="minorHAnsi"/>
          <w:sz w:val="20"/>
          <w:szCs w:val="20"/>
        </w:rPr>
        <w:t xml:space="preserve"> this</w:t>
      </w:r>
      <w:r w:rsidR="00144C4F" w:rsidRPr="00043245">
        <w:rPr>
          <w:rFonts w:cstheme="minorHAnsi"/>
          <w:sz w:val="20"/>
          <w:szCs w:val="20"/>
        </w:rPr>
        <w:t xml:space="preserve">, opportunities for </w:t>
      </w:r>
      <w:r w:rsidR="007E564A" w:rsidRPr="00043245">
        <w:rPr>
          <w:rFonts w:cstheme="minorHAnsi"/>
          <w:sz w:val="20"/>
          <w:szCs w:val="20"/>
        </w:rPr>
        <w:t>improvement</w:t>
      </w:r>
      <w:r w:rsidR="00144C4F" w:rsidRPr="00043245">
        <w:rPr>
          <w:rFonts w:cstheme="minorHAnsi"/>
          <w:sz w:val="20"/>
          <w:szCs w:val="20"/>
        </w:rPr>
        <w:t xml:space="preserve"> were </w:t>
      </w:r>
      <w:r w:rsidR="007E564A" w:rsidRPr="00043245">
        <w:rPr>
          <w:rFonts w:cstheme="minorHAnsi"/>
          <w:sz w:val="20"/>
          <w:szCs w:val="20"/>
        </w:rPr>
        <w:t>noted</w:t>
      </w:r>
      <w:r w:rsidR="00144C4F" w:rsidRPr="00043245">
        <w:rPr>
          <w:rFonts w:cstheme="minorHAnsi"/>
          <w:sz w:val="20"/>
          <w:szCs w:val="20"/>
        </w:rPr>
        <w:t xml:space="preserve"> for a small number of issues.  In all cases these </w:t>
      </w:r>
      <w:r w:rsidR="007E564A" w:rsidRPr="00043245">
        <w:rPr>
          <w:rFonts w:cstheme="minorHAnsi"/>
          <w:sz w:val="20"/>
          <w:szCs w:val="20"/>
        </w:rPr>
        <w:t>were</w:t>
      </w:r>
      <w:r w:rsidR="00144C4F" w:rsidRPr="00043245">
        <w:rPr>
          <w:rFonts w:cstheme="minorHAnsi"/>
          <w:sz w:val="20"/>
          <w:szCs w:val="20"/>
        </w:rPr>
        <w:t xml:space="preserve"> relatively minor and not considered systemic control weaknesses. Further detail on these is included in Section 4</w:t>
      </w:r>
      <w:r w:rsidR="00474DAB" w:rsidRPr="00043245">
        <w:rPr>
          <w:rFonts w:cstheme="minorHAnsi"/>
          <w:sz w:val="20"/>
          <w:szCs w:val="20"/>
        </w:rPr>
        <w:t xml:space="preserve"> of this report</w:t>
      </w:r>
      <w:r w:rsidR="00144C4F" w:rsidRPr="00043245">
        <w:rPr>
          <w:rFonts w:cstheme="minorHAnsi"/>
          <w:sz w:val="20"/>
          <w:szCs w:val="20"/>
        </w:rPr>
        <w:t>.</w:t>
      </w:r>
    </w:p>
    <w:p w14:paraId="6A00F913" w14:textId="77777777" w:rsidR="00D14ECC" w:rsidRPr="00043245" w:rsidRDefault="00144C4F" w:rsidP="0069576D">
      <w:pPr>
        <w:spacing w:before="120" w:after="120" w:line="240" w:lineRule="auto"/>
        <w:ind w:right="68"/>
        <w:rPr>
          <w:rFonts w:cstheme="minorHAnsi"/>
          <w:sz w:val="20"/>
          <w:szCs w:val="20"/>
        </w:rPr>
      </w:pPr>
      <w:r w:rsidRPr="00043245">
        <w:rPr>
          <w:rFonts w:cstheme="minorHAnsi"/>
          <w:sz w:val="20"/>
          <w:szCs w:val="20"/>
        </w:rPr>
        <w:t>This</w:t>
      </w:r>
      <w:r w:rsidR="00D14ECC" w:rsidRPr="00043245">
        <w:rPr>
          <w:rFonts w:cstheme="minorHAnsi"/>
          <w:sz w:val="20"/>
          <w:szCs w:val="20"/>
        </w:rPr>
        <w:t xml:space="preserve"> report has been structured around the </w:t>
      </w:r>
      <w:r w:rsidR="00D12980" w:rsidRPr="00043245">
        <w:rPr>
          <w:rFonts w:cstheme="minorHAnsi"/>
          <w:sz w:val="20"/>
          <w:szCs w:val="20"/>
        </w:rPr>
        <w:t>key program management elements. A</w:t>
      </w:r>
      <w:r w:rsidRPr="00043245">
        <w:rPr>
          <w:rFonts w:cstheme="minorHAnsi"/>
          <w:sz w:val="20"/>
          <w:szCs w:val="20"/>
        </w:rPr>
        <w:t xml:space="preserve"> summary of</w:t>
      </w:r>
      <w:r w:rsidR="006C712C" w:rsidRPr="00043245">
        <w:rPr>
          <w:rFonts w:cstheme="minorHAnsi"/>
          <w:sz w:val="20"/>
          <w:szCs w:val="20"/>
        </w:rPr>
        <w:t xml:space="preserve"> our</w:t>
      </w:r>
      <w:r w:rsidRPr="00043245">
        <w:rPr>
          <w:rFonts w:cstheme="minorHAnsi"/>
          <w:sz w:val="20"/>
          <w:szCs w:val="20"/>
        </w:rPr>
        <w:t xml:space="preserve"> </w:t>
      </w:r>
      <w:r w:rsidR="00D12980" w:rsidRPr="00043245">
        <w:rPr>
          <w:rFonts w:cstheme="minorHAnsi"/>
          <w:sz w:val="20"/>
          <w:szCs w:val="20"/>
        </w:rPr>
        <w:t>overall assessment against these elements is captured in the table below.</w:t>
      </w:r>
    </w:p>
    <w:tbl>
      <w:tblPr>
        <w:tblStyle w:val="TableGrid"/>
        <w:tblW w:w="99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38"/>
        <w:gridCol w:w="8080"/>
      </w:tblGrid>
      <w:tr w:rsidR="00F52F5B" w:rsidRPr="00043245" w14:paraId="42B36FAA" w14:textId="77777777" w:rsidTr="00FF455B">
        <w:trPr>
          <w:tblHeader/>
        </w:trPr>
        <w:tc>
          <w:tcPr>
            <w:tcW w:w="1838" w:type="dxa"/>
            <w:shd w:val="clear" w:color="auto" w:fill="0070C0"/>
          </w:tcPr>
          <w:p w14:paraId="42604AF5" w14:textId="77777777" w:rsidR="00F52F5B" w:rsidRPr="00043245" w:rsidRDefault="00F52F5B" w:rsidP="0069576D">
            <w:pPr>
              <w:spacing w:before="60" w:after="60"/>
              <w:ind w:right="68"/>
              <w:rPr>
                <w:rFonts w:cstheme="minorHAnsi"/>
                <w:b/>
                <w:color w:val="FFFFFF" w:themeColor="background1"/>
                <w:sz w:val="20"/>
                <w:szCs w:val="20"/>
              </w:rPr>
            </w:pPr>
            <w:r w:rsidRPr="00043245">
              <w:rPr>
                <w:rFonts w:cstheme="minorHAnsi"/>
                <w:b/>
                <w:color w:val="FFFFFF" w:themeColor="background1"/>
                <w:sz w:val="20"/>
                <w:szCs w:val="20"/>
              </w:rPr>
              <w:t>Area of Focus</w:t>
            </w:r>
          </w:p>
        </w:tc>
        <w:tc>
          <w:tcPr>
            <w:tcW w:w="8080" w:type="dxa"/>
            <w:shd w:val="clear" w:color="auto" w:fill="0070C0"/>
          </w:tcPr>
          <w:p w14:paraId="032878EB" w14:textId="77777777" w:rsidR="00F52F5B" w:rsidRPr="00043245" w:rsidRDefault="00F52F5B" w:rsidP="0069576D">
            <w:pPr>
              <w:spacing w:before="60" w:after="60"/>
              <w:ind w:right="68"/>
              <w:rPr>
                <w:rFonts w:cstheme="minorHAnsi"/>
                <w:b/>
                <w:color w:val="FFFFFF" w:themeColor="background1"/>
                <w:sz w:val="20"/>
                <w:szCs w:val="20"/>
              </w:rPr>
            </w:pPr>
            <w:r w:rsidRPr="00043245">
              <w:rPr>
                <w:rFonts w:cstheme="minorHAnsi"/>
                <w:b/>
                <w:color w:val="FFFFFF" w:themeColor="background1"/>
                <w:sz w:val="20"/>
                <w:szCs w:val="20"/>
              </w:rPr>
              <w:t xml:space="preserve">Key observations </w:t>
            </w:r>
          </w:p>
        </w:tc>
      </w:tr>
      <w:tr w:rsidR="00F52F5B" w:rsidRPr="00043245" w14:paraId="1DE5963B" w14:textId="77777777" w:rsidTr="00FF455B">
        <w:tc>
          <w:tcPr>
            <w:tcW w:w="1838" w:type="dxa"/>
          </w:tcPr>
          <w:p w14:paraId="78CFB19C" w14:textId="77777777" w:rsidR="00F52F5B" w:rsidRPr="00043245" w:rsidRDefault="00F52F5B" w:rsidP="0069576D">
            <w:pPr>
              <w:spacing w:before="60" w:after="60"/>
              <w:rPr>
                <w:rFonts w:cstheme="minorHAnsi"/>
                <w:sz w:val="20"/>
                <w:szCs w:val="20"/>
              </w:rPr>
            </w:pPr>
            <w:r w:rsidRPr="00043245">
              <w:rPr>
                <w:rFonts w:cstheme="minorHAnsi"/>
                <w:sz w:val="20"/>
                <w:szCs w:val="20"/>
              </w:rPr>
              <w:t xml:space="preserve">Governance and Reporting </w:t>
            </w:r>
          </w:p>
        </w:tc>
        <w:tc>
          <w:tcPr>
            <w:tcW w:w="8080" w:type="dxa"/>
            <w:shd w:val="clear" w:color="auto" w:fill="auto"/>
          </w:tcPr>
          <w:p w14:paraId="52DDB13F" w14:textId="1487EA69" w:rsidR="00F52F5B" w:rsidRPr="00043245" w:rsidRDefault="00474DAB" w:rsidP="005B2E4E">
            <w:pPr>
              <w:spacing w:before="60" w:after="60"/>
              <w:ind w:right="68"/>
              <w:rPr>
                <w:rFonts w:cstheme="minorHAnsi"/>
                <w:sz w:val="20"/>
                <w:szCs w:val="20"/>
              </w:rPr>
            </w:pPr>
            <w:r w:rsidRPr="00043245">
              <w:rPr>
                <w:rFonts w:cstheme="minorHAnsi"/>
                <w:sz w:val="20"/>
                <w:szCs w:val="20"/>
              </w:rPr>
              <w:t xml:space="preserve">Key governance arrangements have been established and were operating for the life of the </w:t>
            </w:r>
            <w:r w:rsidR="00A96B9F" w:rsidRPr="00043245">
              <w:rPr>
                <w:rFonts w:cstheme="minorHAnsi"/>
                <w:sz w:val="20"/>
                <w:szCs w:val="20"/>
              </w:rPr>
              <w:t xml:space="preserve">HHWUE </w:t>
            </w:r>
            <w:r w:rsidRPr="00043245">
              <w:rPr>
                <w:rFonts w:cstheme="minorHAnsi"/>
                <w:sz w:val="20"/>
                <w:szCs w:val="20"/>
              </w:rPr>
              <w:t xml:space="preserve">project. </w:t>
            </w:r>
            <w:r w:rsidR="00357D3C" w:rsidRPr="00043245">
              <w:rPr>
                <w:rFonts w:cstheme="minorHAnsi"/>
                <w:sz w:val="20"/>
                <w:szCs w:val="20"/>
              </w:rPr>
              <w:t>T</w:t>
            </w:r>
            <w:r w:rsidR="00F52F5B" w:rsidRPr="00043245">
              <w:rPr>
                <w:rFonts w:cstheme="minorHAnsi"/>
                <w:sz w:val="20"/>
                <w:szCs w:val="20"/>
              </w:rPr>
              <w:t xml:space="preserve">he level of planning, oversight and reporting </w:t>
            </w:r>
            <w:r w:rsidRPr="00043245">
              <w:rPr>
                <w:rFonts w:cstheme="minorHAnsi"/>
                <w:sz w:val="20"/>
                <w:szCs w:val="20"/>
              </w:rPr>
              <w:t>appeared</w:t>
            </w:r>
            <w:r w:rsidR="00F52F5B" w:rsidRPr="00043245">
              <w:rPr>
                <w:rFonts w:cstheme="minorHAnsi"/>
                <w:sz w:val="20"/>
                <w:szCs w:val="20"/>
              </w:rPr>
              <w:t xml:space="preserve"> commensurate </w:t>
            </w:r>
            <w:r w:rsidR="005B2E4E" w:rsidRPr="00043245">
              <w:rPr>
                <w:rFonts w:cstheme="minorHAnsi"/>
                <w:sz w:val="20"/>
                <w:szCs w:val="20"/>
              </w:rPr>
              <w:t xml:space="preserve">with </w:t>
            </w:r>
            <w:r w:rsidR="00F52F5B" w:rsidRPr="00043245">
              <w:rPr>
                <w:rFonts w:cstheme="minorHAnsi"/>
                <w:sz w:val="20"/>
                <w:szCs w:val="20"/>
              </w:rPr>
              <w:t xml:space="preserve">the size of the </w:t>
            </w:r>
            <w:r w:rsidR="00A96B9F" w:rsidRPr="00043245">
              <w:rPr>
                <w:rFonts w:cstheme="minorHAnsi"/>
                <w:sz w:val="20"/>
                <w:szCs w:val="20"/>
              </w:rPr>
              <w:t xml:space="preserve">HHWUE </w:t>
            </w:r>
            <w:r w:rsidR="0039433A" w:rsidRPr="00043245">
              <w:rPr>
                <w:rFonts w:cstheme="minorHAnsi"/>
                <w:sz w:val="20"/>
                <w:szCs w:val="20"/>
              </w:rPr>
              <w:t>project</w:t>
            </w:r>
            <w:r w:rsidR="00F52F5B" w:rsidRPr="00043245">
              <w:rPr>
                <w:rFonts w:cstheme="minorHAnsi"/>
                <w:sz w:val="20"/>
                <w:szCs w:val="20"/>
              </w:rPr>
              <w:t xml:space="preserve"> and was seen as fit for purpose by both DNRME and DAWR. </w:t>
            </w:r>
          </w:p>
        </w:tc>
      </w:tr>
      <w:tr w:rsidR="00F52F5B" w:rsidRPr="00043245" w14:paraId="4E8A3E2D" w14:textId="77777777" w:rsidTr="00FF455B">
        <w:tc>
          <w:tcPr>
            <w:tcW w:w="1838" w:type="dxa"/>
          </w:tcPr>
          <w:p w14:paraId="0BC10ED5" w14:textId="77777777" w:rsidR="00F52F5B" w:rsidRPr="00043245" w:rsidRDefault="00F52F5B" w:rsidP="0069576D">
            <w:pPr>
              <w:spacing w:before="60" w:after="60"/>
              <w:rPr>
                <w:rFonts w:cstheme="minorHAnsi"/>
                <w:sz w:val="20"/>
                <w:szCs w:val="20"/>
              </w:rPr>
            </w:pPr>
            <w:r w:rsidRPr="00043245">
              <w:rPr>
                <w:rFonts w:cstheme="minorHAnsi"/>
                <w:sz w:val="20"/>
                <w:szCs w:val="20"/>
              </w:rPr>
              <w:t>Application assessment</w:t>
            </w:r>
          </w:p>
        </w:tc>
        <w:tc>
          <w:tcPr>
            <w:tcW w:w="8080" w:type="dxa"/>
            <w:shd w:val="clear" w:color="auto" w:fill="auto"/>
          </w:tcPr>
          <w:p w14:paraId="0862BA1A" w14:textId="67A38BC5" w:rsidR="00F52F5B" w:rsidRPr="00043245" w:rsidRDefault="00F52F5B" w:rsidP="0069576D">
            <w:pPr>
              <w:spacing w:before="60" w:after="60"/>
              <w:ind w:right="68"/>
              <w:rPr>
                <w:rFonts w:cstheme="minorHAnsi"/>
                <w:sz w:val="20"/>
                <w:szCs w:val="20"/>
              </w:rPr>
            </w:pPr>
            <w:r w:rsidRPr="00043245">
              <w:rPr>
                <w:rFonts w:cstheme="minorHAnsi"/>
                <w:sz w:val="20"/>
                <w:szCs w:val="20"/>
              </w:rPr>
              <w:t xml:space="preserve">DNRME have robust and established processes for </w:t>
            </w:r>
            <w:r w:rsidR="006C712C" w:rsidRPr="00043245">
              <w:rPr>
                <w:rFonts w:cstheme="minorHAnsi"/>
                <w:sz w:val="20"/>
                <w:szCs w:val="20"/>
              </w:rPr>
              <w:t xml:space="preserve">the </w:t>
            </w:r>
            <w:r w:rsidRPr="00043245">
              <w:rPr>
                <w:rFonts w:cstheme="minorHAnsi"/>
                <w:sz w:val="20"/>
                <w:szCs w:val="20"/>
              </w:rPr>
              <w:t>assessment and evaluation of HHWUE applications. There appears to be appropriate controls to support transparent and accountable decision making. Assessment processes have evolved over</w:t>
            </w:r>
            <w:r w:rsidR="007C6858" w:rsidRPr="00043245">
              <w:rPr>
                <w:rFonts w:cstheme="minorHAnsi"/>
                <w:sz w:val="20"/>
                <w:szCs w:val="20"/>
              </w:rPr>
              <w:t xml:space="preserve"> </w:t>
            </w:r>
            <w:r w:rsidRPr="00043245">
              <w:rPr>
                <w:rFonts w:cstheme="minorHAnsi"/>
                <w:sz w:val="20"/>
                <w:szCs w:val="20"/>
              </w:rPr>
              <w:t>time to capture lessons learnt</w:t>
            </w:r>
            <w:r w:rsidR="007E564A" w:rsidRPr="00043245">
              <w:rPr>
                <w:rFonts w:cstheme="minorHAnsi"/>
                <w:sz w:val="20"/>
                <w:szCs w:val="20"/>
              </w:rPr>
              <w:t xml:space="preserve"> to inform process improvements.</w:t>
            </w:r>
          </w:p>
        </w:tc>
      </w:tr>
      <w:tr w:rsidR="00F52F5B" w:rsidRPr="00043245" w14:paraId="1088F653" w14:textId="77777777" w:rsidTr="00FF455B">
        <w:trPr>
          <w:trHeight w:val="798"/>
        </w:trPr>
        <w:tc>
          <w:tcPr>
            <w:tcW w:w="1838" w:type="dxa"/>
          </w:tcPr>
          <w:p w14:paraId="2880302C" w14:textId="77777777" w:rsidR="00F52F5B" w:rsidRPr="00043245" w:rsidRDefault="00F52F5B" w:rsidP="00F74EDA">
            <w:pPr>
              <w:spacing w:before="60" w:after="60"/>
              <w:rPr>
                <w:rFonts w:cstheme="minorHAnsi"/>
                <w:sz w:val="20"/>
                <w:szCs w:val="20"/>
              </w:rPr>
            </w:pPr>
            <w:r w:rsidRPr="00043245">
              <w:rPr>
                <w:rFonts w:cstheme="minorHAnsi"/>
                <w:sz w:val="20"/>
                <w:szCs w:val="20"/>
              </w:rPr>
              <w:t>Risk and issue management</w:t>
            </w:r>
          </w:p>
        </w:tc>
        <w:tc>
          <w:tcPr>
            <w:tcW w:w="8080" w:type="dxa"/>
          </w:tcPr>
          <w:p w14:paraId="58C4CA12" w14:textId="77777777" w:rsidR="00F52F5B" w:rsidRPr="00043245" w:rsidRDefault="00F52F5B" w:rsidP="00F74EDA">
            <w:pPr>
              <w:spacing w:before="60" w:after="60"/>
              <w:ind w:right="68"/>
              <w:rPr>
                <w:rFonts w:cstheme="minorHAnsi"/>
                <w:sz w:val="20"/>
                <w:szCs w:val="20"/>
              </w:rPr>
            </w:pPr>
            <w:r w:rsidRPr="00043245">
              <w:rPr>
                <w:rFonts w:cstheme="minorHAnsi"/>
                <w:sz w:val="20"/>
                <w:szCs w:val="20"/>
              </w:rPr>
              <w:t>DNRME</w:t>
            </w:r>
            <w:r w:rsidR="00474DAB" w:rsidRPr="00043245">
              <w:rPr>
                <w:rFonts w:cstheme="minorHAnsi"/>
                <w:sz w:val="20"/>
                <w:szCs w:val="20"/>
              </w:rPr>
              <w:t xml:space="preserve"> has </w:t>
            </w:r>
            <w:r w:rsidR="008774A5" w:rsidRPr="00043245">
              <w:rPr>
                <w:rFonts w:cstheme="minorHAnsi"/>
                <w:sz w:val="20"/>
                <w:szCs w:val="20"/>
              </w:rPr>
              <w:t xml:space="preserve">a </w:t>
            </w:r>
            <w:r w:rsidR="00474DAB" w:rsidRPr="00043245">
              <w:rPr>
                <w:rFonts w:cstheme="minorHAnsi"/>
                <w:sz w:val="20"/>
                <w:szCs w:val="20"/>
              </w:rPr>
              <w:t xml:space="preserve">defined and documented </w:t>
            </w:r>
            <w:r w:rsidRPr="00043245">
              <w:rPr>
                <w:rFonts w:cstheme="minorHAnsi"/>
                <w:sz w:val="20"/>
                <w:szCs w:val="20"/>
              </w:rPr>
              <w:t>approach to identifying, assessing and communicating risks and issues.</w:t>
            </w:r>
            <w:r w:rsidR="00474DAB" w:rsidRPr="00043245">
              <w:rPr>
                <w:rFonts w:cstheme="minorHAnsi"/>
                <w:sz w:val="20"/>
                <w:szCs w:val="20"/>
              </w:rPr>
              <w:t xml:space="preserve"> Risks and issues are regularly reviewed and reported to stakeholders. </w:t>
            </w:r>
            <w:r w:rsidRPr="00043245">
              <w:rPr>
                <w:rFonts w:cstheme="minorHAnsi"/>
                <w:sz w:val="20"/>
                <w:szCs w:val="20"/>
              </w:rPr>
              <w:t xml:space="preserve"> </w:t>
            </w:r>
          </w:p>
        </w:tc>
      </w:tr>
      <w:tr w:rsidR="00F52F5B" w:rsidRPr="00043245" w14:paraId="06A1E111" w14:textId="77777777" w:rsidTr="00FF455B">
        <w:tc>
          <w:tcPr>
            <w:tcW w:w="1838" w:type="dxa"/>
          </w:tcPr>
          <w:p w14:paraId="715E8333" w14:textId="77777777" w:rsidR="00F52F5B" w:rsidRPr="00043245" w:rsidRDefault="00F52F5B" w:rsidP="00F74EDA">
            <w:pPr>
              <w:spacing w:before="60" w:after="60"/>
              <w:rPr>
                <w:rFonts w:cstheme="minorHAnsi"/>
                <w:sz w:val="20"/>
                <w:szCs w:val="20"/>
              </w:rPr>
            </w:pPr>
            <w:r w:rsidRPr="00043245">
              <w:rPr>
                <w:rFonts w:cstheme="minorHAnsi"/>
                <w:sz w:val="20"/>
                <w:szCs w:val="20"/>
              </w:rPr>
              <w:t>Financial management</w:t>
            </w:r>
          </w:p>
        </w:tc>
        <w:tc>
          <w:tcPr>
            <w:tcW w:w="8080" w:type="dxa"/>
          </w:tcPr>
          <w:p w14:paraId="51DC2C72" w14:textId="77777777" w:rsidR="00F52F5B" w:rsidRPr="00043245" w:rsidRDefault="00690029" w:rsidP="00E72B52">
            <w:pPr>
              <w:keepNext/>
              <w:rPr>
                <w:rFonts w:cstheme="minorHAnsi"/>
                <w:sz w:val="20"/>
                <w:szCs w:val="20"/>
              </w:rPr>
            </w:pPr>
            <w:r w:rsidRPr="00043245">
              <w:rPr>
                <w:rFonts w:cstheme="minorHAnsi"/>
                <w:sz w:val="20"/>
                <w:szCs w:val="20"/>
              </w:rPr>
              <w:t xml:space="preserve">DNRME appears to have implemented appropriate financial management systems, processes and controls at both an individual proponent and overall at the HHWUE project level. These processes and controls are designed to support the appropriate use of Commonwealth funds and appear to be fit for purpose. No significant discrepancies or control deficiencies were identified.   </w:t>
            </w:r>
          </w:p>
        </w:tc>
      </w:tr>
      <w:tr w:rsidR="00F52F5B" w:rsidRPr="00043245" w14:paraId="292A004C" w14:textId="77777777" w:rsidTr="00FF455B">
        <w:tc>
          <w:tcPr>
            <w:tcW w:w="1838" w:type="dxa"/>
          </w:tcPr>
          <w:p w14:paraId="0B43FFE1" w14:textId="77777777" w:rsidR="00F52F5B" w:rsidRPr="00043245" w:rsidRDefault="00F52F5B" w:rsidP="00F74EDA">
            <w:pPr>
              <w:spacing w:before="60" w:after="60"/>
              <w:rPr>
                <w:rFonts w:cstheme="minorHAnsi"/>
                <w:sz w:val="20"/>
                <w:szCs w:val="20"/>
              </w:rPr>
            </w:pPr>
            <w:r w:rsidRPr="00043245">
              <w:rPr>
                <w:rFonts w:cstheme="minorHAnsi"/>
                <w:sz w:val="20"/>
                <w:szCs w:val="20"/>
              </w:rPr>
              <w:t xml:space="preserve">Stakeholder engagement </w:t>
            </w:r>
          </w:p>
        </w:tc>
        <w:tc>
          <w:tcPr>
            <w:tcW w:w="8080" w:type="dxa"/>
          </w:tcPr>
          <w:p w14:paraId="4ABBFEC7" w14:textId="60BB90A7" w:rsidR="00F52F5B" w:rsidRPr="00043245" w:rsidRDefault="00F52F5B" w:rsidP="00F74EDA">
            <w:pPr>
              <w:spacing w:before="60" w:after="60"/>
              <w:ind w:right="68"/>
              <w:rPr>
                <w:rFonts w:cstheme="minorHAnsi"/>
                <w:sz w:val="20"/>
                <w:szCs w:val="20"/>
              </w:rPr>
            </w:pPr>
            <w:r w:rsidRPr="00043245">
              <w:rPr>
                <w:rFonts w:cstheme="minorHAnsi"/>
                <w:sz w:val="20"/>
                <w:szCs w:val="20"/>
              </w:rPr>
              <w:t xml:space="preserve">DNRME have planned and implemented </w:t>
            </w:r>
            <w:r w:rsidR="00357D3C" w:rsidRPr="00043245">
              <w:rPr>
                <w:rFonts w:cstheme="minorHAnsi"/>
                <w:sz w:val="20"/>
                <w:szCs w:val="20"/>
              </w:rPr>
              <w:t>various</w:t>
            </w:r>
            <w:r w:rsidRPr="00043245">
              <w:rPr>
                <w:rFonts w:cstheme="minorHAnsi"/>
                <w:sz w:val="20"/>
                <w:szCs w:val="20"/>
              </w:rPr>
              <w:t xml:space="preserve"> mechanisms for engaging and communicating with stakeholders both internally as well as with the broader Queensland community.</w:t>
            </w:r>
            <w:r w:rsidR="00474DAB" w:rsidRPr="00043245">
              <w:rPr>
                <w:rFonts w:cstheme="minorHAnsi"/>
                <w:sz w:val="20"/>
                <w:szCs w:val="20"/>
              </w:rPr>
              <w:t xml:space="preserve"> </w:t>
            </w:r>
          </w:p>
        </w:tc>
      </w:tr>
      <w:tr w:rsidR="00F52F5B" w:rsidRPr="00043245" w14:paraId="0286BC97" w14:textId="77777777" w:rsidTr="00FF455B">
        <w:tc>
          <w:tcPr>
            <w:tcW w:w="1838" w:type="dxa"/>
          </w:tcPr>
          <w:p w14:paraId="4B5A1B95" w14:textId="77777777" w:rsidR="00F52F5B" w:rsidRPr="00043245" w:rsidRDefault="00F52F5B" w:rsidP="00F74EDA">
            <w:pPr>
              <w:spacing w:before="60" w:after="60"/>
              <w:rPr>
                <w:rFonts w:cstheme="minorHAnsi"/>
                <w:sz w:val="20"/>
                <w:szCs w:val="20"/>
              </w:rPr>
            </w:pPr>
            <w:r w:rsidRPr="00043245">
              <w:rPr>
                <w:rFonts w:cstheme="minorHAnsi"/>
                <w:sz w:val="20"/>
                <w:szCs w:val="20"/>
              </w:rPr>
              <w:t>Water Transfer</w:t>
            </w:r>
          </w:p>
        </w:tc>
        <w:tc>
          <w:tcPr>
            <w:tcW w:w="8080" w:type="dxa"/>
          </w:tcPr>
          <w:p w14:paraId="5AE0F0E7" w14:textId="1F722A96" w:rsidR="00F52F5B" w:rsidRPr="00043245" w:rsidRDefault="002E32BD" w:rsidP="00F74EDA">
            <w:pPr>
              <w:spacing w:before="60" w:after="60"/>
              <w:ind w:right="68"/>
              <w:rPr>
                <w:rFonts w:cstheme="minorHAnsi"/>
                <w:sz w:val="20"/>
                <w:szCs w:val="20"/>
              </w:rPr>
            </w:pPr>
            <w:r w:rsidRPr="00043245">
              <w:rPr>
                <w:rFonts w:cstheme="minorHAnsi"/>
                <w:sz w:val="20"/>
                <w:szCs w:val="20"/>
              </w:rPr>
              <w:t xml:space="preserve">DNRME processes have been designed to </w:t>
            </w:r>
            <w:r w:rsidR="00474DAB" w:rsidRPr="00043245">
              <w:rPr>
                <w:rFonts w:cstheme="minorHAnsi"/>
                <w:sz w:val="20"/>
                <w:szCs w:val="20"/>
              </w:rPr>
              <w:t>support</w:t>
            </w:r>
            <w:r w:rsidRPr="00043245">
              <w:rPr>
                <w:rFonts w:cstheme="minorHAnsi"/>
                <w:sz w:val="20"/>
                <w:szCs w:val="20"/>
              </w:rPr>
              <w:t xml:space="preserve"> and coordinate the water transfer process</w:t>
            </w:r>
            <w:r w:rsidR="00474DAB" w:rsidRPr="00043245">
              <w:rPr>
                <w:rFonts w:cstheme="minorHAnsi"/>
                <w:sz w:val="20"/>
                <w:szCs w:val="20"/>
              </w:rPr>
              <w:t xml:space="preserve"> between the proponent and Commonwealth</w:t>
            </w:r>
            <w:r w:rsidRPr="00043245">
              <w:rPr>
                <w:rFonts w:cstheme="minorHAnsi"/>
                <w:sz w:val="20"/>
                <w:szCs w:val="20"/>
              </w:rPr>
              <w:t xml:space="preserve">. DNRME undertake a review </w:t>
            </w:r>
            <w:r w:rsidR="0039433A" w:rsidRPr="00043245">
              <w:rPr>
                <w:rFonts w:cstheme="minorHAnsi"/>
                <w:sz w:val="20"/>
                <w:szCs w:val="20"/>
              </w:rPr>
              <w:t xml:space="preserve">of </w:t>
            </w:r>
            <w:r w:rsidRPr="00043245">
              <w:rPr>
                <w:rFonts w:cstheme="minorHAnsi"/>
                <w:sz w:val="20"/>
                <w:szCs w:val="20"/>
              </w:rPr>
              <w:t>water eligibility and transferability prior to DAWR approval and contractual transfer. DNRME also assist and update proponents during the water transfer process</w:t>
            </w:r>
            <w:r w:rsidR="00CD7145" w:rsidRPr="00043245">
              <w:rPr>
                <w:rFonts w:cstheme="minorHAnsi"/>
                <w:sz w:val="20"/>
                <w:szCs w:val="20"/>
              </w:rPr>
              <w:t>.</w:t>
            </w:r>
          </w:p>
        </w:tc>
      </w:tr>
      <w:tr w:rsidR="00F52F5B" w:rsidRPr="00043245" w14:paraId="07A341C1" w14:textId="77777777" w:rsidTr="00FF455B">
        <w:tc>
          <w:tcPr>
            <w:tcW w:w="1838" w:type="dxa"/>
          </w:tcPr>
          <w:p w14:paraId="05FDAB33" w14:textId="77777777" w:rsidR="00F52F5B" w:rsidRPr="00043245" w:rsidRDefault="00F52F5B" w:rsidP="00F74EDA">
            <w:pPr>
              <w:spacing w:before="60" w:after="60"/>
              <w:ind w:right="68"/>
              <w:rPr>
                <w:rFonts w:cstheme="minorHAnsi"/>
                <w:b/>
                <w:sz w:val="20"/>
                <w:szCs w:val="20"/>
              </w:rPr>
            </w:pPr>
            <w:r w:rsidRPr="00043245">
              <w:rPr>
                <w:rFonts w:cstheme="minorHAnsi"/>
                <w:sz w:val="20"/>
                <w:szCs w:val="20"/>
              </w:rPr>
              <w:t>Project Management</w:t>
            </w:r>
            <w:r w:rsidRPr="00043245">
              <w:rPr>
                <w:rFonts w:cstheme="minorHAnsi"/>
                <w:b/>
                <w:sz w:val="20"/>
                <w:szCs w:val="20"/>
              </w:rPr>
              <w:t xml:space="preserve"> </w:t>
            </w:r>
          </w:p>
        </w:tc>
        <w:tc>
          <w:tcPr>
            <w:tcW w:w="8080" w:type="dxa"/>
          </w:tcPr>
          <w:p w14:paraId="6F9D7BCC" w14:textId="70337977" w:rsidR="00F52F5B" w:rsidRPr="00043245" w:rsidRDefault="002E32BD" w:rsidP="00F74EDA">
            <w:pPr>
              <w:spacing w:before="60" w:after="60"/>
              <w:ind w:right="68"/>
              <w:rPr>
                <w:rFonts w:cstheme="minorHAnsi"/>
                <w:sz w:val="20"/>
                <w:szCs w:val="20"/>
              </w:rPr>
            </w:pPr>
            <w:r w:rsidRPr="00043245">
              <w:rPr>
                <w:rFonts w:cstheme="minorHAnsi"/>
                <w:sz w:val="20"/>
                <w:szCs w:val="20"/>
              </w:rPr>
              <w:t>DNRME appear to have established appropriate</w:t>
            </w:r>
            <w:r w:rsidR="00357D3C" w:rsidRPr="00043245">
              <w:rPr>
                <w:rFonts w:cstheme="minorHAnsi"/>
                <w:sz w:val="20"/>
                <w:szCs w:val="20"/>
              </w:rPr>
              <w:t xml:space="preserve"> processes</w:t>
            </w:r>
            <w:r w:rsidRPr="00043245">
              <w:rPr>
                <w:rFonts w:cstheme="minorHAnsi"/>
                <w:sz w:val="20"/>
                <w:szCs w:val="20"/>
              </w:rPr>
              <w:t xml:space="preserve"> </w:t>
            </w:r>
            <w:r w:rsidR="00357D3C" w:rsidRPr="00043245">
              <w:rPr>
                <w:rFonts w:cstheme="minorHAnsi"/>
                <w:sz w:val="20"/>
                <w:szCs w:val="20"/>
              </w:rPr>
              <w:t xml:space="preserve">to manage and monitor proponent projects in accordance with the requirements as set out in proponent works agreements and WMPA. </w:t>
            </w:r>
          </w:p>
        </w:tc>
      </w:tr>
      <w:tr w:rsidR="00F52F5B" w:rsidRPr="00043245" w14:paraId="24A05B8A" w14:textId="77777777" w:rsidTr="00FF455B">
        <w:tc>
          <w:tcPr>
            <w:tcW w:w="1838" w:type="dxa"/>
          </w:tcPr>
          <w:p w14:paraId="1D1E4F06" w14:textId="77777777" w:rsidR="00F52F5B" w:rsidRPr="00043245" w:rsidRDefault="00F52F5B" w:rsidP="00F74EDA">
            <w:pPr>
              <w:spacing w:before="60" w:after="60"/>
              <w:rPr>
                <w:rFonts w:cstheme="minorHAnsi"/>
                <w:sz w:val="20"/>
                <w:szCs w:val="20"/>
              </w:rPr>
            </w:pPr>
            <w:r w:rsidRPr="00043245">
              <w:rPr>
                <w:rFonts w:cstheme="minorHAnsi"/>
                <w:sz w:val="20"/>
                <w:szCs w:val="20"/>
              </w:rPr>
              <w:t>On-ground verification</w:t>
            </w:r>
          </w:p>
        </w:tc>
        <w:tc>
          <w:tcPr>
            <w:tcW w:w="8080" w:type="dxa"/>
          </w:tcPr>
          <w:p w14:paraId="2ECA5EB7" w14:textId="77777777" w:rsidR="00F52F5B" w:rsidRPr="00043245" w:rsidRDefault="002E32BD" w:rsidP="00F74EDA">
            <w:pPr>
              <w:spacing w:before="60" w:after="60"/>
              <w:ind w:right="68"/>
              <w:rPr>
                <w:rFonts w:cstheme="minorHAnsi"/>
                <w:sz w:val="20"/>
                <w:szCs w:val="20"/>
              </w:rPr>
            </w:pPr>
            <w:r w:rsidRPr="00043245">
              <w:rPr>
                <w:rFonts w:cstheme="minorHAnsi"/>
                <w:sz w:val="20"/>
                <w:szCs w:val="20"/>
              </w:rPr>
              <w:t>From visual inspection, installed works appear</w:t>
            </w:r>
            <w:r w:rsidR="00474DAB" w:rsidRPr="00043245">
              <w:rPr>
                <w:rFonts w:cstheme="minorHAnsi"/>
                <w:sz w:val="20"/>
                <w:szCs w:val="20"/>
              </w:rPr>
              <w:t xml:space="preserve">ed </w:t>
            </w:r>
            <w:r w:rsidRPr="00043245">
              <w:rPr>
                <w:rFonts w:cstheme="minorHAnsi"/>
                <w:sz w:val="20"/>
                <w:szCs w:val="20"/>
              </w:rPr>
              <w:t xml:space="preserve">to correspond with the documentation provided, specifically, scope </w:t>
            </w:r>
            <w:r w:rsidR="00474DAB" w:rsidRPr="00043245">
              <w:rPr>
                <w:rFonts w:cstheme="minorHAnsi"/>
                <w:sz w:val="20"/>
                <w:szCs w:val="20"/>
              </w:rPr>
              <w:t xml:space="preserve">and progress </w:t>
            </w:r>
            <w:r w:rsidRPr="00043245">
              <w:rPr>
                <w:rFonts w:cstheme="minorHAnsi"/>
                <w:sz w:val="20"/>
                <w:szCs w:val="20"/>
              </w:rPr>
              <w:t>of works</w:t>
            </w:r>
            <w:r w:rsidR="00474DAB" w:rsidRPr="00043245">
              <w:rPr>
                <w:rFonts w:cstheme="minorHAnsi"/>
                <w:sz w:val="20"/>
                <w:szCs w:val="20"/>
              </w:rPr>
              <w:t xml:space="preserve"> reported</w:t>
            </w:r>
            <w:r w:rsidRPr="00043245">
              <w:rPr>
                <w:rFonts w:cstheme="minorHAnsi"/>
                <w:sz w:val="20"/>
                <w:szCs w:val="20"/>
              </w:rPr>
              <w:t xml:space="preserve"> in the approved application, milestone inspection reports and/or final commissioning report. </w:t>
            </w:r>
          </w:p>
        </w:tc>
      </w:tr>
    </w:tbl>
    <w:p w14:paraId="36E4746E" w14:textId="77777777" w:rsidR="00ED4594" w:rsidRPr="00043245" w:rsidRDefault="002E7B93" w:rsidP="00F74EDA">
      <w:pPr>
        <w:spacing w:before="120" w:after="120" w:line="240" w:lineRule="auto"/>
        <w:rPr>
          <w:rFonts w:cstheme="minorHAnsi"/>
          <w:sz w:val="20"/>
          <w:szCs w:val="20"/>
        </w:rPr>
      </w:pPr>
      <w:r w:rsidRPr="00043245">
        <w:rPr>
          <w:rFonts w:cstheme="minorHAnsi"/>
          <w:sz w:val="20"/>
          <w:szCs w:val="20"/>
        </w:rPr>
        <w:t xml:space="preserve">Whilst not the purpose of this review, no instances of fraudulent transactions or behaviours were identified during the course of our fieldwork.  </w:t>
      </w:r>
    </w:p>
    <w:p w14:paraId="75537BBF" w14:textId="77777777" w:rsidR="00816561" w:rsidRPr="00043245" w:rsidRDefault="0097725F" w:rsidP="00336886">
      <w:pPr>
        <w:pStyle w:val="Heading1"/>
        <w:rPr>
          <w:rFonts w:asciiTheme="minorHAnsi" w:hAnsiTheme="minorHAnsi" w:cstheme="minorHAnsi"/>
          <w:sz w:val="72"/>
          <w:szCs w:val="72"/>
        </w:rPr>
      </w:pPr>
      <w:bookmarkStart w:id="16" w:name="_Toc522868860"/>
      <w:bookmarkStart w:id="17" w:name="_Toc522868861"/>
      <w:bookmarkStart w:id="18" w:name="_Toc528653247"/>
      <w:bookmarkEnd w:id="16"/>
      <w:bookmarkEnd w:id="17"/>
      <w:r w:rsidRPr="00043245">
        <w:rPr>
          <w:rFonts w:asciiTheme="minorHAnsi" w:hAnsiTheme="minorHAnsi" w:cstheme="minorHAnsi"/>
          <w:sz w:val="72"/>
          <w:szCs w:val="72"/>
        </w:rPr>
        <w:t>Findings and Observations</w:t>
      </w:r>
      <w:bookmarkEnd w:id="18"/>
    </w:p>
    <w:p w14:paraId="1EBF3BC9" w14:textId="77777777" w:rsidR="00C42CBA" w:rsidRPr="00043245" w:rsidRDefault="00C42CBA" w:rsidP="000722AF">
      <w:pPr>
        <w:pStyle w:val="Heading2"/>
        <w:rPr>
          <w:rFonts w:asciiTheme="minorHAnsi" w:hAnsiTheme="minorHAnsi" w:cstheme="minorHAnsi"/>
        </w:rPr>
      </w:pPr>
      <w:bookmarkStart w:id="19" w:name="_Toc528653248"/>
      <w:r w:rsidRPr="00043245">
        <w:rPr>
          <w:rFonts w:asciiTheme="minorHAnsi" w:hAnsiTheme="minorHAnsi" w:cstheme="minorHAnsi"/>
        </w:rPr>
        <w:t>Governance and reporting</w:t>
      </w:r>
      <w:bookmarkEnd w:id="19"/>
    </w:p>
    <w:p w14:paraId="296548FD" w14:textId="3D14C846" w:rsidR="00AC5F8F" w:rsidRPr="00043245" w:rsidRDefault="00474DAB" w:rsidP="00F74EDA">
      <w:pPr>
        <w:shd w:val="clear" w:color="auto" w:fill="E7E6E6" w:themeFill="background2"/>
        <w:spacing w:before="120" w:after="120" w:line="240" w:lineRule="auto"/>
        <w:rPr>
          <w:rFonts w:cstheme="minorHAnsi"/>
          <w:sz w:val="20"/>
          <w:szCs w:val="20"/>
        </w:rPr>
      </w:pPr>
      <w:r w:rsidRPr="00043245">
        <w:rPr>
          <w:rFonts w:cstheme="minorHAnsi"/>
          <w:i/>
          <w:sz w:val="20"/>
          <w:szCs w:val="20"/>
        </w:rPr>
        <w:t xml:space="preserve">Key governance arrangements have been established and were operating for the life of the </w:t>
      </w:r>
      <w:r w:rsidR="005E619B" w:rsidRPr="00043245">
        <w:rPr>
          <w:rFonts w:cstheme="minorHAnsi"/>
          <w:i/>
          <w:sz w:val="20"/>
          <w:szCs w:val="20"/>
        </w:rPr>
        <w:t xml:space="preserve">HHWUE </w:t>
      </w:r>
      <w:r w:rsidRPr="00043245">
        <w:rPr>
          <w:rFonts w:cstheme="minorHAnsi"/>
          <w:i/>
          <w:sz w:val="20"/>
          <w:szCs w:val="20"/>
        </w:rPr>
        <w:t xml:space="preserve">project. The level of planning, oversight and reporting appeared commensurate to the size of the </w:t>
      </w:r>
      <w:r w:rsidR="005E619B" w:rsidRPr="00043245">
        <w:rPr>
          <w:rFonts w:cstheme="minorHAnsi"/>
          <w:i/>
          <w:sz w:val="20"/>
          <w:szCs w:val="20"/>
        </w:rPr>
        <w:t xml:space="preserve">HHWUE </w:t>
      </w:r>
      <w:r w:rsidR="0039433A" w:rsidRPr="00043245">
        <w:rPr>
          <w:rFonts w:cstheme="minorHAnsi"/>
          <w:i/>
          <w:sz w:val="20"/>
          <w:szCs w:val="20"/>
        </w:rPr>
        <w:t>project</w:t>
      </w:r>
      <w:r w:rsidR="0039433A" w:rsidRPr="00043245" w:rsidDel="0039433A">
        <w:rPr>
          <w:rFonts w:cstheme="minorHAnsi"/>
          <w:i/>
          <w:sz w:val="20"/>
          <w:szCs w:val="20"/>
        </w:rPr>
        <w:t xml:space="preserve"> </w:t>
      </w:r>
      <w:r w:rsidRPr="00043245">
        <w:rPr>
          <w:rFonts w:cstheme="minorHAnsi"/>
          <w:i/>
          <w:sz w:val="20"/>
          <w:szCs w:val="20"/>
        </w:rPr>
        <w:t xml:space="preserve">and was seen as fit for purpose by both DNRME and DAWR. </w:t>
      </w:r>
    </w:p>
    <w:p w14:paraId="2DADE9E1" w14:textId="77777777" w:rsidR="00F955B8" w:rsidRPr="00043245" w:rsidRDefault="00F955B8" w:rsidP="00F955B8">
      <w:pPr>
        <w:spacing w:before="120" w:after="120" w:line="240" w:lineRule="auto"/>
        <w:rPr>
          <w:rFonts w:cstheme="minorHAnsi"/>
          <w:sz w:val="20"/>
          <w:szCs w:val="20"/>
        </w:rPr>
      </w:pPr>
      <w:r w:rsidRPr="00043245">
        <w:rPr>
          <w:rFonts w:cstheme="minorHAnsi"/>
          <w:sz w:val="20"/>
          <w:szCs w:val="20"/>
        </w:rPr>
        <w:t xml:space="preserve">KPMG considered the governance mechanisms established to manage and implement the </w:t>
      </w:r>
      <w:r w:rsidR="00BE1991" w:rsidRPr="00043245">
        <w:rPr>
          <w:rFonts w:cstheme="minorHAnsi"/>
          <w:sz w:val="20"/>
          <w:szCs w:val="20"/>
        </w:rPr>
        <w:t>HHWUE</w:t>
      </w:r>
      <w:r w:rsidRPr="00043245">
        <w:rPr>
          <w:rFonts w:cstheme="minorHAnsi"/>
          <w:sz w:val="20"/>
          <w:szCs w:val="20"/>
        </w:rPr>
        <w:t xml:space="preserve"> project. This included:</w:t>
      </w:r>
    </w:p>
    <w:p w14:paraId="03F219A9" w14:textId="77777777" w:rsidR="00F955B8" w:rsidRPr="00043245" w:rsidRDefault="00F955B8" w:rsidP="00DA0057">
      <w:pPr>
        <w:pStyle w:val="ListParagraph"/>
        <w:numPr>
          <w:ilvl w:val="0"/>
          <w:numId w:val="7"/>
        </w:numPr>
        <w:spacing w:before="120" w:after="120" w:line="240" w:lineRule="auto"/>
        <w:rPr>
          <w:rFonts w:cstheme="minorHAnsi"/>
          <w:sz w:val="20"/>
          <w:szCs w:val="20"/>
        </w:rPr>
      </w:pPr>
      <w:r w:rsidRPr="00043245">
        <w:rPr>
          <w:rFonts w:cstheme="minorHAnsi"/>
          <w:sz w:val="20"/>
          <w:szCs w:val="20"/>
        </w:rPr>
        <w:t>Establishment of a clear governance structure</w:t>
      </w:r>
      <w:r w:rsidR="008774A5" w:rsidRPr="00043245">
        <w:rPr>
          <w:rFonts w:cstheme="minorHAnsi"/>
          <w:sz w:val="20"/>
          <w:szCs w:val="20"/>
        </w:rPr>
        <w:t>.</w:t>
      </w:r>
      <w:r w:rsidRPr="00043245">
        <w:rPr>
          <w:rFonts w:cstheme="minorHAnsi"/>
          <w:sz w:val="20"/>
          <w:szCs w:val="20"/>
        </w:rPr>
        <w:t xml:space="preserve"> </w:t>
      </w:r>
    </w:p>
    <w:p w14:paraId="79CF0F5B" w14:textId="77777777" w:rsidR="00F955B8" w:rsidRPr="00043245" w:rsidRDefault="00F955B8" w:rsidP="00DA0057">
      <w:pPr>
        <w:pStyle w:val="ListParagraph"/>
        <w:numPr>
          <w:ilvl w:val="0"/>
          <w:numId w:val="7"/>
        </w:numPr>
        <w:spacing w:before="120" w:after="120" w:line="240" w:lineRule="auto"/>
        <w:rPr>
          <w:rFonts w:cstheme="minorHAnsi"/>
          <w:sz w:val="20"/>
          <w:szCs w:val="20"/>
        </w:rPr>
      </w:pPr>
      <w:r w:rsidRPr="00043245">
        <w:rPr>
          <w:rFonts w:cstheme="minorHAnsi"/>
          <w:sz w:val="20"/>
          <w:szCs w:val="20"/>
        </w:rPr>
        <w:t>Defined roles and responsibilities</w:t>
      </w:r>
      <w:r w:rsidR="008774A5" w:rsidRPr="00043245">
        <w:rPr>
          <w:rFonts w:cstheme="minorHAnsi"/>
          <w:sz w:val="20"/>
          <w:szCs w:val="20"/>
        </w:rPr>
        <w:t>.</w:t>
      </w:r>
    </w:p>
    <w:p w14:paraId="178D0149" w14:textId="77777777" w:rsidR="00F955B8" w:rsidRPr="00043245" w:rsidRDefault="00F955B8" w:rsidP="00DA0057">
      <w:pPr>
        <w:pStyle w:val="ListParagraph"/>
        <w:numPr>
          <w:ilvl w:val="0"/>
          <w:numId w:val="7"/>
        </w:numPr>
        <w:spacing w:before="120" w:after="120" w:line="240" w:lineRule="auto"/>
        <w:ind w:left="357" w:hanging="357"/>
        <w:contextualSpacing w:val="0"/>
        <w:rPr>
          <w:rFonts w:cstheme="minorHAnsi"/>
          <w:sz w:val="20"/>
          <w:szCs w:val="20"/>
        </w:rPr>
      </w:pPr>
      <w:r w:rsidRPr="00043245">
        <w:rPr>
          <w:rFonts w:cstheme="minorHAnsi"/>
          <w:sz w:val="20"/>
          <w:szCs w:val="20"/>
        </w:rPr>
        <w:t>Regular, timely and fit for purpose reporting.</w:t>
      </w:r>
    </w:p>
    <w:p w14:paraId="1776FE4D" w14:textId="77777777" w:rsidR="0017330F" w:rsidRPr="00043245" w:rsidRDefault="0017330F" w:rsidP="003E73C2">
      <w:pPr>
        <w:spacing w:before="120" w:after="120" w:line="240" w:lineRule="auto"/>
        <w:rPr>
          <w:rFonts w:cstheme="minorHAnsi"/>
          <w:sz w:val="20"/>
          <w:szCs w:val="20"/>
        </w:rPr>
      </w:pPr>
      <w:r w:rsidRPr="00043245">
        <w:rPr>
          <w:rFonts w:cstheme="minorHAnsi"/>
          <w:sz w:val="20"/>
          <w:szCs w:val="20"/>
        </w:rPr>
        <w:t xml:space="preserve">The high-level structure and operation of the </w:t>
      </w:r>
      <w:r w:rsidR="00BE1991" w:rsidRPr="00043245">
        <w:rPr>
          <w:rFonts w:cstheme="minorHAnsi"/>
          <w:sz w:val="20"/>
          <w:szCs w:val="20"/>
        </w:rPr>
        <w:t>HHWUE</w:t>
      </w:r>
      <w:r w:rsidRPr="00043245">
        <w:rPr>
          <w:rFonts w:cstheme="minorHAnsi"/>
          <w:sz w:val="20"/>
          <w:szCs w:val="20"/>
        </w:rPr>
        <w:t xml:space="preserve"> project is described in the WMPA and the accompanying project schedule between DNRME and </w:t>
      </w:r>
      <w:r w:rsidR="005C7F2B" w:rsidRPr="00043245">
        <w:rPr>
          <w:rFonts w:cstheme="minorHAnsi"/>
          <w:sz w:val="20"/>
          <w:szCs w:val="20"/>
        </w:rPr>
        <w:t xml:space="preserve">the </w:t>
      </w:r>
      <w:r w:rsidRPr="00043245">
        <w:rPr>
          <w:rFonts w:cstheme="minorHAnsi"/>
          <w:sz w:val="20"/>
          <w:szCs w:val="20"/>
        </w:rPr>
        <w:t>Commonwealth</w:t>
      </w:r>
      <w:r w:rsidR="00506E89" w:rsidRPr="00043245">
        <w:rPr>
          <w:rFonts w:cstheme="minorHAnsi"/>
          <w:sz w:val="20"/>
          <w:szCs w:val="20"/>
        </w:rPr>
        <w:t xml:space="preserve"> represented by DAWR</w:t>
      </w:r>
      <w:r w:rsidRPr="00043245">
        <w:rPr>
          <w:rFonts w:cstheme="minorHAnsi"/>
          <w:sz w:val="20"/>
          <w:szCs w:val="20"/>
        </w:rPr>
        <w:t xml:space="preserve">. This includes high-level responsibilities of DAWR and DNRME, project milestones and inter-governmental governance arrangements. </w:t>
      </w:r>
      <w:r w:rsidR="00506E89" w:rsidRPr="00043245">
        <w:rPr>
          <w:rFonts w:cstheme="minorHAnsi"/>
          <w:sz w:val="20"/>
          <w:szCs w:val="20"/>
        </w:rPr>
        <w:t>The WMPA schedule was</w:t>
      </w:r>
      <w:r w:rsidR="00685E91" w:rsidRPr="00043245">
        <w:rPr>
          <w:rFonts w:cstheme="minorHAnsi"/>
          <w:sz w:val="20"/>
          <w:szCs w:val="20"/>
        </w:rPr>
        <w:t xml:space="preserve"> regularly updated to reflect annual activity via an annual project plan. </w:t>
      </w:r>
    </w:p>
    <w:p w14:paraId="4B068CF7" w14:textId="77777777" w:rsidR="00DF1D02" w:rsidRPr="00043245" w:rsidRDefault="0017330F" w:rsidP="003E73C2">
      <w:pPr>
        <w:spacing w:before="120" w:after="120" w:line="240" w:lineRule="auto"/>
        <w:rPr>
          <w:rFonts w:cstheme="minorHAnsi"/>
          <w:sz w:val="20"/>
          <w:szCs w:val="20"/>
        </w:rPr>
      </w:pPr>
      <w:r w:rsidRPr="00043245">
        <w:rPr>
          <w:rFonts w:cstheme="minorHAnsi"/>
          <w:sz w:val="20"/>
          <w:szCs w:val="20"/>
        </w:rPr>
        <w:t>The primary inter</w:t>
      </w:r>
      <w:r w:rsidR="005133A3" w:rsidRPr="00043245">
        <w:rPr>
          <w:rFonts w:cstheme="minorHAnsi"/>
          <w:sz w:val="20"/>
          <w:szCs w:val="20"/>
        </w:rPr>
        <w:t>-</w:t>
      </w:r>
      <w:r w:rsidRPr="00043245">
        <w:rPr>
          <w:rFonts w:cstheme="minorHAnsi"/>
          <w:sz w:val="20"/>
          <w:szCs w:val="20"/>
        </w:rPr>
        <w:t>agency governance and oversight forum is the Project Overview Group</w:t>
      </w:r>
      <w:r w:rsidR="00DF1D02" w:rsidRPr="00043245">
        <w:rPr>
          <w:rFonts w:cstheme="minorHAnsi"/>
          <w:sz w:val="20"/>
          <w:szCs w:val="20"/>
        </w:rPr>
        <w:t xml:space="preserve"> (POG) meeting</w:t>
      </w:r>
      <w:r w:rsidRPr="00043245">
        <w:rPr>
          <w:rFonts w:cstheme="minorHAnsi"/>
          <w:sz w:val="20"/>
          <w:szCs w:val="20"/>
        </w:rPr>
        <w:t>.</w:t>
      </w:r>
      <w:r w:rsidR="00DF1D02" w:rsidRPr="00043245">
        <w:rPr>
          <w:rFonts w:cstheme="minorHAnsi"/>
          <w:sz w:val="20"/>
          <w:szCs w:val="20"/>
        </w:rPr>
        <w:t xml:space="preserve"> This is a quarterly meeting held </w:t>
      </w:r>
      <w:r w:rsidR="00506E89" w:rsidRPr="00043245">
        <w:rPr>
          <w:rFonts w:cstheme="minorHAnsi"/>
          <w:sz w:val="20"/>
          <w:szCs w:val="20"/>
        </w:rPr>
        <w:t xml:space="preserve">between </w:t>
      </w:r>
      <w:r w:rsidR="00DF1D02" w:rsidRPr="00043245">
        <w:rPr>
          <w:rFonts w:cstheme="minorHAnsi"/>
          <w:sz w:val="20"/>
          <w:szCs w:val="20"/>
        </w:rPr>
        <w:t>DAWR and DNRME representatives to monitor progr</w:t>
      </w:r>
      <w:r w:rsidR="002F0DC2" w:rsidRPr="00043245">
        <w:rPr>
          <w:rFonts w:cstheme="minorHAnsi"/>
          <w:sz w:val="20"/>
          <w:szCs w:val="20"/>
        </w:rPr>
        <w:t xml:space="preserve">ess against project milestones as well as </w:t>
      </w:r>
      <w:r w:rsidR="002F7F17" w:rsidRPr="00043245">
        <w:rPr>
          <w:rFonts w:cstheme="minorHAnsi"/>
          <w:sz w:val="20"/>
          <w:szCs w:val="20"/>
        </w:rPr>
        <w:t xml:space="preserve">to </w:t>
      </w:r>
      <w:r w:rsidR="002F0DC2" w:rsidRPr="00043245">
        <w:rPr>
          <w:rFonts w:cstheme="minorHAnsi"/>
          <w:sz w:val="20"/>
          <w:szCs w:val="20"/>
        </w:rPr>
        <w:t xml:space="preserve">discuss </w:t>
      </w:r>
      <w:r w:rsidR="00DF1D02" w:rsidRPr="00043245">
        <w:rPr>
          <w:rFonts w:cstheme="minorHAnsi"/>
          <w:sz w:val="20"/>
          <w:szCs w:val="20"/>
        </w:rPr>
        <w:t>financial matters</w:t>
      </w:r>
      <w:r w:rsidR="000C5D78" w:rsidRPr="00043245">
        <w:rPr>
          <w:rFonts w:cstheme="minorHAnsi"/>
          <w:sz w:val="20"/>
          <w:szCs w:val="20"/>
        </w:rPr>
        <w:t>,</w:t>
      </w:r>
      <w:r w:rsidR="00DF1D02" w:rsidRPr="00043245">
        <w:rPr>
          <w:rFonts w:cstheme="minorHAnsi"/>
          <w:sz w:val="20"/>
          <w:szCs w:val="20"/>
        </w:rPr>
        <w:t xml:space="preserve"> and any risks </w:t>
      </w:r>
      <w:r w:rsidR="000C5D78" w:rsidRPr="00043245">
        <w:rPr>
          <w:rFonts w:cstheme="minorHAnsi"/>
          <w:sz w:val="20"/>
          <w:szCs w:val="20"/>
        </w:rPr>
        <w:t>or</w:t>
      </w:r>
      <w:r w:rsidR="00DF1D02" w:rsidRPr="00043245">
        <w:rPr>
          <w:rFonts w:cstheme="minorHAnsi"/>
          <w:sz w:val="20"/>
          <w:szCs w:val="20"/>
        </w:rPr>
        <w:t xml:space="preserve"> issues</w:t>
      </w:r>
      <w:r w:rsidR="000C5D78" w:rsidRPr="00043245">
        <w:rPr>
          <w:rFonts w:cstheme="minorHAnsi"/>
          <w:sz w:val="20"/>
          <w:szCs w:val="20"/>
        </w:rPr>
        <w:t xml:space="preserve"> arising</w:t>
      </w:r>
      <w:r w:rsidR="00DF1D02" w:rsidRPr="00043245">
        <w:rPr>
          <w:rFonts w:cstheme="minorHAnsi"/>
          <w:sz w:val="20"/>
          <w:szCs w:val="20"/>
        </w:rPr>
        <w:t>. POG meetings also represent a scheduled milestone for the project. KPMG found that meetings were being undertaken in accordance with the WMPA schedule</w:t>
      </w:r>
      <w:r w:rsidR="00887334" w:rsidRPr="00043245">
        <w:rPr>
          <w:rFonts w:cstheme="minorHAnsi"/>
          <w:sz w:val="20"/>
          <w:szCs w:val="20"/>
        </w:rPr>
        <w:t>,</w:t>
      </w:r>
      <w:r w:rsidR="00DF1D02" w:rsidRPr="00043245">
        <w:rPr>
          <w:rFonts w:cstheme="minorHAnsi"/>
          <w:sz w:val="20"/>
          <w:szCs w:val="20"/>
        </w:rPr>
        <w:t xml:space="preserve"> and minutes and actions for all meetings </w:t>
      </w:r>
      <w:r w:rsidR="00BE1991" w:rsidRPr="00043245">
        <w:rPr>
          <w:rFonts w:cstheme="minorHAnsi"/>
          <w:sz w:val="20"/>
          <w:szCs w:val="20"/>
        </w:rPr>
        <w:t>were</w:t>
      </w:r>
      <w:r w:rsidR="00DF1D02" w:rsidRPr="00043245">
        <w:rPr>
          <w:rFonts w:cstheme="minorHAnsi"/>
          <w:sz w:val="20"/>
          <w:szCs w:val="20"/>
        </w:rPr>
        <w:t xml:space="preserve"> maintained and available.</w:t>
      </w:r>
    </w:p>
    <w:p w14:paraId="555AB406" w14:textId="53395FD9" w:rsidR="00DF1D02" w:rsidRPr="00043245" w:rsidRDefault="00DF1D02" w:rsidP="00685E91">
      <w:pPr>
        <w:pStyle w:val="ListParagraph"/>
        <w:spacing w:before="120" w:after="120" w:line="240" w:lineRule="auto"/>
        <w:ind w:left="0"/>
        <w:contextualSpacing w:val="0"/>
        <w:rPr>
          <w:rFonts w:cstheme="minorHAnsi"/>
          <w:sz w:val="20"/>
          <w:szCs w:val="20"/>
        </w:rPr>
      </w:pPr>
      <w:r w:rsidRPr="00043245">
        <w:rPr>
          <w:rFonts w:cstheme="minorHAnsi"/>
          <w:sz w:val="20"/>
          <w:szCs w:val="20"/>
        </w:rPr>
        <w:t>Key interagency reporting requirements are also outlined in the schedule to the WMPA, this included quarterly progress report</w:t>
      </w:r>
      <w:r w:rsidR="00887334" w:rsidRPr="00043245">
        <w:rPr>
          <w:rFonts w:cstheme="minorHAnsi"/>
          <w:sz w:val="20"/>
          <w:szCs w:val="20"/>
        </w:rPr>
        <w:t>s</w:t>
      </w:r>
      <w:r w:rsidRPr="00043245">
        <w:rPr>
          <w:rFonts w:cstheme="minorHAnsi"/>
          <w:sz w:val="20"/>
          <w:szCs w:val="20"/>
        </w:rPr>
        <w:t>, mon</w:t>
      </w:r>
      <w:r w:rsidR="000C5D78" w:rsidRPr="00043245">
        <w:rPr>
          <w:rFonts w:cstheme="minorHAnsi"/>
          <w:sz w:val="20"/>
          <w:szCs w:val="20"/>
        </w:rPr>
        <w:t>thly progress project milestone</w:t>
      </w:r>
      <w:r w:rsidRPr="00043245">
        <w:rPr>
          <w:rFonts w:cstheme="minorHAnsi"/>
          <w:sz w:val="20"/>
          <w:szCs w:val="20"/>
        </w:rPr>
        <w:t xml:space="preserve"> report</w:t>
      </w:r>
      <w:r w:rsidR="000C5D78" w:rsidRPr="00043245">
        <w:rPr>
          <w:rFonts w:cstheme="minorHAnsi"/>
          <w:sz w:val="20"/>
          <w:szCs w:val="20"/>
        </w:rPr>
        <w:t>s</w:t>
      </w:r>
      <w:r w:rsidR="00323904" w:rsidRPr="00043245">
        <w:rPr>
          <w:rFonts w:cstheme="minorHAnsi"/>
          <w:sz w:val="20"/>
          <w:szCs w:val="20"/>
        </w:rPr>
        <w:t>,</w:t>
      </w:r>
      <w:r w:rsidRPr="00043245">
        <w:rPr>
          <w:rFonts w:cstheme="minorHAnsi"/>
          <w:sz w:val="20"/>
          <w:szCs w:val="20"/>
        </w:rPr>
        <w:t xml:space="preserve"> and audited general purpose financial statements. </w:t>
      </w:r>
      <w:r w:rsidR="00887334" w:rsidRPr="00043245">
        <w:rPr>
          <w:rFonts w:cstheme="minorHAnsi"/>
          <w:sz w:val="20"/>
          <w:szCs w:val="20"/>
        </w:rPr>
        <w:t>The review found that detailed quarterly progress reports were prepared and presented as part of meeting papers for POG meetings. Outside of this</w:t>
      </w:r>
      <w:r w:rsidR="000C5D78" w:rsidRPr="00043245">
        <w:rPr>
          <w:rFonts w:cstheme="minorHAnsi"/>
          <w:sz w:val="20"/>
          <w:szCs w:val="20"/>
        </w:rPr>
        <w:t>,</w:t>
      </w:r>
      <w:r w:rsidR="00887334" w:rsidRPr="00043245">
        <w:rPr>
          <w:rFonts w:cstheme="minorHAnsi"/>
          <w:sz w:val="20"/>
          <w:szCs w:val="20"/>
        </w:rPr>
        <w:t xml:space="preserve"> regular communication and reporting between DNRME and DAWR also occurred either verbally or</w:t>
      </w:r>
      <w:r w:rsidR="00685E91" w:rsidRPr="00043245">
        <w:rPr>
          <w:rFonts w:cstheme="minorHAnsi"/>
          <w:sz w:val="20"/>
          <w:szCs w:val="20"/>
        </w:rPr>
        <w:t xml:space="preserve"> via email</w:t>
      </w:r>
      <w:r w:rsidR="00887334" w:rsidRPr="00043245">
        <w:rPr>
          <w:rFonts w:cstheme="minorHAnsi"/>
          <w:sz w:val="20"/>
          <w:szCs w:val="20"/>
        </w:rPr>
        <w:t>. Discussion</w:t>
      </w:r>
      <w:r w:rsidR="002F7F17" w:rsidRPr="00043245">
        <w:rPr>
          <w:rFonts w:cstheme="minorHAnsi"/>
          <w:sz w:val="20"/>
          <w:szCs w:val="20"/>
        </w:rPr>
        <w:t>s</w:t>
      </w:r>
      <w:r w:rsidR="00887334" w:rsidRPr="00043245">
        <w:rPr>
          <w:rFonts w:cstheme="minorHAnsi"/>
          <w:sz w:val="20"/>
          <w:szCs w:val="20"/>
        </w:rPr>
        <w:t xml:space="preserve"> with DAWR confirmed that these regular updates were fit for purpose and met the needs of monthly reporting requirements. </w:t>
      </w:r>
      <w:r w:rsidR="00685E91" w:rsidRPr="00043245">
        <w:rPr>
          <w:rFonts w:cstheme="minorHAnsi"/>
          <w:sz w:val="20"/>
          <w:szCs w:val="20"/>
        </w:rPr>
        <w:t xml:space="preserve">Audited </w:t>
      </w:r>
      <w:r w:rsidR="00506E89" w:rsidRPr="00043245">
        <w:rPr>
          <w:rFonts w:cstheme="minorHAnsi"/>
          <w:sz w:val="20"/>
          <w:szCs w:val="20"/>
        </w:rPr>
        <w:t xml:space="preserve">project </w:t>
      </w:r>
      <w:r w:rsidR="00685E91" w:rsidRPr="00043245">
        <w:rPr>
          <w:rFonts w:cstheme="minorHAnsi"/>
          <w:sz w:val="20"/>
          <w:szCs w:val="20"/>
        </w:rPr>
        <w:t xml:space="preserve">financial statements were also sighted in accordance with the WMPA. </w:t>
      </w:r>
    </w:p>
    <w:p w14:paraId="13B93149" w14:textId="77777777" w:rsidR="00DF1D02" w:rsidRPr="00043245" w:rsidRDefault="00DF1D02" w:rsidP="003E73C2">
      <w:pPr>
        <w:spacing w:before="120" w:after="120" w:line="240" w:lineRule="auto"/>
        <w:rPr>
          <w:rFonts w:cstheme="minorHAnsi"/>
          <w:sz w:val="20"/>
          <w:szCs w:val="20"/>
        </w:rPr>
      </w:pPr>
      <w:r w:rsidRPr="00043245">
        <w:rPr>
          <w:rFonts w:cstheme="minorHAnsi"/>
          <w:sz w:val="20"/>
          <w:szCs w:val="20"/>
        </w:rPr>
        <w:t xml:space="preserve">Internal </w:t>
      </w:r>
      <w:r w:rsidR="00506E89" w:rsidRPr="00043245">
        <w:rPr>
          <w:rFonts w:cstheme="minorHAnsi"/>
          <w:sz w:val="20"/>
          <w:szCs w:val="20"/>
        </w:rPr>
        <w:t xml:space="preserve">DNRME </w:t>
      </w:r>
      <w:r w:rsidRPr="00043245">
        <w:rPr>
          <w:rFonts w:cstheme="minorHAnsi"/>
          <w:sz w:val="20"/>
          <w:szCs w:val="20"/>
        </w:rPr>
        <w:t>HHWUE</w:t>
      </w:r>
      <w:r w:rsidR="00506E89" w:rsidRPr="00043245">
        <w:rPr>
          <w:rFonts w:cstheme="minorHAnsi"/>
          <w:sz w:val="20"/>
          <w:szCs w:val="20"/>
        </w:rPr>
        <w:t xml:space="preserve"> project</w:t>
      </w:r>
      <w:r w:rsidRPr="00043245">
        <w:rPr>
          <w:rFonts w:cstheme="minorHAnsi"/>
          <w:sz w:val="20"/>
          <w:szCs w:val="20"/>
        </w:rPr>
        <w:t xml:space="preserve"> governance and reporting mechanisms are </w:t>
      </w:r>
      <w:r w:rsidR="00685E91" w:rsidRPr="00043245">
        <w:rPr>
          <w:rFonts w:cstheme="minorHAnsi"/>
          <w:sz w:val="20"/>
          <w:szCs w:val="20"/>
        </w:rPr>
        <w:t>outlined</w:t>
      </w:r>
      <w:r w:rsidRPr="00043245">
        <w:rPr>
          <w:rFonts w:cstheme="minorHAnsi"/>
          <w:sz w:val="20"/>
          <w:szCs w:val="20"/>
        </w:rPr>
        <w:t xml:space="preserve"> in the </w:t>
      </w:r>
      <w:r w:rsidR="00BE1991" w:rsidRPr="00043245">
        <w:rPr>
          <w:rFonts w:cstheme="minorHAnsi"/>
          <w:i/>
          <w:sz w:val="20"/>
          <w:szCs w:val="20"/>
        </w:rPr>
        <w:t>HHWUE</w:t>
      </w:r>
      <w:r w:rsidRPr="00043245">
        <w:rPr>
          <w:rFonts w:cstheme="minorHAnsi"/>
          <w:i/>
          <w:sz w:val="20"/>
          <w:szCs w:val="20"/>
        </w:rPr>
        <w:t xml:space="preserve"> Program Management Plan.</w:t>
      </w:r>
      <w:r w:rsidR="00887334" w:rsidRPr="00043245">
        <w:rPr>
          <w:rFonts w:cstheme="minorHAnsi"/>
          <w:sz w:val="20"/>
          <w:szCs w:val="20"/>
        </w:rPr>
        <w:t xml:space="preserve"> The plan describe</w:t>
      </w:r>
      <w:r w:rsidR="00685E91" w:rsidRPr="00043245">
        <w:rPr>
          <w:rFonts w:cstheme="minorHAnsi"/>
          <w:sz w:val="20"/>
          <w:szCs w:val="20"/>
        </w:rPr>
        <w:t>s</w:t>
      </w:r>
      <w:r w:rsidR="00887334" w:rsidRPr="00043245">
        <w:rPr>
          <w:rFonts w:cstheme="minorHAnsi"/>
          <w:sz w:val="20"/>
          <w:szCs w:val="20"/>
        </w:rPr>
        <w:t xml:space="preserve"> the process for managing</w:t>
      </w:r>
      <w:r w:rsidR="00F803FD" w:rsidRPr="00043245">
        <w:rPr>
          <w:rFonts w:cstheme="minorHAnsi"/>
          <w:sz w:val="20"/>
          <w:szCs w:val="20"/>
        </w:rPr>
        <w:t xml:space="preserve"> the</w:t>
      </w:r>
      <w:r w:rsidR="00887334" w:rsidRPr="00043245">
        <w:rPr>
          <w:rFonts w:cstheme="minorHAnsi"/>
          <w:sz w:val="20"/>
          <w:szCs w:val="20"/>
        </w:rPr>
        <w:t xml:space="preserve"> HHWUE project, the roles of the team members and the expected outcomes of the project. It serves as a common reference point to guide the work of the team members.</w:t>
      </w:r>
      <w:r w:rsidRPr="00043245">
        <w:rPr>
          <w:rFonts w:cstheme="minorHAnsi"/>
          <w:sz w:val="20"/>
          <w:szCs w:val="20"/>
        </w:rPr>
        <w:t xml:space="preserve"> As outlined in the program management plan, the HHWUE project is managed by the Program Manager who operates within the DNRME South Region management structure.</w:t>
      </w:r>
      <w:r w:rsidR="00685E91" w:rsidRPr="00043245">
        <w:rPr>
          <w:rFonts w:cstheme="minorHAnsi"/>
          <w:sz w:val="20"/>
          <w:szCs w:val="20"/>
        </w:rPr>
        <w:t xml:space="preserve"> The project reports to the Director Basin Implementation</w:t>
      </w:r>
      <w:r w:rsidR="00515B4E" w:rsidRPr="00043245">
        <w:rPr>
          <w:rFonts w:cstheme="minorHAnsi"/>
          <w:sz w:val="20"/>
          <w:szCs w:val="20"/>
        </w:rPr>
        <w:t>.</w:t>
      </w:r>
      <w:r w:rsidR="00685E91" w:rsidRPr="00043245">
        <w:rPr>
          <w:rFonts w:cstheme="minorHAnsi"/>
          <w:sz w:val="20"/>
          <w:szCs w:val="20"/>
        </w:rPr>
        <w:t xml:space="preserve"> Key financial and contractual decisions are made </w:t>
      </w:r>
      <w:r w:rsidR="000C5D78" w:rsidRPr="00043245">
        <w:rPr>
          <w:rFonts w:cstheme="minorHAnsi"/>
          <w:sz w:val="20"/>
          <w:szCs w:val="20"/>
        </w:rPr>
        <w:t xml:space="preserve">by </w:t>
      </w:r>
      <w:r w:rsidR="00685E91" w:rsidRPr="00043245">
        <w:rPr>
          <w:rFonts w:cstheme="minorHAnsi"/>
          <w:sz w:val="20"/>
          <w:szCs w:val="20"/>
        </w:rPr>
        <w:t>the</w:t>
      </w:r>
      <w:r w:rsidR="005C7F2B" w:rsidRPr="00043245">
        <w:rPr>
          <w:rFonts w:cstheme="minorHAnsi"/>
          <w:sz w:val="20"/>
          <w:szCs w:val="20"/>
        </w:rPr>
        <w:t xml:space="preserve"> </w:t>
      </w:r>
      <w:r w:rsidR="00685E91" w:rsidRPr="00043245">
        <w:rPr>
          <w:rFonts w:cstheme="minorHAnsi"/>
          <w:sz w:val="20"/>
          <w:szCs w:val="20"/>
          <w:lang w:eastAsia="en-AU"/>
        </w:rPr>
        <w:t>Executive Director and Deputy Director General</w:t>
      </w:r>
      <w:r w:rsidR="00685E91" w:rsidRPr="00043245">
        <w:rPr>
          <w:rFonts w:cstheme="minorHAnsi"/>
          <w:sz w:val="20"/>
          <w:szCs w:val="20"/>
        </w:rPr>
        <w:t xml:space="preserve"> in accordance with</w:t>
      </w:r>
      <w:r w:rsidR="000C5D78" w:rsidRPr="00043245">
        <w:rPr>
          <w:rFonts w:cstheme="minorHAnsi"/>
          <w:sz w:val="20"/>
          <w:szCs w:val="20"/>
        </w:rPr>
        <w:t xml:space="preserve"> the</w:t>
      </w:r>
      <w:r w:rsidR="00685E91" w:rsidRPr="00043245">
        <w:rPr>
          <w:rFonts w:cstheme="minorHAnsi"/>
          <w:sz w:val="20"/>
          <w:szCs w:val="20"/>
        </w:rPr>
        <w:t xml:space="preserve"> </w:t>
      </w:r>
      <w:r w:rsidR="00515B4E" w:rsidRPr="00043245">
        <w:rPr>
          <w:rFonts w:cstheme="minorHAnsi"/>
          <w:sz w:val="20"/>
          <w:szCs w:val="20"/>
        </w:rPr>
        <w:t>operational</w:t>
      </w:r>
      <w:r w:rsidR="00685E91" w:rsidRPr="00043245">
        <w:rPr>
          <w:rFonts w:cstheme="minorHAnsi"/>
          <w:sz w:val="20"/>
          <w:szCs w:val="20"/>
        </w:rPr>
        <w:t xml:space="preserve"> </w:t>
      </w:r>
      <w:r w:rsidR="000C5D78" w:rsidRPr="00043245">
        <w:rPr>
          <w:rFonts w:cstheme="minorHAnsi"/>
          <w:sz w:val="20"/>
          <w:szCs w:val="20"/>
        </w:rPr>
        <w:t xml:space="preserve">DNRME </w:t>
      </w:r>
      <w:r w:rsidR="00685E91" w:rsidRPr="00043245">
        <w:rPr>
          <w:rFonts w:cstheme="minorHAnsi"/>
          <w:sz w:val="20"/>
          <w:szCs w:val="20"/>
        </w:rPr>
        <w:t>structure.</w:t>
      </w:r>
      <w:r w:rsidRPr="00043245">
        <w:rPr>
          <w:rFonts w:cstheme="minorHAnsi"/>
          <w:sz w:val="20"/>
          <w:szCs w:val="20"/>
        </w:rPr>
        <w:t xml:space="preserve"> </w:t>
      </w:r>
      <w:r w:rsidR="00887334" w:rsidRPr="00043245">
        <w:rPr>
          <w:rFonts w:cstheme="minorHAnsi"/>
          <w:sz w:val="20"/>
          <w:szCs w:val="20"/>
        </w:rPr>
        <w:t xml:space="preserve">KPMG found that </w:t>
      </w:r>
      <w:r w:rsidR="00685E91" w:rsidRPr="00043245">
        <w:rPr>
          <w:rFonts w:cstheme="minorHAnsi"/>
          <w:sz w:val="20"/>
          <w:szCs w:val="20"/>
        </w:rPr>
        <w:t xml:space="preserve">all HHWUE project </w:t>
      </w:r>
      <w:r w:rsidR="00887334" w:rsidRPr="00043245">
        <w:rPr>
          <w:rFonts w:cstheme="minorHAnsi"/>
          <w:sz w:val="20"/>
          <w:szCs w:val="20"/>
        </w:rPr>
        <w:t xml:space="preserve">staff involved had a good understanding of their roles and responsibilities </w:t>
      </w:r>
      <w:r w:rsidR="00685E91" w:rsidRPr="00043245">
        <w:rPr>
          <w:rFonts w:cstheme="minorHAnsi"/>
          <w:sz w:val="20"/>
          <w:szCs w:val="20"/>
        </w:rPr>
        <w:t>and the operation of the HH</w:t>
      </w:r>
      <w:r w:rsidR="00887334" w:rsidRPr="00043245">
        <w:rPr>
          <w:rFonts w:cstheme="minorHAnsi"/>
          <w:sz w:val="20"/>
          <w:szCs w:val="20"/>
        </w:rPr>
        <w:t xml:space="preserve">WUE project. </w:t>
      </w:r>
    </w:p>
    <w:p w14:paraId="42A46E99" w14:textId="5B1ED827" w:rsidR="0050199E" w:rsidRPr="00043245" w:rsidRDefault="005133A3" w:rsidP="00F74EDA">
      <w:pPr>
        <w:spacing w:before="120" w:after="120" w:line="240" w:lineRule="auto"/>
        <w:rPr>
          <w:rFonts w:cstheme="minorHAnsi"/>
          <w:sz w:val="20"/>
          <w:szCs w:val="20"/>
        </w:rPr>
      </w:pPr>
      <w:r w:rsidRPr="00043245">
        <w:rPr>
          <w:rFonts w:cstheme="minorHAnsi"/>
          <w:sz w:val="20"/>
          <w:szCs w:val="20"/>
        </w:rPr>
        <w:t>A monthly</w:t>
      </w:r>
      <w:r w:rsidR="00506E89" w:rsidRPr="00043245">
        <w:rPr>
          <w:rFonts w:cstheme="minorHAnsi"/>
          <w:sz w:val="20"/>
          <w:szCs w:val="20"/>
        </w:rPr>
        <w:t xml:space="preserve"> </w:t>
      </w:r>
      <w:r w:rsidR="00685E91" w:rsidRPr="00043245">
        <w:rPr>
          <w:rFonts w:cstheme="minorHAnsi"/>
          <w:sz w:val="20"/>
          <w:szCs w:val="20"/>
        </w:rPr>
        <w:t>i</w:t>
      </w:r>
      <w:r w:rsidR="0050199E" w:rsidRPr="00043245">
        <w:rPr>
          <w:rFonts w:cstheme="minorHAnsi"/>
          <w:sz w:val="20"/>
          <w:szCs w:val="20"/>
        </w:rPr>
        <w:t>nternal water services progress report</w:t>
      </w:r>
      <w:r w:rsidR="00515B4E" w:rsidRPr="00043245">
        <w:rPr>
          <w:rFonts w:cstheme="minorHAnsi"/>
          <w:sz w:val="20"/>
          <w:szCs w:val="20"/>
        </w:rPr>
        <w:t xml:space="preserve"> </w:t>
      </w:r>
      <w:r w:rsidR="00506E89" w:rsidRPr="00043245">
        <w:rPr>
          <w:rFonts w:cstheme="minorHAnsi"/>
          <w:sz w:val="20"/>
          <w:szCs w:val="20"/>
        </w:rPr>
        <w:t>was</w:t>
      </w:r>
      <w:r w:rsidR="00515B4E" w:rsidRPr="00043245">
        <w:rPr>
          <w:rFonts w:cstheme="minorHAnsi"/>
          <w:sz w:val="20"/>
          <w:szCs w:val="20"/>
        </w:rPr>
        <w:t xml:space="preserve"> </w:t>
      </w:r>
      <w:r w:rsidR="00506E89" w:rsidRPr="00043245">
        <w:rPr>
          <w:rFonts w:cstheme="minorHAnsi"/>
          <w:sz w:val="20"/>
          <w:szCs w:val="20"/>
        </w:rPr>
        <w:t xml:space="preserve">produced </w:t>
      </w:r>
      <w:r w:rsidR="000C5D78" w:rsidRPr="00043245">
        <w:rPr>
          <w:rFonts w:cstheme="minorHAnsi"/>
          <w:sz w:val="20"/>
          <w:szCs w:val="20"/>
        </w:rPr>
        <w:t>for the project</w:t>
      </w:r>
      <w:r w:rsidR="00515B4E" w:rsidRPr="00043245">
        <w:rPr>
          <w:rFonts w:cstheme="minorHAnsi"/>
          <w:sz w:val="20"/>
          <w:szCs w:val="20"/>
        </w:rPr>
        <w:t xml:space="preserve">. </w:t>
      </w:r>
      <w:r w:rsidR="00506E89" w:rsidRPr="00043245">
        <w:rPr>
          <w:rFonts w:cstheme="minorHAnsi"/>
          <w:sz w:val="20"/>
          <w:szCs w:val="20"/>
        </w:rPr>
        <w:t>This</w:t>
      </w:r>
      <w:r w:rsidR="00515B4E" w:rsidRPr="00043245">
        <w:rPr>
          <w:rFonts w:cstheme="minorHAnsi"/>
          <w:sz w:val="20"/>
          <w:szCs w:val="20"/>
        </w:rPr>
        <w:t xml:space="preserve"> highlighted</w:t>
      </w:r>
      <w:r w:rsidR="0050199E" w:rsidRPr="00043245">
        <w:rPr>
          <w:rFonts w:cstheme="minorHAnsi"/>
          <w:sz w:val="20"/>
          <w:szCs w:val="20"/>
        </w:rPr>
        <w:t xml:space="preserve"> progress at the overarching </w:t>
      </w:r>
      <w:r w:rsidR="000D1D26" w:rsidRPr="00043245">
        <w:rPr>
          <w:rFonts w:cstheme="minorHAnsi"/>
          <w:sz w:val="20"/>
          <w:szCs w:val="20"/>
        </w:rPr>
        <w:t xml:space="preserve">HHWUE </w:t>
      </w:r>
      <w:r w:rsidR="008774A5" w:rsidRPr="00043245">
        <w:rPr>
          <w:rFonts w:cstheme="minorHAnsi"/>
          <w:sz w:val="20"/>
          <w:szCs w:val="20"/>
        </w:rPr>
        <w:t>project</w:t>
      </w:r>
      <w:r w:rsidR="008774A5" w:rsidRPr="00043245" w:rsidDel="008774A5">
        <w:rPr>
          <w:rFonts w:cstheme="minorHAnsi"/>
          <w:sz w:val="20"/>
          <w:szCs w:val="20"/>
        </w:rPr>
        <w:t xml:space="preserve"> </w:t>
      </w:r>
      <w:r w:rsidR="0050199E" w:rsidRPr="00043245">
        <w:rPr>
          <w:rFonts w:cstheme="minorHAnsi"/>
          <w:sz w:val="20"/>
          <w:szCs w:val="20"/>
        </w:rPr>
        <w:t>level and details overall status</w:t>
      </w:r>
      <w:r w:rsidR="00323904" w:rsidRPr="00043245">
        <w:rPr>
          <w:rFonts w:cstheme="minorHAnsi"/>
          <w:sz w:val="20"/>
          <w:szCs w:val="20"/>
        </w:rPr>
        <w:t>,</w:t>
      </w:r>
      <w:r w:rsidR="0050199E" w:rsidRPr="00043245">
        <w:rPr>
          <w:rFonts w:cstheme="minorHAnsi"/>
          <w:sz w:val="20"/>
          <w:szCs w:val="20"/>
        </w:rPr>
        <w:t xml:space="preserve"> </w:t>
      </w:r>
      <w:r w:rsidR="00AC5F8F" w:rsidRPr="00043245">
        <w:rPr>
          <w:rFonts w:cstheme="minorHAnsi"/>
          <w:sz w:val="20"/>
          <w:szCs w:val="20"/>
        </w:rPr>
        <w:t xml:space="preserve">as well as </w:t>
      </w:r>
      <w:r w:rsidR="0050199E" w:rsidRPr="00043245">
        <w:rPr>
          <w:rFonts w:cstheme="minorHAnsi"/>
          <w:sz w:val="20"/>
          <w:szCs w:val="20"/>
        </w:rPr>
        <w:t>key achievements and emerging risks on a monthly basis. Tracking is provided against key program milestones such as 'readiness for funding round'</w:t>
      </w:r>
      <w:r w:rsidR="005C7F2B" w:rsidRPr="00043245">
        <w:rPr>
          <w:rFonts w:cstheme="minorHAnsi"/>
          <w:sz w:val="20"/>
          <w:szCs w:val="20"/>
        </w:rPr>
        <w:t>,</w:t>
      </w:r>
      <w:r w:rsidR="0050199E" w:rsidRPr="00043245">
        <w:rPr>
          <w:rFonts w:cstheme="minorHAnsi"/>
          <w:sz w:val="20"/>
          <w:szCs w:val="20"/>
        </w:rPr>
        <w:t xml:space="preserve"> 'audited financials' </w:t>
      </w:r>
      <w:r w:rsidR="005C7F2B" w:rsidRPr="00043245">
        <w:rPr>
          <w:rFonts w:cstheme="minorHAnsi"/>
          <w:sz w:val="20"/>
          <w:szCs w:val="20"/>
        </w:rPr>
        <w:t xml:space="preserve">and </w:t>
      </w:r>
      <w:r w:rsidR="0050199E" w:rsidRPr="00043245">
        <w:rPr>
          <w:rFonts w:cstheme="minorHAnsi"/>
          <w:sz w:val="20"/>
          <w:szCs w:val="20"/>
        </w:rPr>
        <w:t>'quarterly reports'</w:t>
      </w:r>
      <w:r w:rsidR="00685E91" w:rsidRPr="00043245">
        <w:rPr>
          <w:rFonts w:cstheme="minorHAnsi"/>
          <w:sz w:val="20"/>
          <w:szCs w:val="20"/>
        </w:rPr>
        <w:t>.</w:t>
      </w:r>
      <w:r w:rsidR="00515B4E" w:rsidRPr="00043245">
        <w:rPr>
          <w:rFonts w:cstheme="minorHAnsi"/>
          <w:sz w:val="20"/>
          <w:szCs w:val="20"/>
        </w:rPr>
        <w:t xml:space="preserve"> In addition to this, an i</w:t>
      </w:r>
      <w:r w:rsidR="0050199E" w:rsidRPr="00043245">
        <w:rPr>
          <w:rFonts w:cstheme="minorHAnsi"/>
          <w:sz w:val="20"/>
          <w:szCs w:val="20"/>
        </w:rPr>
        <w:t xml:space="preserve">nternal dashboard </w:t>
      </w:r>
      <w:r w:rsidR="000C5D78" w:rsidRPr="00043245">
        <w:rPr>
          <w:rFonts w:cstheme="minorHAnsi"/>
          <w:sz w:val="20"/>
          <w:szCs w:val="20"/>
        </w:rPr>
        <w:t>report was provided to the E</w:t>
      </w:r>
      <w:r w:rsidR="00515B4E" w:rsidRPr="00043245">
        <w:rPr>
          <w:rFonts w:cstheme="minorHAnsi"/>
          <w:sz w:val="20"/>
          <w:szCs w:val="20"/>
        </w:rPr>
        <w:t>xecutive. This included a t</w:t>
      </w:r>
      <w:r w:rsidR="0050199E" w:rsidRPr="00043245">
        <w:rPr>
          <w:rFonts w:cstheme="minorHAnsi"/>
          <w:sz w:val="20"/>
          <w:szCs w:val="20"/>
        </w:rPr>
        <w:t xml:space="preserve">raffic </w:t>
      </w:r>
      <w:r w:rsidR="00515B4E" w:rsidRPr="00043245">
        <w:rPr>
          <w:rFonts w:cstheme="minorHAnsi"/>
          <w:sz w:val="20"/>
          <w:szCs w:val="20"/>
        </w:rPr>
        <w:t>light report which provided</w:t>
      </w:r>
      <w:r w:rsidR="000C5D78" w:rsidRPr="00043245">
        <w:rPr>
          <w:rFonts w:cstheme="minorHAnsi"/>
          <w:sz w:val="20"/>
          <w:szCs w:val="20"/>
        </w:rPr>
        <w:t xml:space="preserve"> a</w:t>
      </w:r>
      <w:r w:rsidR="0050199E" w:rsidRPr="00043245">
        <w:rPr>
          <w:rFonts w:cstheme="minorHAnsi"/>
          <w:sz w:val="20"/>
          <w:szCs w:val="20"/>
        </w:rPr>
        <w:t xml:space="preserve"> high-level status in regards to </w:t>
      </w:r>
      <w:r w:rsidR="000D1D26" w:rsidRPr="00043245">
        <w:rPr>
          <w:rFonts w:cstheme="minorHAnsi"/>
          <w:sz w:val="20"/>
          <w:szCs w:val="20"/>
        </w:rPr>
        <w:t xml:space="preserve">HHWUE </w:t>
      </w:r>
      <w:r w:rsidR="008774A5" w:rsidRPr="00043245">
        <w:rPr>
          <w:rFonts w:cstheme="minorHAnsi"/>
          <w:sz w:val="20"/>
          <w:szCs w:val="20"/>
        </w:rPr>
        <w:t>project</w:t>
      </w:r>
      <w:r w:rsidR="0050199E" w:rsidRPr="00043245">
        <w:rPr>
          <w:rFonts w:cstheme="minorHAnsi"/>
          <w:sz w:val="20"/>
          <w:szCs w:val="20"/>
        </w:rPr>
        <w:t xml:space="preserve"> </w:t>
      </w:r>
      <w:r w:rsidR="00515B4E" w:rsidRPr="00043245">
        <w:rPr>
          <w:rFonts w:cstheme="minorHAnsi"/>
          <w:sz w:val="20"/>
          <w:szCs w:val="20"/>
        </w:rPr>
        <w:t>progress towards quarterly r</w:t>
      </w:r>
      <w:r w:rsidR="0050199E" w:rsidRPr="00043245">
        <w:rPr>
          <w:rFonts w:cstheme="minorHAnsi"/>
          <w:sz w:val="20"/>
          <w:szCs w:val="20"/>
        </w:rPr>
        <w:t>eports to be sub</w:t>
      </w:r>
      <w:r w:rsidR="00515B4E" w:rsidRPr="00043245">
        <w:rPr>
          <w:rFonts w:cstheme="minorHAnsi"/>
          <w:sz w:val="20"/>
          <w:szCs w:val="20"/>
        </w:rPr>
        <w:t xml:space="preserve">mitted to </w:t>
      </w:r>
      <w:r w:rsidR="00F803FD" w:rsidRPr="00043245">
        <w:rPr>
          <w:rFonts w:cstheme="minorHAnsi"/>
          <w:sz w:val="20"/>
          <w:szCs w:val="20"/>
        </w:rPr>
        <w:t>DAWR</w:t>
      </w:r>
      <w:r w:rsidR="0050199E" w:rsidRPr="00043245">
        <w:rPr>
          <w:rFonts w:cstheme="minorHAnsi"/>
          <w:sz w:val="20"/>
          <w:szCs w:val="20"/>
        </w:rPr>
        <w:t>.</w:t>
      </w:r>
    </w:p>
    <w:p w14:paraId="3933BC73" w14:textId="2592014A" w:rsidR="003E73C2" w:rsidRPr="00043245" w:rsidRDefault="003E73C2" w:rsidP="00F74EDA">
      <w:pPr>
        <w:spacing w:before="120" w:after="120" w:line="240" w:lineRule="auto"/>
        <w:rPr>
          <w:rFonts w:cstheme="minorHAnsi"/>
          <w:sz w:val="20"/>
          <w:szCs w:val="20"/>
        </w:rPr>
      </w:pPr>
      <w:r w:rsidRPr="00043245">
        <w:rPr>
          <w:rFonts w:cstheme="minorHAnsi"/>
          <w:sz w:val="20"/>
        </w:rPr>
        <w:t>KPMG did not identify any non-compliance or significant control weaknesses related governance and reporting processes.</w:t>
      </w:r>
    </w:p>
    <w:p w14:paraId="10D14B97" w14:textId="4E1BD6DA" w:rsidR="003E345A" w:rsidRPr="00043245" w:rsidRDefault="005B2E4E" w:rsidP="00606F0A">
      <w:pPr>
        <w:pStyle w:val="Heading2"/>
        <w:keepNext/>
        <w:keepLines/>
        <w:rPr>
          <w:rFonts w:asciiTheme="minorHAnsi" w:hAnsiTheme="minorHAnsi" w:cstheme="minorHAnsi"/>
        </w:rPr>
      </w:pPr>
      <w:bookmarkStart w:id="20" w:name="_Toc528653249"/>
      <w:r w:rsidRPr="00043245">
        <w:rPr>
          <w:rFonts w:asciiTheme="minorHAnsi" w:hAnsiTheme="minorHAnsi" w:cstheme="minorHAnsi"/>
        </w:rPr>
        <w:t>Assessment of funding applications</w:t>
      </w:r>
      <w:bookmarkEnd w:id="20"/>
    </w:p>
    <w:p w14:paraId="484DA218" w14:textId="19E20DE3" w:rsidR="00871FD3" w:rsidRPr="00043245" w:rsidRDefault="00474DAB" w:rsidP="00F74EDA">
      <w:pPr>
        <w:keepNext/>
        <w:keepLines/>
        <w:shd w:val="clear" w:color="auto" w:fill="E7E6E6" w:themeFill="background2"/>
        <w:rPr>
          <w:rFonts w:cstheme="minorHAnsi"/>
          <w:i/>
          <w:sz w:val="20"/>
          <w:szCs w:val="20"/>
        </w:rPr>
      </w:pPr>
      <w:r w:rsidRPr="00043245">
        <w:rPr>
          <w:rFonts w:cstheme="minorHAnsi"/>
          <w:i/>
          <w:sz w:val="20"/>
          <w:szCs w:val="20"/>
        </w:rPr>
        <w:t>DNRME ha</w:t>
      </w:r>
      <w:r w:rsidR="005133A3" w:rsidRPr="00043245">
        <w:rPr>
          <w:rFonts w:cstheme="minorHAnsi"/>
          <w:i/>
          <w:sz w:val="20"/>
          <w:szCs w:val="20"/>
        </w:rPr>
        <w:t xml:space="preserve">s </w:t>
      </w:r>
      <w:r w:rsidRPr="00043245">
        <w:rPr>
          <w:rFonts w:cstheme="minorHAnsi"/>
          <w:i/>
          <w:sz w:val="20"/>
          <w:szCs w:val="20"/>
        </w:rPr>
        <w:t xml:space="preserve">robust and established processes for </w:t>
      </w:r>
      <w:r w:rsidR="002F7F17" w:rsidRPr="00043245">
        <w:rPr>
          <w:rFonts w:cstheme="minorHAnsi"/>
          <w:i/>
          <w:sz w:val="20"/>
          <w:szCs w:val="20"/>
        </w:rPr>
        <w:t xml:space="preserve">the </w:t>
      </w:r>
      <w:r w:rsidRPr="00043245">
        <w:rPr>
          <w:rFonts w:cstheme="minorHAnsi"/>
          <w:i/>
          <w:sz w:val="20"/>
          <w:szCs w:val="20"/>
        </w:rPr>
        <w:t>assessment and evaluation of HHWUE applications. There appears to be appropriate controls to support transparent and accountable decision making. Assessment processes have evolved over</w:t>
      </w:r>
      <w:r w:rsidR="005B2E4E" w:rsidRPr="00043245">
        <w:rPr>
          <w:rFonts w:cstheme="minorHAnsi"/>
          <w:i/>
          <w:sz w:val="20"/>
          <w:szCs w:val="20"/>
        </w:rPr>
        <w:t xml:space="preserve"> </w:t>
      </w:r>
      <w:r w:rsidRPr="00043245">
        <w:rPr>
          <w:rFonts w:cstheme="minorHAnsi"/>
          <w:i/>
          <w:sz w:val="20"/>
          <w:szCs w:val="20"/>
        </w:rPr>
        <w:t>time to capture lessons learnt to inform process improvements.</w:t>
      </w:r>
      <w:r w:rsidR="00410604" w:rsidRPr="00043245">
        <w:rPr>
          <w:rFonts w:cstheme="minorHAnsi"/>
          <w:i/>
          <w:sz w:val="20"/>
          <w:szCs w:val="20"/>
        </w:rPr>
        <w:t xml:space="preserve">  </w:t>
      </w:r>
    </w:p>
    <w:p w14:paraId="65503C12" w14:textId="2EFB3C00" w:rsidR="00871FD3" w:rsidRPr="00043245" w:rsidRDefault="00871FD3" w:rsidP="00F74EDA">
      <w:pPr>
        <w:spacing w:before="120" w:after="120" w:line="240" w:lineRule="auto"/>
        <w:rPr>
          <w:rFonts w:cstheme="minorHAnsi"/>
          <w:sz w:val="20"/>
          <w:szCs w:val="20"/>
        </w:rPr>
      </w:pPr>
      <w:r w:rsidRPr="00043245">
        <w:rPr>
          <w:rFonts w:cstheme="minorHAnsi"/>
          <w:sz w:val="20"/>
          <w:szCs w:val="20"/>
        </w:rPr>
        <w:t>DNRME are responsible for evaluating and assessing applications for eligibility and compilation of works package</w:t>
      </w:r>
      <w:r w:rsidR="00F35E34" w:rsidRPr="00043245">
        <w:rPr>
          <w:rFonts w:cstheme="minorHAnsi"/>
          <w:sz w:val="20"/>
          <w:szCs w:val="20"/>
        </w:rPr>
        <w:t>s</w:t>
      </w:r>
      <w:r w:rsidRPr="00043245">
        <w:rPr>
          <w:rFonts w:cstheme="minorHAnsi"/>
          <w:sz w:val="20"/>
          <w:szCs w:val="20"/>
        </w:rPr>
        <w:t xml:space="preserve"> for DAWR </w:t>
      </w:r>
      <w:r w:rsidR="003571EF" w:rsidRPr="00043245">
        <w:rPr>
          <w:rFonts w:cstheme="minorHAnsi"/>
          <w:sz w:val="20"/>
          <w:szCs w:val="20"/>
        </w:rPr>
        <w:t xml:space="preserve">review and </w:t>
      </w:r>
      <w:r w:rsidRPr="00043245">
        <w:rPr>
          <w:rFonts w:cstheme="minorHAnsi"/>
          <w:sz w:val="20"/>
          <w:szCs w:val="20"/>
        </w:rPr>
        <w:t xml:space="preserve">approval. </w:t>
      </w:r>
      <w:r w:rsidR="003571EF" w:rsidRPr="00043245">
        <w:rPr>
          <w:rFonts w:cstheme="minorHAnsi"/>
          <w:sz w:val="20"/>
          <w:szCs w:val="20"/>
        </w:rPr>
        <w:t xml:space="preserve">While DNRME undertake initial assessment activities, DAWR are responsible for final approval of all proponent projects. </w:t>
      </w:r>
      <w:r w:rsidRPr="00043245">
        <w:rPr>
          <w:rFonts w:cstheme="minorHAnsi"/>
          <w:sz w:val="20"/>
          <w:szCs w:val="20"/>
        </w:rPr>
        <w:t>DNRME have established multiple controls and processes to support the assessment and evaluation process including:</w:t>
      </w:r>
    </w:p>
    <w:p w14:paraId="521D7812" w14:textId="77777777" w:rsidR="00871FD3" w:rsidRPr="00043245" w:rsidRDefault="00871FD3" w:rsidP="00F35E34">
      <w:pPr>
        <w:pStyle w:val="ListParagraph"/>
        <w:numPr>
          <w:ilvl w:val="0"/>
          <w:numId w:val="8"/>
        </w:numPr>
        <w:spacing w:before="120" w:after="120"/>
        <w:rPr>
          <w:rFonts w:cstheme="minorHAnsi"/>
          <w:sz w:val="20"/>
          <w:szCs w:val="20"/>
        </w:rPr>
      </w:pPr>
      <w:r w:rsidRPr="00043245">
        <w:rPr>
          <w:rFonts w:cstheme="minorHAnsi"/>
          <w:sz w:val="20"/>
          <w:szCs w:val="20"/>
        </w:rPr>
        <w:t>Appointment of an evaluation panel to conduct the evaluation of all applications.</w:t>
      </w:r>
    </w:p>
    <w:p w14:paraId="4F943C34" w14:textId="77777777" w:rsidR="00871FD3" w:rsidRPr="00043245" w:rsidRDefault="00871FD3" w:rsidP="00F35E34">
      <w:pPr>
        <w:pStyle w:val="ListParagraph"/>
        <w:numPr>
          <w:ilvl w:val="0"/>
          <w:numId w:val="8"/>
        </w:numPr>
        <w:spacing w:before="120" w:after="120"/>
        <w:rPr>
          <w:rFonts w:cstheme="minorHAnsi"/>
          <w:sz w:val="20"/>
          <w:szCs w:val="20"/>
        </w:rPr>
      </w:pPr>
      <w:r w:rsidRPr="00043245">
        <w:rPr>
          <w:rFonts w:cstheme="minorHAnsi"/>
          <w:sz w:val="20"/>
          <w:szCs w:val="20"/>
        </w:rPr>
        <w:t>Verification procedures for technical certification</w:t>
      </w:r>
      <w:r w:rsidR="00F803FD" w:rsidRPr="00043245">
        <w:rPr>
          <w:rFonts w:cstheme="minorHAnsi"/>
          <w:sz w:val="20"/>
          <w:szCs w:val="20"/>
        </w:rPr>
        <w:t>.</w:t>
      </w:r>
    </w:p>
    <w:p w14:paraId="04D685CA" w14:textId="77777777" w:rsidR="00871FD3" w:rsidRPr="00043245" w:rsidRDefault="00871FD3" w:rsidP="00F35E34">
      <w:pPr>
        <w:pStyle w:val="ListParagraph"/>
        <w:numPr>
          <w:ilvl w:val="0"/>
          <w:numId w:val="8"/>
        </w:numPr>
        <w:spacing w:before="120" w:after="120"/>
        <w:rPr>
          <w:rFonts w:cstheme="minorHAnsi"/>
          <w:sz w:val="20"/>
          <w:szCs w:val="20"/>
        </w:rPr>
      </w:pPr>
      <w:r w:rsidRPr="00043245">
        <w:rPr>
          <w:rFonts w:cstheme="minorHAnsi"/>
          <w:sz w:val="20"/>
          <w:szCs w:val="20"/>
        </w:rPr>
        <w:t>Third party checks of the technical information</w:t>
      </w:r>
      <w:r w:rsidR="00F803FD" w:rsidRPr="00043245">
        <w:rPr>
          <w:rFonts w:cstheme="minorHAnsi"/>
          <w:sz w:val="20"/>
          <w:szCs w:val="20"/>
        </w:rPr>
        <w:t>.</w:t>
      </w:r>
    </w:p>
    <w:p w14:paraId="34D74344" w14:textId="77777777" w:rsidR="00871FD3" w:rsidRPr="00043245" w:rsidRDefault="00871FD3" w:rsidP="00F35E34">
      <w:pPr>
        <w:pStyle w:val="ListParagraph"/>
        <w:numPr>
          <w:ilvl w:val="0"/>
          <w:numId w:val="8"/>
        </w:numPr>
        <w:spacing w:before="120" w:after="120" w:line="240" w:lineRule="auto"/>
        <w:rPr>
          <w:rFonts w:cstheme="minorHAnsi"/>
          <w:sz w:val="20"/>
          <w:szCs w:val="20"/>
        </w:rPr>
      </w:pPr>
      <w:r w:rsidRPr="00043245">
        <w:rPr>
          <w:rFonts w:cstheme="minorHAnsi"/>
          <w:sz w:val="20"/>
          <w:szCs w:val="20"/>
        </w:rPr>
        <w:t xml:space="preserve">Review of applications by </w:t>
      </w:r>
      <w:r w:rsidR="002F7F17" w:rsidRPr="00043245">
        <w:rPr>
          <w:rFonts w:cstheme="minorHAnsi"/>
          <w:sz w:val="20"/>
          <w:szCs w:val="20"/>
        </w:rPr>
        <w:t xml:space="preserve">the </w:t>
      </w:r>
      <w:r w:rsidRPr="00043245">
        <w:rPr>
          <w:rFonts w:cstheme="minorHAnsi"/>
          <w:sz w:val="20"/>
          <w:szCs w:val="20"/>
        </w:rPr>
        <w:t>panel’s irrigation advisor</w:t>
      </w:r>
      <w:r w:rsidR="00F803FD" w:rsidRPr="00043245">
        <w:rPr>
          <w:rFonts w:cstheme="minorHAnsi"/>
          <w:sz w:val="20"/>
          <w:szCs w:val="20"/>
        </w:rPr>
        <w:t>.</w:t>
      </w:r>
    </w:p>
    <w:p w14:paraId="413C59FA" w14:textId="1C142354" w:rsidR="00871FD3" w:rsidRPr="00043245" w:rsidRDefault="00871FD3" w:rsidP="00871FD3">
      <w:pPr>
        <w:rPr>
          <w:rFonts w:cstheme="minorHAnsi"/>
          <w:sz w:val="20"/>
          <w:szCs w:val="20"/>
        </w:rPr>
      </w:pPr>
      <w:r w:rsidRPr="00043245">
        <w:rPr>
          <w:rFonts w:cstheme="minorHAnsi"/>
          <w:sz w:val="20"/>
          <w:szCs w:val="20"/>
        </w:rPr>
        <w:t>DNRME work closely with DAWR to de</w:t>
      </w:r>
      <w:r w:rsidR="00F35E34" w:rsidRPr="00043245">
        <w:rPr>
          <w:rFonts w:cstheme="minorHAnsi"/>
          <w:sz w:val="20"/>
          <w:szCs w:val="20"/>
        </w:rPr>
        <w:t>velop guidelines for each round. T</w:t>
      </w:r>
      <w:r w:rsidRPr="00043245">
        <w:rPr>
          <w:rFonts w:cstheme="minorHAnsi"/>
          <w:sz w:val="20"/>
          <w:szCs w:val="20"/>
        </w:rPr>
        <w:t xml:space="preserve">hese are discussed and endorsed with DAWR prior to the commencement </w:t>
      </w:r>
      <w:r w:rsidR="00AD3789" w:rsidRPr="00043245">
        <w:rPr>
          <w:rFonts w:cstheme="minorHAnsi"/>
          <w:sz w:val="20"/>
          <w:szCs w:val="20"/>
        </w:rPr>
        <w:t>of a</w:t>
      </w:r>
      <w:r w:rsidR="003571EF" w:rsidRPr="00043245">
        <w:rPr>
          <w:rFonts w:cstheme="minorHAnsi"/>
          <w:sz w:val="20"/>
          <w:szCs w:val="20"/>
        </w:rPr>
        <w:t xml:space="preserve"> funding </w:t>
      </w:r>
      <w:r w:rsidRPr="00043245">
        <w:rPr>
          <w:rFonts w:cstheme="minorHAnsi"/>
          <w:sz w:val="20"/>
          <w:szCs w:val="20"/>
        </w:rPr>
        <w:t xml:space="preserve">round. </w:t>
      </w:r>
    </w:p>
    <w:p w14:paraId="4354903B" w14:textId="77777777" w:rsidR="00871FD3" w:rsidRPr="00043245" w:rsidRDefault="00871FD3" w:rsidP="003E73C2">
      <w:pPr>
        <w:spacing w:before="120" w:after="120" w:line="240" w:lineRule="auto"/>
        <w:rPr>
          <w:rFonts w:cstheme="minorHAnsi"/>
          <w:sz w:val="20"/>
          <w:szCs w:val="20"/>
        </w:rPr>
      </w:pPr>
      <w:r w:rsidRPr="00043245">
        <w:rPr>
          <w:rFonts w:cstheme="minorHAnsi"/>
          <w:sz w:val="20"/>
          <w:szCs w:val="20"/>
        </w:rPr>
        <w:t xml:space="preserve">Prior to the submission of the works package of eligible projects to DAWR, the </w:t>
      </w:r>
      <w:r w:rsidR="00CD217A" w:rsidRPr="00043245">
        <w:rPr>
          <w:rFonts w:cstheme="minorHAnsi"/>
          <w:sz w:val="20"/>
          <w:szCs w:val="20"/>
        </w:rPr>
        <w:t xml:space="preserve">DNRME </w:t>
      </w:r>
      <w:r w:rsidRPr="00043245">
        <w:rPr>
          <w:rFonts w:cstheme="minorHAnsi"/>
          <w:sz w:val="20"/>
          <w:szCs w:val="20"/>
        </w:rPr>
        <w:t xml:space="preserve">Program Manager and </w:t>
      </w:r>
      <w:r w:rsidR="00F03E1A" w:rsidRPr="00043245">
        <w:rPr>
          <w:rFonts w:cstheme="minorHAnsi"/>
          <w:sz w:val="20"/>
          <w:szCs w:val="20"/>
        </w:rPr>
        <w:t xml:space="preserve">the </w:t>
      </w:r>
      <w:r w:rsidRPr="00043245">
        <w:rPr>
          <w:rFonts w:cstheme="minorHAnsi"/>
          <w:sz w:val="20"/>
          <w:szCs w:val="20"/>
        </w:rPr>
        <w:t>Director, Basin Implementation</w:t>
      </w:r>
      <w:r w:rsidR="00F803FD" w:rsidRPr="00043245">
        <w:rPr>
          <w:rFonts w:cstheme="minorHAnsi"/>
          <w:sz w:val="20"/>
          <w:szCs w:val="20"/>
        </w:rPr>
        <w:t>,</w:t>
      </w:r>
      <w:r w:rsidRPr="00043245">
        <w:rPr>
          <w:rFonts w:cstheme="minorHAnsi"/>
          <w:sz w:val="20"/>
          <w:szCs w:val="20"/>
        </w:rPr>
        <w:t xml:space="preserve"> endorse the package confirming that each application meets the requirements of the WMPA and eligibility criteria of the round. </w:t>
      </w:r>
    </w:p>
    <w:p w14:paraId="1E2DFB0E" w14:textId="4B9C0BB5" w:rsidR="00871FD3" w:rsidRPr="00043245" w:rsidRDefault="00871FD3" w:rsidP="00F74EDA">
      <w:pPr>
        <w:pStyle w:val="BodyText"/>
        <w:spacing w:before="120" w:after="120" w:line="240" w:lineRule="auto"/>
        <w:rPr>
          <w:rFonts w:asciiTheme="minorHAnsi" w:hAnsiTheme="minorHAnsi" w:cstheme="minorHAnsi"/>
          <w:sz w:val="20"/>
        </w:rPr>
      </w:pPr>
      <w:r w:rsidRPr="00043245">
        <w:rPr>
          <w:rFonts w:asciiTheme="minorHAnsi" w:hAnsiTheme="minorHAnsi" w:cstheme="minorHAnsi"/>
          <w:sz w:val="20"/>
        </w:rPr>
        <w:t xml:space="preserve">Discussions with </w:t>
      </w:r>
      <w:r w:rsidR="002F7F17" w:rsidRPr="00043245">
        <w:rPr>
          <w:rFonts w:asciiTheme="minorHAnsi" w:hAnsiTheme="minorHAnsi" w:cstheme="minorHAnsi"/>
          <w:sz w:val="20"/>
        </w:rPr>
        <w:t xml:space="preserve">the </w:t>
      </w:r>
      <w:r w:rsidRPr="00043245">
        <w:rPr>
          <w:rFonts w:asciiTheme="minorHAnsi" w:hAnsiTheme="minorHAnsi" w:cstheme="minorHAnsi"/>
          <w:sz w:val="20"/>
        </w:rPr>
        <w:t>HHWUE project team identified that the assessment process has adapted and improved over</w:t>
      </w:r>
      <w:r w:rsidR="002F7F17" w:rsidRPr="00043245">
        <w:rPr>
          <w:rFonts w:asciiTheme="minorHAnsi" w:hAnsiTheme="minorHAnsi" w:cstheme="minorHAnsi"/>
          <w:sz w:val="20"/>
        </w:rPr>
        <w:t xml:space="preserve"> </w:t>
      </w:r>
      <w:r w:rsidRPr="00043245">
        <w:rPr>
          <w:rFonts w:asciiTheme="minorHAnsi" w:hAnsiTheme="minorHAnsi" w:cstheme="minorHAnsi"/>
          <w:sz w:val="20"/>
        </w:rPr>
        <w:t>time</w:t>
      </w:r>
      <w:r w:rsidR="009C5551" w:rsidRPr="00043245">
        <w:rPr>
          <w:rFonts w:asciiTheme="minorHAnsi" w:hAnsiTheme="minorHAnsi" w:cstheme="minorHAnsi"/>
          <w:sz w:val="20"/>
        </w:rPr>
        <w:t>, as was evident through sample testing</w:t>
      </w:r>
      <w:r w:rsidRPr="00043245">
        <w:rPr>
          <w:rFonts w:asciiTheme="minorHAnsi" w:hAnsiTheme="minorHAnsi" w:cstheme="minorHAnsi"/>
          <w:sz w:val="20"/>
        </w:rPr>
        <w:t xml:space="preserve">. Through lessons learnt HHWUE has moved from six monthly to monthly applications to allow </w:t>
      </w:r>
      <w:r w:rsidR="00F803FD" w:rsidRPr="00043245">
        <w:rPr>
          <w:rFonts w:asciiTheme="minorHAnsi" w:hAnsiTheme="minorHAnsi" w:cstheme="minorHAnsi"/>
          <w:sz w:val="20"/>
        </w:rPr>
        <w:t>prospective applicants</w:t>
      </w:r>
      <w:r w:rsidR="0093656A" w:rsidRPr="00043245">
        <w:rPr>
          <w:rFonts w:asciiTheme="minorHAnsi" w:hAnsiTheme="minorHAnsi" w:cstheme="minorHAnsi"/>
          <w:sz w:val="20"/>
        </w:rPr>
        <w:t xml:space="preserve"> more </w:t>
      </w:r>
      <w:r w:rsidR="00AC5F8F" w:rsidRPr="00043245">
        <w:rPr>
          <w:rFonts w:asciiTheme="minorHAnsi" w:hAnsiTheme="minorHAnsi" w:cstheme="minorHAnsi"/>
          <w:sz w:val="20"/>
        </w:rPr>
        <w:t>frequent opportunities</w:t>
      </w:r>
      <w:r w:rsidRPr="00043245">
        <w:rPr>
          <w:rFonts w:asciiTheme="minorHAnsi" w:hAnsiTheme="minorHAnsi" w:cstheme="minorHAnsi"/>
          <w:sz w:val="20"/>
        </w:rPr>
        <w:t xml:space="preserve"> to submit their applications</w:t>
      </w:r>
      <w:r w:rsidR="00AC5F8F" w:rsidRPr="00043245">
        <w:rPr>
          <w:rFonts w:asciiTheme="minorHAnsi" w:hAnsiTheme="minorHAnsi" w:cstheme="minorHAnsi"/>
          <w:sz w:val="20"/>
        </w:rPr>
        <w:t xml:space="preserve"> and adopt lessons learnt from previous applications</w:t>
      </w:r>
      <w:r w:rsidRPr="00043245">
        <w:rPr>
          <w:rFonts w:asciiTheme="minorHAnsi" w:hAnsiTheme="minorHAnsi" w:cstheme="minorHAnsi"/>
          <w:sz w:val="20"/>
        </w:rPr>
        <w:t xml:space="preserve">. </w:t>
      </w:r>
      <w:r w:rsidR="003571EF" w:rsidRPr="00043245">
        <w:rPr>
          <w:rFonts w:asciiTheme="minorHAnsi" w:hAnsiTheme="minorHAnsi" w:cstheme="minorHAnsi"/>
          <w:sz w:val="20"/>
        </w:rPr>
        <w:t>In addition, to increase participation and recovery of water</w:t>
      </w:r>
      <w:r w:rsidR="008774A5" w:rsidRPr="00043245">
        <w:rPr>
          <w:rFonts w:asciiTheme="minorHAnsi" w:hAnsiTheme="minorHAnsi" w:cstheme="minorHAnsi"/>
          <w:sz w:val="20"/>
        </w:rPr>
        <w:t>,</w:t>
      </w:r>
      <w:r w:rsidR="003571EF" w:rsidRPr="00043245">
        <w:rPr>
          <w:rFonts w:asciiTheme="minorHAnsi" w:hAnsiTheme="minorHAnsi" w:cstheme="minorHAnsi"/>
          <w:sz w:val="20"/>
        </w:rPr>
        <w:t xml:space="preserve"> the design of the irrigator contribution was reviewed </w:t>
      </w:r>
      <w:r w:rsidR="005C7F2B" w:rsidRPr="00043245">
        <w:rPr>
          <w:rFonts w:asciiTheme="minorHAnsi" w:hAnsiTheme="minorHAnsi" w:cstheme="minorHAnsi"/>
          <w:sz w:val="20"/>
        </w:rPr>
        <w:t xml:space="preserve">to allow </w:t>
      </w:r>
      <w:r w:rsidR="003571EF" w:rsidRPr="00043245">
        <w:rPr>
          <w:rFonts w:asciiTheme="minorHAnsi" w:hAnsiTheme="minorHAnsi" w:cstheme="minorHAnsi"/>
          <w:sz w:val="20"/>
        </w:rPr>
        <w:t xml:space="preserve">proponents </w:t>
      </w:r>
      <w:r w:rsidR="008774A5" w:rsidRPr="00043245">
        <w:rPr>
          <w:rFonts w:asciiTheme="minorHAnsi" w:hAnsiTheme="minorHAnsi" w:cstheme="minorHAnsi"/>
          <w:sz w:val="20"/>
        </w:rPr>
        <w:t xml:space="preserve">the opportunity </w:t>
      </w:r>
      <w:r w:rsidR="003571EF" w:rsidRPr="00043245">
        <w:rPr>
          <w:rFonts w:asciiTheme="minorHAnsi" w:hAnsiTheme="minorHAnsi" w:cstheme="minorHAnsi"/>
          <w:sz w:val="20"/>
        </w:rPr>
        <w:t xml:space="preserve">to offer additional water (valued at an agreed market price) above the 50% </w:t>
      </w:r>
      <w:r w:rsidR="00AD3789" w:rsidRPr="00043245">
        <w:rPr>
          <w:rFonts w:asciiTheme="minorHAnsi" w:hAnsiTheme="minorHAnsi" w:cstheme="minorHAnsi"/>
          <w:sz w:val="20"/>
        </w:rPr>
        <w:t xml:space="preserve">prescribed </w:t>
      </w:r>
      <w:r w:rsidR="003571EF" w:rsidRPr="00043245">
        <w:rPr>
          <w:rFonts w:asciiTheme="minorHAnsi" w:hAnsiTheme="minorHAnsi" w:cstheme="minorHAnsi"/>
          <w:sz w:val="20"/>
        </w:rPr>
        <w:t xml:space="preserve">savings to </w:t>
      </w:r>
      <w:r w:rsidR="00AD3789" w:rsidRPr="00043245">
        <w:rPr>
          <w:rFonts w:asciiTheme="minorHAnsi" w:hAnsiTheme="minorHAnsi" w:cstheme="minorHAnsi"/>
          <w:sz w:val="20"/>
        </w:rPr>
        <w:t>fund</w:t>
      </w:r>
      <w:r w:rsidR="003571EF" w:rsidRPr="00043245">
        <w:rPr>
          <w:rFonts w:asciiTheme="minorHAnsi" w:hAnsiTheme="minorHAnsi" w:cstheme="minorHAnsi"/>
          <w:sz w:val="20"/>
        </w:rPr>
        <w:t xml:space="preserve"> the 10% proponent</w:t>
      </w:r>
      <w:r w:rsidR="00AD3789" w:rsidRPr="00043245">
        <w:rPr>
          <w:rFonts w:asciiTheme="minorHAnsi" w:hAnsiTheme="minorHAnsi" w:cstheme="minorHAnsi"/>
          <w:sz w:val="20"/>
        </w:rPr>
        <w:t xml:space="preserve"> financial contribution</w:t>
      </w:r>
      <w:r w:rsidR="003571EF" w:rsidRPr="00043245">
        <w:rPr>
          <w:rFonts w:asciiTheme="minorHAnsi" w:hAnsiTheme="minorHAnsi" w:cstheme="minorHAnsi"/>
          <w:sz w:val="20"/>
        </w:rPr>
        <w:t xml:space="preserve">. </w:t>
      </w:r>
    </w:p>
    <w:p w14:paraId="650516D5" w14:textId="77777777" w:rsidR="003E73C2" w:rsidRPr="00043245" w:rsidRDefault="003E73C2" w:rsidP="00F74EDA">
      <w:pPr>
        <w:pStyle w:val="BodyText"/>
        <w:spacing w:before="120" w:after="120" w:line="240" w:lineRule="auto"/>
        <w:rPr>
          <w:rFonts w:asciiTheme="minorHAnsi" w:hAnsiTheme="minorHAnsi" w:cstheme="minorHAnsi"/>
          <w:sz w:val="20"/>
        </w:rPr>
      </w:pPr>
      <w:r w:rsidRPr="00043245">
        <w:rPr>
          <w:rFonts w:asciiTheme="minorHAnsi" w:hAnsiTheme="minorHAnsi" w:cstheme="minorHAnsi"/>
          <w:sz w:val="20"/>
        </w:rPr>
        <w:t>KPMG did not identify any non-compliance or significant control weaknesses related</w:t>
      </w:r>
      <w:r w:rsidR="008774A5" w:rsidRPr="00043245">
        <w:rPr>
          <w:rFonts w:asciiTheme="minorHAnsi" w:hAnsiTheme="minorHAnsi" w:cstheme="minorHAnsi"/>
          <w:sz w:val="20"/>
        </w:rPr>
        <w:t xml:space="preserve"> </w:t>
      </w:r>
      <w:r w:rsidR="002F7F17" w:rsidRPr="00043245">
        <w:rPr>
          <w:rFonts w:asciiTheme="minorHAnsi" w:hAnsiTheme="minorHAnsi" w:cstheme="minorHAnsi"/>
          <w:sz w:val="20"/>
        </w:rPr>
        <w:t xml:space="preserve">to </w:t>
      </w:r>
      <w:r w:rsidR="008774A5" w:rsidRPr="00043245">
        <w:rPr>
          <w:rFonts w:asciiTheme="minorHAnsi" w:hAnsiTheme="minorHAnsi" w:cstheme="minorHAnsi"/>
          <w:sz w:val="20"/>
        </w:rPr>
        <w:t>the</w:t>
      </w:r>
      <w:r w:rsidRPr="00043245">
        <w:rPr>
          <w:rFonts w:asciiTheme="minorHAnsi" w:hAnsiTheme="minorHAnsi" w:cstheme="minorHAnsi"/>
          <w:sz w:val="20"/>
        </w:rPr>
        <w:t xml:space="preserve"> proponent application assessment</w:t>
      </w:r>
      <w:r w:rsidR="008774A5" w:rsidRPr="00043245">
        <w:rPr>
          <w:rFonts w:asciiTheme="minorHAnsi" w:hAnsiTheme="minorHAnsi" w:cstheme="minorHAnsi"/>
          <w:sz w:val="20"/>
        </w:rPr>
        <w:t xml:space="preserve"> process</w:t>
      </w:r>
      <w:r w:rsidRPr="00043245">
        <w:rPr>
          <w:rFonts w:asciiTheme="minorHAnsi" w:hAnsiTheme="minorHAnsi" w:cstheme="minorHAnsi"/>
          <w:sz w:val="20"/>
        </w:rPr>
        <w:t>.</w:t>
      </w:r>
    </w:p>
    <w:p w14:paraId="0F49E5EA" w14:textId="77777777" w:rsidR="003E345A" w:rsidRPr="00043245" w:rsidRDefault="003E345A" w:rsidP="000722AF">
      <w:pPr>
        <w:pStyle w:val="Heading2"/>
        <w:rPr>
          <w:rFonts w:asciiTheme="minorHAnsi" w:hAnsiTheme="minorHAnsi" w:cstheme="minorHAnsi"/>
        </w:rPr>
      </w:pPr>
      <w:bookmarkStart w:id="21" w:name="_Toc528653250"/>
      <w:r w:rsidRPr="00043245">
        <w:rPr>
          <w:rFonts w:asciiTheme="minorHAnsi" w:hAnsiTheme="minorHAnsi" w:cstheme="minorHAnsi"/>
        </w:rPr>
        <w:t>Risk and issue management</w:t>
      </w:r>
      <w:bookmarkEnd w:id="21"/>
      <w:r w:rsidRPr="00043245">
        <w:rPr>
          <w:rFonts w:asciiTheme="minorHAnsi" w:hAnsiTheme="minorHAnsi" w:cstheme="minorHAnsi"/>
        </w:rPr>
        <w:t xml:space="preserve"> </w:t>
      </w:r>
    </w:p>
    <w:p w14:paraId="2105F124" w14:textId="77777777" w:rsidR="00066B61" w:rsidRPr="00043245" w:rsidRDefault="00474DAB" w:rsidP="00F74EDA">
      <w:pPr>
        <w:shd w:val="clear" w:color="auto" w:fill="E7E6E6" w:themeFill="background2"/>
        <w:spacing w:before="120" w:after="120" w:line="240" w:lineRule="auto"/>
        <w:rPr>
          <w:rFonts w:cstheme="minorHAnsi"/>
          <w:i/>
          <w:sz w:val="20"/>
          <w:szCs w:val="20"/>
        </w:rPr>
      </w:pPr>
      <w:r w:rsidRPr="00043245">
        <w:rPr>
          <w:rFonts w:cstheme="minorHAnsi"/>
          <w:i/>
          <w:sz w:val="20"/>
          <w:szCs w:val="20"/>
        </w:rPr>
        <w:t>DNRME has</w:t>
      </w:r>
      <w:r w:rsidR="008774A5" w:rsidRPr="00043245">
        <w:rPr>
          <w:rFonts w:cstheme="minorHAnsi"/>
          <w:i/>
          <w:sz w:val="20"/>
          <w:szCs w:val="20"/>
        </w:rPr>
        <w:t xml:space="preserve"> a</w:t>
      </w:r>
      <w:r w:rsidRPr="00043245">
        <w:rPr>
          <w:rFonts w:cstheme="minorHAnsi"/>
          <w:i/>
          <w:sz w:val="20"/>
          <w:szCs w:val="20"/>
        </w:rPr>
        <w:t xml:space="preserve"> defined and documented approach to identifying, assessing and communicating risks and issues. </w:t>
      </w:r>
      <w:r w:rsidR="000A279D" w:rsidRPr="00043245">
        <w:rPr>
          <w:rFonts w:cstheme="minorHAnsi"/>
          <w:i/>
          <w:sz w:val="20"/>
          <w:szCs w:val="20"/>
        </w:rPr>
        <w:t>Key r</w:t>
      </w:r>
      <w:r w:rsidRPr="00043245">
        <w:rPr>
          <w:rFonts w:cstheme="minorHAnsi"/>
          <w:i/>
          <w:sz w:val="20"/>
          <w:szCs w:val="20"/>
        </w:rPr>
        <w:t>isks and issues are regularly reviewed and reported to stakeholders</w:t>
      </w:r>
      <w:r w:rsidR="00615CDC" w:rsidRPr="00043245">
        <w:rPr>
          <w:rFonts w:cstheme="minorHAnsi"/>
          <w:i/>
          <w:sz w:val="20"/>
          <w:szCs w:val="20"/>
        </w:rPr>
        <w:t>.</w:t>
      </w:r>
      <w:r w:rsidR="007744FC" w:rsidRPr="00043245">
        <w:rPr>
          <w:rFonts w:cstheme="minorHAnsi"/>
          <w:i/>
          <w:sz w:val="20"/>
          <w:szCs w:val="20"/>
        </w:rPr>
        <w:t xml:space="preserve"> </w:t>
      </w:r>
    </w:p>
    <w:p w14:paraId="7C00AF37" w14:textId="77777777" w:rsidR="00C32D36" w:rsidRPr="00043245" w:rsidRDefault="007744FC" w:rsidP="00F74EDA">
      <w:pPr>
        <w:spacing w:before="120" w:after="120" w:line="240" w:lineRule="auto"/>
        <w:rPr>
          <w:rFonts w:cstheme="minorHAnsi"/>
          <w:sz w:val="20"/>
          <w:szCs w:val="20"/>
        </w:rPr>
      </w:pPr>
      <w:r w:rsidRPr="00043245">
        <w:rPr>
          <w:rFonts w:cstheme="minorHAnsi"/>
          <w:sz w:val="20"/>
          <w:szCs w:val="20"/>
        </w:rPr>
        <w:t xml:space="preserve">KPMG found that </w:t>
      </w:r>
      <w:r w:rsidR="00AA6B92" w:rsidRPr="00043245">
        <w:rPr>
          <w:rFonts w:cstheme="minorHAnsi"/>
          <w:sz w:val="20"/>
          <w:szCs w:val="20"/>
        </w:rPr>
        <w:t xml:space="preserve">DNRME </w:t>
      </w:r>
      <w:r w:rsidRPr="00043245">
        <w:rPr>
          <w:rFonts w:cstheme="minorHAnsi"/>
          <w:sz w:val="20"/>
          <w:szCs w:val="20"/>
        </w:rPr>
        <w:t>had</w:t>
      </w:r>
      <w:r w:rsidR="00253854" w:rsidRPr="00043245">
        <w:rPr>
          <w:rFonts w:cstheme="minorHAnsi"/>
          <w:sz w:val="20"/>
          <w:szCs w:val="20"/>
        </w:rPr>
        <w:t xml:space="preserve"> established </w:t>
      </w:r>
      <w:r w:rsidR="0016739A" w:rsidRPr="00043245">
        <w:rPr>
          <w:rFonts w:cstheme="minorHAnsi"/>
          <w:sz w:val="20"/>
          <w:szCs w:val="20"/>
        </w:rPr>
        <w:t xml:space="preserve">key </w:t>
      </w:r>
      <w:r w:rsidR="00253854" w:rsidRPr="00043245">
        <w:rPr>
          <w:rFonts w:cstheme="minorHAnsi"/>
          <w:sz w:val="20"/>
          <w:szCs w:val="20"/>
        </w:rPr>
        <w:t xml:space="preserve">risk management </w:t>
      </w:r>
      <w:r w:rsidR="00274C33" w:rsidRPr="00043245">
        <w:rPr>
          <w:rFonts w:cstheme="minorHAnsi"/>
          <w:sz w:val="20"/>
          <w:szCs w:val="20"/>
        </w:rPr>
        <w:t xml:space="preserve">measures </w:t>
      </w:r>
      <w:r w:rsidR="0016739A" w:rsidRPr="00043245">
        <w:rPr>
          <w:rFonts w:cstheme="minorHAnsi"/>
          <w:sz w:val="20"/>
          <w:szCs w:val="20"/>
        </w:rPr>
        <w:t xml:space="preserve">for </w:t>
      </w:r>
      <w:r w:rsidR="00BE1991" w:rsidRPr="00043245">
        <w:rPr>
          <w:rFonts w:cstheme="minorHAnsi"/>
          <w:sz w:val="20"/>
          <w:szCs w:val="20"/>
        </w:rPr>
        <w:t>HHWUE</w:t>
      </w:r>
      <w:r w:rsidR="0016739A" w:rsidRPr="00043245">
        <w:rPr>
          <w:rFonts w:cstheme="minorHAnsi"/>
          <w:sz w:val="20"/>
          <w:szCs w:val="20"/>
        </w:rPr>
        <w:t xml:space="preserve"> </w:t>
      </w:r>
      <w:r w:rsidR="00253854" w:rsidRPr="00043245">
        <w:rPr>
          <w:rFonts w:cstheme="minorHAnsi"/>
          <w:sz w:val="20"/>
          <w:szCs w:val="20"/>
        </w:rPr>
        <w:t xml:space="preserve">and appeared to be actively managing </w:t>
      </w:r>
      <w:r w:rsidRPr="00043245">
        <w:rPr>
          <w:rFonts w:cstheme="minorHAnsi"/>
          <w:sz w:val="20"/>
          <w:szCs w:val="20"/>
        </w:rPr>
        <w:t xml:space="preserve">risks. </w:t>
      </w:r>
      <w:r w:rsidR="00066B61" w:rsidRPr="00043245">
        <w:rPr>
          <w:rFonts w:cstheme="minorHAnsi"/>
          <w:sz w:val="20"/>
          <w:szCs w:val="20"/>
        </w:rPr>
        <w:t xml:space="preserve">The HHWUE project conformed </w:t>
      </w:r>
      <w:r w:rsidR="00CD5B67" w:rsidRPr="00043245">
        <w:rPr>
          <w:rFonts w:cstheme="minorHAnsi"/>
          <w:sz w:val="20"/>
          <w:szCs w:val="20"/>
        </w:rPr>
        <w:t xml:space="preserve">to the </w:t>
      </w:r>
      <w:r w:rsidR="00CD5B67" w:rsidRPr="00043245">
        <w:rPr>
          <w:rFonts w:cstheme="minorHAnsi"/>
          <w:i/>
          <w:sz w:val="20"/>
          <w:szCs w:val="20"/>
        </w:rPr>
        <w:t xml:space="preserve">DNRME </w:t>
      </w:r>
      <w:r w:rsidR="00066B61" w:rsidRPr="00043245">
        <w:rPr>
          <w:rFonts w:cstheme="minorHAnsi"/>
          <w:i/>
          <w:sz w:val="20"/>
          <w:szCs w:val="20"/>
        </w:rPr>
        <w:t>R</w:t>
      </w:r>
      <w:r w:rsidR="00CD5B67" w:rsidRPr="00043245">
        <w:rPr>
          <w:rFonts w:cstheme="minorHAnsi"/>
          <w:i/>
          <w:sz w:val="20"/>
          <w:szCs w:val="20"/>
        </w:rPr>
        <w:t xml:space="preserve">isk </w:t>
      </w:r>
      <w:r w:rsidR="00066B61" w:rsidRPr="00043245">
        <w:rPr>
          <w:rFonts w:cstheme="minorHAnsi"/>
          <w:i/>
          <w:sz w:val="20"/>
          <w:szCs w:val="20"/>
        </w:rPr>
        <w:t>M</w:t>
      </w:r>
      <w:r w:rsidR="00CD5B67" w:rsidRPr="00043245">
        <w:rPr>
          <w:rFonts w:cstheme="minorHAnsi"/>
          <w:i/>
          <w:sz w:val="20"/>
          <w:szCs w:val="20"/>
        </w:rPr>
        <w:t>an</w:t>
      </w:r>
      <w:r w:rsidR="00066B61" w:rsidRPr="00043245">
        <w:rPr>
          <w:rFonts w:cstheme="minorHAnsi"/>
          <w:i/>
          <w:sz w:val="20"/>
          <w:szCs w:val="20"/>
        </w:rPr>
        <w:t>agement F</w:t>
      </w:r>
      <w:r w:rsidR="00CD5B67" w:rsidRPr="00043245">
        <w:rPr>
          <w:rFonts w:cstheme="minorHAnsi"/>
          <w:i/>
          <w:sz w:val="20"/>
          <w:szCs w:val="20"/>
        </w:rPr>
        <w:t xml:space="preserve">ramework and </w:t>
      </w:r>
      <w:r w:rsidR="00066B61" w:rsidRPr="00043245">
        <w:rPr>
          <w:rFonts w:cstheme="minorHAnsi"/>
          <w:i/>
          <w:sz w:val="20"/>
          <w:szCs w:val="20"/>
        </w:rPr>
        <w:t>P</w:t>
      </w:r>
      <w:r w:rsidR="00CD5B67" w:rsidRPr="00043245">
        <w:rPr>
          <w:rFonts w:cstheme="minorHAnsi"/>
          <w:i/>
          <w:sz w:val="20"/>
          <w:szCs w:val="20"/>
        </w:rPr>
        <w:t>rocedure</w:t>
      </w:r>
      <w:r w:rsidR="00066B61" w:rsidRPr="00043245">
        <w:rPr>
          <w:rFonts w:cstheme="minorHAnsi"/>
          <w:sz w:val="20"/>
          <w:szCs w:val="20"/>
        </w:rPr>
        <w:t xml:space="preserve">. This provides </w:t>
      </w:r>
      <w:r w:rsidR="00506E89" w:rsidRPr="00043245">
        <w:rPr>
          <w:rFonts w:cstheme="minorHAnsi"/>
          <w:sz w:val="20"/>
          <w:szCs w:val="20"/>
        </w:rPr>
        <w:t xml:space="preserve">a </w:t>
      </w:r>
      <w:r w:rsidR="00066B61" w:rsidRPr="00043245">
        <w:rPr>
          <w:rFonts w:cstheme="minorHAnsi"/>
          <w:sz w:val="20"/>
          <w:szCs w:val="20"/>
        </w:rPr>
        <w:t>consistent process by which DNRME identifies, assesses, treats and monitors risks - cons</w:t>
      </w:r>
      <w:r w:rsidR="00F35E34" w:rsidRPr="00043245">
        <w:rPr>
          <w:rFonts w:cstheme="minorHAnsi"/>
          <w:sz w:val="20"/>
          <w:szCs w:val="20"/>
        </w:rPr>
        <w:t xml:space="preserve">istent with </w:t>
      </w:r>
      <w:r w:rsidR="00F35E34" w:rsidRPr="00043245">
        <w:rPr>
          <w:rFonts w:cstheme="minorHAnsi"/>
          <w:i/>
          <w:sz w:val="20"/>
          <w:szCs w:val="20"/>
        </w:rPr>
        <w:t>AS/NZ ISO 31000</w:t>
      </w:r>
      <w:r w:rsidR="00F35E34" w:rsidRPr="00043245">
        <w:rPr>
          <w:rFonts w:cstheme="minorHAnsi"/>
          <w:sz w:val="20"/>
          <w:szCs w:val="20"/>
        </w:rPr>
        <w:t>. In</w:t>
      </w:r>
      <w:r w:rsidR="00066B61" w:rsidRPr="00043245">
        <w:rPr>
          <w:rFonts w:cstheme="minorHAnsi"/>
          <w:sz w:val="20"/>
          <w:szCs w:val="20"/>
        </w:rPr>
        <w:t xml:space="preserve"> accordance with the</w:t>
      </w:r>
      <w:r w:rsidR="00CD5B67" w:rsidRPr="00043245">
        <w:rPr>
          <w:rFonts w:cstheme="minorHAnsi"/>
          <w:sz w:val="20"/>
          <w:szCs w:val="20"/>
        </w:rPr>
        <w:t xml:space="preserve"> </w:t>
      </w:r>
      <w:r w:rsidR="00066B61" w:rsidRPr="00043245">
        <w:rPr>
          <w:rFonts w:cstheme="minorHAnsi"/>
          <w:sz w:val="20"/>
          <w:szCs w:val="20"/>
        </w:rPr>
        <w:t xml:space="preserve">DNRME Risk Management Framework, </w:t>
      </w:r>
      <w:r w:rsidR="002F7F17" w:rsidRPr="00043245">
        <w:rPr>
          <w:rFonts w:cstheme="minorHAnsi"/>
          <w:sz w:val="20"/>
          <w:szCs w:val="20"/>
        </w:rPr>
        <w:t xml:space="preserve">the </w:t>
      </w:r>
      <w:r w:rsidR="00066B61" w:rsidRPr="00043245">
        <w:rPr>
          <w:rFonts w:cstheme="minorHAnsi"/>
          <w:sz w:val="20"/>
          <w:szCs w:val="20"/>
        </w:rPr>
        <w:t>H</w:t>
      </w:r>
      <w:r w:rsidR="000958AB" w:rsidRPr="00043245">
        <w:rPr>
          <w:rFonts w:cstheme="minorHAnsi"/>
          <w:sz w:val="20"/>
          <w:szCs w:val="20"/>
        </w:rPr>
        <w:t>H</w:t>
      </w:r>
      <w:r w:rsidR="00066B61" w:rsidRPr="00043245">
        <w:rPr>
          <w:rFonts w:cstheme="minorHAnsi"/>
          <w:sz w:val="20"/>
          <w:szCs w:val="20"/>
        </w:rPr>
        <w:t>WUE Risk Management Plan (RMP) has been developed as a subsidiary document to the HHWUE Program Management Plan. This RMP outlines the HHWUE project’s approach to risk management including key roles, risk appetite, risk tolerance and risk reporting</w:t>
      </w:r>
      <w:r w:rsidR="00F35E34" w:rsidRPr="00043245">
        <w:rPr>
          <w:rFonts w:cstheme="minorHAnsi"/>
          <w:sz w:val="20"/>
          <w:szCs w:val="20"/>
        </w:rPr>
        <w:t xml:space="preserve"> requirements</w:t>
      </w:r>
      <w:r w:rsidR="00066B61" w:rsidRPr="00043245">
        <w:rPr>
          <w:rFonts w:cstheme="minorHAnsi"/>
          <w:sz w:val="20"/>
          <w:szCs w:val="20"/>
        </w:rPr>
        <w:t>.</w:t>
      </w:r>
    </w:p>
    <w:p w14:paraId="414ED993" w14:textId="77777777" w:rsidR="0016739A" w:rsidRPr="00043245" w:rsidRDefault="00253854" w:rsidP="003E73C2">
      <w:pPr>
        <w:spacing w:before="120" w:after="120" w:line="240" w:lineRule="auto"/>
        <w:rPr>
          <w:rFonts w:cstheme="minorHAnsi"/>
          <w:sz w:val="20"/>
          <w:szCs w:val="20"/>
        </w:rPr>
      </w:pPr>
      <w:r w:rsidRPr="00043245">
        <w:rPr>
          <w:rFonts w:cstheme="minorHAnsi"/>
          <w:sz w:val="20"/>
          <w:szCs w:val="20"/>
        </w:rPr>
        <w:t xml:space="preserve">A </w:t>
      </w:r>
      <w:r w:rsidR="00066B61" w:rsidRPr="00043245">
        <w:rPr>
          <w:rFonts w:cstheme="minorHAnsi"/>
          <w:sz w:val="20"/>
          <w:szCs w:val="20"/>
        </w:rPr>
        <w:t>detailed risk register</w:t>
      </w:r>
      <w:r w:rsidRPr="00043245">
        <w:rPr>
          <w:rFonts w:cstheme="minorHAnsi"/>
          <w:sz w:val="20"/>
          <w:szCs w:val="20"/>
        </w:rPr>
        <w:t xml:space="preserve"> has also been developed </w:t>
      </w:r>
      <w:r w:rsidR="00066B61" w:rsidRPr="00043245">
        <w:rPr>
          <w:rFonts w:cstheme="minorHAnsi"/>
          <w:sz w:val="20"/>
          <w:szCs w:val="20"/>
        </w:rPr>
        <w:t>covering a broad range of administration and delivery risks, including skills and capacity. Each risk is rated, assigned an owner and provided a mitigation strategy. Those risks that are considered open or under development are supported by more detailed risk treatment plans, providing further detail on the risk and proposed treatments</w:t>
      </w:r>
      <w:r w:rsidR="0016739A" w:rsidRPr="00043245">
        <w:rPr>
          <w:rFonts w:cstheme="minorHAnsi"/>
          <w:sz w:val="20"/>
          <w:szCs w:val="20"/>
        </w:rPr>
        <w:t>.</w:t>
      </w:r>
      <w:r w:rsidR="007744FC" w:rsidRPr="00043245">
        <w:rPr>
          <w:rFonts w:cstheme="minorHAnsi"/>
          <w:sz w:val="20"/>
          <w:szCs w:val="20"/>
        </w:rPr>
        <w:t xml:space="preserve"> </w:t>
      </w:r>
      <w:r w:rsidR="00506E89" w:rsidRPr="00043245">
        <w:rPr>
          <w:rFonts w:cstheme="minorHAnsi"/>
          <w:sz w:val="20"/>
          <w:szCs w:val="20"/>
        </w:rPr>
        <w:t xml:space="preserve">Identified risks and risk treatments appeared to be regularly reviewed and updated. </w:t>
      </w:r>
    </w:p>
    <w:p w14:paraId="08FDBB57" w14:textId="103B8A58" w:rsidR="0091794D" w:rsidRPr="00043245" w:rsidRDefault="00410321" w:rsidP="00F74EDA">
      <w:pPr>
        <w:spacing w:before="120" w:after="120" w:line="240" w:lineRule="auto"/>
        <w:rPr>
          <w:rFonts w:cstheme="minorHAnsi"/>
          <w:sz w:val="20"/>
          <w:szCs w:val="20"/>
        </w:rPr>
      </w:pPr>
      <w:r w:rsidRPr="00043245">
        <w:rPr>
          <w:rFonts w:cstheme="minorHAnsi"/>
          <w:sz w:val="20"/>
          <w:szCs w:val="20"/>
        </w:rPr>
        <w:t xml:space="preserve">DNRME </w:t>
      </w:r>
      <w:r w:rsidR="0016739A" w:rsidRPr="00043245">
        <w:rPr>
          <w:rFonts w:cstheme="minorHAnsi"/>
          <w:sz w:val="20"/>
          <w:szCs w:val="20"/>
        </w:rPr>
        <w:t>regularly updates DAWR on any risks and issues via quarterly reports</w:t>
      </w:r>
      <w:r w:rsidR="00F35E34" w:rsidRPr="00043245">
        <w:rPr>
          <w:rFonts w:cstheme="minorHAnsi"/>
          <w:sz w:val="20"/>
          <w:szCs w:val="20"/>
        </w:rPr>
        <w:t xml:space="preserve"> and</w:t>
      </w:r>
      <w:r w:rsidR="0016739A" w:rsidRPr="00043245">
        <w:rPr>
          <w:rFonts w:cstheme="minorHAnsi"/>
          <w:sz w:val="20"/>
          <w:szCs w:val="20"/>
        </w:rPr>
        <w:t xml:space="preserve"> quarterly program overview group meetings. In addition, </w:t>
      </w:r>
      <w:r w:rsidR="007744FC" w:rsidRPr="00043245">
        <w:rPr>
          <w:rFonts w:cstheme="minorHAnsi"/>
          <w:sz w:val="20"/>
          <w:szCs w:val="20"/>
        </w:rPr>
        <w:t>e</w:t>
      </w:r>
      <w:r w:rsidR="00CD5B67" w:rsidRPr="00043245">
        <w:rPr>
          <w:rFonts w:cstheme="minorHAnsi"/>
          <w:sz w:val="20"/>
          <w:szCs w:val="20"/>
        </w:rPr>
        <w:t xml:space="preserve">ach work package provided to the DAWR includes a section on risk considerations. </w:t>
      </w:r>
      <w:r w:rsidR="0016739A" w:rsidRPr="00043245">
        <w:rPr>
          <w:rFonts w:cstheme="minorHAnsi"/>
          <w:sz w:val="20"/>
          <w:szCs w:val="20"/>
        </w:rPr>
        <w:t xml:space="preserve">This </w:t>
      </w:r>
      <w:r w:rsidR="00CD5B67" w:rsidRPr="00043245">
        <w:rPr>
          <w:rFonts w:cstheme="minorHAnsi"/>
          <w:sz w:val="20"/>
          <w:szCs w:val="20"/>
        </w:rPr>
        <w:t xml:space="preserve">outlines key risks at the works agreement and program level. Each risk is rated and includes a mitigation strategy. This has been </w:t>
      </w:r>
      <w:r w:rsidR="0016739A" w:rsidRPr="00043245">
        <w:rPr>
          <w:rFonts w:cstheme="minorHAnsi"/>
          <w:sz w:val="20"/>
          <w:szCs w:val="20"/>
        </w:rPr>
        <w:t>pr</w:t>
      </w:r>
      <w:r w:rsidR="00F35E34" w:rsidRPr="00043245">
        <w:rPr>
          <w:rFonts w:cstheme="minorHAnsi"/>
          <w:sz w:val="20"/>
          <w:szCs w:val="20"/>
        </w:rPr>
        <w:t>ovide</w:t>
      </w:r>
      <w:r w:rsidR="005B2E4E" w:rsidRPr="00043245">
        <w:rPr>
          <w:rFonts w:cstheme="minorHAnsi"/>
          <w:sz w:val="20"/>
          <w:szCs w:val="20"/>
        </w:rPr>
        <w:t>d</w:t>
      </w:r>
      <w:r w:rsidR="00F35E34" w:rsidRPr="00043245">
        <w:rPr>
          <w:rFonts w:cstheme="minorHAnsi"/>
          <w:sz w:val="20"/>
          <w:szCs w:val="20"/>
        </w:rPr>
        <w:t xml:space="preserve"> to DAWR since r</w:t>
      </w:r>
      <w:r w:rsidR="0016739A" w:rsidRPr="00043245">
        <w:rPr>
          <w:rFonts w:cstheme="minorHAnsi"/>
          <w:sz w:val="20"/>
          <w:szCs w:val="20"/>
        </w:rPr>
        <w:t xml:space="preserve">ound </w:t>
      </w:r>
      <w:r w:rsidR="00F35E34" w:rsidRPr="00043245">
        <w:rPr>
          <w:rFonts w:cstheme="minorHAnsi"/>
          <w:sz w:val="20"/>
          <w:szCs w:val="20"/>
        </w:rPr>
        <w:t>one</w:t>
      </w:r>
      <w:r w:rsidR="0016739A" w:rsidRPr="00043245">
        <w:rPr>
          <w:rFonts w:cstheme="minorHAnsi"/>
          <w:sz w:val="20"/>
          <w:szCs w:val="20"/>
        </w:rPr>
        <w:t>.</w:t>
      </w:r>
      <w:r w:rsidR="00375BC3" w:rsidRPr="00043245">
        <w:rPr>
          <w:rFonts w:cstheme="minorHAnsi"/>
          <w:sz w:val="20"/>
          <w:szCs w:val="20"/>
        </w:rPr>
        <w:t xml:space="preserve"> </w:t>
      </w:r>
    </w:p>
    <w:p w14:paraId="0908B168" w14:textId="77777777" w:rsidR="003E73C2" w:rsidRPr="00043245" w:rsidRDefault="00375BC3" w:rsidP="00F74EDA">
      <w:pPr>
        <w:spacing w:before="120" w:after="120" w:line="240" w:lineRule="auto"/>
        <w:rPr>
          <w:rFonts w:cstheme="minorHAnsi"/>
          <w:sz w:val="20"/>
          <w:szCs w:val="20"/>
        </w:rPr>
      </w:pPr>
      <w:r w:rsidRPr="00043245">
        <w:rPr>
          <w:rFonts w:cstheme="minorHAnsi"/>
          <w:sz w:val="20"/>
          <w:szCs w:val="20"/>
        </w:rPr>
        <w:t>An issues register has also been developed for the HWUUE project. The issues identified were assigned a category, author, date, description, priority, action description and status. It was noted that the last issue in the register was dated 2014</w:t>
      </w:r>
      <w:r w:rsidR="000A279D" w:rsidRPr="00043245">
        <w:rPr>
          <w:rFonts w:cstheme="minorHAnsi"/>
          <w:sz w:val="20"/>
          <w:szCs w:val="20"/>
        </w:rPr>
        <w:t>.</w:t>
      </w:r>
      <w:r w:rsidR="0091794D" w:rsidRPr="00043245">
        <w:rPr>
          <w:rFonts w:cstheme="minorHAnsi"/>
          <w:sz w:val="20"/>
          <w:szCs w:val="20"/>
        </w:rPr>
        <w:t xml:space="preserve"> Discussion indicated th</w:t>
      </w:r>
      <w:r w:rsidR="002F7F17" w:rsidRPr="00043245">
        <w:rPr>
          <w:rFonts w:cstheme="minorHAnsi"/>
          <w:sz w:val="20"/>
          <w:szCs w:val="20"/>
        </w:rPr>
        <w:t>at the issues register document</w:t>
      </w:r>
      <w:r w:rsidR="0091794D" w:rsidRPr="00043245">
        <w:rPr>
          <w:rFonts w:cstheme="minorHAnsi"/>
          <w:sz w:val="20"/>
          <w:szCs w:val="20"/>
        </w:rPr>
        <w:t xml:space="preserve"> was no longer in use and</w:t>
      </w:r>
      <w:r w:rsidR="000A279D" w:rsidRPr="00043245">
        <w:rPr>
          <w:rFonts w:cstheme="minorHAnsi"/>
          <w:sz w:val="20"/>
          <w:szCs w:val="20"/>
        </w:rPr>
        <w:t xml:space="preserve"> DNRME </w:t>
      </w:r>
      <w:r w:rsidR="0091794D" w:rsidRPr="00043245">
        <w:rPr>
          <w:rFonts w:cstheme="minorHAnsi"/>
          <w:sz w:val="20"/>
          <w:szCs w:val="20"/>
        </w:rPr>
        <w:t>had</w:t>
      </w:r>
      <w:r w:rsidR="000A279D" w:rsidRPr="00043245">
        <w:rPr>
          <w:rFonts w:cstheme="minorHAnsi"/>
          <w:sz w:val="20"/>
          <w:szCs w:val="20"/>
        </w:rPr>
        <w:t xml:space="preserve"> elected to capture both risks and issues in the same document.</w:t>
      </w:r>
    </w:p>
    <w:p w14:paraId="2D8A8A1F" w14:textId="1D0E3A1F" w:rsidR="00375BC3" w:rsidRPr="00043245" w:rsidRDefault="003E73C2" w:rsidP="00F74EDA">
      <w:pPr>
        <w:spacing w:before="120" w:after="120" w:line="240" w:lineRule="auto"/>
        <w:rPr>
          <w:rFonts w:cstheme="minorHAnsi"/>
          <w:sz w:val="20"/>
          <w:szCs w:val="20"/>
        </w:rPr>
      </w:pPr>
      <w:r w:rsidRPr="00043245">
        <w:rPr>
          <w:rFonts w:cstheme="minorHAnsi"/>
          <w:sz w:val="20"/>
        </w:rPr>
        <w:t xml:space="preserve">KPMG did not identify any non-compliance or significant control weaknesses related to risk and issue management. However, </w:t>
      </w:r>
      <w:r w:rsidR="000A279D" w:rsidRPr="00043245">
        <w:rPr>
          <w:rFonts w:cstheme="minorHAnsi"/>
          <w:sz w:val="20"/>
          <w:szCs w:val="20"/>
        </w:rPr>
        <w:t>KPMG</w:t>
      </w:r>
      <w:r w:rsidRPr="00043245">
        <w:rPr>
          <w:rFonts w:cstheme="minorHAnsi"/>
          <w:sz w:val="20"/>
          <w:szCs w:val="20"/>
        </w:rPr>
        <w:t xml:space="preserve"> have suggested further improvements to </w:t>
      </w:r>
      <w:r w:rsidR="00FD37BD" w:rsidRPr="00043245">
        <w:rPr>
          <w:rFonts w:cstheme="minorHAnsi"/>
          <w:sz w:val="20"/>
          <w:szCs w:val="20"/>
        </w:rPr>
        <w:t xml:space="preserve">HHWUE </w:t>
      </w:r>
      <w:r w:rsidR="00FC5F46" w:rsidRPr="00043245">
        <w:rPr>
          <w:rFonts w:cstheme="minorHAnsi"/>
          <w:sz w:val="20"/>
          <w:szCs w:val="20"/>
        </w:rPr>
        <w:t xml:space="preserve">project </w:t>
      </w:r>
      <w:r w:rsidRPr="00043245">
        <w:rPr>
          <w:rFonts w:cstheme="minorHAnsi"/>
          <w:sz w:val="20"/>
          <w:szCs w:val="20"/>
        </w:rPr>
        <w:t xml:space="preserve">risk </w:t>
      </w:r>
      <w:r w:rsidR="0091794D" w:rsidRPr="00043245">
        <w:rPr>
          <w:rFonts w:cstheme="minorHAnsi"/>
          <w:sz w:val="20"/>
          <w:szCs w:val="20"/>
        </w:rPr>
        <w:t>and issue management</w:t>
      </w:r>
      <w:r w:rsidR="005133A3" w:rsidRPr="00043245">
        <w:rPr>
          <w:rFonts w:cstheme="minorHAnsi"/>
          <w:sz w:val="20"/>
          <w:szCs w:val="20"/>
        </w:rPr>
        <w:t xml:space="preserve"> (</w:t>
      </w:r>
      <w:r w:rsidRPr="00043245">
        <w:rPr>
          <w:rFonts w:cstheme="minorHAnsi"/>
          <w:sz w:val="20"/>
          <w:szCs w:val="20"/>
        </w:rPr>
        <w:t>r</w:t>
      </w:r>
      <w:r w:rsidR="009C5551" w:rsidRPr="00043245">
        <w:rPr>
          <w:rFonts w:cstheme="minorHAnsi"/>
          <w:sz w:val="20"/>
          <w:szCs w:val="20"/>
        </w:rPr>
        <w:t xml:space="preserve">efer to </w:t>
      </w:r>
      <w:r w:rsidR="00375BC3" w:rsidRPr="00043245">
        <w:rPr>
          <w:rFonts w:cstheme="minorHAnsi"/>
          <w:sz w:val="20"/>
          <w:szCs w:val="20"/>
        </w:rPr>
        <w:t>Section 4</w:t>
      </w:r>
      <w:r w:rsidR="005133A3" w:rsidRPr="00043245">
        <w:rPr>
          <w:rFonts w:cstheme="minorHAnsi"/>
          <w:sz w:val="20"/>
          <w:szCs w:val="20"/>
        </w:rPr>
        <w:t>.1</w:t>
      </w:r>
      <w:r w:rsidRPr="00043245">
        <w:rPr>
          <w:rFonts w:cstheme="minorHAnsi"/>
          <w:sz w:val="20"/>
          <w:szCs w:val="20"/>
        </w:rPr>
        <w:t xml:space="preserve"> for details</w:t>
      </w:r>
      <w:r w:rsidR="005133A3" w:rsidRPr="00043245">
        <w:rPr>
          <w:rFonts w:cstheme="minorHAnsi"/>
          <w:sz w:val="20"/>
          <w:szCs w:val="20"/>
        </w:rPr>
        <w:t>)</w:t>
      </w:r>
      <w:r w:rsidRPr="00043245">
        <w:rPr>
          <w:rFonts w:cstheme="minorHAnsi"/>
          <w:sz w:val="20"/>
          <w:szCs w:val="20"/>
        </w:rPr>
        <w:t xml:space="preserve">. </w:t>
      </w:r>
    </w:p>
    <w:p w14:paraId="36E1889A" w14:textId="77777777" w:rsidR="003E345A" w:rsidRPr="00043245" w:rsidRDefault="003E345A">
      <w:pPr>
        <w:pStyle w:val="Heading2"/>
        <w:rPr>
          <w:rFonts w:asciiTheme="minorHAnsi" w:hAnsiTheme="minorHAnsi" w:cstheme="minorHAnsi"/>
        </w:rPr>
      </w:pPr>
      <w:bookmarkStart w:id="22" w:name="_Toc528653251"/>
      <w:r w:rsidRPr="00043245">
        <w:rPr>
          <w:rFonts w:asciiTheme="minorHAnsi" w:hAnsiTheme="minorHAnsi" w:cstheme="minorHAnsi"/>
        </w:rPr>
        <w:t>Financial management</w:t>
      </w:r>
      <w:bookmarkEnd w:id="22"/>
    </w:p>
    <w:p w14:paraId="05423E69" w14:textId="45D87155" w:rsidR="00410604" w:rsidRPr="00043245" w:rsidRDefault="00474DAB" w:rsidP="00F74EDA">
      <w:pPr>
        <w:keepNext/>
        <w:shd w:val="clear" w:color="auto" w:fill="E7E6E6" w:themeFill="background2"/>
        <w:rPr>
          <w:rFonts w:cstheme="minorHAnsi"/>
          <w:i/>
          <w:sz w:val="20"/>
          <w:szCs w:val="20"/>
        </w:rPr>
      </w:pPr>
      <w:r w:rsidRPr="00043245">
        <w:rPr>
          <w:rFonts w:cstheme="minorHAnsi"/>
          <w:i/>
          <w:sz w:val="20"/>
          <w:szCs w:val="20"/>
        </w:rPr>
        <w:t xml:space="preserve">DNRME </w:t>
      </w:r>
      <w:r w:rsidR="00246CC8" w:rsidRPr="00043245">
        <w:rPr>
          <w:rFonts w:cstheme="minorHAnsi"/>
          <w:i/>
          <w:sz w:val="20"/>
          <w:szCs w:val="20"/>
        </w:rPr>
        <w:t xml:space="preserve">appears to have </w:t>
      </w:r>
      <w:r w:rsidRPr="00043245">
        <w:rPr>
          <w:rFonts w:cstheme="minorHAnsi"/>
          <w:i/>
          <w:sz w:val="20"/>
          <w:szCs w:val="20"/>
        </w:rPr>
        <w:t xml:space="preserve">implemented appropriate financial management systems, processes and controls at both an individual proponent and overall </w:t>
      </w:r>
      <w:r w:rsidR="002F7F17" w:rsidRPr="00043245">
        <w:rPr>
          <w:rFonts w:cstheme="minorHAnsi"/>
          <w:i/>
          <w:sz w:val="20"/>
          <w:szCs w:val="20"/>
        </w:rPr>
        <w:t xml:space="preserve">at the </w:t>
      </w:r>
      <w:r w:rsidRPr="00043245">
        <w:rPr>
          <w:rFonts w:cstheme="minorHAnsi"/>
          <w:i/>
          <w:sz w:val="20"/>
          <w:szCs w:val="20"/>
        </w:rPr>
        <w:t xml:space="preserve">HHWUE project level. These processes and controls are designed to support </w:t>
      </w:r>
      <w:r w:rsidR="002F7F17" w:rsidRPr="00043245">
        <w:rPr>
          <w:rFonts w:cstheme="minorHAnsi"/>
          <w:i/>
          <w:sz w:val="20"/>
          <w:szCs w:val="20"/>
        </w:rPr>
        <w:t xml:space="preserve">the </w:t>
      </w:r>
      <w:r w:rsidRPr="00043245">
        <w:rPr>
          <w:rFonts w:cstheme="minorHAnsi"/>
          <w:i/>
          <w:sz w:val="20"/>
          <w:szCs w:val="20"/>
        </w:rPr>
        <w:t xml:space="preserve">appropriate use of Commonwealth funds and </w:t>
      </w:r>
      <w:r w:rsidR="00690029" w:rsidRPr="00043245">
        <w:rPr>
          <w:rFonts w:cstheme="minorHAnsi"/>
          <w:i/>
          <w:sz w:val="20"/>
          <w:szCs w:val="20"/>
        </w:rPr>
        <w:t>appear to be fit for purpose</w:t>
      </w:r>
      <w:r w:rsidRPr="00043245">
        <w:rPr>
          <w:rFonts w:cstheme="minorHAnsi"/>
          <w:i/>
          <w:sz w:val="20"/>
          <w:szCs w:val="20"/>
        </w:rPr>
        <w:t xml:space="preserve">. No significant discrepancies or control deficiencies were identified.  </w:t>
      </w:r>
      <w:r w:rsidR="006724A6" w:rsidRPr="00043245">
        <w:rPr>
          <w:rFonts w:cstheme="minorHAnsi"/>
          <w:i/>
          <w:sz w:val="20"/>
          <w:szCs w:val="20"/>
        </w:rPr>
        <w:t xml:space="preserve"> </w:t>
      </w:r>
    </w:p>
    <w:p w14:paraId="5960FA0A" w14:textId="1B809AF4" w:rsidR="00871FD3" w:rsidRPr="00043245" w:rsidRDefault="00871FD3" w:rsidP="00F74EDA">
      <w:pPr>
        <w:spacing w:before="120" w:after="120" w:line="240" w:lineRule="auto"/>
        <w:rPr>
          <w:rFonts w:cstheme="minorHAnsi"/>
          <w:sz w:val="20"/>
          <w:szCs w:val="20"/>
        </w:rPr>
      </w:pPr>
      <w:r w:rsidRPr="00043245">
        <w:rPr>
          <w:rFonts w:cstheme="minorHAnsi"/>
          <w:sz w:val="20"/>
          <w:szCs w:val="20"/>
        </w:rPr>
        <w:t xml:space="preserve">There are two key aspects to financial management which were assessed as part of the review. Firstly, the requirements to manage </w:t>
      </w:r>
      <w:r w:rsidR="00AD288F" w:rsidRPr="00043245">
        <w:rPr>
          <w:rFonts w:cstheme="minorHAnsi"/>
          <w:sz w:val="20"/>
          <w:szCs w:val="20"/>
        </w:rPr>
        <w:t>p</w:t>
      </w:r>
      <w:r w:rsidR="00AD3789" w:rsidRPr="00043245">
        <w:rPr>
          <w:rFonts w:cstheme="minorHAnsi"/>
          <w:sz w:val="20"/>
          <w:szCs w:val="20"/>
        </w:rPr>
        <w:t xml:space="preserve">roponent-level </w:t>
      </w:r>
      <w:r w:rsidRPr="00043245">
        <w:rPr>
          <w:rFonts w:cstheme="minorHAnsi"/>
          <w:sz w:val="20"/>
          <w:szCs w:val="20"/>
        </w:rPr>
        <w:t>project funds in accordance with their project scope and works agreements and secondly</w:t>
      </w:r>
      <w:r w:rsidR="002F7F17" w:rsidRPr="00043245">
        <w:rPr>
          <w:rFonts w:cstheme="minorHAnsi"/>
          <w:sz w:val="20"/>
          <w:szCs w:val="20"/>
        </w:rPr>
        <w:t>,</w:t>
      </w:r>
      <w:r w:rsidRPr="00043245">
        <w:rPr>
          <w:rFonts w:cstheme="minorHAnsi"/>
          <w:sz w:val="20"/>
          <w:szCs w:val="20"/>
        </w:rPr>
        <w:t xml:space="preserve"> DNRME’s processes and systems in place to manage</w:t>
      </w:r>
      <w:r w:rsidR="005C7F2B" w:rsidRPr="00043245">
        <w:rPr>
          <w:rFonts w:cstheme="minorHAnsi"/>
          <w:sz w:val="20"/>
          <w:szCs w:val="20"/>
        </w:rPr>
        <w:t xml:space="preserve"> the</w:t>
      </w:r>
      <w:r w:rsidRPr="00043245">
        <w:rPr>
          <w:rFonts w:cstheme="minorHAnsi"/>
          <w:sz w:val="20"/>
          <w:szCs w:val="20"/>
        </w:rPr>
        <w:t xml:space="preserve"> </w:t>
      </w:r>
      <w:r w:rsidR="005C7F2B" w:rsidRPr="00043245">
        <w:rPr>
          <w:rFonts w:cstheme="minorHAnsi"/>
          <w:sz w:val="20"/>
          <w:szCs w:val="20"/>
        </w:rPr>
        <w:t>project</w:t>
      </w:r>
      <w:r w:rsidRPr="00043245">
        <w:rPr>
          <w:rFonts w:cstheme="minorHAnsi"/>
          <w:sz w:val="20"/>
          <w:szCs w:val="20"/>
        </w:rPr>
        <w:t xml:space="preserve"> and ultimately Commonwealth funds in an appropriate manner. KPMG assessed the adequacy of key systems, processes and controls relating to the tracking of budgets, actual expenditure and project schedules as well as project acquittal and milestone requirements. </w:t>
      </w:r>
    </w:p>
    <w:p w14:paraId="78653ECD" w14:textId="6E055D90" w:rsidR="00871FD3" w:rsidRPr="00043245" w:rsidRDefault="00871FD3" w:rsidP="00C70202">
      <w:pPr>
        <w:pStyle w:val="Heading3"/>
        <w:spacing w:before="120"/>
        <w:rPr>
          <w:rFonts w:asciiTheme="minorHAnsi" w:hAnsiTheme="minorHAnsi" w:cstheme="minorHAnsi"/>
          <w:sz w:val="20"/>
          <w:szCs w:val="20"/>
        </w:rPr>
      </w:pPr>
      <w:r w:rsidRPr="00043245">
        <w:rPr>
          <w:rFonts w:asciiTheme="minorHAnsi" w:hAnsiTheme="minorHAnsi" w:cstheme="minorHAnsi"/>
          <w:sz w:val="20"/>
          <w:szCs w:val="20"/>
        </w:rPr>
        <w:t>Proponent</w:t>
      </w:r>
      <w:r w:rsidR="00AD3789" w:rsidRPr="00043245">
        <w:rPr>
          <w:rFonts w:asciiTheme="minorHAnsi" w:hAnsiTheme="minorHAnsi" w:cstheme="minorHAnsi"/>
          <w:sz w:val="20"/>
          <w:szCs w:val="20"/>
        </w:rPr>
        <w:t>-level</w:t>
      </w:r>
      <w:r w:rsidRPr="00043245">
        <w:rPr>
          <w:rFonts w:asciiTheme="minorHAnsi" w:hAnsiTheme="minorHAnsi" w:cstheme="minorHAnsi"/>
          <w:sz w:val="20"/>
          <w:szCs w:val="20"/>
        </w:rPr>
        <w:t xml:space="preserve"> Financial Management</w:t>
      </w:r>
    </w:p>
    <w:p w14:paraId="5F273143" w14:textId="77777777" w:rsidR="00871FD3" w:rsidRPr="00043245" w:rsidRDefault="00871FD3" w:rsidP="00F74EDA">
      <w:pPr>
        <w:spacing w:before="120" w:after="120" w:line="240" w:lineRule="auto"/>
        <w:rPr>
          <w:rFonts w:cstheme="minorHAnsi"/>
          <w:sz w:val="20"/>
          <w:szCs w:val="20"/>
        </w:rPr>
      </w:pPr>
      <w:r w:rsidRPr="00043245">
        <w:rPr>
          <w:rFonts w:cstheme="minorHAnsi"/>
          <w:sz w:val="20"/>
          <w:szCs w:val="20"/>
        </w:rPr>
        <w:t xml:space="preserve">KPMG’s review did not identify any discrepancies or significant control deficiencies in regards to </w:t>
      </w:r>
      <w:r w:rsidR="00210F96" w:rsidRPr="00043245">
        <w:rPr>
          <w:rFonts w:cstheme="minorHAnsi"/>
          <w:sz w:val="20"/>
          <w:szCs w:val="20"/>
        </w:rPr>
        <w:t xml:space="preserve">DNRME </w:t>
      </w:r>
      <w:r w:rsidRPr="00043245">
        <w:rPr>
          <w:rFonts w:cstheme="minorHAnsi"/>
          <w:sz w:val="20"/>
          <w:szCs w:val="20"/>
        </w:rPr>
        <w:t>processing</w:t>
      </w:r>
      <w:r w:rsidR="00210F96" w:rsidRPr="00043245">
        <w:rPr>
          <w:rFonts w:cstheme="minorHAnsi"/>
          <w:sz w:val="20"/>
          <w:szCs w:val="20"/>
        </w:rPr>
        <w:t xml:space="preserve"> of</w:t>
      </w:r>
      <w:r w:rsidRPr="00043245">
        <w:rPr>
          <w:rFonts w:cstheme="minorHAnsi"/>
          <w:sz w:val="20"/>
          <w:szCs w:val="20"/>
        </w:rPr>
        <w:t xml:space="preserve"> proponent milestone payments. </w:t>
      </w:r>
      <w:r w:rsidR="00013A31" w:rsidRPr="00043245">
        <w:rPr>
          <w:rFonts w:cstheme="minorHAnsi"/>
          <w:sz w:val="20"/>
          <w:szCs w:val="20"/>
        </w:rPr>
        <w:t xml:space="preserve">Over the life of the HHWUE </w:t>
      </w:r>
      <w:r w:rsidR="00FC5F46" w:rsidRPr="00043245">
        <w:rPr>
          <w:rFonts w:cstheme="minorHAnsi"/>
          <w:sz w:val="20"/>
          <w:szCs w:val="20"/>
        </w:rPr>
        <w:t>project</w:t>
      </w:r>
      <w:r w:rsidR="002F7F17" w:rsidRPr="00043245">
        <w:rPr>
          <w:rFonts w:cstheme="minorHAnsi"/>
          <w:sz w:val="20"/>
          <w:szCs w:val="20"/>
        </w:rPr>
        <w:t>,</w:t>
      </w:r>
      <w:r w:rsidR="00FC5F46" w:rsidRPr="00043245">
        <w:rPr>
          <w:rFonts w:cstheme="minorHAnsi"/>
          <w:sz w:val="20"/>
          <w:szCs w:val="20"/>
        </w:rPr>
        <w:t xml:space="preserve"> </w:t>
      </w:r>
      <w:r w:rsidR="00013A31" w:rsidRPr="00043245">
        <w:rPr>
          <w:rFonts w:cstheme="minorHAnsi"/>
          <w:sz w:val="20"/>
          <w:szCs w:val="20"/>
        </w:rPr>
        <w:t>DNRME’s evidence supporting payment claims and administrative requirements for proponents evolved to address less</w:t>
      </w:r>
      <w:r w:rsidR="00E72B52" w:rsidRPr="00043245">
        <w:rPr>
          <w:rFonts w:cstheme="minorHAnsi"/>
          <w:sz w:val="20"/>
          <w:szCs w:val="20"/>
        </w:rPr>
        <w:t>ons learnt and risks identified. F</w:t>
      </w:r>
      <w:r w:rsidR="00013A31" w:rsidRPr="00043245">
        <w:rPr>
          <w:rFonts w:cstheme="minorHAnsi"/>
          <w:sz w:val="20"/>
          <w:szCs w:val="20"/>
        </w:rPr>
        <w:t>or example, the requirement for proponents to retain fuel logbooks was introduced to help mitigate the risks assoc</w:t>
      </w:r>
      <w:r w:rsidR="008A1D3C" w:rsidRPr="00043245">
        <w:rPr>
          <w:rFonts w:cstheme="minorHAnsi"/>
          <w:sz w:val="20"/>
          <w:szCs w:val="20"/>
        </w:rPr>
        <w:t xml:space="preserve">iated with inappropriate proponent </w:t>
      </w:r>
      <w:r w:rsidR="00424437" w:rsidRPr="00043245">
        <w:rPr>
          <w:rFonts w:cstheme="minorHAnsi"/>
          <w:sz w:val="20"/>
          <w:szCs w:val="20"/>
        </w:rPr>
        <w:t xml:space="preserve">fuel </w:t>
      </w:r>
      <w:r w:rsidR="008A1D3C" w:rsidRPr="00043245">
        <w:rPr>
          <w:rFonts w:cstheme="minorHAnsi"/>
          <w:sz w:val="20"/>
          <w:szCs w:val="20"/>
        </w:rPr>
        <w:t>claims</w:t>
      </w:r>
      <w:r w:rsidR="00707362" w:rsidRPr="00043245">
        <w:rPr>
          <w:rFonts w:cstheme="minorHAnsi"/>
          <w:sz w:val="20"/>
          <w:szCs w:val="20"/>
        </w:rPr>
        <w:t>. S</w:t>
      </w:r>
      <w:r w:rsidR="00246CC8" w:rsidRPr="00043245">
        <w:rPr>
          <w:rFonts w:cstheme="minorHAnsi"/>
          <w:sz w:val="20"/>
          <w:szCs w:val="20"/>
        </w:rPr>
        <w:t>imilarly, DNRME introduced the requirement for proponents to provide bank statements as evidence they had incurred expenditure for the works and the disbursement of funds.</w:t>
      </w:r>
      <w:r w:rsidR="00013A31" w:rsidRPr="00043245">
        <w:rPr>
          <w:rFonts w:cstheme="minorHAnsi"/>
          <w:sz w:val="20"/>
          <w:szCs w:val="20"/>
        </w:rPr>
        <w:t xml:space="preserve"> </w:t>
      </w:r>
      <w:r w:rsidR="0069576D" w:rsidRPr="00043245">
        <w:rPr>
          <w:rFonts w:cstheme="minorHAnsi"/>
          <w:sz w:val="20"/>
          <w:szCs w:val="20"/>
        </w:rPr>
        <w:t xml:space="preserve">Our </w:t>
      </w:r>
      <w:r w:rsidR="00246CC8" w:rsidRPr="00043245">
        <w:rPr>
          <w:rFonts w:cstheme="minorHAnsi"/>
          <w:sz w:val="20"/>
          <w:szCs w:val="20"/>
        </w:rPr>
        <w:t xml:space="preserve">testing focused on financial management controls and processes and did not test the accuracy or validity of </w:t>
      </w:r>
      <w:r w:rsidR="00D2242A" w:rsidRPr="00043245">
        <w:rPr>
          <w:rFonts w:cstheme="minorHAnsi"/>
          <w:sz w:val="20"/>
          <w:szCs w:val="20"/>
        </w:rPr>
        <w:t xml:space="preserve">information submitted for </w:t>
      </w:r>
      <w:r w:rsidR="00246CC8" w:rsidRPr="00043245">
        <w:rPr>
          <w:rFonts w:cstheme="minorHAnsi"/>
          <w:sz w:val="20"/>
          <w:szCs w:val="20"/>
        </w:rPr>
        <w:t xml:space="preserve">proponent claims. </w:t>
      </w:r>
      <w:r w:rsidRPr="00043245">
        <w:rPr>
          <w:rFonts w:cstheme="minorHAnsi"/>
          <w:sz w:val="20"/>
          <w:szCs w:val="20"/>
        </w:rPr>
        <w:t>The following provides further details on the financial management testing conducted.</w:t>
      </w:r>
    </w:p>
    <w:p w14:paraId="7D99BBAA" w14:textId="77777777" w:rsidR="0092426E" w:rsidRPr="00043245" w:rsidRDefault="00871FD3" w:rsidP="00E72B52">
      <w:pPr>
        <w:pStyle w:val="ListParagraph"/>
        <w:numPr>
          <w:ilvl w:val="0"/>
          <w:numId w:val="35"/>
        </w:numPr>
        <w:spacing w:before="120" w:after="120" w:line="240" w:lineRule="auto"/>
        <w:contextualSpacing w:val="0"/>
        <w:rPr>
          <w:rFonts w:cstheme="minorHAnsi"/>
          <w:sz w:val="20"/>
          <w:szCs w:val="20"/>
        </w:rPr>
      </w:pPr>
      <w:r w:rsidRPr="00043245">
        <w:rPr>
          <w:rFonts w:cstheme="minorHAnsi"/>
          <w:sz w:val="20"/>
          <w:szCs w:val="20"/>
        </w:rPr>
        <w:t>A proponent is entitled to their first milestone payment following notification (from the Australian Government Solici</w:t>
      </w:r>
      <w:r w:rsidR="005C7F2B" w:rsidRPr="00043245">
        <w:rPr>
          <w:rFonts w:cstheme="minorHAnsi"/>
          <w:sz w:val="20"/>
          <w:szCs w:val="20"/>
        </w:rPr>
        <w:t xml:space="preserve">tor) of </w:t>
      </w:r>
      <w:r w:rsidR="002F7F17" w:rsidRPr="00043245">
        <w:rPr>
          <w:rFonts w:cstheme="minorHAnsi"/>
          <w:sz w:val="20"/>
          <w:szCs w:val="20"/>
        </w:rPr>
        <w:t xml:space="preserve">the </w:t>
      </w:r>
      <w:r w:rsidR="005C7F2B" w:rsidRPr="00043245">
        <w:rPr>
          <w:rFonts w:cstheme="minorHAnsi"/>
          <w:sz w:val="20"/>
          <w:szCs w:val="20"/>
        </w:rPr>
        <w:t>water transfer deed to t</w:t>
      </w:r>
      <w:r w:rsidRPr="00043245">
        <w:rPr>
          <w:rFonts w:cstheme="minorHAnsi"/>
          <w:sz w:val="20"/>
          <w:szCs w:val="20"/>
        </w:rPr>
        <w:t>he Commonwealth. Through sample testing KPMG confirmed all proponents received milestone one payments post formal notification of water settlement</w:t>
      </w:r>
      <w:r w:rsidR="0069576D" w:rsidRPr="00043245">
        <w:rPr>
          <w:rFonts w:cstheme="minorHAnsi"/>
          <w:sz w:val="20"/>
          <w:szCs w:val="20"/>
        </w:rPr>
        <w:t>.</w:t>
      </w:r>
      <w:r w:rsidRPr="00043245">
        <w:rPr>
          <w:rFonts w:cstheme="minorHAnsi"/>
          <w:sz w:val="20"/>
          <w:szCs w:val="20"/>
        </w:rPr>
        <w:t xml:space="preserve"> </w:t>
      </w:r>
    </w:p>
    <w:p w14:paraId="0DC17148" w14:textId="77777777" w:rsidR="00E72B52" w:rsidRPr="00043245" w:rsidRDefault="00E72B52" w:rsidP="00E72B52">
      <w:pPr>
        <w:pStyle w:val="ListParagraph"/>
        <w:numPr>
          <w:ilvl w:val="0"/>
          <w:numId w:val="35"/>
        </w:numPr>
        <w:spacing w:before="120" w:after="120" w:line="240" w:lineRule="auto"/>
        <w:contextualSpacing w:val="0"/>
        <w:rPr>
          <w:rFonts w:cstheme="minorHAnsi"/>
          <w:sz w:val="20"/>
          <w:szCs w:val="20"/>
        </w:rPr>
      </w:pPr>
      <w:r w:rsidRPr="00043245">
        <w:rPr>
          <w:rFonts w:cstheme="minorHAnsi"/>
          <w:sz w:val="20"/>
          <w:szCs w:val="20"/>
        </w:rPr>
        <w:t xml:space="preserve">All </w:t>
      </w:r>
      <w:r w:rsidR="0069576D" w:rsidRPr="00043245">
        <w:rPr>
          <w:rFonts w:cstheme="minorHAnsi"/>
          <w:sz w:val="20"/>
          <w:szCs w:val="20"/>
        </w:rPr>
        <w:t>proponent</w:t>
      </w:r>
      <w:r w:rsidRPr="00043245">
        <w:rPr>
          <w:rFonts w:cstheme="minorHAnsi"/>
          <w:sz w:val="20"/>
          <w:szCs w:val="20"/>
        </w:rPr>
        <w:t xml:space="preserve"> claims </w:t>
      </w:r>
      <w:r w:rsidR="0069576D" w:rsidRPr="00043245">
        <w:rPr>
          <w:rFonts w:cstheme="minorHAnsi"/>
          <w:sz w:val="20"/>
          <w:szCs w:val="20"/>
        </w:rPr>
        <w:t>are required to be</w:t>
      </w:r>
      <w:r w:rsidR="00EF1F3E" w:rsidRPr="00043245">
        <w:rPr>
          <w:rFonts w:cstheme="minorHAnsi"/>
          <w:sz w:val="20"/>
          <w:szCs w:val="20"/>
        </w:rPr>
        <w:t xml:space="preserve"> reviewed </w:t>
      </w:r>
      <w:r w:rsidR="0069576D" w:rsidRPr="00043245">
        <w:rPr>
          <w:rFonts w:cstheme="minorHAnsi"/>
          <w:sz w:val="20"/>
          <w:szCs w:val="20"/>
        </w:rPr>
        <w:t xml:space="preserve">and approved </w:t>
      </w:r>
      <w:r w:rsidR="00EF1F3E" w:rsidRPr="00043245">
        <w:rPr>
          <w:rFonts w:cstheme="minorHAnsi"/>
          <w:sz w:val="20"/>
          <w:szCs w:val="20"/>
        </w:rPr>
        <w:t xml:space="preserve">prior to </w:t>
      </w:r>
      <w:r w:rsidR="0069576D" w:rsidRPr="00043245">
        <w:rPr>
          <w:rFonts w:cstheme="minorHAnsi"/>
          <w:sz w:val="20"/>
          <w:szCs w:val="20"/>
        </w:rPr>
        <w:t>payment.</w:t>
      </w:r>
      <w:r w:rsidRPr="00043245">
        <w:rPr>
          <w:rFonts w:cstheme="minorHAnsi"/>
          <w:sz w:val="20"/>
          <w:szCs w:val="20"/>
        </w:rPr>
        <w:t xml:space="preserve"> </w:t>
      </w:r>
      <w:r w:rsidR="0069576D" w:rsidRPr="00043245">
        <w:rPr>
          <w:rFonts w:cstheme="minorHAnsi"/>
          <w:sz w:val="20"/>
          <w:szCs w:val="20"/>
        </w:rPr>
        <w:t xml:space="preserve">All claims </w:t>
      </w:r>
      <w:r w:rsidR="00DE2909" w:rsidRPr="00043245">
        <w:rPr>
          <w:rFonts w:cstheme="minorHAnsi"/>
          <w:sz w:val="20"/>
          <w:szCs w:val="20"/>
        </w:rPr>
        <w:t>sampled</w:t>
      </w:r>
      <w:r w:rsidR="0069576D" w:rsidRPr="00043245">
        <w:rPr>
          <w:rFonts w:cstheme="minorHAnsi"/>
          <w:sz w:val="20"/>
          <w:szCs w:val="20"/>
        </w:rPr>
        <w:t xml:space="preserve"> showed evidence of review</w:t>
      </w:r>
      <w:r w:rsidRPr="00043245">
        <w:rPr>
          <w:rFonts w:cstheme="minorHAnsi"/>
          <w:sz w:val="20"/>
          <w:szCs w:val="20"/>
        </w:rPr>
        <w:t xml:space="preserve"> and agreed to the approved works agreement</w:t>
      </w:r>
      <w:r w:rsidR="0069576D" w:rsidRPr="00043245">
        <w:rPr>
          <w:rFonts w:cstheme="minorHAnsi"/>
          <w:sz w:val="20"/>
          <w:szCs w:val="20"/>
        </w:rPr>
        <w:t>.</w:t>
      </w:r>
      <w:r w:rsidRPr="00043245">
        <w:rPr>
          <w:rFonts w:cstheme="minorHAnsi"/>
          <w:sz w:val="20"/>
          <w:szCs w:val="20"/>
        </w:rPr>
        <w:t xml:space="preserve"> </w:t>
      </w:r>
    </w:p>
    <w:p w14:paraId="512388D5" w14:textId="61B691BE" w:rsidR="00C85CDF" w:rsidRPr="00043245" w:rsidRDefault="00871FD3" w:rsidP="00BB3003">
      <w:pPr>
        <w:pStyle w:val="ListParagraph"/>
        <w:numPr>
          <w:ilvl w:val="0"/>
          <w:numId w:val="35"/>
        </w:numPr>
        <w:spacing w:before="120" w:after="120" w:line="240" w:lineRule="auto"/>
        <w:contextualSpacing w:val="0"/>
        <w:rPr>
          <w:rFonts w:cstheme="minorHAnsi"/>
          <w:sz w:val="20"/>
          <w:szCs w:val="20"/>
        </w:rPr>
      </w:pPr>
      <w:r w:rsidRPr="00043245">
        <w:rPr>
          <w:rFonts w:cstheme="minorHAnsi"/>
          <w:sz w:val="20"/>
          <w:szCs w:val="20"/>
        </w:rPr>
        <w:t>DNRME</w:t>
      </w:r>
      <w:r w:rsidR="00C6166A" w:rsidRPr="00043245">
        <w:rPr>
          <w:rFonts w:cstheme="minorHAnsi"/>
          <w:sz w:val="20"/>
          <w:szCs w:val="20"/>
        </w:rPr>
        <w:t xml:space="preserve">, as part of </w:t>
      </w:r>
      <w:r w:rsidR="002F7F17" w:rsidRPr="00043245">
        <w:rPr>
          <w:rFonts w:cstheme="minorHAnsi"/>
          <w:sz w:val="20"/>
          <w:szCs w:val="20"/>
        </w:rPr>
        <w:t xml:space="preserve">the </w:t>
      </w:r>
      <w:r w:rsidR="00C6166A" w:rsidRPr="00043245">
        <w:rPr>
          <w:rFonts w:cstheme="minorHAnsi"/>
          <w:sz w:val="20"/>
          <w:szCs w:val="20"/>
        </w:rPr>
        <w:t>works agreement,</w:t>
      </w:r>
      <w:r w:rsidR="00390576" w:rsidRPr="00043245">
        <w:rPr>
          <w:rFonts w:cstheme="minorHAnsi"/>
          <w:sz w:val="20"/>
          <w:szCs w:val="20"/>
        </w:rPr>
        <w:t xml:space="preserve"> requires</w:t>
      </w:r>
      <w:r w:rsidR="00C6166A" w:rsidRPr="00043245">
        <w:rPr>
          <w:rFonts w:cstheme="minorHAnsi"/>
          <w:sz w:val="20"/>
          <w:szCs w:val="20"/>
        </w:rPr>
        <w:t xml:space="preserve"> </w:t>
      </w:r>
      <w:r w:rsidRPr="00043245">
        <w:rPr>
          <w:rFonts w:cstheme="minorHAnsi"/>
          <w:sz w:val="20"/>
          <w:szCs w:val="20"/>
        </w:rPr>
        <w:t xml:space="preserve">a pre-works inspection to be conducted </w:t>
      </w:r>
      <w:r w:rsidR="00390576" w:rsidRPr="00043245">
        <w:rPr>
          <w:rFonts w:cstheme="minorHAnsi"/>
          <w:sz w:val="20"/>
          <w:szCs w:val="20"/>
        </w:rPr>
        <w:t>by DNRME</w:t>
      </w:r>
      <w:r w:rsidR="00CE1F9E" w:rsidRPr="00043245">
        <w:rPr>
          <w:rFonts w:cstheme="minorHAnsi"/>
          <w:sz w:val="20"/>
          <w:szCs w:val="20"/>
        </w:rPr>
        <w:t xml:space="preserve"> or its representative</w:t>
      </w:r>
      <w:r w:rsidR="00390576" w:rsidRPr="00043245">
        <w:rPr>
          <w:rFonts w:cstheme="minorHAnsi"/>
          <w:sz w:val="20"/>
          <w:szCs w:val="20"/>
        </w:rPr>
        <w:t xml:space="preserve"> </w:t>
      </w:r>
      <w:r w:rsidRPr="00043245">
        <w:rPr>
          <w:rFonts w:cstheme="minorHAnsi"/>
          <w:sz w:val="20"/>
          <w:szCs w:val="20"/>
        </w:rPr>
        <w:t>prior to payment of milestone two</w:t>
      </w:r>
      <w:r w:rsidR="00CE1F9E" w:rsidRPr="00043245">
        <w:rPr>
          <w:rFonts w:cstheme="minorHAnsi"/>
          <w:sz w:val="20"/>
          <w:szCs w:val="20"/>
        </w:rPr>
        <w:t xml:space="preserve"> and generally, before works commence</w:t>
      </w:r>
      <w:r w:rsidR="009C5551" w:rsidRPr="00043245">
        <w:rPr>
          <w:rFonts w:cstheme="minorHAnsi"/>
          <w:sz w:val="20"/>
          <w:szCs w:val="20"/>
        </w:rPr>
        <w:t xml:space="preserve">. This is a control designed </w:t>
      </w:r>
      <w:r w:rsidRPr="00043245">
        <w:rPr>
          <w:rFonts w:cstheme="minorHAnsi"/>
          <w:sz w:val="20"/>
          <w:szCs w:val="20"/>
        </w:rPr>
        <w:t xml:space="preserve">to ensure no pre-existing works are claimed </w:t>
      </w:r>
      <w:r w:rsidR="00FC5F46" w:rsidRPr="00043245">
        <w:rPr>
          <w:rFonts w:cstheme="minorHAnsi"/>
          <w:sz w:val="20"/>
          <w:szCs w:val="20"/>
        </w:rPr>
        <w:t xml:space="preserve">with </w:t>
      </w:r>
      <w:r w:rsidRPr="00043245">
        <w:rPr>
          <w:rFonts w:cstheme="minorHAnsi"/>
          <w:sz w:val="20"/>
          <w:szCs w:val="20"/>
        </w:rPr>
        <w:t xml:space="preserve">HHWUE funding and </w:t>
      </w:r>
      <w:r w:rsidR="006724A6" w:rsidRPr="00043245">
        <w:rPr>
          <w:rFonts w:cstheme="minorHAnsi"/>
          <w:sz w:val="20"/>
          <w:szCs w:val="20"/>
        </w:rPr>
        <w:t xml:space="preserve">to </w:t>
      </w:r>
      <w:r w:rsidRPr="00043245">
        <w:rPr>
          <w:rFonts w:cstheme="minorHAnsi"/>
          <w:sz w:val="20"/>
          <w:szCs w:val="20"/>
        </w:rPr>
        <w:t xml:space="preserve">confirm the starting point for works. </w:t>
      </w:r>
      <w:r w:rsidR="0092426E" w:rsidRPr="00043245">
        <w:rPr>
          <w:rFonts w:cstheme="minorHAnsi"/>
          <w:sz w:val="20"/>
          <w:szCs w:val="20"/>
        </w:rPr>
        <w:t>Where applicable, t</w:t>
      </w:r>
      <w:r w:rsidRPr="00043245">
        <w:rPr>
          <w:rFonts w:cstheme="minorHAnsi"/>
          <w:sz w:val="20"/>
          <w:szCs w:val="20"/>
        </w:rPr>
        <w:t xml:space="preserve">he sample </w:t>
      </w:r>
      <w:r w:rsidR="009C5551" w:rsidRPr="00043245">
        <w:rPr>
          <w:rFonts w:cstheme="minorHAnsi"/>
          <w:sz w:val="20"/>
          <w:szCs w:val="20"/>
        </w:rPr>
        <w:t xml:space="preserve">projects </w:t>
      </w:r>
      <w:r w:rsidRPr="00043245">
        <w:rPr>
          <w:rFonts w:cstheme="minorHAnsi"/>
          <w:sz w:val="20"/>
          <w:szCs w:val="20"/>
        </w:rPr>
        <w:t xml:space="preserve">reviewed had </w:t>
      </w:r>
      <w:r w:rsidR="009C5551" w:rsidRPr="00043245">
        <w:rPr>
          <w:rFonts w:cstheme="minorHAnsi"/>
          <w:sz w:val="20"/>
          <w:szCs w:val="20"/>
        </w:rPr>
        <w:t xml:space="preserve">evidence of </w:t>
      </w:r>
      <w:r w:rsidRPr="00043245">
        <w:rPr>
          <w:rFonts w:cstheme="minorHAnsi"/>
          <w:sz w:val="20"/>
          <w:szCs w:val="20"/>
        </w:rPr>
        <w:t>pre-works inspections. One instance was identified where the timing of the inspection was shortly after commencement of works, however this was considered an isolated event and did not indicate any systemic control issues.</w:t>
      </w:r>
    </w:p>
    <w:p w14:paraId="5B453DA0" w14:textId="77777777" w:rsidR="00871FD3" w:rsidRPr="00043245" w:rsidRDefault="00B50DDE" w:rsidP="00F74EDA">
      <w:pPr>
        <w:spacing w:before="120" w:after="120" w:line="240" w:lineRule="auto"/>
        <w:rPr>
          <w:rFonts w:cstheme="minorHAnsi"/>
          <w:sz w:val="20"/>
          <w:szCs w:val="20"/>
        </w:rPr>
      </w:pPr>
      <w:r w:rsidRPr="00043245">
        <w:rPr>
          <w:rFonts w:cstheme="minorHAnsi"/>
          <w:sz w:val="20"/>
          <w:szCs w:val="20"/>
        </w:rPr>
        <w:t>KPMG has ma</w:t>
      </w:r>
      <w:r w:rsidR="000A279D" w:rsidRPr="00043245">
        <w:rPr>
          <w:rFonts w:cstheme="minorHAnsi"/>
          <w:sz w:val="20"/>
          <w:szCs w:val="20"/>
        </w:rPr>
        <w:t>de an observation in relation to the documentation of assets purchased by proponents</w:t>
      </w:r>
      <w:r w:rsidR="005133A3" w:rsidRPr="00043245">
        <w:rPr>
          <w:rFonts w:cstheme="minorHAnsi"/>
          <w:sz w:val="20"/>
          <w:szCs w:val="20"/>
        </w:rPr>
        <w:t xml:space="preserve"> (refer to Section 4.2)</w:t>
      </w:r>
      <w:r w:rsidR="00144C4F" w:rsidRPr="00043245">
        <w:rPr>
          <w:rFonts w:cstheme="minorHAnsi"/>
          <w:sz w:val="20"/>
          <w:szCs w:val="20"/>
        </w:rPr>
        <w:t>.</w:t>
      </w:r>
      <w:r w:rsidR="00144C4F" w:rsidRPr="00043245">
        <w:rPr>
          <w:rFonts w:cstheme="minorHAnsi"/>
          <w:b/>
          <w:sz w:val="20"/>
          <w:szCs w:val="20"/>
        </w:rPr>
        <w:t xml:space="preserve"> </w:t>
      </w:r>
      <w:r w:rsidR="000A279D" w:rsidRPr="00043245">
        <w:rPr>
          <w:rFonts w:cstheme="minorHAnsi"/>
          <w:b/>
          <w:sz w:val="20"/>
          <w:szCs w:val="20"/>
        </w:rPr>
        <w:t xml:space="preserve"> </w:t>
      </w:r>
      <w:r w:rsidR="000A279D" w:rsidRPr="00043245">
        <w:rPr>
          <w:rFonts w:cstheme="minorHAnsi"/>
          <w:sz w:val="20"/>
          <w:szCs w:val="20"/>
        </w:rPr>
        <w:t xml:space="preserve">This did not indicate </w:t>
      </w:r>
      <w:r w:rsidR="005133A3" w:rsidRPr="00043245">
        <w:rPr>
          <w:rFonts w:cstheme="minorHAnsi"/>
          <w:sz w:val="20"/>
          <w:szCs w:val="20"/>
        </w:rPr>
        <w:t xml:space="preserve">either </w:t>
      </w:r>
      <w:r w:rsidR="000A279D" w:rsidRPr="00043245">
        <w:rPr>
          <w:rFonts w:cstheme="minorHAnsi"/>
          <w:sz w:val="20"/>
          <w:szCs w:val="20"/>
        </w:rPr>
        <w:t xml:space="preserve">a breach of WMPA or </w:t>
      </w:r>
      <w:r w:rsidR="005133A3" w:rsidRPr="00043245">
        <w:rPr>
          <w:rFonts w:cstheme="minorHAnsi"/>
          <w:sz w:val="20"/>
          <w:szCs w:val="20"/>
        </w:rPr>
        <w:t xml:space="preserve">a </w:t>
      </w:r>
      <w:r w:rsidR="000A279D" w:rsidRPr="00043245">
        <w:rPr>
          <w:rFonts w:cstheme="minorHAnsi"/>
          <w:sz w:val="20"/>
          <w:szCs w:val="20"/>
        </w:rPr>
        <w:t>systemic control failure.</w:t>
      </w:r>
    </w:p>
    <w:p w14:paraId="0A5A12B2" w14:textId="20F5D66F" w:rsidR="00871FD3" w:rsidRPr="00043245" w:rsidRDefault="00871FD3" w:rsidP="00C70202">
      <w:pPr>
        <w:pStyle w:val="Heading3"/>
        <w:spacing w:before="120"/>
        <w:rPr>
          <w:rFonts w:asciiTheme="minorHAnsi" w:hAnsiTheme="minorHAnsi" w:cstheme="minorHAnsi"/>
          <w:sz w:val="20"/>
          <w:szCs w:val="20"/>
        </w:rPr>
      </w:pPr>
      <w:r w:rsidRPr="00043245">
        <w:rPr>
          <w:rFonts w:asciiTheme="minorHAnsi" w:hAnsiTheme="minorHAnsi" w:cstheme="minorHAnsi"/>
          <w:sz w:val="20"/>
          <w:szCs w:val="20"/>
        </w:rPr>
        <w:t xml:space="preserve">HHWUE </w:t>
      </w:r>
      <w:r w:rsidR="00013A31" w:rsidRPr="00043245">
        <w:rPr>
          <w:rFonts w:asciiTheme="minorHAnsi" w:hAnsiTheme="minorHAnsi" w:cstheme="minorHAnsi"/>
          <w:sz w:val="20"/>
          <w:szCs w:val="20"/>
        </w:rPr>
        <w:t xml:space="preserve">Project </w:t>
      </w:r>
      <w:r w:rsidRPr="00043245">
        <w:rPr>
          <w:rFonts w:asciiTheme="minorHAnsi" w:hAnsiTheme="minorHAnsi" w:cstheme="minorHAnsi"/>
          <w:sz w:val="20"/>
          <w:szCs w:val="20"/>
        </w:rPr>
        <w:t xml:space="preserve">Financial Management </w:t>
      </w:r>
    </w:p>
    <w:p w14:paraId="3C8BFBE6" w14:textId="34021272" w:rsidR="00871FD3" w:rsidRPr="00043245" w:rsidRDefault="00871FD3" w:rsidP="00F74EDA">
      <w:pPr>
        <w:spacing w:before="120" w:after="120" w:line="240" w:lineRule="auto"/>
        <w:rPr>
          <w:rFonts w:cstheme="minorHAnsi"/>
          <w:sz w:val="20"/>
          <w:szCs w:val="20"/>
        </w:rPr>
      </w:pPr>
      <w:r w:rsidRPr="00043245">
        <w:rPr>
          <w:rFonts w:cstheme="minorHAnsi"/>
          <w:sz w:val="20"/>
          <w:szCs w:val="20"/>
        </w:rPr>
        <w:t>DNRME appear</w:t>
      </w:r>
      <w:r w:rsidR="005133A3" w:rsidRPr="00043245">
        <w:rPr>
          <w:rFonts w:cstheme="minorHAnsi"/>
          <w:sz w:val="20"/>
          <w:szCs w:val="20"/>
        </w:rPr>
        <w:t>s</w:t>
      </w:r>
      <w:r w:rsidRPr="00043245">
        <w:rPr>
          <w:rFonts w:cstheme="minorHAnsi"/>
          <w:sz w:val="20"/>
          <w:szCs w:val="20"/>
        </w:rPr>
        <w:t xml:space="preserve"> to have appropriate financial management controls in place to manage and monitor </w:t>
      </w:r>
      <w:r w:rsidR="00934BB7" w:rsidRPr="00043245">
        <w:rPr>
          <w:rFonts w:cstheme="minorHAnsi"/>
          <w:sz w:val="20"/>
          <w:szCs w:val="20"/>
        </w:rPr>
        <w:t xml:space="preserve">HHWUE </w:t>
      </w:r>
      <w:r w:rsidR="00D83A02" w:rsidRPr="00043245">
        <w:rPr>
          <w:rFonts w:cstheme="minorHAnsi"/>
          <w:sz w:val="20"/>
          <w:szCs w:val="20"/>
        </w:rPr>
        <w:t xml:space="preserve">project </w:t>
      </w:r>
      <w:r w:rsidRPr="00043245">
        <w:rPr>
          <w:rFonts w:cstheme="minorHAnsi"/>
          <w:sz w:val="20"/>
          <w:szCs w:val="20"/>
        </w:rPr>
        <w:t>expendi</w:t>
      </w:r>
      <w:r w:rsidR="005C7F2B" w:rsidRPr="00043245">
        <w:rPr>
          <w:rFonts w:cstheme="minorHAnsi"/>
          <w:sz w:val="20"/>
          <w:szCs w:val="20"/>
        </w:rPr>
        <w:t>ture and acquittal of funds to t</w:t>
      </w:r>
      <w:r w:rsidRPr="00043245">
        <w:rPr>
          <w:rFonts w:cstheme="minorHAnsi"/>
          <w:sz w:val="20"/>
          <w:szCs w:val="20"/>
        </w:rPr>
        <w:t xml:space="preserve">he Commonwealth. </w:t>
      </w:r>
    </w:p>
    <w:p w14:paraId="614B7A19" w14:textId="3C9440B0" w:rsidR="00871FD3" w:rsidRPr="00043245" w:rsidRDefault="00934BB7" w:rsidP="00F74EDA">
      <w:pPr>
        <w:spacing w:before="120" w:after="120" w:line="240" w:lineRule="auto"/>
        <w:rPr>
          <w:rFonts w:cstheme="minorHAnsi"/>
          <w:sz w:val="20"/>
          <w:szCs w:val="20"/>
        </w:rPr>
      </w:pPr>
      <w:r w:rsidRPr="00043245">
        <w:rPr>
          <w:rFonts w:cstheme="minorHAnsi"/>
          <w:sz w:val="20"/>
          <w:szCs w:val="20"/>
        </w:rPr>
        <w:t xml:space="preserve">HHWUE </w:t>
      </w:r>
      <w:r w:rsidR="00FC5F46" w:rsidRPr="00043245">
        <w:rPr>
          <w:rFonts w:cstheme="minorHAnsi"/>
          <w:sz w:val="20"/>
          <w:szCs w:val="20"/>
        </w:rPr>
        <w:t>project</w:t>
      </w:r>
      <w:r w:rsidR="00871FD3" w:rsidRPr="00043245">
        <w:rPr>
          <w:rFonts w:cstheme="minorHAnsi"/>
          <w:sz w:val="20"/>
          <w:szCs w:val="20"/>
        </w:rPr>
        <w:t xml:space="preserve"> expenditure is classified into</w:t>
      </w:r>
      <w:r w:rsidR="005133A3" w:rsidRPr="00043245">
        <w:rPr>
          <w:rFonts w:cstheme="minorHAnsi"/>
          <w:sz w:val="20"/>
          <w:szCs w:val="20"/>
        </w:rPr>
        <w:t xml:space="preserve"> two cost categories by DNRME:</w:t>
      </w:r>
      <w:r w:rsidR="00871FD3" w:rsidRPr="00043245">
        <w:rPr>
          <w:rFonts w:cstheme="minorHAnsi"/>
          <w:sz w:val="20"/>
          <w:szCs w:val="20"/>
        </w:rPr>
        <w:t xml:space="preserve"> ‘</w:t>
      </w:r>
      <w:r w:rsidR="00CE1F9E" w:rsidRPr="00043245">
        <w:rPr>
          <w:rFonts w:cstheme="minorHAnsi"/>
          <w:sz w:val="20"/>
          <w:szCs w:val="20"/>
        </w:rPr>
        <w:t>complementary measures’ which capture staff wages, overheads, supporting projects and studies, and engagement of experts to assist in making informed decisions regarding on-farm water use efficiency options; and ‘infrastructure’ which captures funding payments to proponents</w:t>
      </w:r>
      <w:r w:rsidR="00871FD3" w:rsidRPr="00043245">
        <w:rPr>
          <w:rFonts w:cstheme="minorHAnsi"/>
          <w:sz w:val="20"/>
          <w:szCs w:val="20"/>
        </w:rPr>
        <w:t>. Both expenditure categories are on</w:t>
      </w:r>
      <w:r w:rsidR="005C7F2B" w:rsidRPr="00043245">
        <w:rPr>
          <w:rFonts w:cstheme="minorHAnsi"/>
          <w:sz w:val="20"/>
          <w:szCs w:val="20"/>
        </w:rPr>
        <w:t>-</w:t>
      </w:r>
      <w:r w:rsidR="00871FD3" w:rsidRPr="00043245">
        <w:rPr>
          <w:rFonts w:cstheme="minorHAnsi"/>
          <w:sz w:val="20"/>
          <w:szCs w:val="20"/>
        </w:rPr>
        <w:t xml:space="preserve">charged to DAWR for reimbursement. </w:t>
      </w:r>
      <w:r w:rsidR="008A1D3C" w:rsidRPr="00043245">
        <w:rPr>
          <w:rFonts w:cstheme="minorHAnsi"/>
          <w:sz w:val="20"/>
          <w:szCs w:val="20"/>
        </w:rPr>
        <w:t xml:space="preserve">The DNRME contract database is used to track HHWUE </w:t>
      </w:r>
      <w:r w:rsidR="00390576" w:rsidRPr="00043245">
        <w:rPr>
          <w:rFonts w:cstheme="minorHAnsi"/>
          <w:sz w:val="20"/>
          <w:szCs w:val="20"/>
        </w:rPr>
        <w:t xml:space="preserve">project </w:t>
      </w:r>
      <w:r w:rsidR="008A1D3C" w:rsidRPr="00043245">
        <w:rPr>
          <w:rFonts w:cstheme="minorHAnsi"/>
          <w:sz w:val="20"/>
          <w:szCs w:val="20"/>
        </w:rPr>
        <w:t xml:space="preserve">budget against actuals and detailed spreadsheets per proponent are used to monitor spend and milestone payments. HHWUE also undertake monthly reviews of expenditure and financials. </w:t>
      </w:r>
    </w:p>
    <w:p w14:paraId="2797FF3A" w14:textId="11862D21" w:rsidR="00871FD3" w:rsidRPr="00043245" w:rsidRDefault="00871FD3" w:rsidP="00F74EDA">
      <w:pPr>
        <w:spacing w:before="120" w:after="120" w:line="240" w:lineRule="auto"/>
        <w:rPr>
          <w:rFonts w:cstheme="minorHAnsi"/>
          <w:sz w:val="20"/>
          <w:szCs w:val="20"/>
        </w:rPr>
      </w:pPr>
      <w:r w:rsidRPr="00043245">
        <w:rPr>
          <w:rFonts w:cstheme="minorHAnsi"/>
          <w:sz w:val="20"/>
          <w:szCs w:val="20"/>
        </w:rPr>
        <w:t>DNRME claim Commonwealth payments in arrears which mitigates the risk associated with interest incurred on approved Commonwealth funding and acquittal of unspent</w:t>
      </w:r>
      <w:r w:rsidR="005C7F2B" w:rsidRPr="00043245">
        <w:rPr>
          <w:rFonts w:cstheme="minorHAnsi"/>
          <w:sz w:val="20"/>
          <w:szCs w:val="20"/>
        </w:rPr>
        <w:t xml:space="preserve"> funds. As HHWUE has been under-</w:t>
      </w:r>
      <w:r w:rsidRPr="00043245">
        <w:rPr>
          <w:rFonts w:cstheme="minorHAnsi"/>
          <w:sz w:val="20"/>
          <w:szCs w:val="20"/>
        </w:rPr>
        <w:t xml:space="preserve">subscribed, DNRME utilise a rolling budget and unspent committed Commonwealth funds are carried over to the following financial year. </w:t>
      </w:r>
      <w:r w:rsidR="00EA1BAD" w:rsidRPr="00043245">
        <w:rPr>
          <w:rFonts w:cstheme="minorHAnsi"/>
          <w:sz w:val="20"/>
          <w:szCs w:val="20"/>
        </w:rPr>
        <w:t xml:space="preserve">DNRME advised that the WMPA is varied, when required, to account for adjustments in funding forecasts. </w:t>
      </w:r>
    </w:p>
    <w:p w14:paraId="0D272E5D" w14:textId="12B9AF15" w:rsidR="008A1D3C" w:rsidRPr="00043245" w:rsidRDefault="008A1D3C" w:rsidP="00F74EDA">
      <w:pPr>
        <w:spacing w:before="120" w:after="120" w:line="240" w:lineRule="auto"/>
        <w:rPr>
          <w:rFonts w:cstheme="minorHAnsi"/>
          <w:sz w:val="20"/>
          <w:szCs w:val="20"/>
        </w:rPr>
      </w:pPr>
      <w:r w:rsidRPr="00043245">
        <w:rPr>
          <w:rFonts w:cstheme="minorHAnsi"/>
          <w:sz w:val="20"/>
          <w:szCs w:val="20"/>
        </w:rPr>
        <w:t xml:space="preserve">DNRME, in accordance with WMPA, provide DAWR </w:t>
      </w:r>
      <w:r w:rsidR="00B92ADF" w:rsidRPr="00043245">
        <w:rPr>
          <w:rFonts w:cstheme="minorHAnsi"/>
          <w:sz w:val="20"/>
          <w:szCs w:val="20"/>
        </w:rPr>
        <w:t xml:space="preserve">with correctly issued </w:t>
      </w:r>
      <w:r w:rsidRPr="00043245">
        <w:rPr>
          <w:rFonts w:cstheme="minorHAnsi"/>
          <w:sz w:val="20"/>
          <w:szCs w:val="20"/>
        </w:rPr>
        <w:t xml:space="preserve">audited financial statements by November each year. </w:t>
      </w:r>
    </w:p>
    <w:p w14:paraId="332A548B" w14:textId="77777777" w:rsidR="003E345A" w:rsidRPr="00043245" w:rsidRDefault="003E345A" w:rsidP="000722AF">
      <w:pPr>
        <w:pStyle w:val="Heading2"/>
        <w:rPr>
          <w:rFonts w:asciiTheme="minorHAnsi" w:hAnsiTheme="minorHAnsi" w:cstheme="minorHAnsi"/>
        </w:rPr>
      </w:pPr>
      <w:bookmarkStart w:id="23" w:name="_Toc528653252"/>
      <w:r w:rsidRPr="00043245">
        <w:rPr>
          <w:rFonts w:asciiTheme="minorHAnsi" w:hAnsiTheme="minorHAnsi" w:cstheme="minorHAnsi"/>
        </w:rPr>
        <w:t>Stakeholder engagement</w:t>
      </w:r>
      <w:bookmarkEnd w:id="23"/>
      <w:r w:rsidRPr="00043245">
        <w:rPr>
          <w:rFonts w:asciiTheme="minorHAnsi" w:hAnsiTheme="minorHAnsi" w:cstheme="minorHAnsi"/>
        </w:rPr>
        <w:t xml:space="preserve"> </w:t>
      </w:r>
    </w:p>
    <w:p w14:paraId="79FA1928" w14:textId="77777777" w:rsidR="00D83A02" w:rsidRPr="00043245" w:rsidRDefault="00474DAB" w:rsidP="00F74EDA">
      <w:pPr>
        <w:shd w:val="clear" w:color="auto" w:fill="E7E6E6" w:themeFill="background2"/>
        <w:rPr>
          <w:rFonts w:cstheme="minorHAnsi"/>
          <w:i/>
          <w:sz w:val="20"/>
          <w:szCs w:val="20"/>
        </w:rPr>
      </w:pPr>
      <w:r w:rsidRPr="00043245">
        <w:rPr>
          <w:rFonts w:cstheme="minorHAnsi"/>
          <w:i/>
          <w:sz w:val="20"/>
          <w:szCs w:val="20"/>
        </w:rPr>
        <w:t xml:space="preserve">DNRME </w:t>
      </w:r>
      <w:r w:rsidR="005133A3" w:rsidRPr="00043245">
        <w:rPr>
          <w:rFonts w:cstheme="minorHAnsi"/>
          <w:i/>
          <w:sz w:val="20"/>
          <w:szCs w:val="20"/>
        </w:rPr>
        <w:t xml:space="preserve">has </w:t>
      </w:r>
      <w:r w:rsidRPr="00043245">
        <w:rPr>
          <w:rFonts w:cstheme="minorHAnsi"/>
          <w:i/>
          <w:sz w:val="20"/>
          <w:szCs w:val="20"/>
        </w:rPr>
        <w:t>planned and implemented various mechanisms for engaging and communicating with stakeholders both internally as well as with the broader Queensland community.</w:t>
      </w:r>
    </w:p>
    <w:p w14:paraId="0AA40A5F" w14:textId="77777777" w:rsidR="00871FD3" w:rsidRPr="00043245" w:rsidRDefault="00871FD3" w:rsidP="00F74EDA">
      <w:pPr>
        <w:spacing w:before="120" w:after="120" w:line="240" w:lineRule="auto"/>
        <w:rPr>
          <w:rFonts w:cstheme="minorHAnsi"/>
          <w:sz w:val="20"/>
          <w:szCs w:val="20"/>
        </w:rPr>
      </w:pPr>
      <w:r w:rsidRPr="00043245">
        <w:rPr>
          <w:rFonts w:cstheme="minorHAnsi"/>
          <w:sz w:val="20"/>
          <w:szCs w:val="20"/>
        </w:rPr>
        <w:t xml:space="preserve">DNRME develops a HHWUE </w:t>
      </w:r>
      <w:r w:rsidR="00474DAB" w:rsidRPr="00043245">
        <w:rPr>
          <w:rFonts w:cstheme="minorHAnsi"/>
          <w:sz w:val="20"/>
          <w:szCs w:val="20"/>
        </w:rPr>
        <w:t xml:space="preserve">project </w:t>
      </w:r>
      <w:r w:rsidRPr="00043245">
        <w:rPr>
          <w:rFonts w:cstheme="minorHAnsi"/>
          <w:sz w:val="20"/>
          <w:szCs w:val="20"/>
        </w:rPr>
        <w:t>stakeholder communication strategy for each funding round.  The strategy outlines key communication objectives, stakeholder groups, and level of influence, proposed communication channels, activities and budget.</w:t>
      </w:r>
      <w:r w:rsidR="008A1D3C" w:rsidRPr="00043245">
        <w:rPr>
          <w:rFonts w:cstheme="minorHAnsi"/>
          <w:sz w:val="20"/>
          <w:szCs w:val="20"/>
        </w:rPr>
        <w:t xml:space="preserve"> The plan is also shared with DAWR. </w:t>
      </w:r>
    </w:p>
    <w:p w14:paraId="522E9549" w14:textId="61700DED" w:rsidR="00871FD3" w:rsidRPr="00043245" w:rsidRDefault="00871FD3" w:rsidP="00F74EDA">
      <w:pPr>
        <w:spacing w:before="120" w:after="120" w:line="240" w:lineRule="auto"/>
        <w:rPr>
          <w:rFonts w:cstheme="minorHAnsi"/>
          <w:sz w:val="20"/>
          <w:szCs w:val="20"/>
        </w:rPr>
      </w:pPr>
      <w:r w:rsidRPr="00043245">
        <w:rPr>
          <w:rFonts w:cstheme="minorHAnsi"/>
          <w:sz w:val="20"/>
          <w:szCs w:val="20"/>
        </w:rPr>
        <w:t>DNRME provide an update on communication activity to DAWR via quarterly reports, which identify a broad range of communication channels, including industry forums, social media and industry briefings. DNRME update the annual plan (contained within schedule 2</w:t>
      </w:r>
      <w:r w:rsidR="009C78C2" w:rsidRPr="00043245">
        <w:rPr>
          <w:rFonts w:cstheme="minorHAnsi"/>
          <w:sz w:val="20"/>
          <w:szCs w:val="20"/>
        </w:rPr>
        <w:t xml:space="preserve"> of the WMPA</w:t>
      </w:r>
      <w:r w:rsidRPr="00043245">
        <w:rPr>
          <w:rFonts w:cstheme="minorHAnsi"/>
          <w:sz w:val="20"/>
          <w:szCs w:val="20"/>
        </w:rPr>
        <w:t>) to reflect HHWUE marketing and industry engagement activity planned for the coming financial year</w:t>
      </w:r>
      <w:r w:rsidR="004C4D09" w:rsidRPr="00043245">
        <w:rPr>
          <w:rFonts w:cstheme="minorHAnsi"/>
          <w:sz w:val="20"/>
          <w:szCs w:val="20"/>
        </w:rPr>
        <w:t>.</w:t>
      </w:r>
    </w:p>
    <w:p w14:paraId="6021E2E4" w14:textId="1A9BFEE6" w:rsidR="00474DAB" w:rsidRPr="00043245" w:rsidRDefault="00474DAB" w:rsidP="00871FD3">
      <w:pPr>
        <w:rPr>
          <w:rFonts w:cstheme="minorHAnsi"/>
          <w:sz w:val="20"/>
          <w:szCs w:val="20"/>
        </w:rPr>
      </w:pPr>
      <w:r w:rsidRPr="00043245">
        <w:rPr>
          <w:rFonts w:cstheme="minorHAnsi"/>
          <w:sz w:val="20"/>
          <w:szCs w:val="20"/>
        </w:rPr>
        <w:t xml:space="preserve">DNRME also regularly engage with DAWR. As discussed in Section 3.1, DNRME meet with DAWR quarterly as well as have regular ad hoc communication via phone and email. </w:t>
      </w:r>
    </w:p>
    <w:p w14:paraId="0F0A28B6" w14:textId="77777777" w:rsidR="003E73C2" w:rsidRPr="00043245" w:rsidRDefault="003E73C2" w:rsidP="00F74EDA">
      <w:pPr>
        <w:spacing w:before="120" w:after="120" w:line="240" w:lineRule="auto"/>
        <w:rPr>
          <w:rFonts w:cstheme="minorHAnsi"/>
          <w:sz w:val="20"/>
          <w:szCs w:val="20"/>
        </w:rPr>
      </w:pPr>
      <w:r w:rsidRPr="00043245">
        <w:rPr>
          <w:rFonts w:cstheme="minorHAnsi"/>
          <w:sz w:val="20"/>
        </w:rPr>
        <w:t>KPMG did not identify any non-compliance or significant control weaknesses related to stakeholder engagement.</w:t>
      </w:r>
    </w:p>
    <w:p w14:paraId="13C88677" w14:textId="77777777" w:rsidR="007819D3" w:rsidRPr="00043245" w:rsidRDefault="00871FD3" w:rsidP="007819D3">
      <w:pPr>
        <w:pStyle w:val="Heading2"/>
        <w:rPr>
          <w:rFonts w:asciiTheme="minorHAnsi" w:hAnsiTheme="minorHAnsi" w:cstheme="minorHAnsi"/>
        </w:rPr>
      </w:pPr>
      <w:bookmarkStart w:id="24" w:name="_Toc528653253"/>
      <w:r w:rsidRPr="00043245">
        <w:rPr>
          <w:rFonts w:asciiTheme="minorHAnsi" w:hAnsiTheme="minorHAnsi" w:cstheme="minorHAnsi"/>
        </w:rPr>
        <w:t>Water transfer</w:t>
      </w:r>
      <w:bookmarkEnd w:id="24"/>
    </w:p>
    <w:p w14:paraId="0EDB4D7D" w14:textId="48F23C0E" w:rsidR="007819D3" w:rsidRPr="00043245" w:rsidRDefault="00474DAB" w:rsidP="00F74EDA">
      <w:pPr>
        <w:shd w:val="clear" w:color="auto" w:fill="E7E6E6" w:themeFill="background2"/>
        <w:spacing w:before="120" w:after="120" w:line="240" w:lineRule="auto"/>
        <w:ind w:right="68"/>
        <w:rPr>
          <w:rFonts w:cstheme="minorHAnsi"/>
          <w:i/>
          <w:sz w:val="20"/>
          <w:szCs w:val="20"/>
        </w:rPr>
      </w:pPr>
      <w:r w:rsidRPr="00043245">
        <w:rPr>
          <w:rFonts w:cstheme="minorHAnsi"/>
          <w:i/>
          <w:sz w:val="20"/>
          <w:szCs w:val="20"/>
        </w:rPr>
        <w:t xml:space="preserve">DNRME processes have been designed to support and coordinate the water transfer process between the proponent and </w:t>
      </w:r>
      <w:r w:rsidR="002F7F17" w:rsidRPr="00043245">
        <w:rPr>
          <w:rFonts w:cstheme="minorHAnsi"/>
          <w:i/>
          <w:sz w:val="20"/>
          <w:szCs w:val="20"/>
        </w:rPr>
        <w:t xml:space="preserve">the </w:t>
      </w:r>
      <w:r w:rsidRPr="00043245">
        <w:rPr>
          <w:rFonts w:cstheme="minorHAnsi"/>
          <w:i/>
          <w:sz w:val="20"/>
          <w:szCs w:val="20"/>
        </w:rPr>
        <w:t xml:space="preserve">Commonwealth. DNRME undertake a review </w:t>
      </w:r>
      <w:r w:rsidR="00FC5F46" w:rsidRPr="00043245">
        <w:rPr>
          <w:rFonts w:cstheme="minorHAnsi"/>
          <w:i/>
          <w:sz w:val="20"/>
          <w:szCs w:val="20"/>
        </w:rPr>
        <w:t xml:space="preserve">of </w:t>
      </w:r>
      <w:r w:rsidRPr="00043245">
        <w:rPr>
          <w:rFonts w:cstheme="minorHAnsi"/>
          <w:i/>
          <w:sz w:val="20"/>
          <w:szCs w:val="20"/>
        </w:rPr>
        <w:t>water eligibility and transferability prior to DAWR approval and contractual transfer. DNRME also assist and update proponents during the water transfer process.</w:t>
      </w:r>
    </w:p>
    <w:p w14:paraId="0E38681D" w14:textId="534F1A14" w:rsidR="00871FD3" w:rsidRPr="00043245" w:rsidRDefault="00FC5F46" w:rsidP="00871FD3">
      <w:pPr>
        <w:spacing w:before="120" w:after="120" w:line="240" w:lineRule="auto"/>
        <w:ind w:right="68"/>
        <w:rPr>
          <w:rFonts w:cstheme="minorHAnsi"/>
          <w:sz w:val="20"/>
          <w:szCs w:val="20"/>
        </w:rPr>
      </w:pPr>
      <w:r w:rsidRPr="00043245">
        <w:rPr>
          <w:rFonts w:cstheme="minorHAnsi"/>
          <w:sz w:val="20"/>
          <w:szCs w:val="20"/>
        </w:rPr>
        <w:t xml:space="preserve">The </w:t>
      </w:r>
      <w:r w:rsidR="00871FD3" w:rsidRPr="00043245">
        <w:rPr>
          <w:rFonts w:cstheme="minorHAnsi"/>
          <w:sz w:val="20"/>
          <w:szCs w:val="20"/>
        </w:rPr>
        <w:t xml:space="preserve">HHWUE project delivers water to the environment through the transfer of at least 50% of proposed water savings achieved through on-farm works to the Commonwealth government. This occurs via </w:t>
      </w:r>
      <w:r w:rsidR="002F7F17" w:rsidRPr="00043245">
        <w:rPr>
          <w:rFonts w:cstheme="minorHAnsi"/>
          <w:sz w:val="20"/>
          <w:szCs w:val="20"/>
        </w:rPr>
        <w:t xml:space="preserve">the </w:t>
      </w:r>
      <w:r w:rsidR="00871FD3" w:rsidRPr="00043245">
        <w:rPr>
          <w:rFonts w:cstheme="minorHAnsi"/>
          <w:sz w:val="20"/>
          <w:szCs w:val="20"/>
        </w:rPr>
        <w:t>water entitlement transfer deed (WETD). The Review found that appropriate processes and procedures</w:t>
      </w:r>
      <w:r w:rsidR="005C7F2B" w:rsidRPr="00043245">
        <w:rPr>
          <w:rFonts w:cstheme="minorHAnsi"/>
          <w:sz w:val="20"/>
          <w:szCs w:val="20"/>
        </w:rPr>
        <w:t xml:space="preserve"> are in place</w:t>
      </w:r>
      <w:r w:rsidR="00871FD3" w:rsidRPr="00043245">
        <w:rPr>
          <w:rFonts w:cstheme="minorHAnsi"/>
          <w:sz w:val="20"/>
          <w:szCs w:val="20"/>
        </w:rPr>
        <w:t xml:space="preserve"> to facilitate the transfer of water savings to the Commonwealth in accordance with WMPA. </w:t>
      </w:r>
    </w:p>
    <w:p w14:paraId="24FEE0C0" w14:textId="77777777" w:rsidR="00871FD3" w:rsidRPr="00043245" w:rsidRDefault="00871FD3" w:rsidP="00F74EDA">
      <w:pPr>
        <w:spacing w:before="120" w:after="120" w:line="240" w:lineRule="auto"/>
        <w:rPr>
          <w:rFonts w:cstheme="minorHAnsi"/>
          <w:sz w:val="20"/>
          <w:szCs w:val="20"/>
        </w:rPr>
      </w:pPr>
      <w:r w:rsidRPr="00043245">
        <w:rPr>
          <w:rFonts w:cstheme="minorHAnsi"/>
          <w:sz w:val="20"/>
          <w:szCs w:val="20"/>
        </w:rPr>
        <w:t>DAWR is responsible</w:t>
      </w:r>
      <w:r w:rsidR="00CD217A" w:rsidRPr="00043245">
        <w:rPr>
          <w:rFonts w:cstheme="minorHAnsi"/>
          <w:sz w:val="20"/>
          <w:szCs w:val="20"/>
        </w:rPr>
        <w:t xml:space="preserve">, through contractual conveyancing specialists, </w:t>
      </w:r>
      <w:r w:rsidRPr="00043245">
        <w:rPr>
          <w:rFonts w:cstheme="minorHAnsi"/>
          <w:sz w:val="20"/>
          <w:szCs w:val="20"/>
        </w:rPr>
        <w:t xml:space="preserve">for undertaking the legal due diligence for the transfer of water and managing conveyancing of the water entitlements from entitlement owners to the Commonwealth. DNRME will only make the first milestone payment under a works agreement once the water transfer between the water entitlement owner and the Commonwealth is settled. For this purpose, HHWUE engage with the Australian Government </w:t>
      </w:r>
      <w:r w:rsidR="00637B99" w:rsidRPr="00043245">
        <w:rPr>
          <w:rFonts w:cstheme="minorHAnsi"/>
          <w:sz w:val="20"/>
          <w:szCs w:val="20"/>
        </w:rPr>
        <w:t>S</w:t>
      </w:r>
      <w:r w:rsidRPr="00043245">
        <w:rPr>
          <w:rFonts w:cstheme="minorHAnsi"/>
          <w:sz w:val="20"/>
          <w:szCs w:val="20"/>
        </w:rPr>
        <w:t xml:space="preserve">olicitor to ensure notification of settlement is provided prior to milestone payment. </w:t>
      </w:r>
    </w:p>
    <w:p w14:paraId="6100F2C6" w14:textId="77777777" w:rsidR="00871FD3" w:rsidRPr="00043245" w:rsidRDefault="00871FD3" w:rsidP="00F74EDA">
      <w:pPr>
        <w:spacing w:before="120" w:after="120" w:line="240" w:lineRule="auto"/>
        <w:rPr>
          <w:rFonts w:cstheme="minorHAnsi"/>
          <w:sz w:val="20"/>
          <w:szCs w:val="20"/>
        </w:rPr>
      </w:pPr>
      <w:r w:rsidRPr="00043245">
        <w:rPr>
          <w:rFonts w:cstheme="minorHAnsi"/>
          <w:sz w:val="20"/>
          <w:szCs w:val="20"/>
        </w:rPr>
        <w:t>While the HHWUE project</w:t>
      </w:r>
      <w:r w:rsidR="00782D76" w:rsidRPr="00043245">
        <w:rPr>
          <w:rFonts w:cstheme="minorHAnsi"/>
          <w:sz w:val="20"/>
          <w:szCs w:val="20"/>
        </w:rPr>
        <w:t xml:space="preserve"> team</w:t>
      </w:r>
      <w:r w:rsidRPr="00043245">
        <w:rPr>
          <w:rFonts w:cstheme="minorHAnsi"/>
          <w:sz w:val="20"/>
          <w:szCs w:val="20"/>
        </w:rPr>
        <w:t xml:space="preserve"> is not responsible </w:t>
      </w:r>
      <w:r w:rsidR="005C7F2B" w:rsidRPr="00043245">
        <w:rPr>
          <w:rFonts w:cstheme="minorHAnsi"/>
          <w:sz w:val="20"/>
          <w:szCs w:val="20"/>
        </w:rPr>
        <w:t xml:space="preserve">for </w:t>
      </w:r>
      <w:r w:rsidRPr="00043245">
        <w:rPr>
          <w:rFonts w:cstheme="minorHAnsi"/>
          <w:sz w:val="20"/>
          <w:szCs w:val="20"/>
        </w:rPr>
        <w:t xml:space="preserve">managing the water transfer process, they work closely with other areas within DNRME (DNRME Water Services and Titles Registry) to help facilitate this process. </w:t>
      </w:r>
      <w:r w:rsidR="00FC5F46" w:rsidRPr="00043245">
        <w:rPr>
          <w:rFonts w:cstheme="minorHAnsi"/>
          <w:sz w:val="20"/>
          <w:szCs w:val="20"/>
        </w:rPr>
        <w:t xml:space="preserve">The </w:t>
      </w:r>
      <w:r w:rsidRPr="00043245">
        <w:rPr>
          <w:rFonts w:cstheme="minorHAnsi"/>
          <w:sz w:val="20"/>
          <w:szCs w:val="20"/>
        </w:rPr>
        <w:t xml:space="preserve">HHWUE </w:t>
      </w:r>
      <w:r w:rsidR="00390576" w:rsidRPr="00043245">
        <w:rPr>
          <w:rFonts w:cstheme="minorHAnsi"/>
          <w:sz w:val="20"/>
          <w:szCs w:val="20"/>
        </w:rPr>
        <w:t xml:space="preserve">project </w:t>
      </w:r>
      <w:r w:rsidRPr="00043245">
        <w:rPr>
          <w:rFonts w:cstheme="minorHAnsi"/>
          <w:sz w:val="20"/>
          <w:szCs w:val="20"/>
        </w:rPr>
        <w:t xml:space="preserve">team </w:t>
      </w:r>
      <w:r w:rsidR="009C78C2" w:rsidRPr="00043245">
        <w:rPr>
          <w:rFonts w:cstheme="minorHAnsi"/>
          <w:sz w:val="20"/>
          <w:szCs w:val="20"/>
        </w:rPr>
        <w:t xml:space="preserve">also undertakes </w:t>
      </w:r>
      <w:r w:rsidRPr="00043245">
        <w:rPr>
          <w:rFonts w:cstheme="minorHAnsi"/>
          <w:sz w:val="20"/>
          <w:szCs w:val="20"/>
        </w:rPr>
        <w:t xml:space="preserve">checks during </w:t>
      </w:r>
      <w:r w:rsidR="0093656A" w:rsidRPr="00043245">
        <w:rPr>
          <w:rFonts w:cstheme="minorHAnsi"/>
          <w:sz w:val="20"/>
          <w:szCs w:val="20"/>
        </w:rPr>
        <w:t xml:space="preserve">the assessment of </w:t>
      </w:r>
      <w:r w:rsidRPr="00043245">
        <w:rPr>
          <w:rFonts w:cstheme="minorHAnsi"/>
          <w:sz w:val="20"/>
          <w:szCs w:val="20"/>
        </w:rPr>
        <w:t>application</w:t>
      </w:r>
      <w:r w:rsidR="0093656A" w:rsidRPr="00043245">
        <w:rPr>
          <w:rFonts w:cstheme="minorHAnsi"/>
          <w:sz w:val="20"/>
          <w:szCs w:val="20"/>
        </w:rPr>
        <w:t>s</w:t>
      </w:r>
      <w:r w:rsidRPr="00043245">
        <w:rPr>
          <w:rFonts w:cstheme="minorHAnsi"/>
          <w:sz w:val="20"/>
          <w:szCs w:val="20"/>
        </w:rPr>
        <w:t xml:space="preserve"> to verify title details </w:t>
      </w:r>
      <w:r w:rsidR="00FB6467" w:rsidRPr="00043245">
        <w:rPr>
          <w:rFonts w:cstheme="minorHAnsi"/>
          <w:sz w:val="20"/>
          <w:szCs w:val="20"/>
        </w:rPr>
        <w:t xml:space="preserve">on the application form </w:t>
      </w:r>
      <w:r w:rsidRPr="00043245">
        <w:rPr>
          <w:rFonts w:cstheme="minorHAnsi"/>
          <w:sz w:val="20"/>
          <w:szCs w:val="20"/>
        </w:rPr>
        <w:t xml:space="preserve">and </w:t>
      </w:r>
      <w:r w:rsidR="00FB6467" w:rsidRPr="00043245">
        <w:rPr>
          <w:rFonts w:cstheme="minorHAnsi"/>
          <w:sz w:val="20"/>
          <w:szCs w:val="20"/>
        </w:rPr>
        <w:t>cross reference information</w:t>
      </w:r>
      <w:r w:rsidRPr="00043245">
        <w:rPr>
          <w:rFonts w:cstheme="minorHAnsi"/>
          <w:sz w:val="20"/>
          <w:szCs w:val="20"/>
        </w:rPr>
        <w:t xml:space="preserve">: </w:t>
      </w:r>
    </w:p>
    <w:p w14:paraId="7C6E8BA3" w14:textId="1CA8560C" w:rsidR="00871FD3" w:rsidRPr="00043245" w:rsidRDefault="00871FD3" w:rsidP="00DA0057">
      <w:pPr>
        <w:pStyle w:val="ListParagraph"/>
        <w:numPr>
          <w:ilvl w:val="0"/>
          <w:numId w:val="6"/>
        </w:numPr>
        <w:spacing w:before="120" w:after="120" w:line="240" w:lineRule="auto"/>
        <w:ind w:left="714" w:right="68" w:hanging="357"/>
        <w:contextualSpacing w:val="0"/>
        <w:rPr>
          <w:rFonts w:cstheme="minorHAnsi"/>
          <w:sz w:val="20"/>
          <w:szCs w:val="20"/>
        </w:rPr>
      </w:pPr>
      <w:r w:rsidRPr="00043245">
        <w:rPr>
          <w:rFonts w:cstheme="minorHAnsi"/>
          <w:b/>
          <w:i/>
          <w:sz w:val="20"/>
          <w:szCs w:val="20"/>
        </w:rPr>
        <w:t>Water eligibility</w:t>
      </w:r>
      <w:r w:rsidRPr="00043245">
        <w:rPr>
          <w:rFonts w:cstheme="minorHAnsi"/>
          <w:sz w:val="20"/>
          <w:szCs w:val="20"/>
        </w:rPr>
        <w:t xml:space="preserve">: A water title search is undertaken to verify the water allocation details on the application form and check whether the water allocation offered is located in an eligible zone. HHWUE </w:t>
      </w:r>
      <w:r w:rsidR="00FB6467" w:rsidRPr="00043245">
        <w:rPr>
          <w:rFonts w:cstheme="minorHAnsi"/>
          <w:sz w:val="20"/>
          <w:szCs w:val="20"/>
        </w:rPr>
        <w:t xml:space="preserve">assessment procedures also require staff to save the water allocation title from the search and place a copy on the relevant applicant's hard and </w:t>
      </w:r>
      <w:proofErr w:type="spellStart"/>
      <w:r w:rsidR="00FB6467" w:rsidRPr="00043245">
        <w:rPr>
          <w:rFonts w:cstheme="minorHAnsi"/>
          <w:sz w:val="20"/>
          <w:szCs w:val="20"/>
        </w:rPr>
        <w:t>eDOCS</w:t>
      </w:r>
      <w:proofErr w:type="spellEnd"/>
      <w:r w:rsidR="00FB6467" w:rsidRPr="00043245">
        <w:rPr>
          <w:rFonts w:cstheme="minorHAnsi"/>
          <w:sz w:val="20"/>
          <w:szCs w:val="20"/>
        </w:rPr>
        <w:t xml:space="preserve"> files. Additionally, </w:t>
      </w:r>
      <w:r w:rsidR="007D6949" w:rsidRPr="00043245">
        <w:rPr>
          <w:rFonts w:cstheme="minorHAnsi"/>
          <w:sz w:val="20"/>
          <w:szCs w:val="20"/>
        </w:rPr>
        <w:t xml:space="preserve">HHWUE </w:t>
      </w:r>
      <w:r w:rsidR="00FC5F46" w:rsidRPr="00043245">
        <w:rPr>
          <w:rFonts w:cstheme="minorHAnsi"/>
          <w:sz w:val="20"/>
          <w:szCs w:val="20"/>
        </w:rPr>
        <w:t>project team</w:t>
      </w:r>
      <w:r w:rsidR="00FB6467" w:rsidRPr="00043245">
        <w:rPr>
          <w:rFonts w:cstheme="minorHAnsi"/>
          <w:sz w:val="20"/>
          <w:szCs w:val="20"/>
        </w:rPr>
        <w:t xml:space="preserve"> will purchase an external copy of the water allocation from the DNRME Service Centre.</w:t>
      </w:r>
    </w:p>
    <w:p w14:paraId="37EFFA21" w14:textId="125A0BAA" w:rsidR="00871FD3" w:rsidRPr="00043245" w:rsidRDefault="00871FD3" w:rsidP="000B2AF6">
      <w:pPr>
        <w:pStyle w:val="ListParagraph"/>
        <w:numPr>
          <w:ilvl w:val="0"/>
          <w:numId w:val="6"/>
        </w:numPr>
        <w:spacing w:before="120" w:after="120" w:line="240" w:lineRule="auto"/>
        <w:ind w:right="68"/>
        <w:contextualSpacing w:val="0"/>
        <w:rPr>
          <w:rFonts w:cstheme="minorHAnsi"/>
          <w:sz w:val="20"/>
          <w:szCs w:val="20"/>
        </w:rPr>
      </w:pPr>
      <w:r w:rsidRPr="00043245">
        <w:rPr>
          <w:rFonts w:cstheme="minorHAnsi"/>
          <w:b/>
          <w:i/>
          <w:sz w:val="20"/>
          <w:szCs w:val="20"/>
        </w:rPr>
        <w:t>Water transferability:</w:t>
      </w:r>
      <w:r w:rsidRPr="00043245">
        <w:rPr>
          <w:rFonts w:cstheme="minorHAnsi"/>
          <w:sz w:val="20"/>
          <w:szCs w:val="20"/>
        </w:rPr>
        <w:t xml:space="preserve"> An assessment of the water entitlement to identify any conditions or issues that may impact the transferability of the water product</w:t>
      </w:r>
      <w:r w:rsidR="00C95FF7" w:rsidRPr="00043245">
        <w:rPr>
          <w:rFonts w:cstheme="minorHAnsi"/>
          <w:sz w:val="20"/>
          <w:szCs w:val="20"/>
        </w:rPr>
        <w:t>.</w:t>
      </w:r>
      <w:r w:rsidR="00FB6467" w:rsidRPr="00043245">
        <w:rPr>
          <w:rFonts w:cstheme="minorHAnsi"/>
          <w:sz w:val="20"/>
          <w:szCs w:val="20"/>
        </w:rPr>
        <w:t xml:space="preserve"> </w:t>
      </w:r>
      <w:r w:rsidRPr="00043245">
        <w:rPr>
          <w:rFonts w:cstheme="minorHAnsi"/>
          <w:sz w:val="20"/>
          <w:szCs w:val="20"/>
        </w:rPr>
        <w:t>The outcomes of this test may require</w:t>
      </w:r>
      <w:r w:rsidR="000B2AF6" w:rsidRPr="00043245">
        <w:rPr>
          <w:rFonts w:cstheme="minorHAnsi"/>
          <w:sz w:val="20"/>
          <w:szCs w:val="20"/>
        </w:rPr>
        <w:t xml:space="preserve"> further</w:t>
      </w:r>
      <w:r w:rsidRPr="00043245">
        <w:rPr>
          <w:rFonts w:cstheme="minorHAnsi"/>
          <w:sz w:val="20"/>
          <w:szCs w:val="20"/>
        </w:rPr>
        <w:t xml:space="preserve"> consultation with the applicant to resolve</w:t>
      </w:r>
      <w:r w:rsidR="000B2AF6" w:rsidRPr="00043245">
        <w:rPr>
          <w:rFonts w:cstheme="minorHAnsi"/>
          <w:sz w:val="20"/>
          <w:szCs w:val="20"/>
        </w:rPr>
        <w:t xml:space="preserve"> any issues impacting transferability</w:t>
      </w:r>
      <w:r w:rsidRPr="00043245">
        <w:rPr>
          <w:rFonts w:cstheme="minorHAnsi"/>
          <w:sz w:val="20"/>
          <w:szCs w:val="20"/>
        </w:rPr>
        <w:t xml:space="preserve">. </w:t>
      </w:r>
      <w:r w:rsidR="000B2AF6" w:rsidRPr="00043245">
        <w:rPr>
          <w:rFonts w:cstheme="minorHAnsi"/>
        </w:rPr>
        <w:t xml:space="preserve"> </w:t>
      </w:r>
      <w:r w:rsidR="000B2AF6" w:rsidRPr="00043245">
        <w:rPr>
          <w:rFonts w:cstheme="minorHAnsi"/>
          <w:sz w:val="20"/>
          <w:szCs w:val="20"/>
        </w:rPr>
        <w:t>Applicants may review and resolve issues prior to applying (through a pre-lodgement information request), or may negotiate after application approval.</w:t>
      </w:r>
    </w:p>
    <w:p w14:paraId="0C5B9F08" w14:textId="4AE05D72" w:rsidR="00871FD3" w:rsidRPr="00043245" w:rsidRDefault="00390576" w:rsidP="00871FD3">
      <w:pPr>
        <w:spacing w:before="120" w:after="120" w:line="240" w:lineRule="auto"/>
        <w:ind w:right="68"/>
        <w:rPr>
          <w:rFonts w:cstheme="minorHAnsi"/>
          <w:sz w:val="20"/>
          <w:szCs w:val="20"/>
        </w:rPr>
      </w:pPr>
      <w:r w:rsidRPr="00043245">
        <w:rPr>
          <w:rFonts w:cstheme="minorHAnsi"/>
          <w:sz w:val="20"/>
          <w:szCs w:val="20"/>
        </w:rPr>
        <w:t xml:space="preserve">The </w:t>
      </w:r>
      <w:r w:rsidR="00410321" w:rsidRPr="00043245">
        <w:rPr>
          <w:rFonts w:cstheme="minorHAnsi"/>
          <w:sz w:val="20"/>
          <w:szCs w:val="20"/>
        </w:rPr>
        <w:t xml:space="preserve">HHWUE </w:t>
      </w:r>
      <w:r w:rsidRPr="00043245">
        <w:rPr>
          <w:rFonts w:cstheme="minorHAnsi"/>
          <w:sz w:val="20"/>
          <w:szCs w:val="20"/>
        </w:rPr>
        <w:t xml:space="preserve">project </w:t>
      </w:r>
      <w:r w:rsidR="00871FD3" w:rsidRPr="00043245">
        <w:rPr>
          <w:rFonts w:cstheme="minorHAnsi"/>
          <w:sz w:val="20"/>
          <w:szCs w:val="20"/>
        </w:rPr>
        <w:t xml:space="preserve">also provides support and guidance to proponents wherever possible, working </w:t>
      </w:r>
      <w:r w:rsidR="009C78C2" w:rsidRPr="00043245">
        <w:rPr>
          <w:rFonts w:cstheme="minorHAnsi"/>
          <w:sz w:val="20"/>
          <w:szCs w:val="20"/>
        </w:rPr>
        <w:t>with</w:t>
      </w:r>
      <w:r w:rsidR="00871FD3" w:rsidRPr="00043245">
        <w:rPr>
          <w:rFonts w:cstheme="minorHAnsi"/>
          <w:sz w:val="20"/>
          <w:szCs w:val="20"/>
        </w:rPr>
        <w:t xml:space="preserve"> proponents to ratify any conditions that may impact the transfer as well as tracking progress of title settlement.</w:t>
      </w:r>
      <w:r w:rsidR="00C6166A" w:rsidRPr="00043245">
        <w:rPr>
          <w:rFonts w:cstheme="minorHAnsi"/>
          <w:sz w:val="20"/>
          <w:szCs w:val="20"/>
        </w:rPr>
        <w:t xml:space="preserve"> For this purpose DNRME indicated that </w:t>
      </w:r>
      <w:r w:rsidR="00FC5F46" w:rsidRPr="00043245">
        <w:rPr>
          <w:rFonts w:cstheme="minorHAnsi"/>
          <w:sz w:val="20"/>
          <w:szCs w:val="20"/>
        </w:rPr>
        <w:t xml:space="preserve">a </w:t>
      </w:r>
      <w:r w:rsidR="00C6166A" w:rsidRPr="00043245">
        <w:rPr>
          <w:rFonts w:cstheme="minorHAnsi"/>
          <w:sz w:val="20"/>
          <w:szCs w:val="20"/>
        </w:rPr>
        <w:t>dedicated officer had been assigned to coordinate the water transfer process, including negotiating and managing expectations and monitoring progress.</w:t>
      </w:r>
      <w:r w:rsidR="00871FD3" w:rsidRPr="00043245">
        <w:rPr>
          <w:rFonts w:cstheme="minorHAnsi"/>
          <w:sz w:val="20"/>
          <w:szCs w:val="20"/>
        </w:rPr>
        <w:t xml:space="preserve"> </w:t>
      </w:r>
      <w:r w:rsidR="00FC5F46" w:rsidRPr="00043245">
        <w:rPr>
          <w:rFonts w:cstheme="minorHAnsi"/>
          <w:sz w:val="20"/>
          <w:szCs w:val="20"/>
        </w:rPr>
        <w:t>DNRME also</w:t>
      </w:r>
      <w:r w:rsidR="00871FD3" w:rsidRPr="00043245">
        <w:rPr>
          <w:rFonts w:cstheme="minorHAnsi"/>
          <w:sz w:val="20"/>
          <w:szCs w:val="20"/>
        </w:rPr>
        <w:t xml:space="preserve"> provide DAWR copies of the water allocation titles as part of</w:t>
      </w:r>
      <w:r w:rsidR="00FC5F46" w:rsidRPr="00043245">
        <w:rPr>
          <w:rFonts w:cstheme="minorHAnsi"/>
          <w:sz w:val="20"/>
          <w:szCs w:val="20"/>
        </w:rPr>
        <w:t xml:space="preserve"> the</w:t>
      </w:r>
      <w:r w:rsidR="00871FD3" w:rsidRPr="00043245">
        <w:rPr>
          <w:rFonts w:cstheme="minorHAnsi"/>
          <w:sz w:val="20"/>
          <w:szCs w:val="20"/>
        </w:rPr>
        <w:t xml:space="preserve"> relevant works packages.  </w:t>
      </w:r>
    </w:p>
    <w:p w14:paraId="31F09D9F" w14:textId="77777777" w:rsidR="003E73C2" w:rsidRPr="00043245" w:rsidRDefault="003E73C2" w:rsidP="00871FD3">
      <w:pPr>
        <w:spacing w:before="120" w:after="120" w:line="240" w:lineRule="auto"/>
        <w:ind w:right="68"/>
        <w:rPr>
          <w:rFonts w:cstheme="minorHAnsi"/>
          <w:sz w:val="20"/>
          <w:szCs w:val="20"/>
        </w:rPr>
      </w:pPr>
      <w:r w:rsidRPr="00043245">
        <w:rPr>
          <w:rFonts w:cstheme="minorHAnsi"/>
          <w:sz w:val="20"/>
        </w:rPr>
        <w:t>KPMG did not identify any non-compliance or significant control weaknesses related to the water transfer process.</w:t>
      </w:r>
    </w:p>
    <w:p w14:paraId="76DB9A93" w14:textId="77777777" w:rsidR="00871FD3" w:rsidRPr="00043245" w:rsidRDefault="00871FD3" w:rsidP="000722AF">
      <w:pPr>
        <w:pStyle w:val="Heading2"/>
        <w:rPr>
          <w:rFonts w:asciiTheme="minorHAnsi" w:hAnsiTheme="minorHAnsi" w:cstheme="minorHAnsi"/>
        </w:rPr>
      </w:pPr>
      <w:bookmarkStart w:id="25" w:name="_Toc519850550"/>
      <w:bookmarkStart w:id="26" w:name="_Toc528653254"/>
      <w:r w:rsidRPr="00043245">
        <w:rPr>
          <w:rFonts w:asciiTheme="minorHAnsi" w:hAnsiTheme="minorHAnsi" w:cstheme="minorHAnsi"/>
        </w:rPr>
        <w:t>Project management</w:t>
      </w:r>
      <w:bookmarkEnd w:id="25"/>
      <w:bookmarkEnd w:id="26"/>
    </w:p>
    <w:p w14:paraId="61C5F3FC" w14:textId="7FF9472F" w:rsidR="00F43A4F" w:rsidRPr="00043245" w:rsidRDefault="00474DAB" w:rsidP="00F74EDA">
      <w:pPr>
        <w:pStyle w:val="Heading3"/>
        <w:shd w:val="clear" w:color="auto" w:fill="E7E6E6" w:themeFill="background2"/>
        <w:rPr>
          <w:rFonts w:asciiTheme="minorHAnsi" w:eastAsiaTheme="minorEastAsia" w:hAnsiTheme="minorHAnsi" w:cstheme="minorHAnsi"/>
          <w:i/>
          <w:color w:val="auto"/>
          <w:sz w:val="20"/>
          <w:szCs w:val="20"/>
        </w:rPr>
      </w:pPr>
      <w:r w:rsidRPr="00043245">
        <w:rPr>
          <w:rFonts w:asciiTheme="minorHAnsi" w:eastAsiaTheme="minorEastAsia" w:hAnsiTheme="minorHAnsi" w:cstheme="minorHAnsi"/>
          <w:i/>
          <w:color w:val="auto"/>
          <w:sz w:val="20"/>
          <w:szCs w:val="20"/>
        </w:rPr>
        <w:t>DNRME appear to have established appropriate processes to manage and monitor proponent projects in accordance with the requirements as set out in proponent works agreements and WMPA.</w:t>
      </w:r>
    </w:p>
    <w:p w14:paraId="022DEAAF" w14:textId="77777777" w:rsidR="00782D76" w:rsidRPr="00043245" w:rsidRDefault="00782D76" w:rsidP="00F74EDA">
      <w:pPr>
        <w:pStyle w:val="Heading3"/>
        <w:keepNext w:val="0"/>
        <w:keepLines w:val="0"/>
        <w:spacing w:before="120"/>
        <w:rPr>
          <w:rFonts w:asciiTheme="minorHAnsi" w:hAnsiTheme="minorHAnsi" w:cstheme="minorHAnsi"/>
          <w:sz w:val="20"/>
          <w:szCs w:val="20"/>
        </w:rPr>
      </w:pPr>
      <w:r w:rsidRPr="00043245">
        <w:rPr>
          <w:rFonts w:asciiTheme="minorHAnsi" w:eastAsiaTheme="minorEastAsia" w:hAnsiTheme="minorHAnsi" w:cstheme="minorHAnsi"/>
          <w:color w:val="auto"/>
          <w:sz w:val="20"/>
          <w:szCs w:val="20"/>
        </w:rPr>
        <w:t>KPMG considered the processes and controls in place to manage</w:t>
      </w:r>
      <w:r w:rsidR="00474DAB" w:rsidRPr="00043245">
        <w:rPr>
          <w:rFonts w:asciiTheme="minorHAnsi" w:eastAsiaTheme="minorEastAsia" w:hAnsiTheme="minorHAnsi" w:cstheme="minorHAnsi"/>
          <w:color w:val="auto"/>
          <w:sz w:val="20"/>
          <w:szCs w:val="20"/>
        </w:rPr>
        <w:t xml:space="preserve"> and monitor proponent projects. Key areas of focus are discussed in this section. </w:t>
      </w:r>
    </w:p>
    <w:p w14:paraId="3690F0C6" w14:textId="77777777" w:rsidR="00871FD3" w:rsidRPr="00043245" w:rsidRDefault="00871FD3" w:rsidP="00C70202">
      <w:pPr>
        <w:pStyle w:val="Heading3"/>
        <w:spacing w:before="120"/>
        <w:rPr>
          <w:rFonts w:asciiTheme="minorHAnsi" w:hAnsiTheme="minorHAnsi" w:cstheme="minorHAnsi"/>
          <w:sz w:val="20"/>
          <w:szCs w:val="20"/>
        </w:rPr>
      </w:pPr>
      <w:r w:rsidRPr="00043245">
        <w:rPr>
          <w:rFonts w:asciiTheme="minorHAnsi" w:hAnsiTheme="minorHAnsi" w:cstheme="minorHAnsi"/>
          <w:sz w:val="20"/>
          <w:szCs w:val="20"/>
        </w:rPr>
        <w:t xml:space="preserve">Record keeping </w:t>
      </w:r>
    </w:p>
    <w:p w14:paraId="7171B46B" w14:textId="1481200D" w:rsidR="00871FD3" w:rsidRPr="00043245" w:rsidRDefault="00871FD3" w:rsidP="00F74EDA">
      <w:pPr>
        <w:spacing w:before="120" w:after="120" w:line="240" w:lineRule="auto"/>
        <w:rPr>
          <w:rFonts w:cstheme="minorHAnsi"/>
          <w:sz w:val="20"/>
          <w:szCs w:val="20"/>
        </w:rPr>
      </w:pPr>
      <w:r w:rsidRPr="00043245">
        <w:rPr>
          <w:rFonts w:cstheme="minorHAnsi"/>
          <w:sz w:val="20"/>
          <w:szCs w:val="20"/>
        </w:rPr>
        <w:t>DNRME utilises ‘</w:t>
      </w:r>
      <w:proofErr w:type="spellStart"/>
      <w:r w:rsidRPr="00043245">
        <w:rPr>
          <w:rFonts w:cstheme="minorHAnsi"/>
          <w:sz w:val="20"/>
          <w:szCs w:val="20"/>
        </w:rPr>
        <w:t>Trello</w:t>
      </w:r>
      <w:proofErr w:type="spellEnd"/>
      <w:r w:rsidRPr="00043245">
        <w:rPr>
          <w:rFonts w:cstheme="minorHAnsi"/>
          <w:sz w:val="20"/>
          <w:szCs w:val="20"/>
        </w:rPr>
        <w:t xml:space="preserve">’ </w:t>
      </w:r>
      <w:r w:rsidR="00CE1F9E" w:rsidRPr="00043245">
        <w:rPr>
          <w:rFonts w:cstheme="minorHAnsi"/>
          <w:sz w:val="20"/>
          <w:szCs w:val="20"/>
        </w:rPr>
        <w:t xml:space="preserve">as one of their </w:t>
      </w:r>
      <w:r w:rsidRPr="00043245">
        <w:rPr>
          <w:rFonts w:cstheme="minorHAnsi"/>
          <w:sz w:val="20"/>
          <w:szCs w:val="20"/>
        </w:rPr>
        <w:t>project management tool</w:t>
      </w:r>
      <w:r w:rsidR="00CE1F9E" w:rsidRPr="00043245">
        <w:rPr>
          <w:rFonts w:cstheme="minorHAnsi"/>
          <w:sz w:val="20"/>
          <w:szCs w:val="20"/>
        </w:rPr>
        <w:t>s</w:t>
      </w:r>
      <w:r w:rsidR="0087006E" w:rsidRPr="00043245">
        <w:rPr>
          <w:rFonts w:cstheme="minorHAnsi"/>
          <w:sz w:val="20"/>
          <w:szCs w:val="20"/>
        </w:rPr>
        <w:t xml:space="preserve">. </w:t>
      </w:r>
      <w:proofErr w:type="spellStart"/>
      <w:r w:rsidRPr="00043245">
        <w:rPr>
          <w:rFonts w:cstheme="minorHAnsi"/>
          <w:sz w:val="20"/>
          <w:szCs w:val="20"/>
        </w:rPr>
        <w:t>Trello</w:t>
      </w:r>
      <w:proofErr w:type="spellEnd"/>
      <w:r w:rsidRPr="00043245">
        <w:rPr>
          <w:rFonts w:cstheme="minorHAnsi"/>
          <w:sz w:val="20"/>
          <w:szCs w:val="20"/>
        </w:rPr>
        <w:t xml:space="preserve"> is used by case managers for individual projects to visually track the</w:t>
      </w:r>
      <w:r w:rsidR="00FC5F46" w:rsidRPr="00043245">
        <w:rPr>
          <w:rFonts w:cstheme="minorHAnsi"/>
          <w:sz w:val="20"/>
          <w:szCs w:val="20"/>
        </w:rPr>
        <w:t>ir</w:t>
      </w:r>
      <w:r w:rsidRPr="00043245">
        <w:rPr>
          <w:rFonts w:cstheme="minorHAnsi"/>
          <w:sz w:val="20"/>
          <w:szCs w:val="20"/>
        </w:rPr>
        <w:t xml:space="preserve"> status</w:t>
      </w:r>
      <w:r w:rsidR="00CE1F9E" w:rsidRPr="00043245">
        <w:rPr>
          <w:rFonts w:cstheme="minorHAnsi"/>
          <w:sz w:val="20"/>
          <w:szCs w:val="20"/>
        </w:rPr>
        <w:t xml:space="preserve"> and </w:t>
      </w:r>
      <w:r w:rsidRPr="00043245">
        <w:rPr>
          <w:rFonts w:cstheme="minorHAnsi"/>
          <w:sz w:val="20"/>
          <w:szCs w:val="20"/>
        </w:rPr>
        <w:t xml:space="preserve">record interactions internally and with the proponent. KPMG sighted </w:t>
      </w:r>
      <w:proofErr w:type="spellStart"/>
      <w:r w:rsidRPr="00043245">
        <w:rPr>
          <w:rFonts w:cstheme="minorHAnsi"/>
          <w:sz w:val="20"/>
          <w:szCs w:val="20"/>
        </w:rPr>
        <w:t>Trello</w:t>
      </w:r>
      <w:proofErr w:type="spellEnd"/>
      <w:r w:rsidRPr="00043245">
        <w:rPr>
          <w:rFonts w:cstheme="minorHAnsi"/>
          <w:sz w:val="20"/>
          <w:szCs w:val="20"/>
        </w:rPr>
        <w:t xml:space="preserve"> case</w:t>
      </w:r>
      <w:r w:rsidR="005C7F2B" w:rsidRPr="00043245">
        <w:rPr>
          <w:rFonts w:cstheme="minorHAnsi"/>
          <w:sz w:val="20"/>
          <w:szCs w:val="20"/>
        </w:rPr>
        <w:t xml:space="preserve"> notes for projects</w:t>
      </w:r>
      <w:r w:rsidR="003676EE" w:rsidRPr="00043245">
        <w:rPr>
          <w:rFonts w:cstheme="minorHAnsi"/>
          <w:sz w:val="20"/>
          <w:szCs w:val="20"/>
        </w:rPr>
        <w:t xml:space="preserve"> sampled</w:t>
      </w:r>
      <w:r w:rsidR="005C7F2B" w:rsidRPr="00043245">
        <w:rPr>
          <w:rFonts w:cstheme="minorHAnsi"/>
          <w:sz w:val="20"/>
          <w:szCs w:val="20"/>
        </w:rPr>
        <w:t>. F</w:t>
      </w:r>
      <w:r w:rsidRPr="00043245">
        <w:rPr>
          <w:rFonts w:cstheme="minorHAnsi"/>
          <w:sz w:val="20"/>
          <w:szCs w:val="20"/>
        </w:rPr>
        <w:t xml:space="preserve">rom a high level review they appeared to provide a sound </w:t>
      </w:r>
      <w:r w:rsidR="005133A3" w:rsidRPr="00043245">
        <w:rPr>
          <w:rFonts w:cstheme="minorHAnsi"/>
          <w:sz w:val="20"/>
          <w:szCs w:val="20"/>
        </w:rPr>
        <w:t>overview</w:t>
      </w:r>
      <w:r w:rsidRPr="00043245">
        <w:rPr>
          <w:rFonts w:cstheme="minorHAnsi"/>
          <w:sz w:val="20"/>
          <w:szCs w:val="20"/>
        </w:rPr>
        <w:t xml:space="preserve"> of a project’s status and interactions between the proponent and DNRME. </w:t>
      </w:r>
    </w:p>
    <w:p w14:paraId="32237192" w14:textId="67E6E795" w:rsidR="00871FD3" w:rsidRPr="00043245" w:rsidRDefault="00871FD3" w:rsidP="000314AA">
      <w:pPr>
        <w:spacing w:before="120" w:after="120" w:line="240" w:lineRule="auto"/>
        <w:rPr>
          <w:rFonts w:cstheme="minorHAnsi"/>
          <w:sz w:val="20"/>
          <w:szCs w:val="20"/>
        </w:rPr>
      </w:pPr>
      <w:r w:rsidRPr="00043245">
        <w:rPr>
          <w:rFonts w:cstheme="minorHAnsi"/>
          <w:sz w:val="20"/>
          <w:szCs w:val="20"/>
        </w:rPr>
        <w:t>DNRME utilise an electronic filing system (</w:t>
      </w:r>
      <w:proofErr w:type="spellStart"/>
      <w:r w:rsidRPr="00043245">
        <w:rPr>
          <w:rFonts w:cstheme="minorHAnsi"/>
          <w:sz w:val="20"/>
          <w:szCs w:val="20"/>
        </w:rPr>
        <w:t>eDocs</w:t>
      </w:r>
      <w:proofErr w:type="spellEnd"/>
      <w:r w:rsidRPr="00043245">
        <w:rPr>
          <w:rFonts w:cstheme="minorHAnsi"/>
          <w:sz w:val="20"/>
          <w:szCs w:val="20"/>
        </w:rPr>
        <w:t xml:space="preserve">) accompanied by paper files, </w:t>
      </w:r>
      <w:r w:rsidR="00BB3003" w:rsidRPr="00043245">
        <w:rPr>
          <w:rFonts w:cstheme="minorHAnsi"/>
          <w:sz w:val="20"/>
          <w:szCs w:val="20"/>
        </w:rPr>
        <w:t>all key</w:t>
      </w:r>
      <w:r w:rsidRPr="00043245">
        <w:rPr>
          <w:rFonts w:cstheme="minorHAnsi"/>
          <w:sz w:val="20"/>
          <w:szCs w:val="20"/>
        </w:rPr>
        <w:t xml:space="preserve"> documentation requested for the sample of projects was filed and stored appropriately</w:t>
      </w:r>
      <w:r w:rsidR="009C78C2" w:rsidRPr="00043245">
        <w:rPr>
          <w:rFonts w:cstheme="minorHAnsi"/>
          <w:sz w:val="20"/>
          <w:szCs w:val="20"/>
        </w:rPr>
        <w:t>. We noted</w:t>
      </w:r>
      <w:r w:rsidRPr="00043245">
        <w:rPr>
          <w:rFonts w:cstheme="minorHAnsi"/>
          <w:sz w:val="20"/>
          <w:szCs w:val="20"/>
        </w:rPr>
        <w:t xml:space="preserve"> a small number of instances where</w:t>
      </w:r>
      <w:r w:rsidR="00F43A4F" w:rsidRPr="00043245">
        <w:rPr>
          <w:rFonts w:cstheme="minorHAnsi"/>
          <w:sz w:val="20"/>
          <w:szCs w:val="20"/>
        </w:rPr>
        <w:t xml:space="preserve"> </w:t>
      </w:r>
      <w:r w:rsidR="00BB3003" w:rsidRPr="00043245">
        <w:rPr>
          <w:rFonts w:cstheme="minorHAnsi"/>
          <w:sz w:val="20"/>
          <w:szCs w:val="20"/>
        </w:rPr>
        <w:t xml:space="preserve">administrative </w:t>
      </w:r>
      <w:r w:rsidR="00F43A4F" w:rsidRPr="00043245">
        <w:rPr>
          <w:rFonts w:cstheme="minorHAnsi"/>
          <w:sz w:val="20"/>
          <w:szCs w:val="20"/>
        </w:rPr>
        <w:t>documentation could not be located</w:t>
      </w:r>
      <w:r w:rsidR="005133A3" w:rsidRPr="00043245">
        <w:rPr>
          <w:rFonts w:cstheme="minorHAnsi"/>
          <w:sz w:val="20"/>
          <w:szCs w:val="20"/>
        </w:rPr>
        <w:t xml:space="preserve">. </w:t>
      </w:r>
      <w:r w:rsidR="00C04E28" w:rsidRPr="00043245">
        <w:rPr>
          <w:rFonts w:cstheme="minorHAnsi"/>
          <w:sz w:val="20"/>
          <w:szCs w:val="20"/>
        </w:rPr>
        <w:t xml:space="preserve">All instances appeared to be </w:t>
      </w:r>
      <w:r w:rsidR="00F43A4F" w:rsidRPr="00043245">
        <w:rPr>
          <w:rFonts w:cstheme="minorHAnsi"/>
          <w:sz w:val="20"/>
          <w:szCs w:val="20"/>
        </w:rPr>
        <w:t>isolated administrative oversights</w:t>
      </w:r>
      <w:r w:rsidR="000314AA" w:rsidRPr="00043245">
        <w:rPr>
          <w:rFonts w:cstheme="minorHAnsi"/>
          <w:sz w:val="20"/>
          <w:szCs w:val="20"/>
        </w:rPr>
        <w:t>.</w:t>
      </w:r>
    </w:p>
    <w:p w14:paraId="14C8BBE4" w14:textId="77777777" w:rsidR="00871FD3" w:rsidRPr="00043245" w:rsidRDefault="00871FD3" w:rsidP="00C70202">
      <w:pPr>
        <w:pStyle w:val="Heading3"/>
        <w:spacing w:before="120"/>
        <w:rPr>
          <w:rFonts w:asciiTheme="minorHAnsi" w:hAnsiTheme="minorHAnsi" w:cstheme="minorHAnsi"/>
          <w:sz w:val="20"/>
          <w:szCs w:val="20"/>
        </w:rPr>
      </w:pPr>
      <w:r w:rsidRPr="00043245">
        <w:rPr>
          <w:rFonts w:asciiTheme="minorHAnsi" w:hAnsiTheme="minorHAnsi" w:cstheme="minorHAnsi"/>
          <w:sz w:val="20"/>
          <w:szCs w:val="20"/>
        </w:rPr>
        <w:t xml:space="preserve">Staff training and guidance </w:t>
      </w:r>
    </w:p>
    <w:p w14:paraId="73DCE919" w14:textId="7157BEC6" w:rsidR="00871FD3" w:rsidRPr="00043245" w:rsidRDefault="00871FD3" w:rsidP="00871FD3">
      <w:pPr>
        <w:rPr>
          <w:rFonts w:cstheme="minorHAnsi"/>
          <w:sz w:val="20"/>
          <w:szCs w:val="20"/>
        </w:rPr>
      </w:pPr>
      <w:r w:rsidRPr="00043245">
        <w:rPr>
          <w:rFonts w:cstheme="minorHAnsi"/>
          <w:sz w:val="20"/>
          <w:szCs w:val="20"/>
        </w:rPr>
        <w:t>DNRME assigns case managers to proponents</w:t>
      </w:r>
      <w:r w:rsidR="005C7F2B" w:rsidRPr="00043245">
        <w:rPr>
          <w:rFonts w:cstheme="minorHAnsi"/>
          <w:sz w:val="20"/>
          <w:szCs w:val="20"/>
        </w:rPr>
        <w:t>,</w:t>
      </w:r>
      <w:r w:rsidRPr="00043245">
        <w:rPr>
          <w:rFonts w:cstheme="minorHAnsi"/>
          <w:sz w:val="20"/>
          <w:szCs w:val="20"/>
        </w:rPr>
        <w:t xml:space="preserve"> to monitor the progress of the project and as the proponent’s main point of contact. Discussions with DNRME identified that the majority of the program staff have a background in program management and an understanding of water projects or similar works. Whilst there is no </w:t>
      </w:r>
      <w:r w:rsidR="00835348" w:rsidRPr="00043245">
        <w:rPr>
          <w:rFonts w:cstheme="minorHAnsi"/>
          <w:sz w:val="20"/>
          <w:szCs w:val="20"/>
        </w:rPr>
        <w:t xml:space="preserve">HHWUE </w:t>
      </w:r>
      <w:r w:rsidRPr="00043245">
        <w:rPr>
          <w:rFonts w:cstheme="minorHAnsi"/>
          <w:sz w:val="20"/>
          <w:szCs w:val="20"/>
        </w:rPr>
        <w:t>specific training or guidance available to staff responsible for the project, broader project management, probity and procurement training is available</w:t>
      </w:r>
      <w:r w:rsidR="00835348" w:rsidRPr="00043245">
        <w:rPr>
          <w:rFonts w:cstheme="minorHAnsi"/>
          <w:sz w:val="20"/>
          <w:szCs w:val="20"/>
        </w:rPr>
        <w:t xml:space="preserve"> through the Performance and Development processes or on a business need basis</w:t>
      </w:r>
      <w:r w:rsidRPr="00043245">
        <w:rPr>
          <w:rFonts w:cstheme="minorHAnsi"/>
          <w:sz w:val="20"/>
          <w:szCs w:val="20"/>
        </w:rPr>
        <w:t>.</w:t>
      </w:r>
      <w:r w:rsidR="009C78C2" w:rsidRPr="00043245">
        <w:rPr>
          <w:rFonts w:cstheme="minorHAnsi"/>
          <w:sz w:val="20"/>
          <w:szCs w:val="20"/>
        </w:rPr>
        <w:t xml:space="preserve"> Where specific technical knowledge was required</w:t>
      </w:r>
      <w:r w:rsidRPr="00043245">
        <w:rPr>
          <w:rFonts w:cstheme="minorHAnsi"/>
          <w:sz w:val="20"/>
          <w:szCs w:val="20"/>
        </w:rPr>
        <w:t xml:space="preserve"> DNRME engage</w:t>
      </w:r>
      <w:r w:rsidR="009C78C2" w:rsidRPr="00043245">
        <w:rPr>
          <w:rFonts w:cstheme="minorHAnsi"/>
          <w:sz w:val="20"/>
          <w:szCs w:val="20"/>
        </w:rPr>
        <w:t>d</w:t>
      </w:r>
      <w:r w:rsidRPr="00043245">
        <w:rPr>
          <w:rFonts w:cstheme="minorHAnsi"/>
          <w:sz w:val="20"/>
          <w:szCs w:val="20"/>
        </w:rPr>
        <w:t xml:space="preserve"> specialist </w:t>
      </w:r>
      <w:r w:rsidR="009C78C2" w:rsidRPr="00043245">
        <w:rPr>
          <w:rFonts w:cstheme="minorHAnsi"/>
          <w:sz w:val="20"/>
          <w:szCs w:val="20"/>
        </w:rPr>
        <w:t>providers i.e. technical assessors and probity advisors.</w:t>
      </w:r>
    </w:p>
    <w:p w14:paraId="7CE76B06" w14:textId="77777777" w:rsidR="00871FD3" w:rsidRPr="00043245" w:rsidRDefault="00871FD3" w:rsidP="00C70202">
      <w:pPr>
        <w:pStyle w:val="Heading3"/>
        <w:spacing w:before="120"/>
        <w:rPr>
          <w:rFonts w:asciiTheme="minorHAnsi" w:hAnsiTheme="minorHAnsi" w:cstheme="minorHAnsi"/>
          <w:sz w:val="20"/>
          <w:szCs w:val="20"/>
        </w:rPr>
      </w:pPr>
      <w:r w:rsidRPr="00043245">
        <w:rPr>
          <w:rFonts w:asciiTheme="minorHAnsi" w:hAnsiTheme="minorHAnsi" w:cstheme="minorHAnsi"/>
          <w:sz w:val="20"/>
          <w:szCs w:val="20"/>
        </w:rPr>
        <w:t xml:space="preserve">Project variations </w:t>
      </w:r>
    </w:p>
    <w:p w14:paraId="5501CAA0" w14:textId="77777777" w:rsidR="005773AC" w:rsidRPr="00043245" w:rsidRDefault="005773AC" w:rsidP="00F74EDA">
      <w:pPr>
        <w:spacing w:before="120" w:after="120" w:line="240" w:lineRule="auto"/>
        <w:rPr>
          <w:rFonts w:cstheme="minorHAnsi"/>
          <w:sz w:val="20"/>
          <w:szCs w:val="20"/>
        </w:rPr>
      </w:pPr>
      <w:r w:rsidRPr="00043245">
        <w:rPr>
          <w:rFonts w:cstheme="minorHAnsi"/>
          <w:sz w:val="20"/>
          <w:szCs w:val="20"/>
        </w:rPr>
        <w:t xml:space="preserve">Where required, all variations within the sample of projects had appropriate consultation and approval from DAWR in advance of varying the works agreement (as per WMPA attachment 5). </w:t>
      </w:r>
    </w:p>
    <w:p w14:paraId="40C7494C" w14:textId="10323924" w:rsidR="009C78C2" w:rsidRPr="00043245" w:rsidRDefault="009C78C2" w:rsidP="00F74EDA">
      <w:pPr>
        <w:spacing w:before="120" w:after="120" w:line="240" w:lineRule="auto"/>
        <w:rPr>
          <w:rFonts w:cstheme="minorHAnsi"/>
          <w:sz w:val="20"/>
          <w:szCs w:val="20"/>
        </w:rPr>
      </w:pPr>
      <w:r w:rsidRPr="00043245">
        <w:rPr>
          <w:rFonts w:cstheme="minorHAnsi"/>
          <w:sz w:val="20"/>
          <w:szCs w:val="20"/>
        </w:rPr>
        <w:t xml:space="preserve">DNRME </w:t>
      </w:r>
      <w:r w:rsidR="005773AC" w:rsidRPr="00043245">
        <w:rPr>
          <w:rFonts w:cstheme="minorHAnsi"/>
          <w:sz w:val="20"/>
          <w:szCs w:val="20"/>
        </w:rPr>
        <w:t xml:space="preserve">adopt a conservative approach to variation approvals and </w:t>
      </w:r>
      <w:r w:rsidRPr="00043245">
        <w:rPr>
          <w:rFonts w:cstheme="minorHAnsi"/>
          <w:sz w:val="20"/>
          <w:szCs w:val="20"/>
        </w:rPr>
        <w:t xml:space="preserve">undertake an assessment </w:t>
      </w:r>
      <w:r w:rsidR="005773AC" w:rsidRPr="00043245">
        <w:rPr>
          <w:rFonts w:cstheme="minorHAnsi"/>
          <w:sz w:val="20"/>
          <w:szCs w:val="20"/>
        </w:rPr>
        <w:t xml:space="preserve">for each </w:t>
      </w:r>
      <w:r w:rsidRPr="00043245">
        <w:rPr>
          <w:rFonts w:cstheme="minorHAnsi"/>
          <w:sz w:val="20"/>
          <w:szCs w:val="20"/>
        </w:rPr>
        <w:t xml:space="preserve">proposed </w:t>
      </w:r>
      <w:r w:rsidR="00D83A02" w:rsidRPr="00043245">
        <w:rPr>
          <w:rFonts w:cstheme="minorHAnsi"/>
          <w:sz w:val="20"/>
          <w:szCs w:val="20"/>
        </w:rPr>
        <w:t xml:space="preserve">works agreement </w:t>
      </w:r>
      <w:r w:rsidRPr="00043245">
        <w:rPr>
          <w:rFonts w:cstheme="minorHAnsi"/>
          <w:sz w:val="20"/>
          <w:szCs w:val="20"/>
        </w:rPr>
        <w:t>variation</w:t>
      </w:r>
      <w:r w:rsidR="00D83A02" w:rsidRPr="00043245">
        <w:rPr>
          <w:rFonts w:cstheme="minorHAnsi"/>
          <w:sz w:val="20"/>
          <w:szCs w:val="20"/>
        </w:rPr>
        <w:t>s</w:t>
      </w:r>
      <w:r w:rsidR="000D08A8" w:rsidRPr="00043245">
        <w:rPr>
          <w:rFonts w:cstheme="minorHAnsi"/>
          <w:sz w:val="20"/>
          <w:szCs w:val="20"/>
        </w:rPr>
        <w:t xml:space="preserve"> </w:t>
      </w:r>
      <w:r w:rsidRPr="00043245">
        <w:rPr>
          <w:rFonts w:cstheme="minorHAnsi"/>
          <w:sz w:val="20"/>
          <w:szCs w:val="20"/>
        </w:rPr>
        <w:t xml:space="preserve">to determine what impact </w:t>
      </w:r>
      <w:r w:rsidR="00D83A02" w:rsidRPr="00043245">
        <w:rPr>
          <w:rFonts w:cstheme="minorHAnsi"/>
          <w:sz w:val="20"/>
          <w:szCs w:val="20"/>
        </w:rPr>
        <w:t>the variation</w:t>
      </w:r>
      <w:r w:rsidRPr="00043245">
        <w:rPr>
          <w:rFonts w:cstheme="minorHAnsi"/>
          <w:sz w:val="20"/>
          <w:szCs w:val="20"/>
        </w:rPr>
        <w:t xml:space="preserve"> may have and to determine the required approvals processes. </w:t>
      </w:r>
      <w:r w:rsidR="004866F9" w:rsidRPr="00043245">
        <w:rPr>
          <w:rFonts w:cstheme="minorHAnsi"/>
          <w:sz w:val="20"/>
          <w:szCs w:val="20"/>
        </w:rPr>
        <w:t>Variations are usually endorsed</w:t>
      </w:r>
      <w:r w:rsidR="00731FBF" w:rsidRPr="00043245">
        <w:rPr>
          <w:rFonts w:cstheme="minorHAnsi"/>
          <w:sz w:val="20"/>
          <w:szCs w:val="20"/>
        </w:rPr>
        <w:t xml:space="preserve"> at Program Manager </w:t>
      </w:r>
      <w:proofErr w:type="gramStart"/>
      <w:r w:rsidR="00731FBF" w:rsidRPr="00043245">
        <w:rPr>
          <w:rFonts w:cstheme="minorHAnsi"/>
          <w:sz w:val="20"/>
          <w:szCs w:val="20"/>
        </w:rPr>
        <w:t>level</w:t>
      </w:r>
      <w:proofErr w:type="gramEnd"/>
      <w:r w:rsidR="00731FBF" w:rsidRPr="00043245">
        <w:rPr>
          <w:rFonts w:cstheme="minorHAnsi"/>
          <w:sz w:val="20"/>
          <w:szCs w:val="20"/>
        </w:rPr>
        <w:t xml:space="preserve"> and Director Basin Implementation,</w:t>
      </w:r>
      <w:r w:rsidR="004866F9" w:rsidRPr="00043245">
        <w:rPr>
          <w:rFonts w:cstheme="minorHAnsi"/>
          <w:sz w:val="20"/>
          <w:szCs w:val="20"/>
        </w:rPr>
        <w:t xml:space="preserve"> and effected through a deed of variation signed by the Executive Director</w:t>
      </w:r>
      <w:r w:rsidR="00731FBF" w:rsidRPr="00043245">
        <w:rPr>
          <w:rFonts w:cstheme="minorHAnsi"/>
          <w:sz w:val="20"/>
          <w:szCs w:val="20"/>
        </w:rPr>
        <w:t>.</w:t>
      </w:r>
      <w:r w:rsidR="004866F9" w:rsidRPr="00043245">
        <w:rPr>
          <w:rFonts w:cstheme="minorHAnsi"/>
          <w:sz w:val="20"/>
          <w:szCs w:val="20"/>
        </w:rPr>
        <w:t xml:space="preserve"> </w:t>
      </w:r>
    </w:p>
    <w:p w14:paraId="3853B509" w14:textId="77777777" w:rsidR="00871FD3" w:rsidRPr="00043245" w:rsidRDefault="00871FD3" w:rsidP="00C70202">
      <w:pPr>
        <w:pStyle w:val="Heading3"/>
        <w:spacing w:before="120"/>
        <w:rPr>
          <w:rFonts w:asciiTheme="minorHAnsi" w:hAnsiTheme="minorHAnsi" w:cstheme="minorHAnsi"/>
          <w:sz w:val="20"/>
          <w:szCs w:val="20"/>
        </w:rPr>
      </w:pPr>
      <w:r w:rsidRPr="00043245">
        <w:rPr>
          <w:rFonts w:asciiTheme="minorHAnsi" w:hAnsiTheme="minorHAnsi" w:cstheme="minorHAnsi"/>
          <w:sz w:val="20"/>
          <w:szCs w:val="20"/>
        </w:rPr>
        <w:t xml:space="preserve">Progress reporting </w:t>
      </w:r>
    </w:p>
    <w:p w14:paraId="7E54FE98" w14:textId="49574595" w:rsidR="00155778" w:rsidRPr="00043245" w:rsidRDefault="00871FD3" w:rsidP="00F74EDA">
      <w:pPr>
        <w:spacing w:before="120" w:after="120" w:line="240" w:lineRule="auto"/>
        <w:rPr>
          <w:rFonts w:cstheme="minorHAnsi"/>
        </w:rPr>
      </w:pPr>
      <w:r w:rsidRPr="00043245">
        <w:rPr>
          <w:rFonts w:cstheme="minorHAnsi"/>
          <w:sz w:val="20"/>
          <w:szCs w:val="20"/>
        </w:rPr>
        <w:t xml:space="preserve">As per the works agreement, proponents are required to provide a </w:t>
      </w:r>
      <w:r w:rsidR="009C78C2" w:rsidRPr="00043245">
        <w:rPr>
          <w:rFonts w:cstheme="minorHAnsi"/>
          <w:sz w:val="20"/>
          <w:szCs w:val="20"/>
        </w:rPr>
        <w:t>progress r</w:t>
      </w:r>
      <w:r w:rsidRPr="00043245">
        <w:rPr>
          <w:rFonts w:cstheme="minorHAnsi"/>
          <w:sz w:val="20"/>
          <w:szCs w:val="20"/>
        </w:rPr>
        <w:t>eport to DNRME for each quarter that falls fully or partly within the Terms of their Agreement. The majority of projects reviewed within the sample had some progress reports on file</w:t>
      </w:r>
      <w:r w:rsidR="00016BE6" w:rsidRPr="00043245">
        <w:rPr>
          <w:rFonts w:cstheme="minorHAnsi"/>
          <w:sz w:val="20"/>
          <w:szCs w:val="20"/>
        </w:rPr>
        <w:t xml:space="preserve"> and for projects where there was no evidence of progress reporting there was </w:t>
      </w:r>
      <w:r w:rsidRPr="00043245">
        <w:rPr>
          <w:rFonts w:cstheme="minorHAnsi"/>
          <w:sz w:val="20"/>
          <w:szCs w:val="20"/>
        </w:rPr>
        <w:t xml:space="preserve">evidence of ongoing communication and interaction with the proponent maintained in </w:t>
      </w:r>
      <w:proofErr w:type="spellStart"/>
      <w:r w:rsidRPr="00043245">
        <w:rPr>
          <w:rFonts w:cstheme="minorHAnsi"/>
          <w:sz w:val="20"/>
          <w:szCs w:val="20"/>
        </w:rPr>
        <w:t>Trello</w:t>
      </w:r>
      <w:proofErr w:type="spellEnd"/>
      <w:r w:rsidRPr="00043245">
        <w:rPr>
          <w:rFonts w:cstheme="minorHAnsi"/>
          <w:sz w:val="20"/>
          <w:szCs w:val="20"/>
        </w:rPr>
        <w:t xml:space="preserve"> (HHWUE case management system). Through sample testing there appeared to be appropriate communication and mechanisms for DNRME to remain informed of and manage projects</w:t>
      </w:r>
      <w:r w:rsidR="00323904" w:rsidRPr="00043245">
        <w:rPr>
          <w:rFonts w:cstheme="minorHAnsi"/>
          <w:sz w:val="20"/>
          <w:szCs w:val="20"/>
        </w:rPr>
        <w:t>,</w:t>
      </w:r>
      <w:r w:rsidRPr="00043245">
        <w:rPr>
          <w:rFonts w:cstheme="minorHAnsi"/>
          <w:sz w:val="20"/>
          <w:szCs w:val="20"/>
        </w:rPr>
        <w:t xml:space="preserve"> as well as </w:t>
      </w:r>
      <w:r w:rsidR="002F7F17" w:rsidRPr="00043245">
        <w:rPr>
          <w:rFonts w:cstheme="minorHAnsi"/>
          <w:sz w:val="20"/>
          <w:szCs w:val="20"/>
        </w:rPr>
        <w:t xml:space="preserve">to </w:t>
      </w:r>
      <w:r w:rsidRPr="00043245">
        <w:rPr>
          <w:rFonts w:cstheme="minorHAnsi"/>
          <w:sz w:val="20"/>
          <w:szCs w:val="20"/>
        </w:rPr>
        <w:t>identify any emerging issues or risks with projects.</w:t>
      </w:r>
      <w:r w:rsidR="00474DAB" w:rsidRPr="00043245">
        <w:rPr>
          <w:rFonts w:cstheme="minorHAnsi"/>
          <w:sz w:val="20"/>
          <w:szCs w:val="20"/>
        </w:rPr>
        <w:t xml:space="preserve"> </w:t>
      </w:r>
      <w:r w:rsidR="00B50DDE" w:rsidRPr="00043245">
        <w:rPr>
          <w:rFonts w:cstheme="minorHAnsi"/>
          <w:sz w:val="20"/>
          <w:szCs w:val="20"/>
        </w:rPr>
        <w:t>KPMG made</w:t>
      </w:r>
      <w:r w:rsidR="00FC5F46" w:rsidRPr="00043245">
        <w:rPr>
          <w:rFonts w:cstheme="minorHAnsi"/>
          <w:sz w:val="20"/>
          <w:szCs w:val="20"/>
        </w:rPr>
        <w:t xml:space="preserve"> a</w:t>
      </w:r>
      <w:r w:rsidR="00B50DDE" w:rsidRPr="00043245">
        <w:rPr>
          <w:rFonts w:cstheme="minorHAnsi"/>
          <w:sz w:val="20"/>
          <w:szCs w:val="20"/>
        </w:rPr>
        <w:t xml:space="preserve"> minor observation in relation t</w:t>
      </w:r>
      <w:r w:rsidR="005133A3" w:rsidRPr="00043245">
        <w:rPr>
          <w:rFonts w:cstheme="minorHAnsi"/>
          <w:sz w:val="20"/>
          <w:szCs w:val="20"/>
        </w:rPr>
        <w:t>o proponent progress reporting (</w:t>
      </w:r>
      <w:r w:rsidR="00B50DDE" w:rsidRPr="00043245">
        <w:rPr>
          <w:rFonts w:cstheme="minorHAnsi"/>
          <w:sz w:val="20"/>
          <w:szCs w:val="20"/>
        </w:rPr>
        <w:t>r</w:t>
      </w:r>
      <w:r w:rsidR="00016BE6" w:rsidRPr="00043245">
        <w:rPr>
          <w:rFonts w:cstheme="minorHAnsi"/>
          <w:sz w:val="20"/>
          <w:szCs w:val="20"/>
        </w:rPr>
        <w:t xml:space="preserve">efer to </w:t>
      </w:r>
      <w:r w:rsidR="00144C4F" w:rsidRPr="00043245">
        <w:rPr>
          <w:rFonts w:cstheme="minorHAnsi"/>
          <w:sz w:val="20"/>
          <w:szCs w:val="20"/>
        </w:rPr>
        <w:t>Section 4</w:t>
      </w:r>
      <w:r w:rsidR="005133A3" w:rsidRPr="00043245">
        <w:rPr>
          <w:rFonts w:cstheme="minorHAnsi"/>
          <w:sz w:val="20"/>
          <w:szCs w:val="20"/>
        </w:rPr>
        <w:t>.3 for further detail).</w:t>
      </w:r>
    </w:p>
    <w:p w14:paraId="1DB815BE" w14:textId="77777777" w:rsidR="00871FD3" w:rsidRPr="00043245" w:rsidRDefault="00871FD3" w:rsidP="00C70202">
      <w:pPr>
        <w:pStyle w:val="Heading3"/>
        <w:spacing w:before="120"/>
        <w:rPr>
          <w:rFonts w:asciiTheme="minorHAnsi" w:hAnsiTheme="minorHAnsi" w:cstheme="minorHAnsi"/>
          <w:sz w:val="20"/>
          <w:szCs w:val="20"/>
        </w:rPr>
      </w:pPr>
      <w:r w:rsidRPr="00043245">
        <w:rPr>
          <w:rFonts w:asciiTheme="minorHAnsi" w:hAnsiTheme="minorHAnsi" w:cstheme="minorHAnsi"/>
          <w:sz w:val="20"/>
          <w:szCs w:val="20"/>
        </w:rPr>
        <w:t>Conflict of interest declarations and management</w:t>
      </w:r>
    </w:p>
    <w:p w14:paraId="3A26CBB4" w14:textId="77777777" w:rsidR="00871FD3" w:rsidRPr="00043245" w:rsidRDefault="00871FD3" w:rsidP="00F74EDA">
      <w:pPr>
        <w:spacing w:before="120" w:after="120" w:line="240" w:lineRule="auto"/>
        <w:rPr>
          <w:rFonts w:cstheme="minorHAnsi"/>
          <w:sz w:val="20"/>
          <w:szCs w:val="20"/>
        </w:rPr>
      </w:pPr>
      <w:r w:rsidRPr="00043245">
        <w:rPr>
          <w:rFonts w:cstheme="minorHAnsi"/>
          <w:sz w:val="20"/>
          <w:szCs w:val="20"/>
        </w:rPr>
        <w:t>DNRME engages a probity advisor to oversee funding round guidelines, procedures and assessments.  As part of the assessment of project applications panel members are required to sign confidentiality and conflict of interest declarations. The probity advisor is responsible for ove</w:t>
      </w:r>
      <w:r w:rsidR="002F7F17" w:rsidRPr="00043245">
        <w:rPr>
          <w:rFonts w:cstheme="minorHAnsi"/>
          <w:sz w:val="20"/>
          <w:szCs w:val="20"/>
        </w:rPr>
        <w:t xml:space="preserve">rseeing the evaluation process and </w:t>
      </w:r>
      <w:r w:rsidRPr="00043245">
        <w:rPr>
          <w:rFonts w:cstheme="minorHAnsi"/>
          <w:sz w:val="20"/>
          <w:szCs w:val="20"/>
        </w:rPr>
        <w:t>ensuring the integrity of the activities undertaken as part of the evaluation process</w:t>
      </w:r>
      <w:r w:rsidR="00FC5F46" w:rsidRPr="00043245">
        <w:rPr>
          <w:rFonts w:cstheme="minorHAnsi"/>
          <w:sz w:val="20"/>
          <w:szCs w:val="20"/>
        </w:rPr>
        <w:t>.</w:t>
      </w:r>
      <w:r w:rsidRPr="00043245">
        <w:rPr>
          <w:rFonts w:cstheme="minorHAnsi"/>
          <w:sz w:val="20"/>
          <w:szCs w:val="20"/>
        </w:rPr>
        <w:t xml:space="preserve"> </w:t>
      </w:r>
    </w:p>
    <w:p w14:paraId="7D617C46" w14:textId="7A1A6094" w:rsidR="00155778" w:rsidRPr="00043245" w:rsidRDefault="00871FD3" w:rsidP="003E73C2">
      <w:pPr>
        <w:pStyle w:val="ListParagraph"/>
        <w:spacing w:before="120" w:after="120" w:line="240" w:lineRule="auto"/>
        <w:ind w:left="0"/>
        <w:contextualSpacing w:val="0"/>
        <w:rPr>
          <w:rFonts w:cstheme="minorHAnsi"/>
          <w:sz w:val="20"/>
          <w:szCs w:val="20"/>
        </w:rPr>
      </w:pPr>
      <w:r w:rsidRPr="00043245">
        <w:rPr>
          <w:rFonts w:cstheme="minorHAnsi"/>
          <w:sz w:val="20"/>
          <w:szCs w:val="20"/>
        </w:rPr>
        <w:t>DNRME’s conflict of interest processes have developed and evolved during</w:t>
      </w:r>
      <w:r w:rsidR="002F7F17" w:rsidRPr="00043245">
        <w:rPr>
          <w:rFonts w:cstheme="minorHAnsi"/>
          <w:sz w:val="20"/>
          <w:szCs w:val="20"/>
        </w:rPr>
        <w:t xml:space="preserve"> the</w:t>
      </w:r>
      <w:r w:rsidRPr="00043245">
        <w:rPr>
          <w:rFonts w:cstheme="minorHAnsi"/>
          <w:sz w:val="20"/>
          <w:szCs w:val="20"/>
        </w:rPr>
        <w:t xml:space="preserve"> HHWUE project. Inspection report</w:t>
      </w:r>
      <w:r w:rsidR="002F7F17" w:rsidRPr="00043245">
        <w:rPr>
          <w:rFonts w:cstheme="minorHAnsi"/>
          <w:sz w:val="20"/>
          <w:szCs w:val="20"/>
        </w:rPr>
        <w:t>s</w:t>
      </w:r>
      <w:r w:rsidRPr="00043245">
        <w:rPr>
          <w:rFonts w:cstheme="minorHAnsi"/>
          <w:sz w:val="20"/>
          <w:szCs w:val="20"/>
        </w:rPr>
        <w:t xml:space="preserve"> and technical assessment templates include a standard section to identify and declare conflicts. Noting </w:t>
      </w:r>
      <w:r w:rsidR="009C78C2" w:rsidRPr="00043245">
        <w:rPr>
          <w:rFonts w:cstheme="minorHAnsi"/>
          <w:sz w:val="20"/>
          <w:szCs w:val="20"/>
        </w:rPr>
        <w:t xml:space="preserve">this, </w:t>
      </w:r>
      <w:r w:rsidRPr="00043245">
        <w:rPr>
          <w:rFonts w:cstheme="minorHAnsi"/>
          <w:sz w:val="20"/>
          <w:szCs w:val="20"/>
        </w:rPr>
        <w:t>there is opportunity to improve the ongoing management of conflicts and documentation</w:t>
      </w:r>
      <w:r w:rsidR="005773AC" w:rsidRPr="00043245">
        <w:rPr>
          <w:rFonts w:cstheme="minorHAnsi"/>
          <w:sz w:val="20"/>
          <w:szCs w:val="20"/>
        </w:rPr>
        <w:t xml:space="preserve"> to ensure DNRME has evidence available to support the management or decisions regarding perceived or actual COI</w:t>
      </w:r>
      <w:r w:rsidR="005133A3" w:rsidRPr="00043245">
        <w:rPr>
          <w:rFonts w:cstheme="minorHAnsi"/>
          <w:sz w:val="20"/>
          <w:szCs w:val="20"/>
        </w:rPr>
        <w:t xml:space="preserve"> (refer to Section 4.4 for further detail).</w:t>
      </w:r>
    </w:p>
    <w:p w14:paraId="1FE97900" w14:textId="77777777" w:rsidR="00871FD3" w:rsidRPr="00043245" w:rsidRDefault="00E5034B" w:rsidP="00C70202">
      <w:pPr>
        <w:pStyle w:val="Heading3"/>
        <w:spacing w:before="120"/>
        <w:rPr>
          <w:rFonts w:asciiTheme="minorHAnsi" w:hAnsiTheme="minorHAnsi" w:cstheme="minorHAnsi"/>
          <w:sz w:val="20"/>
          <w:szCs w:val="20"/>
        </w:rPr>
      </w:pPr>
      <w:r w:rsidRPr="00043245">
        <w:rPr>
          <w:rFonts w:asciiTheme="minorHAnsi" w:hAnsiTheme="minorHAnsi" w:cstheme="minorHAnsi"/>
          <w:sz w:val="20"/>
          <w:szCs w:val="20"/>
        </w:rPr>
        <w:t>Compliance m</w:t>
      </w:r>
      <w:r w:rsidR="00871FD3" w:rsidRPr="00043245">
        <w:rPr>
          <w:rFonts w:asciiTheme="minorHAnsi" w:hAnsiTheme="minorHAnsi" w:cstheme="minorHAnsi"/>
          <w:sz w:val="20"/>
          <w:szCs w:val="20"/>
        </w:rPr>
        <w:t>anagement</w:t>
      </w:r>
    </w:p>
    <w:p w14:paraId="5AD3BA4F" w14:textId="77777777" w:rsidR="00871FD3" w:rsidRPr="00043245" w:rsidRDefault="00871FD3" w:rsidP="002F7F17">
      <w:pPr>
        <w:pStyle w:val="Heading4"/>
        <w:spacing w:before="120" w:after="120" w:line="240" w:lineRule="auto"/>
        <w:rPr>
          <w:rFonts w:asciiTheme="minorHAnsi" w:hAnsiTheme="minorHAnsi" w:cstheme="minorHAnsi"/>
          <w:color w:val="auto"/>
          <w:sz w:val="20"/>
          <w:szCs w:val="20"/>
        </w:rPr>
      </w:pPr>
      <w:r w:rsidRPr="00043245">
        <w:rPr>
          <w:rFonts w:asciiTheme="minorHAnsi" w:hAnsiTheme="minorHAnsi" w:cstheme="minorHAnsi"/>
          <w:color w:val="auto"/>
          <w:sz w:val="20"/>
          <w:szCs w:val="20"/>
        </w:rPr>
        <w:t xml:space="preserve">Compliance with works agreement </w:t>
      </w:r>
    </w:p>
    <w:p w14:paraId="079F4337" w14:textId="15E6B45E" w:rsidR="00871FD3" w:rsidRPr="00043245" w:rsidRDefault="00871FD3" w:rsidP="000722AF">
      <w:pPr>
        <w:pStyle w:val="ListParagraph"/>
        <w:spacing w:before="120" w:after="120" w:line="240" w:lineRule="auto"/>
        <w:ind w:left="0"/>
        <w:contextualSpacing w:val="0"/>
        <w:rPr>
          <w:rFonts w:cstheme="minorHAnsi"/>
          <w:sz w:val="20"/>
          <w:szCs w:val="20"/>
        </w:rPr>
      </w:pPr>
      <w:r w:rsidRPr="00043245">
        <w:rPr>
          <w:rFonts w:cstheme="minorHAnsi"/>
          <w:sz w:val="20"/>
          <w:szCs w:val="20"/>
        </w:rPr>
        <w:t>DNRME</w:t>
      </w:r>
      <w:r w:rsidR="00FC1427" w:rsidRPr="00043245">
        <w:rPr>
          <w:rFonts w:cstheme="minorHAnsi"/>
          <w:sz w:val="20"/>
          <w:szCs w:val="20"/>
        </w:rPr>
        <w:t>’</w:t>
      </w:r>
      <w:r w:rsidRPr="00043245">
        <w:rPr>
          <w:rFonts w:cstheme="minorHAnsi"/>
          <w:sz w:val="20"/>
          <w:szCs w:val="20"/>
        </w:rPr>
        <w:t>s processes for assessing and monitoring proponent’s compliance with works agreement obligations appeared appropriate based on the program characteristics and risks. DNRMEs primary form of compliance monitoring occurs via inspection. There a</w:t>
      </w:r>
      <w:r w:rsidR="002F2BCE" w:rsidRPr="00043245">
        <w:rPr>
          <w:rFonts w:cstheme="minorHAnsi"/>
          <w:sz w:val="20"/>
          <w:szCs w:val="20"/>
        </w:rPr>
        <w:t>re</w:t>
      </w:r>
      <w:r w:rsidRPr="00043245">
        <w:rPr>
          <w:rFonts w:cstheme="minorHAnsi"/>
          <w:sz w:val="20"/>
          <w:szCs w:val="20"/>
        </w:rPr>
        <w:t xml:space="preserve"> generally three types of inspections:</w:t>
      </w:r>
    </w:p>
    <w:p w14:paraId="03E258A5" w14:textId="20E08960" w:rsidR="00871FD3" w:rsidRPr="00043245" w:rsidRDefault="00871FD3" w:rsidP="00DA0057">
      <w:pPr>
        <w:pStyle w:val="ListParagraph"/>
        <w:numPr>
          <w:ilvl w:val="0"/>
          <w:numId w:val="9"/>
        </w:numPr>
        <w:spacing w:before="120" w:after="120"/>
        <w:contextualSpacing w:val="0"/>
        <w:rPr>
          <w:rFonts w:cstheme="minorHAnsi"/>
          <w:sz w:val="20"/>
          <w:szCs w:val="20"/>
        </w:rPr>
      </w:pPr>
      <w:r w:rsidRPr="00043245">
        <w:rPr>
          <w:rFonts w:cstheme="minorHAnsi"/>
          <w:i/>
          <w:sz w:val="20"/>
          <w:szCs w:val="20"/>
        </w:rPr>
        <w:t>Pre-works inspection</w:t>
      </w:r>
      <w:r w:rsidRPr="00043245">
        <w:rPr>
          <w:rFonts w:cstheme="minorHAnsi"/>
          <w:sz w:val="20"/>
          <w:szCs w:val="20"/>
        </w:rPr>
        <w:t xml:space="preserve">: </w:t>
      </w:r>
      <w:r w:rsidR="00323904" w:rsidRPr="00043245">
        <w:rPr>
          <w:rFonts w:cstheme="minorHAnsi"/>
          <w:sz w:val="20"/>
          <w:szCs w:val="20"/>
        </w:rPr>
        <w:t>A</w:t>
      </w:r>
      <w:r w:rsidRPr="00043245">
        <w:rPr>
          <w:rFonts w:cstheme="minorHAnsi"/>
          <w:sz w:val="20"/>
          <w:szCs w:val="20"/>
        </w:rPr>
        <w:t xml:space="preserve">imed at ensuring no prior works have been completed and attributed to this project. This is </w:t>
      </w:r>
      <w:r w:rsidR="000A0B13" w:rsidRPr="00043245">
        <w:rPr>
          <w:rFonts w:cstheme="minorHAnsi"/>
          <w:sz w:val="20"/>
          <w:szCs w:val="20"/>
        </w:rPr>
        <w:t xml:space="preserve">generally </w:t>
      </w:r>
      <w:r w:rsidRPr="00043245">
        <w:rPr>
          <w:rFonts w:cstheme="minorHAnsi"/>
          <w:sz w:val="20"/>
          <w:szCs w:val="20"/>
        </w:rPr>
        <w:t xml:space="preserve">undertaken by </w:t>
      </w:r>
      <w:r w:rsidR="00410321" w:rsidRPr="00043245">
        <w:rPr>
          <w:rFonts w:cstheme="minorHAnsi"/>
          <w:sz w:val="20"/>
          <w:szCs w:val="20"/>
        </w:rPr>
        <w:t xml:space="preserve">DNRME </w:t>
      </w:r>
      <w:r w:rsidRPr="00043245">
        <w:rPr>
          <w:rFonts w:cstheme="minorHAnsi"/>
          <w:sz w:val="20"/>
          <w:szCs w:val="20"/>
        </w:rPr>
        <w:t>staff</w:t>
      </w:r>
      <w:r w:rsidR="004866F9" w:rsidRPr="00043245">
        <w:rPr>
          <w:rFonts w:cstheme="minorHAnsi"/>
          <w:sz w:val="20"/>
          <w:szCs w:val="20"/>
        </w:rPr>
        <w:t xml:space="preserve"> and/or an irrigation professional engaged by DNRME</w:t>
      </w:r>
      <w:r w:rsidRPr="00043245">
        <w:rPr>
          <w:rFonts w:cstheme="minorHAnsi"/>
          <w:sz w:val="20"/>
          <w:szCs w:val="20"/>
        </w:rPr>
        <w:t>.</w:t>
      </w:r>
    </w:p>
    <w:p w14:paraId="1D6F663E" w14:textId="4E0E442E" w:rsidR="00871FD3" w:rsidRPr="00043245" w:rsidRDefault="00871FD3" w:rsidP="00DA0057">
      <w:pPr>
        <w:pStyle w:val="ListParagraph"/>
        <w:numPr>
          <w:ilvl w:val="0"/>
          <w:numId w:val="9"/>
        </w:numPr>
        <w:spacing w:before="120" w:after="120"/>
        <w:contextualSpacing w:val="0"/>
        <w:rPr>
          <w:rFonts w:cstheme="minorHAnsi"/>
          <w:sz w:val="20"/>
          <w:szCs w:val="20"/>
        </w:rPr>
      </w:pPr>
      <w:r w:rsidRPr="00043245">
        <w:rPr>
          <w:rFonts w:cstheme="minorHAnsi"/>
          <w:i/>
          <w:sz w:val="20"/>
          <w:szCs w:val="20"/>
        </w:rPr>
        <w:t>Works inspection</w:t>
      </w:r>
      <w:r w:rsidRPr="00043245">
        <w:rPr>
          <w:rFonts w:cstheme="minorHAnsi"/>
          <w:sz w:val="20"/>
          <w:szCs w:val="20"/>
        </w:rPr>
        <w:t xml:space="preserve">: When a milestone payment claim against a </w:t>
      </w:r>
      <w:r w:rsidR="00852E34" w:rsidRPr="00043245">
        <w:rPr>
          <w:rFonts w:cstheme="minorHAnsi"/>
          <w:sz w:val="20"/>
          <w:szCs w:val="20"/>
        </w:rPr>
        <w:t xml:space="preserve">proponent </w:t>
      </w:r>
      <w:r w:rsidRPr="00043245">
        <w:rPr>
          <w:rFonts w:cstheme="minorHAnsi"/>
          <w:sz w:val="20"/>
          <w:szCs w:val="20"/>
        </w:rPr>
        <w:t>project is due, depending on the materiality of the claim and works involved</w:t>
      </w:r>
      <w:r w:rsidR="00852E34" w:rsidRPr="00043245">
        <w:rPr>
          <w:rFonts w:cstheme="minorHAnsi"/>
          <w:sz w:val="20"/>
          <w:szCs w:val="20"/>
        </w:rPr>
        <w:t>,</w:t>
      </w:r>
      <w:r w:rsidRPr="00043245">
        <w:rPr>
          <w:rFonts w:cstheme="minorHAnsi"/>
          <w:sz w:val="20"/>
          <w:szCs w:val="20"/>
        </w:rPr>
        <w:t xml:space="preserve"> DNRME </w:t>
      </w:r>
      <w:r w:rsidR="004866F9" w:rsidRPr="00043245">
        <w:rPr>
          <w:rFonts w:cstheme="minorHAnsi"/>
          <w:sz w:val="20"/>
          <w:szCs w:val="20"/>
        </w:rPr>
        <w:t xml:space="preserve">generally </w:t>
      </w:r>
      <w:r w:rsidRPr="00043245">
        <w:rPr>
          <w:rFonts w:cstheme="minorHAnsi"/>
          <w:sz w:val="20"/>
          <w:szCs w:val="20"/>
        </w:rPr>
        <w:t>require</w:t>
      </w:r>
      <w:r w:rsidR="004866F9" w:rsidRPr="00043245">
        <w:rPr>
          <w:rFonts w:cstheme="minorHAnsi"/>
          <w:sz w:val="20"/>
          <w:szCs w:val="20"/>
        </w:rPr>
        <w:t>s</w:t>
      </w:r>
      <w:r w:rsidRPr="00043245">
        <w:rPr>
          <w:rFonts w:cstheme="minorHAnsi"/>
          <w:sz w:val="20"/>
          <w:szCs w:val="20"/>
        </w:rPr>
        <w:t xml:space="preserve"> an inspection report to verify progress. </w:t>
      </w:r>
    </w:p>
    <w:p w14:paraId="55B22A1F" w14:textId="77777777" w:rsidR="00637B99" w:rsidRPr="00043245" w:rsidRDefault="00871FD3" w:rsidP="00C6166A">
      <w:pPr>
        <w:pStyle w:val="ListParagraph"/>
        <w:numPr>
          <w:ilvl w:val="0"/>
          <w:numId w:val="9"/>
        </w:numPr>
        <w:spacing w:before="120" w:after="120"/>
        <w:contextualSpacing w:val="0"/>
        <w:rPr>
          <w:rFonts w:cstheme="minorHAnsi"/>
          <w:sz w:val="20"/>
          <w:szCs w:val="20"/>
        </w:rPr>
      </w:pPr>
      <w:r w:rsidRPr="00043245">
        <w:rPr>
          <w:rFonts w:cstheme="minorHAnsi"/>
          <w:i/>
          <w:sz w:val="20"/>
          <w:szCs w:val="20"/>
        </w:rPr>
        <w:t>Commissioning Report:</w:t>
      </w:r>
      <w:r w:rsidRPr="00043245">
        <w:rPr>
          <w:rFonts w:cstheme="minorHAnsi"/>
          <w:sz w:val="20"/>
          <w:szCs w:val="20"/>
        </w:rPr>
        <w:t xml:space="preserve"> The proponent </w:t>
      </w:r>
      <w:r w:rsidR="000A0B13" w:rsidRPr="00043245">
        <w:rPr>
          <w:rFonts w:cstheme="minorHAnsi"/>
          <w:sz w:val="20"/>
          <w:szCs w:val="20"/>
        </w:rPr>
        <w:t>must</w:t>
      </w:r>
      <w:r w:rsidRPr="00043245">
        <w:rPr>
          <w:rFonts w:cstheme="minorHAnsi"/>
          <w:sz w:val="20"/>
          <w:szCs w:val="20"/>
        </w:rPr>
        <w:t xml:space="preserve"> have commissioning conducted by an irrigation professional once all project activities have been completed. </w:t>
      </w:r>
      <w:r w:rsidR="00C6166A" w:rsidRPr="00043245">
        <w:rPr>
          <w:rFonts w:cstheme="minorHAnsi"/>
          <w:sz w:val="20"/>
          <w:szCs w:val="20"/>
        </w:rPr>
        <w:t>The report confirms the specification of completed works and that they meet the project outcomes and includes an as-built drawing. Any minor variations from the approved project should also be explained</w:t>
      </w:r>
      <w:r w:rsidR="00FC5F46" w:rsidRPr="00043245">
        <w:rPr>
          <w:rFonts w:cstheme="minorHAnsi"/>
          <w:sz w:val="20"/>
          <w:szCs w:val="20"/>
        </w:rPr>
        <w:t>.</w:t>
      </w:r>
    </w:p>
    <w:p w14:paraId="2F06B9AF" w14:textId="3F21E156" w:rsidR="00637B99" w:rsidRPr="00043245" w:rsidRDefault="005133A3" w:rsidP="00135623">
      <w:pPr>
        <w:spacing w:before="60" w:after="60"/>
        <w:rPr>
          <w:rFonts w:cstheme="minorHAnsi"/>
          <w:sz w:val="20"/>
          <w:szCs w:val="20"/>
        </w:rPr>
      </w:pPr>
      <w:r w:rsidRPr="00043245">
        <w:rPr>
          <w:rFonts w:cstheme="minorHAnsi"/>
          <w:sz w:val="20"/>
          <w:szCs w:val="20"/>
        </w:rPr>
        <w:t>KPMG observed</w:t>
      </w:r>
      <w:r w:rsidR="007174A1" w:rsidRPr="00043245">
        <w:rPr>
          <w:rFonts w:cstheme="minorHAnsi"/>
          <w:sz w:val="20"/>
          <w:szCs w:val="20"/>
        </w:rPr>
        <w:t xml:space="preserve"> that</w:t>
      </w:r>
      <w:r w:rsidR="00852E34" w:rsidRPr="00043245">
        <w:rPr>
          <w:rFonts w:cstheme="minorHAnsi"/>
          <w:sz w:val="20"/>
          <w:szCs w:val="20"/>
        </w:rPr>
        <w:t xml:space="preserve"> DNRME had consistently been undertaking compliance inspections. </w:t>
      </w:r>
      <w:r w:rsidR="00637B99" w:rsidRPr="00043245">
        <w:rPr>
          <w:rFonts w:cstheme="minorHAnsi"/>
          <w:sz w:val="20"/>
          <w:szCs w:val="20"/>
        </w:rPr>
        <w:t xml:space="preserve">During sample testing it was </w:t>
      </w:r>
      <w:r w:rsidRPr="00043245">
        <w:rPr>
          <w:rFonts w:cstheme="minorHAnsi"/>
          <w:sz w:val="20"/>
          <w:szCs w:val="20"/>
        </w:rPr>
        <w:t>also identified</w:t>
      </w:r>
      <w:r w:rsidR="00637B99" w:rsidRPr="00043245">
        <w:rPr>
          <w:rFonts w:cstheme="minorHAnsi"/>
          <w:sz w:val="20"/>
          <w:szCs w:val="20"/>
        </w:rPr>
        <w:t xml:space="preserve"> that at least one </w:t>
      </w:r>
      <w:r w:rsidR="000A0B13" w:rsidRPr="00043245">
        <w:rPr>
          <w:rFonts w:cstheme="minorHAnsi"/>
          <w:sz w:val="20"/>
          <w:szCs w:val="20"/>
        </w:rPr>
        <w:t>of the above-mentioned</w:t>
      </w:r>
      <w:r w:rsidR="00AD3789" w:rsidRPr="00043245">
        <w:rPr>
          <w:rFonts w:cstheme="minorHAnsi"/>
          <w:sz w:val="20"/>
          <w:szCs w:val="20"/>
        </w:rPr>
        <w:t xml:space="preserve"> </w:t>
      </w:r>
      <w:r w:rsidR="00637B99" w:rsidRPr="00043245">
        <w:rPr>
          <w:rFonts w:cstheme="minorHAnsi"/>
          <w:sz w:val="20"/>
          <w:szCs w:val="20"/>
        </w:rPr>
        <w:t>inspectio</w:t>
      </w:r>
      <w:r w:rsidR="00AD3789" w:rsidRPr="00043245">
        <w:rPr>
          <w:rFonts w:cstheme="minorHAnsi"/>
          <w:sz w:val="20"/>
          <w:szCs w:val="20"/>
        </w:rPr>
        <w:t>n</w:t>
      </w:r>
      <w:r w:rsidR="000A0B13" w:rsidRPr="00043245">
        <w:rPr>
          <w:rFonts w:cstheme="minorHAnsi"/>
          <w:sz w:val="20"/>
          <w:szCs w:val="20"/>
        </w:rPr>
        <w:t>s</w:t>
      </w:r>
      <w:r w:rsidR="00637B99" w:rsidRPr="00043245">
        <w:rPr>
          <w:rFonts w:cstheme="minorHAnsi"/>
          <w:sz w:val="20"/>
          <w:szCs w:val="20"/>
        </w:rPr>
        <w:t xml:space="preserve"> had been undertaken for all projects</w:t>
      </w:r>
      <w:r w:rsidR="000A0B13" w:rsidRPr="00043245">
        <w:rPr>
          <w:rFonts w:cstheme="minorHAnsi"/>
          <w:sz w:val="20"/>
          <w:szCs w:val="20"/>
        </w:rPr>
        <w:t xml:space="preserve"> </w:t>
      </w:r>
      <w:r w:rsidR="007174A1" w:rsidRPr="00043245">
        <w:rPr>
          <w:rFonts w:cstheme="minorHAnsi"/>
          <w:sz w:val="20"/>
          <w:szCs w:val="20"/>
        </w:rPr>
        <w:t xml:space="preserve">reviewed </w:t>
      </w:r>
      <w:r w:rsidR="00637B99" w:rsidRPr="00043245">
        <w:rPr>
          <w:rFonts w:cstheme="minorHAnsi"/>
          <w:sz w:val="20"/>
          <w:szCs w:val="20"/>
        </w:rPr>
        <w:t>(</w:t>
      </w:r>
      <w:r w:rsidR="00AD3789" w:rsidRPr="00043245">
        <w:rPr>
          <w:rFonts w:cstheme="minorHAnsi"/>
          <w:sz w:val="20"/>
          <w:szCs w:val="20"/>
        </w:rPr>
        <w:t>as</w:t>
      </w:r>
      <w:r w:rsidR="00637B99" w:rsidRPr="00043245">
        <w:rPr>
          <w:rFonts w:cstheme="minorHAnsi"/>
          <w:sz w:val="20"/>
          <w:szCs w:val="20"/>
        </w:rPr>
        <w:t xml:space="preserve"> required).</w:t>
      </w:r>
      <w:r w:rsidR="007174A1" w:rsidRPr="00043245">
        <w:rPr>
          <w:rFonts w:cstheme="minorHAnsi"/>
          <w:sz w:val="20"/>
          <w:szCs w:val="20"/>
        </w:rPr>
        <w:t xml:space="preserve"> </w:t>
      </w:r>
      <w:r w:rsidRPr="00043245">
        <w:rPr>
          <w:rFonts w:cstheme="minorHAnsi"/>
          <w:sz w:val="20"/>
          <w:szCs w:val="20"/>
        </w:rPr>
        <w:t>Further</w:t>
      </w:r>
      <w:r w:rsidR="007174A1" w:rsidRPr="00043245">
        <w:rPr>
          <w:rFonts w:cstheme="minorHAnsi"/>
          <w:sz w:val="20"/>
          <w:szCs w:val="20"/>
        </w:rPr>
        <w:t xml:space="preserve">, DNRME has established </w:t>
      </w:r>
      <w:r w:rsidR="004866F9" w:rsidRPr="00043245">
        <w:rPr>
          <w:rFonts w:cstheme="minorHAnsi"/>
          <w:sz w:val="20"/>
          <w:szCs w:val="20"/>
        </w:rPr>
        <w:t>procedures that set the</w:t>
      </w:r>
      <w:r w:rsidR="001A7C14" w:rsidRPr="00043245">
        <w:rPr>
          <w:rFonts w:cstheme="minorHAnsi"/>
          <w:sz w:val="20"/>
          <w:szCs w:val="20"/>
        </w:rPr>
        <w:t xml:space="preserve"> </w:t>
      </w:r>
      <w:r w:rsidR="00CB73AB" w:rsidRPr="00043245">
        <w:rPr>
          <w:rFonts w:cstheme="minorHAnsi"/>
          <w:sz w:val="20"/>
          <w:szCs w:val="20"/>
        </w:rPr>
        <w:t>expectations</w:t>
      </w:r>
      <w:r w:rsidR="007174A1" w:rsidRPr="00043245">
        <w:rPr>
          <w:rFonts w:cstheme="minorHAnsi"/>
          <w:sz w:val="20"/>
          <w:szCs w:val="20"/>
        </w:rPr>
        <w:t xml:space="preserve"> for </w:t>
      </w:r>
      <w:r w:rsidR="009320DA" w:rsidRPr="00043245">
        <w:rPr>
          <w:rFonts w:cstheme="minorHAnsi"/>
          <w:sz w:val="20"/>
          <w:szCs w:val="20"/>
        </w:rPr>
        <w:t xml:space="preserve">the </w:t>
      </w:r>
      <w:r w:rsidR="007174A1" w:rsidRPr="00043245">
        <w:rPr>
          <w:rFonts w:cstheme="minorHAnsi"/>
          <w:sz w:val="20"/>
          <w:szCs w:val="20"/>
        </w:rPr>
        <w:t xml:space="preserve">competency of persons inspecting project works. This was established to ensure the persons undertaking inspections </w:t>
      </w:r>
      <w:r w:rsidR="00FC5F46" w:rsidRPr="00043245">
        <w:rPr>
          <w:rFonts w:cstheme="minorHAnsi"/>
          <w:sz w:val="20"/>
          <w:szCs w:val="20"/>
        </w:rPr>
        <w:t>are</w:t>
      </w:r>
      <w:r w:rsidR="007174A1" w:rsidRPr="00043245">
        <w:rPr>
          <w:rFonts w:cstheme="minorHAnsi"/>
          <w:sz w:val="20"/>
          <w:szCs w:val="20"/>
        </w:rPr>
        <w:t xml:space="preserve"> suitably competent considering the technical complexity of works.</w:t>
      </w:r>
    </w:p>
    <w:p w14:paraId="300E40EC" w14:textId="77777777" w:rsidR="00871FD3" w:rsidRPr="00043245" w:rsidRDefault="00871FD3" w:rsidP="000722AF">
      <w:pPr>
        <w:pStyle w:val="Heading4"/>
        <w:spacing w:before="240" w:after="120" w:line="240" w:lineRule="auto"/>
        <w:rPr>
          <w:rFonts w:asciiTheme="minorHAnsi" w:hAnsiTheme="minorHAnsi" w:cstheme="minorHAnsi"/>
          <w:color w:val="auto"/>
          <w:sz w:val="20"/>
          <w:szCs w:val="20"/>
        </w:rPr>
      </w:pPr>
      <w:r w:rsidRPr="00043245">
        <w:rPr>
          <w:rFonts w:asciiTheme="minorHAnsi" w:hAnsiTheme="minorHAnsi" w:cstheme="minorHAnsi"/>
          <w:color w:val="auto"/>
          <w:sz w:val="20"/>
          <w:szCs w:val="20"/>
        </w:rPr>
        <w:t>Compliance with relevant legislation</w:t>
      </w:r>
      <w:r w:rsidR="0093656A" w:rsidRPr="00043245">
        <w:rPr>
          <w:rFonts w:asciiTheme="minorHAnsi" w:hAnsiTheme="minorHAnsi" w:cstheme="minorHAnsi"/>
          <w:color w:val="auto"/>
          <w:sz w:val="20"/>
          <w:szCs w:val="20"/>
        </w:rPr>
        <w:t xml:space="preserve"> and approvals</w:t>
      </w:r>
      <w:r w:rsidRPr="00043245">
        <w:rPr>
          <w:rFonts w:asciiTheme="minorHAnsi" w:hAnsiTheme="minorHAnsi" w:cstheme="minorHAnsi"/>
          <w:color w:val="auto"/>
          <w:sz w:val="20"/>
          <w:szCs w:val="20"/>
        </w:rPr>
        <w:t xml:space="preserve"> </w:t>
      </w:r>
    </w:p>
    <w:p w14:paraId="2DDD691D" w14:textId="6102F7F9" w:rsidR="00871FD3" w:rsidRPr="00043245" w:rsidRDefault="00410321" w:rsidP="000722AF">
      <w:pPr>
        <w:pStyle w:val="ListParagraph"/>
        <w:spacing w:before="120" w:after="120" w:line="240" w:lineRule="auto"/>
        <w:ind w:left="0"/>
        <w:contextualSpacing w:val="0"/>
        <w:rPr>
          <w:rFonts w:cstheme="minorHAnsi"/>
          <w:sz w:val="20"/>
          <w:szCs w:val="20"/>
        </w:rPr>
      </w:pPr>
      <w:r w:rsidRPr="00043245">
        <w:rPr>
          <w:rFonts w:cstheme="minorHAnsi"/>
          <w:sz w:val="20"/>
          <w:szCs w:val="20"/>
        </w:rPr>
        <w:t xml:space="preserve">DNRME </w:t>
      </w:r>
      <w:r w:rsidR="00871FD3" w:rsidRPr="00043245">
        <w:rPr>
          <w:rFonts w:cstheme="minorHAnsi"/>
          <w:sz w:val="20"/>
          <w:szCs w:val="20"/>
        </w:rPr>
        <w:t>considers compliance with relevant legislation</w:t>
      </w:r>
      <w:r w:rsidR="0093656A" w:rsidRPr="00043245">
        <w:rPr>
          <w:rFonts w:cstheme="minorHAnsi"/>
          <w:sz w:val="20"/>
          <w:szCs w:val="20"/>
        </w:rPr>
        <w:t xml:space="preserve"> and approvals</w:t>
      </w:r>
      <w:r w:rsidR="00871FD3" w:rsidRPr="00043245">
        <w:rPr>
          <w:rFonts w:cstheme="minorHAnsi"/>
          <w:sz w:val="20"/>
          <w:szCs w:val="20"/>
        </w:rPr>
        <w:t xml:space="preserve"> </w:t>
      </w:r>
      <w:r w:rsidR="0093656A" w:rsidRPr="00043245">
        <w:rPr>
          <w:rFonts w:cstheme="minorHAnsi"/>
          <w:sz w:val="20"/>
          <w:szCs w:val="20"/>
        </w:rPr>
        <w:t>the responsibility of the proponent</w:t>
      </w:r>
      <w:r w:rsidR="003676EE" w:rsidRPr="00043245">
        <w:rPr>
          <w:rFonts w:cstheme="minorHAnsi"/>
          <w:sz w:val="20"/>
          <w:szCs w:val="20"/>
        </w:rPr>
        <w:t>. For example, if</w:t>
      </w:r>
      <w:r w:rsidR="0093656A" w:rsidRPr="00043245">
        <w:rPr>
          <w:rFonts w:cstheme="minorHAnsi"/>
          <w:sz w:val="20"/>
          <w:szCs w:val="20"/>
        </w:rPr>
        <w:t xml:space="preserve"> the proposed works include increasing, developing or reconfiguring storages, development approv</w:t>
      </w:r>
      <w:r w:rsidR="002F7F17" w:rsidRPr="00043245">
        <w:rPr>
          <w:rFonts w:cstheme="minorHAnsi"/>
          <w:sz w:val="20"/>
          <w:szCs w:val="20"/>
        </w:rPr>
        <w:t>al may be required to undertake</w:t>
      </w:r>
      <w:r w:rsidR="0093656A" w:rsidRPr="00043245">
        <w:rPr>
          <w:rFonts w:cstheme="minorHAnsi"/>
          <w:sz w:val="20"/>
          <w:szCs w:val="20"/>
        </w:rPr>
        <w:t xml:space="preserve"> this work</w:t>
      </w:r>
      <w:r w:rsidR="00871FD3" w:rsidRPr="00043245">
        <w:rPr>
          <w:rFonts w:cstheme="minorHAnsi"/>
          <w:sz w:val="20"/>
          <w:szCs w:val="20"/>
        </w:rPr>
        <w:t>. Under the Works Agreement proponents are required to ensure compliance with all laws, and</w:t>
      </w:r>
      <w:r w:rsidR="003676EE" w:rsidRPr="00043245">
        <w:rPr>
          <w:rFonts w:cstheme="minorHAnsi"/>
          <w:sz w:val="20"/>
          <w:szCs w:val="20"/>
        </w:rPr>
        <w:t xml:space="preserve"> to obtain all</w:t>
      </w:r>
      <w:r w:rsidR="00871FD3" w:rsidRPr="00043245">
        <w:rPr>
          <w:rFonts w:cstheme="minorHAnsi"/>
          <w:sz w:val="20"/>
          <w:szCs w:val="20"/>
        </w:rPr>
        <w:t xml:space="preserve"> relevant planning and regulatory approvals. Further to this, DNRME reminds proponents of this responsibility via the proponent handbook and during the contract negotiation period. Any breach of relevant legislation would also be considered a breach of the works agreement. </w:t>
      </w:r>
    </w:p>
    <w:p w14:paraId="22164D09" w14:textId="61B1CECE" w:rsidR="0093656A" w:rsidRPr="00043245" w:rsidRDefault="003676EE" w:rsidP="000722AF">
      <w:pPr>
        <w:pStyle w:val="ListParagraph"/>
        <w:spacing w:before="120" w:after="120" w:line="240" w:lineRule="auto"/>
        <w:ind w:left="0"/>
        <w:contextualSpacing w:val="0"/>
        <w:rPr>
          <w:rFonts w:cstheme="minorHAnsi"/>
          <w:sz w:val="20"/>
          <w:szCs w:val="20"/>
        </w:rPr>
      </w:pPr>
      <w:r w:rsidRPr="00043245">
        <w:rPr>
          <w:rFonts w:cstheme="minorHAnsi"/>
          <w:sz w:val="20"/>
          <w:szCs w:val="20"/>
        </w:rPr>
        <w:t xml:space="preserve">Depending </w:t>
      </w:r>
      <w:r w:rsidR="00871FD3" w:rsidRPr="00043245">
        <w:rPr>
          <w:rFonts w:cstheme="minorHAnsi"/>
          <w:sz w:val="20"/>
          <w:szCs w:val="20"/>
        </w:rPr>
        <w:t xml:space="preserve">on the nature of works and approvals required DNRME may require proponents to supply a compliance plan prior to the commencement of works, as indicated in their works agreement. KPMG notes that the compliance plan requirement was not introduced until midway through phase 2 of </w:t>
      </w:r>
      <w:r w:rsidR="000A0B13" w:rsidRPr="00043245">
        <w:rPr>
          <w:rFonts w:cstheme="minorHAnsi"/>
          <w:sz w:val="20"/>
          <w:szCs w:val="20"/>
        </w:rPr>
        <w:t xml:space="preserve">the </w:t>
      </w:r>
      <w:r w:rsidR="00871FD3" w:rsidRPr="00043245">
        <w:rPr>
          <w:rFonts w:cstheme="minorHAnsi"/>
          <w:sz w:val="20"/>
          <w:szCs w:val="20"/>
        </w:rPr>
        <w:t>HHWUE</w:t>
      </w:r>
      <w:r w:rsidR="000A0B13" w:rsidRPr="00043245">
        <w:rPr>
          <w:rFonts w:cstheme="minorHAnsi"/>
          <w:sz w:val="20"/>
          <w:szCs w:val="20"/>
        </w:rPr>
        <w:t xml:space="preserve"> project</w:t>
      </w:r>
      <w:r w:rsidR="00871FD3" w:rsidRPr="00043245">
        <w:rPr>
          <w:rFonts w:cstheme="minorHAnsi"/>
          <w:sz w:val="20"/>
          <w:szCs w:val="20"/>
        </w:rPr>
        <w:t xml:space="preserve">. </w:t>
      </w:r>
      <w:r w:rsidR="00B50DDE" w:rsidRPr="00043245">
        <w:rPr>
          <w:rFonts w:cstheme="minorHAnsi"/>
          <w:sz w:val="20"/>
          <w:szCs w:val="20"/>
        </w:rPr>
        <w:t xml:space="preserve">KPMG </w:t>
      </w:r>
      <w:r w:rsidR="009320DA" w:rsidRPr="00043245">
        <w:rPr>
          <w:rFonts w:cstheme="minorHAnsi"/>
          <w:sz w:val="20"/>
          <w:szCs w:val="20"/>
        </w:rPr>
        <w:t xml:space="preserve">also </w:t>
      </w:r>
      <w:r w:rsidR="00B50DDE" w:rsidRPr="00043245">
        <w:rPr>
          <w:rFonts w:cstheme="minorHAnsi"/>
          <w:sz w:val="20"/>
          <w:szCs w:val="20"/>
        </w:rPr>
        <w:t>noted some inconsistency in</w:t>
      </w:r>
      <w:r w:rsidR="009320DA" w:rsidRPr="00043245">
        <w:rPr>
          <w:rFonts w:cstheme="minorHAnsi"/>
          <w:sz w:val="20"/>
          <w:szCs w:val="20"/>
        </w:rPr>
        <w:t xml:space="preserve"> the use of the compliance plan</w:t>
      </w:r>
      <w:r w:rsidR="00B50DDE" w:rsidRPr="00043245">
        <w:rPr>
          <w:rFonts w:cstheme="minorHAnsi"/>
          <w:sz w:val="20"/>
          <w:szCs w:val="20"/>
        </w:rPr>
        <w:t xml:space="preserve"> </w:t>
      </w:r>
      <w:r w:rsidR="009320DA" w:rsidRPr="00043245">
        <w:rPr>
          <w:rFonts w:cstheme="minorHAnsi"/>
          <w:sz w:val="20"/>
          <w:szCs w:val="20"/>
        </w:rPr>
        <w:t>(</w:t>
      </w:r>
      <w:r w:rsidR="00B50DDE" w:rsidRPr="00043245">
        <w:rPr>
          <w:rFonts w:cstheme="minorHAnsi"/>
          <w:sz w:val="20"/>
          <w:szCs w:val="20"/>
        </w:rPr>
        <w:t>refer</w:t>
      </w:r>
      <w:r w:rsidR="0093656A" w:rsidRPr="00043245">
        <w:rPr>
          <w:rFonts w:cstheme="minorHAnsi"/>
          <w:sz w:val="20"/>
          <w:szCs w:val="20"/>
        </w:rPr>
        <w:t xml:space="preserve"> to Section 4</w:t>
      </w:r>
      <w:r w:rsidR="009320DA" w:rsidRPr="00043245">
        <w:rPr>
          <w:rFonts w:cstheme="minorHAnsi"/>
          <w:sz w:val="20"/>
          <w:szCs w:val="20"/>
        </w:rPr>
        <w:t>.5)</w:t>
      </w:r>
      <w:r w:rsidR="00B50DDE" w:rsidRPr="00043245">
        <w:rPr>
          <w:rFonts w:cstheme="minorHAnsi"/>
          <w:sz w:val="20"/>
          <w:szCs w:val="20"/>
        </w:rPr>
        <w:t xml:space="preserve">. </w:t>
      </w:r>
    </w:p>
    <w:p w14:paraId="27E0C316" w14:textId="77777777" w:rsidR="003650DE" w:rsidRPr="00043245" w:rsidRDefault="003650DE" w:rsidP="00C60159">
      <w:pPr>
        <w:pStyle w:val="Heading4"/>
        <w:spacing w:before="240" w:after="120" w:line="240" w:lineRule="auto"/>
        <w:rPr>
          <w:rFonts w:asciiTheme="minorHAnsi" w:hAnsiTheme="minorHAnsi" w:cstheme="minorHAnsi"/>
          <w:color w:val="auto"/>
          <w:sz w:val="20"/>
          <w:szCs w:val="20"/>
        </w:rPr>
      </w:pPr>
      <w:r w:rsidRPr="00043245">
        <w:rPr>
          <w:rFonts w:asciiTheme="minorHAnsi" w:hAnsiTheme="minorHAnsi" w:cstheme="minorHAnsi"/>
          <w:color w:val="auto"/>
          <w:sz w:val="20"/>
          <w:szCs w:val="20"/>
        </w:rPr>
        <w:t>Insurance certificates of currency</w:t>
      </w:r>
    </w:p>
    <w:p w14:paraId="74A8F08A" w14:textId="77777777" w:rsidR="003650DE" w:rsidRPr="00043245" w:rsidRDefault="003650DE" w:rsidP="003650DE">
      <w:pPr>
        <w:pStyle w:val="ListParagraph"/>
        <w:spacing w:before="120" w:after="120" w:line="240" w:lineRule="auto"/>
        <w:ind w:left="0"/>
        <w:contextualSpacing w:val="0"/>
        <w:rPr>
          <w:rFonts w:cstheme="minorHAnsi"/>
          <w:sz w:val="20"/>
          <w:szCs w:val="20"/>
        </w:rPr>
      </w:pPr>
      <w:r w:rsidRPr="00043245">
        <w:rPr>
          <w:rFonts w:cstheme="minorHAnsi"/>
          <w:sz w:val="20"/>
          <w:szCs w:val="20"/>
        </w:rPr>
        <w:t>As per the works agreements, proponents must effect and maintain a number of insurances for the term of their agreement, specifically these are:</w:t>
      </w:r>
    </w:p>
    <w:p w14:paraId="1020DE43" w14:textId="77777777" w:rsidR="003650DE" w:rsidRPr="00043245" w:rsidRDefault="003650DE" w:rsidP="003650DE">
      <w:pPr>
        <w:pStyle w:val="ListParagraph"/>
        <w:numPr>
          <w:ilvl w:val="0"/>
          <w:numId w:val="36"/>
        </w:numPr>
        <w:spacing w:before="120" w:after="120" w:line="240" w:lineRule="auto"/>
        <w:contextualSpacing w:val="0"/>
        <w:rPr>
          <w:rFonts w:cstheme="minorHAnsi"/>
          <w:sz w:val="20"/>
          <w:szCs w:val="20"/>
        </w:rPr>
      </w:pPr>
      <w:r w:rsidRPr="00043245">
        <w:rPr>
          <w:rFonts w:cstheme="minorHAnsi"/>
          <w:sz w:val="20"/>
          <w:szCs w:val="20"/>
        </w:rPr>
        <w:t>Public Liability insurance for $20,000,000;</w:t>
      </w:r>
    </w:p>
    <w:p w14:paraId="57FB7B31" w14:textId="77777777" w:rsidR="003650DE" w:rsidRPr="00043245" w:rsidRDefault="003650DE" w:rsidP="003650DE">
      <w:pPr>
        <w:pStyle w:val="ListParagraph"/>
        <w:numPr>
          <w:ilvl w:val="0"/>
          <w:numId w:val="36"/>
        </w:numPr>
        <w:spacing w:before="120" w:after="120" w:line="240" w:lineRule="auto"/>
        <w:contextualSpacing w:val="0"/>
        <w:rPr>
          <w:rFonts w:cstheme="minorHAnsi"/>
          <w:sz w:val="20"/>
          <w:szCs w:val="20"/>
        </w:rPr>
      </w:pPr>
      <w:r w:rsidRPr="00043245">
        <w:rPr>
          <w:rFonts w:cstheme="minorHAnsi"/>
          <w:sz w:val="20"/>
          <w:szCs w:val="20"/>
        </w:rPr>
        <w:t xml:space="preserve">Workers compensation insurance; and </w:t>
      </w:r>
    </w:p>
    <w:p w14:paraId="65B1F23F" w14:textId="77777777" w:rsidR="003650DE" w:rsidRPr="00043245" w:rsidRDefault="003650DE" w:rsidP="003650DE">
      <w:pPr>
        <w:pStyle w:val="ListParagraph"/>
        <w:numPr>
          <w:ilvl w:val="0"/>
          <w:numId w:val="36"/>
        </w:numPr>
        <w:spacing w:before="120" w:after="120" w:line="240" w:lineRule="auto"/>
        <w:contextualSpacing w:val="0"/>
        <w:rPr>
          <w:rFonts w:cstheme="minorHAnsi"/>
          <w:sz w:val="20"/>
          <w:szCs w:val="20"/>
        </w:rPr>
      </w:pPr>
      <w:r w:rsidRPr="00043245">
        <w:rPr>
          <w:rFonts w:cstheme="minorHAnsi"/>
          <w:sz w:val="20"/>
          <w:szCs w:val="20"/>
        </w:rPr>
        <w:t xml:space="preserve">Insurance against loss or damage to an asset for its full reinstatement or replacement cost. </w:t>
      </w:r>
    </w:p>
    <w:p w14:paraId="275F62A3" w14:textId="46915A8E" w:rsidR="003650DE" w:rsidRPr="00043245" w:rsidRDefault="000B2AF6" w:rsidP="000722AF">
      <w:pPr>
        <w:pStyle w:val="ListParagraph"/>
        <w:spacing w:before="120" w:after="120" w:line="240" w:lineRule="auto"/>
        <w:ind w:left="0"/>
        <w:contextualSpacing w:val="0"/>
        <w:rPr>
          <w:rFonts w:cstheme="minorHAnsi"/>
          <w:sz w:val="20"/>
          <w:szCs w:val="20"/>
        </w:rPr>
      </w:pPr>
      <w:r w:rsidRPr="00043245">
        <w:rPr>
          <w:rFonts w:cstheme="minorHAnsi"/>
          <w:sz w:val="20"/>
          <w:szCs w:val="20"/>
        </w:rPr>
        <w:t xml:space="preserve">The proponent </w:t>
      </w:r>
      <w:r w:rsidR="003650DE" w:rsidRPr="00043245">
        <w:rPr>
          <w:rFonts w:cstheme="minorHAnsi"/>
          <w:sz w:val="20"/>
          <w:szCs w:val="20"/>
        </w:rPr>
        <w:t xml:space="preserve">works agreement states that the proponent must lodge a copy with DNRME at the commencement of their agreement (within 28 days of signing) as well as evidence of policy renewal before its anniversary. During fieldwork DNRME acknowledged the process of requesting evidence of COCs and policy renewal is an additional control designed to assure DNRME that the proponent is meeting associated works agreement obligations however the onus remains on the proponent to have the appropriate insurances in place (refer to </w:t>
      </w:r>
      <w:r w:rsidR="00C60159" w:rsidRPr="00043245">
        <w:rPr>
          <w:rFonts w:cstheme="minorHAnsi"/>
          <w:sz w:val="20"/>
          <w:szCs w:val="20"/>
        </w:rPr>
        <w:t>s</w:t>
      </w:r>
      <w:r w:rsidR="003650DE" w:rsidRPr="00043245">
        <w:rPr>
          <w:rFonts w:cstheme="minorHAnsi"/>
          <w:sz w:val="20"/>
          <w:szCs w:val="20"/>
        </w:rPr>
        <w:t>ection 4.6 for further detail).</w:t>
      </w:r>
    </w:p>
    <w:p w14:paraId="31DCB47F" w14:textId="77777777" w:rsidR="002A20A1" w:rsidRPr="00043245" w:rsidRDefault="002A20A1" w:rsidP="000722AF">
      <w:pPr>
        <w:pStyle w:val="Heading2"/>
        <w:rPr>
          <w:rFonts w:asciiTheme="minorHAnsi" w:hAnsiTheme="minorHAnsi" w:cstheme="minorHAnsi"/>
        </w:rPr>
      </w:pPr>
      <w:bookmarkStart w:id="27" w:name="_Toc528653255"/>
      <w:r w:rsidRPr="00043245">
        <w:rPr>
          <w:rFonts w:asciiTheme="minorHAnsi" w:hAnsiTheme="minorHAnsi" w:cstheme="minorHAnsi"/>
        </w:rPr>
        <w:t>On-ground verification</w:t>
      </w:r>
      <w:bookmarkEnd w:id="27"/>
    </w:p>
    <w:p w14:paraId="7B052B26" w14:textId="77777777" w:rsidR="0021771D" w:rsidRPr="00043245" w:rsidRDefault="00474DAB" w:rsidP="00F74EDA">
      <w:pPr>
        <w:shd w:val="clear" w:color="auto" w:fill="E7E6E6" w:themeFill="background2"/>
        <w:rPr>
          <w:rFonts w:cstheme="minorHAnsi"/>
          <w:i/>
          <w:sz w:val="20"/>
          <w:szCs w:val="20"/>
        </w:rPr>
      </w:pPr>
      <w:r w:rsidRPr="00043245">
        <w:rPr>
          <w:rFonts w:cstheme="minorHAnsi"/>
          <w:i/>
          <w:sz w:val="20"/>
          <w:szCs w:val="20"/>
        </w:rPr>
        <w:t xml:space="preserve">From visual inspection, installed works appeared to correspond with the documentation provided, specifically, scope and progress of works reported in the approved application, milestone inspection reports and/or final commissioning report. </w:t>
      </w:r>
    </w:p>
    <w:p w14:paraId="105547CB" w14:textId="143C3AC6" w:rsidR="00871FD3" w:rsidRPr="00043245" w:rsidRDefault="00871FD3" w:rsidP="00871FD3">
      <w:pPr>
        <w:rPr>
          <w:rFonts w:cstheme="minorHAnsi"/>
          <w:sz w:val="20"/>
          <w:szCs w:val="20"/>
        </w:rPr>
      </w:pPr>
      <w:r w:rsidRPr="00043245">
        <w:rPr>
          <w:rFonts w:cstheme="minorHAnsi"/>
          <w:sz w:val="20"/>
          <w:szCs w:val="20"/>
        </w:rPr>
        <w:t>In addition to desktop and compliance testing, KPMG undertook on-</w:t>
      </w:r>
      <w:r w:rsidR="009320DA" w:rsidRPr="00043245">
        <w:rPr>
          <w:rFonts w:cstheme="minorHAnsi"/>
          <w:sz w:val="20"/>
          <w:szCs w:val="20"/>
        </w:rPr>
        <w:t>farm</w:t>
      </w:r>
      <w:r w:rsidRPr="00043245">
        <w:rPr>
          <w:rFonts w:cstheme="minorHAnsi"/>
          <w:sz w:val="20"/>
          <w:szCs w:val="20"/>
        </w:rPr>
        <w:t xml:space="preserve"> verification of </w:t>
      </w:r>
      <w:r w:rsidR="00323904" w:rsidRPr="00043245">
        <w:rPr>
          <w:rFonts w:cstheme="minorHAnsi"/>
          <w:sz w:val="20"/>
          <w:szCs w:val="20"/>
        </w:rPr>
        <w:t xml:space="preserve">9 </w:t>
      </w:r>
      <w:r w:rsidRPr="00043245">
        <w:rPr>
          <w:rFonts w:cstheme="minorHAnsi"/>
          <w:sz w:val="20"/>
          <w:szCs w:val="20"/>
        </w:rPr>
        <w:t>projects (out of the sample of 20 approved projects). As part of this phase, a KPMG mechanical engineer was engaged as a specialist to assist with assessment. The purpose of the site visits were to:</w:t>
      </w:r>
    </w:p>
    <w:p w14:paraId="32AFFB4E" w14:textId="77777777" w:rsidR="00871FD3" w:rsidRPr="00043245" w:rsidRDefault="00871FD3" w:rsidP="00DA0057">
      <w:pPr>
        <w:pStyle w:val="ListParagraph"/>
        <w:numPr>
          <w:ilvl w:val="0"/>
          <w:numId w:val="10"/>
        </w:numPr>
        <w:rPr>
          <w:rFonts w:cstheme="minorHAnsi"/>
          <w:sz w:val="20"/>
          <w:szCs w:val="20"/>
        </w:rPr>
      </w:pPr>
      <w:r w:rsidRPr="00043245">
        <w:rPr>
          <w:rFonts w:cstheme="minorHAnsi"/>
          <w:sz w:val="20"/>
          <w:szCs w:val="20"/>
        </w:rPr>
        <w:t>Gain an understanding of the processes in place for the proponent to ensure they complied with the funding conditions.</w:t>
      </w:r>
    </w:p>
    <w:p w14:paraId="2448C0E5" w14:textId="71C6DE69" w:rsidR="00871FD3" w:rsidRPr="00043245" w:rsidRDefault="00871FD3" w:rsidP="00DA0057">
      <w:pPr>
        <w:pStyle w:val="ListParagraph"/>
        <w:numPr>
          <w:ilvl w:val="0"/>
          <w:numId w:val="10"/>
        </w:numPr>
        <w:rPr>
          <w:rFonts w:cstheme="minorHAnsi"/>
          <w:sz w:val="20"/>
          <w:szCs w:val="20"/>
        </w:rPr>
      </w:pPr>
      <w:r w:rsidRPr="00043245">
        <w:rPr>
          <w:rFonts w:cstheme="minorHAnsi"/>
          <w:sz w:val="20"/>
          <w:szCs w:val="20"/>
        </w:rPr>
        <w:t xml:space="preserve">Undertake </w:t>
      </w:r>
      <w:r w:rsidR="002F7F17" w:rsidRPr="00043245">
        <w:rPr>
          <w:rFonts w:cstheme="minorHAnsi"/>
          <w:sz w:val="20"/>
          <w:szCs w:val="20"/>
        </w:rPr>
        <w:t xml:space="preserve">an </w:t>
      </w:r>
      <w:r w:rsidRPr="00043245">
        <w:rPr>
          <w:rFonts w:cstheme="minorHAnsi"/>
          <w:sz w:val="20"/>
          <w:szCs w:val="20"/>
        </w:rPr>
        <w:t>assessment of the progress made in implementing on-</w:t>
      </w:r>
      <w:r w:rsidR="009320DA" w:rsidRPr="00043245">
        <w:rPr>
          <w:rFonts w:cstheme="minorHAnsi"/>
          <w:sz w:val="20"/>
          <w:szCs w:val="20"/>
        </w:rPr>
        <w:t>farm</w:t>
      </w:r>
      <w:r w:rsidRPr="00043245">
        <w:rPr>
          <w:rFonts w:cstheme="minorHAnsi"/>
          <w:sz w:val="20"/>
          <w:szCs w:val="20"/>
        </w:rPr>
        <w:t xml:space="preserve"> </w:t>
      </w:r>
      <w:r w:rsidR="001A7C14" w:rsidRPr="00043245">
        <w:rPr>
          <w:rFonts w:cstheme="minorHAnsi"/>
          <w:sz w:val="20"/>
          <w:szCs w:val="20"/>
        </w:rPr>
        <w:t>works and</w:t>
      </w:r>
      <w:r w:rsidRPr="00043245">
        <w:rPr>
          <w:rFonts w:cstheme="minorHAnsi"/>
          <w:sz w:val="20"/>
          <w:szCs w:val="20"/>
        </w:rPr>
        <w:t xml:space="preserve"> verification of engineering reports</w:t>
      </w:r>
      <w:r w:rsidR="001A7C14" w:rsidRPr="00043245">
        <w:rPr>
          <w:rFonts w:cstheme="minorHAnsi"/>
          <w:sz w:val="20"/>
          <w:szCs w:val="20"/>
        </w:rPr>
        <w:t xml:space="preserve"> and the information gathered during desktop review</w:t>
      </w:r>
      <w:r w:rsidRPr="00043245">
        <w:rPr>
          <w:rFonts w:cstheme="minorHAnsi"/>
          <w:sz w:val="20"/>
          <w:szCs w:val="20"/>
        </w:rPr>
        <w:t xml:space="preserve">; and </w:t>
      </w:r>
    </w:p>
    <w:p w14:paraId="161CD7B4" w14:textId="77777777" w:rsidR="0021771D" w:rsidRPr="00043245" w:rsidRDefault="00871FD3" w:rsidP="00F74EDA">
      <w:pPr>
        <w:pStyle w:val="ListParagraph"/>
        <w:numPr>
          <w:ilvl w:val="0"/>
          <w:numId w:val="10"/>
        </w:numPr>
        <w:rPr>
          <w:rFonts w:cstheme="minorHAnsi"/>
          <w:sz w:val="20"/>
          <w:szCs w:val="20"/>
        </w:rPr>
      </w:pPr>
      <w:r w:rsidRPr="00043245">
        <w:rPr>
          <w:rFonts w:cstheme="minorHAnsi"/>
          <w:sz w:val="20"/>
          <w:szCs w:val="20"/>
        </w:rPr>
        <w:t xml:space="preserve">Follow up any risks or gaps identified during desktop review. </w:t>
      </w:r>
    </w:p>
    <w:p w14:paraId="6B8BC4F1" w14:textId="662BF821" w:rsidR="00C6166A" w:rsidRPr="00043245" w:rsidRDefault="0021771D" w:rsidP="00CF54D6">
      <w:pPr>
        <w:rPr>
          <w:rFonts w:cstheme="minorHAnsi"/>
        </w:rPr>
      </w:pPr>
      <w:r w:rsidRPr="00043245">
        <w:rPr>
          <w:rFonts w:cstheme="minorHAnsi"/>
          <w:sz w:val="20"/>
          <w:szCs w:val="20"/>
        </w:rPr>
        <w:t>For all sites inspected, on</w:t>
      </w:r>
      <w:r w:rsidR="00323904" w:rsidRPr="00043245">
        <w:rPr>
          <w:rFonts w:cstheme="minorHAnsi"/>
          <w:sz w:val="20"/>
          <w:szCs w:val="20"/>
        </w:rPr>
        <w:t>-</w:t>
      </w:r>
      <w:r w:rsidRPr="00043245">
        <w:rPr>
          <w:rFonts w:cstheme="minorHAnsi"/>
          <w:sz w:val="20"/>
          <w:szCs w:val="20"/>
        </w:rPr>
        <w:t>ground works appear</w:t>
      </w:r>
      <w:r w:rsidR="00E93E78" w:rsidRPr="00043245">
        <w:rPr>
          <w:rFonts w:cstheme="minorHAnsi"/>
          <w:sz w:val="20"/>
          <w:szCs w:val="20"/>
        </w:rPr>
        <w:t>ed</w:t>
      </w:r>
      <w:r w:rsidRPr="00043245">
        <w:rPr>
          <w:rFonts w:cstheme="minorHAnsi"/>
          <w:sz w:val="20"/>
          <w:szCs w:val="20"/>
        </w:rPr>
        <w:t xml:space="preserve"> to agree to project status and </w:t>
      </w:r>
      <w:r w:rsidR="00C6166A" w:rsidRPr="00043245">
        <w:rPr>
          <w:rFonts w:cstheme="minorHAnsi"/>
          <w:sz w:val="20"/>
          <w:szCs w:val="20"/>
        </w:rPr>
        <w:t xml:space="preserve">scope of </w:t>
      </w:r>
      <w:r w:rsidRPr="00043245">
        <w:rPr>
          <w:rFonts w:cstheme="minorHAnsi"/>
          <w:sz w:val="20"/>
          <w:szCs w:val="20"/>
        </w:rPr>
        <w:t>works as agreed and recorded</w:t>
      </w:r>
      <w:r w:rsidR="00C6166A" w:rsidRPr="00043245">
        <w:rPr>
          <w:rFonts w:cstheme="minorHAnsi"/>
          <w:sz w:val="20"/>
          <w:szCs w:val="20"/>
        </w:rPr>
        <w:t xml:space="preserve"> – no significant issues </w:t>
      </w:r>
      <w:r w:rsidR="002F7F17" w:rsidRPr="00043245">
        <w:rPr>
          <w:rFonts w:cstheme="minorHAnsi"/>
          <w:sz w:val="20"/>
          <w:szCs w:val="20"/>
        </w:rPr>
        <w:t xml:space="preserve">were </w:t>
      </w:r>
      <w:r w:rsidR="00C6166A" w:rsidRPr="00043245">
        <w:rPr>
          <w:rFonts w:cstheme="minorHAnsi"/>
          <w:sz w:val="20"/>
          <w:szCs w:val="20"/>
        </w:rPr>
        <w:t xml:space="preserve">noted. At the time of site inspection it was noted that one proponent who entered into their works agreement in 2013 still required significant works to complete the project. DNRME were aware of this delay and have communicated the project closure timeframes with the proponent. Progress on this project is also reported to the DAWR </w:t>
      </w:r>
      <w:r w:rsidR="001A7C14" w:rsidRPr="00043245">
        <w:rPr>
          <w:rFonts w:cstheme="minorHAnsi"/>
          <w:sz w:val="20"/>
          <w:szCs w:val="20"/>
        </w:rPr>
        <w:t xml:space="preserve">in </w:t>
      </w:r>
      <w:r w:rsidR="00C6166A" w:rsidRPr="00043245">
        <w:rPr>
          <w:rFonts w:cstheme="minorHAnsi"/>
          <w:sz w:val="20"/>
          <w:szCs w:val="20"/>
        </w:rPr>
        <w:t xml:space="preserve">quarterly </w:t>
      </w:r>
      <w:r w:rsidR="001A7C14" w:rsidRPr="00043245">
        <w:rPr>
          <w:rFonts w:cstheme="minorHAnsi"/>
          <w:sz w:val="20"/>
          <w:szCs w:val="20"/>
        </w:rPr>
        <w:t xml:space="preserve">report and at </w:t>
      </w:r>
      <w:r w:rsidR="00C6166A" w:rsidRPr="00043245">
        <w:rPr>
          <w:rFonts w:cstheme="minorHAnsi"/>
          <w:sz w:val="20"/>
          <w:szCs w:val="20"/>
        </w:rPr>
        <w:t>POG meetings.</w:t>
      </w:r>
    </w:p>
    <w:p w14:paraId="6C0F465D" w14:textId="77777777" w:rsidR="00871FD3" w:rsidRPr="00043245" w:rsidRDefault="00155778" w:rsidP="00043245">
      <w:pPr>
        <w:pStyle w:val="Heading1"/>
        <w:rPr>
          <w:rFonts w:asciiTheme="minorHAnsi" w:hAnsiTheme="minorHAnsi" w:cstheme="minorHAnsi"/>
          <w:sz w:val="72"/>
          <w:szCs w:val="72"/>
        </w:rPr>
      </w:pPr>
      <w:bookmarkStart w:id="28" w:name="_Toc528653256"/>
      <w:r w:rsidRPr="00043245">
        <w:rPr>
          <w:rFonts w:asciiTheme="minorHAnsi" w:hAnsiTheme="minorHAnsi" w:cstheme="minorHAnsi"/>
          <w:sz w:val="72"/>
          <w:szCs w:val="72"/>
        </w:rPr>
        <w:t>Areas for improvement &amp; lessons learnt</w:t>
      </w:r>
      <w:bookmarkEnd w:id="28"/>
    </w:p>
    <w:p w14:paraId="210B3E85" w14:textId="77777777" w:rsidR="009320DA" w:rsidRPr="00043245" w:rsidRDefault="009320DA" w:rsidP="00510322">
      <w:pPr>
        <w:spacing w:before="120" w:after="120" w:line="240" w:lineRule="auto"/>
        <w:rPr>
          <w:rFonts w:cstheme="minorHAnsi"/>
          <w:sz w:val="20"/>
          <w:szCs w:val="20"/>
        </w:rPr>
      </w:pPr>
      <w:r w:rsidRPr="00043245">
        <w:rPr>
          <w:rFonts w:cstheme="minorHAnsi"/>
          <w:sz w:val="20"/>
          <w:szCs w:val="20"/>
        </w:rPr>
        <w:t>A number of relatively minor improvement observations were identified during the review and are summarised in this section.</w:t>
      </w:r>
    </w:p>
    <w:p w14:paraId="476A3AF9" w14:textId="3FDAF596" w:rsidR="005773AC" w:rsidRPr="00043245" w:rsidRDefault="00230008" w:rsidP="000722AF">
      <w:pPr>
        <w:pStyle w:val="Heading2"/>
        <w:rPr>
          <w:rFonts w:asciiTheme="minorHAnsi" w:hAnsiTheme="minorHAnsi" w:cstheme="minorHAnsi"/>
        </w:rPr>
      </w:pPr>
      <w:bookmarkStart w:id="29" w:name="_Toc528653257"/>
      <w:r w:rsidRPr="00043245">
        <w:rPr>
          <w:rFonts w:asciiTheme="minorHAnsi" w:hAnsiTheme="minorHAnsi" w:cstheme="minorHAnsi"/>
        </w:rPr>
        <w:t xml:space="preserve">Risk and </w:t>
      </w:r>
      <w:r w:rsidR="00276030" w:rsidRPr="00043245">
        <w:rPr>
          <w:rFonts w:asciiTheme="minorHAnsi" w:hAnsiTheme="minorHAnsi" w:cstheme="minorHAnsi"/>
        </w:rPr>
        <w:t>i</w:t>
      </w:r>
      <w:r w:rsidRPr="00043245">
        <w:rPr>
          <w:rFonts w:asciiTheme="minorHAnsi" w:hAnsiTheme="minorHAnsi" w:cstheme="minorHAnsi"/>
        </w:rPr>
        <w:t>ssue log</w:t>
      </w:r>
      <w:bookmarkEnd w:id="29"/>
    </w:p>
    <w:p w14:paraId="5165474F" w14:textId="7EB660B8" w:rsidR="00375BC3" w:rsidRPr="00043245" w:rsidRDefault="009454CF" w:rsidP="00BE0C69">
      <w:pPr>
        <w:spacing w:before="120" w:after="120" w:line="240" w:lineRule="auto"/>
        <w:rPr>
          <w:rFonts w:cstheme="minorHAnsi"/>
          <w:sz w:val="20"/>
          <w:szCs w:val="20"/>
        </w:rPr>
      </w:pPr>
      <w:r w:rsidRPr="00043245">
        <w:rPr>
          <w:rFonts w:cstheme="minorHAnsi"/>
          <w:sz w:val="20"/>
          <w:szCs w:val="20"/>
        </w:rPr>
        <w:t>KPMG note</w:t>
      </w:r>
      <w:r w:rsidR="00510322" w:rsidRPr="00043245">
        <w:rPr>
          <w:rFonts w:cstheme="minorHAnsi"/>
          <w:sz w:val="20"/>
          <w:szCs w:val="20"/>
        </w:rPr>
        <w:t>s</w:t>
      </w:r>
      <w:r w:rsidRPr="00043245">
        <w:rPr>
          <w:rFonts w:cstheme="minorHAnsi"/>
          <w:sz w:val="20"/>
          <w:szCs w:val="20"/>
        </w:rPr>
        <w:t xml:space="preserve"> that the use of an issue</w:t>
      </w:r>
      <w:r w:rsidR="00510322" w:rsidRPr="00043245">
        <w:rPr>
          <w:rFonts w:cstheme="minorHAnsi"/>
          <w:sz w:val="20"/>
          <w:szCs w:val="20"/>
        </w:rPr>
        <w:t xml:space="preserve">s </w:t>
      </w:r>
      <w:r w:rsidRPr="00043245">
        <w:rPr>
          <w:rFonts w:cstheme="minorHAnsi"/>
          <w:sz w:val="20"/>
          <w:szCs w:val="20"/>
        </w:rPr>
        <w:t xml:space="preserve">log is important in documenting, assessing and monitoring issues that arise; it also facilitates communication and ensures that there is a common understanding among stakeholders. </w:t>
      </w:r>
      <w:r w:rsidR="00E40F8C" w:rsidRPr="00043245">
        <w:rPr>
          <w:rFonts w:cstheme="minorHAnsi"/>
          <w:sz w:val="20"/>
          <w:szCs w:val="20"/>
        </w:rPr>
        <w:t>As discussed in Section 3.3</w:t>
      </w:r>
      <w:r w:rsidR="0091794D" w:rsidRPr="00043245">
        <w:rPr>
          <w:rFonts w:cstheme="minorHAnsi"/>
          <w:sz w:val="20"/>
          <w:szCs w:val="20"/>
        </w:rPr>
        <w:t xml:space="preserve">, DNRME no longer utilised the </w:t>
      </w:r>
      <w:r w:rsidR="008C7796" w:rsidRPr="00043245">
        <w:rPr>
          <w:rFonts w:cstheme="minorHAnsi"/>
          <w:sz w:val="20"/>
          <w:szCs w:val="20"/>
        </w:rPr>
        <w:t xml:space="preserve">HHWUE </w:t>
      </w:r>
      <w:r w:rsidR="0091794D" w:rsidRPr="00043245">
        <w:rPr>
          <w:rFonts w:cstheme="minorHAnsi"/>
          <w:sz w:val="20"/>
          <w:szCs w:val="20"/>
        </w:rPr>
        <w:t>issues register. D</w:t>
      </w:r>
      <w:r w:rsidR="009C5551" w:rsidRPr="00043245">
        <w:rPr>
          <w:rFonts w:cstheme="minorHAnsi"/>
          <w:sz w:val="20"/>
          <w:szCs w:val="20"/>
        </w:rPr>
        <w:t>iscussion</w:t>
      </w:r>
      <w:r w:rsidR="002F7F17" w:rsidRPr="00043245">
        <w:rPr>
          <w:rFonts w:cstheme="minorHAnsi"/>
          <w:sz w:val="20"/>
          <w:szCs w:val="20"/>
        </w:rPr>
        <w:t>s</w:t>
      </w:r>
      <w:r w:rsidR="009C5551" w:rsidRPr="00043245">
        <w:rPr>
          <w:rFonts w:cstheme="minorHAnsi"/>
          <w:sz w:val="20"/>
          <w:szCs w:val="20"/>
        </w:rPr>
        <w:t xml:space="preserve"> </w:t>
      </w:r>
      <w:r w:rsidR="00375BC3" w:rsidRPr="00043245">
        <w:rPr>
          <w:rFonts w:cstheme="minorHAnsi"/>
          <w:sz w:val="20"/>
          <w:szCs w:val="20"/>
        </w:rPr>
        <w:t xml:space="preserve">with the HHWUE project team </w:t>
      </w:r>
      <w:r w:rsidR="009C5551" w:rsidRPr="00043245">
        <w:rPr>
          <w:rFonts w:cstheme="minorHAnsi"/>
          <w:sz w:val="20"/>
          <w:szCs w:val="20"/>
        </w:rPr>
        <w:t xml:space="preserve">indicated that </w:t>
      </w:r>
      <w:r w:rsidR="0091794D" w:rsidRPr="00043245">
        <w:rPr>
          <w:rFonts w:cstheme="minorHAnsi"/>
          <w:sz w:val="20"/>
          <w:szCs w:val="20"/>
        </w:rPr>
        <w:t>initially</w:t>
      </w:r>
      <w:r w:rsidR="00375BC3" w:rsidRPr="00043245">
        <w:rPr>
          <w:rFonts w:cstheme="minorHAnsi"/>
          <w:sz w:val="20"/>
          <w:szCs w:val="20"/>
        </w:rPr>
        <w:t xml:space="preserve"> </w:t>
      </w:r>
      <w:r w:rsidR="00B143DF" w:rsidRPr="00043245">
        <w:rPr>
          <w:rFonts w:cstheme="minorHAnsi"/>
          <w:sz w:val="20"/>
          <w:szCs w:val="20"/>
        </w:rPr>
        <w:t xml:space="preserve">the </w:t>
      </w:r>
      <w:r w:rsidR="00375BC3" w:rsidRPr="00043245">
        <w:rPr>
          <w:rFonts w:cstheme="minorHAnsi"/>
          <w:sz w:val="20"/>
          <w:szCs w:val="20"/>
        </w:rPr>
        <w:t>issues register</w:t>
      </w:r>
      <w:r w:rsidR="0091794D" w:rsidRPr="00043245">
        <w:rPr>
          <w:rFonts w:cstheme="minorHAnsi"/>
          <w:sz w:val="20"/>
          <w:szCs w:val="20"/>
        </w:rPr>
        <w:t xml:space="preserve"> was utilised to document risks and issues</w:t>
      </w:r>
      <w:r w:rsidR="00EA1BAD" w:rsidRPr="00043245">
        <w:rPr>
          <w:rFonts w:cstheme="minorHAnsi"/>
          <w:sz w:val="20"/>
          <w:szCs w:val="20"/>
        </w:rPr>
        <w:t xml:space="preserve">, this included the identification and treatment of both </w:t>
      </w:r>
      <w:r w:rsidR="00B143DF" w:rsidRPr="00043245">
        <w:rPr>
          <w:rFonts w:cstheme="minorHAnsi"/>
          <w:sz w:val="20"/>
          <w:szCs w:val="20"/>
        </w:rPr>
        <w:t xml:space="preserve">items. </w:t>
      </w:r>
      <w:r w:rsidR="0091794D" w:rsidRPr="00043245">
        <w:rPr>
          <w:rFonts w:cstheme="minorHAnsi"/>
          <w:sz w:val="20"/>
          <w:szCs w:val="20"/>
        </w:rPr>
        <w:t>However</w:t>
      </w:r>
      <w:r w:rsidR="00323904" w:rsidRPr="00043245">
        <w:rPr>
          <w:rFonts w:cstheme="minorHAnsi"/>
          <w:sz w:val="20"/>
          <w:szCs w:val="20"/>
        </w:rPr>
        <w:t>,</w:t>
      </w:r>
      <w:r w:rsidR="0091794D" w:rsidRPr="00043245">
        <w:rPr>
          <w:rFonts w:cstheme="minorHAnsi"/>
          <w:sz w:val="20"/>
          <w:szCs w:val="20"/>
        </w:rPr>
        <w:t xml:space="preserve"> upon review of the HHWUE </w:t>
      </w:r>
      <w:r w:rsidR="00375BC3" w:rsidRPr="00043245">
        <w:rPr>
          <w:rFonts w:cstheme="minorHAnsi"/>
          <w:sz w:val="20"/>
          <w:szCs w:val="20"/>
        </w:rPr>
        <w:t>risk management processes</w:t>
      </w:r>
      <w:r w:rsidR="00B143DF" w:rsidRPr="00043245">
        <w:rPr>
          <w:rFonts w:cstheme="minorHAnsi"/>
          <w:sz w:val="20"/>
          <w:szCs w:val="20"/>
        </w:rPr>
        <w:t xml:space="preserve"> undertaken by the HHWUE project team</w:t>
      </w:r>
      <w:r w:rsidR="0091794D" w:rsidRPr="00043245">
        <w:rPr>
          <w:rFonts w:cstheme="minorHAnsi"/>
          <w:sz w:val="20"/>
          <w:szCs w:val="20"/>
        </w:rPr>
        <w:t>, it was determined that the issues register document was not fit for purpose</w:t>
      </w:r>
      <w:r w:rsidRPr="00043245">
        <w:rPr>
          <w:rFonts w:cstheme="minorHAnsi"/>
          <w:sz w:val="20"/>
          <w:szCs w:val="20"/>
        </w:rPr>
        <w:t xml:space="preserve"> and did not adequately </w:t>
      </w:r>
      <w:r w:rsidR="00B143DF" w:rsidRPr="00043245">
        <w:rPr>
          <w:rFonts w:cstheme="minorHAnsi"/>
          <w:sz w:val="20"/>
          <w:szCs w:val="20"/>
        </w:rPr>
        <w:t>document the identification, assessment and treatment of risks that had been occurring in practice</w:t>
      </w:r>
      <w:r w:rsidR="00375BC3" w:rsidRPr="00043245">
        <w:rPr>
          <w:rFonts w:cstheme="minorHAnsi"/>
          <w:sz w:val="20"/>
          <w:szCs w:val="20"/>
        </w:rPr>
        <w:t xml:space="preserve">. </w:t>
      </w:r>
      <w:r w:rsidRPr="00043245">
        <w:rPr>
          <w:rFonts w:cstheme="minorHAnsi"/>
          <w:sz w:val="20"/>
          <w:szCs w:val="20"/>
        </w:rPr>
        <w:t>DNRME elected to create</w:t>
      </w:r>
      <w:r w:rsidR="007D1335" w:rsidRPr="00043245">
        <w:rPr>
          <w:rFonts w:cstheme="minorHAnsi"/>
          <w:sz w:val="20"/>
          <w:szCs w:val="20"/>
        </w:rPr>
        <w:t xml:space="preserve"> </w:t>
      </w:r>
      <w:proofErr w:type="spellStart"/>
      <w:r w:rsidR="00323904" w:rsidRPr="00043245">
        <w:rPr>
          <w:rFonts w:cstheme="minorHAnsi"/>
          <w:sz w:val="20"/>
          <w:szCs w:val="20"/>
        </w:rPr>
        <w:t>a</w:t>
      </w:r>
      <w:r w:rsidR="00B143DF" w:rsidRPr="00043245">
        <w:rPr>
          <w:rFonts w:cstheme="minorHAnsi"/>
          <w:sz w:val="20"/>
          <w:szCs w:val="20"/>
        </w:rPr>
        <w:t>Risk</w:t>
      </w:r>
      <w:proofErr w:type="spellEnd"/>
      <w:r w:rsidR="00B143DF" w:rsidRPr="00043245">
        <w:rPr>
          <w:rFonts w:cstheme="minorHAnsi"/>
          <w:sz w:val="20"/>
          <w:szCs w:val="20"/>
        </w:rPr>
        <w:t xml:space="preserve"> Management Plan and subsidiary Risk Register</w:t>
      </w:r>
      <w:r w:rsidR="00B143DF" w:rsidRPr="00043245" w:rsidDel="00B143DF">
        <w:rPr>
          <w:rFonts w:cstheme="minorHAnsi"/>
          <w:sz w:val="20"/>
          <w:szCs w:val="20"/>
        </w:rPr>
        <w:t xml:space="preserve"> </w:t>
      </w:r>
      <w:r w:rsidRPr="00043245">
        <w:rPr>
          <w:rFonts w:cstheme="minorHAnsi"/>
          <w:sz w:val="20"/>
          <w:szCs w:val="20"/>
        </w:rPr>
        <w:t>to provide more rigor around the risk management process</w:t>
      </w:r>
      <w:r w:rsidR="00B143DF" w:rsidRPr="00043245">
        <w:rPr>
          <w:rFonts w:cstheme="minorHAnsi"/>
          <w:sz w:val="20"/>
          <w:szCs w:val="20"/>
        </w:rPr>
        <w:t xml:space="preserve"> and better reflect current risk management practice</w:t>
      </w:r>
      <w:r w:rsidRPr="00043245">
        <w:rPr>
          <w:rFonts w:cstheme="minorHAnsi"/>
          <w:sz w:val="20"/>
          <w:szCs w:val="20"/>
        </w:rPr>
        <w:t xml:space="preserve">. During this process the issues register was retired and </w:t>
      </w:r>
      <w:r w:rsidR="00E40F8C" w:rsidRPr="00043245">
        <w:rPr>
          <w:rFonts w:cstheme="minorHAnsi"/>
          <w:sz w:val="20"/>
          <w:szCs w:val="20"/>
        </w:rPr>
        <w:t>DNRME</w:t>
      </w:r>
      <w:r w:rsidRPr="00043245">
        <w:rPr>
          <w:rFonts w:cstheme="minorHAnsi"/>
          <w:sz w:val="20"/>
          <w:szCs w:val="20"/>
        </w:rPr>
        <w:t xml:space="preserve"> </w:t>
      </w:r>
      <w:r w:rsidR="009C5551" w:rsidRPr="00043245">
        <w:rPr>
          <w:rFonts w:cstheme="minorHAnsi"/>
          <w:sz w:val="20"/>
          <w:szCs w:val="20"/>
        </w:rPr>
        <w:t>transitioned to using the risk register for this purpose</w:t>
      </w:r>
      <w:r w:rsidRPr="00043245">
        <w:rPr>
          <w:rFonts w:cstheme="minorHAnsi"/>
          <w:sz w:val="20"/>
          <w:szCs w:val="20"/>
        </w:rPr>
        <w:t xml:space="preserve"> with both risks and issues captured in the same register</w:t>
      </w:r>
      <w:r w:rsidR="00375BC3" w:rsidRPr="00043245">
        <w:rPr>
          <w:rFonts w:cstheme="minorHAnsi"/>
          <w:sz w:val="20"/>
          <w:szCs w:val="20"/>
        </w:rPr>
        <w:t>.</w:t>
      </w:r>
      <w:r w:rsidRPr="00043245">
        <w:rPr>
          <w:rFonts w:cstheme="minorHAnsi"/>
          <w:sz w:val="20"/>
          <w:szCs w:val="20"/>
        </w:rPr>
        <w:t xml:space="preserve"> The register however, did not</w:t>
      </w:r>
      <w:r w:rsidR="00E40F8C" w:rsidRPr="00043245">
        <w:rPr>
          <w:rFonts w:cstheme="minorHAnsi"/>
          <w:sz w:val="20"/>
          <w:szCs w:val="20"/>
        </w:rPr>
        <w:t xml:space="preserve"> clearly</w:t>
      </w:r>
      <w:r w:rsidRPr="00043245">
        <w:rPr>
          <w:rFonts w:cstheme="minorHAnsi"/>
          <w:sz w:val="20"/>
          <w:szCs w:val="20"/>
        </w:rPr>
        <w:t xml:space="preserve"> identify which entry was a risk or </w:t>
      </w:r>
      <w:r w:rsidR="00510322" w:rsidRPr="00043245">
        <w:rPr>
          <w:rFonts w:cstheme="minorHAnsi"/>
          <w:sz w:val="20"/>
          <w:szCs w:val="20"/>
        </w:rPr>
        <w:t xml:space="preserve">which was an </w:t>
      </w:r>
      <w:r w:rsidRPr="00043245">
        <w:rPr>
          <w:rFonts w:cstheme="minorHAnsi"/>
          <w:sz w:val="20"/>
          <w:szCs w:val="20"/>
        </w:rPr>
        <w:t xml:space="preserve">issue. </w:t>
      </w:r>
    </w:p>
    <w:p w14:paraId="356D8E45" w14:textId="3FFA12BD" w:rsidR="00375BC3" w:rsidRPr="00043245" w:rsidRDefault="009454CF" w:rsidP="00BE0C69">
      <w:pPr>
        <w:spacing w:before="120" w:after="120" w:line="240" w:lineRule="auto"/>
        <w:rPr>
          <w:rFonts w:cstheme="minorHAnsi"/>
          <w:sz w:val="20"/>
          <w:szCs w:val="20"/>
        </w:rPr>
      </w:pPr>
      <w:r w:rsidRPr="00043245">
        <w:rPr>
          <w:rFonts w:cstheme="minorHAnsi"/>
          <w:sz w:val="20"/>
          <w:szCs w:val="20"/>
        </w:rPr>
        <w:t xml:space="preserve">Issues can be considered risk events that have occurred, as such are not assessed and prioritised in the same manner as risks.  </w:t>
      </w:r>
      <w:r w:rsidR="00FC5F46" w:rsidRPr="00043245">
        <w:rPr>
          <w:rFonts w:cstheme="minorHAnsi"/>
          <w:sz w:val="20"/>
          <w:szCs w:val="20"/>
        </w:rPr>
        <w:t xml:space="preserve">Whilst still deemed appropriate </w:t>
      </w:r>
      <w:r w:rsidRPr="00043245">
        <w:rPr>
          <w:rFonts w:cstheme="minorHAnsi"/>
          <w:sz w:val="20"/>
          <w:szCs w:val="20"/>
        </w:rPr>
        <w:t xml:space="preserve">to capture risk and issue information in the same document, it is beneficial to distinguish between the two events to inform better communication and prioritisation. </w:t>
      </w:r>
      <w:r w:rsidR="000314AA" w:rsidRPr="00043245">
        <w:rPr>
          <w:rFonts w:cstheme="minorHAnsi"/>
          <w:sz w:val="20"/>
          <w:szCs w:val="20"/>
        </w:rPr>
        <w:t xml:space="preserve"> DNRME should ensure risk and issues can be clearly</w:t>
      </w:r>
      <w:r w:rsidR="00B143DF" w:rsidRPr="00043245">
        <w:rPr>
          <w:rFonts w:cstheme="minorHAnsi"/>
          <w:sz w:val="20"/>
          <w:szCs w:val="20"/>
        </w:rPr>
        <w:t xml:space="preserve"> defined and</w:t>
      </w:r>
      <w:r w:rsidR="000314AA" w:rsidRPr="00043245">
        <w:rPr>
          <w:rFonts w:cstheme="minorHAnsi"/>
          <w:sz w:val="20"/>
          <w:szCs w:val="20"/>
        </w:rPr>
        <w:t xml:space="preserve"> differentiated to allow them be appropriately managed and addressed. </w:t>
      </w:r>
    </w:p>
    <w:p w14:paraId="46F7CE79" w14:textId="77777777" w:rsidR="00081A4B" w:rsidRPr="00043245" w:rsidRDefault="00081A4B" w:rsidP="00F74EDA">
      <w:pPr>
        <w:pStyle w:val="Heading2"/>
        <w:rPr>
          <w:rFonts w:asciiTheme="minorHAnsi" w:hAnsiTheme="minorHAnsi" w:cstheme="minorHAnsi"/>
        </w:rPr>
      </w:pPr>
      <w:bookmarkStart w:id="30" w:name="_Toc528653258"/>
      <w:r w:rsidRPr="00043245">
        <w:rPr>
          <w:rFonts w:asciiTheme="minorHAnsi" w:hAnsiTheme="minorHAnsi" w:cstheme="minorHAnsi"/>
        </w:rPr>
        <w:t>Asset registers</w:t>
      </w:r>
      <w:bookmarkEnd w:id="30"/>
      <w:r w:rsidRPr="00043245">
        <w:rPr>
          <w:rFonts w:asciiTheme="minorHAnsi" w:hAnsiTheme="minorHAnsi" w:cstheme="minorHAnsi"/>
        </w:rPr>
        <w:t xml:space="preserve"> </w:t>
      </w:r>
    </w:p>
    <w:p w14:paraId="2BB8D6E5" w14:textId="09189806" w:rsidR="000A279D" w:rsidRPr="00043245" w:rsidRDefault="009454CF" w:rsidP="00BE0C69">
      <w:pPr>
        <w:spacing w:before="120" w:after="120" w:line="240" w:lineRule="auto"/>
        <w:rPr>
          <w:rFonts w:cstheme="minorHAnsi"/>
          <w:sz w:val="20"/>
          <w:szCs w:val="20"/>
        </w:rPr>
      </w:pPr>
      <w:r w:rsidRPr="00043245">
        <w:rPr>
          <w:rFonts w:cstheme="minorHAnsi"/>
          <w:sz w:val="20"/>
          <w:szCs w:val="20"/>
        </w:rPr>
        <w:t>The WMPA requires DNRME to maintain</w:t>
      </w:r>
      <w:r w:rsidR="000A279D" w:rsidRPr="00043245">
        <w:rPr>
          <w:rFonts w:cstheme="minorHAnsi"/>
          <w:sz w:val="20"/>
          <w:szCs w:val="20"/>
        </w:rPr>
        <w:t xml:space="preserve"> </w:t>
      </w:r>
      <w:r w:rsidRPr="00043245">
        <w:rPr>
          <w:rFonts w:cstheme="minorHAnsi"/>
          <w:sz w:val="20"/>
          <w:szCs w:val="20"/>
        </w:rPr>
        <w:t>accurate</w:t>
      </w:r>
      <w:r w:rsidR="000A279D" w:rsidRPr="00043245">
        <w:rPr>
          <w:rFonts w:cstheme="minorHAnsi"/>
          <w:sz w:val="20"/>
          <w:szCs w:val="20"/>
        </w:rPr>
        <w:t xml:space="preserve"> records of assets purchased with </w:t>
      </w:r>
      <w:r w:rsidRPr="00043245">
        <w:rPr>
          <w:rFonts w:cstheme="minorHAnsi"/>
          <w:sz w:val="20"/>
          <w:szCs w:val="20"/>
        </w:rPr>
        <w:t>Commonwealth funding</w:t>
      </w:r>
      <w:r w:rsidR="00FC5F46" w:rsidRPr="00043245">
        <w:rPr>
          <w:rFonts w:cstheme="minorHAnsi"/>
          <w:sz w:val="20"/>
          <w:szCs w:val="20"/>
        </w:rPr>
        <w:t xml:space="preserve">, </w:t>
      </w:r>
      <w:r w:rsidR="00BE0C69" w:rsidRPr="00043245">
        <w:rPr>
          <w:rFonts w:cstheme="minorHAnsi"/>
          <w:sz w:val="20"/>
          <w:szCs w:val="20"/>
        </w:rPr>
        <w:t>DNRME</w:t>
      </w:r>
      <w:r w:rsidR="00E5034B" w:rsidRPr="00043245">
        <w:rPr>
          <w:rFonts w:cstheme="minorHAnsi"/>
          <w:sz w:val="20"/>
          <w:szCs w:val="20"/>
        </w:rPr>
        <w:t xml:space="preserve"> also </w:t>
      </w:r>
      <w:r w:rsidR="00BE0C69" w:rsidRPr="00043245">
        <w:rPr>
          <w:rFonts w:cstheme="minorHAnsi"/>
          <w:sz w:val="20"/>
          <w:szCs w:val="20"/>
        </w:rPr>
        <w:t>requires proponents to supply an asset register</w:t>
      </w:r>
      <w:r w:rsidR="00FC5F46" w:rsidRPr="00043245">
        <w:rPr>
          <w:rFonts w:cstheme="minorHAnsi"/>
          <w:sz w:val="20"/>
          <w:szCs w:val="20"/>
        </w:rPr>
        <w:t>. The proponent</w:t>
      </w:r>
      <w:r w:rsidR="003676EE" w:rsidRPr="00043245">
        <w:rPr>
          <w:rFonts w:cstheme="minorHAnsi"/>
          <w:sz w:val="20"/>
          <w:szCs w:val="20"/>
        </w:rPr>
        <w:t>s’</w:t>
      </w:r>
      <w:r w:rsidR="000A279D" w:rsidRPr="00043245">
        <w:rPr>
          <w:rFonts w:cstheme="minorHAnsi"/>
          <w:sz w:val="20"/>
          <w:szCs w:val="20"/>
        </w:rPr>
        <w:t xml:space="preserve"> works agreement</w:t>
      </w:r>
      <w:r w:rsidR="00FC5F46" w:rsidRPr="00043245">
        <w:rPr>
          <w:rFonts w:cstheme="minorHAnsi"/>
          <w:sz w:val="20"/>
          <w:szCs w:val="20"/>
        </w:rPr>
        <w:t>s</w:t>
      </w:r>
      <w:r w:rsidR="00BE0C69" w:rsidRPr="00043245">
        <w:rPr>
          <w:rFonts w:cstheme="minorHAnsi"/>
          <w:sz w:val="20"/>
          <w:szCs w:val="20"/>
        </w:rPr>
        <w:t xml:space="preserve"> require proponents to include</w:t>
      </w:r>
      <w:r w:rsidR="000A279D" w:rsidRPr="00043245">
        <w:rPr>
          <w:rFonts w:cstheme="minorHAnsi"/>
          <w:sz w:val="20"/>
          <w:szCs w:val="20"/>
        </w:rPr>
        <w:t xml:space="preserve"> a list of assets acquired, valued at $5</w:t>
      </w:r>
      <w:r w:rsidR="00510322" w:rsidRPr="00043245">
        <w:rPr>
          <w:rFonts w:cstheme="minorHAnsi"/>
          <w:sz w:val="20"/>
          <w:szCs w:val="20"/>
        </w:rPr>
        <w:t>,</w:t>
      </w:r>
      <w:r w:rsidR="000A279D" w:rsidRPr="00043245">
        <w:rPr>
          <w:rFonts w:cstheme="minorHAnsi"/>
          <w:sz w:val="20"/>
          <w:szCs w:val="20"/>
        </w:rPr>
        <w:t>000 or greater</w:t>
      </w:r>
      <w:r w:rsidR="00510322" w:rsidRPr="00043245">
        <w:rPr>
          <w:rFonts w:cstheme="minorHAnsi"/>
          <w:sz w:val="20"/>
          <w:szCs w:val="20"/>
        </w:rPr>
        <w:t>,</w:t>
      </w:r>
      <w:r w:rsidR="00BE0C69" w:rsidRPr="00043245">
        <w:rPr>
          <w:rFonts w:cstheme="minorHAnsi"/>
          <w:sz w:val="20"/>
          <w:szCs w:val="20"/>
        </w:rPr>
        <w:t xml:space="preserve"> at the completion of the project</w:t>
      </w:r>
      <w:r w:rsidR="000A279D" w:rsidRPr="00043245">
        <w:rPr>
          <w:rFonts w:cstheme="minorHAnsi"/>
          <w:sz w:val="20"/>
          <w:szCs w:val="20"/>
        </w:rPr>
        <w:t>. Requirement for asset registers is communicated by DNRME to proponents</w:t>
      </w:r>
      <w:r w:rsidR="00BE0C69" w:rsidRPr="00043245">
        <w:rPr>
          <w:rFonts w:cstheme="minorHAnsi"/>
          <w:sz w:val="20"/>
          <w:szCs w:val="20"/>
        </w:rPr>
        <w:t xml:space="preserve"> during pre-contract discussion</w:t>
      </w:r>
      <w:r w:rsidR="000A279D" w:rsidRPr="00043245">
        <w:rPr>
          <w:rFonts w:cstheme="minorHAnsi"/>
          <w:sz w:val="20"/>
          <w:szCs w:val="20"/>
        </w:rPr>
        <w:t xml:space="preserve"> and proponents are provided with a template.</w:t>
      </w:r>
    </w:p>
    <w:p w14:paraId="6D18C7FC" w14:textId="45DC4D3D" w:rsidR="00E5034B" w:rsidRPr="00043245" w:rsidRDefault="009C5551" w:rsidP="00BE0C69">
      <w:pPr>
        <w:spacing w:before="120" w:after="120" w:line="240" w:lineRule="auto"/>
        <w:rPr>
          <w:rFonts w:cstheme="minorHAnsi"/>
          <w:sz w:val="20"/>
          <w:szCs w:val="20"/>
        </w:rPr>
      </w:pPr>
      <w:r w:rsidRPr="00043245">
        <w:rPr>
          <w:rFonts w:cstheme="minorHAnsi"/>
          <w:sz w:val="20"/>
          <w:szCs w:val="20"/>
        </w:rPr>
        <w:t xml:space="preserve">Through sample testing </w:t>
      </w:r>
      <w:r w:rsidR="00BE0C69" w:rsidRPr="00043245">
        <w:rPr>
          <w:rFonts w:cstheme="minorHAnsi"/>
          <w:sz w:val="20"/>
          <w:szCs w:val="20"/>
        </w:rPr>
        <w:t>KPMG</w:t>
      </w:r>
      <w:r w:rsidRPr="00043245">
        <w:rPr>
          <w:rFonts w:cstheme="minorHAnsi"/>
          <w:sz w:val="20"/>
          <w:szCs w:val="20"/>
        </w:rPr>
        <w:t xml:space="preserve"> could not </w:t>
      </w:r>
      <w:r w:rsidR="00BE0C69" w:rsidRPr="00043245">
        <w:rPr>
          <w:rFonts w:cstheme="minorHAnsi"/>
          <w:sz w:val="20"/>
          <w:szCs w:val="20"/>
        </w:rPr>
        <w:t xml:space="preserve">determine </w:t>
      </w:r>
      <w:r w:rsidRPr="00043245">
        <w:rPr>
          <w:rFonts w:cstheme="minorHAnsi"/>
          <w:sz w:val="20"/>
          <w:szCs w:val="20"/>
        </w:rPr>
        <w:t xml:space="preserve">if asset registers had been obtained by DNRME at the completion of any of the sampled projects. </w:t>
      </w:r>
      <w:r w:rsidR="00E5034B" w:rsidRPr="00043245">
        <w:rPr>
          <w:rFonts w:cstheme="minorHAnsi"/>
          <w:sz w:val="20"/>
          <w:szCs w:val="20"/>
        </w:rPr>
        <w:t xml:space="preserve">DNRME </w:t>
      </w:r>
      <w:r w:rsidR="00F70315" w:rsidRPr="00043245">
        <w:rPr>
          <w:rFonts w:cstheme="minorHAnsi"/>
          <w:sz w:val="20"/>
          <w:szCs w:val="20"/>
        </w:rPr>
        <w:t xml:space="preserve">further </w:t>
      </w:r>
      <w:r w:rsidR="00E5034B" w:rsidRPr="00043245">
        <w:rPr>
          <w:rFonts w:cstheme="minorHAnsi"/>
          <w:sz w:val="20"/>
          <w:szCs w:val="20"/>
        </w:rPr>
        <w:t xml:space="preserve">indicated that </w:t>
      </w:r>
      <w:r w:rsidR="002F7F17" w:rsidRPr="00043245">
        <w:rPr>
          <w:rFonts w:cstheme="minorHAnsi"/>
          <w:sz w:val="20"/>
          <w:szCs w:val="20"/>
        </w:rPr>
        <w:t xml:space="preserve">the </w:t>
      </w:r>
      <w:r w:rsidR="00E5034B" w:rsidRPr="00043245">
        <w:rPr>
          <w:rFonts w:cstheme="minorHAnsi"/>
          <w:sz w:val="20"/>
          <w:szCs w:val="20"/>
        </w:rPr>
        <w:t xml:space="preserve">asset register requirement was not </w:t>
      </w:r>
      <w:r w:rsidR="00F70315" w:rsidRPr="00043245">
        <w:rPr>
          <w:rFonts w:cstheme="minorHAnsi"/>
          <w:sz w:val="20"/>
          <w:szCs w:val="20"/>
        </w:rPr>
        <w:t xml:space="preserve">universally </w:t>
      </w:r>
      <w:r w:rsidR="00E5034B" w:rsidRPr="00043245">
        <w:rPr>
          <w:rFonts w:cstheme="minorHAnsi"/>
          <w:sz w:val="20"/>
          <w:szCs w:val="20"/>
        </w:rPr>
        <w:t xml:space="preserve">enforced. The requirement was included </w:t>
      </w:r>
      <w:r w:rsidR="00FC5F46" w:rsidRPr="00043245">
        <w:rPr>
          <w:rFonts w:cstheme="minorHAnsi"/>
          <w:sz w:val="20"/>
          <w:szCs w:val="20"/>
        </w:rPr>
        <w:t xml:space="preserve">in the </w:t>
      </w:r>
      <w:r w:rsidR="00E5034B" w:rsidRPr="00043245">
        <w:rPr>
          <w:rFonts w:cstheme="minorHAnsi"/>
          <w:sz w:val="20"/>
          <w:szCs w:val="20"/>
        </w:rPr>
        <w:t xml:space="preserve">proponent works agreements at the initiation of the HHWUE project to ensure DNRME could meet its obligation to maintain accurate records of assets purchased. In practice however, it was found that DNRME was better able to meet this requirement through review of documents submitted by the proponent in support of payment claims and other relevant acquittal requirements. The works agreement was not amended to remove the contractual obligation on proponents. </w:t>
      </w:r>
    </w:p>
    <w:p w14:paraId="6ABD029C" w14:textId="77777777" w:rsidR="000267D1" w:rsidRPr="00043245" w:rsidRDefault="00E5034B" w:rsidP="00BE0C69">
      <w:pPr>
        <w:spacing w:before="120" w:after="120" w:line="240" w:lineRule="auto"/>
        <w:rPr>
          <w:rFonts w:cstheme="minorHAnsi"/>
          <w:sz w:val="20"/>
          <w:szCs w:val="20"/>
        </w:rPr>
      </w:pPr>
      <w:r w:rsidRPr="00043245">
        <w:rPr>
          <w:rFonts w:cstheme="minorHAnsi"/>
          <w:sz w:val="20"/>
          <w:szCs w:val="20"/>
        </w:rPr>
        <w:t>Whilst</w:t>
      </w:r>
      <w:r w:rsidR="009C5551" w:rsidRPr="00043245">
        <w:rPr>
          <w:rFonts w:cstheme="minorHAnsi"/>
          <w:sz w:val="20"/>
          <w:szCs w:val="20"/>
        </w:rPr>
        <w:t xml:space="preserve"> the </w:t>
      </w:r>
      <w:r w:rsidRPr="00043245">
        <w:rPr>
          <w:rFonts w:cstheme="minorHAnsi"/>
          <w:sz w:val="20"/>
          <w:szCs w:val="20"/>
        </w:rPr>
        <w:t>works agreement requirements do</w:t>
      </w:r>
      <w:r w:rsidR="009C5551" w:rsidRPr="00043245">
        <w:rPr>
          <w:rFonts w:cstheme="minorHAnsi"/>
          <w:sz w:val="20"/>
          <w:szCs w:val="20"/>
        </w:rPr>
        <w:t xml:space="preserve"> not appear to have been systematically followed </w:t>
      </w:r>
      <w:r w:rsidRPr="00043245">
        <w:rPr>
          <w:rFonts w:cstheme="minorHAnsi"/>
          <w:sz w:val="20"/>
          <w:szCs w:val="20"/>
        </w:rPr>
        <w:t>there did not appear to be a breach of the WMPA.</w:t>
      </w:r>
    </w:p>
    <w:p w14:paraId="701A0272" w14:textId="1E8CA0FA" w:rsidR="00375BC3" w:rsidRPr="00043245" w:rsidRDefault="00375BC3" w:rsidP="00BE0C69">
      <w:pPr>
        <w:pStyle w:val="ListParagraph"/>
        <w:spacing w:before="120" w:after="120" w:line="240" w:lineRule="auto"/>
        <w:ind w:left="0"/>
        <w:contextualSpacing w:val="0"/>
        <w:rPr>
          <w:rFonts w:cstheme="minorHAnsi"/>
          <w:sz w:val="20"/>
          <w:szCs w:val="20"/>
        </w:rPr>
      </w:pPr>
      <w:r w:rsidRPr="00043245">
        <w:rPr>
          <w:rFonts w:cstheme="minorHAnsi"/>
          <w:sz w:val="20"/>
          <w:szCs w:val="20"/>
        </w:rPr>
        <w:t>DNRME should ensure that when designing and/or implementing controls, such as the requirement to submit asset registers, they are commensurate to the associated risks and effort involved in undertaking these activities, and where deemed unnecessary remove them as appropriate.</w:t>
      </w:r>
      <w:r w:rsidR="00F914C2" w:rsidRPr="00043245">
        <w:rPr>
          <w:rFonts w:cstheme="minorHAnsi"/>
          <w:sz w:val="20"/>
          <w:szCs w:val="20"/>
        </w:rPr>
        <w:t xml:space="preserve"> </w:t>
      </w:r>
      <w:r w:rsidR="00E72B52" w:rsidRPr="00043245">
        <w:rPr>
          <w:rFonts w:cstheme="minorHAnsi"/>
          <w:sz w:val="20"/>
          <w:szCs w:val="20"/>
        </w:rPr>
        <w:t xml:space="preserve">DNRME should review </w:t>
      </w:r>
      <w:r w:rsidR="000314AA" w:rsidRPr="00043245">
        <w:rPr>
          <w:rFonts w:cstheme="minorHAnsi"/>
          <w:sz w:val="20"/>
          <w:szCs w:val="20"/>
        </w:rPr>
        <w:t>whether the</w:t>
      </w:r>
      <w:r w:rsidR="001A7C14" w:rsidRPr="00043245">
        <w:rPr>
          <w:rFonts w:cstheme="minorHAnsi"/>
          <w:sz w:val="20"/>
          <w:szCs w:val="20"/>
        </w:rPr>
        <w:t>re is a requirement</w:t>
      </w:r>
      <w:r w:rsidR="000314AA" w:rsidRPr="00043245">
        <w:rPr>
          <w:rFonts w:cstheme="minorHAnsi"/>
          <w:sz w:val="20"/>
          <w:szCs w:val="20"/>
        </w:rPr>
        <w:t xml:space="preserve"> for asset registers </w:t>
      </w:r>
      <w:r w:rsidR="001A7C14" w:rsidRPr="00043245">
        <w:rPr>
          <w:rFonts w:cstheme="minorHAnsi"/>
          <w:sz w:val="20"/>
          <w:szCs w:val="20"/>
        </w:rPr>
        <w:t>to</w:t>
      </w:r>
      <w:r w:rsidR="000314AA" w:rsidRPr="00043245">
        <w:rPr>
          <w:rFonts w:cstheme="minorHAnsi"/>
          <w:sz w:val="20"/>
          <w:szCs w:val="20"/>
        </w:rPr>
        <w:t xml:space="preserve"> be included in proponent works agreements. </w:t>
      </w:r>
    </w:p>
    <w:p w14:paraId="30DCBF35" w14:textId="77777777" w:rsidR="00510322" w:rsidRPr="00043245" w:rsidRDefault="00510322" w:rsidP="000314AA">
      <w:pPr>
        <w:pStyle w:val="Heading2"/>
        <w:keepNext/>
        <w:keepLines/>
        <w:rPr>
          <w:rFonts w:asciiTheme="minorHAnsi" w:hAnsiTheme="minorHAnsi" w:cstheme="minorHAnsi"/>
        </w:rPr>
      </w:pPr>
      <w:bookmarkStart w:id="31" w:name="_Toc528653259"/>
      <w:r w:rsidRPr="00043245">
        <w:rPr>
          <w:rFonts w:asciiTheme="minorHAnsi" w:hAnsiTheme="minorHAnsi" w:cstheme="minorHAnsi"/>
        </w:rPr>
        <w:t>Progress reporting</w:t>
      </w:r>
      <w:bookmarkEnd w:id="31"/>
      <w:r w:rsidRPr="00043245">
        <w:rPr>
          <w:rFonts w:asciiTheme="minorHAnsi" w:hAnsiTheme="minorHAnsi" w:cstheme="minorHAnsi"/>
        </w:rPr>
        <w:t xml:space="preserve">  </w:t>
      </w:r>
    </w:p>
    <w:p w14:paraId="1FA02E65" w14:textId="77777777" w:rsidR="00510322" w:rsidRPr="00043245" w:rsidRDefault="00510322" w:rsidP="000314AA">
      <w:pPr>
        <w:pStyle w:val="ListParagraph"/>
        <w:keepNext/>
        <w:keepLines/>
        <w:spacing w:before="120" w:after="120" w:line="240" w:lineRule="auto"/>
        <w:ind w:left="0"/>
        <w:contextualSpacing w:val="0"/>
        <w:rPr>
          <w:rFonts w:cstheme="minorHAnsi"/>
          <w:sz w:val="20"/>
          <w:szCs w:val="20"/>
        </w:rPr>
      </w:pPr>
      <w:r w:rsidRPr="00043245">
        <w:rPr>
          <w:rFonts w:cstheme="minorHAnsi"/>
          <w:sz w:val="20"/>
          <w:szCs w:val="20"/>
        </w:rPr>
        <w:t xml:space="preserve">Discussions with DNRME indicated that, in practice, progress reports are only required for projects which have commenced works rather than for all projects with executed works agreements. Additionally, DNRME may waive a progress report if they have sufficient knowledge of the progress: i.e. if a proponent has recently submitted a payment claim DNRME may have sufficient information. </w:t>
      </w:r>
    </w:p>
    <w:p w14:paraId="5F209FDF" w14:textId="376D278D" w:rsidR="00510322" w:rsidRPr="00043245" w:rsidRDefault="00510322" w:rsidP="00510322">
      <w:pPr>
        <w:pStyle w:val="ListParagraph"/>
        <w:spacing w:before="120" w:after="120" w:line="240" w:lineRule="auto"/>
        <w:ind w:left="0"/>
        <w:contextualSpacing w:val="0"/>
        <w:rPr>
          <w:rFonts w:cstheme="minorHAnsi"/>
          <w:sz w:val="20"/>
          <w:szCs w:val="20"/>
        </w:rPr>
      </w:pPr>
      <w:r w:rsidRPr="00043245">
        <w:rPr>
          <w:rFonts w:cstheme="minorHAnsi"/>
          <w:sz w:val="20"/>
          <w:szCs w:val="20"/>
        </w:rPr>
        <w:t>For future rounds or projects DNRME should consider</w:t>
      </w:r>
      <w:r w:rsidR="006D4429" w:rsidRPr="00043245">
        <w:rPr>
          <w:rFonts w:cstheme="minorHAnsi"/>
          <w:sz w:val="20"/>
          <w:szCs w:val="20"/>
        </w:rPr>
        <w:t xml:space="preserve"> </w:t>
      </w:r>
      <w:r w:rsidR="008A53F8" w:rsidRPr="00043245">
        <w:rPr>
          <w:rFonts w:cstheme="minorHAnsi"/>
          <w:sz w:val="20"/>
          <w:szCs w:val="20"/>
        </w:rPr>
        <w:t>when</w:t>
      </w:r>
      <w:r w:rsidR="006D4429" w:rsidRPr="00043245">
        <w:rPr>
          <w:rFonts w:cstheme="minorHAnsi"/>
          <w:sz w:val="20"/>
          <w:szCs w:val="20"/>
        </w:rPr>
        <w:t xml:space="preserve"> formal</w:t>
      </w:r>
      <w:r w:rsidRPr="00043245">
        <w:rPr>
          <w:rFonts w:cstheme="minorHAnsi"/>
          <w:sz w:val="20"/>
          <w:szCs w:val="20"/>
        </w:rPr>
        <w:t xml:space="preserve"> </w:t>
      </w:r>
      <w:r w:rsidR="006D4429" w:rsidRPr="00043245">
        <w:rPr>
          <w:rFonts w:cstheme="minorHAnsi"/>
          <w:sz w:val="20"/>
          <w:szCs w:val="20"/>
        </w:rPr>
        <w:t>proponent project progress reporting</w:t>
      </w:r>
      <w:r w:rsidRPr="00043245">
        <w:rPr>
          <w:rFonts w:cstheme="minorHAnsi"/>
          <w:sz w:val="20"/>
          <w:szCs w:val="20"/>
        </w:rPr>
        <w:t xml:space="preserve"> </w:t>
      </w:r>
      <w:r w:rsidR="008A53F8" w:rsidRPr="00043245">
        <w:rPr>
          <w:rFonts w:cstheme="minorHAnsi"/>
          <w:sz w:val="20"/>
          <w:szCs w:val="20"/>
        </w:rPr>
        <w:t>is require</w:t>
      </w:r>
      <w:r w:rsidR="00276030" w:rsidRPr="00043245">
        <w:rPr>
          <w:rFonts w:cstheme="minorHAnsi"/>
          <w:sz w:val="20"/>
          <w:szCs w:val="20"/>
        </w:rPr>
        <w:t>d</w:t>
      </w:r>
      <w:r w:rsidR="008A53F8" w:rsidRPr="00043245">
        <w:rPr>
          <w:rFonts w:cstheme="minorHAnsi"/>
          <w:sz w:val="20"/>
          <w:szCs w:val="20"/>
        </w:rPr>
        <w:t>. DNRME should define the circumstances where formal reporting may not</w:t>
      </w:r>
      <w:r w:rsidR="000C2EEA" w:rsidRPr="00043245">
        <w:rPr>
          <w:rFonts w:cstheme="minorHAnsi"/>
          <w:sz w:val="20"/>
          <w:szCs w:val="20"/>
        </w:rPr>
        <w:t xml:space="preserve"> be</w:t>
      </w:r>
      <w:r w:rsidR="008A53F8" w:rsidRPr="00043245">
        <w:rPr>
          <w:rFonts w:cstheme="minorHAnsi"/>
          <w:sz w:val="20"/>
          <w:szCs w:val="20"/>
        </w:rPr>
        <w:t xml:space="preserve"> required and communicate this to stakeholders involved. </w:t>
      </w:r>
    </w:p>
    <w:p w14:paraId="01A21D49" w14:textId="2E564E6A" w:rsidR="00B443B2" w:rsidRPr="00043245" w:rsidRDefault="00B443B2" w:rsidP="00F74EDA">
      <w:pPr>
        <w:pStyle w:val="Heading2"/>
        <w:rPr>
          <w:rFonts w:asciiTheme="minorHAnsi" w:hAnsiTheme="minorHAnsi" w:cstheme="minorHAnsi"/>
        </w:rPr>
      </w:pPr>
      <w:bookmarkStart w:id="32" w:name="_Toc528653260"/>
      <w:r w:rsidRPr="00043245">
        <w:rPr>
          <w:rFonts w:asciiTheme="minorHAnsi" w:hAnsiTheme="minorHAnsi" w:cstheme="minorHAnsi"/>
        </w:rPr>
        <w:t xml:space="preserve">Conflict of interest </w:t>
      </w:r>
      <w:r w:rsidR="003B33AA" w:rsidRPr="00043245">
        <w:rPr>
          <w:rFonts w:asciiTheme="minorHAnsi" w:hAnsiTheme="minorHAnsi" w:cstheme="minorHAnsi"/>
        </w:rPr>
        <w:t>m</w:t>
      </w:r>
      <w:r w:rsidRPr="00043245">
        <w:rPr>
          <w:rFonts w:asciiTheme="minorHAnsi" w:hAnsiTheme="minorHAnsi" w:cstheme="minorHAnsi"/>
        </w:rPr>
        <w:t>anagement</w:t>
      </w:r>
      <w:bookmarkEnd w:id="32"/>
      <w:r w:rsidRPr="00043245">
        <w:rPr>
          <w:rFonts w:asciiTheme="minorHAnsi" w:hAnsiTheme="minorHAnsi" w:cstheme="minorHAnsi"/>
        </w:rPr>
        <w:t xml:space="preserve"> </w:t>
      </w:r>
    </w:p>
    <w:p w14:paraId="434A22E1" w14:textId="25E66845" w:rsidR="000267D1" w:rsidRPr="00043245" w:rsidRDefault="005773AC" w:rsidP="00BE0C69">
      <w:pPr>
        <w:spacing w:before="120" w:after="120" w:line="240" w:lineRule="auto"/>
        <w:rPr>
          <w:rFonts w:cstheme="minorHAnsi"/>
          <w:sz w:val="20"/>
          <w:szCs w:val="20"/>
        </w:rPr>
      </w:pPr>
      <w:r w:rsidRPr="00043245">
        <w:rPr>
          <w:rFonts w:cstheme="minorHAnsi"/>
          <w:sz w:val="20"/>
          <w:szCs w:val="20"/>
        </w:rPr>
        <w:t>During sample testing</w:t>
      </w:r>
      <w:r w:rsidR="00276030" w:rsidRPr="00043245">
        <w:rPr>
          <w:rFonts w:cstheme="minorHAnsi"/>
          <w:sz w:val="20"/>
          <w:szCs w:val="20"/>
        </w:rPr>
        <w:t>,</w:t>
      </w:r>
      <w:r w:rsidRPr="00043245">
        <w:rPr>
          <w:rFonts w:cstheme="minorHAnsi"/>
          <w:sz w:val="20"/>
          <w:szCs w:val="20"/>
        </w:rPr>
        <w:t xml:space="preserve"> KPMG identified one instance where the irrigation professional utilised by </w:t>
      </w:r>
      <w:r w:rsidR="00E93E78" w:rsidRPr="00043245">
        <w:rPr>
          <w:rFonts w:cstheme="minorHAnsi"/>
          <w:sz w:val="20"/>
          <w:szCs w:val="20"/>
        </w:rPr>
        <w:t>DNRME</w:t>
      </w:r>
      <w:r w:rsidRPr="00043245">
        <w:rPr>
          <w:rFonts w:cstheme="minorHAnsi"/>
          <w:sz w:val="20"/>
          <w:szCs w:val="20"/>
        </w:rPr>
        <w:t xml:space="preserve"> to undertake the pre-works inspection was also used by the proponent to certify the application and develop the commissioning report. A conflict of interest declaration was made </w:t>
      </w:r>
      <w:r w:rsidR="00FC5F46" w:rsidRPr="00043245">
        <w:rPr>
          <w:rFonts w:cstheme="minorHAnsi"/>
          <w:sz w:val="20"/>
          <w:szCs w:val="20"/>
        </w:rPr>
        <w:t xml:space="preserve">by </w:t>
      </w:r>
      <w:r w:rsidR="00BE0C69" w:rsidRPr="00043245">
        <w:rPr>
          <w:rFonts w:cstheme="minorHAnsi"/>
          <w:sz w:val="20"/>
          <w:szCs w:val="20"/>
        </w:rPr>
        <w:t xml:space="preserve">the irrigation professional </w:t>
      </w:r>
      <w:r w:rsidRPr="00043245">
        <w:rPr>
          <w:rFonts w:cstheme="minorHAnsi"/>
          <w:sz w:val="20"/>
          <w:szCs w:val="20"/>
        </w:rPr>
        <w:t>to DNRME stating the assist</w:t>
      </w:r>
      <w:r w:rsidR="00BE0C69" w:rsidRPr="00043245">
        <w:rPr>
          <w:rFonts w:cstheme="minorHAnsi"/>
          <w:sz w:val="20"/>
          <w:szCs w:val="20"/>
        </w:rPr>
        <w:t xml:space="preserve">ance provided to the proponent. </w:t>
      </w:r>
      <w:r w:rsidR="002F7F17" w:rsidRPr="00043245">
        <w:rPr>
          <w:rFonts w:cstheme="minorHAnsi"/>
          <w:sz w:val="20"/>
          <w:szCs w:val="20"/>
        </w:rPr>
        <w:t xml:space="preserve">KPMG, however, </w:t>
      </w:r>
      <w:r w:rsidR="00F70315" w:rsidRPr="00043245">
        <w:rPr>
          <w:rFonts w:cstheme="minorHAnsi"/>
          <w:sz w:val="20"/>
          <w:szCs w:val="20"/>
        </w:rPr>
        <w:t>was</w:t>
      </w:r>
      <w:r w:rsidRPr="00043245">
        <w:rPr>
          <w:rFonts w:cstheme="minorHAnsi"/>
          <w:sz w:val="20"/>
          <w:szCs w:val="20"/>
        </w:rPr>
        <w:t xml:space="preserve"> unable to </w:t>
      </w:r>
      <w:r w:rsidR="006F6214" w:rsidRPr="00043245">
        <w:rPr>
          <w:rFonts w:cstheme="minorHAnsi"/>
          <w:sz w:val="20"/>
          <w:szCs w:val="20"/>
        </w:rPr>
        <w:t xml:space="preserve">sight </w:t>
      </w:r>
      <w:r w:rsidRPr="00043245">
        <w:rPr>
          <w:rFonts w:cstheme="minorHAnsi"/>
          <w:sz w:val="20"/>
          <w:szCs w:val="20"/>
        </w:rPr>
        <w:t xml:space="preserve">evidence </w:t>
      </w:r>
      <w:r w:rsidR="006F6214" w:rsidRPr="00043245">
        <w:rPr>
          <w:rFonts w:cstheme="minorHAnsi"/>
          <w:sz w:val="20"/>
          <w:szCs w:val="20"/>
        </w:rPr>
        <w:t xml:space="preserve">of </w:t>
      </w:r>
      <w:r w:rsidRPr="00043245">
        <w:rPr>
          <w:rFonts w:cstheme="minorHAnsi"/>
          <w:sz w:val="20"/>
          <w:szCs w:val="20"/>
        </w:rPr>
        <w:t xml:space="preserve">how this </w:t>
      </w:r>
      <w:r w:rsidR="00E93E78" w:rsidRPr="00043245">
        <w:rPr>
          <w:rFonts w:cstheme="minorHAnsi"/>
          <w:sz w:val="20"/>
          <w:szCs w:val="20"/>
        </w:rPr>
        <w:t>declared conflict was resolved or managed</w:t>
      </w:r>
      <w:r w:rsidRPr="00043245">
        <w:rPr>
          <w:rFonts w:cstheme="minorHAnsi"/>
          <w:sz w:val="20"/>
          <w:szCs w:val="20"/>
        </w:rPr>
        <w:t xml:space="preserve">. </w:t>
      </w:r>
    </w:p>
    <w:p w14:paraId="0E28F5C6" w14:textId="133AD3F8" w:rsidR="00BE0C69" w:rsidRPr="00043245" w:rsidRDefault="00BE0C69" w:rsidP="00BE0C69">
      <w:pPr>
        <w:spacing w:before="120" w:after="120" w:line="240" w:lineRule="auto"/>
        <w:rPr>
          <w:rFonts w:cstheme="minorHAnsi"/>
          <w:sz w:val="20"/>
          <w:szCs w:val="20"/>
        </w:rPr>
      </w:pPr>
      <w:r w:rsidRPr="00043245">
        <w:rPr>
          <w:rFonts w:cstheme="minorHAnsi"/>
          <w:sz w:val="20"/>
          <w:szCs w:val="20"/>
        </w:rPr>
        <w:t xml:space="preserve">During discussion DNRME asserted that </w:t>
      </w:r>
      <w:r w:rsidR="00FC5F46" w:rsidRPr="00043245">
        <w:rPr>
          <w:rFonts w:cstheme="minorHAnsi"/>
          <w:sz w:val="20"/>
          <w:szCs w:val="20"/>
        </w:rPr>
        <w:t>they</w:t>
      </w:r>
      <w:r w:rsidRPr="00043245">
        <w:rPr>
          <w:rFonts w:cstheme="minorHAnsi"/>
          <w:sz w:val="20"/>
          <w:szCs w:val="20"/>
        </w:rPr>
        <w:t xml:space="preserve"> were aware of the issue and </w:t>
      </w:r>
      <w:r w:rsidR="00FC5F46" w:rsidRPr="00043245">
        <w:rPr>
          <w:rFonts w:cstheme="minorHAnsi"/>
          <w:sz w:val="20"/>
          <w:szCs w:val="20"/>
        </w:rPr>
        <w:t xml:space="preserve">were </w:t>
      </w:r>
      <w:r w:rsidRPr="00043245">
        <w:rPr>
          <w:rFonts w:cstheme="minorHAnsi"/>
          <w:sz w:val="20"/>
          <w:szCs w:val="20"/>
        </w:rPr>
        <w:t>comfortable</w:t>
      </w:r>
      <w:r w:rsidR="00276030" w:rsidRPr="00043245">
        <w:rPr>
          <w:rFonts w:cstheme="minorHAnsi"/>
          <w:sz w:val="20"/>
          <w:szCs w:val="20"/>
        </w:rPr>
        <w:t xml:space="preserve"> that</w:t>
      </w:r>
      <w:r w:rsidRPr="00043245">
        <w:rPr>
          <w:rFonts w:cstheme="minorHAnsi"/>
          <w:sz w:val="20"/>
          <w:szCs w:val="20"/>
        </w:rPr>
        <w:t xml:space="preserve"> no actual conflict was present. DNRME indicated that it was not feasible to utilise other irrigation professionals to undertake the inspection activity</w:t>
      </w:r>
      <w:r w:rsidR="00F70315" w:rsidRPr="00043245">
        <w:rPr>
          <w:rFonts w:cstheme="minorHAnsi"/>
          <w:sz w:val="20"/>
          <w:szCs w:val="20"/>
        </w:rPr>
        <w:t xml:space="preserve"> in this instance</w:t>
      </w:r>
      <w:r w:rsidRPr="00043245">
        <w:rPr>
          <w:rFonts w:cstheme="minorHAnsi"/>
          <w:sz w:val="20"/>
          <w:szCs w:val="20"/>
        </w:rPr>
        <w:t xml:space="preserve"> without significant associated cost or time delays. DNRME ensured all the proponent and irrigation professional documentation was reviewed by DNRME. Additionally, a separate inspection activity was undertaken by DNRME staff.  </w:t>
      </w:r>
    </w:p>
    <w:p w14:paraId="54695850" w14:textId="4BEEDECE" w:rsidR="000267D1" w:rsidRPr="00043245" w:rsidRDefault="005773AC" w:rsidP="00BE0C69">
      <w:pPr>
        <w:spacing w:before="120" w:after="120" w:line="240" w:lineRule="auto"/>
        <w:rPr>
          <w:rFonts w:cstheme="minorHAnsi"/>
          <w:sz w:val="20"/>
          <w:szCs w:val="20"/>
        </w:rPr>
      </w:pPr>
      <w:r w:rsidRPr="00043245">
        <w:rPr>
          <w:rFonts w:cstheme="minorHAnsi"/>
          <w:sz w:val="20"/>
          <w:szCs w:val="20"/>
        </w:rPr>
        <w:t>KPMG acknowledges that there is</w:t>
      </w:r>
      <w:r w:rsidR="002F7F17" w:rsidRPr="00043245">
        <w:rPr>
          <w:rFonts w:cstheme="minorHAnsi"/>
          <w:sz w:val="20"/>
          <w:szCs w:val="20"/>
        </w:rPr>
        <w:t xml:space="preserve"> a</w:t>
      </w:r>
      <w:r w:rsidRPr="00043245">
        <w:rPr>
          <w:rFonts w:cstheme="minorHAnsi"/>
          <w:sz w:val="20"/>
          <w:szCs w:val="20"/>
        </w:rPr>
        <w:t xml:space="preserve"> limited supply of suitably qualified irrigation professionals in the region </w:t>
      </w:r>
      <w:r w:rsidR="006F6214" w:rsidRPr="00043245">
        <w:rPr>
          <w:rFonts w:cstheme="minorHAnsi"/>
          <w:sz w:val="20"/>
          <w:szCs w:val="20"/>
        </w:rPr>
        <w:t xml:space="preserve">where </w:t>
      </w:r>
      <w:r w:rsidRPr="00043245">
        <w:rPr>
          <w:rFonts w:cstheme="minorHAnsi"/>
          <w:sz w:val="20"/>
          <w:szCs w:val="20"/>
        </w:rPr>
        <w:t>HHWUE works take place, and professionals from other areas are often unavailable or their engagement is cost prohibitive.</w:t>
      </w:r>
      <w:r w:rsidR="00BE0C69" w:rsidRPr="00043245">
        <w:rPr>
          <w:rFonts w:cstheme="minorHAnsi"/>
          <w:sz w:val="20"/>
          <w:szCs w:val="20"/>
        </w:rPr>
        <w:t xml:space="preserve"> However</w:t>
      </w:r>
      <w:r w:rsidR="00276030" w:rsidRPr="00043245">
        <w:rPr>
          <w:rFonts w:cstheme="minorHAnsi"/>
          <w:sz w:val="20"/>
          <w:szCs w:val="20"/>
        </w:rPr>
        <w:t>,</w:t>
      </w:r>
      <w:r w:rsidR="00BE0C69" w:rsidRPr="00043245">
        <w:rPr>
          <w:rFonts w:cstheme="minorHAnsi"/>
          <w:sz w:val="20"/>
          <w:szCs w:val="20"/>
        </w:rPr>
        <w:t xml:space="preserve"> to</w:t>
      </w:r>
      <w:r w:rsidRPr="00043245">
        <w:rPr>
          <w:rFonts w:cstheme="minorHAnsi"/>
          <w:sz w:val="20"/>
          <w:szCs w:val="20"/>
        </w:rPr>
        <w:t xml:space="preserve"> ensure declared conflicts are managed and monitored</w:t>
      </w:r>
      <w:r w:rsidR="00BE0C69" w:rsidRPr="00043245">
        <w:rPr>
          <w:rFonts w:cstheme="minorHAnsi"/>
          <w:sz w:val="20"/>
          <w:szCs w:val="20"/>
        </w:rPr>
        <w:t>,</w:t>
      </w:r>
      <w:r w:rsidRPr="00043245">
        <w:rPr>
          <w:rFonts w:cstheme="minorHAnsi"/>
          <w:sz w:val="20"/>
          <w:szCs w:val="20"/>
        </w:rPr>
        <w:t xml:space="preserve"> better practice </w:t>
      </w:r>
      <w:r w:rsidR="00BE0C69" w:rsidRPr="00043245">
        <w:rPr>
          <w:rFonts w:cstheme="minorHAnsi"/>
          <w:sz w:val="20"/>
          <w:szCs w:val="20"/>
        </w:rPr>
        <w:t>suggests the steps that were taken to mitigate the risk of a declared conflict of interest should be clearly documented</w:t>
      </w:r>
      <w:r w:rsidRPr="00043245">
        <w:rPr>
          <w:rFonts w:cstheme="minorHAnsi"/>
          <w:sz w:val="20"/>
          <w:szCs w:val="20"/>
        </w:rPr>
        <w:t>. The level of detail</w:t>
      </w:r>
      <w:r w:rsidR="00F70315" w:rsidRPr="00043245">
        <w:rPr>
          <w:rFonts w:cstheme="minorHAnsi"/>
          <w:sz w:val="20"/>
          <w:szCs w:val="20"/>
        </w:rPr>
        <w:t xml:space="preserve"> documented</w:t>
      </w:r>
      <w:r w:rsidRPr="00043245">
        <w:rPr>
          <w:rFonts w:cstheme="minorHAnsi"/>
          <w:sz w:val="20"/>
          <w:szCs w:val="20"/>
        </w:rPr>
        <w:t xml:space="preserve"> should be commensurate with the risk associated with the disclosed conflict(s).</w:t>
      </w:r>
    </w:p>
    <w:p w14:paraId="686DD56B" w14:textId="2567F76E" w:rsidR="005773AC" w:rsidRPr="00043245" w:rsidRDefault="000267D1" w:rsidP="005773AC">
      <w:pPr>
        <w:rPr>
          <w:rFonts w:cstheme="minorHAnsi"/>
          <w:sz w:val="20"/>
          <w:szCs w:val="20"/>
        </w:rPr>
      </w:pPr>
      <w:r w:rsidRPr="00043245">
        <w:rPr>
          <w:rFonts w:cstheme="minorHAnsi"/>
          <w:sz w:val="20"/>
          <w:szCs w:val="20"/>
        </w:rPr>
        <w:t>DNRME should ensure there are appropriate processes in place to manage identified</w:t>
      </w:r>
      <w:r w:rsidR="00F70315" w:rsidRPr="00043245">
        <w:rPr>
          <w:rFonts w:cstheme="minorHAnsi"/>
          <w:sz w:val="20"/>
          <w:szCs w:val="20"/>
        </w:rPr>
        <w:t xml:space="preserve"> or declared</w:t>
      </w:r>
      <w:r w:rsidRPr="00043245">
        <w:rPr>
          <w:rFonts w:cstheme="minorHAnsi"/>
          <w:sz w:val="20"/>
          <w:szCs w:val="20"/>
        </w:rPr>
        <w:t xml:space="preserve"> conflicts of interest, including the documentation of any associated decisions and follow up. </w:t>
      </w:r>
      <w:r w:rsidR="00BE0C69" w:rsidRPr="00043245">
        <w:rPr>
          <w:rFonts w:cstheme="minorHAnsi"/>
          <w:sz w:val="20"/>
          <w:szCs w:val="20"/>
        </w:rPr>
        <w:t>Where this e</w:t>
      </w:r>
      <w:r w:rsidRPr="00043245">
        <w:rPr>
          <w:rFonts w:cstheme="minorHAnsi"/>
          <w:sz w:val="20"/>
          <w:szCs w:val="20"/>
        </w:rPr>
        <w:t>vidence is not available</w:t>
      </w:r>
      <w:r w:rsidR="00BE0C69" w:rsidRPr="00043245">
        <w:rPr>
          <w:rFonts w:cstheme="minorHAnsi"/>
          <w:sz w:val="20"/>
          <w:szCs w:val="20"/>
        </w:rPr>
        <w:t>, D</w:t>
      </w:r>
      <w:r w:rsidR="005F3CB8" w:rsidRPr="00043245">
        <w:rPr>
          <w:rFonts w:cstheme="minorHAnsi"/>
          <w:sz w:val="20"/>
          <w:szCs w:val="20"/>
        </w:rPr>
        <w:t>N</w:t>
      </w:r>
      <w:r w:rsidR="00BE0C69" w:rsidRPr="00043245">
        <w:rPr>
          <w:rFonts w:cstheme="minorHAnsi"/>
          <w:sz w:val="20"/>
          <w:szCs w:val="20"/>
        </w:rPr>
        <w:t xml:space="preserve">RME may </w:t>
      </w:r>
      <w:r w:rsidR="001A7C14" w:rsidRPr="00043245">
        <w:rPr>
          <w:rFonts w:cstheme="minorHAnsi"/>
          <w:sz w:val="20"/>
          <w:szCs w:val="20"/>
        </w:rPr>
        <w:t>have difficultly</w:t>
      </w:r>
      <w:r w:rsidRPr="00043245">
        <w:rPr>
          <w:rFonts w:cstheme="minorHAnsi"/>
          <w:sz w:val="20"/>
          <w:szCs w:val="20"/>
        </w:rPr>
        <w:t xml:space="preserve"> </w:t>
      </w:r>
      <w:r w:rsidR="00BE0C69" w:rsidRPr="00043245">
        <w:rPr>
          <w:rFonts w:cstheme="minorHAnsi"/>
          <w:sz w:val="20"/>
          <w:szCs w:val="20"/>
        </w:rPr>
        <w:t>justify</w:t>
      </w:r>
      <w:r w:rsidR="001A7C14" w:rsidRPr="00043245">
        <w:rPr>
          <w:rFonts w:cstheme="minorHAnsi"/>
          <w:sz w:val="20"/>
          <w:szCs w:val="20"/>
        </w:rPr>
        <w:t>ing</w:t>
      </w:r>
      <w:r w:rsidR="00BE0C69" w:rsidRPr="00043245">
        <w:rPr>
          <w:rFonts w:cstheme="minorHAnsi"/>
          <w:sz w:val="20"/>
          <w:szCs w:val="20"/>
        </w:rPr>
        <w:t xml:space="preserve"> or </w:t>
      </w:r>
      <w:r w:rsidRPr="00043245">
        <w:rPr>
          <w:rFonts w:cstheme="minorHAnsi"/>
          <w:sz w:val="20"/>
          <w:szCs w:val="20"/>
        </w:rPr>
        <w:t>support</w:t>
      </w:r>
      <w:r w:rsidR="001A7C14" w:rsidRPr="00043245">
        <w:rPr>
          <w:rFonts w:cstheme="minorHAnsi"/>
          <w:sz w:val="20"/>
          <w:szCs w:val="20"/>
        </w:rPr>
        <w:t>ing</w:t>
      </w:r>
      <w:r w:rsidRPr="00043245">
        <w:rPr>
          <w:rFonts w:cstheme="minorHAnsi"/>
          <w:sz w:val="20"/>
          <w:szCs w:val="20"/>
        </w:rPr>
        <w:t xml:space="preserve"> decision</w:t>
      </w:r>
      <w:r w:rsidR="00BE0C69" w:rsidRPr="00043245">
        <w:rPr>
          <w:rFonts w:cstheme="minorHAnsi"/>
          <w:sz w:val="20"/>
          <w:szCs w:val="20"/>
        </w:rPr>
        <w:t>s</w:t>
      </w:r>
      <w:r w:rsidRPr="00043245">
        <w:rPr>
          <w:rFonts w:cstheme="minorHAnsi"/>
          <w:sz w:val="20"/>
          <w:szCs w:val="20"/>
        </w:rPr>
        <w:t xml:space="preserve"> </w:t>
      </w:r>
      <w:r w:rsidR="00BE0C69" w:rsidRPr="00043245">
        <w:rPr>
          <w:rFonts w:cstheme="minorHAnsi"/>
          <w:sz w:val="20"/>
          <w:szCs w:val="20"/>
        </w:rPr>
        <w:t>regarding perceived or actual conflicts</w:t>
      </w:r>
      <w:r w:rsidRPr="00043245">
        <w:rPr>
          <w:rFonts w:cstheme="minorHAnsi"/>
          <w:sz w:val="20"/>
          <w:szCs w:val="20"/>
        </w:rPr>
        <w:t>.</w:t>
      </w:r>
    </w:p>
    <w:p w14:paraId="58A15A56" w14:textId="77777777" w:rsidR="00016BE6" w:rsidRPr="00043245" w:rsidRDefault="0093656A" w:rsidP="00F74EDA">
      <w:pPr>
        <w:pStyle w:val="Heading2"/>
        <w:rPr>
          <w:rFonts w:asciiTheme="minorHAnsi" w:hAnsiTheme="minorHAnsi" w:cstheme="minorHAnsi"/>
        </w:rPr>
      </w:pPr>
      <w:bookmarkStart w:id="33" w:name="_Toc522868881"/>
      <w:bookmarkStart w:id="34" w:name="_Toc522868885"/>
      <w:bookmarkStart w:id="35" w:name="_Toc528653261"/>
      <w:bookmarkEnd w:id="33"/>
      <w:bookmarkEnd w:id="34"/>
      <w:r w:rsidRPr="00043245">
        <w:rPr>
          <w:rFonts w:asciiTheme="minorHAnsi" w:hAnsiTheme="minorHAnsi" w:cstheme="minorHAnsi"/>
        </w:rPr>
        <w:t>Compliance plans</w:t>
      </w:r>
      <w:bookmarkEnd w:id="35"/>
      <w:r w:rsidRPr="00043245">
        <w:rPr>
          <w:rFonts w:asciiTheme="minorHAnsi" w:hAnsiTheme="minorHAnsi" w:cstheme="minorHAnsi"/>
        </w:rPr>
        <w:t xml:space="preserve"> </w:t>
      </w:r>
    </w:p>
    <w:p w14:paraId="411387BC" w14:textId="2BD297B9" w:rsidR="00E5034B" w:rsidRPr="00043245" w:rsidRDefault="00E5034B" w:rsidP="00BE0C69">
      <w:pPr>
        <w:pStyle w:val="ListParagraph"/>
        <w:spacing w:before="120" w:after="120" w:line="240" w:lineRule="auto"/>
        <w:ind w:left="0"/>
        <w:contextualSpacing w:val="0"/>
        <w:rPr>
          <w:rFonts w:cstheme="minorHAnsi"/>
          <w:sz w:val="20"/>
          <w:szCs w:val="20"/>
        </w:rPr>
      </w:pPr>
      <w:r w:rsidRPr="00043245">
        <w:rPr>
          <w:rFonts w:cstheme="minorHAnsi"/>
          <w:sz w:val="20"/>
          <w:szCs w:val="20"/>
        </w:rPr>
        <w:t>D</w:t>
      </w:r>
      <w:r w:rsidR="007174A1" w:rsidRPr="00043245">
        <w:rPr>
          <w:rFonts w:cstheme="minorHAnsi"/>
          <w:sz w:val="20"/>
          <w:szCs w:val="20"/>
        </w:rPr>
        <w:t xml:space="preserve">uring sample testing three instances were identified where compliance plans were required </w:t>
      </w:r>
      <w:r w:rsidR="00D04EE0" w:rsidRPr="00043245">
        <w:rPr>
          <w:rFonts w:cstheme="minorHAnsi"/>
          <w:sz w:val="20"/>
          <w:szCs w:val="20"/>
        </w:rPr>
        <w:t xml:space="preserve">in </w:t>
      </w:r>
      <w:r w:rsidR="007174A1" w:rsidRPr="00043245">
        <w:rPr>
          <w:rFonts w:cstheme="minorHAnsi"/>
          <w:sz w:val="20"/>
          <w:szCs w:val="20"/>
        </w:rPr>
        <w:t xml:space="preserve">the </w:t>
      </w:r>
      <w:r w:rsidRPr="00043245">
        <w:rPr>
          <w:rFonts w:cstheme="minorHAnsi"/>
          <w:sz w:val="20"/>
          <w:szCs w:val="20"/>
        </w:rPr>
        <w:t>proponent</w:t>
      </w:r>
      <w:r w:rsidR="00D04EE0" w:rsidRPr="00043245">
        <w:rPr>
          <w:rFonts w:cstheme="minorHAnsi"/>
          <w:sz w:val="20"/>
          <w:szCs w:val="20"/>
        </w:rPr>
        <w:t>’s</w:t>
      </w:r>
      <w:r w:rsidRPr="00043245">
        <w:rPr>
          <w:rFonts w:cstheme="minorHAnsi"/>
          <w:sz w:val="20"/>
          <w:szCs w:val="20"/>
        </w:rPr>
        <w:t xml:space="preserve"> </w:t>
      </w:r>
      <w:r w:rsidR="007174A1" w:rsidRPr="00043245">
        <w:rPr>
          <w:rFonts w:cstheme="minorHAnsi"/>
          <w:sz w:val="20"/>
          <w:szCs w:val="20"/>
        </w:rPr>
        <w:t>works agreement</w:t>
      </w:r>
      <w:r w:rsidR="00510322" w:rsidRPr="00043245">
        <w:rPr>
          <w:rFonts w:cstheme="minorHAnsi"/>
          <w:sz w:val="20"/>
          <w:szCs w:val="20"/>
        </w:rPr>
        <w:t>,</w:t>
      </w:r>
      <w:r w:rsidR="007174A1" w:rsidRPr="00043245">
        <w:rPr>
          <w:rFonts w:cstheme="minorHAnsi"/>
          <w:sz w:val="20"/>
          <w:szCs w:val="20"/>
        </w:rPr>
        <w:t xml:space="preserve"> </w:t>
      </w:r>
      <w:r w:rsidR="00D04EE0" w:rsidRPr="00043245">
        <w:rPr>
          <w:rFonts w:cstheme="minorHAnsi"/>
          <w:sz w:val="20"/>
          <w:szCs w:val="20"/>
        </w:rPr>
        <w:t xml:space="preserve">which </w:t>
      </w:r>
      <w:r w:rsidR="007174A1" w:rsidRPr="00043245">
        <w:rPr>
          <w:rFonts w:cstheme="minorHAnsi"/>
          <w:sz w:val="20"/>
          <w:szCs w:val="20"/>
        </w:rPr>
        <w:t xml:space="preserve">were not completed. In addition, where compliance plans were </w:t>
      </w:r>
      <w:r w:rsidRPr="00043245">
        <w:rPr>
          <w:rFonts w:cstheme="minorHAnsi"/>
          <w:sz w:val="20"/>
          <w:szCs w:val="20"/>
        </w:rPr>
        <w:t>developed</w:t>
      </w:r>
      <w:r w:rsidR="007174A1" w:rsidRPr="00043245">
        <w:rPr>
          <w:rFonts w:cstheme="minorHAnsi"/>
          <w:sz w:val="20"/>
          <w:szCs w:val="20"/>
        </w:rPr>
        <w:t xml:space="preserve"> they contained minimal information and did not</w:t>
      </w:r>
      <w:r w:rsidRPr="00043245">
        <w:rPr>
          <w:rFonts w:cstheme="minorHAnsi"/>
          <w:sz w:val="20"/>
          <w:szCs w:val="20"/>
        </w:rPr>
        <w:t xml:space="preserve"> clearly</w:t>
      </w:r>
      <w:r w:rsidR="007174A1" w:rsidRPr="00043245">
        <w:rPr>
          <w:rFonts w:cstheme="minorHAnsi"/>
          <w:sz w:val="20"/>
          <w:szCs w:val="20"/>
        </w:rPr>
        <w:t xml:space="preserve"> outline actions or proposed future activity.  </w:t>
      </w:r>
    </w:p>
    <w:p w14:paraId="254AFFC1" w14:textId="3B0E0C05" w:rsidR="007174A1" w:rsidRPr="00043245" w:rsidRDefault="00F70315" w:rsidP="00BE0C69">
      <w:pPr>
        <w:pStyle w:val="ListParagraph"/>
        <w:spacing w:before="120" w:after="120" w:line="240" w:lineRule="auto"/>
        <w:ind w:left="0"/>
        <w:contextualSpacing w:val="0"/>
        <w:rPr>
          <w:rFonts w:cstheme="minorHAnsi"/>
          <w:sz w:val="20"/>
          <w:szCs w:val="20"/>
        </w:rPr>
      </w:pPr>
      <w:r w:rsidRPr="00043245">
        <w:rPr>
          <w:rFonts w:cstheme="minorHAnsi"/>
          <w:sz w:val="20"/>
          <w:szCs w:val="20"/>
        </w:rPr>
        <w:t xml:space="preserve">Discussions with DNRME indicated that the inclusion of the compliance plan as a contractual requirement was intended to indicate where proponents require specific approvals for works to continue, and provide the </w:t>
      </w:r>
      <w:r w:rsidR="00D04EE0" w:rsidRPr="00043245">
        <w:rPr>
          <w:rFonts w:cstheme="minorHAnsi"/>
          <w:sz w:val="20"/>
          <w:szCs w:val="20"/>
        </w:rPr>
        <w:t xml:space="preserve">means </w:t>
      </w:r>
      <w:r w:rsidRPr="00043245">
        <w:rPr>
          <w:rFonts w:cstheme="minorHAnsi"/>
          <w:sz w:val="20"/>
          <w:szCs w:val="20"/>
        </w:rPr>
        <w:t xml:space="preserve">for DNRME to follow progress on these. It was not intended </w:t>
      </w:r>
      <w:r w:rsidR="007B612D" w:rsidRPr="00043245">
        <w:rPr>
          <w:rFonts w:cstheme="minorHAnsi"/>
          <w:sz w:val="20"/>
          <w:szCs w:val="20"/>
        </w:rPr>
        <w:t>as evidence of compliance with</w:t>
      </w:r>
      <w:r w:rsidRPr="00043245">
        <w:rPr>
          <w:rFonts w:cstheme="minorHAnsi"/>
          <w:sz w:val="20"/>
          <w:szCs w:val="20"/>
        </w:rPr>
        <w:t xml:space="preserve"> </w:t>
      </w:r>
      <w:r w:rsidR="00C60159" w:rsidRPr="00043245">
        <w:rPr>
          <w:rFonts w:cstheme="minorHAnsi"/>
          <w:sz w:val="20"/>
          <w:szCs w:val="20"/>
        </w:rPr>
        <w:t>legislative obligations</w:t>
      </w:r>
      <w:r w:rsidRPr="00043245">
        <w:rPr>
          <w:rFonts w:cstheme="minorHAnsi"/>
          <w:sz w:val="20"/>
          <w:szCs w:val="20"/>
        </w:rPr>
        <w:t xml:space="preserve">.  </w:t>
      </w:r>
      <w:r w:rsidR="007B612D" w:rsidRPr="00043245">
        <w:rPr>
          <w:rFonts w:cstheme="minorHAnsi"/>
          <w:sz w:val="20"/>
          <w:szCs w:val="20"/>
        </w:rPr>
        <w:t>DNRME highlighted that i</w:t>
      </w:r>
      <w:r w:rsidRPr="00043245">
        <w:rPr>
          <w:rFonts w:cstheme="minorHAnsi"/>
          <w:sz w:val="20"/>
          <w:szCs w:val="20"/>
        </w:rPr>
        <w:t xml:space="preserve">n practice most works </w:t>
      </w:r>
      <w:r w:rsidR="007B612D" w:rsidRPr="00043245">
        <w:rPr>
          <w:rFonts w:cstheme="minorHAnsi"/>
          <w:sz w:val="20"/>
          <w:szCs w:val="20"/>
        </w:rPr>
        <w:t>were not of a nature that required complex approvals, or if so DNRME was able to obtain internal checks, as such</w:t>
      </w:r>
      <w:r w:rsidRPr="00043245">
        <w:rPr>
          <w:rFonts w:cstheme="minorHAnsi"/>
          <w:sz w:val="20"/>
          <w:szCs w:val="20"/>
        </w:rPr>
        <w:t xml:space="preserve"> compliance plans were rarely utilised for their intended purpose. DNRME indicated that the compliance plan requirements should have been reviewed further once this was identified. It was also communicated that</w:t>
      </w:r>
      <w:r w:rsidR="007174A1" w:rsidRPr="00043245">
        <w:rPr>
          <w:rFonts w:cstheme="minorHAnsi"/>
          <w:sz w:val="20"/>
          <w:szCs w:val="20"/>
        </w:rPr>
        <w:t xml:space="preserve"> in some instances the requirement for compliance plans were incorrectly included in works agreements as an administrative error and as such the scope of works did not warrant a compliance plan.  </w:t>
      </w:r>
    </w:p>
    <w:p w14:paraId="49425B64" w14:textId="77777777" w:rsidR="00E40F8C" w:rsidRPr="00043245" w:rsidRDefault="00F70315" w:rsidP="00BE0C69">
      <w:pPr>
        <w:pStyle w:val="ListParagraph"/>
        <w:spacing w:before="120" w:after="120" w:line="240" w:lineRule="auto"/>
        <w:ind w:left="0"/>
        <w:contextualSpacing w:val="0"/>
        <w:rPr>
          <w:rFonts w:cstheme="minorHAnsi"/>
          <w:sz w:val="20"/>
          <w:szCs w:val="20"/>
        </w:rPr>
      </w:pPr>
      <w:r w:rsidRPr="00043245">
        <w:rPr>
          <w:rFonts w:cstheme="minorHAnsi"/>
          <w:sz w:val="20"/>
          <w:szCs w:val="20"/>
        </w:rPr>
        <w:t>When designing and/or implementing controls, such as compliance plans, DNRME should ensure:</w:t>
      </w:r>
    </w:p>
    <w:p w14:paraId="11B8E1B9" w14:textId="77777777" w:rsidR="00E40F8C" w:rsidRPr="00043245" w:rsidRDefault="00E40F8C" w:rsidP="00E40F8C">
      <w:pPr>
        <w:pStyle w:val="ListParagraph"/>
        <w:numPr>
          <w:ilvl w:val="0"/>
          <w:numId w:val="33"/>
        </w:numPr>
        <w:spacing w:before="120" w:after="120" w:line="240" w:lineRule="auto"/>
        <w:rPr>
          <w:rFonts w:cstheme="minorHAnsi"/>
          <w:sz w:val="20"/>
          <w:szCs w:val="20"/>
        </w:rPr>
      </w:pPr>
      <w:r w:rsidRPr="00043245">
        <w:rPr>
          <w:rFonts w:cstheme="minorHAnsi"/>
          <w:sz w:val="20"/>
          <w:szCs w:val="20"/>
        </w:rPr>
        <w:t>The purpose of compliance plan</w:t>
      </w:r>
      <w:r w:rsidR="00F70315" w:rsidRPr="00043245">
        <w:rPr>
          <w:rFonts w:cstheme="minorHAnsi"/>
          <w:sz w:val="20"/>
          <w:szCs w:val="20"/>
        </w:rPr>
        <w:t>s is clearly articulated</w:t>
      </w:r>
      <w:r w:rsidRPr="00043245">
        <w:rPr>
          <w:rFonts w:cstheme="minorHAnsi"/>
          <w:sz w:val="20"/>
          <w:szCs w:val="20"/>
        </w:rPr>
        <w:t xml:space="preserve"> to avoid misinterpretation of the requirements;</w:t>
      </w:r>
    </w:p>
    <w:p w14:paraId="7CB83A3D" w14:textId="77777777" w:rsidR="00E40F8C" w:rsidRPr="00043245" w:rsidRDefault="00FC5F46" w:rsidP="00E40F8C">
      <w:pPr>
        <w:pStyle w:val="ListParagraph"/>
        <w:numPr>
          <w:ilvl w:val="0"/>
          <w:numId w:val="33"/>
        </w:numPr>
        <w:spacing w:before="120" w:after="120" w:line="240" w:lineRule="auto"/>
        <w:rPr>
          <w:rFonts w:cstheme="minorHAnsi"/>
          <w:sz w:val="20"/>
          <w:szCs w:val="20"/>
        </w:rPr>
      </w:pPr>
      <w:r w:rsidRPr="00043245">
        <w:rPr>
          <w:rFonts w:cstheme="minorHAnsi"/>
          <w:sz w:val="20"/>
          <w:szCs w:val="20"/>
        </w:rPr>
        <w:t>T</w:t>
      </w:r>
      <w:r w:rsidR="00F70315" w:rsidRPr="00043245">
        <w:rPr>
          <w:rFonts w:cstheme="minorHAnsi"/>
          <w:sz w:val="20"/>
          <w:szCs w:val="20"/>
        </w:rPr>
        <w:t xml:space="preserve">he </w:t>
      </w:r>
      <w:r w:rsidR="00E40F8C" w:rsidRPr="00043245">
        <w:rPr>
          <w:rFonts w:cstheme="minorHAnsi"/>
          <w:sz w:val="20"/>
          <w:szCs w:val="20"/>
        </w:rPr>
        <w:t xml:space="preserve">circumstances </w:t>
      </w:r>
      <w:r w:rsidR="00F70315" w:rsidRPr="00043245">
        <w:rPr>
          <w:rFonts w:cstheme="minorHAnsi"/>
          <w:sz w:val="20"/>
          <w:szCs w:val="20"/>
        </w:rPr>
        <w:t xml:space="preserve">under which a compliance plan </w:t>
      </w:r>
      <w:r w:rsidR="00E40F8C" w:rsidRPr="00043245">
        <w:rPr>
          <w:rFonts w:cstheme="minorHAnsi"/>
          <w:sz w:val="20"/>
          <w:szCs w:val="20"/>
        </w:rPr>
        <w:t>may be required</w:t>
      </w:r>
      <w:r w:rsidR="00F70315" w:rsidRPr="00043245">
        <w:rPr>
          <w:rFonts w:cstheme="minorHAnsi"/>
          <w:sz w:val="20"/>
          <w:szCs w:val="20"/>
        </w:rPr>
        <w:t xml:space="preserve"> is documented</w:t>
      </w:r>
      <w:r w:rsidR="00E40F8C" w:rsidRPr="00043245">
        <w:rPr>
          <w:rFonts w:cstheme="minorHAnsi"/>
          <w:sz w:val="20"/>
          <w:szCs w:val="20"/>
        </w:rPr>
        <w:t xml:space="preserve">; and </w:t>
      </w:r>
    </w:p>
    <w:p w14:paraId="429F33AA" w14:textId="77777777" w:rsidR="00E40F8C" w:rsidRPr="00043245" w:rsidRDefault="00E40F8C" w:rsidP="00E40F8C">
      <w:pPr>
        <w:pStyle w:val="ListParagraph"/>
        <w:numPr>
          <w:ilvl w:val="0"/>
          <w:numId w:val="33"/>
        </w:numPr>
        <w:spacing w:before="120" w:after="120" w:line="240" w:lineRule="auto"/>
        <w:contextualSpacing w:val="0"/>
        <w:rPr>
          <w:rFonts w:cstheme="minorHAnsi"/>
          <w:sz w:val="20"/>
          <w:szCs w:val="20"/>
        </w:rPr>
      </w:pPr>
      <w:r w:rsidRPr="00043245">
        <w:rPr>
          <w:rFonts w:cstheme="minorHAnsi"/>
          <w:sz w:val="20"/>
          <w:szCs w:val="20"/>
        </w:rPr>
        <w:t>It is applied consistently</w:t>
      </w:r>
      <w:r w:rsidR="00F70315" w:rsidRPr="00043245">
        <w:rPr>
          <w:rFonts w:cstheme="minorHAnsi"/>
          <w:sz w:val="20"/>
          <w:szCs w:val="20"/>
        </w:rPr>
        <w:t xml:space="preserve"> across proponents</w:t>
      </w:r>
      <w:r w:rsidRPr="00043245">
        <w:rPr>
          <w:rFonts w:cstheme="minorHAnsi"/>
          <w:sz w:val="20"/>
          <w:szCs w:val="20"/>
        </w:rPr>
        <w:t xml:space="preserve">. </w:t>
      </w:r>
    </w:p>
    <w:p w14:paraId="50B1F943" w14:textId="77777777" w:rsidR="003650DE" w:rsidRPr="00043245" w:rsidRDefault="003650DE" w:rsidP="00C95FF7">
      <w:pPr>
        <w:pStyle w:val="Heading2"/>
        <w:keepNext/>
        <w:rPr>
          <w:rFonts w:asciiTheme="minorHAnsi" w:hAnsiTheme="minorHAnsi" w:cstheme="minorHAnsi"/>
        </w:rPr>
      </w:pPr>
      <w:bookmarkStart w:id="36" w:name="_Toc528653262"/>
      <w:r w:rsidRPr="00043245">
        <w:rPr>
          <w:rFonts w:asciiTheme="minorHAnsi" w:hAnsiTheme="minorHAnsi" w:cstheme="minorHAnsi"/>
        </w:rPr>
        <w:t>Insurance certificates of currency</w:t>
      </w:r>
      <w:bookmarkEnd w:id="36"/>
    </w:p>
    <w:p w14:paraId="56B45402" w14:textId="4F877C08" w:rsidR="003650DE" w:rsidRPr="00043245" w:rsidRDefault="000B2AF6" w:rsidP="00C95FF7">
      <w:pPr>
        <w:keepNext/>
        <w:autoSpaceDE w:val="0"/>
        <w:autoSpaceDN w:val="0"/>
        <w:adjustRightInd w:val="0"/>
        <w:spacing w:after="120" w:line="240" w:lineRule="auto"/>
        <w:rPr>
          <w:rFonts w:cstheme="minorHAnsi"/>
          <w:sz w:val="20"/>
          <w:szCs w:val="20"/>
        </w:rPr>
      </w:pPr>
      <w:r w:rsidRPr="00043245">
        <w:rPr>
          <w:rFonts w:cstheme="minorHAnsi"/>
          <w:sz w:val="20"/>
          <w:szCs w:val="20"/>
        </w:rPr>
        <w:t>As noted in Section 3.7</w:t>
      </w:r>
      <w:r w:rsidR="00FF455B" w:rsidRPr="00043245">
        <w:rPr>
          <w:rFonts w:cstheme="minorHAnsi"/>
          <w:sz w:val="20"/>
          <w:szCs w:val="20"/>
        </w:rPr>
        <w:t>,</w:t>
      </w:r>
      <w:r w:rsidRPr="00043245">
        <w:rPr>
          <w:rFonts w:cstheme="minorHAnsi"/>
          <w:sz w:val="20"/>
          <w:szCs w:val="20"/>
        </w:rPr>
        <w:t xml:space="preserve"> proponents must lodge a copy with DNRME at the commencement of their agreement (within 28 days of signing) as well as evidence of policy renewal before its anniversary. </w:t>
      </w:r>
      <w:r w:rsidR="003650DE" w:rsidRPr="00043245">
        <w:rPr>
          <w:rFonts w:cstheme="minorHAnsi"/>
          <w:sz w:val="20"/>
          <w:szCs w:val="20"/>
        </w:rPr>
        <w:t>During sample testing KPMG identified:</w:t>
      </w:r>
    </w:p>
    <w:p w14:paraId="5F07B44E" w14:textId="335454DC" w:rsidR="003650DE" w:rsidRPr="00043245" w:rsidRDefault="003650DE" w:rsidP="003650DE">
      <w:pPr>
        <w:pStyle w:val="ListParagraph"/>
        <w:numPr>
          <w:ilvl w:val="0"/>
          <w:numId w:val="37"/>
        </w:numPr>
        <w:autoSpaceDE w:val="0"/>
        <w:autoSpaceDN w:val="0"/>
        <w:adjustRightInd w:val="0"/>
        <w:spacing w:after="120" w:line="240" w:lineRule="auto"/>
        <w:rPr>
          <w:rFonts w:cstheme="minorHAnsi"/>
          <w:sz w:val="20"/>
          <w:szCs w:val="20"/>
        </w:rPr>
      </w:pPr>
      <w:r w:rsidRPr="00043245">
        <w:rPr>
          <w:rFonts w:cstheme="minorHAnsi"/>
          <w:sz w:val="20"/>
          <w:szCs w:val="20"/>
        </w:rPr>
        <w:t>Seven projects missing evidence of public liability insurance for the full</w:t>
      </w:r>
      <w:r w:rsidR="00C60159" w:rsidRPr="00043245">
        <w:rPr>
          <w:rFonts w:cstheme="minorHAnsi"/>
          <w:sz w:val="20"/>
          <w:szCs w:val="20"/>
        </w:rPr>
        <w:t>/part</w:t>
      </w:r>
      <w:r w:rsidRPr="00043245">
        <w:rPr>
          <w:rFonts w:cstheme="minorHAnsi"/>
          <w:sz w:val="20"/>
          <w:szCs w:val="20"/>
        </w:rPr>
        <w:t xml:space="preserve"> period of the work</w:t>
      </w:r>
      <w:r w:rsidR="00C60159" w:rsidRPr="00043245">
        <w:rPr>
          <w:rFonts w:cstheme="minorHAnsi"/>
          <w:sz w:val="20"/>
          <w:szCs w:val="20"/>
        </w:rPr>
        <w:t>s</w:t>
      </w:r>
      <w:r w:rsidRPr="00043245">
        <w:rPr>
          <w:rFonts w:cstheme="minorHAnsi"/>
          <w:sz w:val="20"/>
          <w:szCs w:val="20"/>
        </w:rPr>
        <w:t xml:space="preserve"> agreement; and </w:t>
      </w:r>
    </w:p>
    <w:p w14:paraId="459CFD89" w14:textId="3F6184B6" w:rsidR="003650DE" w:rsidRPr="00043245" w:rsidRDefault="003650DE" w:rsidP="003650DE">
      <w:pPr>
        <w:pStyle w:val="ListParagraph"/>
        <w:numPr>
          <w:ilvl w:val="0"/>
          <w:numId w:val="37"/>
        </w:numPr>
        <w:autoSpaceDE w:val="0"/>
        <w:autoSpaceDN w:val="0"/>
        <w:adjustRightInd w:val="0"/>
        <w:spacing w:after="120" w:line="240" w:lineRule="auto"/>
        <w:rPr>
          <w:rFonts w:cstheme="minorHAnsi"/>
          <w:sz w:val="20"/>
          <w:szCs w:val="20"/>
        </w:rPr>
      </w:pPr>
      <w:r w:rsidRPr="00043245">
        <w:rPr>
          <w:rFonts w:cstheme="minorHAnsi"/>
          <w:sz w:val="20"/>
          <w:szCs w:val="20"/>
        </w:rPr>
        <w:t>Five projects missing evidence of workers compensation insurance for the full</w:t>
      </w:r>
      <w:r w:rsidR="00C60159" w:rsidRPr="00043245">
        <w:rPr>
          <w:rFonts w:cstheme="minorHAnsi"/>
          <w:sz w:val="20"/>
          <w:szCs w:val="20"/>
        </w:rPr>
        <w:t xml:space="preserve">/part </w:t>
      </w:r>
      <w:r w:rsidRPr="00043245">
        <w:rPr>
          <w:rFonts w:cstheme="minorHAnsi"/>
          <w:sz w:val="20"/>
          <w:szCs w:val="20"/>
        </w:rPr>
        <w:t>period of the works agreement.</w:t>
      </w:r>
    </w:p>
    <w:p w14:paraId="32B74B82" w14:textId="77777777" w:rsidR="003650DE" w:rsidRPr="00043245" w:rsidRDefault="003650DE" w:rsidP="003650DE">
      <w:pPr>
        <w:autoSpaceDE w:val="0"/>
        <w:autoSpaceDN w:val="0"/>
        <w:adjustRightInd w:val="0"/>
        <w:spacing w:after="120" w:line="240" w:lineRule="auto"/>
        <w:rPr>
          <w:rFonts w:cstheme="minorHAnsi"/>
          <w:sz w:val="20"/>
          <w:szCs w:val="20"/>
        </w:rPr>
      </w:pPr>
      <w:r w:rsidRPr="00043245">
        <w:rPr>
          <w:rFonts w:cstheme="minorHAnsi"/>
          <w:sz w:val="20"/>
          <w:szCs w:val="20"/>
        </w:rPr>
        <w:t>DNRME accepted that the above-mentioned missing insurance certificates appear to be administrative oversights and noted they have since improved their COC administration. The revised administration process now includes the systematic recording and checking in the contract database of certificates, and ensuring COCs are obtained on signing of the works agreement. KPMG did not test the design, implementation or operating effectiveness of the revised process.</w:t>
      </w:r>
    </w:p>
    <w:p w14:paraId="3CD892CB" w14:textId="35A96A95" w:rsidR="003650DE" w:rsidRPr="00043245" w:rsidRDefault="000B2AF6" w:rsidP="003650DE">
      <w:pPr>
        <w:autoSpaceDE w:val="0"/>
        <w:autoSpaceDN w:val="0"/>
        <w:adjustRightInd w:val="0"/>
        <w:spacing w:after="120" w:line="240" w:lineRule="auto"/>
        <w:rPr>
          <w:rFonts w:cstheme="minorHAnsi"/>
          <w:color w:val="000000"/>
          <w:lang w:eastAsia="en-AU"/>
        </w:rPr>
      </w:pPr>
      <w:r w:rsidRPr="00043245">
        <w:rPr>
          <w:rFonts w:cstheme="minorHAnsi"/>
          <w:sz w:val="20"/>
          <w:szCs w:val="20"/>
        </w:rPr>
        <w:t>Noting that the onus to maintain the appropriate insurances remains with the proponent, f</w:t>
      </w:r>
      <w:r w:rsidR="003650DE" w:rsidRPr="00043245">
        <w:rPr>
          <w:rFonts w:cstheme="minorHAnsi"/>
          <w:sz w:val="20"/>
          <w:szCs w:val="20"/>
        </w:rPr>
        <w:t xml:space="preserve">or future rounds or projects DNRME should consider whether it is necessary to include the contractual obligation for COCs </w:t>
      </w:r>
      <w:r w:rsidRPr="00043245">
        <w:rPr>
          <w:rFonts w:cstheme="minorHAnsi"/>
          <w:sz w:val="20"/>
          <w:szCs w:val="20"/>
        </w:rPr>
        <w:t xml:space="preserve">renewals </w:t>
      </w:r>
      <w:r w:rsidR="003650DE" w:rsidRPr="00043245">
        <w:rPr>
          <w:rFonts w:cstheme="minorHAnsi"/>
          <w:sz w:val="20"/>
          <w:szCs w:val="20"/>
        </w:rPr>
        <w:t xml:space="preserve">to be provided to </w:t>
      </w:r>
      <w:r w:rsidR="00C95FF7" w:rsidRPr="00043245">
        <w:rPr>
          <w:rFonts w:cstheme="minorHAnsi"/>
          <w:sz w:val="20"/>
          <w:szCs w:val="20"/>
        </w:rPr>
        <w:t xml:space="preserve">DNRME. </w:t>
      </w:r>
      <w:r w:rsidRPr="00043245">
        <w:rPr>
          <w:rFonts w:cstheme="minorHAnsi"/>
          <w:sz w:val="20"/>
          <w:szCs w:val="20"/>
        </w:rPr>
        <w:t xml:space="preserve">If deemed necessary, DNRME should ensure supporting review processes are in place and operating as intended. </w:t>
      </w:r>
    </w:p>
    <w:p w14:paraId="0E77E0B4" w14:textId="77777777" w:rsidR="00186640" w:rsidRPr="00043245" w:rsidRDefault="00186640" w:rsidP="0093656A">
      <w:pPr>
        <w:pStyle w:val="ListParagraph"/>
        <w:spacing w:before="120" w:after="120" w:line="240" w:lineRule="auto"/>
        <w:ind w:left="0"/>
        <w:contextualSpacing w:val="0"/>
        <w:rPr>
          <w:rFonts w:cstheme="minorHAnsi"/>
          <w:sz w:val="20"/>
          <w:szCs w:val="20"/>
        </w:rPr>
      </w:pPr>
    </w:p>
    <w:p w14:paraId="27F41629" w14:textId="77777777" w:rsidR="00186640" w:rsidRPr="00043245" w:rsidRDefault="00186640" w:rsidP="0093656A">
      <w:pPr>
        <w:pStyle w:val="ListParagraph"/>
        <w:spacing w:before="120" w:after="120" w:line="240" w:lineRule="auto"/>
        <w:ind w:left="0"/>
        <w:contextualSpacing w:val="0"/>
        <w:rPr>
          <w:rFonts w:cstheme="minorHAnsi"/>
          <w:sz w:val="20"/>
          <w:szCs w:val="20"/>
        </w:rPr>
      </w:pPr>
    </w:p>
    <w:p w14:paraId="5A02E248" w14:textId="77777777" w:rsidR="00016BE6" w:rsidRPr="00043245" w:rsidRDefault="00016BE6" w:rsidP="00871FD3">
      <w:pPr>
        <w:spacing w:before="120" w:after="120" w:line="240" w:lineRule="auto"/>
        <w:rPr>
          <w:rFonts w:cstheme="minorHAnsi"/>
          <w:sz w:val="20"/>
          <w:szCs w:val="20"/>
          <w:highlight w:val="yellow"/>
        </w:rPr>
        <w:sectPr w:rsidR="00016BE6" w:rsidRPr="00043245" w:rsidSect="00FA6314">
          <w:headerReference w:type="default" r:id="rId17"/>
          <w:pgSz w:w="11906" w:h="16838"/>
          <w:pgMar w:top="1387" w:right="851" w:bottom="1843" w:left="1134" w:header="568" w:footer="315" w:gutter="0"/>
          <w:cols w:space="425"/>
          <w:docGrid w:linePitch="360"/>
        </w:sectPr>
      </w:pPr>
    </w:p>
    <w:p w14:paraId="3BAFD79F" w14:textId="77777777" w:rsidR="00145FB8" w:rsidRPr="00043245" w:rsidRDefault="00906E43" w:rsidP="00597060">
      <w:pPr>
        <w:pStyle w:val="Heading1"/>
        <w:numPr>
          <w:ilvl w:val="0"/>
          <w:numId w:val="0"/>
        </w:numPr>
        <w:ind w:left="567" w:hanging="567"/>
        <w:rPr>
          <w:rFonts w:asciiTheme="minorHAnsi" w:hAnsiTheme="minorHAnsi" w:cstheme="minorHAnsi"/>
          <w:sz w:val="72"/>
          <w:szCs w:val="72"/>
        </w:rPr>
      </w:pPr>
      <w:bookmarkStart w:id="37" w:name="_Toc515451817"/>
      <w:bookmarkStart w:id="38" w:name="_Toc528653263"/>
      <w:r w:rsidRPr="00043245">
        <w:rPr>
          <w:rFonts w:asciiTheme="minorHAnsi" w:hAnsiTheme="minorHAnsi" w:cstheme="minorHAnsi"/>
          <w:sz w:val="72"/>
          <w:szCs w:val="72"/>
        </w:rPr>
        <w:t>Appendices</w:t>
      </w:r>
      <w:bookmarkEnd w:id="37"/>
      <w:bookmarkEnd w:id="38"/>
    </w:p>
    <w:p w14:paraId="63EFC514" w14:textId="27CFD18E" w:rsidR="00681BCC" w:rsidRPr="00043245" w:rsidRDefault="003B33AA" w:rsidP="00597060">
      <w:pPr>
        <w:pStyle w:val="Heading2"/>
        <w:numPr>
          <w:ilvl w:val="0"/>
          <w:numId w:val="2"/>
        </w:numPr>
        <w:ind w:left="426" w:hanging="426"/>
        <w:rPr>
          <w:rFonts w:asciiTheme="minorHAnsi" w:hAnsiTheme="minorHAnsi" w:cstheme="minorHAnsi"/>
        </w:rPr>
      </w:pPr>
      <w:bookmarkStart w:id="39" w:name="_Toc515451819"/>
      <w:bookmarkStart w:id="40" w:name="_Toc528653264"/>
      <w:r w:rsidRPr="00043245">
        <w:rPr>
          <w:rFonts w:asciiTheme="minorHAnsi" w:hAnsiTheme="minorHAnsi" w:cstheme="minorHAnsi"/>
        </w:rPr>
        <w:t>Engagement objectives and s</w:t>
      </w:r>
      <w:r w:rsidR="00681BCC" w:rsidRPr="00043245">
        <w:rPr>
          <w:rFonts w:asciiTheme="minorHAnsi" w:hAnsiTheme="minorHAnsi" w:cstheme="minorHAnsi"/>
        </w:rPr>
        <w:t>cope</w:t>
      </w:r>
      <w:bookmarkEnd w:id="39"/>
      <w:bookmarkEnd w:id="40"/>
    </w:p>
    <w:p w14:paraId="006873B3" w14:textId="77777777" w:rsidR="00681BCC" w:rsidRPr="00043245" w:rsidRDefault="00681BCC" w:rsidP="00596C1C">
      <w:pPr>
        <w:spacing w:before="120" w:after="120"/>
        <w:rPr>
          <w:rFonts w:cstheme="minorHAnsi"/>
          <w:b/>
          <w:sz w:val="20"/>
          <w:szCs w:val="20"/>
        </w:rPr>
      </w:pPr>
      <w:r w:rsidRPr="00043245">
        <w:rPr>
          <w:rFonts w:cstheme="minorHAnsi"/>
          <w:b/>
          <w:sz w:val="20"/>
          <w:szCs w:val="20"/>
        </w:rPr>
        <w:t>Objectives</w:t>
      </w:r>
    </w:p>
    <w:p w14:paraId="422B4EED" w14:textId="77777777" w:rsidR="00C67FC8" w:rsidRPr="00043245" w:rsidRDefault="00C67FC8" w:rsidP="00596C1C">
      <w:pPr>
        <w:spacing w:before="120" w:after="120" w:line="240" w:lineRule="auto"/>
        <w:rPr>
          <w:rFonts w:cstheme="minorHAnsi"/>
          <w:sz w:val="20"/>
          <w:szCs w:val="20"/>
        </w:rPr>
      </w:pPr>
      <w:r w:rsidRPr="00043245">
        <w:rPr>
          <w:rFonts w:cstheme="minorHAnsi"/>
          <w:sz w:val="20"/>
          <w:szCs w:val="20"/>
        </w:rPr>
        <w:t>Review the governance, risk and control processes for State Priority Projects administered through Sustainable Rural Water Use and Infrastructure Program to ensure effective use of Commonwealth funds.</w:t>
      </w:r>
    </w:p>
    <w:p w14:paraId="127FBD15" w14:textId="77777777" w:rsidR="00681BCC" w:rsidRPr="00043245" w:rsidRDefault="00681BCC" w:rsidP="00596C1C">
      <w:pPr>
        <w:spacing w:before="120" w:after="120"/>
        <w:rPr>
          <w:rFonts w:cstheme="minorHAnsi"/>
          <w:b/>
          <w:sz w:val="20"/>
          <w:szCs w:val="20"/>
        </w:rPr>
      </w:pPr>
      <w:r w:rsidRPr="00043245">
        <w:rPr>
          <w:rFonts w:cstheme="minorHAnsi"/>
          <w:b/>
          <w:sz w:val="20"/>
          <w:szCs w:val="20"/>
        </w:rPr>
        <w:t>Scope</w:t>
      </w:r>
    </w:p>
    <w:p w14:paraId="49858E78" w14:textId="77777777" w:rsidR="00C67FC8" w:rsidRPr="00043245" w:rsidRDefault="00C67FC8" w:rsidP="00596C1C">
      <w:pPr>
        <w:spacing w:before="120" w:after="120" w:line="240" w:lineRule="auto"/>
        <w:rPr>
          <w:rFonts w:cstheme="minorHAnsi"/>
          <w:sz w:val="20"/>
          <w:szCs w:val="20"/>
        </w:rPr>
      </w:pPr>
      <w:r w:rsidRPr="00043245">
        <w:rPr>
          <w:rFonts w:cstheme="minorHAnsi"/>
          <w:sz w:val="20"/>
          <w:szCs w:val="20"/>
        </w:rPr>
        <w:t xml:space="preserve">This engagement was limited to the HHWUE, New South Wales Basin Pipe Project and New South Wales Irrigated Farm Modernisation State Priority Projects. The assessment focuses on the following areas:  </w:t>
      </w:r>
    </w:p>
    <w:p w14:paraId="23B76225" w14:textId="77777777" w:rsidR="005B56A2" w:rsidRPr="00043245" w:rsidRDefault="005B56A2" w:rsidP="00DA0057">
      <w:pPr>
        <w:pStyle w:val="ListParagraph"/>
        <w:numPr>
          <w:ilvl w:val="0"/>
          <w:numId w:val="4"/>
        </w:numPr>
        <w:spacing w:before="120" w:after="120" w:line="240" w:lineRule="auto"/>
        <w:rPr>
          <w:rFonts w:cstheme="minorHAnsi"/>
          <w:sz w:val="20"/>
          <w:szCs w:val="20"/>
        </w:rPr>
      </w:pPr>
      <w:r w:rsidRPr="00043245">
        <w:rPr>
          <w:rFonts w:cstheme="minorHAnsi"/>
          <w:b/>
          <w:bCs/>
          <w:sz w:val="20"/>
          <w:szCs w:val="20"/>
        </w:rPr>
        <w:t>Program administration processes</w:t>
      </w:r>
      <w:r w:rsidRPr="00043245">
        <w:rPr>
          <w:rFonts w:cstheme="minorHAnsi"/>
          <w:sz w:val="20"/>
          <w:szCs w:val="20"/>
        </w:rPr>
        <w:t>, including financial systems, governance arrangements, and risk management processes to ensure they are efficiently and consistently implemented.</w:t>
      </w:r>
    </w:p>
    <w:p w14:paraId="4D3CE308" w14:textId="77777777" w:rsidR="005B56A2" w:rsidRPr="00043245" w:rsidRDefault="005B56A2" w:rsidP="00DA0057">
      <w:pPr>
        <w:pStyle w:val="ListParagraph"/>
        <w:numPr>
          <w:ilvl w:val="0"/>
          <w:numId w:val="4"/>
        </w:numPr>
        <w:spacing w:before="120" w:after="120" w:line="240" w:lineRule="auto"/>
        <w:rPr>
          <w:rFonts w:cstheme="minorHAnsi"/>
          <w:sz w:val="20"/>
          <w:szCs w:val="20"/>
        </w:rPr>
      </w:pPr>
      <w:r w:rsidRPr="00043245">
        <w:rPr>
          <w:rFonts w:cstheme="minorHAnsi"/>
          <w:b/>
          <w:bCs/>
          <w:sz w:val="20"/>
          <w:szCs w:val="20"/>
        </w:rPr>
        <w:t xml:space="preserve">Program processes </w:t>
      </w:r>
      <w:r w:rsidRPr="00043245">
        <w:rPr>
          <w:rFonts w:cstheme="minorHAnsi"/>
          <w:sz w:val="20"/>
          <w:szCs w:val="20"/>
        </w:rPr>
        <w:t>in place to manage risks, and program compliance to ensure delivery of water contracted for recovery (including consideration of State involvement in the water entitlement transfer process), and the adequacy of controls to regularly review procedures and adjust as required.</w:t>
      </w:r>
    </w:p>
    <w:p w14:paraId="33DE8F96" w14:textId="77777777" w:rsidR="005B56A2" w:rsidRPr="00043245" w:rsidRDefault="005B56A2" w:rsidP="00DA0057">
      <w:pPr>
        <w:pStyle w:val="ListParagraph"/>
        <w:numPr>
          <w:ilvl w:val="0"/>
          <w:numId w:val="4"/>
        </w:numPr>
        <w:spacing w:before="120" w:after="120" w:line="240" w:lineRule="auto"/>
        <w:rPr>
          <w:rFonts w:cstheme="minorHAnsi"/>
          <w:sz w:val="20"/>
          <w:szCs w:val="20"/>
        </w:rPr>
      </w:pPr>
      <w:r w:rsidRPr="00043245">
        <w:rPr>
          <w:rFonts w:cstheme="minorHAnsi"/>
          <w:b/>
          <w:bCs/>
          <w:sz w:val="20"/>
          <w:szCs w:val="20"/>
        </w:rPr>
        <w:t xml:space="preserve">A review of up to 25 per cent of projects </w:t>
      </w:r>
      <w:r w:rsidRPr="00043245">
        <w:rPr>
          <w:rFonts w:cstheme="minorHAnsi"/>
          <w:sz w:val="20"/>
          <w:szCs w:val="20"/>
        </w:rPr>
        <w:t>to verify that the requirements stated under the respective Project Schedules and Works Agreements have been met. Sampling methodology for selecting these projects consider</w:t>
      </w:r>
      <w:r w:rsidR="00C67FC8" w:rsidRPr="00043245">
        <w:rPr>
          <w:rFonts w:cstheme="minorHAnsi"/>
          <w:sz w:val="20"/>
          <w:szCs w:val="20"/>
        </w:rPr>
        <w:t>ed</w:t>
      </w:r>
      <w:r w:rsidRPr="00043245">
        <w:rPr>
          <w:rFonts w:cstheme="minorHAnsi"/>
          <w:sz w:val="20"/>
          <w:szCs w:val="20"/>
        </w:rPr>
        <w:t xml:space="preserve"> funding rounds and catchment areas, as well as individual project size and scale. A random sample from the selected projects </w:t>
      </w:r>
      <w:r w:rsidR="00C67FC8" w:rsidRPr="00043245">
        <w:rPr>
          <w:rFonts w:cstheme="minorHAnsi"/>
          <w:sz w:val="20"/>
          <w:szCs w:val="20"/>
        </w:rPr>
        <w:t>was</w:t>
      </w:r>
      <w:r w:rsidRPr="00043245">
        <w:rPr>
          <w:rFonts w:cstheme="minorHAnsi"/>
          <w:sz w:val="20"/>
          <w:szCs w:val="20"/>
        </w:rPr>
        <w:t xml:space="preserve"> also be verified on-ground.</w:t>
      </w:r>
    </w:p>
    <w:p w14:paraId="7C37339F" w14:textId="77777777" w:rsidR="00C67FC8" w:rsidRPr="00043245" w:rsidRDefault="00C67FC8" w:rsidP="00596C1C">
      <w:pPr>
        <w:spacing w:before="120" w:after="120" w:line="240" w:lineRule="auto"/>
        <w:rPr>
          <w:rFonts w:cstheme="minorHAnsi"/>
          <w:sz w:val="20"/>
          <w:szCs w:val="20"/>
        </w:rPr>
      </w:pPr>
      <w:r w:rsidRPr="00043245">
        <w:rPr>
          <w:rFonts w:cstheme="minorHAnsi"/>
          <w:sz w:val="20"/>
          <w:szCs w:val="20"/>
        </w:rPr>
        <w:t>This review did not include a detailed technical assessment of the quality and effectiveness of water infrastructure works. It provides an assessment of progress of works against reported outcomes and verification of the engineer's reports against on-ground works.</w:t>
      </w:r>
    </w:p>
    <w:p w14:paraId="6CC45B90" w14:textId="77777777" w:rsidR="00681BCC" w:rsidRPr="00043245" w:rsidRDefault="00596C1C" w:rsidP="00596C1C">
      <w:pPr>
        <w:spacing w:before="120" w:after="120" w:line="240" w:lineRule="auto"/>
        <w:rPr>
          <w:rFonts w:cstheme="minorHAnsi"/>
          <w:sz w:val="20"/>
          <w:szCs w:val="20"/>
        </w:rPr>
      </w:pPr>
      <w:r w:rsidRPr="00043245">
        <w:rPr>
          <w:rFonts w:cstheme="minorHAnsi"/>
          <w:sz w:val="20"/>
          <w:szCs w:val="20"/>
        </w:rPr>
        <w:t>*</w:t>
      </w:r>
      <w:r w:rsidR="00C67FC8" w:rsidRPr="00043245">
        <w:rPr>
          <w:rFonts w:cstheme="minorHAnsi"/>
          <w:sz w:val="20"/>
          <w:szCs w:val="20"/>
        </w:rPr>
        <w:t xml:space="preserve">Please refer to the </w:t>
      </w:r>
      <w:r w:rsidR="00C67FC8" w:rsidRPr="00043245">
        <w:rPr>
          <w:rFonts w:cstheme="minorHAnsi"/>
          <w:i/>
          <w:iCs/>
          <w:sz w:val="20"/>
          <w:szCs w:val="20"/>
        </w:rPr>
        <w:t xml:space="preserve">Statement of Works including Terms of Reference, </w:t>
      </w:r>
      <w:r w:rsidR="00C67FC8" w:rsidRPr="00043245">
        <w:rPr>
          <w:rFonts w:cstheme="minorHAnsi"/>
          <w:sz w:val="20"/>
          <w:szCs w:val="20"/>
        </w:rPr>
        <w:t>for further detail on the scope of work.</w:t>
      </w:r>
    </w:p>
    <w:p w14:paraId="43F98671" w14:textId="77777777" w:rsidR="00E05CAD" w:rsidRPr="00043245" w:rsidRDefault="00E05CAD" w:rsidP="00597060">
      <w:pPr>
        <w:pStyle w:val="Heading2"/>
        <w:pageBreakBefore/>
        <w:numPr>
          <w:ilvl w:val="0"/>
          <w:numId w:val="2"/>
        </w:numPr>
        <w:ind w:left="425" w:hanging="425"/>
        <w:rPr>
          <w:rFonts w:asciiTheme="minorHAnsi" w:hAnsiTheme="minorHAnsi" w:cstheme="minorHAnsi"/>
        </w:rPr>
      </w:pPr>
      <w:bookmarkStart w:id="41" w:name="_Toc528653265"/>
      <w:r w:rsidRPr="00043245">
        <w:rPr>
          <w:rFonts w:asciiTheme="minorHAnsi" w:hAnsiTheme="minorHAnsi" w:cstheme="minorHAnsi"/>
        </w:rPr>
        <w:t>Approach</w:t>
      </w:r>
      <w:bookmarkEnd w:id="41"/>
    </w:p>
    <w:p w14:paraId="56A782E1" w14:textId="77777777" w:rsidR="00E05CAD" w:rsidRPr="00043245" w:rsidRDefault="00E05CAD" w:rsidP="00F74EDA">
      <w:pPr>
        <w:spacing w:before="120" w:after="120" w:line="240" w:lineRule="auto"/>
        <w:rPr>
          <w:rFonts w:cstheme="minorHAnsi"/>
          <w:sz w:val="20"/>
          <w:szCs w:val="20"/>
        </w:rPr>
      </w:pPr>
      <w:r w:rsidRPr="00043245">
        <w:rPr>
          <w:rFonts w:cstheme="minorHAnsi"/>
          <w:sz w:val="20"/>
          <w:szCs w:val="20"/>
        </w:rPr>
        <w:t>KPMG undertook the following activities in the conduct of this review.</w:t>
      </w:r>
    </w:p>
    <w:p w14:paraId="7354C5CE" w14:textId="77777777" w:rsidR="00E05CAD" w:rsidRPr="00043245" w:rsidRDefault="00E05CAD" w:rsidP="0044489D">
      <w:pPr>
        <w:spacing w:before="120" w:after="120" w:line="240" w:lineRule="auto"/>
        <w:rPr>
          <w:rFonts w:cstheme="minorHAnsi"/>
          <w:b/>
          <w:sz w:val="20"/>
          <w:szCs w:val="20"/>
        </w:rPr>
      </w:pPr>
      <w:r w:rsidRPr="00043245">
        <w:rPr>
          <w:rFonts w:cstheme="minorHAnsi"/>
          <w:b/>
          <w:sz w:val="20"/>
          <w:szCs w:val="20"/>
        </w:rPr>
        <w:t>Initiation</w:t>
      </w:r>
    </w:p>
    <w:p w14:paraId="16356866" w14:textId="77777777" w:rsidR="00E05CAD" w:rsidRPr="00043245" w:rsidRDefault="00E05CAD" w:rsidP="00F74EDA">
      <w:pPr>
        <w:pStyle w:val="ListParagraph"/>
        <w:numPr>
          <w:ilvl w:val="0"/>
          <w:numId w:val="5"/>
        </w:numPr>
        <w:spacing w:before="60" w:after="60" w:line="240" w:lineRule="auto"/>
        <w:ind w:left="357" w:hanging="357"/>
        <w:contextualSpacing w:val="0"/>
        <w:rPr>
          <w:rFonts w:cstheme="minorHAnsi"/>
          <w:sz w:val="20"/>
          <w:szCs w:val="20"/>
        </w:rPr>
      </w:pPr>
      <w:r w:rsidRPr="00043245">
        <w:rPr>
          <w:rFonts w:cstheme="minorHAnsi"/>
          <w:sz w:val="20"/>
          <w:szCs w:val="20"/>
        </w:rPr>
        <w:t xml:space="preserve">Held an initial scoping and meeting with the DAWR stakeholders, to inform the development of a project plan detailing approach, timeframes and governance arrangements for the review. </w:t>
      </w:r>
    </w:p>
    <w:p w14:paraId="19F2CE93" w14:textId="77777777" w:rsidR="00E05CAD" w:rsidRPr="00043245" w:rsidRDefault="00C00556" w:rsidP="00F74EDA">
      <w:pPr>
        <w:pStyle w:val="ListParagraph"/>
        <w:numPr>
          <w:ilvl w:val="0"/>
          <w:numId w:val="5"/>
        </w:numPr>
        <w:spacing w:before="60" w:after="60" w:line="240" w:lineRule="auto"/>
        <w:contextualSpacing w:val="0"/>
        <w:rPr>
          <w:rFonts w:cstheme="minorHAnsi"/>
          <w:sz w:val="20"/>
          <w:szCs w:val="20"/>
        </w:rPr>
      </w:pPr>
      <w:r w:rsidRPr="00043245">
        <w:rPr>
          <w:rFonts w:cstheme="minorHAnsi"/>
          <w:sz w:val="20"/>
          <w:szCs w:val="20"/>
        </w:rPr>
        <w:t>Provided the project plan to HHWUE project stakeholders review.</w:t>
      </w:r>
    </w:p>
    <w:p w14:paraId="12EB95C0" w14:textId="77777777" w:rsidR="00C00556" w:rsidRPr="00043245" w:rsidRDefault="00C00556" w:rsidP="0044489D">
      <w:pPr>
        <w:spacing w:before="120" w:after="120" w:line="240" w:lineRule="auto"/>
        <w:rPr>
          <w:rFonts w:cstheme="minorHAnsi"/>
          <w:b/>
          <w:sz w:val="20"/>
          <w:szCs w:val="20"/>
        </w:rPr>
      </w:pPr>
      <w:r w:rsidRPr="00043245">
        <w:rPr>
          <w:rFonts w:cstheme="minorHAnsi"/>
          <w:b/>
          <w:sz w:val="20"/>
          <w:szCs w:val="20"/>
        </w:rPr>
        <w:t>Fieldwork</w:t>
      </w:r>
    </w:p>
    <w:p w14:paraId="72DCB100" w14:textId="77777777" w:rsidR="00C00556" w:rsidRPr="00043245" w:rsidRDefault="00C00556" w:rsidP="00F74EDA">
      <w:pPr>
        <w:pStyle w:val="ListParagraph"/>
        <w:numPr>
          <w:ilvl w:val="0"/>
          <w:numId w:val="5"/>
        </w:numPr>
        <w:spacing w:before="60" w:after="60" w:line="240" w:lineRule="auto"/>
        <w:contextualSpacing w:val="0"/>
        <w:rPr>
          <w:rFonts w:cstheme="minorHAnsi"/>
          <w:sz w:val="20"/>
          <w:szCs w:val="20"/>
        </w:rPr>
      </w:pPr>
      <w:r w:rsidRPr="00043245">
        <w:rPr>
          <w:rFonts w:cstheme="minorHAnsi"/>
          <w:sz w:val="20"/>
          <w:szCs w:val="20"/>
        </w:rPr>
        <w:t xml:space="preserve">Held an introductory discussion with </w:t>
      </w:r>
      <w:r w:rsidR="00A757B6" w:rsidRPr="00043245">
        <w:rPr>
          <w:rFonts w:cstheme="minorHAnsi"/>
          <w:sz w:val="20"/>
          <w:szCs w:val="20"/>
        </w:rPr>
        <w:t xml:space="preserve">DNRME </w:t>
      </w:r>
      <w:r w:rsidRPr="00043245">
        <w:rPr>
          <w:rFonts w:cstheme="minorHAnsi"/>
          <w:sz w:val="20"/>
          <w:szCs w:val="20"/>
        </w:rPr>
        <w:t>staff and obtained documentation to gain an understanding of administration arrangements, eligibility criteria, funding conditions and requirements, reporting arrangements, performance monitoring and risk management.</w:t>
      </w:r>
    </w:p>
    <w:p w14:paraId="177F4D6E" w14:textId="77777777" w:rsidR="00C00556" w:rsidRPr="00043245" w:rsidRDefault="00C00556" w:rsidP="00F74EDA">
      <w:pPr>
        <w:pStyle w:val="ListParagraph"/>
        <w:numPr>
          <w:ilvl w:val="0"/>
          <w:numId w:val="5"/>
        </w:numPr>
        <w:spacing w:before="60" w:after="60" w:line="240" w:lineRule="auto"/>
        <w:contextualSpacing w:val="0"/>
        <w:rPr>
          <w:rFonts w:cstheme="minorHAnsi"/>
          <w:sz w:val="20"/>
          <w:szCs w:val="20"/>
        </w:rPr>
      </w:pPr>
      <w:r w:rsidRPr="00043245">
        <w:rPr>
          <w:rFonts w:cstheme="minorHAnsi"/>
          <w:sz w:val="20"/>
          <w:szCs w:val="20"/>
        </w:rPr>
        <w:t>Developed a</w:t>
      </w:r>
      <w:r w:rsidR="00DA5730" w:rsidRPr="00043245">
        <w:rPr>
          <w:rFonts w:cstheme="minorHAnsi"/>
          <w:sz w:val="20"/>
          <w:szCs w:val="20"/>
        </w:rPr>
        <w:t xml:space="preserve"> testing</w:t>
      </w:r>
      <w:r w:rsidRPr="00043245">
        <w:rPr>
          <w:rFonts w:cstheme="minorHAnsi"/>
          <w:sz w:val="20"/>
          <w:szCs w:val="20"/>
        </w:rPr>
        <w:t xml:space="preserve"> checklists </w:t>
      </w:r>
      <w:r w:rsidR="00DA5730" w:rsidRPr="00043245">
        <w:rPr>
          <w:rFonts w:cstheme="minorHAnsi"/>
          <w:sz w:val="20"/>
          <w:szCs w:val="20"/>
        </w:rPr>
        <w:t xml:space="preserve">to support assessment of the HHWUE project. The checklist was based on </w:t>
      </w:r>
      <w:r w:rsidRPr="00043245">
        <w:rPr>
          <w:rFonts w:cstheme="minorHAnsi"/>
          <w:sz w:val="20"/>
          <w:szCs w:val="20"/>
        </w:rPr>
        <w:t xml:space="preserve">better practice program management principles </w:t>
      </w:r>
      <w:r w:rsidR="00DA5730" w:rsidRPr="00043245">
        <w:rPr>
          <w:rFonts w:cstheme="minorHAnsi"/>
          <w:sz w:val="20"/>
          <w:szCs w:val="20"/>
        </w:rPr>
        <w:t>and key program requirements, including the WMPA, HHWUE project application guidelines and proponent works agreements.</w:t>
      </w:r>
    </w:p>
    <w:p w14:paraId="09CA3554" w14:textId="77777777" w:rsidR="00A757B6" w:rsidRPr="00043245" w:rsidRDefault="00C00556" w:rsidP="00F74EDA">
      <w:pPr>
        <w:pStyle w:val="ListParagraph"/>
        <w:numPr>
          <w:ilvl w:val="0"/>
          <w:numId w:val="5"/>
        </w:numPr>
        <w:spacing w:before="60" w:after="60" w:line="240" w:lineRule="auto"/>
        <w:contextualSpacing w:val="0"/>
        <w:rPr>
          <w:rFonts w:cstheme="minorHAnsi"/>
          <w:sz w:val="20"/>
          <w:szCs w:val="20"/>
        </w:rPr>
      </w:pPr>
      <w:r w:rsidRPr="00043245">
        <w:rPr>
          <w:rFonts w:cstheme="minorHAnsi"/>
          <w:sz w:val="20"/>
          <w:szCs w:val="20"/>
        </w:rPr>
        <w:t>Selected a judgemental sample of 20</w:t>
      </w:r>
      <w:r w:rsidR="00A757B6" w:rsidRPr="00043245">
        <w:rPr>
          <w:rFonts w:cstheme="minorHAnsi"/>
          <w:sz w:val="20"/>
          <w:szCs w:val="20"/>
        </w:rPr>
        <w:t xml:space="preserve"> (25%)</w:t>
      </w:r>
      <w:r w:rsidRPr="00043245">
        <w:rPr>
          <w:rFonts w:cstheme="minorHAnsi"/>
          <w:sz w:val="20"/>
          <w:szCs w:val="20"/>
        </w:rPr>
        <w:t xml:space="preserve"> approved projects for desktop assessment</w:t>
      </w:r>
      <w:r w:rsidR="00DA5730" w:rsidRPr="00043245">
        <w:rPr>
          <w:rFonts w:cstheme="minorHAnsi"/>
          <w:sz w:val="20"/>
          <w:szCs w:val="20"/>
        </w:rPr>
        <w:t xml:space="preserve"> against the testing checklist</w:t>
      </w:r>
      <w:r w:rsidRPr="00043245">
        <w:rPr>
          <w:rFonts w:cstheme="minorHAnsi"/>
          <w:sz w:val="20"/>
          <w:szCs w:val="20"/>
        </w:rPr>
        <w:t>. Sample selection took into consideration size and complexity of works, catchment area, value of funding and proposed water savings</w:t>
      </w:r>
      <w:r w:rsidR="00A757B6" w:rsidRPr="00043245">
        <w:rPr>
          <w:rFonts w:cstheme="minorHAnsi"/>
          <w:sz w:val="20"/>
          <w:szCs w:val="20"/>
        </w:rPr>
        <w:t xml:space="preserve"> The resultant sample included projects ranging from approximately $100,000 to over $5 million, with a spread from funding rounds 1 -11. The sample covered the following catchment areas:</w:t>
      </w:r>
    </w:p>
    <w:p w14:paraId="2D6C8C1E" w14:textId="77777777" w:rsidR="00A757B6" w:rsidRPr="00043245" w:rsidRDefault="00A757B6" w:rsidP="00F74EDA">
      <w:pPr>
        <w:pStyle w:val="ListParagraph"/>
        <w:numPr>
          <w:ilvl w:val="1"/>
          <w:numId w:val="5"/>
        </w:numPr>
        <w:spacing w:before="120" w:after="120" w:line="240" w:lineRule="auto"/>
        <w:ind w:left="1077" w:hanging="357"/>
        <w:rPr>
          <w:rFonts w:cstheme="minorHAnsi"/>
          <w:sz w:val="20"/>
          <w:szCs w:val="20"/>
        </w:rPr>
      </w:pPr>
      <w:r w:rsidRPr="00043245">
        <w:rPr>
          <w:rFonts w:cstheme="minorHAnsi"/>
          <w:sz w:val="20"/>
          <w:szCs w:val="20"/>
        </w:rPr>
        <w:t>Border Rivers</w:t>
      </w:r>
    </w:p>
    <w:p w14:paraId="38482202" w14:textId="77777777" w:rsidR="00A757B6" w:rsidRPr="00043245" w:rsidRDefault="00A757B6" w:rsidP="00F74EDA">
      <w:pPr>
        <w:pStyle w:val="ListParagraph"/>
        <w:numPr>
          <w:ilvl w:val="1"/>
          <w:numId w:val="5"/>
        </w:numPr>
        <w:spacing w:before="120" w:after="120" w:line="240" w:lineRule="auto"/>
        <w:ind w:left="1077" w:hanging="357"/>
        <w:rPr>
          <w:rFonts w:cstheme="minorHAnsi"/>
          <w:sz w:val="20"/>
          <w:szCs w:val="20"/>
        </w:rPr>
      </w:pPr>
      <w:r w:rsidRPr="00043245">
        <w:rPr>
          <w:rFonts w:cstheme="minorHAnsi"/>
          <w:sz w:val="20"/>
          <w:szCs w:val="20"/>
        </w:rPr>
        <w:t>Condamine Balonne</w:t>
      </w:r>
    </w:p>
    <w:p w14:paraId="424D68AA" w14:textId="77777777" w:rsidR="00A757B6" w:rsidRPr="00043245" w:rsidRDefault="00A757B6" w:rsidP="00F74EDA">
      <w:pPr>
        <w:pStyle w:val="ListParagraph"/>
        <w:numPr>
          <w:ilvl w:val="1"/>
          <w:numId w:val="5"/>
        </w:numPr>
        <w:spacing w:before="120" w:after="120" w:line="240" w:lineRule="auto"/>
        <w:ind w:left="1077" w:hanging="357"/>
        <w:rPr>
          <w:rFonts w:cstheme="minorHAnsi"/>
          <w:sz w:val="20"/>
          <w:szCs w:val="20"/>
        </w:rPr>
      </w:pPr>
      <w:r w:rsidRPr="00043245">
        <w:rPr>
          <w:rFonts w:cstheme="minorHAnsi"/>
          <w:sz w:val="20"/>
          <w:szCs w:val="20"/>
        </w:rPr>
        <w:t>Moonie</w:t>
      </w:r>
    </w:p>
    <w:p w14:paraId="2EB5159B" w14:textId="77777777" w:rsidR="00A757B6" w:rsidRPr="00043245" w:rsidRDefault="00A757B6" w:rsidP="00F74EDA">
      <w:pPr>
        <w:pStyle w:val="ListParagraph"/>
        <w:numPr>
          <w:ilvl w:val="1"/>
          <w:numId w:val="5"/>
        </w:numPr>
        <w:spacing w:before="120" w:after="120" w:line="240" w:lineRule="auto"/>
        <w:ind w:left="1077" w:hanging="357"/>
        <w:rPr>
          <w:rFonts w:cstheme="minorHAnsi"/>
          <w:sz w:val="20"/>
          <w:szCs w:val="20"/>
        </w:rPr>
      </w:pPr>
      <w:r w:rsidRPr="00043245">
        <w:rPr>
          <w:rFonts w:cstheme="minorHAnsi"/>
          <w:sz w:val="20"/>
          <w:szCs w:val="20"/>
        </w:rPr>
        <w:t>Lower Balonne</w:t>
      </w:r>
    </w:p>
    <w:p w14:paraId="740A9899" w14:textId="77777777" w:rsidR="00A757B6" w:rsidRPr="00043245" w:rsidRDefault="00A757B6" w:rsidP="00F74EDA">
      <w:pPr>
        <w:pStyle w:val="ListParagraph"/>
        <w:numPr>
          <w:ilvl w:val="1"/>
          <w:numId w:val="5"/>
        </w:numPr>
        <w:spacing w:before="120" w:after="120" w:line="240" w:lineRule="auto"/>
        <w:ind w:left="1077" w:hanging="357"/>
        <w:rPr>
          <w:rFonts w:cstheme="minorHAnsi"/>
          <w:sz w:val="20"/>
          <w:szCs w:val="20"/>
        </w:rPr>
      </w:pPr>
      <w:r w:rsidRPr="00043245">
        <w:rPr>
          <w:rFonts w:cstheme="minorHAnsi"/>
          <w:sz w:val="20"/>
          <w:szCs w:val="20"/>
        </w:rPr>
        <w:t>Lower Warrego Water</w:t>
      </w:r>
    </w:p>
    <w:p w14:paraId="558D15C0" w14:textId="77777777" w:rsidR="00A757B6" w:rsidRPr="00043245" w:rsidRDefault="00A757B6" w:rsidP="00F74EDA">
      <w:pPr>
        <w:pStyle w:val="ListParagraph"/>
        <w:numPr>
          <w:ilvl w:val="1"/>
          <w:numId w:val="5"/>
        </w:numPr>
        <w:spacing w:before="120" w:after="120" w:line="240" w:lineRule="auto"/>
        <w:ind w:left="1077" w:hanging="357"/>
        <w:contextualSpacing w:val="0"/>
        <w:rPr>
          <w:rFonts w:cstheme="minorHAnsi"/>
          <w:sz w:val="20"/>
          <w:szCs w:val="20"/>
        </w:rPr>
      </w:pPr>
      <w:r w:rsidRPr="00043245">
        <w:rPr>
          <w:rFonts w:cstheme="minorHAnsi"/>
          <w:sz w:val="20"/>
          <w:szCs w:val="20"/>
        </w:rPr>
        <w:t xml:space="preserve">Upper Condamine </w:t>
      </w:r>
    </w:p>
    <w:p w14:paraId="20883D72" w14:textId="77777777" w:rsidR="0044489D" w:rsidRPr="00043245" w:rsidRDefault="0044489D" w:rsidP="0044489D">
      <w:pPr>
        <w:pStyle w:val="ListParagraph"/>
        <w:spacing w:before="120" w:after="120" w:line="240" w:lineRule="auto"/>
        <w:ind w:left="360"/>
        <w:rPr>
          <w:rFonts w:cstheme="minorHAnsi"/>
          <w:sz w:val="20"/>
          <w:szCs w:val="20"/>
        </w:rPr>
      </w:pPr>
      <w:r w:rsidRPr="00043245">
        <w:rPr>
          <w:rFonts w:cstheme="minorHAnsi"/>
          <w:sz w:val="20"/>
          <w:szCs w:val="20"/>
        </w:rPr>
        <w:t xml:space="preserve">The sample excluded any projects under active investigation or separate review. </w:t>
      </w:r>
    </w:p>
    <w:p w14:paraId="25A9F7F6" w14:textId="77777777" w:rsidR="00C00556" w:rsidRPr="00043245" w:rsidRDefault="00C00556" w:rsidP="00F74EDA">
      <w:pPr>
        <w:pStyle w:val="ListParagraph"/>
        <w:numPr>
          <w:ilvl w:val="0"/>
          <w:numId w:val="5"/>
        </w:numPr>
        <w:spacing w:before="60" w:after="60" w:line="240" w:lineRule="auto"/>
        <w:contextualSpacing w:val="0"/>
        <w:rPr>
          <w:rFonts w:cstheme="minorHAnsi"/>
          <w:sz w:val="20"/>
          <w:szCs w:val="20"/>
        </w:rPr>
      </w:pPr>
      <w:r w:rsidRPr="00043245">
        <w:rPr>
          <w:rFonts w:cstheme="minorHAnsi"/>
          <w:sz w:val="20"/>
          <w:szCs w:val="20"/>
        </w:rPr>
        <w:t xml:space="preserve">Conducted a site visit </w:t>
      </w:r>
      <w:r w:rsidR="00867112" w:rsidRPr="00043245">
        <w:rPr>
          <w:rFonts w:cstheme="minorHAnsi"/>
          <w:sz w:val="20"/>
          <w:szCs w:val="20"/>
        </w:rPr>
        <w:t xml:space="preserve">at the </w:t>
      </w:r>
      <w:r w:rsidR="00A757B6" w:rsidRPr="00043245">
        <w:rPr>
          <w:rFonts w:cstheme="minorHAnsi"/>
          <w:sz w:val="20"/>
          <w:szCs w:val="20"/>
        </w:rPr>
        <w:t>DNRME</w:t>
      </w:r>
      <w:r w:rsidR="00A757B6" w:rsidRPr="00043245" w:rsidDel="00A757B6">
        <w:rPr>
          <w:rFonts w:cstheme="minorHAnsi"/>
          <w:sz w:val="20"/>
          <w:szCs w:val="20"/>
        </w:rPr>
        <w:t xml:space="preserve"> </w:t>
      </w:r>
      <w:r w:rsidR="00A757B6" w:rsidRPr="00043245">
        <w:rPr>
          <w:rFonts w:cstheme="minorHAnsi"/>
          <w:sz w:val="20"/>
          <w:szCs w:val="20"/>
        </w:rPr>
        <w:t>Toowoomba state office</w:t>
      </w:r>
      <w:r w:rsidR="00432EE5" w:rsidRPr="00043245">
        <w:rPr>
          <w:rFonts w:cstheme="minorHAnsi"/>
          <w:sz w:val="20"/>
          <w:szCs w:val="20"/>
        </w:rPr>
        <w:t>. Through a combination of stakeholder consultation and document review, KPMG</w:t>
      </w:r>
      <w:r w:rsidR="00867112" w:rsidRPr="00043245">
        <w:rPr>
          <w:rFonts w:cstheme="minorHAnsi"/>
          <w:sz w:val="20"/>
          <w:szCs w:val="20"/>
        </w:rPr>
        <w:t>:</w:t>
      </w:r>
    </w:p>
    <w:p w14:paraId="049A5F07" w14:textId="77777777" w:rsidR="003B7616" w:rsidRPr="00043245" w:rsidRDefault="00D43892" w:rsidP="00F74EDA">
      <w:pPr>
        <w:pStyle w:val="ListParagraph"/>
        <w:numPr>
          <w:ilvl w:val="1"/>
          <w:numId w:val="5"/>
        </w:numPr>
        <w:spacing w:before="120" w:after="120" w:line="240" w:lineRule="auto"/>
        <w:ind w:left="1077" w:hanging="357"/>
        <w:rPr>
          <w:rFonts w:cstheme="minorHAnsi"/>
          <w:sz w:val="20"/>
          <w:szCs w:val="20"/>
        </w:rPr>
      </w:pPr>
      <w:r w:rsidRPr="00043245">
        <w:rPr>
          <w:rFonts w:cstheme="minorHAnsi"/>
          <w:sz w:val="20"/>
          <w:szCs w:val="20"/>
        </w:rPr>
        <w:t>Underst</w:t>
      </w:r>
      <w:r w:rsidR="00DA5730" w:rsidRPr="00043245">
        <w:rPr>
          <w:rFonts w:cstheme="minorHAnsi"/>
          <w:sz w:val="20"/>
          <w:szCs w:val="20"/>
        </w:rPr>
        <w:t>ood</w:t>
      </w:r>
      <w:r w:rsidRPr="00043245">
        <w:rPr>
          <w:rFonts w:cstheme="minorHAnsi"/>
          <w:sz w:val="20"/>
          <w:szCs w:val="20"/>
        </w:rPr>
        <w:t xml:space="preserve"> and review</w:t>
      </w:r>
      <w:r w:rsidR="00DA5730" w:rsidRPr="00043245">
        <w:rPr>
          <w:rFonts w:cstheme="minorHAnsi"/>
          <w:sz w:val="20"/>
          <w:szCs w:val="20"/>
        </w:rPr>
        <w:t>ed</w:t>
      </w:r>
      <w:r w:rsidRPr="00043245">
        <w:rPr>
          <w:rFonts w:cstheme="minorHAnsi"/>
          <w:sz w:val="20"/>
          <w:szCs w:val="20"/>
        </w:rPr>
        <w:t xml:space="preserve"> systems, processes and controls for the governance and administration of the relevant program to ensure these have been appropriately designed and implemented, including governance mechanisms, risk management, monitoring activities.</w:t>
      </w:r>
    </w:p>
    <w:p w14:paraId="313C4E09" w14:textId="77777777" w:rsidR="00C00556" w:rsidRPr="00043245" w:rsidRDefault="00867112" w:rsidP="00F74EDA">
      <w:pPr>
        <w:pStyle w:val="ListParagraph"/>
        <w:numPr>
          <w:ilvl w:val="1"/>
          <w:numId w:val="5"/>
        </w:numPr>
        <w:spacing w:before="120" w:after="120" w:line="240" w:lineRule="auto"/>
        <w:ind w:left="1077" w:hanging="357"/>
        <w:rPr>
          <w:rFonts w:cstheme="minorHAnsi"/>
          <w:sz w:val="20"/>
          <w:szCs w:val="20"/>
        </w:rPr>
      </w:pPr>
      <w:r w:rsidRPr="00043245">
        <w:rPr>
          <w:rFonts w:cstheme="minorHAnsi"/>
          <w:sz w:val="20"/>
          <w:szCs w:val="20"/>
        </w:rPr>
        <w:t>Review</w:t>
      </w:r>
      <w:r w:rsidR="00DA5730" w:rsidRPr="00043245">
        <w:rPr>
          <w:rFonts w:cstheme="minorHAnsi"/>
          <w:sz w:val="20"/>
          <w:szCs w:val="20"/>
        </w:rPr>
        <w:t>ed</w:t>
      </w:r>
      <w:r w:rsidRPr="00043245">
        <w:rPr>
          <w:rFonts w:cstheme="minorHAnsi"/>
          <w:sz w:val="20"/>
          <w:szCs w:val="20"/>
        </w:rPr>
        <w:t xml:space="preserve"> the selected </w:t>
      </w:r>
      <w:r w:rsidR="00C00556" w:rsidRPr="00043245">
        <w:rPr>
          <w:rFonts w:cstheme="minorHAnsi"/>
          <w:sz w:val="20"/>
          <w:szCs w:val="20"/>
        </w:rPr>
        <w:t>sample of approved projects for compliance with requirements</w:t>
      </w:r>
      <w:r w:rsidR="00DA5730" w:rsidRPr="00043245">
        <w:rPr>
          <w:rFonts w:cstheme="minorHAnsi"/>
          <w:sz w:val="20"/>
          <w:szCs w:val="20"/>
        </w:rPr>
        <w:t xml:space="preserve"> outlined in the testing checklist.</w:t>
      </w:r>
    </w:p>
    <w:p w14:paraId="718A757A" w14:textId="77777777" w:rsidR="00867112" w:rsidRPr="00043245" w:rsidRDefault="00867112" w:rsidP="00F74EDA">
      <w:pPr>
        <w:pStyle w:val="ListParagraph"/>
        <w:numPr>
          <w:ilvl w:val="1"/>
          <w:numId w:val="5"/>
        </w:numPr>
        <w:spacing w:before="120" w:after="120" w:line="240" w:lineRule="auto"/>
        <w:ind w:left="1077" w:hanging="357"/>
        <w:contextualSpacing w:val="0"/>
        <w:rPr>
          <w:rFonts w:cstheme="minorHAnsi"/>
          <w:sz w:val="20"/>
          <w:szCs w:val="20"/>
        </w:rPr>
      </w:pPr>
      <w:r w:rsidRPr="00043245">
        <w:rPr>
          <w:rFonts w:cstheme="minorHAnsi"/>
          <w:sz w:val="20"/>
          <w:szCs w:val="20"/>
        </w:rPr>
        <w:t>Select</w:t>
      </w:r>
      <w:r w:rsidR="00DA5730" w:rsidRPr="00043245">
        <w:rPr>
          <w:rFonts w:cstheme="minorHAnsi"/>
          <w:sz w:val="20"/>
          <w:szCs w:val="20"/>
        </w:rPr>
        <w:t>ed a</w:t>
      </w:r>
      <w:r w:rsidRPr="00043245">
        <w:rPr>
          <w:rFonts w:cstheme="minorHAnsi"/>
          <w:sz w:val="20"/>
          <w:szCs w:val="20"/>
        </w:rPr>
        <w:t xml:space="preserve"> refined sample of</w:t>
      </w:r>
      <w:r w:rsidR="00DA5730" w:rsidRPr="00043245">
        <w:rPr>
          <w:rFonts w:cstheme="minorHAnsi"/>
          <w:sz w:val="20"/>
          <w:szCs w:val="20"/>
        </w:rPr>
        <w:t xml:space="preserve"> nine projects</w:t>
      </w:r>
      <w:r w:rsidRPr="00043245">
        <w:rPr>
          <w:rFonts w:cstheme="minorHAnsi"/>
          <w:sz w:val="20"/>
          <w:szCs w:val="20"/>
        </w:rPr>
        <w:t xml:space="preserve"> for on-ground verification</w:t>
      </w:r>
      <w:r w:rsidR="00DA5730" w:rsidRPr="00043245">
        <w:rPr>
          <w:rFonts w:cstheme="minorHAnsi"/>
          <w:sz w:val="20"/>
          <w:szCs w:val="20"/>
        </w:rPr>
        <w:t xml:space="preserve"> – a subset of the original sample.</w:t>
      </w:r>
    </w:p>
    <w:p w14:paraId="67C9AABA" w14:textId="77777777" w:rsidR="00867112" w:rsidRPr="00043245" w:rsidRDefault="00867112" w:rsidP="00F74EDA">
      <w:pPr>
        <w:pStyle w:val="ListParagraph"/>
        <w:numPr>
          <w:ilvl w:val="0"/>
          <w:numId w:val="5"/>
        </w:numPr>
        <w:spacing w:before="60" w:after="60" w:line="240" w:lineRule="auto"/>
        <w:contextualSpacing w:val="0"/>
        <w:rPr>
          <w:rFonts w:cstheme="minorHAnsi"/>
          <w:sz w:val="20"/>
          <w:szCs w:val="20"/>
        </w:rPr>
      </w:pPr>
      <w:r w:rsidRPr="00043245">
        <w:rPr>
          <w:rFonts w:cstheme="minorHAnsi"/>
          <w:sz w:val="20"/>
          <w:szCs w:val="20"/>
        </w:rPr>
        <w:t>Conducted site visits for</w:t>
      </w:r>
      <w:r w:rsidR="00DA5730" w:rsidRPr="00043245">
        <w:rPr>
          <w:rFonts w:cstheme="minorHAnsi"/>
          <w:sz w:val="20"/>
          <w:szCs w:val="20"/>
        </w:rPr>
        <w:t xml:space="preserve"> </w:t>
      </w:r>
      <w:r w:rsidR="00432EE5" w:rsidRPr="00043245">
        <w:rPr>
          <w:rFonts w:cstheme="minorHAnsi"/>
          <w:sz w:val="20"/>
          <w:szCs w:val="20"/>
        </w:rPr>
        <w:t xml:space="preserve">a </w:t>
      </w:r>
      <w:r w:rsidR="00DA5730" w:rsidRPr="00043245">
        <w:rPr>
          <w:rFonts w:cstheme="minorHAnsi"/>
          <w:sz w:val="20"/>
          <w:szCs w:val="20"/>
        </w:rPr>
        <w:t>further</w:t>
      </w:r>
      <w:r w:rsidRPr="00043245">
        <w:rPr>
          <w:rFonts w:cstheme="minorHAnsi"/>
          <w:sz w:val="20"/>
          <w:szCs w:val="20"/>
        </w:rPr>
        <w:t xml:space="preserve"> nine approved projects</w:t>
      </w:r>
      <w:r w:rsidR="00DA5730" w:rsidRPr="00043245">
        <w:rPr>
          <w:rFonts w:cstheme="minorHAnsi"/>
          <w:sz w:val="20"/>
          <w:szCs w:val="20"/>
        </w:rPr>
        <w:t xml:space="preserve"> and undertook the following:</w:t>
      </w:r>
      <w:r w:rsidRPr="00043245">
        <w:rPr>
          <w:rFonts w:cstheme="minorHAnsi"/>
          <w:sz w:val="20"/>
          <w:szCs w:val="20"/>
        </w:rPr>
        <w:t xml:space="preserve"> </w:t>
      </w:r>
    </w:p>
    <w:p w14:paraId="3EA78081" w14:textId="77777777" w:rsidR="003B7616" w:rsidRPr="00043245" w:rsidRDefault="0044489D" w:rsidP="00F74EDA">
      <w:pPr>
        <w:pStyle w:val="ListParagraph"/>
        <w:numPr>
          <w:ilvl w:val="1"/>
          <w:numId w:val="5"/>
        </w:numPr>
        <w:spacing w:before="120" w:after="120" w:line="240" w:lineRule="auto"/>
        <w:ind w:left="1077" w:hanging="357"/>
        <w:rPr>
          <w:rFonts w:cstheme="minorHAnsi"/>
          <w:sz w:val="20"/>
          <w:szCs w:val="20"/>
        </w:rPr>
      </w:pPr>
      <w:r w:rsidRPr="00043245">
        <w:rPr>
          <w:rFonts w:cstheme="minorHAnsi"/>
          <w:sz w:val="20"/>
          <w:szCs w:val="20"/>
        </w:rPr>
        <w:t>Gained an u</w:t>
      </w:r>
      <w:r w:rsidR="00D43892" w:rsidRPr="00043245">
        <w:rPr>
          <w:rFonts w:cstheme="minorHAnsi"/>
          <w:sz w:val="20"/>
          <w:szCs w:val="20"/>
        </w:rPr>
        <w:t>nderstand</w:t>
      </w:r>
      <w:r w:rsidRPr="00043245">
        <w:rPr>
          <w:rFonts w:cstheme="minorHAnsi"/>
          <w:sz w:val="20"/>
          <w:szCs w:val="20"/>
        </w:rPr>
        <w:t>ing</w:t>
      </w:r>
      <w:r w:rsidR="00D43892" w:rsidRPr="00043245">
        <w:rPr>
          <w:rFonts w:cstheme="minorHAnsi"/>
          <w:sz w:val="20"/>
          <w:szCs w:val="20"/>
        </w:rPr>
        <w:t xml:space="preserve"> of the processes in place at the proponent / funding recipient to ensure they comply with the funding conditions.</w:t>
      </w:r>
    </w:p>
    <w:p w14:paraId="3AF9B406" w14:textId="77777777" w:rsidR="00867112" w:rsidRPr="00043245" w:rsidRDefault="00867112" w:rsidP="00F74EDA">
      <w:pPr>
        <w:pStyle w:val="ListParagraph"/>
        <w:numPr>
          <w:ilvl w:val="1"/>
          <w:numId w:val="5"/>
        </w:numPr>
        <w:spacing w:before="120" w:after="120" w:line="240" w:lineRule="auto"/>
        <w:ind w:left="1077" w:hanging="357"/>
        <w:rPr>
          <w:rFonts w:cstheme="minorHAnsi"/>
          <w:sz w:val="20"/>
          <w:szCs w:val="20"/>
        </w:rPr>
      </w:pPr>
      <w:r w:rsidRPr="00043245">
        <w:rPr>
          <w:rFonts w:cstheme="minorHAnsi"/>
          <w:sz w:val="20"/>
          <w:szCs w:val="20"/>
        </w:rPr>
        <w:t>Obtain</w:t>
      </w:r>
      <w:r w:rsidR="0044489D" w:rsidRPr="00043245">
        <w:rPr>
          <w:rFonts w:cstheme="minorHAnsi"/>
          <w:sz w:val="20"/>
          <w:szCs w:val="20"/>
        </w:rPr>
        <w:t>ed</w:t>
      </w:r>
      <w:r w:rsidRPr="00043245">
        <w:rPr>
          <w:rFonts w:cstheme="minorHAnsi"/>
          <w:sz w:val="20"/>
          <w:szCs w:val="20"/>
        </w:rPr>
        <w:t xml:space="preserve"> feedback from proponents on the HHWUE project.</w:t>
      </w:r>
    </w:p>
    <w:p w14:paraId="187C17E2" w14:textId="77777777" w:rsidR="00DA5730" w:rsidRPr="00043245" w:rsidRDefault="0044489D" w:rsidP="00F74EDA">
      <w:pPr>
        <w:pStyle w:val="ListParagraph"/>
        <w:numPr>
          <w:ilvl w:val="1"/>
          <w:numId w:val="5"/>
        </w:numPr>
        <w:spacing w:before="120" w:after="120" w:line="240" w:lineRule="auto"/>
        <w:ind w:left="1077" w:hanging="357"/>
        <w:rPr>
          <w:rFonts w:cstheme="minorHAnsi"/>
          <w:sz w:val="20"/>
          <w:szCs w:val="20"/>
        </w:rPr>
      </w:pPr>
      <w:r w:rsidRPr="00043245">
        <w:rPr>
          <w:rFonts w:cstheme="minorHAnsi"/>
          <w:sz w:val="20"/>
          <w:szCs w:val="20"/>
        </w:rPr>
        <w:t>Undertook</w:t>
      </w:r>
      <w:r w:rsidR="00D43892" w:rsidRPr="00043245">
        <w:rPr>
          <w:rFonts w:cstheme="minorHAnsi"/>
          <w:sz w:val="20"/>
          <w:szCs w:val="20"/>
        </w:rPr>
        <w:t xml:space="preserve"> </w:t>
      </w:r>
      <w:r w:rsidR="00A757B6" w:rsidRPr="00043245">
        <w:rPr>
          <w:rFonts w:cstheme="minorHAnsi"/>
          <w:sz w:val="20"/>
          <w:szCs w:val="20"/>
        </w:rPr>
        <w:t xml:space="preserve">an </w:t>
      </w:r>
      <w:r w:rsidR="00D43892" w:rsidRPr="00043245">
        <w:rPr>
          <w:rFonts w:cstheme="minorHAnsi"/>
          <w:sz w:val="20"/>
          <w:szCs w:val="20"/>
        </w:rPr>
        <w:t>assessment of the progress made in implementing on-ground works and verification of engineering reports</w:t>
      </w:r>
      <w:r w:rsidR="00DA5730" w:rsidRPr="00043245">
        <w:rPr>
          <w:rFonts w:cstheme="minorHAnsi"/>
          <w:sz w:val="20"/>
          <w:szCs w:val="20"/>
        </w:rPr>
        <w:t>, namely:</w:t>
      </w:r>
    </w:p>
    <w:p w14:paraId="6BACFA70" w14:textId="77777777" w:rsidR="00DA5730" w:rsidRPr="00043245" w:rsidRDefault="00DA5730" w:rsidP="00F74EDA">
      <w:pPr>
        <w:pStyle w:val="ListParagraph"/>
        <w:numPr>
          <w:ilvl w:val="2"/>
          <w:numId w:val="5"/>
        </w:numPr>
        <w:spacing w:before="120" w:after="120" w:line="240" w:lineRule="auto"/>
        <w:rPr>
          <w:rFonts w:cstheme="minorHAnsi"/>
          <w:sz w:val="20"/>
          <w:szCs w:val="20"/>
        </w:rPr>
      </w:pPr>
      <w:r w:rsidRPr="00043245">
        <w:rPr>
          <w:rFonts w:cstheme="minorHAnsi"/>
          <w:sz w:val="20"/>
          <w:szCs w:val="20"/>
        </w:rPr>
        <w:t>Scope of works in approved application;</w:t>
      </w:r>
    </w:p>
    <w:p w14:paraId="66108383" w14:textId="77777777" w:rsidR="00DA5730" w:rsidRPr="00043245" w:rsidRDefault="00DA5730" w:rsidP="00F74EDA">
      <w:pPr>
        <w:pStyle w:val="ListParagraph"/>
        <w:numPr>
          <w:ilvl w:val="2"/>
          <w:numId w:val="5"/>
        </w:numPr>
        <w:spacing w:before="120" w:after="120" w:line="240" w:lineRule="auto"/>
        <w:rPr>
          <w:rFonts w:cstheme="minorHAnsi"/>
          <w:sz w:val="20"/>
          <w:szCs w:val="20"/>
        </w:rPr>
      </w:pPr>
      <w:r w:rsidRPr="00043245">
        <w:rPr>
          <w:rFonts w:cstheme="minorHAnsi"/>
          <w:sz w:val="20"/>
          <w:szCs w:val="20"/>
        </w:rPr>
        <w:t>Milestone inspection reports; and/or</w:t>
      </w:r>
    </w:p>
    <w:p w14:paraId="229216ED" w14:textId="77777777" w:rsidR="003B7616" w:rsidRPr="00043245" w:rsidRDefault="00DA5730" w:rsidP="00F74EDA">
      <w:pPr>
        <w:pStyle w:val="ListParagraph"/>
        <w:numPr>
          <w:ilvl w:val="2"/>
          <w:numId w:val="5"/>
        </w:numPr>
        <w:spacing w:before="120" w:after="120" w:line="240" w:lineRule="auto"/>
        <w:rPr>
          <w:rFonts w:cstheme="minorHAnsi"/>
          <w:sz w:val="18"/>
          <w:szCs w:val="18"/>
        </w:rPr>
      </w:pPr>
      <w:r w:rsidRPr="00043245">
        <w:rPr>
          <w:rFonts w:cstheme="minorHAnsi"/>
          <w:sz w:val="20"/>
          <w:szCs w:val="20"/>
        </w:rPr>
        <w:t>Final commissioning</w:t>
      </w:r>
      <w:r w:rsidRPr="00043245">
        <w:rPr>
          <w:rFonts w:cstheme="minorHAnsi"/>
          <w:sz w:val="18"/>
          <w:szCs w:val="18"/>
        </w:rPr>
        <w:t xml:space="preserve"> report. </w:t>
      </w:r>
    </w:p>
    <w:p w14:paraId="59864FDF" w14:textId="77777777" w:rsidR="003B7616" w:rsidRPr="00043245" w:rsidRDefault="00D43892" w:rsidP="00F74EDA">
      <w:pPr>
        <w:pStyle w:val="ListParagraph"/>
        <w:numPr>
          <w:ilvl w:val="1"/>
          <w:numId w:val="5"/>
        </w:numPr>
        <w:spacing w:before="120" w:after="120" w:line="240" w:lineRule="auto"/>
        <w:ind w:left="1077" w:hanging="357"/>
        <w:rPr>
          <w:rFonts w:cstheme="minorHAnsi"/>
          <w:sz w:val="20"/>
          <w:szCs w:val="20"/>
        </w:rPr>
      </w:pPr>
      <w:r w:rsidRPr="00043245">
        <w:rPr>
          <w:rFonts w:cstheme="minorHAnsi"/>
          <w:sz w:val="20"/>
          <w:szCs w:val="20"/>
        </w:rPr>
        <w:t>Follow</w:t>
      </w:r>
      <w:r w:rsidR="00432EE5" w:rsidRPr="00043245">
        <w:rPr>
          <w:rFonts w:cstheme="minorHAnsi"/>
          <w:sz w:val="20"/>
          <w:szCs w:val="20"/>
        </w:rPr>
        <w:t>ed</w:t>
      </w:r>
      <w:r w:rsidRPr="00043245">
        <w:rPr>
          <w:rFonts w:cstheme="minorHAnsi"/>
          <w:sz w:val="20"/>
          <w:szCs w:val="20"/>
        </w:rPr>
        <w:t xml:space="preserve"> up any risks or gaps identified during desktop assessment.</w:t>
      </w:r>
    </w:p>
    <w:p w14:paraId="10B30CAF" w14:textId="77777777" w:rsidR="00867112" w:rsidRPr="00043245" w:rsidRDefault="00867112" w:rsidP="0044489D">
      <w:pPr>
        <w:spacing w:before="120" w:after="120" w:line="240" w:lineRule="auto"/>
        <w:rPr>
          <w:rFonts w:cstheme="minorHAnsi"/>
          <w:b/>
          <w:sz w:val="20"/>
          <w:szCs w:val="20"/>
        </w:rPr>
      </w:pPr>
      <w:r w:rsidRPr="00043245">
        <w:rPr>
          <w:rFonts w:cstheme="minorHAnsi"/>
          <w:b/>
          <w:sz w:val="20"/>
          <w:szCs w:val="20"/>
        </w:rPr>
        <w:t>Reporting</w:t>
      </w:r>
    </w:p>
    <w:p w14:paraId="3FFA53EA" w14:textId="4E2A69E6" w:rsidR="00867112" w:rsidRPr="00043245" w:rsidRDefault="007B612D" w:rsidP="00F74EDA">
      <w:pPr>
        <w:pStyle w:val="ListParagraph"/>
        <w:numPr>
          <w:ilvl w:val="0"/>
          <w:numId w:val="5"/>
        </w:numPr>
        <w:spacing w:before="60" w:after="60" w:line="240" w:lineRule="auto"/>
        <w:contextualSpacing w:val="0"/>
        <w:rPr>
          <w:rFonts w:cstheme="minorHAnsi"/>
          <w:sz w:val="20"/>
          <w:szCs w:val="20"/>
        </w:rPr>
      </w:pPr>
      <w:r w:rsidRPr="00043245">
        <w:rPr>
          <w:rFonts w:cstheme="minorHAnsi"/>
          <w:sz w:val="20"/>
          <w:szCs w:val="20"/>
        </w:rPr>
        <w:t xml:space="preserve">Sought additional information and discussed </w:t>
      </w:r>
      <w:r w:rsidR="00867112" w:rsidRPr="00043245">
        <w:rPr>
          <w:rFonts w:cstheme="minorHAnsi"/>
          <w:sz w:val="20"/>
          <w:szCs w:val="20"/>
        </w:rPr>
        <w:t>observation</w:t>
      </w:r>
      <w:r w:rsidR="00E621EE" w:rsidRPr="00043245">
        <w:rPr>
          <w:rFonts w:cstheme="minorHAnsi"/>
          <w:sz w:val="20"/>
          <w:szCs w:val="20"/>
        </w:rPr>
        <w:t>s</w:t>
      </w:r>
      <w:r w:rsidR="00867112" w:rsidRPr="00043245">
        <w:rPr>
          <w:rFonts w:cstheme="minorHAnsi"/>
          <w:sz w:val="20"/>
          <w:szCs w:val="20"/>
        </w:rPr>
        <w:t xml:space="preserve"> with the </w:t>
      </w:r>
      <w:r w:rsidR="00E621EE" w:rsidRPr="00043245">
        <w:rPr>
          <w:rFonts w:cstheme="minorHAnsi"/>
          <w:sz w:val="20"/>
          <w:szCs w:val="20"/>
        </w:rPr>
        <w:t>DNRME</w:t>
      </w:r>
      <w:r w:rsidRPr="00043245">
        <w:rPr>
          <w:rFonts w:cstheme="minorHAnsi"/>
          <w:sz w:val="20"/>
          <w:szCs w:val="20"/>
        </w:rPr>
        <w:t xml:space="preserve"> and DAWR</w:t>
      </w:r>
      <w:r w:rsidR="00867112" w:rsidRPr="00043245">
        <w:rPr>
          <w:rFonts w:cstheme="minorHAnsi"/>
          <w:sz w:val="20"/>
          <w:szCs w:val="20"/>
        </w:rPr>
        <w:t xml:space="preserve"> to confirm factual accuracy </w:t>
      </w:r>
      <w:r w:rsidR="00E621EE" w:rsidRPr="00043245">
        <w:rPr>
          <w:rFonts w:cstheme="minorHAnsi"/>
          <w:sz w:val="20"/>
          <w:szCs w:val="20"/>
        </w:rPr>
        <w:t xml:space="preserve">of observations </w:t>
      </w:r>
      <w:r w:rsidR="00867112" w:rsidRPr="00043245">
        <w:rPr>
          <w:rFonts w:cstheme="minorHAnsi"/>
          <w:sz w:val="20"/>
          <w:szCs w:val="20"/>
        </w:rPr>
        <w:t>prior to the Draft report.</w:t>
      </w:r>
    </w:p>
    <w:p w14:paraId="017216A5" w14:textId="7F5FCFDB" w:rsidR="00867112" w:rsidRPr="00043245" w:rsidRDefault="00867112" w:rsidP="00F74EDA">
      <w:pPr>
        <w:pStyle w:val="ListParagraph"/>
        <w:numPr>
          <w:ilvl w:val="0"/>
          <w:numId w:val="5"/>
        </w:numPr>
        <w:spacing w:before="60" w:after="60" w:line="240" w:lineRule="auto"/>
        <w:contextualSpacing w:val="0"/>
        <w:rPr>
          <w:rFonts w:cstheme="minorHAnsi"/>
          <w:sz w:val="20"/>
          <w:szCs w:val="20"/>
        </w:rPr>
      </w:pPr>
      <w:r w:rsidRPr="00043245">
        <w:rPr>
          <w:rFonts w:cstheme="minorHAnsi"/>
          <w:sz w:val="20"/>
          <w:szCs w:val="20"/>
        </w:rPr>
        <w:t>Developed a draft a report for circulation to relevant stakeholders.</w:t>
      </w:r>
    </w:p>
    <w:p w14:paraId="10DB7B3B" w14:textId="77777777" w:rsidR="00D43892" w:rsidRPr="00043245" w:rsidRDefault="00D43892" w:rsidP="00F74EDA">
      <w:pPr>
        <w:pStyle w:val="ListParagraph"/>
        <w:numPr>
          <w:ilvl w:val="0"/>
          <w:numId w:val="5"/>
        </w:numPr>
        <w:spacing w:before="60" w:after="60" w:line="240" w:lineRule="auto"/>
        <w:contextualSpacing w:val="0"/>
        <w:rPr>
          <w:rFonts w:cstheme="minorHAnsi"/>
          <w:sz w:val="20"/>
          <w:szCs w:val="20"/>
        </w:rPr>
      </w:pPr>
      <w:r w:rsidRPr="00043245">
        <w:rPr>
          <w:rFonts w:cstheme="minorHAnsi"/>
          <w:sz w:val="20"/>
          <w:szCs w:val="20"/>
        </w:rPr>
        <w:t>Finalise</w:t>
      </w:r>
      <w:r w:rsidR="0044489D" w:rsidRPr="00043245">
        <w:rPr>
          <w:rFonts w:cstheme="minorHAnsi"/>
          <w:sz w:val="20"/>
          <w:szCs w:val="20"/>
        </w:rPr>
        <w:t>d</w:t>
      </w:r>
      <w:r w:rsidRPr="00043245">
        <w:rPr>
          <w:rFonts w:cstheme="minorHAnsi"/>
          <w:sz w:val="20"/>
          <w:szCs w:val="20"/>
        </w:rPr>
        <w:t xml:space="preserve"> report, based on consolidated feedback from the </w:t>
      </w:r>
      <w:r w:rsidR="00C57E81" w:rsidRPr="00043245">
        <w:rPr>
          <w:rFonts w:cstheme="minorHAnsi"/>
          <w:sz w:val="20"/>
          <w:szCs w:val="20"/>
        </w:rPr>
        <w:t>DAWR</w:t>
      </w:r>
      <w:r w:rsidRPr="00043245">
        <w:rPr>
          <w:rFonts w:cstheme="minorHAnsi"/>
          <w:sz w:val="20"/>
          <w:szCs w:val="20"/>
        </w:rPr>
        <w:t xml:space="preserve"> and </w:t>
      </w:r>
      <w:r w:rsidR="00A757B6" w:rsidRPr="00043245">
        <w:rPr>
          <w:rFonts w:cstheme="minorHAnsi"/>
          <w:sz w:val="20"/>
          <w:szCs w:val="20"/>
        </w:rPr>
        <w:t xml:space="preserve">DNRME </w:t>
      </w:r>
      <w:r w:rsidRPr="00043245">
        <w:rPr>
          <w:rFonts w:cstheme="minorHAnsi"/>
          <w:sz w:val="20"/>
          <w:szCs w:val="20"/>
        </w:rPr>
        <w:t>stakeholders.</w:t>
      </w:r>
    </w:p>
    <w:p w14:paraId="4F133E41" w14:textId="77777777" w:rsidR="00FC0C47" w:rsidRPr="00043245" w:rsidRDefault="00FC0C47" w:rsidP="00597060">
      <w:pPr>
        <w:pStyle w:val="Heading2"/>
        <w:pageBreakBefore/>
        <w:numPr>
          <w:ilvl w:val="0"/>
          <w:numId w:val="2"/>
        </w:numPr>
        <w:ind w:left="425" w:hanging="425"/>
        <w:rPr>
          <w:rFonts w:asciiTheme="minorHAnsi" w:hAnsiTheme="minorHAnsi" w:cstheme="minorHAnsi"/>
        </w:rPr>
      </w:pPr>
      <w:bookmarkStart w:id="42" w:name="_Toc528653266"/>
      <w:r w:rsidRPr="00043245">
        <w:rPr>
          <w:rFonts w:asciiTheme="minorHAnsi" w:hAnsiTheme="minorHAnsi" w:cstheme="minorHAnsi"/>
        </w:rPr>
        <w:t>Disclaimer</w:t>
      </w:r>
      <w:bookmarkEnd w:id="42"/>
    </w:p>
    <w:p w14:paraId="30483551" w14:textId="77777777" w:rsidR="00273FB1" w:rsidRPr="00043245" w:rsidRDefault="00273FB1" w:rsidP="00273FB1">
      <w:pPr>
        <w:rPr>
          <w:rFonts w:cstheme="minorHAnsi"/>
          <w:sz w:val="20"/>
        </w:rPr>
      </w:pPr>
      <w:r w:rsidRPr="00043245">
        <w:rPr>
          <w:rFonts w:cstheme="minorHAnsi"/>
          <w:b/>
          <w:bCs/>
          <w:sz w:val="20"/>
        </w:rPr>
        <w:t>Inherent Limitations</w:t>
      </w:r>
    </w:p>
    <w:p w14:paraId="5D324395" w14:textId="77777777" w:rsidR="00273FB1" w:rsidRPr="00043245" w:rsidRDefault="00273FB1" w:rsidP="00273FB1">
      <w:pPr>
        <w:spacing w:before="120" w:after="120" w:line="240" w:lineRule="auto"/>
        <w:rPr>
          <w:rFonts w:cstheme="minorHAnsi"/>
          <w:sz w:val="20"/>
        </w:rPr>
      </w:pPr>
      <w:r w:rsidRPr="00043245">
        <w:rPr>
          <w:rFonts w:cstheme="minorHAnsi"/>
          <w:sz w:val="20"/>
        </w:rPr>
        <w:t>This report has been prepared as outlined in Appendix B of the report. The procedures outlined in the approach do not constitute a statutory audit nor a comprehensive review of operations.</w:t>
      </w:r>
    </w:p>
    <w:p w14:paraId="6C579F31" w14:textId="77777777" w:rsidR="00273FB1" w:rsidRPr="00043245" w:rsidRDefault="00273FB1" w:rsidP="00273FB1">
      <w:pPr>
        <w:spacing w:before="120" w:after="120" w:line="240" w:lineRule="auto"/>
        <w:rPr>
          <w:rFonts w:cstheme="minorHAnsi"/>
          <w:sz w:val="20"/>
        </w:rPr>
      </w:pPr>
      <w:r w:rsidRPr="00043245">
        <w:rPr>
          <w:rFonts w:cstheme="minorHAnsi"/>
          <w:sz w:val="20"/>
        </w:rPr>
        <w:t>No warranty of completeness, accuracy or reliability is given by KPMG in relation to the statements and representations made by the department and client agencies, nor the information and documentation provided by the department and client agencies, as part of the process used in preparing this report.</w:t>
      </w:r>
    </w:p>
    <w:p w14:paraId="78830280" w14:textId="77777777" w:rsidR="00273FB1" w:rsidRPr="00043245" w:rsidRDefault="00273FB1" w:rsidP="00273FB1">
      <w:pPr>
        <w:spacing w:before="120" w:after="120" w:line="240" w:lineRule="auto"/>
        <w:rPr>
          <w:rFonts w:cstheme="minorHAnsi"/>
          <w:sz w:val="20"/>
        </w:rPr>
      </w:pPr>
      <w:r w:rsidRPr="00043245">
        <w:rPr>
          <w:rFonts w:cstheme="minorHAnsi"/>
          <w:sz w:val="20"/>
        </w:rPr>
        <w:t>We have not sought to independently verify those sources unless otherwise noted within the report. KPMG is under no obligation in any circumstance to update this report, in either oral or written form, for events occurring after the report has been issued in final form. The findings in this report have been formed on the above basis.</w:t>
      </w:r>
    </w:p>
    <w:p w14:paraId="5503D153" w14:textId="412EBA87" w:rsidR="00273FB1" w:rsidRPr="00043245" w:rsidRDefault="00273FB1" w:rsidP="00273FB1">
      <w:pPr>
        <w:spacing w:before="120" w:after="120" w:line="240" w:lineRule="auto"/>
        <w:rPr>
          <w:rFonts w:cstheme="minorHAnsi"/>
          <w:sz w:val="20"/>
        </w:rPr>
      </w:pPr>
      <w:r w:rsidRPr="00043245">
        <w:rPr>
          <w:rFonts w:cstheme="minorHAnsi"/>
          <w:sz w:val="20"/>
        </w:rPr>
        <w:t xml:space="preserve">Due to the inherent limitations of any internal control structure, it is possible that fraud, error or non-compliance with laws and regulations may occur and not be detected. Further, the </w:t>
      </w:r>
      <w:r w:rsidR="000B2AF6" w:rsidRPr="00043245">
        <w:rPr>
          <w:rFonts w:cstheme="minorHAnsi"/>
          <w:sz w:val="20"/>
        </w:rPr>
        <w:t>organisational control</w:t>
      </w:r>
      <w:r w:rsidRPr="00043245">
        <w:rPr>
          <w:rFonts w:cstheme="minorHAnsi"/>
          <w:sz w:val="20"/>
        </w:rPr>
        <w:t xml:space="preserve"> structure, within which the </w:t>
      </w:r>
      <w:r w:rsidR="00C95FF7" w:rsidRPr="00043245">
        <w:rPr>
          <w:rFonts w:cstheme="minorHAnsi"/>
          <w:sz w:val="20"/>
        </w:rPr>
        <w:t>State Priority Project operates</w:t>
      </w:r>
      <w:r w:rsidRPr="00043245">
        <w:rPr>
          <w:rFonts w:cstheme="minorHAnsi"/>
          <w:sz w:val="20"/>
        </w:rPr>
        <w:t>, has not been reviewed in its entirety and, therefore, no opinion or view is expressed as to its effectiveness of th</w:t>
      </w:r>
      <w:r w:rsidR="000B2AF6" w:rsidRPr="00043245">
        <w:rPr>
          <w:rFonts w:cstheme="minorHAnsi"/>
          <w:sz w:val="20"/>
        </w:rPr>
        <w:t>is</w:t>
      </w:r>
      <w:r w:rsidRPr="00043245">
        <w:rPr>
          <w:rFonts w:cstheme="minorHAnsi"/>
          <w:sz w:val="20"/>
        </w:rPr>
        <w:t xml:space="preserve"> greater control structure. The procedures performed were not designed to detect all weaknesses in control procedures as they are not performed continuously throughout the period and the tests performed on the control procedures are on sample basis. Any projection of the evaluation of control procedures to future periods is subject to the risk that the procedures may become inadequate because of changes in conditions, or that the degree of compliance with them may deteriorate. ‘Review’ in this Report is not used in the context as outlined in the Australian Auditing Standard</w:t>
      </w:r>
      <w:r w:rsidR="003130C0" w:rsidRPr="00043245">
        <w:rPr>
          <w:rFonts w:cstheme="minorHAnsi"/>
          <w:sz w:val="20"/>
        </w:rPr>
        <w:t>s</w:t>
      </w:r>
      <w:r w:rsidRPr="00043245">
        <w:rPr>
          <w:rFonts w:cstheme="minorHAnsi"/>
          <w:sz w:val="20"/>
        </w:rPr>
        <w:t>.</w:t>
      </w:r>
    </w:p>
    <w:p w14:paraId="0E823B7E" w14:textId="77777777" w:rsidR="00273FB1" w:rsidRPr="00043245" w:rsidRDefault="00273FB1" w:rsidP="00273FB1">
      <w:pPr>
        <w:spacing w:before="120" w:after="120" w:line="240" w:lineRule="auto"/>
        <w:rPr>
          <w:rFonts w:cstheme="minorHAnsi"/>
          <w:sz w:val="20"/>
        </w:rPr>
      </w:pPr>
      <w:r w:rsidRPr="00043245">
        <w:rPr>
          <w:rFonts w:cstheme="minorHAnsi"/>
          <w:b/>
          <w:bCs/>
          <w:sz w:val="20"/>
        </w:rPr>
        <w:t>Third Party Reliance</w:t>
      </w:r>
    </w:p>
    <w:p w14:paraId="3530F830" w14:textId="77777777" w:rsidR="00273FB1" w:rsidRPr="00043245" w:rsidRDefault="00273FB1" w:rsidP="00273FB1">
      <w:pPr>
        <w:spacing w:before="120" w:after="120" w:line="240" w:lineRule="auto"/>
        <w:rPr>
          <w:rFonts w:cstheme="minorHAnsi"/>
          <w:sz w:val="20"/>
        </w:rPr>
      </w:pPr>
      <w:r w:rsidRPr="00043245">
        <w:rPr>
          <w:rFonts w:cstheme="minorHAnsi"/>
          <w:sz w:val="20"/>
        </w:rPr>
        <w:t>This report is solely for the purpose set out in Appendix A and for the DAWR’s information, and is not to be used for any other purpose or distributed to any other party without KPMG’s prior written consent.</w:t>
      </w:r>
    </w:p>
    <w:p w14:paraId="32AE11BF" w14:textId="3DCC4225" w:rsidR="00273FB1" w:rsidRPr="00043245" w:rsidRDefault="00273FB1" w:rsidP="00273FB1">
      <w:pPr>
        <w:tabs>
          <w:tab w:val="left" w:pos="7813"/>
        </w:tabs>
        <w:spacing w:before="120" w:after="120" w:line="240" w:lineRule="auto"/>
        <w:rPr>
          <w:rFonts w:cstheme="minorHAnsi"/>
          <w:sz w:val="20"/>
        </w:rPr>
      </w:pPr>
      <w:r w:rsidRPr="00043245">
        <w:rPr>
          <w:rFonts w:cstheme="minorHAnsi"/>
          <w:sz w:val="20"/>
        </w:rPr>
        <w:t>This report has been prepared at the request of the department in accordance with the terms of KPMG’s work order dated 23 March 2018. Other than our responsibility to the department, neither KPMG nor any member or employee of KPMG undertakes responsibility arising in any way from reliance placed by a third party on this report. Any reliance placed is that party’s sole responsibility.</w:t>
      </w:r>
    </w:p>
    <w:p w14:paraId="2952CA6C" w14:textId="154AD1CB" w:rsidR="003D1C3A" w:rsidRPr="00043245" w:rsidRDefault="003D1C3A" w:rsidP="003D1C3A">
      <w:pPr>
        <w:spacing w:before="120" w:after="120" w:line="240" w:lineRule="auto"/>
        <w:rPr>
          <w:rFonts w:cstheme="minorHAnsi"/>
          <w:b/>
          <w:bCs/>
          <w:sz w:val="20"/>
        </w:rPr>
      </w:pPr>
      <w:r w:rsidRPr="00043245">
        <w:rPr>
          <w:rFonts w:cstheme="minorHAnsi"/>
          <w:b/>
          <w:bCs/>
          <w:sz w:val="20"/>
        </w:rPr>
        <w:t>Accessibility</w:t>
      </w:r>
    </w:p>
    <w:p w14:paraId="0F971C2A" w14:textId="466155FA" w:rsidR="003D1C3A" w:rsidRPr="00043245" w:rsidRDefault="003D1C3A" w:rsidP="003D1C3A">
      <w:pPr>
        <w:tabs>
          <w:tab w:val="left" w:pos="7813"/>
        </w:tabs>
        <w:spacing w:before="120" w:after="120" w:line="240" w:lineRule="auto"/>
        <w:rPr>
          <w:rFonts w:cstheme="minorHAnsi"/>
          <w:sz w:val="20"/>
        </w:rPr>
      </w:pPr>
      <w:r w:rsidRPr="00043245">
        <w:rPr>
          <w:rFonts w:cstheme="minorHAnsi"/>
          <w:sz w:val="20"/>
        </w:rPr>
        <w:t>To comply with the Commonwealth Government’s accessibility requirements, two versions of this Report are available: a KPMG-branded PDF version and an unbranded Microsoft Word version. The KPMG-branded PDF version of this Report remains the definitive version of this Report.</w:t>
      </w:r>
    </w:p>
    <w:p w14:paraId="5AEB8ABA" w14:textId="77777777" w:rsidR="00273FB1" w:rsidRPr="00043245" w:rsidRDefault="00273FB1" w:rsidP="00273FB1">
      <w:pPr>
        <w:spacing w:before="120" w:after="120" w:line="240" w:lineRule="auto"/>
        <w:rPr>
          <w:rFonts w:cstheme="minorHAnsi"/>
        </w:rPr>
      </w:pPr>
    </w:p>
    <w:p w14:paraId="1935E035" w14:textId="77777777" w:rsidR="000A5790" w:rsidRPr="00043245" w:rsidRDefault="000A5790" w:rsidP="00273FB1">
      <w:pPr>
        <w:spacing w:before="120" w:after="120"/>
        <w:rPr>
          <w:rFonts w:cstheme="minorHAnsi"/>
          <w:sz w:val="20"/>
          <w:szCs w:val="20"/>
        </w:rPr>
      </w:pPr>
    </w:p>
    <w:sectPr w:rsidR="000A5790" w:rsidRPr="00043245" w:rsidSect="00597060">
      <w:headerReference w:type="default" r:id="rId18"/>
      <w:pgSz w:w="11906" w:h="16838"/>
      <w:pgMar w:top="1418" w:right="709" w:bottom="1843" w:left="1701" w:header="568" w:footer="70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9D0E7" w14:textId="77777777" w:rsidR="007D1335" w:rsidRDefault="007D1335" w:rsidP="00D649F6">
      <w:pPr>
        <w:spacing w:after="0" w:line="240" w:lineRule="auto"/>
      </w:pPr>
      <w:r>
        <w:separator/>
      </w:r>
    </w:p>
    <w:p w14:paraId="1BAFE2BF" w14:textId="77777777" w:rsidR="007D1335" w:rsidRDefault="007D1335"/>
  </w:endnote>
  <w:endnote w:type="continuationSeparator" w:id="0">
    <w:p w14:paraId="50A28835" w14:textId="77777777" w:rsidR="007D1335" w:rsidRDefault="007D1335" w:rsidP="00D649F6">
      <w:pPr>
        <w:spacing w:after="0" w:line="240" w:lineRule="auto"/>
      </w:pPr>
      <w:r>
        <w:continuationSeparator/>
      </w:r>
    </w:p>
    <w:p w14:paraId="06502E3A" w14:textId="77777777" w:rsidR="007D1335" w:rsidRDefault="007D1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PMG Extralight">
    <w:panose1 w:val="020B0303030202040204"/>
    <w:charset w:val="00"/>
    <w:family w:val="swiss"/>
    <w:pitch w:val="variable"/>
    <w:sig w:usb0="00000007" w:usb1="00000000" w:usb2="00000000" w:usb3="00000000" w:csb0="00000093" w:csb1="00000000"/>
  </w:font>
  <w:font w:name="Univers 45 Light">
    <w:panose1 w:val="00000000000000000000"/>
    <w:charset w:val="00"/>
    <w:family w:val="auto"/>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2E4DD" w14:textId="77777777" w:rsidR="00B3679C" w:rsidRDefault="00B367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672856"/>
      <w:docPartObj>
        <w:docPartGallery w:val="Page Numbers (Bottom of Page)"/>
        <w:docPartUnique/>
      </w:docPartObj>
    </w:sdtPr>
    <w:sdtEndPr>
      <w:rPr>
        <w:rFonts w:ascii="Univers 45 Light" w:hAnsi="Univers 45 Light"/>
        <w:noProof/>
      </w:rPr>
    </w:sdtEndPr>
    <w:sdtContent>
      <w:p w14:paraId="5EC4F2F4" w14:textId="77777777" w:rsidR="007D1335" w:rsidRPr="000722AF" w:rsidRDefault="007D1335">
        <w:pPr>
          <w:pStyle w:val="Footer"/>
          <w:jc w:val="right"/>
          <w:rPr>
            <w:rFonts w:ascii="Univers 45 Light" w:hAnsi="Univers 45 Light"/>
          </w:rPr>
        </w:pPr>
        <w:r w:rsidRPr="000722AF">
          <w:rPr>
            <w:rFonts w:ascii="Univers 45 Light" w:hAnsi="Univers 45 Light"/>
            <w:noProof/>
            <w:color w:val="6D2077"/>
            <w:lang w:eastAsia="en-AU"/>
          </w:rPr>
          <mc:AlternateContent>
            <mc:Choice Requires="wps">
              <w:drawing>
                <wp:anchor distT="0" distB="0" distL="114300" distR="114300" simplePos="0" relativeHeight="251702271" behindDoc="1" locked="0" layoutInCell="1" allowOverlap="1" wp14:anchorId="3F0D0011" wp14:editId="5EA17D3B">
                  <wp:simplePos x="0" y="0"/>
                  <wp:positionH relativeFrom="margin">
                    <wp:align>center</wp:align>
                  </wp:positionH>
                  <wp:positionV relativeFrom="paragraph">
                    <wp:posOffset>-248530</wp:posOffset>
                  </wp:positionV>
                  <wp:extent cx="5531485" cy="560070"/>
                  <wp:effectExtent l="0" t="0" r="0" b="0"/>
                  <wp:wrapNone/>
                  <wp:docPr id="2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gray">
                          <a:xfrm>
                            <a:off x="0" y="0"/>
                            <a:ext cx="5531485" cy="560070"/>
                          </a:xfrm>
                          <a:prstGeom prst="rect">
                            <a:avLst/>
                          </a:prstGeom>
                          <a:solidFill>
                            <a:schemeClr val="bg1"/>
                          </a:solidFill>
                          <a:ln w="9525">
                            <a:noFill/>
                            <a:miter lim="800000"/>
                            <a:headEnd/>
                            <a:tailEnd/>
                          </a:ln>
                          <a:effectLst/>
                        </wps:spPr>
                        <wps:txbx>
                          <w:txbxContent>
                            <w:p w14:paraId="44F603FA" w14:textId="77777777" w:rsidR="007D1335" w:rsidRPr="00116812" w:rsidRDefault="007D1335" w:rsidP="00135623">
                              <w:pPr>
                                <w:pStyle w:val="NormalWeb"/>
                                <w:spacing w:before="0" w:beforeAutospacing="0" w:after="0" w:afterAutospacing="0"/>
                                <w:jc w:val="center"/>
                                <w:rPr>
                                  <w:rFonts w:ascii="Univers 45 Light" w:hAnsi="Univers 45 Light"/>
                                </w:rPr>
                              </w:pPr>
                              <w:r w:rsidRPr="00116812">
                                <w:rPr>
                                  <w:rFonts w:ascii="Univers 45 Light" w:hAnsi="Univers 45 Light" w:cstheme="minorBidi"/>
                                  <w:color w:val="808080" w:themeColor="background1" w:themeShade="80"/>
                                  <w:kern w:val="24"/>
                                  <w:sz w:val="12"/>
                                  <w:szCs w:val="12"/>
                                </w:rPr>
                                <w:t>© 201</w:t>
                              </w:r>
                              <w:r>
                                <w:rPr>
                                  <w:rFonts w:ascii="Univers 45 Light" w:hAnsi="Univers 45 Light" w:cstheme="minorBidi"/>
                                  <w:color w:val="808080" w:themeColor="background1" w:themeShade="80"/>
                                  <w:kern w:val="24"/>
                                  <w:sz w:val="12"/>
                                  <w:szCs w:val="12"/>
                                </w:rPr>
                                <w:t>8</w:t>
                              </w:r>
                              <w:r w:rsidRPr="00116812">
                                <w:rPr>
                                  <w:rFonts w:ascii="Univers 45 Light" w:hAnsi="Univers 45 Light" w:cstheme="minorBidi"/>
                                  <w:color w:val="808080" w:themeColor="background1" w:themeShade="80"/>
                                  <w:kern w:val="24"/>
                                  <w:sz w:val="12"/>
                                  <w:szCs w:val="12"/>
                                </w:rPr>
                                <w:t xml:space="preserve"> KPMG, an Australian partnership and a member firm of the KPMG network of independent member firms affiliated with KPMG International Cooperative (“KPMG International”), a Swiss entity. All rights reserved. </w:t>
                              </w:r>
                              <w:r w:rsidRPr="00116812">
                                <w:rPr>
                                  <w:rFonts w:ascii="Univers 45 Light" w:hAnsi="Univers 45 Light" w:cstheme="minorBidi"/>
                                  <w:color w:val="808080" w:themeColor="background1" w:themeShade="80"/>
                                  <w:kern w:val="24"/>
                                  <w:sz w:val="12"/>
                                  <w:szCs w:val="12"/>
                                </w:rPr>
                                <w:br/>
                                <w:t>The KPMG name, logo and "cutting through complexity" are registered trademarks or trademarks of KPMG International. Liability limited by a scheme approved under Professional Standards Legislation.</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3F0D0011" id="_x0000_t202" coordsize="21600,21600" o:spt="202" path="m,l,21600r21600,l21600,xe">
                  <v:stroke joinstyle="miter"/>
                  <v:path gradientshapeok="t" o:connecttype="rect"/>
                </v:shapetype>
                <v:shape id="Text Box 8" o:spid="_x0000_s1027" type="#_x0000_t202" style="position:absolute;left:0;text-align:left;margin-left:0;margin-top:-19.55pt;width:435.55pt;height:44.1pt;z-index:-25161420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MjBgIAAO0DAAAOAAAAZHJzL2Uyb0RvYy54bWysU9tu2zAMfR+wfxD0vtjJ5i414hRduw4D&#10;ugvQ7gNkSY6FSaImKbHz96NkJy3at2F+ECiKPCQPjzdXo9HkIH1QYBu6XJSUSMtBKLtr6K/Hu3dr&#10;SkJkVjANVjb0KAO92r59sxlcLVfQgxbSEwSxoR5cQ/sYXV0UgffSsLAAJy0+duANi3j1u0J4NiC6&#10;0cWqLC+KAbxwHrgMAb230yPdZvyukzz+6LogI9ENxd5iPn0+23QW2w2rd565XvG5DfYPXRimLBY9&#10;Q92yyMjeq1dQRnEPAbq44GAK6DrFZZ4Bp1mWL6Z56JmTeRYkJ7gzTeH/wfLvh5+eKNHQ1XJFiWUG&#10;l/Qox0g+wUjWiZ/BhRrDHhwGxhHduOc8a3D3wH8HYuGmZ3Ynr72HoZdMYH/LlFk8S51wQgJph28g&#10;sAzSfsxAY+dNIg/pIIiOezqed5Na4eisqvfLD+uKEo5v1UVZfszLK1h9ynY+xC8SDElGQz3uPqOz&#10;w32IqRtWn0JSsQBaiTuldb4kvckb7cmBoVLa3dT/iyhtydDQy2pVZWALKT0ryKiIMtbKNHRdpm8S&#10;ViLjsxU5JDKlJxsb0TZVlVmgc3eJq0TPRFQc2xHTkrMFcUTWBhRpQ8OfPfOSEv3VIstJ0SfDn4x2&#10;NlIFC9f7CJ3K8z+BzatBTWVaZv0n0T6/56inv3T7FwAA//8DAFBLAwQUAAYACAAAACEALBJL4d4A&#10;AAAHAQAADwAAAGRycy9kb3ducmV2LnhtbEyPQU/DMAyF70j8h8hI3La02wRbqTsNtJ4GEgwOO6ZN&#10;aKs1TtVka/vvMSe4+flZ731Ot6NtxdX0vnGEEM8jEIZKpxuqEL4+89kahA+KtGodGYTJeNhmtzep&#10;SrQb6MNcj6ESHEI+UQh1CF0ipS9rY5Wfu84Qe9+utyqw7CupezVwuG3lIooepFUNcUOtOvNSm/J8&#10;vFgEmvaH/HnaDcWQvy4P7/vTefG2Qry/G3dPIIIZw98x/OIzOmTMVLgLaS9aBH4kIMyWmxgE2+vH&#10;mIcCYcULmaXyP3/2AwAA//8DAFBLAQItABQABgAIAAAAIQC2gziS/gAAAOEBAAATAAAAAAAAAAAA&#10;AAAAAAAAAABbQ29udGVudF9UeXBlc10ueG1sUEsBAi0AFAAGAAgAAAAhADj9If/WAAAAlAEAAAsA&#10;AAAAAAAAAAAAAAAALwEAAF9yZWxzLy5yZWxzUEsBAi0AFAAGAAgAAAAhACq3AyMGAgAA7QMAAA4A&#10;AAAAAAAAAAAAAAAALgIAAGRycy9lMm9Eb2MueG1sUEsBAi0AFAAGAAgAAAAhACwSS+HeAAAABwEA&#10;AA8AAAAAAAAAAAAAAAAAYAQAAGRycy9kb3ducmV2LnhtbFBLBQYAAAAABAAEAPMAAABrBQAAAAA=&#10;" fillcolor="white [3212]" stroked="f">
                  <v:textbox inset="0,0,0,0">
                    <w:txbxContent>
                      <w:p w14:paraId="44F603FA" w14:textId="77777777" w:rsidR="007D1335" w:rsidRPr="00116812" w:rsidRDefault="007D1335" w:rsidP="00135623">
                        <w:pPr>
                          <w:pStyle w:val="NormalWeb"/>
                          <w:spacing w:before="0" w:beforeAutospacing="0" w:after="0" w:afterAutospacing="0"/>
                          <w:jc w:val="center"/>
                          <w:rPr>
                            <w:rFonts w:ascii="Univers 45 Light" w:hAnsi="Univers 45 Light"/>
                          </w:rPr>
                        </w:pPr>
                        <w:r w:rsidRPr="00116812">
                          <w:rPr>
                            <w:rFonts w:ascii="Univers 45 Light" w:hAnsi="Univers 45 Light" w:cstheme="minorBidi"/>
                            <w:color w:val="808080" w:themeColor="background1" w:themeShade="80"/>
                            <w:kern w:val="24"/>
                            <w:sz w:val="12"/>
                            <w:szCs w:val="12"/>
                          </w:rPr>
                          <w:t>© 201</w:t>
                        </w:r>
                        <w:r>
                          <w:rPr>
                            <w:rFonts w:ascii="Univers 45 Light" w:hAnsi="Univers 45 Light" w:cstheme="minorBidi"/>
                            <w:color w:val="808080" w:themeColor="background1" w:themeShade="80"/>
                            <w:kern w:val="24"/>
                            <w:sz w:val="12"/>
                            <w:szCs w:val="12"/>
                          </w:rPr>
                          <w:t>8</w:t>
                        </w:r>
                        <w:r w:rsidRPr="00116812">
                          <w:rPr>
                            <w:rFonts w:ascii="Univers 45 Light" w:hAnsi="Univers 45 Light" w:cstheme="minorBidi"/>
                            <w:color w:val="808080" w:themeColor="background1" w:themeShade="80"/>
                            <w:kern w:val="24"/>
                            <w:sz w:val="12"/>
                            <w:szCs w:val="12"/>
                          </w:rPr>
                          <w:t xml:space="preserve"> KPMG, an Australian partnership and a member firm of the KPMG network of independent member firms affiliated with KPMG International Cooperative (“KPMG International”), a Swiss entity. All rights reserved. </w:t>
                        </w:r>
                        <w:r w:rsidRPr="00116812">
                          <w:rPr>
                            <w:rFonts w:ascii="Univers 45 Light" w:hAnsi="Univers 45 Light" w:cstheme="minorBidi"/>
                            <w:color w:val="808080" w:themeColor="background1" w:themeShade="80"/>
                            <w:kern w:val="24"/>
                            <w:sz w:val="12"/>
                            <w:szCs w:val="12"/>
                          </w:rPr>
                          <w:br/>
                          <w:t>The KPMG name, logo and "cutting through complexity" are registered trademarks or trademarks of KPMG International. Liability limited by a scheme approved under Professional Standards Legislation.</w:t>
                        </w:r>
                      </w:p>
                    </w:txbxContent>
                  </v:textbox>
                  <w10:wrap anchorx="margin"/>
                </v:shape>
              </w:pict>
            </mc:Fallback>
          </mc:AlternateContent>
        </w:r>
      </w:p>
    </w:sdtContent>
  </w:sdt>
  <w:p w14:paraId="44A95741" w14:textId="77777777" w:rsidR="007D1335" w:rsidRDefault="007D13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535B1" w14:textId="77777777" w:rsidR="00B3679C" w:rsidRDefault="00B3679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187894"/>
      <w:docPartObj>
        <w:docPartGallery w:val="Page Numbers (Bottom of Page)"/>
        <w:docPartUnique/>
      </w:docPartObj>
    </w:sdtPr>
    <w:sdtEndPr>
      <w:rPr>
        <w:rFonts w:ascii="Univers 45 Light" w:hAnsi="Univers 45 Light"/>
        <w:noProof/>
      </w:rPr>
    </w:sdtEndPr>
    <w:sdtContent>
      <w:p w14:paraId="01BB8F84" w14:textId="0FBB622F" w:rsidR="007D1335" w:rsidRPr="000722AF" w:rsidRDefault="007D1335">
        <w:pPr>
          <w:pStyle w:val="Footer"/>
          <w:jc w:val="right"/>
          <w:rPr>
            <w:rFonts w:ascii="Univers 45 Light" w:hAnsi="Univers 45 Light"/>
          </w:rPr>
        </w:pPr>
        <w:r w:rsidRPr="008405C5">
          <w:rPr>
            <w:rFonts w:cstheme="minorHAnsi"/>
            <w:noProof/>
            <w:color w:val="6D2077"/>
            <w:lang w:eastAsia="en-AU"/>
          </w:rPr>
          <mc:AlternateContent>
            <mc:Choice Requires="wps">
              <w:drawing>
                <wp:anchor distT="0" distB="0" distL="114300" distR="114300" simplePos="0" relativeHeight="251737088" behindDoc="1" locked="0" layoutInCell="1" allowOverlap="1" wp14:anchorId="08AEED7F" wp14:editId="76DF183B">
                  <wp:simplePos x="0" y="0"/>
                  <wp:positionH relativeFrom="margin">
                    <wp:align>center</wp:align>
                  </wp:positionH>
                  <wp:positionV relativeFrom="paragraph">
                    <wp:posOffset>-248530</wp:posOffset>
                  </wp:positionV>
                  <wp:extent cx="5531485" cy="56007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gray">
                          <a:xfrm>
                            <a:off x="0" y="0"/>
                            <a:ext cx="5531485" cy="560070"/>
                          </a:xfrm>
                          <a:prstGeom prst="rect">
                            <a:avLst/>
                          </a:prstGeom>
                          <a:solidFill>
                            <a:schemeClr val="bg1"/>
                          </a:solidFill>
                          <a:ln w="9525">
                            <a:noFill/>
                            <a:miter lim="800000"/>
                            <a:headEnd/>
                            <a:tailEnd/>
                          </a:ln>
                          <a:effectLst/>
                        </wps:spPr>
                        <wps:txbx>
                          <w:txbxContent>
                            <w:p w14:paraId="13F68BAA" w14:textId="77777777" w:rsidR="007D1335" w:rsidRPr="008405C5" w:rsidRDefault="007D1335" w:rsidP="00135623">
                              <w:pPr>
                                <w:pStyle w:val="NormalWeb"/>
                                <w:spacing w:before="0" w:beforeAutospacing="0" w:after="0" w:afterAutospacing="0"/>
                                <w:jc w:val="center"/>
                                <w:rPr>
                                  <w:rFonts w:asciiTheme="minorHAnsi" w:hAnsiTheme="minorHAnsi" w:cstheme="minorHAnsi"/>
                                </w:rPr>
                              </w:pPr>
                              <w:r w:rsidRPr="008405C5">
                                <w:rPr>
                                  <w:rFonts w:asciiTheme="minorHAnsi" w:hAnsiTheme="minorHAnsi" w:cstheme="minorHAnsi"/>
                                  <w:color w:val="808080" w:themeColor="background1" w:themeShade="80"/>
                                  <w:kern w:val="24"/>
                                  <w:sz w:val="12"/>
                                  <w:szCs w:val="12"/>
                                </w:rPr>
                                <w:t>© 2018 KPMG, an Australian partnership and a member firm of the KPMG network of independent member firms affiliated with KPMG International Cooperative (“KPMG International”), a Swiss entity. All rights reserved.  The KPMG name, logo and "cutting through complexity" are registered trademarks or trademarks of KPMG International. Liability limited by a scheme approved under Professional Standards Legislation.</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8AEED7F" id="_x0000_t202" coordsize="21600,21600" o:spt="202" path="m,l,21600r21600,l21600,xe">
                  <v:stroke joinstyle="miter"/>
                  <v:path gradientshapeok="t" o:connecttype="rect"/>
                </v:shapetype>
                <v:shape id="_x0000_s1028" type="#_x0000_t202" style="position:absolute;left:0;text-align:left;margin-left:0;margin-top:-19.55pt;width:435.55pt;height:44.1pt;z-index:-25157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5nBwIAAPIDAAAOAAAAZHJzL2Uyb0RvYy54bWysU9Fu2yAUfZ+0f0C8L3bSucusOFXXrtOk&#10;dpvU7gMw4BgNuAxI7Pz9LthJq+5tmh/QBS7nnnvu8eZqNJocpA8KbEOXi5ISaTkIZXcN/fl0925N&#10;SYjMCqbByoYeZaBX27dvNoOr5Qp60EJ6giA21INraB+jq4si8F4aFhbgpMXLDrxhEbd+VwjPBkQ3&#10;uliV5WUxgBfOA5ch4OntdEm3Gb/rJI/fuy7ISHRDkVvMq89rm9Ziu2H1zjPXKz7TYP/AwjBlsegZ&#10;6pZFRvZe/QVlFPcQoIsLDqaArlNc5h6wm2X5qpvHnjmZe0FxgjvLFP4fLP92+OGJEg29oMQygyN6&#10;kmMkn2Ak66TO4EKNSY8O0+KIxzjl3Glw98B/BWLhpmd2J6+9h6GXTCC7ZXpZvHg64YQE0g4PILAM&#10;in7MQGPnTZIOxSCIjlM6nieTqHA8rKqL5ft1RQnHu+qyLD/k0RWsPr12PsQvEgxJQUM9Tj6js8N9&#10;iIkNq08pqVgArcSd0jpvktvkjfbkwNAn7W7i/ypLWzI09GO1qjKwhfQ8+8eoiCbWyjR0XaZvslUS&#10;47MVOSUypacYiWibqspsz5ld0irJMwkVx3bMQ8lE0l0L4ojiDejUhobfe+YlJfqrRbGTrU+BPwXt&#10;HKRCFq73ETqVZXgGmyeExsrqzD9Bcu7Lfc56/lW3fwAAAP//AwBQSwMEFAAGAAgAAAAhACwSS+He&#10;AAAABwEAAA8AAABkcnMvZG93bnJldi54bWxMj0FPwzAMhe9I/IfISNy2tNsEW6k7DbSeBhIMDjum&#10;TWirNU7VZGv77zEnuPn5We99TrejbcXV9L5xhBDPIxCGSqcbqhC+PvPZGoQPirRqHRmEyXjYZrc3&#10;qUq0G+jDXI+hEhxCPlEIdQhdIqUva2OVn7vOEHvfrrcqsOwrqXs1cLht5SKKHqRVDXFDrTrzUpvy&#10;fLxYBJr2h/x52g3FkL8uD+/703nxtkK8vxt3TyCCGcPfMfziMzpkzFS4C2kvWgR+JCDMlpsYBNvr&#10;x5iHAmHFC5ml8j9/9gMAAP//AwBQSwECLQAUAAYACAAAACEAtoM4kv4AAADhAQAAEwAAAAAAAAAA&#10;AAAAAAAAAAAAW0NvbnRlbnRfVHlwZXNdLnhtbFBLAQItABQABgAIAAAAIQA4/SH/1gAAAJQBAAAL&#10;AAAAAAAAAAAAAAAAAC8BAABfcmVscy8ucmVsc1BLAQItABQABgAIAAAAIQDLFq5nBwIAAPIDAAAO&#10;AAAAAAAAAAAAAAAAAC4CAABkcnMvZTJvRG9jLnhtbFBLAQItABQABgAIAAAAIQAsEkvh3gAAAAcB&#10;AAAPAAAAAAAAAAAAAAAAAGEEAABkcnMvZG93bnJldi54bWxQSwUGAAAAAAQABADzAAAAbAUAAAAA&#10;" fillcolor="white [3212]" stroked="f">
                  <v:textbox inset="0,0,0,0">
                    <w:txbxContent>
                      <w:p w14:paraId="13F68BAA" w14:textId="77777777" w:rsidR="007D1335" w:rsidRPr="008405C5" w:rsidRDefault="007D1335" w:rsidP="00135623">
                        <w:pPr>
                          <w:pStyle w:val="NormalWeb"/>
                          <w:spacing w:before="0" w:beforeAutospacing="0" w:after="0" w:afterAutospacing="0"/>
                          <w:jc w:val="center"/>
                          <w:rPr>
                            <w:rFonts w:asciiTheme="minorHAnsi" w:hAnsiTheme="minorHAnsi" w:cstheme="minorHAnsi"/>
                          </w:rPr>
                        </w:pPr>
                        <w:r w:rsidRPr="008405C5">
                          <w:rPr>
                            <w:rFonts w:asciiTheme="minorHAnsi" w:hAnsiTheme="minorHAnsi" w:cstheme="minorHAnsi"/>
                            <w:color w:val="808080" w:themeColor="background1" w:themeShade="80"/>
                            <w:kern w:val="24"/>
                            <w:sz w:val="12"/>
                            <w:szCs w:val="12"/>
                          </w:rPr>
                          <w:t>© 2018 KPMG, an Australian partnership and a member firm of the KPMG network of independent member firms affiliated with KPMG International Cooperative (“KPMG International”), a Swiss entity. All rights reserved.  The KPMG name, logo and "cutting through complexity" are registered trademarks or trademarks of KPMG International. Liability limited by a scheme approved under Professional Standards Legislation.</w:t>
                        </w:r>
                      </w:p>
                    </w:txbxContent>
                  </v:textbox>
                  <w10:wrap anchorx="margin"/>
                </v:shape>
              </w:pict>
            </mc:Fallback>
          </mc:AlternateContent>
        </w:r>
        <w:r w:rsidRPr="008405C5">
          <w:rPr>
            <w:rFonts w:cstheme="minorHAnsi"/>
          </w:rPr>
          <w:fldChar w:fldCharType="begin"/>
        </w:r>
        <w:r w:rsidRPr="008405C5">
          <w:rPr>
            <w:rFonts w:cstheme="minorHAnsi"/>
          </w:rPr>
          <w:instrText xml:space="preserve"> PAGE   \* MERGEFORMAT </w:instrText>
        </w:r>
        <w:r w:rsidRPr="008405C5">
          <w:rPr>
            <w:rFonts w:cstheme="minorHAnsi"/>
          </w:rPr>
          <w:fldChar w:fldCharType="separate"/>
        </w:r>
        <w:r w:rsidR="00B3679C">
          <w:rPr>
            <w:rFonts w:cstheme="minorHAnsi"/>
            <w:noProof/>
          </w:rPr>
          <w:t>2</w:t>
        </w:r>
        <w:r w:rsidRPr="008405C5">
          <w:rPr>
            <w:rFonts w:cstheme="minorHAnsi"/>
            <w:noProof/>
          </w:rPr>
          <w:fldChar w:fldCharType="end"/>
        </w:r>
      </w:p>
    </w:sdtContent>
  </w:sdt>
  <w:p w14:paraId="137D7ADF" w14:textId="77777777" w:rsidR="007D1335" w:rsidRDefault="007D13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0411A" w14:textId="77777777" w:rsidR="007D1335" w:rsidRDefault="007D1335" w:rsidP="00D649F6">
      <w:pPr>
        <w:spacing w:after="0" w:line="240" w:lineRule="auto"/>
      </w:pPr>
      <w:r>
        <w:separator/>
      </w:r>
    </w:p>
    <w:p w14:paraId="749E766E" w14:textId="77777777" w:rsidR="007D1335" w:rsidRDefault="007D1335"/>
  </w:footnote>
  <w:footnote w:type="continuationSeparator" w:id="0">
    <w:p w14:paraId="6DC2431B" w14:textId="77777777" w:rsidR="007D1335" w:rsidRDefault="007D1335" w:rsidP="00D649F6">
      <w:pPr>
        <w:spacing w:after="0" w:line="240" w:lineRule="auto"/>
      </w:pPr>
      <w:r>
        <w:continuationSeparator/>
      </w:r>
    </w:p>
    <w:p w14:paraId="509547BC" w14:textId="77777777" w:rsidR="007D1335" w:rsidRDefault="007D13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6E6C5" w14:textId="77777777" w:rsidR="00B3679C" w:rsidRDefault="00B367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B71A5" w14:textId="7D399D6A" w:rsidR="007D1335" w:rsidRDefault="007D1335" w:rsidP="007F2D97">
    <w:pPr>
      <w:pStyle w:val="Header"/>
      <w:tabs>
        <w:tab w:val="clear" w:pos="4513"/>
        <w:tab w:val="clear" w:pos="9026"/>
        <w:tab w:val="center" w:pos="6979"/>
      </w:tabs>
    </w:pPr>
    <w:r w:rsidRPr="00FE5CC3">
      <w:t xml:space="preserve"> </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42FA9" w14:textId="77777777" w:rsidR="00B3679C" w:rsidRDefault="00B367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6FDF9" w14:textId="611D8DAA" w:rsidR="007D1335" w:rsidRPr="00DD1CFF" w:rsidRDefault="007D1335" w:rsidP="00A14666">
    <w:pPr>
      <w:pStyle w:val="Header"/>
      <w:jc w:val="right"/>
      <w:rPr>
        <w:rFonts w:cstheme="minorHAnsi"/>
        <w:i/>
        <w:sz w:val="16"/>
      </w:rPr>
    </w:pPr>
    <w:r w:rsidRPr="00DD1CFF">
      <w:rPr>
        <w:rFonts w:cstheme="minorHAnsi"/>
        <w:noProof/>
        <w:color w:val="005EB8"/>
        <w:sz w:val="20"/>
        <w:lang w:eastAsia="en-AU"/>
      </w:rPr>
      <mc:AlternateContent>
        <mc:Choice Requires="wps">
          <w:drawing>
            <wp:anchor distT="0" distB="0" distL="114300" distR="114300" simplePos="0" relativeHeight="251706368" behindDoc="1" locked="0" layoutInCell="1" allowOverlap="1" wp14:anchorId="3E4C300E" wp14:editId="744E31F2">
              <wp:simplePos x="0" y="0"/>
              <wp:positionH relativeFrom="page">
                <wp:align>left</wp:align>
              </wp:positionH>
              <wp:positionV relativeFrom="page">
                <wp:align>top</wp:align>
              </wp:positionV>
              <wp:extent cx="786809" cy="10671858"/>
              <wp:effectExtent l="0" t="0" r="0" b="0"/>
              <wp:wrapTight wrapText="bothSides">
                <wp:wrapPolygon edited="0">
                  <wp:start x="0" y="0"/>
                  <wp:lineTo x="0" y="21554"/>
                  <wp:lineTo x="20920" y="21554"/>
                  <wp:lineTo x="20920" y="0"/>
                  <wp:lineTo x="0" y="0"/>
                </wp:wrapPolygon>
              </wp:wrapTight>
              <wp:docPr id="30" name="Rectangle 30"/>
              <wp:cNvGraphicFramePr/>
              <a:graphic xmlns:a="http://schemas.openxmlformats.org/drawingml/2006/main">
                <a:graphicData uri="http://schemas.microsoft.com/office/word/2010/wordprocessingShape">
                  <wps:wsp>
                    <wps:cNvSpPr/>
                    <wps:spPr>
                      <a:xfrm>
                        <a:off x="0" y="0"/>
                        <a:ext cx="786809" cy="10671858"/>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1F949" id="Rectangle 30" o:spid="_x0000_s1026" style="position:absolute;margin-left:0;margin-top:0;width:61.95pt;height:840.3pt;z-index:-2516101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rTlQIAAIgFAAAOAAAAZHJzL2Uyb0RvYy54bWysVE1v2zAMvQ/YfxB0X21nTZsGdYqsXYcB&#10;RRu0HXpWZCk2IIsapXzt14+SHbdrix2G5aCIIvlIPpM8v9i1hm0U+gZsyYujnDNlJVSNXZX8x+P1&#10;pwlnPghbCQNWlXyvPL+YffxwvnVTNYIaTKWQEYj1060reR2Cm2aZl7VqhT8CpywpNWArAom4yioU&#10;W0JvTTbK85NsC1g5BKm8p9erTslnCV9rJcOd1l4FZkpOuYV0YjqX8cxm52K6QuHqRvZpiH/IohWN&#10;paAD1JUIgq2xeQPVNhLBgw5HEtoMtG6kSjVQNUX+qpqHWjiVaiFyvBto8v8PVt5uFsiaquSfiR4r&#10;WvpG98SasCujGL0RQVvnp2T34BbYS56usdqdxjb+Ux1sl0jdD6SqXWCSHk8nJ5P8jDNJqiI/OS0m&#10;40lEzZ7dHfrwTUHL4qXkSPETmWJz40NnejCJ0TyYprpujEkCrpaXBtlGxC+cj79+OaD/YWZsNLYQ&#10;3TrE+JLF0rpi0i3sjYp2xt4rTaxQ+qOUSepHNcQRUiobik5Vi0p14cc5/fraBo9UaQKMyJriD9g9&#10;QOz1t9hdlr19dFWpnQfn/G+Jdc6DR4oMNgzObWMB3wMwVFUfubM/kNRRE1laQrWnnkHohsk7ed3Q&#10;d7sRPiwE0vRQI9FGCHd0aAPbkkN/46wG/PXee7SnpiYtZ1uaxpL7n2uBijPz3VK7nxXHx3F8k3A8&#10;Ph2RgC81y5cau24vgdqhoN3jZLpG+2AOV43QPtHimMeopBJWUuySy4AH4TJ0W4JWj1TzeTKjkXUi&#10;3NgHJyN4ZDX25ePuSaDrmzdQ39/CYXLF9FUPd7bR08J8HUA3qcGfee35pnFPjdOvprhPXsrJ6nmB&#10;zn4DAAD//wMAUEsDBBQABgAIAAAAIQCrR88h3wAAAAYBAAAPAAAAZHJzL2Rvd25yZXYueG1sTI9P&#10;T8JAEMXvJn6HzZh4IbAVYwO1W6JGvXDhX4jelu7QNnRnm84CtZ/exQteJm/yJu/9Jp11thYnbLly&#10;pOBhFIFAyp2pqFCwWX8MJyDYazK6doQKfpBhlt3epDox7kxLPK18IUIIcaIVlN43iZScl2g1j1yD&#10;FLy9a632YW0LaVp9DuG2luMoiqXVFYWGUjf4VmJ+WB2tgoKfBgP3vZhvl/v+9dD32/cv/lTq/q57&#10;eQbhsfPXY7jgB3TIAtPOHcmwqBWER/zfvHjjxymIXRDxJIpBZqn8j5/9AgAA//8DAFBLAQItABQA&#10;BgAIAAAAIQC2gziS/gAAAOEBAAATAAAAAAAAAAAAAAAAAAAAAABbQ29udGVudF9UeXBlc10ueG1s&#10;UEsBAi0AFAAGAAgAAAAhADj9If/WAAAAlAEAAAsAAAAAAAAAAAAAAAAALwEAAF9yZWxzLy5yZWxz&#10;UEsBAi0AFAAGAAgAAAAhAO1bGtOVAgAAiAUAAA4AAAAAAAAAAAAAAAAALgIAAGRycy9lMm9Eb2Mu&#10;eG1sUEsBAi0AFAAGAAgAAAAhAKtHzyHfAAAABgEAAA8AAAAAAAAAAAAAAAAA7wQAAGRycy9kb3du&#10;cmV2LnhtbFBLBQYAAAAABAAEAPMAAAD7BQAAAAA=&#10;" fillcolor="#005eb8" stroked="f" strokeweight="1pt">
              <w10:wrap type="tight" anchorx="page" anchory="page"/>
            </v:rect>
          </w:pict>
        </mc:Fallback>
      </mc:AlternateContent>
    </w:r>
    <w:r w:rsidRPr="00DD1CFF">
      <w:rPr>
        <w:rFonts w:cstheme="minorHAnsi"/>
        <w:i/>
        <w:sz w:val="16"/>
      </w:rPr>
      <w:t xml:space="preserve">Review of State Priority Projects – Healthy </w:t>
    </w:r>
    <w:proofErr w:type="spellStart"/>
    <w:r w:rsidRPr="00DD1CFF">
      <w:rPr>
        <w:rFonts w:cstheme="minorHAnsi"/>
        <w:i/>
        <w:sz w:val="16"/>
      </w:rPr>
      <w:t>HeadWaters</w:t>
    </w:r>
    <w:proofErr w:type="spellEnd"/>
    <w:r w:rsidRPr="00DD1CFF">
      <w:rPr>
        <w:rFonts w:cstheme="minorHAnsi"/>
        <w:i/>
        <w:sz w:val="16"/>
      </w:rPr>
      <w:t xml:space="preserve"> Water Use Efficiency Project</w:t>
    </w:r>
  </w:p>
  <w:p w14:paraId="06AA0EA8" w14:textId="77777777" w:rsidR="007D1335" w:rsidRPr="00DD1CFF" w:rsidRDefault="007D1335" w:rsidP="00A14666">
    <w:pPr>
      <w:pStyle w:val="Header"/>
      <w:jc w:val="right"/>
      <w:rPr>
        <w:rFonts w:cstheme="minorHAnsi"/>
        <w:i/>
        <w:sz w:val="16"/>
      </w:rPr>
    </w:pPr>
    <w:r w:rsidRPr="00DD1CFF">
      <w:rPr>
        <w:rFonts w:cstheme="minorHAnsi"/>
        <w:i/>
        <w:sz w:val="16"/>
      </w:rPr>
      <w:t>Department of Agriculture and Water Resources</w:t>
    </w:r>
  </w:p>
  <w:p w14:paraId="4500E44D" w14:textId="52198879" w:rsidR="007D1335" w:rsidRPr="00B310F1" w:rsidRDefault="00484797" w:rsidP="00A14666">
    <w:pPr>
      <w:pStyle w:val="Header"/>
      <w:jc w:val="right"/>
    </w:pPr>
    <w:r w:rsidRPr="00DD1CFF">
      <w:rPr>
        <w:rFonts w:cstheme="minorHAnsi"/>
        <w:i/>
        <w:noProof/>
        <w:sz w:val="16"/>
        <w:lang w:eastAsia="en-AU"/>
      </w:rPr>
      <w:t>October</w:t>
    </w:r>
    <w:r w:rsidR="007D1335" w:rsidRPr="00DD1CFF">
      <w:rPr>
        <w:rFonts w:cstheme="minorHAnsi"/>
        <w:i/>
        <w:sz w:val="16"/>
      </w:rPr>
      <w:t xml:space="preserve"> 2018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23818" w14:textId="2A40D9B9" w:rsidR="007D1335" w:rsidRPr="00DD1CFF" w:rsidRDefault="007D1335" w:rsidP="00A14666">
    <w:pPr>
      <w:pStyle w:val="Header"/>
      <w:jc w:val="right"/>
      <w:rPr>
        <w:rFonts w:cstheme="minorHAnsi"/>
        <w:i/>
        <w:sz w:val="16"/>
      </w:rPr>
    </w:pPr>
    <w:r w:rsidRPr="00DD1CFF">
      <w:rPr>
        <w:rFonts w:cstheme="minorHAnsi"/>
        <w:i/>
        <w:sz w:val="16"/>
      </w:rPr>
      <w:t xml:space="preserve">Review of State Priority Projects – Healthy </w:t>
    </w:r>
    <w:proofErr w:type="spellStart"/>
    <w:r w:rsidRPr="00DD1CFF">
      <w:rPr>
        <w:rFonts w:cstheme="minorHAnsi"/>
        <w:i/>
        <w:sz w:val="16"/>
      </w:rPr>
      <w:t>HeadWaters</w:t>
    </w:r>
    <w:proofErr w:type="spellEnd"/>
    <w:r w:rsidRPr="00DD1CFF">
      <w:rPr>
        <w:rFonts w:cstheme="minorHAnsi"/>
        <w:i/>
        <w:sz w:val="16"/>
      </w:rPr>
      <w:t xml:space="preserve"> Water Use Efficiency Project</w:t>
    </w:r>
  </w:p>
  <w:p w14:paraId="097ECDB5" w14:textId="77777777" w:rsidR="007D1335" w:rsidRPr="00DD1CFF" w:rsidRDefault="007D1335" w:rsidP="00A14666">
    <w:pPr>
      <w:pStyle w:val="Header"/>
      <w:jc w:val="right"/>
      <w:rPr>
        <w:rFonts w:cstheme="minorHAnsi"/>
        <w:i/>
        <w:sz w:val="16"/>
      </w:rPr>
    </w:pPr>
    <w:r w:rsidRPr="00DD1CFF">
      <w:rPr>
        <w:rFonts w:cstheme="minorHAnsi"/>
        <w:i/>
        <w:sz w:val="16"/>
      </w:rPr>
      <w:t>Department of Agriculture and Water Resources</w:t>
    </w:r>
  </w:p>
  <w:p w14:paraId="60A65C30" w14:textId="729F42CE" w:rsidR="007D1335" w:rsidRPr="00DD1CFF" w:rsidRDefault="00484797" w:rsidP="00A14666">
    <w:pPr>
      <w:pStyle w:val="Header"/>
      <w:jc w:val="right"/>
      <w:rPr>
        <w:rFonts w:cstheme="minorHAnsi"/>
      </w:rPr>
    </w:pPr>
    <w:r w:rsidRPr="00DD1CFF">
      <w:rPr>
        <w:rFonts w:cstheme="minorHAnsi"/>
        <w:i/>
        <w:sz w:val="16"/>
      </w:rPr>
      <w:t>October</w:t>
    </w:r>
    <w:r w:rsidR="007D1335" w:rsidRPr="00DD1CFF">
      <w:rPr>
        <w:rFonts w:cstheme="minorHAnsi"/>
        <w:i/>
        <w:sz w:val="16"/>
      </w:rPr>
      <w:t xml:space="preserve"> 2018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910E9" w14:textId="14ED51CC" w:rsidR="007D1335" w:rsidRPr="00DD1CFF" w:rsidRDefault="007D1335" w:rsidP="00A14666">
    <w:pPr>
      <w:pStyle w:val="Header"/>
      <w:jc w:val="right"/>
      <w:rPr>
        <w:rFonts w:cstheme="minorHAnsi"/>
        <w:i/>
        <w:sz w:val="16"/>
      </w:rPr>
    </w:pPr>
    <w:r w:rsidRPr="00DD1CFF">
      <w:rPr>
        <w:rFonts w:cstheme="minorHAnsi"/>
        <w:noProof/>
        <w:color w:val="005EB8"/>
        <w:sz w:val="20"/>
        <w:lang w:eastAsia="en-AU"/>
      </w:rPr>
      <mc:AlternateContent>
        <mc:Choice Requires="wps">
          <w:drawing>
            <wp:anchor distT="0" distB="0" distL="114300" distR="114300" simplePos="0" relativeHeight="251703296" behindDoc="1" locked="0" layoutInCell="1" allowOverlap="1" wp14:anchorId="5079F8DA" wp14:editId="67B1916F">
              <wp:simplePos x="0" y="0"/>
              <wp:positionH relativeFrom="page">
                <wp:align>left</wp:align>
              </wp:positionH>
              <wp:positionV relativeFrom="page">
                <wp:align>top</wp:align>
              </wp:positionV>
              <wp:extent cx="808074" cy="20307869"/>
              <wp:effectExtent l="0" t="0" r="0" b="0"/>
              <wp:wrapTight wrapText="bothSides">
                <wp:wrapPolygon edited="0">
                  <wp:start x="0" y="0"/>
                  <wp:lineTo x="0" y="21580"/>
                  <wp:lineTo x="20887" y="21580"/>
                  <wp:lineTo x="20887" y="0"/>
                  <wp:lineTo x="0" y="0"/>
                </wp:wrapPolygon>
              </wp:wrapTight>
              <wp:docPr id="8" name="Rectangle 8"/>
              <wp:cNvGraphicFramePr/>
              <a:graphic xmlns:a="http://schemas.openxmlformats.org/drawingml/2006/main">
                <a:graphicData uri="http://schemas.microsoft.com/office/word/2010/wordprocessingShape">
                  <wps:wsp>
                    <wps:cNvSpPr/>
                    <wps:spPr>
                      <a:xfrm>
                        <a:off x="0" y="0"/>
                        <a:ext cx="808074" cy="20307869"/>
                      </a:xfrm>
                      <a:prstGeom prst="rect">
                        <a:avLst/>
                      </a:prstGeom>
                      <a:solidFill>
                        <a:srgbClr val="00A3A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8F4AA" id="Rectangle 8" o:spid="_x0000_s1026" style="position:absolute;margin-left:0;margin-top:0;width:63.65pt;height:1599.05pt;z-index:-25161318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CClgIAAIYFAAAOAAAAZHJzL2Uyb0RvYy54bWysVFFPGzEMfp+0/xDlfdy1FCgVV1SBmCYh&#10;QMDEc5pLepFycZakvXa/fk5ydzCG9jCtD2kc25/t72xfXO5bTXbCeQWmopOjkhJhONTKbCr6/fnm&#10;y5wSH5ipmQYjKnoQnl4uP3+66OxCTKEBXQtHEMT4RWcr2oRgF0XheSNa5o/ACoNKCa5lAUW3KWrH&#10;OkRvdTEty9OiA1dbB1x4j6/XWUmXCV9KwcO9lF4EoiuKuYV0unSu41ksL9hi45htFO/TYP+QRcuU&#10;waAj1DULjGyd+gOqVdyBBxmOOLQFSKm4SDVgNZPyXTVPDbMi1YLkeDvS5P8fLL/bPTii6orihzKs&#10;xU/0iKQxs9GCzCM9nfULtHqyD66XPF5jrXvp2viPVZB9ovQwUir2gXB8nJfz8mxGCUfVtDwuz+an&#10;5xG1eHW3zoevAloSLxV1GD5RyXa3PmTTwSRG86BVfaO0ToLbrK+0IzsWv2+5Ol5NevTfzLSJxgai&#10;W0aML0UsLReTbuGgRbTT5lFI5ATTn6ZMUjeKMQ7jXJgwyaqG1SKHPynxN0SP/Rs9UqUJMCJLjD9i&#10;9wCDZQYZsHOWvX10FamZR+fyb4ll59EjRQYTRudWGXAfAWisqo+c7QeSMjWRpTXUB+wYB3mUvOU3&#10;Cr/bLfPhgTmcHZwy3AfhHg+poaso9DdKGnA/P3qP9tjSqKWkw1msqP+xZU5Qor8ZbPbzyWwWhzcJ&#10;s5OzKQrurWb9VmO27RVgO0xw81iertE+6OEqHbQvuDZWMSqqmOEYu6I8uEG4CnlH4OLhYrVKZjiw&#10;loVb82R5BI+sxr583r8wZ/vmDdj3dzDMLVu86+FsGz0NrLYBpEoN/sprzzcOe2qcfjHFbfJWTlav&#10;63P5CwAA//8DAFBLAwQUAAYACAAAACEAq4gpqNwAAAAGAQAADwAAAGRycy9kb3ducmV2LnhtbEyP&#10;wU7DMBBE70j8g7VI3KiTVmrTkE2FkCJxgEML4uzGSxJhr4PtNuHvcbnAZaXRjGbeVrvZGnEmHwbH&#10;CPkiA0HcOj1wh/D22twVIEJUrJVxTAjfFGBXX19VqtRu4j2dD7ETqYRDqRD6GMdSytD2ZFVYuJE4&#10;eR/OWxWT9J3UXk2p3Bq5zLK1tGrgtNCrkR57aj8PJ4swvWyf1u9+bmw7Fr553nvzlW8Qb2/mh3sQ&#10;keb4F4YLfkKHOjEd3Yl1EAYhPRJ/78VbblYgjgirfFvkIOtK/sevfwAAAP//AwBQSwECLQAUAAYA&#10;CAAAACEAtoM4kv4AAADhAQAAEwAAAAAAAAAAAAAAAAAAAAAAW0NvbnRlbnRfVHlwZXNdLnhtbFBL&#10;AQItABQABgAIAAAAIQA4/SH/1gAAAJQBAAALAAAAAAAAAAAAAAAAAC8BAABfcmVscy8ucmVsc1BL&#10;AQItABQABgAIAAAAIQAKOICClgIAAIYFAAAOAAAAAAAAAAAAAAAAAC4CAABkcnMvZTJvRG9jLnht&#10;bFBLAQItABQABgAIAAAAIQCriCmo3AAAAAYBAAAPAAAAAAAAAAAAAAAAAPAEAABkcnMvZG93bnJl&#10;di54bWxQSwUGAAAAAAQABADzAAAA+QUAAAAA&#10;" fillcolor="#00a3a1" stroked="f" strokeweight="1pt">
              <w10:wrap type="tight" anchorx="page" anchory="page"/>
            </v:rect>
          </w:pict>
        </mc:Fallback>
      </mc:AlternateContent>
    </w:r>
    <w:r w:rsidRPr="00DD1CFF">
      <w:rPr>
        <w:rFonts w:cstheme="minorHAnsi"/>
        <w:i/>
        <w:sz w:val="16"/>
      </w:rPr>
      <w:t xml:space="preserve">Review of State Priority Projects – Healthy </w:t>
    </w:r>
    <w:proofErr w:type="spellStart"/>
    <w:r w:rsidRPr="00DD1CFF">
      <w:rPr>
        <w:rFonts w:cstheme="minorHAnsi"/>
        <w:i/>
        <w:sz w:val="16"/>
      </w:rPr>
      <w:t>HeadWaters</w:t>
    </w:r>
    <w:proofErr w:type="spellEnd"/>
    <w:r w:rsidRPr="00DD1CFF">
      <w:rPr>
        <w:rFonts w:cstheme="minorHAnsi"/>
        <w:i/>
        <w:sz w:val="16"/>
      </w:rPr>
      <w:t xml:space="preserve"> Water Use Efficiency Project</w:t>
    </w:r>
  </w:p>
  <w:p w14:paraId="7C1A8BF0" w14:textId="77777777" w:rsidR="007D1335" w:rsidRPr="00DD1CFF" w:rsidRDefault="007D1335" w:rsidP="00A14666">
    <w:pPr>
      <w:pStyle w:val="Header"/>
      <w:jc w:val="right"/>
      <w:rPr>
        <w:rFonts w:cstheme="minorHAnsi"/>
        <w:i/>
        <w:sz w:val="16"/>
      </w:rPr>
    </w:pPr>
    <w:r w:rsidRPr="00DD1CFF">
      <w:rPr>
        <w:rFonts w:cstheme="minorHAnsi"/>
        <w:i/>
        <w:sz w:val="16"/>
      </w:rPr>
      <w:t>Department of Agriculture and Water Resources</w:t>
    </w:r>
  </w:p>
  <w:p w14:paraId="21777977" w14:textId="0F0A9C6D" w:rsidR="007D1335" w:rsidRPr="00DD1CFF" w:rsidRDefault="00484797" w:rsidP="00A14666">
    <w:pPr>
      <w:pStyle w:val="Header"/>
      <w:jc w:val="right"/>
      <w:rPr>
        <w:rFonts w:cstheme="minorHAnsi"/>
        <w:i/>
        <w:sz w:val="16"/>
      </w:rPr>
    </w:pPr>
    <w:r w:rsidRPr="00DD1CFF">
      <w:rPr>
        <w:rFonts w:cstheme="minorHAnsi"/>
        <w:i/>
        <w:sz w:val="16"/>
      </w:rPr>
      <w:t>October</w:t>
    </w:r>
    <w:r w:rsidR="007D1335" w:rsidRPr="00DD1CFF">
      <w:rPr>
        <w:rFonts w:cstheme="minorHAnsi"/>
        <w:i/>
        <w:sz w:val="16"/>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090D"/>
    <w:multiLevelType w:val="singleLevel"/>
    <w:tmpl w:val="DD9EAAA4"/>
    <w:lvl w:ilvl="0">
      <w:start w:val="1"/>
      <w:numFmt w:val="bullet"/>
      <w:lvlText w:val=""/>
      <w:lvlJc w:val="left"/>
      <w:pPr>
        <w:tabs>
          <w:tab w:val="num" w:pos="340"/>
        </w:tabs>
        <w:ind w:left="340" w:hanging="340"/>
      </w:pPr>
      <w:rPr>
        <w:rFonts w:ascii="Symbol" w:hAnsi="Symbol" w:hint="default"/>
        <w:color w:val="auto"/>
        <w:sz w:val="22"/>
      </w:rPr>
    </w:lvl>
  </w:abstractNum>
  <w:abstractNum w:abstractNumId="1" w15:restartNumberingAfterBreak="0">
    <w:nsid w:val="025D54AF"/>
    <w:multiLevelType w:val="singleLevel"/>
    <w:tmpl w:val="7B5C17B6"/>
    <w:lvl w:ilvl="0">
      <w:start w:val="1"/>
      <w:numFmt w:val="bullet"/>
      <w:lvlText w:val=""/>
      <w:lvlJc w:val="left"/>
      <w:pPr>
        <w:tabs>
          <w:tab w:val="num" w:pos="340"/>
        </w:tabs>
        <w:ind w:left="340" w:hanging="340"/>
      </w:pPr>
      <w:rPr>
        <w:rFonts w:ascii="Symbol" w:hAnsi="Symbol" w:hint="default"/>
        <w:color w:val="auto"/>
        <w:sz w:val="22"/>
      </w:rPr>
    </w:lvl>
  </w:abstractNum>
  <w:abstractNum w:abstractNumId="2" w15:restartNumberingAfterBreak="0">
    <w:nsid w:val="06B030AC"/>
    <w:multiLevelType w:val="hybridMultilevel"/>
    <w:tmpl w:val="CDF26EF2"/>
    <w:lvl w:ilvl="0" w:tplc="BF328530">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C2786B"/>
    <w:multiLevelType w:val="hybridMultilevel"/>
    <w:tmpl w:val="F16C8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E3481C"/>
    <w:multiLevelType w:val="singleLevel"/>
    <w:tmpl w:val="4BEC18AE"/>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110C3CFD"/>
    <w:multiLevelType w:val="hybridMultilevel"/>
    <w:tmpl w:val="0F1C02F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452A78"/>
    <w:multiLevelType w:val="hybridMultilevel"/>
    <w:tmpl w:val="13F62C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9578C2"/>
    <w:multiLevelType w:val="singleLevel"/>
    <w:tmpl w:val="DAF2F6F2"/>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17816F21"/>
    <w:multiLevelType w:val="singleLevel"/>
    <w:tmpl w:val="3B4C4E16"/>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1E282428"/>
    <w:multiLevelType w:val="hybridMultilevel"/>
    <w:tmpl w:val="87461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460D16"/>
    <w:multiLevelType w:val="singleLevel"/>
    <w:tmpl w:val="306E31A0"/>
    <w:lvl w:ilvl="0">
      <w:start w:val="1"/>
      <w:numFmt w:val="bullet"/>
      <w:lvlText w:val=""/>
      <w:lvlJc w:val="left"/>
      <w:pPr>
        <w:tabs>
          <w:tab w:val="num" w:pos="340"/>
        </w:tabs>
        <w:ind w:left="340" w:hanging="340"/>
      </w:pPr>
      <w:rPr>
        <w:rFonts w:ascii="Symbol" w:hAnsi="Symbol" w:hint="default"/>
        <w:color w:val="auto"/>
        <w:sz w:val="22"/>
      </w:rPr>
    </w:lvl>
  </w:abstractNum>
  <w:abstractNum w:abstractNumId="11" w15:restartNumberingAfterBreak="0">
    <w:nsid w:val="1EE02CCC"/>
    <w:multiLevelType w:val="singleLevel"/>
    <w:tmpl w:val="F0627072"/>
    <w:lvl w:ilvl="0">
      <w:start w:val="1"/>
      <w:numFmt w:val="bullet"/>
      <w:lvlText w:val=""/>
      <w:lvlJc w:val="left"/>
      <w:pPr>
        <w:tabs>
          <w:tab w:val="num" w:pos="340"/>
        </w:tabs>
        <w:ind w:left="340" w:hanging="340"/>
      </w:pPr>
      <w:rPr>
        <w:rFonts w:ascii="Symbol" w:hAnsi="Symbol" w:hint="default"/>
        <w:color w:val="auto"/>
        <w:sz w:val="22"/>
      </w:rPr>
    </w:lvl>
  </w:abstractNum>
  <w:abstractNum w:abstractNumId="12" w15:restartNumberingAfterBreak="0">
    <w:nsid w:val="1F471B82"/>
    <w:multiLevelType w:val="hybridMultilevel"/>
    <w:tmpl w:val="F77261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C032C52"/>
    <w:multiLevelType w:val="hybridMultilevel"/>
    <w:tmpl w:val="13EED5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D74077E"/>
    <w:multiLevelType w:val="hybridMultilevel"/>
    <w:tmpl w:val="2D1A94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6B3407"/>
    <w:multiLevelType w:val="hybridMultilevel"/>
    <w:tmpl w:val="450C56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6681B39"/>
    <w:multiLevelType w:val="singleLevel"/>
    <w:tmpl w:val="E3BAD128"/>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5DF5545C"/>
    <w:multiLevelType w:val="hybridMultilevel"/>
    <w:tmpl w:val="13E6BB6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735E22"/>
    <w:multiLevelType w:val="singleLevel"/>
    <w:tmpl w:val="A44C9FF4"/>
    <w:lvl w:ilvl="0">
      <w:start w:val="1"/>
      <w:numFmt w:val="bullet"/>
      <w:lvlText w:val=""/>
      <w:lvlJc w:val="left"/>
      <w:pPr>
        <w:tabs>
          <w:tab w:val="num" w:pos="340"/>
        </w:tabs>
        <w:ind w:left="340" w:hanging="340"/>
      </w:pPr>
      <w:rPr>
        <w:rFonts w:ascii="Symbol" w:hAnsi="Symbol" w:hint="default"/>
        <w:color w:val="auto"/>
        <w:sz w:val="22"/>
      </w:rPr>
    </w:lvl>
  </w:abstractNum>
  <w:abstractNum w:abstractNumId="19" w15:restartNumberingAfterBreak="0">
    <w:nsid w:val="6606386F"/>
    <w:multiLevelType w:val="hybridMultilevel"/>
    <w:tmpl w:val="6A98BC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75C6EFF"/>
    <w:multiLevelType w:val="hybridMultilevel"/>
    <w:tmpl w:val="DBBC76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CE2F54"/>
    <w:multiLevelType w:val="singleLevel"/>
    <w:tmpl w:val="4C4A1BB8"/>
    <w:lvl w:ilvl="0">
      <w:start w:val="1"/>
      <w:numFmt w:val="bullet"/>
      <w:lvlText w:val=""/>
      <w:lvlJc w:val="left"/>
      <w:pPr>
        <w:tabs>
          <w:tab w:val="num" w:pos="340"/>
        </w:tabs>
        <w:ind w:left="340" w:hanging="340"/>
      </w:pPr>
      <w:rPr>
        <w:rFonts w:ascii="Symbol" w:hAnsi="Symbol" w:hint="default"/>
        <w:color w:val="auto"/>
        <w:sz w:val="22"/>
      </w:rPr>
    </w:lvl>
  </w:abstractNum>
  <w:abstractNum w:abstractNumId="22" w15:restartNumberingAfterBreak="0">
    <w:nsid w:val="78774504"/>
    <w:multiLevelType w:val="singleLevel"/>
    <w:tmpl w:val="F4645694"/>
    <w:lvl w:ilvl="0">
      <w:start w:val="1"/>
      <w:numFmt w:val="bullet"/>
      <w:lvlText w:val=""/>
      <w:lvlJc w:val="left"/>
      <w:pPr>
        <w:tabs>
          <w:tab w:val="num" w:pos="340"/>
        </w:tabs>
        <w:ind w:left="340" w:hanging="340"/>
      </w:pPr>
      <w:rPr>
        <w:rFonts w:ascii="Symbol" w:hAnsi="Symbol" w:hint="default"/>
        <w:color w:val="auto"/>
        <w:sz w:val="22"/>
      </w:rPr>
    </w:lvl>
  </w:abstractNum>
  <w:abstractNum w:abstractNumId="23" w15:restartNumberingAfterBreak="0">
    <w:nsid w:val="7A6E20CD"/>
    <w:multiLevelType w:val="multilevel"/>
    <w:tmpl w:val="9BA6A5E2"/>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b/>
        <w:color w:val="005EB8"/>
      </w:rPr>
    </w:lvl>
    <w:lvl w:ilvl="2">
      <w:start w:val="1"/>
      <w:numFmt w:val="decimal"/>
      <w:lvlText w:val="%1.%2.%3"/>
      <w:lvlJc w:val="left"/>
      <w:pPr>
        <w:ind w:left="1077" w:hanging="51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CAB72AB"/>
    <w:multiLevelType w:val="hybridMultilevel"/>
    <w:tmpl w:val="B6D21FFE"/>
    <w:lvl w:ilvl="0" w:tplc="9F6EADE4">
      <w:start w:val="1"/>
      <w:numFmt w:val="bullet"/>
      <w:lvlText w:val="o"/>
      <w:lvlJc w:val="left"/>
      <w:pPr>
        <w:tabs>
          <w:tab w:val="num" w:pos="720"/>
        </w:tabs>
        <w:ind w:left="720" w:hanging="360"/>
      </w:pPr>
      <w:rPr>
        <w:rFonts w:ascii="Courier New" w:hAnsi="Courier New" w:hint="default"/>
      </w:rPr>
    </w:lvl>
    <w:lvl w:ilvl="1" w:tplc="84B239CE">
      <w:start w:val="1"/>
      <w:numFmt w:val="bullet"/>
      <w:lvlText w:val="o"/>
      <w:lvlJc w:val="left"/>
      <w:pPr>
        <w:tabs>
          <w:tab w:val="num" w:pos="1440"/>
        </w:tabs>
        <w:ind w:left="1440" w:hanging="360"/>
      </w:pPr>
      <w:rPr>
        <w:rFonts w:ascii="Courier New" w:hAnsi="Courier New" w:hint="default"/>
      </w:rPr>
    </w:lvl>
    <w:lvl w:ilvl="2" w:tplc="EF1EEE50" w:tentative="1">
      <w:start w:val="1"/>
      <w:numFmt w:val="bullet"/>
      <w:lvlText w:val="o"/>
      <w:lvlJc w:val="left"/>
      <w:pPr>
        <w:tabs>
          <w:tab w:val="num" w:pos="2160"/>
        </w:tabs>
        <w:ind w:left="2160" w:hanging="360"/>
      </w:pPr>
      <w:rPr>
        <w:rFonts w:ascii="Courier New" w:hAnsi="Courier New" w:hint="default"/>
      </w:rPr>
    </w:lvl>
    <w:lvl w:ilvl="3" w:tplc="3CCE002E" w:tentative="1">
      <w:start w:val="1"/>
      <w:numFmt w:val="bullet"/>
      <w:lvlText w:val="o"/>
      <w:lvlJc w:val="left"/>
      <w:pPr>
        <w:tabs>
          <w:tab w:val="num" w:pos="2880"/>
        </w:tabs>
        <w:ind w:left="2880" w:hanging="360"/>
      </w:pPr>
      <w:rPr>
        <w:rFonts w:ascii="Courier New" w:hAnsi="Courier New" w:hint="default"/>
      </w:rPr>
    </w:lvl>
    <w:lvl w:ilvl="4" w:tplc="31E45B12" w:tentative="1">
      <w:start w:val="1"/>
      <w:numFmt w:val="bullet"/>
      <w:lvlText w:val="o"/>
      <w:lvlJc w:val="left"/>
      <w:pPr>
        <w:tabs>
          <w:tab w:val="num" w:pos="3600"/>
        </w:tabs>
        <w:ind w:left="3600" w:hanging="360"/>
      </w:pPr>
      <w:rPr>
        <w:rFonts w:ascii="Courier New" w:hAnsi="Courier New" w:hint="default"/>
      </w:rPr>
    </w:lvl>
    <w:lvl w:ilvl="5" w:tplc="14F68D9A" w:tentative="1">
      <w:start w:val="1"/>
      <w:numFmt w:val="bullet"/>
      <w:lvlText w:val="o"/>
      <w:lvlJc w:val="left"/>
      <w:pPr>
        <w:tabs>
          <w:tab w:val="num" w:pos="4320"/>
        </w:tabs>
        <w:ind w:left="4320" w:hanging="360"/>
      </w:pPr>
      <w:rPr>
        <w:rFonts w:ascii="Courier New" w:hAnsi="Courier New" w:hint="default"/>
      </w:rPr>
    </w:lvl>
    <w:lvl w:ilvl="6" w:tplc="C29694FC" w:tentative="1">
      <w:start w:val="1"/>
      <w:numFmt w:val="bullet"/>
      <w:lvlText w:val="o"/>
      <w:lvlJc w:val="left"/>
      <w:pPr>
        <w:tabs>
          <w:tab w:val="num" w:pos="5040"/>
        </w:tabs>
        <w:ind w:left="5040" w:hanging="360"/>
      </w:pPr>
      <w:rPr>
        <w:rFonts w:ascii="Courier New" w:hAnsi="Courier New" w:hint="default"/>
      </w:rPr>
    </w:lvl>
    <w:lvl w:ilvl="7" w:tplc="2CDA20F6" w:tentative="1">
      <w:start w:val="1"/>
      <w:numFmt w:val="bullet"/>
      <w:lvlText w:val="o"/>
      <w:lvlJc w:val="left"/>
      <w:pPr>
        <w:tabs>
          <w:tab w:val="num" w:pos="5760"/>
        </w:tabs>
        <w:ind w:left="5760" w:hanging="360"/>
      </w:pPr>
      <w:rPr>
        <w:rFonts w:ascii="Courier New" w:hAnsi="Courier New" w:hint="default"/>
      </w:rPr>
    </w:lvl>
    <w:lvl w:ilvl="8" w:tplc="EECA6900" w:tentative="1">
      <w:start w:val="1"/>
      <w:numFmt w:val="bullet"/>
      <w:lvlText w:val="o"/>
      <w:lvlJc w:val="left"/>
      <w:pPr>
        <w:tabs>
          <w:tab w:val="num" w:pos="6480"/>
        </w:tabs>
        <w:ind w:left="6480" w:hanging="360"/>
      </w:pPr>
      <w:rPr>
        <w:rFonts w:ascii="Courier New" w:hAnsi="Courier New" w:hint="default"/>
      </w:rPr>
    </w:lvl>
  </w:abstractNum>
  <w:num w:numId="1">
    <w:abstractNumId w:val="23"/>
  </w:num>
  <w:num w:numId="2">
    <w:abstractNumId w:val="5"/>
  </w:num>
  <w:num w:numId="3">
    <w:abstractNumId w:val="16"/>
  </w:num>
  <w:num w:numId="4">
    <w:abstractNumId w:val="18"/>
  </w:num>
  <w:num w:numId="5">
    <w:abstractNumId w:val="19"/>
  </w:num>
  <w:num w:numId="6">
    <w:abstractNumId w:val="9"/>
  </w:num>
  <w:num w:numId="7">
    <w:abstractNumId w:val="6"/>
  </w:num>
  <w:num w:numId="8">
    <w:abstractNumId w:val="4"/>
  </w:num>
  <w:num w:numId="9">
    <w:abstractNumId w:val="21"/>
  </w:num>
  <w:num w:numId="10">
    <w:abstractNumId w:val="15"/>
  </w:num>
  <w:num w:numId="11">
    <w:abstractNumId w:val="12"/>
  </w:num>
  <w:num w:numId="12">
    <w:abstractNumId w:val="14"/>
  </w:num>
  <w:num w:numId="13">
    <w:abstractNumId w:val="23"/>
  </w:num>
  <w:num w:numId="14">
    <w:abstractNumId w:val="23"/>
  </w:num>
  <w:num w:numId="15">
    <w:abstractNumId w:val="20"/>
  </w:num>
  <w:num w:numId="16">
    <w:abstractNumId w:val="2"/>
  </w:num>
  <w:num w:numId="17">
    <w:abstractNumId w:val="23"/>
  </w:num>
  <w:num w:numId="18">
    <w:abstractNumId w:val="23"/>
  </w:num>
  <w:num w:numId="19">
    <w:abstractNumId w:val="23"/>
  </w:num>
  <w:num w:numId="20">
    <w:abstractNumId w:val="23"/>
  </w:num>
  <w:num w:numId="21">
    <w:abstractNumId w:val="11"/>
  </w:num>
  <w:num w:numId="22">
    <w:abstractNumId w:val="8"/>
  </w:num>
  <w:num w:numId="23">
    <w:abstractNumId w:val="23"/>
  </w:num>
  <w:num w:numId="24">
    <w:abstractNumId w:val="1"/>
  </w:num>
  <w:num w:numId="25">
    <w:abstractNumId w:val="17"/>
  </w:num>
  <w:num w:numId="26">
    <w:abstractNumId w:val="24"/>
  </w:num>
  <w:num w:numId="27">
    <w:abstractNumId w:val="7"/>
  </w:num>
  <w:num w:numId="28">
    <w:abstractNumId w:val="23"/>
  </w:num>
  <w:num w:numId="29">
    <w:abstractNumId w:val="23"/>
  </w:num>
  <w:num w:numId="30">
    <w:abstractNumId w:val="23"/>
  </w:num>
  <w:num w:numId="31">
    <w:abstractNumId w:val="23"/>
  </w:num>
  <w:num w:numId="32">
    <w:abstractNumId w:val="23"/>
  </w:num>
  <w:num w:numId="33">
    <w:abstractNumId w:val="22"/>
  </w:num>
  <w:num w:numId="34">
    <w:abstractNumId w:val="0"/>
  </w:num>
  <w:num w:numId="35">
    <w:abstractNumId w:val="10"/>
  </w:num>
  <w:num w:numId="36">
    <w:abstractNumId w:val="3"/>
  </w:num>
  <w:num w:numId="37">
    <w:abstractNumId w:val="13"/>
  </w:num>
  <w:num w:numId="38">
    <w:abstractNumId w:val="23"/>
  </w:num>
  <w:num w:numId="39">
    <w:abstractNumId w:val="23"/>
  </w:num>
  <w:num w:numId="40">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raftWatermark" w:val="0"/>
  </w:docVars>
  <w:rsids>
    <w:rsidRoot w:val="00F91CAC"/>
    <w:rsid w:val="0000278E"/>
    <w:rsid w:val="0000370F"/>
    <w:rsid w:val="00013A31"/>
    <w:rsid w:val="00014C8C"/>
    <w:rsid w:val="00015220"/>
    <w:rsid w:val="0001694E"/>
    <w:rsid w:val="00016BE6"/>
    <w:rsid w:val="00026707"/>
    <w:rsid w:val="000267D1"/>
    <w:rsid w:val="000314AA"/>
    <w:rsid w:val="000338DB"/>
    <w:rsid w:val="00041A2E"/>
    <w:rsid w:val="00041E7F"/>
    <w:rsid w:val="00042292"/>
    <w:rsid w:val="00043245"/>
    <w:rsid w:val="00047CAE"/>
    <w:rsid w:val="00064CDC"/>
    <w:rsid w:val="00066B61"/>
    <w:rsid w:val="00070162"/>
    <w:rsid w:val="000722AF"/>
    <w:rsid w:val="00076563"/>
    <w:rsid w:val="00076C2D"/>
    <w:rsid w:val="00080070"/>
    <w:rsid w:val="00081A4B"/>
    <w:rsid w:val="0008509C"/>
    <w:rsid w:val="00090D42"/>
    <w:rsid w:val="00093FDC"/>
    <w:rsid w:val="000958AB"/>
    <w:rsid w:val="000A0B13"/>
    <w:rsid w:val="000A279D"/>
    <w:rsid w:val="000A5790"/>
    <w:rsid w:val="000B2AF6"/>
    <w:rsid w:val="000B42EF"/>
    <w:rsid w:val="000C2EEA"/>
    <w:rsid w:val="000C5D78"/>
    <w:rsid w:val="000D08A8"/>
    <w:rsid w:val="000D1D26"/>
    <w:rsid w:val="000E0840"/>
    <w:rsid w:val="000E6F2D"/>
    <w:rsid w:val="000E717D"/>
    <w:rsid w:val="000F4D9D"/>
    <w:rsid w:val="000F6ECA"/>
    <w:rsid w:val="0010334A"/>
    <w:rsid w:val="00107F77"/>
    <w:rsid w:val="00111754"/>
    <w:rsid w:val="00116812"/>
    <w:rsid w:val="001178AC"/>
    <w:rsid w:val="00123827"/>
    <w:rsid w:val="00125DE5"/>
    <w:rsid w:val="00135623"/>
    <w:rsid w:val="00141764"/>
    <w:rsid w:val="00144C4F"/>
    <w:rsid w:val="00145FB8"/>
    <w:rsid w:val="00146D47"/>
    <w:rsid w:val="001474BD"/>
    <w:rsid w:val="00147CBD"/>
    <w:rsid w:val="00152AAA"/>
    <w:rsid w:val="00154055"/>
    <w:rsid w:val="001545C4"/>
    <w:rsid w:val="00155778"/>
    <w:rsid w:val="00160DC1"/>
    <w:rsid w:val="00165D4D"/>
    <w:rsid w:val="0016739A"/>
    <w:rsid w:val="0017330F"/>
    <w:rsid w:val="00174365"/>
    <w:rsid w:val="0018157C"/>
    <w:rsid w:val="0018257D"/>
    <w:rsid w:val="001861BF"/>
    <w:rsid w:val="00186640"/>
    <w:rsid w:val="00187B3B"/>
    <w:rsid w:val="001957BD"/>
    <w:rsid w:val="001A5845"/>
    <w:rsid w:val="001A7C14"/>
    <w:rsid w:val="001C57D5"/>
    <w:rsid w:val="001C6EC2"/>
    <w:rsid w:val="001D096E"/>
    <w:rsid w:val="001D2044"/>
    <w:rsid w:val="001D20E7"/>
    <w:rsid w:val="001D2E55"/>
    <w:rsid w:val="001D4CEF"/>
    <w:rsid w:val="001E1907"/>
    <w:rsid w:val="001E452E"/>
    <w:rsid w:val="001F4140"/>
    <w:rsid w:val="001F64C4"/>
    <w:rsid w:val="00200DC3"/>
    <w:rsid w:val="00207128"/>
    <w:rsid w:val="002078DE"/>
    <w:rsid w:val="00207F99"/>
    <w:rsid w:val="00210F96"/>
    <w:rsid w:val="00211D92"/>
    <w:rsid w:val="00213C26"/>
    <w:rsid w:val="0021771D"/>
    <w:rsid w:val="00223CC6"/>
    <w:rsid w:val="002277D8"/>
    <w:rsid w:val="00230008"/>
    <w:rsid w:val="00232107"/>
    <w:rsid w:val="00232CDB"/>
    <w:rsid w:val="0023731B"/>
    <w:rsid w:val="00244339"/>
    <w:rsid w:val="00246CC8"/>
    <w:rsid w:val="00253534"/>
    <w:rsid w:val="00253854"/>
    <w:rsid w:val="002655C3"/>
    <w:rsid w:val="002724E8"/>
    <w:rsid w:val="00273FB1"/>
    <w:rsid w:val="00274C33"/>
    <w:rsid w:val="00276030"/>
    <w:rsid w:val="00292EF1"/>
    <w:rsid w:val="00293354"/>
    <w:rsid w:val="002974C6"/>
    <w:rsid w:val="002A0E52"/>
    <w:rsid w:val="002A20A1"/>
    <w:rsid w:val="002A2DEB"/>
    <w:rsid w:val="002A5766"/>
    <w:rsid w:val="002B3599"/>
    <w:rsid w:val="002B56F3"/>
    <w:rsid w:val="002B7589"/>
    <w:rsid w:val="002C0283"/>
    <w:rsid w:val="002C0CCA"/>
    <w:rsid w:val="002C275C"/>
    <w:rsid w:val="002C2AC4"/>
    <w:rsid w:val="002C38B2"/>
    <w:rsid w:val="002C533D"/>
    <w:rsid w:val="002C7803"/>
    <w:rsid w:val="002D1EE0"/>
    <w:rsid w:val="002D5D1E"/>
    <w:rsid w:val="002D745B"/>
    <w:rsid w:val="002E32BD"/>
    <w:rsid w:val="002E7B93"/>
    <w:rsid w:val="002F0DC2"/>
    <w:rsid w:val="002F0DF4"/>
    <w:rsid w:val="002F1163"/>
    <w:rsid w:val="002F1756"/>
    <w:rsid w:val="002F2BCE"/>
    <w:rsid w:val="002F7F17"/>
    <w:rsid w:val="00312242"/>
    <w:rsid w:val="00313005"/>
    <w:rsid w:val="003130C0"/>
    <w:rsid w:val="00317A29"/>
    <w:rsid w:val="00321179"/>
    <w:rsid w:val="00321356"/>
    <w:rsid w:val="00321418"/>
    <w:rsid w:val="00323904"/>
    <w:rsid w:val="00327AAA"/>
    <w:rsid w:val="003300E0"/>
    <w:rsid w:val="00336886"/>
    <w:rsid w:val="0034707B"/>
    <w:rsid w:val="003571EF"/>
    <w:rsid w:val="00357D3C"/>
    <w:rsid w:val="003650DE"/>
    <w:rsid w:val="00366A30"/>
    <w:rsid w:val="003676EE"/>
    <w:rsid w:val="00375BC3"/>
    <w:rsid w:val="00376CEC"/>
    <w:rsid w:val="003828AA"/>
    <w:rsid w:val="00383C5C"/>
    <w:rsid w:val="00386535"/>
    <w:rsid w:val="00387910"/>
    <w:rsid w:val="00390576"/>
    <w:rsid w:val="0039433A"/>
    <w:rsid w:val="003954A2"/>
    <w:rsid w:val="003A0143"/>
    <w:rsid w:val="003A1A57"/>
    <w:rsid w:val="003A5486"/>
    <w:rsid w:val="003B0A0E"/>
    <w:rsid w:val="003B281F"/>
    <w:rsid w:val="003B33AA"/>
    <w:rsid w:val="003B514E"/>
    <w:rsid w:val="003B7616"/>
    <w:rsid w:val="003C0D9D"/>
    <w:rsid w:val="003C20B1"/>
    <w:rsid w:val="003C2E5A"/>
    <w:rsid w:val="003C30EB"/>
    <w:rsid w:val="003C39EB"/>
    <w:rsid w:val="003D1C3A"/>
    <w:rsid w:val="003D2277"/>
    <w:rsid w:val="003E2922"/>
    <w:rsid w:val="003E345A"/>
    <w:rsid w:val="003E73C2"/>
    <w:rsid w:val="003F0F31"/>
    <w:rsid w:val="003F1A52"/>
    <w:rsid w:val="00410321"/>
    <w:rsid w:val="00410604"/>
    <w:rsid w:val="00410B2D"/>
    <w:rsid w:val="00411B0E"/>
    <w:rsid w:val="00413BDB"/>
    <w:rsid w:val="004229D1"/>
    <w:rsid w:val="00424255"/>
    <w:rsid w:val="00424437"/>
    <w:rsid w:val="004244AB"/>
    <w:rsid w:val="00424E41"/>
    <w:rsid w:val="00426BD6"/>
    <w:rsid w:val="00431199"/>
    <w:rsid w:val="004314F1"/>
    <w:rsid w:val="0043210B"/>
    <w:rsid w:val="00432EE5"/>
    <w:rsid w:val="0043469A"/>
    <w:rsid w:val="0044360A"/>
    <w:rsid w:val="0044368A"/>
    <w:rsid w:val="0044489D"/>
    <w:rsid w:val="00444DF8"/>
    <w:rsid w:val="004576E3"/>
    <w:rsid w:val="00474DAB"/>
    <w:rsid w:val="004763C5"/>
    <w:rsid w:val="0048011C"/>
    <w:rsid w:val="00484797"/>
    <w:rsid w:val="00485D52"/>
    <w:rsid w:val="004866F9"/>
    <w:rsid w:val="00491B11"/>
    <w:rsid w:val="004A3434"/>
    <w:rsid w:val="004A4B09"/>
    <w:rsid w:val="004A5F0B"/>
    <w:rsid w:val="004C4D09"/>
    <w:rsid w:val="004D0CF6"/>
    <w:rsid w:val="004D2E35"/>
    <w:rsid w:val="004D3484"/>
    <w:rsid w:val="004E1158"/>
    <w:rsid w:val="004E78C5"/>
    <w:rsid w:val="004F71CA"/>
    <w:rsid w:val="0050199E"/>
    <w:rsid w:val="00502096"/>
    <w:rsid w:val="0050508D"/>
    <w:rsid w:val="005052EA"/>
    <w:rsid w:val="00506E89"/>
    <w:rsid w:val="00510322"/>
    <w:rsid w:val="00511156"/>
    <w:rsid w:val="00511553"/>
    <w:rsid w:val="005133A3"/>
    <w:rsid w:val="00515B4E"/>
    <w:rsid w:val="00532A8E"/>
    <w:rsid w:val="005347B1"/>
    <w:rsid w:val="00547C74"/>
    <w:rsid w:val="005519D6"/>
    <w:rsid w:val="00552A4E"/>
    <w:rsid w:val="00570754"/>
    <w:rsid w:val="00570827"/>
    <w:rsid w:val="00570AAB"/>
    <w:rsid w:val="00572678"/>
    <w:rsid w:val="00576494"/>
    <w:rsid w:val="00576F97"/>
    <w:rsid w:val="005773AC"/>
    <w:rsid w:val="00582E73"/>
    <w:rsid w:val="005944A3"/>
    <w:rsid w:val="00596C1C"/>
    <w:rsid w:val="00597060"/>
    <w:rsid w:val="00597902"/>
    <w:rsid w:val="005A26F6"/>
    <w:rsid w:val="005A5367"/>
    <w:rsid w:val="005B14F9"/>
    <w:rsid w:val="005B2695"/>
    <w:rsid w:val="005B2E4E"/>
    <w:rsid w:val="005B3805"/>
    <w:rsid w:val="005B56A2"/>
    <w:rsid w:val="005C56E1"/>
    <w:rsid w:val="005C74B3"/>
    <w:rsid w:val="005C7F2B"/>
    <w:rsid w:val="005D2BA2"/>
    <w:rsid w:val="005D4F7E"/>
    <w:rsid w:val="005D70F5"/>
    <w:rsid w:val="005E619B"/>
    <w:rsid w:val="005E6D40"/>
    <w:rsid w:val="005F105D"/>
    <w:rsid w:val="005F3CB8"/>
    <w:rsid w:val="005F649E"/>
    <w:rsid w:val="005F77A5"/>
    <w:rsid w:val="00603315"/>
    <w:rsid w:val="00606F0A"/>
    <w:rsid w:val="00607EED"/>
    <w:rsid w:val="0061138A"/>
    <w:rsid w:val="00612054"/>
    <w:rsid w:val="0061211E"/>
    <w:rsid w:val="0061462F"/>
    <w:rsid w:val="00615CDC"/>
    <w:rsid w:val="0062645B"/>
    <w:rsid w:val="00632799"/>
    <w:rsid w:val="00633FF2"/>
    <w:rsid w:val="00636E0C"/>
    <w:rsid w:val="00637B99"/>
    <w:rsid w:val="00643E0A"/>
    <w:rsid w:val="00644B79"/>
    <w:rsid w:val="0065132C"/>
    <w:rsid w:val="00660C22"/>
    <w:rsid w:val="0066244A"/>
    <w:rsid w:val="006723AF"/>
    <w:rsid w:val="006724A6"/>
    <w:rsid w:val="00681BCC"/>
    <w:rsid w:val="00685E91"/>
    <w:rsid w:val="00690029"/>
    <w:rsid w:val="006911F2"/>
    <w:rsid w:val="006915C8"/>
    <w:rsid w:val="006945D7"/>
    <w:rsid w:val="0069576D"/>
    <w:rsid w:val="006B63A7"/>
    <w:rsid w:val="006B6579"/>
    <w:rsid w:val="006C712C"/>
    <w:rsid w:val="006D2A95"/>
    <w:rsid w:val="006D4429"/>
    <w:rsid w:val="006D59C4"/>
    <w:rsid w:val="006E04E0"/>
    <w:rsid w:val="006E0AE5"/>
    <w:rsid w:val="006E31B5"/>
    <w:rsid w:val="006F170A"/>
    <w:rsid w:val="006F3236"/>
    <w:rsid w:val="006F49F1"/>
    <w:rsid w:val="006F5A11"/>
    <w:rsid w:val="006F6214"/>
    <w:rsid w:val="00700674"/>
    <w:rsid w:val="007009CE"/>
    <w:rsid w:val="00707362"/>
    <w:rsid w:val="00710835"/>
    <w:rsid w:val="007174A1"/>
    <w:rsid w:val="00724860"/>
    <w:rsid w:val="00731FBF"/>
    <w:rsid w:val="0073582E"/>
    <w:rsid w:val="00741E0D"/>
    <w:rsid w:val="0075596E"/>
    <w:rsid w:val="00763913"/>
    <w:rsid w:val="00771187"/>
    <w:rsid w:val="00771D63"/>
    <w:rsid w:val="007744FC"/>
    <w:rsid w:val="007763B2"/>
    <w:rsid w:val="007819D3"/>
    <w:rsid w:val="00782D76"/>
    <w:rsid w:val="00790B83"/>
    <w:rsid w:val="007914A1"/>
    <w:rsid w:val="00794B1E"/>
    <w:rsid w:val="007A3A5E"/>
    <w:rsid w:val="007B612D"/>
    <w:rsid w:val="007B6D49"/>
    <w:rsid w:val="007C0ABC"/>
    <w:rsid w:val="007C3992"/>
    <w:rsid w:val="007C44B7"/>
    <w:rsid w:val="007C6858"/>
    <w:rsid w:val="007D1335"/>
    <w:rsid w:val="007D252D"/>
    <w:rsid w:val="007D6949"/>
    <w:rsid w:val="007E300C"/>
    <w:rsid w:val="007E564A"/>
    <w:rsid w:val="007F2D97"/>
    <w:rsid w:val="007F711B"/>
    <w:rsid w:val="00804348"/>
    <w:rsid w:val="008058D1"/>
    <w:rsid w:val="00812E27"/>
    <w:rsid w:val="00814A03"/>
    <w:rsid w:val="00816561"/>
    <w:rsid w:val="0082024B"/>
    <w:rsid w:val="00822C72"/>
    <w:rsid w:val="00825A38"/>
    <w:rsid w:val="00835348"/>
    <w:rsid w:val="00837636"/>
    <w:rsid w:val="008401D4"/>
    <w:rsid w:val="008405C5"/>
    <w:rsid w:val="00845254"/>
    <w:rsid w:val="00852E34"/>
    <w:rsid w:val="00856E05"/>
    <w:rsid w:val="00864D75"/>
    <w:rsid w:val="00866FBA"/>
    <w:rsid w:val="00867112"/>
    <w:rsid w:val="0087006E"/>
    <w:rsid w:val="00870A88"/>
    <w:rsid w:val="00871FD3"/>
    <w:rsid w:val="008774A5"/>
    <w:rsid w:val="008801FB"/>
    <w:rsid w:val="00880869"/>
    <w:rsid w:val="00882ED2"/>
    <w:rsid w:val="008842B0"/>
    <w:rsid w:val="00886784"/>
    <w:rsid w:val="00887334"/>
    <w:rsid w:val="0089180F"/>
    <w:rsid w:val="008A1D3C"/>
    <w:rsid w:val="008A2589"/>
    <w:rsid w:val="008A53F8"/>
    <w:rsid w:val="008A65C0"/>
    <w:rsid w:val="008A7101"/>
    <w:rsid w:val="008B0E49"/>
    <w:rsid w:val="008B2840"/>
    <w:rsid w:val="008B49FA"/>
    <w:rsid w:val="008C47E5"/>
    <w:rsid w:val="008C7796"/>
    <w:rsid w:val="008D2D6D"/>
    <w:rsid w:val="008D421D"/>
    <w:rsid w:val="008D7A00"/>
    <w:rsid w:val="008E74A1"/>
    <w:rsid w:val="008E7D59"/>
    <w:rsid w:val="008F2EC2"/>
    <w:rsid w:val="008F78B9"/>
    <w:rsid w:val="00901E39"/>
    <w:rsid w:val="00904571"/>
    <w:rsid w:val="00905D98"/>
    <w:rsid w:val="00906E43"/>
    <w:rsid w:val="0091794D"/>
    <w:rsid w:val="009211F7"/>
    <w:rsid w:val="0092381F"/>
    <w:rsid w:val="0092426E"/>
    <w:rsid w:val="009320DA"/>
    <w:rsid w:val="00934BB7"/>
    <w:rsid w:val="0093656A"/>
    <w:rsid w:val="00940897"/>
    <w:rsid w:val="0094383E"/>
    <w:rsid w:val="00944F60"/>
    <w:rsid w:val="009454CF"/>
    <w:rsid w:val="0094636B"/>
    <w:rsid w:val="009465C1"/>
    <w:rsid w:val="0094762B"/>
    <w:rsid w:val="00964BB8"/>
    <w:rsid w:val="009654BA"/>
    <w:rsid w:val="00965DCC"/>
    <w:rsid w:val="0097725F"/>
    <w:rsid w:val="00981BE5"/>
    <w:rsid w:val="00983763"/>
    <w:rsid w:val="00983ED5"/>
    <w:rsid w:val="00984023"/>
    <w:rsid w:val="00993478"/>
    <w:rsid w:val="009947BB"/>
    <w:rsid w:val="00995298"/>
    <w:rsid w:val="009B0BFD"/>
    <w:rsid w:val="009B32E6"/>
    <w:rsid w:val="009B4F09"/>
    <w:rsid w:val="009C5551"/>
    <w:rsid w:val="009C78C2"/>
    <w:rsid w:val="009C7D7D"/>
    <w:rsid w:val="009D0E55"/>
    <w:rsid w:val="009D4EC4"/>
    <w:rsid w:val="009E2EDB"/>
    <w:rsid w:val="009E6601"/>
    <w:rsid w:val="009F4C50"/>
    <w:rsid w:val="009F6954"/>
    <w:rsid w:val="00A01C03"/>
    <w:rsid w:val="00A023A2"/>
    <w:rsid w:val="00A026F3"/>
    <w:rsid w:val="00A05DBA"/>
    <w:rsid w:val="00A07D24"/>
    <w:rsid w:val="00A115CB"/>
    <w:rsid w:val="00A14666"/>
    <w:rsid w:val="00A149BC"/>
    <w:rsid w:val="00A204DB"/>
    <w:rsid w:val="00A20A86"/>
    <w:rsid w:val="00A424A9"/>
    <w:rsid w:val="00A46DDC"/>
    <w:rsid w:val="00A547DB"/>
    <w:rsid w:val="00A602B3"/>
    <w:rsid w:val="00A614E5"/>
    <w:rsid w:val="00A640C7"/>
    <w:rsid w:val="00A714A6"/>
    <w:rsid w:val="00A73D13"/>
    <w:rsid w:val="00A7425A"/>
    <w:rsid w:val="00A757B6"/>
    <w:rsid w:val="00A84C3A"/>
    <w:rsid w:val="00A86723"/>
    <w:rsid w:val="00A93C43"/>
    <w:rsid w:val="00A96B9F"/>
    <w:rsid w:val="00A974BF"/>
    <w:rsid w:val="00AA0243"/>
    <w:rsid w:val="00AA0CA7"/>
    <w:rsid w:val="00AA43AC"/>
    <w:rsid w:val="00AA6B92"/>
    <w:rsid w:val="00AA6BC1"/>
    <w:rsid w:val="00AB2499"/>
    <w:rsid w:val="00AB3FF6"/>
    <w:rsid w:val="00AC2EFB"/>
    <w:rsid w:val="00AC4D86"/>
    <w:rsid w:val="00AC588C"/>
    <w:rsid w:val="00AC5F8F"/>
    <w:rsid w:val="00AD1877"/>
    <w:rsid w:val="00AD288F"/>
    <w:rsid w:val="00AD3789"/>
    <w:rsid w:val="00AD52CC"/>
    <w:rsid w:val="00AD7E5A"/>
    <w:rsid w:val="00AE0C32"/>
    <w:rsid w:val="00AE3468"/>
    <w:rsid w:val="00AF2CED"/>
    <w:rsid w:val="00AF70FD"/>
    <w:rsid w:val="00B05B8A"/>
    <w:rsid w:val="00B06132"/>
    <w:rsid w:val="00B143DF"/>
    <w:rsid w:val="00B16CCF"/>
    <w:rsid w:val="00B26DC6"/>
    <w:rsid w:val="00B310F1"/>
    <w:rsid w:val="00B323FA"/>
    <w:rsid w:val="00B34306"/>
    <w:rsid w:val="00B3679C"/>
    <w:rsid w:val="00B435B8"/>
    <w:rsid w:val="00B443B2"/>
    <w:rsid w:val="00B50DDE"/>
    <w:rsid w:val="00B56D16"/>
    <w:rsid w:val="00B62165"/>
    <w:rsid w:val="00B65715"/>
    <w:rsid w:val="00B66292"/>
    <w:rsid w:val="00B71619"/>
    <w:rsid w:val="00B72ECA"/>
    <w:rsid w:val="00B7311C"/>
    <w:rsid w:val="00B817AE"/>
    <w:rsid w:val="00B84491"/>
    <w:rsid w:val="00B86827"/>
    <w:rsid w:val="00B87322"/>
    <w:rsid w:val="00B87C9E"/>
    <w:rsid w:val="00B90475"/>
    <w:rsid w:val="00B92ADF"/>
    <w:rsid w:val="00B94086"/>
    <w:rsid w:val="00B9793B"/>
    <w:rsid w:val="00BA7414"/>
    <w:rsid w:val="00BA7CC4"/>
    <w:rsid w:val="00BB2E78"/>
    <w:rsid w:val="00BB3003"/>
    <w:rsid w:val="00BB54A3"/>
    <w:rsid w:val="00BB57DE"/>
    <w:rsid w:val="00BC6602"/>
    <w:rsid w:val="00BD7CB2"/>
    <w:rsid w:val="00BE0C69"/>
    <w:rsid w:val="00BE1991"/>
    <w:rsid w:val="00BE5D6D"/>
    <w:rsid w:val="00BF716F"/>
    <w:rsid w:val="00C00556"/>
    <w:rsid w:val="00C02249"/>
    <w:rsid w:val="00C0251D"/>
    <w:rsid w:val="00C04E28"/>
    <w:rsid w:val="00C3238D"/>
    <w:rsid w:val="00C32D36"/>
    <w:rsid w:val="00C40FE6"/>
    <w:rsid w:val="00C42CBA"/>
    <w:rsid w:val="00C43679"/>
    <w:rsid w:val="00C57E81"/>
    <w:rsid w:val="00C60159"/>
    <w:rsid w:val="00C6166A"/>
    <w:rsid w:val="00C67FC8"/>
    <w:rsid w:val="00C70202"/>
    <w:rsid w:val="00C772FA"/>
    <w:rsid w:val="00C8136F"/>
    <w:rsid w:val="00C83E39"/>
    <w:rsid w:val="00C8451F"/>
    <w:rsid w:val="00C84582"/>
    <w:rsid w:val="00C85CDF"/>
    <w:rsid w:val="00C90587"/>
    <w:rsid w:val="00C907DF"/>
    <w:rsid w:val="00C95FF7"/>
    <w:rsid w:val="00CA6223"/>
    <w:rsid w:val="00CA7D4D"/>
    <w:rsid w:val="00CB0055"/>
    <w:rsid w:val="00CB1A60"/>
    <w:rsid w:val="00CB71C0"/>
    <w:rsid w:val="00CB73AB"/>
    <w:rsid w:val="00CC5FEC"/>
    <w:rsid w:val="00CC69AF"/>
    <w:rsid w:val="00CD0D11"/>
    <w:rsid w:val="00CD1A8D"/>
    <w:rsid w:val="00CD217A"/>
    <w:rsid w:val="00CD5B67"/>
    <w:rsid w:val="00CD7145"/>
    <w:rsid w:val="00CE1F9E"/>
    <w:rsid w:val="00CF54D6"/>
    <w:rsid w:val="00D0493A"/>
    <w:rsid w:val="00D04EE0"/>
    <w:rsid w:val="00D12980"/>
    <w:rsid w:val="00D14ECC"/>
    <w:rsid w:val="00D16900"/>
    <w:rsid w:val="00D17A05"/>
    <w:rsid w:val="00D17E61"/>
    <w:rsid w:val="00D2242A"/>
    <w:rsid w:val="00D23510"/>
    <w:rsid w:val="00D345D5"/>
    <w:rsid w:val="00D362D1"/>
    <w:rsid w:val="00D4243B"/>
    <w:rsid w:val="00D431F5"/>
    <w:rsid w:val="00D43892"/>
    <w:rsid w:val="00D53442"/>
    <w:rsid w:val="00D55502"/>
    <w:rsid w:val="00D574C3"/>
    <w:rsid w:val="00D63571"/>
    <w:rsid w:val="00D649F6"/>
    <w:rsid w:val="00D66DD4"/>
    <w:rsid w:val="00D70AF9"/>
    <w:rsid w:val="00D83A02"/>
    <w:rsid w:val="00D86F8C"/>
    <w:rsid w:val="00D955A1"/>
    <w:rsid w:val="00DA0057"/>
    <w:rsid w:val="00DA5730"/>
    <w:rsid w:val="00DB2290"/>
    <w:rsid w:val="00DB504B"/>
    <w:rsid w:val="00DC4570"/>
    <w:rsid w:val="00DD1CFF"/>
    <w:rsid w:val="00DD423A"/>
    <w:rsid w:val="00DE2909"/>
    <w:rsid w:val="00DF1D02"/>
    <w:rsid w:val="00DF1D62"/>
    <w:rsid w:val="00DF2281"/>
    <w:rsid w:val="00DF479F"/>
    <w:rsid w:val="00DF5BE2"/>
    <w:rsid w:val="00DF5DF1"/>
    <w:rsid w:val="00DF7FAA"/>
    <w:rsid w:val="00E05CAD"/>
    <w:rsid w:val="00E12DD5"/>
    <w:rsid w:val="00E135D7"/>
    <w:rsid w:val="00E15761"/>
    <w:rsid w:val="00E17AC3"/>
    <w:rsid w:val="00E20066"/>
    <w:rsid w:val="00E24E47"/>
    <w:rsid w:val="00E33EAE"/>
    <w:rsid w:val="00E347E7"/>
    <w:rsid w:val="00E40F8C"/>
    <w:rsid w:val="00E433B9"/>
    <w:rsid w:val="00E458F2"/>
    <w:rsid w:val="00E5034B"/>
    <w:rsid w:val="00E5178E"/>
    <w:rsid w:val="00E54DB3"/>
    <w:rsid w:val="00E55BB6"/>
    <w:rsid w:val="00E56ECA"/>
    <w:rsid w:val="00E621EE"/>
    <w:rsid w:val="00E673EA"/>
    <w:rsid w:val="00E70668"/>
    <w:rsid w:val="00E728BB"/>
    <w:rsid w:val="00E72B52"/>
    <w:rsid w:val="00E76627"/>
    <w:rsid w:val="00E817C1"/>
    <w:rsid w:val="00E83EE2"/>
    <w:rsid w:val="00E84EBE"/>
    <w:rsid w:val="00E85DCE"/>
    <w:rsid w:val="00E87EAE"/>
    <w:rsid w:val="00E93E78"/>
    <w:rsid w:val="00E9569C"/>
    <w:rsid w:val="00EA1BAD"/>
    <w:rsid w:val="00EA3358"/>
    <w:rsid w:val="00EA59D1"/>
    <w:rsid w:val="00EB350D"/>
    <w:rsid w:val="00EB6534"/>
    <w:rsid w:val="00EC1CD5"/>
    <w:rsid w:val="00EC31DA"/>
    <w:rsid w:val="00ED0D9A"/>
    <w:rsid w:val="00ED4594"/>
    <w:rsid w:val="00ED4F28"/>
    <w:rsid w:val="00EF1F3E"/>
    <w:rsid w:val="00EF2789"/>
    <w:rsid w:val="00EF34B4"/>
    <w:rsid w:val="00F012C4"/>
    <w:rsid w:val="00F02C94"/>
    <w:rsid w:val="00F03E1A"/>
    <w:rsid w:val="00F0476B"/>
    <w:rsid w:val="00F056F5"/>
    <w:rsid w:val="00F06B48"/>
    <w:rsid w:val="00F07E57"/>
    <w:rsid w:val="00F21998"/>
    <w:rsid w:val="00F226AD"/>
    <w:rsid w:val="00F23E59"/>
    <w:rsid w:val="00F24414"/>
    <w:rsid w:val="00F24BB9"/>
    <w:rsid w:val="00F2529B"/>
    <w:rsid w:val="00F308AC"/>
    <w:rsid w:val="00F338D1"/>
    <w:rsid w:val="00F34327"/>
    <w:rsid w:val="00F34B97"/>
    <w:rsid w:val="00F35E34"/>
    <w:rsid w:val="00F43A4F"/>
    <w:rsid w:val="00F52F5B"/>
    <w:rsid w:val="00F574F8"/>
    <w:rsid w:val="00F63F1A"/>
    <w:rsid w:val="00F64699"/>
    <w:rsid w:val="00F64C47"/>
    <w:rsid w:val="00F66F55"/>
    <w:rsid w:val="00F70315"/>
    <w:rsid w:val="00F70406"/>
    <w:rsid w:val="00F70E6A"/>
    <w:rsid w:val="00F742FD"/>
    <w:rsid w:val="00F74EDA"/>
    <w:rsid w:val="00F76661"/>
    <w:rsid w:val="00F803FD"/>
    <w:rsid w:val="00F85859"/>
    <w:rsid w:val="00F873B9"/>
    <w:rsid w:val="00F914C2"/>
    <w:rsid w:val="00F91CAC"/>
    <w:rsid w:val="00F92E16"/>
    <w:rsid w:val="00F955B8"/>
    <w:rsid w:val="00FA6314"/>
    <w:rsid w:val="00FB411D"/>
    <w:rsid w:val="00FB6467"/>
    <w:rsid w:val="00FC0C47"/>
    <w:rsid w:val="00FC1427"/>
    <w:rsid w:val="00FC4F98"/>
    <w:rsid w:val="00FC5F46"/>
    <w:rsid w:val="00FC77BA"/>
    <w:rsid w:val="00FD146B"/>
    <w:rsid w:val="00FD37BD"/>
    <w:rsid w:val="00FE5CC3"/>
    <w:rsid w:val="00FE6289"/>
    <w:rsid w:val="00FE693B"/>
    <w:rsid w:val="00FF455B"/>
    <w:rsid w:val="00FF4ED0"/>
    <w:rsid w:val="00FF69E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36A1F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6886"/>
    <w:pPr>
      <w:pageBreakBefore/>
      <w:numPr>
        <w:numId w:val="1"/>
      </w:numPr>
      <w:spacing w:after="360" w:line="240" w:lineRule="auto"/>
      <w:outlineLvl w:val="0"/>
    </w:pPr>
    <w:rPr>
      <w:rFonts w:ascii="KPMG Extralight" w:hAnsi="KPMG Extralight"/>
      <w:color w:val="005EB8"/>
      <w:sz w:val="96"/>
    </w:rPr>
  </w:style>
  <w:style w:type="paragraph" w:styleId="Heading2">
    <w:name w:val="heading 2"/>
    <w:basedOn w:val="Normal"/>
    <w:next w:val="Normal"/>
    <w:link w:val="Heading2Char"/>
    <w:uiPriority w:val="9"/>
    <w:unhideWhenUsed/>
    <w:qFormat/>
    <w:rsid w:val="000722AF"/>
    <w:pPr>
      <w:numPr>
        <w:ilvl w:val="1"/>
        <w:numId w:val="1"/>
      </w:numPr>
      <w:spacing w:before="240" w:after="120" w:line="240" w:lineRule="auto"/>
      <w:ind w:right="284"/>
      <w:outlineLvl w:val="1"/>
    </w:pPr>
    <w:rPr>
      <w:rFonts w:ascii="Univers 45 Light" w:hAnsi="Univers 45 Light"/>
      <w:b/>
      <w:color w:val="005EB8"/>
      <w:sz w:val="26"/>
      <w:szCs w:val="26"/>
    </w:rPr>
  </w:style>
  <w:style w:type="paragraph" w:styleId="Heading3">
    <w:name w:val="heading 3"/>
    <w:basedOn w:val="Normal"/>
    <w:next w:val="Normal"/>
    <w:link w:val="Heading3Char"/>
    <w:uiPriority w:val="9"/>
    <w:unhideWhenUsed/>
    <w:qFormat/>
    <w:rsid w:val="00C32D36"/>
    <w:pPr>
      <w:keepNext/>
      <w:keepLines/>
      <w:spacing w:before="240" w:after="120" w:line="240" w:lineRule="auto"/>
      <w:outlineLvl w:val="2"/>
    </w:pPr>
    <w:rPr>
      <w:rFonts w:ascii="Univers 45 Light" w:eastAsiaTheme="majorEastAsia" w:hAnsi="Univers 45 Light" w:cstheme="majorBidi"/>
      <w:color w:val="2E74B5" w:themeColor="accent1" w:themeShade="BF"/>
      <w:sz w:val="24"/>
      <w:szCs w:val="24"/>
    </w:rPr>
  </w:style>
  <w:style w:type="paragraph" w:styleId="Heading4">
    <w:name w:val="heading 4"/>
    <w:basedOn w:val="Normal"/>
    <w:next w:val="Normal"/>
    <w:link w:val="Heading4Char"/>
    <w:uiPriority w:val="9"/>
    <w:unhideWhenUsed/>
    <w:qFormat/>
    <w:rsid w:val="00871FD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9F6"/>
  </w:style>
  <w:style w:type="paragraph" w:styleId="Footer">
    <w:name w:val="footer"/>
    <w:basedOn w:val="Normal"/>
    <w:link w:val="FooterChar"/>
    <w:uiPriority w:val="99"/>
    <w:unhideWhenUsed/>
    <w:rsid w:val="00D64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9F6"/>
  </w:style>
  <w:style w:type="table" w:styleId="TableGrid">
    <w:name w:val="Table Grid"/>
    <w:basedOn w:val="TableNormal"/>
    <w:uiPriority w:val="39"/>
    <w:rsid w:val="00145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947BB"/>
    <w:pPr>
      <w:ind w:left="720"/>
      <w:contextualSpacing/>
    </w:pPr>
  </w:style>
  <w:style w:type="paragraph" w:styleId="BodyText">
    <w:name w:val="Body Text"/>
    <w:aliases w:val="Body Text x,Appendix 2,bt,body text,t1,taten_body,block,b-heading 1/heading 2,bd,b,heading1body-heading2body,body,Body Text 1,NoticeText-List,Body text,Body,by,Cargo,heading3,NCDOT Body Text,Starbucks Body Text,3 indent,heading31,body text1,B"/>
    <w:basedOn w:val="Normal"/>
    <w:link w:val="BodyTextChar"/>
    <w:uiPriority w:val="99"/>
    <w:qFormat/>
    <w:rsid w:val="000A5790"/>
    <w:pPr>
      <w:spacing w:before="130" w:after="130" w:line="260" w:lineRule="atLeast"/>
    </w:pPr>
    <w:rPr>
      <w:rFonts w:ascii="Times New Roman" w:eastAsia="Batang" w:hAnsi="Times New Roman" w:cs="Times New Roman"/>
      <w:szCs w:val="20"/>
      <w:lang w:eastAsia="ko-KR"/>
    </w:rPr>
  </w:style>
  <w:style w:type="character" w:customStyle="1" w:styleId="BodyTextChar">
    <w:name w:val="Body Text Char"/>
    <w:aliases w:val="Body Text x Char,Appendix 2 Char,bt Char,body text Char,t1 Char,taten_body Char,block Char,b-heading 1/heading 2 Char,bd Char,b Char,heading1body-heading2body Char,body Char,Body Text 1 Char,NoticeText-List Char,Body text Char,Body Char"/>
    <w:basedOn w:val="DefaultParagraphFont"/>
    <w:link w:val="BodyText"/>
    <w:uiPriority w:val="99"/>
    <w:rsid w:val="000A5790"/>
    <w:rPr>
      <w:rFonts w:ascii="Times New Roman" w:eastAsia="Batang" w:hAnsi="Times New Roman" w:cs="Times New Roman"/>
      <w:szCs w:val="20"/>
      <w:lang w:eastAsia="ko-KR"/>
    </w:rPr>
  </w:style>
  <w:style w:type="paragraph" w:styleId="NormalWeb">
    <w:name w:val="Normal (Web)"/>
    <w:basedOn w:val="Normal"/>
    <w:uiPriority w:val="99"/>
    <w:unhideWhenUsed/>
    <w:rsid w:val="005D2BA2"/>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002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78E"/>
    <w:rPr>
      <w:rFonts w:ascii="Segoe UI" w:hAnsi="Segoe UI" w:cs="Segoe UI"/>
      <w:sz w:val="18"/>
      <w:szCs w:val="18"/>
    </w:rPr>
  </w:style>
  <w:style w:type="character" w:styleId="CommentReference">
    <w:name w:val="annotation reference"/>
    <w:basedOn w:val="DefaultParagraphFont"/>
    <w:uiPriority w:val="99"/>
    <w:semiHidden/>
    <w:unhideWhenUsed/>
    <w:rsid w:val="008058D1"/>
    <w:rPr>
      <w:sz w:val="16"/>
      <w:szCs w:val="16"/>
    </w:rPr>
  </w:style>
  <w:style w:type="paragraph" w:styleId="CommentText">
    <w:name w:val="annotation text"/>
    <w:basedOn w:val="Normal"/>
    <w:link w:val="CommentTextChar"/>
    <w:uiPriority w:val="99"/>
    <w:unhideWhenUsed/>
    <w:rsid w:val="008058D1"/>
    <w:pPr>
      <w:spacing w:line="240" w:lineRule="auto"/>
    </w:pPr>
    <w:rPr>
      <w:sz w:val="20"/>
      <w:szCs w:val="20"/>
    </w:rPr>
  </w:style>
  <w:style w:type="character" w:customStyle="1" w:styleId="CommentTextChar">
    <w:name w:val="Comment Text Char"/>
    <w:basedOn w:val="DefaultParagraphFont"/>
    <w:link w:val="CommentText"/>
    <w:uiPriority w:val="99"/>
    <w:rsid w:val="008058D1"/>
    <w:rPr>
      <w:sz w:val="20"/>
      <w:szCs w:val="20"/>
    </w:rPr>
  </w:style>
  <w:style w:type="paragraph" w:styleId="CommentSubject">
    <w:name w:val="annotation subject"/>
    <w:basedOn w:val="CommentText"/>
    <w:next w:val="CommentText"/>
    <w:link w:val="CommentSubjectChar"/>
    <w:uiPriority w:val="99"/>
    <w:semiHidden/>
    <w:unhideWhenUsed/>
    <w:rsid w:val="008058D1"/>
    <w:rPr>
      <w:b/>
      <w:bCs/>
    </w:rPr>
  </w:style>
  <w:style w:type="character" w:customStyle="1" w:styleId="CommentSubjectChar">
    <w:name w:val="Comment Subject Char"/>
    <w:basedOn w:val="CommentTextChar"/>
    <w:link w:val="CommentSubject"/>
    <w:uiPriority w:val="99"/>
    <w:semiHidden/>
    <w:rsid w:val="008058D1"/>
    <w:rPr>
      <w:b/>
      <w:bCs/>
      <w:sz w:val="20"/>
      <w:szCs w:val="20"/>
    </w:rPr>
  </w:style>
  <w:style w:type="character" w:customStyle="1" w:styleId="Heading1Char">
    <w:name w:val="Heading 1 Char"/>
    <w:basedOn w:val="DefaultParagraphFont"/>
    <w:link w:val="Heading1"/>
    <w:uiPriority w:val="9"/>
    <w:rsid w:val="00336886"/>
    <w:rPr>
      <w:rFonts w:ascii="KPMG Extralight" w:hAnsi="KPMG Extralight"/>
      <w:color w:val="005EB8"/>
      <w:sz w:val="96"/>
    </w:rPr>
  </w:style>
  <w:style w:type="paragraph" w:styleId="TOCHeading">
    <w:name w:val="TOC Heading"/>
    <w:basedOn w:val="Heading1"/>
    <w:next w:val="Normal"/>
    <w:uiPriority w:val="39"/>
    <w:unhideWhenUsed/>
    <w:qFormat/>
    <w:rsid w:val="00DF2281"/>
    <w:pPr>
      <w:outlineLvl w:val="9"/>
    </w:pPr>
    <w:rPr>
      <w:lang w:val="en-US" w:eastAsia="en-US"/>
    </w:rPr>
  </w:style>
  <w:style w:type="character" w:customStyle="1" w:styleId="Heading2Char">
    <w:name w:val="Heading 2 Char"/>
    <w:basedOn w:val="DefaultParagraphFont"/>
    <w:link w:val="Heading2"/>
    <w:uiPriority w:val="9"/>
    <w:rsid w:val="000722AF"/>
    <w:rPr>
      <w:rFonts w:ascii="Univers 45 Light" w:hAnsi="Univers 45 Light"/>
      <w:b/>
      <w:color w:val="005EB8"/>
      <w:sz w:val="26"/>
      <w:szCs w:val="26"/>
    </w:rPr>
  </w:style>
  <w:style w:type="paragraph" w:styleId="TOC1">
    <w:name w:val="toc 1"/>
    <w:basedOn w:val="Normal"/>
    <w:next w:val="Normal"/>
    <w:autoRedefine/>
    <w:uiPriority w:val="39"/>
    <w:unhideWhenUsed/>
    <w:rsid w:val="00DF2281"/>
    <w:pPr>
      <w:spacing w:after="100"/>
    </w:pPr>
    <w:rPr>
      <w:rFonts w:ascii="Univers 45 Light" w:hAnsi="Univers 45 Light"/>
      <w:b/>
      <w:sz w:val="24"/>
    </w:rPr>
  </w:style>
  <w:style w:type="paragraph" w:styleId="TOC2">
    <w:name w:val="toc 2"/>
    <w:basedOn w:val="Normal"/>
    <w:next w:val="Normal"/>
    <w:autoRedefine/>
    <w:uiPriority w:val="39"/>
    <w:unhideWhenUsed/>
    <w:rsid w:val="00DF2281"/>
    <w:pPr>
      <w:spacing w:after="100"/>
      <w:ind w:left="220"/>
    </w:pPr>
    <w:rPr>
      <w:rFonts w:ascii="Univers 45 Light" w:hAnsi="Univers 45 Light"/>
    </w:rPr>
  </w:style>
  <w:style w:type="character" w:styleId="Hyperlink">
    <w:name w:val="Hyperlink"/>
    <w:basedOn w:val="DefaultParagraphFont"/>
    <w:uiPriority w:val="99"/>
    <w:unhideWhenUsed/>
    <w:rsid w:val="00DF2281"/>
    <w:rPr>
      <w:color w:val="0563C1" w:themeColor="hyperlink"/>
      <w:u w:val="single"/>
    </w:rPr>
  </w:style>
  <w:style w:type="paragraph" w:customStyle="1" w:styleId="Default">
    <w:name w:val="Default"/>
    <w:rsid w:val="00576494"/>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99"/>
    <w:rsid w:val="006146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97725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97725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32D36"/>
    <w:rPr>
      <w:rFonts w:ascii="Univers 45 Light" w:eastAsiaTheme="majorEastAsia" w:hAnsi="Univers 45 Light" w:cstheme="majorBidi"/>
      <w:color w:val="2E74B5" w:themeColor="accent1" w:themeShade="BF"/>
      <w:sz w:val="24"/>
      <w:szCs w:val="24"/>
    </w:rPr>
  </w:style>
  <w:style w:type="paragraph" w:styleId="TOC3">
    <w:name w:val="toc 3"/>
    <w:basedOn w:val="Normal"/>
    <w:next w:val="Normal"/>
    <w:autoRedefine/>
    <w:uiPriority w:val="39"/>
    <w:unhideWhenUsed/>
    <w:rsid w:val="002A20A1"/>
    <w:pPr>
      <w:spacing w:after="100"/>
      <w:ind w:left="440"/>
    </w:pPr>
  </w:style>
  <w:style w:type="character" w:styleId="Emphasis">
    <w:name w:val="Emphasis"/>
    <w:basedOn w:val="DefaultParagraphFont"/>
    <w:uiPriority w:val="20"/>
    <w:qFormat/>
    <w:rsid w:val="000958AB"/>
    <w:rPr>
      <w:i/>
      <w:iCs/>
    </w:rPr>
  </w:style>
  <w:style w:type="paragraph" w:customStyle="1" w:styleId="Numbered">
    <w:name w:val="Numbered"/>
    <w:basedOn w:val="Normal"/>
    <w:link w:val="NumberedChar"/>
    <w:qFormat/>
    <w:rsid w:val="003A0143"/>
    <w:pPr>
      <w:widowControl w:val="0"/>
      <w:spacing w:before="160" w:line="240" w:lineRule="auto"/>
    </w:pPr>
    <w:rPr>
      <w:rFonts w:ascii="Arial" w:eastAsia="Times New Roman" w:hAnsi="Arial" w:cs="Arial"/>
      <w:bCs/>
      <w:iCs/>
      <w:lang w:eastAsia="en-US"/>
    </w:rPr>
  </w:style>
  <w:style w:type="character" w:customStyle="1" w:styleId="NumberedChar">
    <w:name w:val="Numbered Char"/>
    <w:basedOn w:val="DefaultParagraphFont"/>
    <w:link w:val="Numbered"/>
    <w:rsid w:val="003A0143"/>
    <w:rPr>
      <w:rFonts w:ascii="Arial" w:eastAsia="Times New Roman" w:hAnsi="Arial" w:cs="Arial"/>
      <w:bCs/>
      <w:iCs/>
      <w:lang w:eastAsia="en-US"/>
    </w:rPr>
  </w:style>
  <w:style w:type="character" w:customStyle="1" w:styleId="Heading4Char">
    <w:name w:val="Heading 4 Char"/>
    <w:basedOn w:val="DefaultParagraphFont"/>
    <w:link w:val="Heading4"/>
    <w:uiPriority w:val="9"/>
    <w:rsid w:val="00871FD3"/>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6F5A11"/>
    <w:pPr>
      <w:spacing w:before="120" w:after="0" w:line="260" w:lineRule="atLeast"/>
    </w:pPr>
    <w:rPr>
      <w:rFonts w:ascii="Times New Roman" w:eastAsiaTheme="minorHAnsi" w:hAnsi="Times New Roman" w:cs="Times New Roman"/>
      <w:sz w:val="18"/>
      <w:szCs w:val="18"/>
      <w:lang w:eastAsia="ko-KR"/>
    </w:rPr>
  </w:style>
  <w:style w:type="character" w:customStyle="1" w:styleId="FootnoteTextChar">
    <w:name w:val="Footnote Text Char"/>
    <w:basedOn w:val="DefaultParagraphFont"/>
    <w:link w:val="FootnoteText"/>
    <w:uiPriority w:val="99"/>
    <w:semiHidden/>
    <w:rsid w:val="006F5A11"/>
    <w:rPr>
      <w:rFonts w:ascii="Times New Roman" w:eastAsiaTheme="minorHAnsi" w:hAnsi="Times New Roman" w:cs="Times New Roman"/>
      <w:sz w:val="18"/>
      <w:szCs w:val="18"/>
      <w:lang w:eastAsia="ko-KR"/>
    </w:rPr>
  </w:style>
  <w:style w:type="character" w:styleId="FootnoteReference">
    <w:name w:val="footnote reference"/>
    <w:basedOn w:val="DefaultParagraphFont"/>
    <w:uiPriority w:val="99"/>
    <w:semiHidden/>
    <w:unhideWhenUsed/>
    <w:rsid w:val="006F5A11"/>
    <w:rPr>
      <w:vertAlign w:val="superscript"/>
    </w:rPr>
  </w:style>
  <w:style w:type="paragraph" w:styleId="Revision">
    <w:name w:val="Revision"/>
    <w:hidden/>
    <w:uiPriority w:val="99"/>
    <w:semiHidden/>
    <w:rsid w:val="003571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47553">
      <w:bodyDiv w:val="1"/>
      <w:marLeft w:val="0"/>
      <w:marRight w:val="0"/>
      <w:marTop w:val="0"/>
      <w:marBottom w:val="0"/>
      <w:divBdr>
        <w:top w:val="none" w:sz="0" w:space="0" w:color="auto"/>
        <w:left w:val="none" w:sz="0" w:space="0" w:color="auto"/>
        <w:bottom w:val="none" w:sz="0" w:space="0" w:color="auto"/>
        <w:right w:val="none" w:sz="0" w:space="0" w:color="auto"/>
      </w:divBdr>
    </w:div>
    <w:div w:id="92283170">
      <w:bodyDiv w:val="1"/>
      <w:marLeft w:val="0"/>
      <w:marRight w:val="0"/>
      <w:marTop w:val="0"/>
      <w:marBottom w:val="0"/>
      <w:divBdr>
        <w:top w:val="none" w:sz="0" w:space="0" w:color="auto"/>
        <w:left w:val="none" w:sz="0" w:space="0" w:color="auto"/>
        <w:bottom w:val="none" w:sz="0" w:space="0" w:color="auto"/>
        <w:right w:val="none" w:sz="0" w:space="0" w:color="auto"/>
      </w:divBdr>
    </w:div>
    <w:div w:id="153375445">
      <w:bodyDiv w:val="1"/>
      <w:marLeft w:val="0"/>
      <w:marRight w:val="0"/>
      <w:marTop w:val="0"/>
      <w:marBottom w:val="0"/>
      <w:divBdr>
        <w:top w:val="none" w:sz="0" w:space="0" w:color="auto"/>
        <w:left w:val="none" w:sz="0" w:space="0" w:color="auto"/>
        <w:bottom w:val="none" w:sz="0" w:space="0" w:color="auto"/>
        <w:right w:val="none" w:sz="0" w:space="0" w:color="auto"/>
      </w:divBdr>
      <w:divsChild>
        <w:div w:id="1272976886">
          <w:marLeft w:val="144"/>
          <w:marRight w:val="0"/>
          <w:marTop w:val="0"/>
          <w:marBottom w:val="0"/>
          <w:divBdr>
            <w:top w:val="none" w:sz="0" w:space="0" w:color="auto"/>
            <w:left w:val="none" w:sz="0" w:space="0" w:color="auto"/>
            <w:bottom w:val="none" w:sz="0" w:space="0" w:color="auto"/>
            <w:right w:val="none" w:sz="0" w:space="0" w:color="auto"/>
          </w:divBdr>
        </w:div>
      </w:divsChild>
    </w:div>
    <w:div w:id="192302735">
      <w:bodyDiv w:val="1"/>
      <w:marLeft w:val="0"/>
      <w:marRight w:val="0"/>
      <w:marTop w:val="0"/>
      <w:marBottom w:val="0"/>
      <w:divBdr>
        <w:top w:val="none" w:sz="0" w:space="0" w:color="auto"/>
        <w:left w:val="none" w:sz="0" w:space="0" w:color="auto"/>
        <w:bottom w:val="none" w:sz="0" w:space="0" w:color="auto"/>
        <w:right w:val="none" w:sz="0" w:space="0" w:color="auto"/>
      </w:divBdr>
      <w:divsChild>
        <w:div w:id="149176505">
          <w:marLeft w:val="274"/>
          <w:marRight w:val="0"/>
          <w:marTop w:val="120"/>
          <w:marBottom w:val="120"/>
          <w:divBdr>
            <w:top w:val="none" w:sz="0" w:space="0" w:color="auto"/>
            <w:left w:val="none" w:sz="0" w:space="0" w:color="auto"/>
            <w:bottom w:val="none" w:sz="0" w:space="0" w:color="auto"/>
            <w:right w:val="none" w:sz="0" w:space="0" w:color="auto"/>
          </w:divBdr>
        </w:div>
      </w:divsChild>
    </w:div>
    <w:div w:id="202600950">
      <w:bodyDiv w:val="1"/>
      <w:marLeft w:val="0"/>
      <w:marRight w:val="0"/>
      <w:marTop w:val="0"/>
      <w:marBottom w:val="0"/>
      <w:divBdr>
        <w:top w:val="none" w:sz="0" w:space="0" w:color="auto"/>
        <w:left w:val="none" w:sz="0" w:space="0" w:color="auto"/>
        <w:bottom w:val="none" w:sz="0" w:space="0" w:color="auto"/>
        <w:right w:val="none" w:sz="0" w:space="0" w:color="auto"/>
      </w:divBdr>
      <w:divsChild>
        <w:div w:id="1530417091">
          <w:marLeft w:val="274"/>
          <w:marRight w:val="0"/>
          <w:marTop w:val="120"/>
          <w:marBottom w:val="120"/>
          <w:divBdr>
            <w:top w:val="none" w:sz="0" w:space="0" w:color="auto"/>
            <w:left w:val="none" w:sz="0" w:space="0" w:color="auto"/>
            <w:bottom w:val="none" w:sz="0" w:space="0" w:color="auto"/>
            <w:right w:val="none" w:sz="0" w:space="0" w:color="auto"/>
          </w:divBdr>
        </w:div>
      </w:divsChild>
    </w:div>
    <w:div w:id="345986386">
      <w:bodyDiv w:val="1"/>
      <w:marLeft w:val="0"/>
      <w:marRight w:val="0"/>
      <w:marTop w:val="0"/>
      <w:marBottom w:val="0"/>
      <w:divBdr>
        <w:top w:val="none" w:sz="0" w:space="0" w:color="auto"/>
        <w:left w:val="none" w:sz="0" w:space="0" w:color="auto"/>
        <w:bottom w:val="none" w:sz="0" w:space="0" w:color="auto"/>
        <w:right w:val="none" w:sz="0" w:space="0" w:color="auto"/>
      </w:divBdr>
    </w:div>
    <w:div w:id="654407717">
      <w:bodyDiv w:val="1"/>
      <w:marLeft w:val="0"/>
      <w:marRight w:val="0"/>
      <w:marTop w:val="0"/>
      <w:marBottom w:val="0"/>
      <w:divBdr>
        <w:top w:val="none" w:sz="0" w:space="0" w:color="auto"/>
        <w:left w:val="none" w:sz="0" w:space="0" w:color="auto"/>
        <w:bottom w:val="none" w:sz="0" w:space="0" w:color="auto"/>
        <w:right w:val="none" w:sz="0" w:space="0" w:color="auto"/>
      </w:divBdr>
    </w:div>
    <w:div w:id="691615459">
      <w:bodyDiv w:val="1"/>
      <w:marLeft w:val="0"/>
      <w:marRight w:val="0"/>
      <w:marTop w:val="0"/>
      <w:marBottom w:val="0"/>
      <w:divBdr>
        <w:top w:val="none" w:sz="0" w:space="0" w:color="auto"/>
        <w:left w:val="none" w:sz="0" w:space="0" w:color="auto"/>
        <w:bottom w:val="none" w:sz="0" w:space="0" w:color="auto"/>
        <w:right w:val="none" w:sz="0" w:space="0" w:color="auto"/>
      </w:divBdr>
      <w:divsChild>
        <w:div w:id="1971862250">
          <w:marLeft w:val="144"/>
          <w:marRight w:val="0"/>
          <w:marTop w:val="0"/>
          <w:marBottom w:val="0"/>
          <w:divBdr>
            <w:top w:val="none" w:sz="0" w:space="0" w:color="auto"/>
            <w:left w:val="none" w:sz="0" w:space="0" w:color="auto"/>
            <w:bottom w:val="none" w:sz="0" w:space="0" w:color="auto"/>
            <w:right w:val="none" w:sz="0" w:space="0" w:color="auto"/>
          </w:divBdr>
        </w:div>
        <w:div w:id="308290220">
          <w:marLeft w:val="144"/>
          <w:marRight w:val="0"/>
          <w:marTop w:val="0"/>
          <w:marBottom w:val="0"/>
          <w:divBdr>
            <w:top w:val="none" w:sz="0" w:space="0" w:color="auto"/>
            <w:left w:val="none" w:sz="0" w:space="0" w:color="auto"/>
            <w:bottom w:val="none" w:sz="0" w:space="0" w:color="auto"/>
            <w:right w:val="none" w:sz="0" w:space="0" w:color="auto"/>
          </w:divBdr>
        </w:div>
        <w:div w:id="1251692767">
          <w:marLeft w:val="144"/>
          <w:marRight w:val="0"/>
          <w:marTop w:val="0"/>
          <w:marBottom w:val="0"/>
          <w:divBdr>
            <w:top w:val="none" w:sz="0" w:space="0" w:color="auto"/>
            <w:left w:val="none" w:sz="0" w:space="0" w:color="auto"/>
            <w:bottom w:val="none" w:sz="0" w:space="0" w:color="auto"/>
            <w:right w:val="none" w:sz="0" w:space="0" w:color="auto"/>
          </w:divBdr>
        </w:div>
      </w:divsChild>
    </w:div>
    <w:div w:id="870609616">
      <w:bodyDiv w:val="1"/>
      <w:marLeft w:val="0"/>
      <w:marRight w:val="0"/>
      <w:marTop w:val="0"/>
      <w:marBottom w:val="0"/>
      <w:divBdr>
        <w:top w:val="none" w:sz="0" w:space="0" w:color="auto"/>
        <w:left w:val="none" w:sz="0" w:space="0" w:color="auto"/>
        <w:bottom w:val="none" w:sz="0" w:space="0" w:color="auto"/>
        <w:right w:val="none" w:sz="0" w:space="0" w:color="auto"/>
      </w:divBdr>
      <w:divsChild>
        <w:div w:id="1969427808">
          <w:marLeft w:val="418"/>
          <w:marRight w:val="0"/>
          <w:marTop w:val="0"/>
          <w:marBottom w:val="0"/>
          <w:divBdr>
            <w:top w:val="none" w:sz="0" w:space="0" w:color="auto"/>
            <w:left w:val="none" w:sz="0" w:space="0" w:color="auto"/>
            <w:bottom w:val="none" w:sz="0" w:space="0" w:color="auto"/>
            <w:right w:val="none" w:sz="0" w:space="0" w:color="auto"/>
          </w:divBdr>
        </w:div>
        <w:div w:id="1893074593">
          <w:marLeft w:val="418"/>
          <w:marRight w:val="0"/>
          <w:marTop w:val="0"/>
          <w:marBottom w:val="0"/>
          <w:divBdr>
            <w:top w:val="none" w:sz="0" w:space="0" w:color="auto"/>
            <w:left w:val="none" w:sz="0" w:space="0" w:color="auto"/>
            <w:bottom w:val="none" w:sz="0" w:space="0" w:color="auto"/>
            <w:right w:val="none" w:sz="0" w:space="0" w:color="auto"/>
          </w:divBdr>
        </w:div>
        <w:div w:id="512183694">
          <w:marLeft w:val="418"/>
          <w:marRight w:val="0"/>
          <w:marTop w:val="0"/>
          <w:marBottom w:val="0"/>
          <w:divBdr>
            <w:top w:val="none" w:sz="0" w:space="0" w:color="auto"/>
            <w:left w:val="none" w:sz="0" w:space="0" w:color="auto"/>
            <w:bottom w:val="none" w:sz="0" w:space="0" w:color="auto"/>
            <w:right w:val="none" w:sz="0" w:space="0" w:color="auto"/>
          </w:divBdr>
        </w:div>
        <w:div w:id="1243367544">
          <w:marLeft w:val="418"/>
          <w:marRight w:val="0"/>
          <w:marTop w:val="0"/>
          <w:marBottom w:val="0"/>
          <w:divBdr>
            <w:top w:val="none" w:sz="0" w:space="0" w:color="auto"/>
            <w:left w:val="none" w:sz="0" w:space="0" w:color="auto"/>
            <w:bottom w:val="none" w:sz="0" w:space="0" w:color="auto"/>
            <w:right w:val="none" w:sz="0" w:space="0" w:color="auto"/>
          </w:divBdr>
        </w:div>
      </w:divsChild>
    </w:div>
    <w:div w:id="957176985">
      <w:bodyDiv w:val="1"/>
      <w:marLeft w:val="0"/>
      <w:marRight w:val="0"/>
      <w:marTop w:val="0"/>
      <w:marBottom w:val="0"/>
      <w:divBdr>
        <w:top w:val="none" w:sz="0" w:space="0" w:color="auto"/>
        <w:left w:val="none" w:sz="0" w:space="0" w:color="auto"/>
        <w:bottom w:val="none" w:sz="0" w:space="0" w:color="auto"/>
        <w:right w:val="none" w:sz="0" w:space="0" w:color="auto"/>
      </w:divBdr>
      <w:divsChild>
        <w:div w:id="2039118714">
          <w:marLeft w:val="274"/>
          <w:marRight w:val="0"/>
          <w:marTop w:val="60"/>
          <w:marBottom w:val="60"/>
          <w:divBdr>
            <w:top w:val="none" w:sz="0" w:space="0" w:color="auto"/>
            <w:left w:val="none" w:sz="0" w:space="0" w:color="auto"/>
            <w:bottom w:val="none" w:sz="0" w:space="0" w:color="auto"/>
            <w:right w:val="none" w:sz="0" w:space="0" w:color="auto"/>
          </w:divBdr>
        </w:div>
        <w:div w:id="538981706">
          <w:marLeft w:val="274"/>
          <w:marRight w:val="0"/>
          <w:marTop w:val="60"/>
          <w:marBottom w:val="60"/>
          <w:divBdr>
            <w:top w:val="none" w:sz="0" w:space="0" w:color="auto"/>
            <w:left w:val="none" w:sz="0" w:space="0" w:color="auto"/>
            <w:bottom w:val="none" w:sz="0" w:space="0" w:color="auto"/>
            <w:right w:val="none" w:sz="0" w:space="0" w:color="auto"/>
          </w:divBdr>
        </w:div>
        <w:div w:id="1768691106">
          <w:marLeft w:val="274"/>
          <w:marRight w:val="0"/>
          <w:marTop w:val="60"/>
          <w:marBottom w:val="60"/>
          <w:divBdr>
            <w:top w:val="none" w:sz="0" w:space="0" w:color="auto"/>
            <w:left w:val="none" w:sz="0" w:space="0" w:color="auto"/>
            <w:bottom w:val="none" w:sz="0" w:space="0" w:color="auto"/>
            <w:right w:val="none" w:sz="0" w:space="0" w:color="auto"/>
          </w:divBdr>
        </w:div>
        <w:div w:id="1133711393">
          <w:marLeft w:val="274"/>
          <w:marRight w:val="0"/>
          <w:marTop w:val="60"/>
          <w:marBottom w:val="60"/>
          <w:divBdr>
            <w:top w:val="none" w:sz="0" w:space="0" w:color="auto"/>
            <w:left w:val="none" w:sz="0" w:space="0" w:color="auto"/>
            <w:bottom w:val="none" w:sz="0" w:space="0" w:color="auto"/>
            <w:right w:val="none" w:sz="0" w:space="0" w:color="auto"/>
          </w:divBdr>
        </w:div>
        <w:div w:id="326831939">
          <w:marLeft w:val="274"/>
          <w:marRight w:val="0"/>
          <w:marTop w:val="60"/>
          <w:marBottom w:val="60"/>
          <w:divBdr>
            <w:top w:val="none" w:sz="0" w:space="0" w:color="auto"/>
            <w:left w:val="none" w:sz="0" w:space="0" w:color="auto"/>
            <w:bottom w:val="none" w:sz="0" w:space="0" w:color="auto"/>
            <w:right w:val="none" w:sz="0" w:space="0" w:color="auto"/>
          </w:divBdr>
        </w:div>
        <w:div w:id="968125215">
          <w:marLeft w:val="274"/>
          <w:marRight w:val="0"/>
          <w:marTop w:val="60"/>
          <w:marBottom w:val="60"/>
          <w:divBdr>
            <w:top w:val="none" w:sz="0" w:space="0" w:color="auto"/>
            <w:left w:val="none" w:sz="0" w:space="0" w:color="auto"/>
            <w:bottom w:val="none" w:sz="0" w:space="0" w:color="auto"/>
            <w:right w:val="none" w:sz="0" w:space="0" w:color="auto"/>
          </w:divBdr>
        </w:div>
      </w:divsChild>
    </w:div>
    <w:div w:id="968902933">
      <w:bodyDiv w:val="1"/>
      <w:marLeft w:val="0"/>
      <w:marRight w:val="0"/>
      <w:marTop w:val="0"/>
      <w:marBottom w:val="0"/>
      <w:divBdr>
        <w:top w:val="none" w:sz="0" w:space="0" w:color="auto"/>
        <w:left w:val="none" w:sz="0" w:space="0" w:color="auto"/>
        <w:bottom w:val="none" w:sz="0" w:space="0" w:color="auto"/>
        <w:right w:val="none" w:sz="0" w:space="0" w:color="auto"/>
      </w:divBdr>
    </w:div>
    <w:div w:id="975598655">
      <w:bodyDiv w:val="1"/>
      <w:marLeft w:val="0"/>
      <w:marRight w:val="0"/>
      <w:marTop w:val="0"/>
      <w:marBottom w:val="0"/>
      <w:divBdr>
        <w:top w:val="none" w:sz="0" w:space="0" w:color="auto"/>
        <w:left w:val="none" w:sz="0" w:space="0" w:color="auto"/>
        <w:bottom w:val="none" w:sz="0" w:space="0" w:color="auto"/>
        <w:right w:val="none" w:sz="0" w:space="0" w:color="auto"/>
      </w:divBdr>
    </w:div>
    <w:div w:id="1278416936">
      <w:bodyDiv w:val="1"/>
      <w:marLeft w:val="0"/>
      <w:marRight w:val="0"/>
      <w:marTop w:val="0"/>
      <w:marBottom w:val="0"/>
      <w:divBdr>
        <w:top w:val="none" w:sz="0" w:space="0" w:color="auto"/>
        <w:left w:val="none" w:sz="0" w:space="0" w:color="auto"/>
        <w:bottom w:val="none" w:sz="0" w:space="0" w:color="auto"/>
        <w:right w:val="none" w:sz="0" w:space="0" w:color="auto"/>
      </w:divBdr>
    </w:div>
    <w:div w:id="1363088791">
      <w:bodyDiv w:val="1"/>
      <w:marLeft w:val="0"/>
      <w:marRight w:val="0"/>
      <w:marTop w:val="0"/>
      <w:marBottom w:val="0"/>
      <w:divBdr>
        <w:top w:val="none" w:sz="0" w:space="0" w:color="auto"/>
        <w:left w:val="none" w:sz="0" w:space="0" w:color="auto"/>
        <w:bottom w:val="none" w:sz="0" w:space="0" w:color="auto"/>
        <w:right w:val="none" w:sz="0" w:space="0" w:color="auto"/>
      </w:divBdr>
    </w:div>
    <w:div w:id="1392725981">
      <w:bodyDiv w:val="1"/>
      <w:marLeft w:val="0"/>
      <w:marRight w:val="0"/>
      <w:marTop w:val="0"/>
      <w:marBottom w:val="0"/>
      <w:divBdr>
        <w:top w:val="none" w:sz="0" w:space="0" w:color="auto"/>
        <w:left w:val="none" w:sz="0" w:space="0" w:color="auto"/>
        <w:bottom w:val="none" w:sz="0" w:space="0" w:color="auto"/>
        <w:right w:val="none" w:sz="0" w:space="0" w:color="auto"/>
      </w:divBdr>
    </w:div>
    <w:div w:id="1538854367">
      <w:bodyDiv w:val="1"/>
      <w:marLeft w:val="0"/>
      <w:marRight w:val="0"/>
      <w:marTop w:val="0"/>
      <w:marBottom w:val="0"/>
      <w:divBdr>
        <w:top w:val="none" w:sz="0" w:space="0" w:color="auto"/>
        <w:left w:val="none" w:sz="0" w:space="0" w:color="auto"/>
        <w:bottom w:val="none" w:sz="0" w:space="0" w:color="auto"/>
        <w:right w:val="none" w:sz="0" w:space="0" w:color="auto"/>
      </w:divBdr>
    </w:div>
    <w:div w:id="1647586664">
      <w:bodyDiv w:val="1"/>
      <w:marLeft w:val="0"/>
      <w:marRight w:val="0"/>
      <w:marTop w:val="0"/>
      <w:marBottom w:val="0"/>
      <w:divBdr>
        <w:top w:val="none" w:sz="0" w:space="0" w:color="auto"/>
        <w:left w:val="none" w:sz="0" w:space="0" w:color="auto"/>
        <w:bottom w:val="none" w:sz="0" w:space="0" w:color="auto"/>
        <w:right w:val="none" w:sz="0" w:space="0" w:color="auto"/>
      </w:divBdr>
    </w:div>
    <w:div w:id="2090499471">
      <w:bodyDiv w:val="1"/>
      <w:marLeft w:val="0"/>
      <w:marRight w:val="0"/>
      <w:marTop w:val="0"/>
      <w:marBottom w:val="0"/>
      <w:divBdr>
        <w:top w:val="none" w:sz="0" w:space="0" w:color="auto"/>
        <w:left w:val="none" w:sz="0" w:space="0" w:color="auto"/>
        <w:bottom w:val="none" w:sz="0" w:space="0" w:color="auto"/>
        <w:right w:val="none" w:sz="0" w:space="0" w:color="auto"/>
      </w:divBdr>
    </w:div>
    <w:div w:id="2117213071">
      <w:bodyDiv w:val="1"/>
      <w:marLeft w:val="0"/>
      <w:marRight w:val="0"/>
      <w:marTop w:val="0"/>
      <w:marBottom w:val="0"/>
      <w:divBdr>
        <w:top w:val="none" w:sz="0" w:space="0" w:color="auto"/>
        <w:left w:val="none" w:sz="0" w:space="0" w:color="auto"/>
        <w:bottom w:val="none" w:sz="0" w:space="0" w:color="auto"/>
        <w:right w:val="none" w:sz="0" w:space="0" w:color="auto"/>
      </w:divBdr>
    </w:div>
    <w:div w:id="211867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5183F1C4-7144-4C89-B829-0EB5BEACDC6C}"/>
</file>

<file path=customXml/itemProps2.xml><?xml version="1.0" encoding="utf-8"?>
<ds:datastoreItem xmlns:ds="http://schemas.openxmlformats.org/officeDocument/2006/customXml" ds:itemID="{3D09C962-1492-4F3F-AD85-3F6D14EE2B04}"/>
</file>

<file path=customXml/itemProps3.xml><?xml version="1.0" encoding="utf-8"?>
<ds:datastoreItem xmlns:ds="http://schemas.openxmlformats.org/officeDocument/2006/customXml" ds:itemID="{E650B145-4DEC-41A7-B470-B4A843FED971}"/>
</file>

<file path=customXml/itemProps4.xml><?xml version="1.0" encoding="utf-8"?>
<ds:datastoreItem xmlns:ds="http://schemas.openxmlformats.org/officeDocument/2006/customXml" ds:itemID="{E42A03ED-40D7-4899-AF40-5708BD155D58}"/>
</file>

<file path=docProps/app.xml><?xml version="1.0" encoding="utf-8"?>
<Properties xmlns="http://schemas.openxmlformats.org/officeDocument/2006/extended-properties" xmlns:vt="http://schemas.openxmlformats.org/officeDocument/2006/docPropsVTypes">
  <Template>Normal</Template>
  <TotalTime>0</TotalTime>
  <Pages>19</Pages>
  <Words>8861</Words>
  <Characters>47587</Characters>
  <Application>Microsoft Office Word</Application>
  <DocSecurity>0</DocSecurity>
  <Lines>1359</Lines>
  <Paragraphs>600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2018-10-29T21:52:00Z</dcterms:created>
  <dcterms:modified xsi:type="dcterms:W3CDTF">2018-10-31T03:51:00Z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